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E9B18" w14:textId="77777777" w:rsidR="008A6C56" w:rsidRDefault="008A6C56">
      <w:pPr>
        <w:rPr>
          <w:b/>
          <w:bCs/>
          <w:sz w:val="36"/>
          <w:szCs w:val="36"/>
        </w:rPr>
      </w:pPr>
    </w:p>
    <w:p w14:paraId="7868A307" w14:textId="77777777" w:rsidR="008A6C56" w:rsidRDefault="008A6C56">
      <w:pPr>
        <w:rPr>
          <w:b/>
          <w:bCs/>
          <w:sz w:val="36"/>
          <w:szCs w:val="36"/>
        </w:rPr>
      </w:pPr>
    </w:p>
    <w:p w14:paraId="06CE64F4" w14:textId="3C73BEB5" w:rsidR="00DA0E0A" w:rsidRPr="00955D50" w:rsidRDefault="00697B89" w:rsidP="00D57653">
      <w:pPr>
        <w:rPr>
          <w:b/>
          <w:bCs/>
          <w:sz w:val="48"/>
          <w:szCs w:val="48"/>
          <w:lang w:val="en-US"/>
        </w:rPr>
      </w:pPr>
      <w:r w:rsidRPr="00697B89">
        <w:rPr>
          <w:b/>
          <w:bCs/>
          <w:sz w:val="48"/>
          <w:szCs w:val="48"/>
          <w:lang w:val="en-US"/>
        </w:rPr>
        <w:t xml:space="preserve">Indices and </w:t>
      </w:r>
      <w:r>
        <w:rPr>
          <w:b/>
          <w:bCs/>
          <w:sz w:val="48"/>
          <w:szCs w:val="48"/>
          <w:lang w:val="en-US"/>
        </w:rPr>
        <w:t>S</w:t>
      </w:r>
      <w:r w:rsidRPr="00697B89">
        <w:rPr>
          <w:b/>
          <w:bCs/>
          <w:sz w:val="48"/>
          <w:szCs w:val="48"/>
          <w:lang w:val="en-US"/>
        </w:rPr>
        <w:t xml:space="preserve">ub-indices </w:t>
      </w:r>
      <w:r>
        <w:rPr>
          <w:b/>
          <w:bCs/>
          <w:sz w:val="48"/>
          <w:szCs w:val="48"/>
          <w:lang w:val="en-US"/>
        </w:rPr>
        <w:t>D</w:t>
      </w:r>
      <w:r w:rsidRPr="00697B89">
        <w:rPr>
          <w:b/>
          <w:bCs/>
          <w:sz w:val="48"/>
          <w:szCs w:val="48"/>
          <w:lang w:val="en-US"/>
        </w:rPr>
        <w:t xml:space="preserve">esign and </w:t>
      </w:r>
      <w:r>
        <w:rPr>
          <w:b/>
          <w:bCs/>
          <w:sz w:val="48"/>
          <w:szCs w:val="48"/>
          <w:lang w:val="en-US"/>
        </w:rPr>
        <w:t>D</w:t>
      </w:r>
      <w:r w:rsidRPr="00697B89">
        <w:rPr>
          <w:b/>
          <w:bCs/>
          <w:sz w:val="48"/>
          <w:szCs w:val="48"/>
          <w:lang w:val="en-US"/>
        </w:rPr>
        <w:t xml:space="preserve">evelopment </w:t>
      </w:r>
      <w:r w:rsidR="00EA4F09">
        <w:rPr>
          <w:b/>
          <w:bCs/>
          <w:sz w:val="48"/>
          <w:szCs w:val="48"/>
          <w:lang w:val="en-US"/>
        </w:rPr>
        <w:t>Memorandum</w:t>
      </w:r>
    </w:p>
    <w:p w14:paraId="568F124B" w14:textId="77777777" w:rsidR="00955D50" w:rsidRPr="00BA3142" w:rsidRDefault="00955D50" w:rsidP="00955D50">
      <w:pPr>
        <w:rPr>
          <w:rFonts w:asciiTheme="minorHAnsi" w:hAnsiTheme="minorHAnsi" w:cstheme="minorHAnsi"/>
          <w:sz w:val="24"/>
          <w:szCs w:val="24"/>
        </w:rPr>
      </w:pPr>
    </w:p>
    <w:p w14:paraId="09BA279A" w14:textId="4AF7DF98" w:rsidR="00955D50" w:rsidRPr="00BA3142" w:rsidRDefault="00955D50" w:rsidP="00955D50">
      <w:pPr>
        <w:rPr>
          <w:rFonts w:asciiTheme="minorHAnsi" w:hAnsiTheme="minorHAnsi" w:cstheme="minorHAnsi"/>
          <w:sz w:val="24"/>
          <w:szCs w:val="24"/>
        </w:rPr>
      </w:pPr>
      <w:r w:rsidRPr="00BA3142">
        <w:rPr>
          <w:rFonts w:asciiTheme="minorHAnsi" w:hAnsiTheme="minorHAnsi" w:cstheme="minorHAnsi"/>
          <w:sz w:val="24"/>
          <w:szCs w:val="24"/>
        </w:rPr>
        <w:t>December 2025</w:t>
      </w:r>
    </w:p>
    <w:p w14:paraId="700D3CC0" w14:textId="77777777" w:rsidR="00955D50" w:rsidRPr="00BA3142" w:rsidRDefault="00955D50" w:rsidP="00955D50">
      <w:pPr>
        <w:rPr>
          <w:rFonts w:asciiTheme="minorHAnsi" w:hAnsiTheme="minorHAnsi" w:cstheme="minorHAnsi"/>
          <w:sz w:val="24"/>
          <w:szCs w:val="24"/>
        </w:rPr>
      </w:pPr>
    </w:p>
    <w:p w14:paraId="47788D7C" w14:textId="77777777" w:rsidR="00EA4F09" w:rsidRPr="00BA3142" w:rsidRDefault="00EA4F09" w:rsidP="00955D50">
      <w:pPr>
        <w:rPr>
          <w:rFonts w:asciiTheme="minorHAnsi" w:hAnsiTheme="minorHAnsi" w:cstheme="minorHAnsi"/>
          <w:sz w:val="24"/>
          <w:szCs w:val="24"/>
        </w:rPr>
      </w:pPr>
    </w:p>
    <w:p w14:paraId="700F683F" w14:textId="77777777" w:rsidR="00EA4F09" w:rsidRPr="00BA3142" w:rsidRDefault="00EA4F09" w:rsidP="00955D50">
      <w:pPr>
        <w:rPr>
          <w:rFonts w:asciiTheme="minorHAnsi" w:hAnsiTheme="minorHAnsi" w:cstheme="minorHAnsi"/>
          <w:sz w:val="24"/>
          <w:szCs w:val="24"/>
        </w:rPr>
      </w:pPr>
    </w:p>
    <w:p w14:paraId="12218EC6" w14:textId="77777777" w:rsidR="00EA4F09" w:rsidRPr="00BA3142" w:rsidRDefault="00EA4F09" w:rsidP="00955D50">
      <w:pPr>
        <w:rPr>
          <w:rFonts w:asciiTheme="minorHAnsi" w:hAnsiTheme="minorHAnsi" w:cstheme="minorHAnsi"/>
          <w:sz w:val="24"/>
          <w:szCs w:val="24"/>
        </w:rPr>
      </w:pPr>
    </w:p>
    <w:p w14:paraId="3BA63BF7" w14:textId="77777777" w:rsidR="00EA4F09" w:rsidRPr="00BA3142" w:rsidRDefault="00EA4F09" w:rsidP="00955D50">
      <w:pPr>
        <w:rPr>
          <w:rFonts w:asciiTheme="minorHAnsi" w:hAnsiTheme="minorHAnsi" w:cstheme="minorHAnsi"/>
          <w:sz w:val="24"/>
          <w:szCs w:val="24"/>
        </w:rPr>
      </w:pPr>
    </w:p>
    <w:p w14:paraId="77550C61" w14:textId="77777777" w:rsidR="00EA4F09" w:rsidRPr="00BA3142" w:rsidRDefault="00EA4F09" w:rsidP="00955D50">
      <w:pPr>
        <w:rPr>
          <w:rFonts w:asciiTheme="minorHAnsi" w:hAnsiTheme="minorHAnsi" w:cstheme="minorHAnsi"/>
          <w:sz w:val="24"/>
          <w:szCs w:val="24"/>
        </w:rPr>
      </w:pPr>
    </w:p>
    <w:p w14:paraId="7A676E2C" w14:textId="4703E17F" w:rsidR="00EA4F09" w:rsidRPr="00BA3142" w:rsidRDefault="006815A9" w:rsidP="006815A9">
      <w:pPr>
        <w:tabs>
          <w:tab w:val="left" w:pos="2184"/>
        </w:tabs>
        <w:rPr>
          <w:rFonts w:asciiTheme="minorHAnsi" w:hAnsiTheme="minorHAnsi" w:cstheme="minorHAnsi"/>
          <w:sz w:val="24"/>
          <w:szCs w:val="24"/>
        </w:rPr>
      </w:pPr>
      <w:r>
        <w:rPr>
          <w:rFonts w:asciiTheme="minorHAnsi" w:hAnsiTheme="minorHAnsi" w:cstheme="minorHAnsi"/>
          <w:sz w:val="24"/>
          <w:szCs w:val="24"/>
        </w:rPr>
        <w:tab/>
      </w:r>
    </w:p>
    <w:p w14:paraId="641C2E86" w14:textId="77777777" w:rsidR="00EA4F09" w:rsidRPr="00BA3142" w:rsidRDefault="00EA4F09" w:rsidP="00955D50">
      <w:pPr>
        <w:rPr>
          <w:rFonts w:asciiTheme="minorHAnsi" w:hAnsiTheme="minorHAnsi" w:cstheme="minorHAnsi"/>
          <w:sz w:val="24"/>
          <w:szCs w:val="24"/>
        </w:rPr>
      </w:pPr>
    </w:p>
    <w:p w14:paraId="1DBF303F" w14:textId="77777777" w:rsidR="00EA4F09" w:rsidRPr="00BA3142" w:rsidRDefault="00EA4F09" w:rsidP="00955D50">
      <w:pPr>
        <w:rPr>
          <w:rFonts w:asciiTheme="minorHAnsi" w:hAnsiTheme="minorHAnsi" w:cstheme="minorHAnsi"/>
          <w:sz w:val="24"/>
          <w:szCs w:val="24"/>
        </w:rPr>
      </w:pPr>
    </w:p>
    <w:p w14:paraId="0FA56775" w14:textId="77777777" w:rsidR="00EA4F09" w:rsidRPr="00BA3142" w:rsidRDefault="00EA4F09" w:rsidP="00955D50">
      <w:pPr>
        <w:rPr>
          <w:rFonts w:asciiTheme="minorHAnsi" w:hAnsiTheme="minorHAnsi" w:cstheme="minorHAnsi"/>
          <w:sz w:val="24"/>
          <w:szCs w:val="24"/>
        </w:rPr>
      </w:pPr>
    </w:p>
    <w:p w14:paraId="313A7876" w14:textId="77777777" w:rsidR="00EA4F09" w:rsidRPr="00BA3142" w:rsidRDefault="00EA4F09" w:rsidP="00955D50">
      <w:pPr>
        <w:rPr>
          <w:rFonts w:asciiTheme="minorHAnsi" w:hAnsiTheme="minorHAnsi" w:cstheme="minorHAnsi"/>
          <w:sz w:val="24"/>
          <w:szCs w:val="24"/>
        </w:rPr>
      </w:pPr>
    </w:p>
    <w:p w14:paraId="531E3D65" w14:textId="77777777" w:rsidR="00EA4F09" w:rsidRPr="00BA3142" w:rsidRDefault="00EA4F09" w:rsidP="00955D50">
      <w:pPr>
        <w:rPr>
          <w:rFonts w:asciiTheme="minorHAnsi" w:hAnsiTheme="minorHAnsi" w:cstheme="minorHAnsi"/>
          <w:sz w:val="24"/>
          <w:szCs w:val="24"/>
        </w:rPr>
      </w:pPr>
    </w:p>
    <w:p w14:paraId="376BC232" w14:textId="77777777" w:rsidR="00EA4F09" w:rsidRPr="00BA3142" w:rsidRDefault="00EA4F09" w:rsidP="00955D50">
      <w:pPr>
        <w:rPr>
          <w:rFonts w:asciiTheme="minorHAnsi" w:hAnsiTheme="minorHAnsi" w:cstheme="minorHAnsi"/>
          <w:sz w:val="24"/>
          <w:szCs w:val="24"/>
        </w:rPr>
      </w:pPr>
    </w:p>
    <w:p w14:paraId="45704C62" w14:textId="77777777" w:rsidR="00EA4F09" w:rsidRPr="00BA3142" w:rsidRDefault="00EA4F09" w:rsidP="00955D50">
      <w:pPr>
        <w:rPr>
          <w:rFonts w:asciiTheme="minorHAnsi" w:hAnsiTheme="minorHAnsi" w:cstheme="minorHAnsi"/>
          <w:sz w:val="24"/>
          <w:szCs w:val="24"/>
        </w:rPr>
      </w:pPr>
    </w:p>
    <w:p w14:paraId="29550D66" w14:textId="77777777" w:rsidR="00EA4F09" w:rsidRPr="00BA3142" w:rsidRDefault="00EA4F09" w:rsidP="00955D50">
      <w:pPr>
        <w:rPr>
          <w:rFonts w:asciiTheme="minorHAnsi" w:hAnsiTheme="minorHAnsi" w:cstheme="minorHAnsi"/>
          <w:sz w:val="24"/>
          <w:szCs w:val="24"/>
        </w:rPr>
      </w:pPr>
    </w:p>
    <w:p w14:paraId="12B141CE" w14:textId="77777777" w:rsidR="00EA4F09" w:rsidRPr="00BA3142" w:rsidRDefault="00EA4F09" w:rsidP="00955D50">
      <w:pPr>
        <w:rPr>
          <w:rFonts w:asciiTheme="minorHAnsi" w:hAnsiTheme="minorHAnsi" w:cstheme="minorHAnsi"/>
          <w:sz w:val="24"/>
          <w:szCs w:val="24"/>
        </w:rPr>
      </w:pPr>
    </w:p>
    <w:p w14:paraId="7BA217A5" w14:textId="77777777" w:rsidR="00EA4F09" w:rsidRPr="00BA3142" w:rsidRDefault="00EA4F09" w:rsidP="00955D50">
      <w:pPr>
        <w:rPr>
          <w:rFonts w:asciiTheme="minorHAnsi" w:hAnsiTheme="minorHAnsi" w:cstheme="minorHAnsi"/>
          <w:sz w:val="24"/>
          <w:szCs w:val="24"/>
        </w:rPr>
      </w:pPr>
    </w:p>
    <w:p w14:paraId="7563180D" w14:textId="77777777" w:rsidR="00EA4F09" w:rsidRPr="00BA3142" w:rsidRDefault="00EA4F09" w:rsidP="00955D50">
      <w:pPr>
        <w:rPr>
          <w:rFonts w:asciiTheme="minorHAnsi" w:hAnsiTheme="minorHAnsi" w:cstheme="minorHAnsi"/>
          <w:sz w:val="24"/>
          <w:szCs w:val="24"/>
        </w:rPr>
      </w:pPr>
    </w:p>
    <w:p w14:paraId="5F4553EF" w14:textId="77777777" w:rsidR="00EA4F09" w:rsidRPr="00BA3142" w:rsidRDefault="00EA4F09" w:rsidP="00955D50">
      <w:pPr>
        <w:rPr>
          <w:rFonts w:asciiTheme="minorHAnsi" w:hAnsiTheme="minorHAnsi" w:cstheme="minorHAnsi"/>
          <w:sz w:val="24"/>
          <w:szCs w:val="24"/>
        </w:rPr>
      </w:pPr>
    </w:p>
    <w:p w14:paraId="3A487FD4" w14:textId="77777777" w:rsidR="00EA4F09" w:rsidRPr="00BA3142" w:rsidRDefault="00EA4F09" w:rsidP="00955D50">
      <w:pPr>
        <w:rPr>
          <w:rFonts w:asciiTheme="minorHAnsi" w:hAnsiTheme="minorHAnsi" w:cstheme="minorHAnsi"/>
          <w:sz w:val="24"/>
          <w:szCs w:val="24"/>
        </w:rPr>
      </w:pPr>
    </w:p>
    <w:p w14:paraId="270538D2" w14:textId="77777777" w:rsidR="00AB79C9" w:rsidRPr="00955D50" w:rsidRDefault="00AB79C9" w:rsidP="00AB79C9">
      <w:pPr>
        <w:numPr>
          <w:ilvl w:val="0"/>
          <w:numId w:val="19"/>
        </w:numPr>
        <w:rPr>
          <w:rFonts w:asciiTheme="minorHAnsi" w:hAnsiTheme="minorHAnsi" w:cstheme="minorHAnsi"/>
          <w:sz w:val="24"/>
          <w:szCs w:val="24"/>
        </w:rPr>
      </w:pPr>
      <w:r w:rsidRPr="00955D50">
        <w:rPr>
          <w:rFonts w:asciiTheme="minorHAnsi" w:hAnsiTheme="minorHAnsi" w:cstheme="minorHAnsi"/>
          <w:sz w:val="24"/>
          <w:szCs w:val="24"/>
        </w:rPr>
        <w:t xml:space="preserve">This research is funded by the California Energy Commission (CEC) through </w:t>
      </w:r>
      <w:r>
        <w:rPr>
          <w:rFonts w:asciiTheme="minorHAnsi" w:hAnsiTheme="minorHAnsi" w:cstheme="minorHAnsi"/>
          <w:sz w:val="24"/>
          <w:szCs w:val="24"/>
        </w:rPr>
        <w:t>the</w:t>
      </w:r>
      <w:r w:rsidRPr="00955D50">
        <w:rPr>
          <w:rFonts w:asciiTheme="minorHAnsi" w:hAnsiTheme="minorHAnsi" w:cstheme="minorHAnsi"/>
          <w:sz w:val="24"/>
          <w:szCs w:val="24"/>
        </w:rPr>
        <w:t xml:space="preserve"> Gas Research and Development Program, which invests in innovations to support the gas sector transition and cost-effective achievement of the state’s clean energy and climate goals.</w:t>
      </w:r>
    </w:p>
    <w:p w14:paraId="0E61A509" w14:textId="77777777" w:rsidR="00AB79C9" w:rsidRPr="00607668" w:rsidRDefault="00AB79C9" w:rsidP="00AB79C9">
      <w:pPr>
        <w:numPr>
          <w:ilvl w:val="0"/>
          <w:numId w:val="19"/>
        </w:numPr>
        <w:rPr>
          <w:rFonts w:asciiTheme="minorHAnsi" w:hAnsiTheme="minorHAnsi" w:cstheme="minorHAnsi"/>
          <w:sz w:val="24"/>
          <w:szCs w:val="24"/>
        </w:rPr>
      </w:pPr>
      <w:r w:rsidRPr="00955D50">
        <w:rPr>
          <w:rFonts w:asciiTheme="minorHAnsi" w:hAnsiTheme="minorHAnsi" w:cstheme="minorHAnsi"/>
          <w:sz w:val="24"/>
          <w:szCs w:val="24"/>
        </w:rPr>
        <w:t xml:space="preserve">The research project, PIR-22-002, aims to provide state agencies, local governments, investor-owned utilities (IOUs), and other stakeholders with </w:t>
      </w:r>
      <w:r w:rsidRPr="00607668">
        <w:rPr>
          <w:rFonts w:asciiTheme="minorHAnsi" w:hAnsiTheme="minorHAnsi" w:cstheme="minorHAnsi"/>
          <w:sz w:val="24"/>
          <w:szCs w:val="24"/>
        </w:rPr>
        <w:t>a data-driven approach to screen for promising sites for decommissioning</w:t>
      </w:r>
      <w:r>
        <w:rPr>
          <w:rFonts w:asciiTheme="minorHAnsi" w:hAnsiTheme="minorHAnsi" w:cstheme="minorHAnsi"/>
          <w:sz w:val="24"/>
          <w:szCs w:val="24"/>
        </w:rPr>
        <w:t xml:space="preserve"> specific segments of California’s gas system </w:t>
      </w:r>
      <w:r w:rsidRPr="00607668">
        <w:rPr>
          <w:rFonts w:asciiTheme="minorHAnsi" w:hAnsiTheme="minorHAnsi" w:cstheme="minorHAnsi"/>
          <w:sz w:val="24"/>
          <w:szCs w:val="24"/>
        </w:rPr>
        <w:t>through a map-based tool that leverages gas system data and publicly available community data</w:t>
      </w:r>
      <w:r>
        <w:rPr>
          <w:rFonts w:asciiTheme="minorHAnsi" w:hAnsiTheme="minorHAnsi" w:cstheme="minorHAnsi"/>
          <w:sz w:val="24"/>
          <w:szCs w:val="24"/>
        </w:rPr>
        <w:t>.</w:t>
      </w:r>
    </w:p>
    <w:p w14:paraId="53050E74" w14:textId="77777777" w:rsidR="00AB79C9" w:rsidRPr="00955D50" w:rsidRDefault="00AB79C9" w:rsidP="00AB79C9">
      <w:pPr>
        <w:numPr>
          <w:ilvl w:val="0"/>
          <w:numId w:val="19"/>
        </w:numPr>
        <w:rPr>
          <w:rFonts w:asciiTheme="minorHAnsi" w:hAnsiTheme="minorHAnsi" w:cstheme="minorHAnsi"/>
          <w:sz w:val="24"/>
          <w:szCs w:val="24"/>
        </w:rPr>
      </w:pPr>
      <w:r w:rsidRPr="00955D50">
        <w:rPr>
          <w:rFonts w:asciiTheme="minorHAnsi" w:hAnsiTheme="minorHAnsi" w:cstheme="minorHAnsi"/>
          <w:sz w:val="24"/>
          <w:szCs w:val="24"/>
        </w:rPr>
        <w:t>This memo and data here within are being shared to support transparent and timely consideration of interim deliverables that are relevant for energy stakeholders and all those interested in California’s</w:t>
      </w:r>
      <w:r>
        <w:rPr>
          <w:rFonts w:asciiTheme="minorHAnsi" w:hAnsiTheme="minorHAnsi" w:cstheme="minorHAnsi"/>
          <w:sz w:val="24"/>
          <w:szCs w:val="24"/>
        </w:rPr>
        <w:t xml:space="preserve"> public interest</w:t>
      </w:r>
      <w:r w:rsidRPr="00955D50">
        <w:rPr>
          <w:rFonts w:asciiTheme="minorHAnsi" w:hAnsiTheme="minorHAnsi" w:cstheme="minorHAnsi"/>
          <w:sz w:val="24"/>
          <w:szCs w:val="24"/>
        </w:rPr>
        <w:t xml:space="preserve"> gas decommissioning research.</w:t>
      </w:r>
    </w:p>
    <w:p w14:paraId="61D0A7A6" w14:textId="77777777" w:rsidR="00955D50" w:rsidRPr="00955D50" w:rsidRDefault="00955D50" w:rsidP="00955D50">
      <w:pPr>
        <w:rPr>
          <w:rFonts w:asciiTheme="minorHAnsi" w:hAnsiTheme="minorHAnsi" w:cstheme="minorHAnsi"/>
          <w:sz w:val="24"/>
          <w:szCs w:val="24"/>
          <w:lang w:val="en-US"/>
        </w:rPr>
      </w:pPr>
    </w:p>
    <w:p w14:paraId="65F95C25" w14:textId="2B6AE18E" w:rsidR="00955D50" w:rsidRPr="00955D50" w:rsidRDefault="00955D50" w:rsidP="00955D50">
      <w:pPr>
        <w:rPr>
          <w:rFonts w:asciiTheme="minorHAnsi" w:hAnsiTheme="minorHAnsi" w:cstheme="minorHAnsi"/>
          <w:sz w:val="24"/>
          <w:szCs w:val="24"/>
          <w:lang w:val="en-US"/>
        </w:rPr>
      </w:pPr>
      <w:r w:rsidRPr="00955D50">
        <w:rPr>
          <w:rFonts w:asciiTheme="minorHAnsi" w:hAnsiTheme="minorHAnsi" w:cstheme="minorHAnsi"/>
          <w:sz w:val="24"/>
          <w:szCs w:val="24"/>
          <w:lang w:val="en-US"/>
        </w:rPr>
        <w:t xml:space="preserve">This </w:t>
      </w:r>
      <w:r w:rsidR="00F60D0C">
        <w:rPr>
          <w:rFonts w:asciiTheme="minorHAnsi" w:hAnsiTheme="minorHAnsi" w:cstheme="minorHAnsi"/>
          <w:sz w:val="24"/>
          <w:szCs w:val="24"/>
          <w:lang w:val="en-US"/>
        </w:rPr>
        <w:t>interim deliverable</w:t>
      </w:r>
      <w:r w:rsidRPr="00955D50">
        <w:rPr>
          <w:rFonts w:asciiTheme="minorHAnsi" w:hAnsiTheme="minorHAnsi" w:cstheme="minorHAnsi"/>
          <w:sz w:val="24"/>
          <w:szCs w:val="24"/>
          <w:lang w:val="en-US"/>
        </w:rPr>
        <w:t xml:space="preserve"> is submitted to the CEC by DNV GL USA, Inc. The </w:t>
      </w:r>
      <w:r w:rsidR="00EB4CDA">
        <w:rPr>
          <w:rFonts w:asciiTheme="minorHAnsi" w:hAnsiTheme="minorHAnsi" w:cstheme="minorHAnsi"/>
          <w:sz w:val="24"/>
          <w:szCs w:val="24"/>
          <w:lang w:val="en-US"/>
        </w:rPr>
        <w:t xml:space="preserve">memo </w:t>
      </w:r>
      <w:r w:rsidRPr="00955D50">
        <w:rPr>
          <w:rFonts w:asciiTheme="minorHAnsi" w:hAnsiTheme="minorHAnsi" w:cstheme="minorHAnsi"/>
          <w:sz w:val="24"/>
          <w:szCs w:val="24"/>
          <w:lang w:val="en-US"/>
        </w:rPr>
        <w:t xml:space="preserve">meets deliverable requirements under Task </w:t>
      </w:r>
      <w:r w:rsidR="00EA4F09" w:rsidRPr="00BA3142">
        <w:rPr>
          <w:rFonts w:asciiTheme="minorHAnsi" w:hAnsiTheme="minorHAnsi" w:cstheme="minorHAnsi"/>
          <w:sz w:val="24"/>
          <w:szCs w:val="24"/>
          <w:lang w:val="en-US"/>
        </w:rPr>
        <w:t>6</w:t>
      </w:r>
      <w:r w:rsidRPr="00955D50">
        <w:rPr>
          <w:rFonts w:asciiTheme="minorHAnsi" w:hAnsiTheme="minorHAnsi" w:cstheme="minorHAnsi"/>
          <w:sz w:val="24"/>
          <w:szCs w:val="24"/>
          <w:lang w:val="en-US"/>
        </w:rPr>
        <w:t xml:space="preserve"> of the California Energy Commission’s Project PIR-22-002: </w:t>
      </w:r>
      <w:r w:rsidR="00045B9B">
        <w:rPr>
          <w:rFonts w:asciiTheme="minorHAnsi" w:hAnsiTheme="minorHAnsi" w:cstheme="minorHAnsi"/>
          <w:sz w:val="24"/>
          <w:szCs w:val="24"/>
          <w:lang w:val="en-US"/>
        </w:rPr>
        <w:t xml:space="preserve">Mindful Decommissioning - </w:t>
      </w:r>
      <w:r w:rsidRPr="00955D50">
        <w:rPr>
          <w:rFonts w:asciiTheme="minorHAnsi" w:hAnsiTheme="minorHAnsi" w:cstheme="minorHAnsi"/>
          <w:sz w:val="24"/>
          <w:szCs w:val="24"/>
          <w:lang w:val="en-US"/>
        </w:rPr>
        <w:t>Development of a Data-Driven Tool to Support Strategic and Equitable Decommissioning of Gas Infrastructure.</w:t>
      </w:r>
    </w:p>
    <w:p w14:paraId="628128A1" w14:textId="2FF6B0A7" w:rsidR="000426A6" w:rsidRDefault="000426A6">
      <w:pPr>
        <w:spacing w:after="200" w:line="276" w:lineRule="auto"/>
        <w:rPr>
          <w:color w:val="0F204B"/>
          <w:sz w:val="26"/>
        </w:rPr>
      </w:pPr>
      <w:r>
        <w:br w:type="page"/>
      </w:r>
    </w:p>
    <w:p w14:paraId="6FED3B05" w14:textId="668DF201" w:rsidR="009D630C" w:rsidRPr="009D630C" w:rsidRDefault="009D630C" w:rsidP="00512A57">
      <w:pPr>
        <w:pStyle w:val="Heading8"/>
      </w:pPr>
      <w:r w:rsidRPr="009D630C">
        <w:t xml:space="preserve">Table of </w:t>
      </w:r>
      <w:r w:rsidR="00490BA5">
        <w:t>C</w:t>
      </w:r>
      <w:r w:rsidRPr="009D630C">
        <w:t>ontents</w:t>
      </w:r>
    </w:p>
    <w:p w14:paraId="19293C0F" w14:textId="2A89C088" w:rsidR="006410B2" w:rsidRDefault="00490BA5">
      <w:pPr>
        <w:pStyle w:val="TOC1"/>
        <w:rPr>
          <w:rFonts w:asciiTheme="minorHAnsi" w:hAnsiTheme="minorHAnsi" w:cstheme="minorBidi"/>
          <w:caps w:val="0"/>
          <w:kern w:val="2"/>
          <w:sz w:val="24"/>
          <w:szCs w:val="24"/>
          <w:lang w:val="en-US" w:eastAsia="en-US"/>
          <w14:ligatures w14:val="standardContextual"/>
        </w:rPr>
      </w:pPr>
      <w:r>
        <w:rPr>
          <w:caps w:val="0"/>
        </w:rPr>
        <w:fldChar w:fldCharType="begin"/>
      </w:r>
      <w:r>
        <w:rPr>
          <w:caps w:val="0"/>
        </w:rPr>
        <w:instrText xml:space="preserve"> TOC \o "1-2" \h \z \t "Heading 7,1" </w:instrText>
      </w:r>
      <w:r>
        <w:rPr>
          <w:caps w:val="0"/>
        </w:rPr>
        <w:fldChar w:fldCharType="separate"/>
      </w:r>
      <w:hyperlink w:anchor="_Toc213837935" w:history="1">
        <w:r w:rsidR="006410B2" w:rsidRPr="00D952A2">
          <w:rPr>
            <w:rStyle w:val="Hyperlink"/>
          </w:rPr>
          <w:t>1</w:t>
        </w:r>
        <w:r w:rsidR="006410B2">
          <w:rPr>
            <w:rFonts w:asciiTheme="minorHAnsi" w:hAnsiTheme="minorHAnsi" w:cstheme="minorBidi"/>
            <w:caps w:val="0"/>
            <w:kern w:val="2"/>
            <w:sz w:val="24"/>
            <w:szCs w:val="24"/>
            <w:lang w:val="en-US" w:eastAsia="en-US"/>
            <w14:ligatures w14:val="standardContextual"/>
          </w:rPr>
          <w:tab/>
        </w:r>
        <w:r w:rsidR="006410B2" w:rsidRPr="00D952A2">
          <w:rPr>
            <w:rStyle w:val="Hyperlink"/>
          </w:rPr>
          <w:t>Introduction</w:t>
        </w:r>
        <w:r w:rsidR="006410B2">
          <w:rPr>
            <w:webHidden/>
          </w:rPr>
          <w:tab/>
        </w:r>
        <w:r w:rsidR="006410B2">
          <w:rPr>
            <w:webHidden/>
          </w:rPr>
          <w:fldChar w:fldCharType="begin"/>
        </w:r>
        <w:r w:rsidR="006410B2">
          <w:rPr>
            <w:webHidden/>
          </w:rPr>
          <w:instrText xml:space="preserve"> PAGEREF _Toc213837935 \h </w:instrText>
        </w:r>
        <w:r w:rsidR="006410B2">
          <w:rPr>
            <w:webHidden/>
          </w:rPr>
        </w:r>
        <w:r w:rsidR="006410B2">
          <w:rPr>
            <w:webHidden/>
          </w:rPr>
          <w:fldChar w:fldCharType="separate"/>
        </w:r>
        <w:r w:rsidR="00061F2E">
          <w:rPr>
            <w:webHidden/>
          </w:rPr>
          <w:t>1</w:t>
        </w:r>
        <w:r w:rsidR="006410B2">
          <w:rPr>
            <w:webHidden/>
          </w:rPr>
          <w:fldChar w:fldCharType="end"/>
        </w:r>
      </w:hyperlink>
    </w:p>
    <w:p w14:paraId="5DF1C478" w14:textId="3DC70A56"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36" w:history="1">
        <w:r w:rsidRPr="00D952A2">
          <w:rPr>
            <w:rStyle w:val="Hyperlink"/>
          </w:rPr>
          <w:t>2</w:t>
        </w:r>
        <w:r>
          <w:rPr>
            <w:rFonts w:asciiTheme="minorHAnsi" w:hAnsiTheme="minorHAnsi" w:cstheme="minorBidi"/>
            <w:caps w:val="0"/>
            <w:kern w:val="2"/>
            <w:sz w:val="24"/>
            <w:szCs w:val="24"/>
            <w:lang w:val="en-US" w:eastAsia="en-US"/>
            <w14:ligatures w14:val="standardContextual"/>
          </w:rPr>
          <w:tab/>
        </w:r>
        <w:r w:rsidRPr="00D952A2">
          <w:rPr>
            <w:rStyle w:val="Hyperlink"/>
          </w:rPr>
          <w:t>Methods of Estimation</w:t>
        </w:r>
        <w:r>
          <w:rPr>
            <w:webHidden/>
          </w:rPr>
          <w:tab/>
        </w:r>
        <w:r>
          <w:rPr>
            <w:webHidden/>
          </w:rPr>
          <w:fldChar w:fldCharType="begin"/>
        </w:r>
        <w:r>
          <w:rPr>
            <w:webHidden/>
          </w:rPr>
          <w:instrText xml:space="preserve"> PAGEREF _Toc213837936 \h </w:instrText>
        </w:r>
        <w:r>
          <w:rPr>
            <w:webHidden/>
          </w:rPr>
        </w:r>
        <w:r>
          <w:rPr>
            <w:webHidden/>
          </w:rPr>
          <w:fldChar w:fldCharType="separate"/>
        </w:r>
        <w:r w:rsidR="00061F2E">
          <w:rPr>
            <w:webHidden/>
          </w:rPr>
          <w:t>3</w:t>
        </w:r>
        <w:r>
          <w:rPr>
            <w:webHidden/>
          </w:rPr>
          <w:fldChar w:fldCharType="end"/>
        </w:r>
      </w:hyperlink>
    </w:p>
    <w:p w14:paraId="1F0B1234" w14:textId="123A7F03" w:rsidR="006410B2" w:rsidRDefault="006410B2">
      <w:pPr>
        <w:pStyle w:val="TOC2"/>
        <w:rPr>
          <w:rFonts w:asciiTheme="minorHAnsi" w:hAnsiTheme="minorHAnsi" w:cstheme="minorBidi"/>
          <w:kern w:val="2"/>
          <w:sz w:val="24"/>
          <w:szCs w:val="24"/>
          <w:lang w:val="en-US" w:eastAsia="en-US"/>
          <w14:ligatures w14:val="standardContextual"/>
        </w:rPr>
      </w:pPr>
      <w:hyperlink w:anchor="_Toc213837937" w:history="1">
        <w:r w:rsidRPr="00D952A2">
          <w:rPr>
            <w:rStyle w:val="Hyperlink"/>
          </w:rPr>
          <w:t>2.1</w:t>
        </w:r>
        <w:r>
          <w:rPr>
            <w:rFonts w:asciiTheme="minorHAnsi" w:hAnsiTheme="minorHAnsi" w:cstheme="minorBidi"/>
            <w:kern w:val="2"/>
            <w:sz w:val="24"/>
            <w:szCs w:val="24"/>
            <w:lang w:val="en-US" w:eastAsia="en-US"/>
            <w14:ligatures w14:val="standardContextual"/>
          </w:rPr>
          <w:tab/>
        </w:r>
        <w:r w:rsidRPr="00D952A2">
          <w:rPr>
            <w:rStyle w:val="Hyperlink"/>
          </w:rPr>
          <w:t>Analytical Framework</w:t>
        </w:r>
        <w:r>
          <w:rPr>
            <w:webHidden/>
          </w:rPr>
          <w:tab/>
        </w:r>
        <w:r>
          <w:rPr>
            <w:webHidden/>
          </w:rPr>
          <w:fldChar w:fldCharType="begin"/>
        </w:r>
        <w:r>
          <w:rPr>
            <w:webHidden/>
          </w:rPr>
          <w:instrText xml:space="preserve"> PAGEREF _Toc213837937 \h </w:instrText>
        </w:r>
        <w:r>
          <w:rPr>
            <w:webHidden/>
          </w:rPr>
        </w:r>
        <w:r>
          <w:rPr>
            <w:webHidden/>
          </w:rPr>
          <w:fldChar w:fldCharType="separate"/>
        </w:r>
        <w:r w:rsidR="00061F2E">
          <w:rPr>
            <w:webHidden/>
          </w:rPr>
          <w:t>3</w:t>
        </w:r>
        <w:r>
          <w:rPr>
            <w:webHidden/>
          </w:rPr>
          <w:fldChar w:fldCharType="end"/>
        </w:r>
      </w:hyperlink>
    </w:p>
    <w:p w14:paraId="06C609DE" w14:textId="30837521" w:rsidR="006410B2" w:rsidRDefault="006410B2">
      <w:pPr>
        <w:pStyle w:val="TOC2"/>
        <w:rPr>
          <w:rFonts w:asciiTheme="minorHAnsi" w:hAnsiTheme="minorHAnsi" w:cstheme="minorBidi"/>
          <w:kern w:val="2"/>
          <w:sz w:val="24"/>
          <w:szCs w:val="24"/>
          <w:lang w:val="en-US" w:eastAsia="en-US"/>
          <w14:ligatures w14:val="standardContextual"/>
        </w:rPr>
      </w:pPr>
      <w:hyperlink w:anchor="_Toc213837938" w:history="1">
        <w:r w:rsidRPr="00D952A2">
          <w:rPr>
            <w:rStyle w:val="Hyperlink"/>
          </w:rPr>
          <w:t>2.2</w:t>
        </w:r>
        <w:r>
          <w:rPr>
            <w:rFonts w:asciiTheme="minorHAnsi" w:hAnsiTheme="minorHAnsi" w:cstheme="minorBidi"/>
            <w:kern w:val="2"/>
            <w:sz w:val="24"/>
            <w:szCs w:val="24"/>
            <w:lang w:val="en-US" w:eastAsia="en-US"/>
            <w14:ligatures w14:val="standardContextual"/>
          </w:rPr>
          <w:tab/>
        </w:r>
        <w:r w:rsidRPr="00D952A2">
          <w:rPr>
            <w:rStyle w:val="Hyperlink"/>
          </w:rPr>
          <w:t>Value Scaling</w:t>
        </w:r>
        <w:r>
          <w:rPr>
            <w:webHidden/>
          </w:rPr>
          <w:tab/>
        </w:r>
        <w:r>
          <w:rPr>
            <w:webHidden/>
          </w:rPr>
          <w:fldChar w:fldCharType="begin"/>
        </w:r>
        <w:r>
          <w:rPr>
            <w:webHidden/>
          </w:rPr>
          <w:instrText xml:space="preserve"> PAGEREF _Toc213837938 \h </w:instrText>
        </w:r>
        <w:r>
          <w:rPr>
            <w:webHidden/>
          </w:rPr>
        </w:r>
        <w:r>
          <w:rPr>
            <w:webHidden/>
          </w:rPr>
          <w:fldChar w:fldCharType="separate"/>
        </w:r>
        <w:r w:rsidR="00061F2E">
          <w:rPr>
            <w:webHidden/>
          </w:rPr>
          <w:t>3</w:t>
        </w:r>
        <w:r>
          <w:rPr>
            <w:webHidden/>
          </w:rPr>
          <w:fldChar w:fldCharType="end"/>
        </w:r>
      </w:hyperlink>
    </w:p>
    <w:p w14:paraId="76754D3B" w14:textId="1B33D063" w:rsidR="006410B2" w:rsidRDefault="006410B2">
      <w:pPr>
        <w:pStyle w:val="TOC2"/>
        <w:rPr>
          <w:rFonts w:asciiTheme="minorHAnsi" w:hAnsiTheme="minorHAnsi" w:cstheme="minorBidi"/>
          <w:kern w:val="2"/>
          <w:sz w:val="24"/>
          <w:szCs w:val="24"/>
          <w:lang w:val="en-US" w:eastAsia="en-US"/>
          <w14:ligatures w14:val="standardContextual"/>
        </w:rPr>
      </w:pPr>
      <w:hyperlink w:anchor="_Toc213837939" w:history="1">
        <w:r w:rsidRPr="00D952A2">
          <w:rPr>
            <w:rStyle w:val="Hyperlink"/>
          </w:rPr>
          <w:t>2.3</w:t>
        </w:r>
        <w:r>
          <w:rPr>
            <w:rFonts w:asciiTheme="minorHAnsi" w:hAnsiTheme="minorHAnsi" w:cstheme="minorBidi"/>
            <w:kern w:val="2"/>
            <w:sz w:val="24"/>
            <w:szCs w:val="24"/>
            <w:lang w:val="en-US" w:eastAsia="en-US"/>
            <w14:ligatures w14:val="standardContextual"/>
          </w:rPr>
          <w:tab/>
        </w:r>
        <w:r w:rsidRPr="00D952A2">
          <w:rPr>
            <w:rStyle w:val="Hyperlink"/>
          </w:rPr>
          <w:t>Criteria Weighting</w:t>
        </w:r>
        <w:r>
          <w:rPr>
            <w:webHidden/>
          </w:rPr>
          <w:tab/>
        </w:r>
        <w:r>
          <w:rPr>
            <w:webHidden/>
          </w:rPr>
          <w:fldChar w:fldCharType="begin"/>
        </w:r>
        <w:r>
          <w:rPr>
            <w:webHidden/>
          </w:rPr>
          <w:instrText xml:space="preserve"> PAGEREF _Toc213837939 \h </w:instrText>
        </w:r>
        <w:r>
          <w:rPr>
            <w:webHidden/>
          </w:rPr>
        </w:r>
        <w:r>
          <w:rPr>
            <w:webHidden/>
          </w:rPr>
          <w:fldChar w:fldCharType="separate"/>
        </w:r>
        <w:r w:rsidR="00061F2E">
          <w:rPr>
            <w:webHidden/>
          </w:rPr>
          <w:t>5</w:t>
        </w:r>
        <w:r>
          <w:rPr>
            <w:webHidden/>
          </w:rPr>
          <w:fldChar w:fldCharType="end"/>
        </w:r>
      </w:hyperlink>
    </w:p>
    <w:p w14:paraId="0D20CA7F" w14:textId="1D43131B" w:rsidR="006410B2" w:rsidRDefault="006410B2">
      <w:pPr>
        <w:pStyle w:val="TOC2"/>
        <w:rPr>
          <w:rFonts w:asciiTheme="minorHAnsi" w:hAnsiTheme="minorHAnsi" w:cstheme="minorBidi"/>
          <w:kern w:val="2"/>
          <w:sz w:val="24"/>
          <w:szCs w:val="24"/>
          <w:lang w:val="en-US" w:eastAsia="en-US"/>
          <w14:ligatures w14:val="standardContextual"/>
        </w:rPr>
      </w:pPr>
      <w:hyperlink w:anchor="_Toc213837940" w:history="1">
        <w:r w:rsidRPr="00D952A2">
          <w:rPr>
            <w:rStyle w:val="Hyperlink"/>
          </w:rPr>
          <w:t>2.4</w:t>
        </w:r>
        <w:r>
          <w:rPr>
            <w:rFonts w:asciiTheme="minorHAnsi" w:hAnsiTheme="minorHAnsi" w:cstheme="minorBidi"/>
            <w:kern w:val="2"/>
            <w:sz w:val="24"/>
            <w:szCs w:val="24"/>
            <w:lang w:val="en-US" w:eastAsia="en-US"/>
            <w14:ligatures w14:val="standardContextual"/>
          </w:rPr>
          <w:tab/>
        </w:r>
        <w:r w:rsidRPr="00D952A2">
          <w:rPr>
            <w:rStyle w:val="Hyperlink"/>
          </w:rPr>
          <w:t>Imputation</w:t>
        </w:r>
        <w:r>
          <w:rPr>
            <w:webHidden/>
          </w:rPr>
          <w:tab/>
        </w:r>
        <w:r>
          <w:rPr>
            <w:webHidden/>
          </w:rPr>
          <w:fldChar w:fldCharType="begin"/>
        </w:r>
        <w:r>
          <w:rPr>
            <w:webHidden/>
          </w:rPr>
          <w:instrText xml:space="preserve"> PAGEREF _Toc213837940 \h </w:instrText>
        </w:r>
        <w:r>
          <w:rPr>
            <w:webHidden/>
          </w:rPr>
        </w:r>
        <w:r>
          <w:rPr>
            <w:webHidden/>
          </w:rPr>
          <w:fldChar w:fldCharType="separate"/>
        </w:r>
        <w:r w:rsidR="00061F2E">
          <w:rPr>
            <w:webHidden/>
          </w:rPr>
          <w:t>6</w:t>
        </w:r>
        <w:r>
          <w:rPr>
            <w:webHidden/>
          </w:rPr>
          <w:fldChar w:fldCharType="end"/>
        </w:r>
      </w:hyperlink>
    </w:p>
    <w:p w14:paraId="3E051991" w14:textId="2371A03A"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41" w:history="1">
        <w:r w:rsidRPr="00D952A2">
          <w:rPr>
            <w:rStyle w:val="Hyperlink"/>
          </w:rPr>
          <w:t>3</w:t>
        </w:r>
        <w:r>
          <w:rPr>
            <w:rFonts w:asciiTheme="minorHAnsi" w:hAnsiTheme="minorHAnsi" w:cstheme="minorBidi"/>
            <w:caps w:val="0"/>
            <w:kern w:val="2"/>
            <w:sz w:val="24"/>
            <w:szCs w:val="24"/>
            <w:lang w:val="en-US" w:eastAsia="en-US"/>
            <w14:ligatures w14:val="standardContextual"/>
          </w:rPr>
          <w:tab/>
        </w:r>
        <w:r w:rsidRPr="00D952A2">
          <w:rPr>
            <w:rStyle w:val="Hyperlink"/>
          </w:rPr>
          <w:t>Equity Index</w:t>
        </w:r>
        <w:r>
          <w:rPr>
            <w:webHidden/>
          </w:rPr>
          <w:tab/>
        </w:r>
        <w:r>
          <w:rPr>
            <w:webHidden/>
          </w:rPr>
          <w:fldChar w:fldCharType="begin"/>
        </w:r>
        <w:r>
          <w:rPr>
            <w:webHidden/>
          </w:rPr>
          <w:instrText xml:space="preserve"> PAGEREF _Toc213837941 \h </w:instrText>
        </w:r>
        <w:r>
          <w:rPr>
            <w:webHidden/>
          </w:rPr>
        </w:r>
        <w:r>
          <w:rPr>
            <w:webHidden/>
          </w:rPr>
          <w:fldChar w:fldCharType="separate"/>
        </w:r>
        <w:r w:rsidR="00061F2E">
          <w:rPr>
            <w:webHidden/>
          </w:rPr>
          <w:t>8</w:t>
        </w:r>
        <w:r>
          <w:rPr>
            <w:webHidden/>
          </w:rPr>
          <w:fldChar w:fldCharType="end"/>
        </w:r>
      </w:hyperlink>
    </w:p>
    <w:p w14:paraId="64B2A8B0" w14:textId="65DF9D52" w:rsidR="006410B2" w:rsidRDefault="006410B2">
      <w:pPr>
        <w:pStyle w:val="TOC2"/>
        <w:rPr>
          <w:rFonts w:asciiTheme="minorHAnsi" w:hAnsiTheme="minorHAnsi" w:cstheme="minorBidi"/>
          <w:kern w:val="2"/>
          <w:sz w:val="24"/>
          <w:szCs w:val="24"/>
          <w:lang w:val="en-US" w:eastAsia="en-US"/>
          <w14:ligatures w14:val="standardContextual"/>
        </w:rPr>
      </w:pPr>
      <w:hyperlink w:anchor="_Toc213837942" w:history="1">
        <w:r w:rsidRPr="00D952A2">
          <w:rPr>
            <w:rStyle w:val="Hyperlink"/>
          </w:rPr>
          <w:t>3.1</w:t>
        </w:r>
        <w:r>
          <w:rPr>
            <w:rFonts w:asciiTheme="minorHAnsi" w:hAnsiTheme="minorHAnsi" w:cstheme="minorBidi"/>
            <w:kern w:val="2"/>
            <w:sz w:val="24"/>
            <w:szCs w:val="24"/>
            <w:lang w:val="en-US" w:eastAsia="en-US"/>
            <w14:ligatures w14:val="standardContextual"/>
          </w:rPr>
          <w:tab/>
        </w:r>
        <w:r w:rsidRPr="00D952A2">
          <w:rPr>
            <w:rStyle w:val="Hyperlink"/>
          </w:rPr>
          <w:t>Overview</w:t>
        </w:r>
        <w:r>
          <w:rPr>
            <w:webHidden/>
          </w:rPr>
          <w:tab/>
        </w:r>
        <w:r>
          <w:rPr>
            <w:webHidden/>
          </w:rPr>
          <w:fldChar w:fldCharType="begin"/>
        </w:r>
        <w:r>
          <w:rPr>
            <w:webHidden/>
          </w:rPr>
          <w:instrText xml:space="preserve"> PAGEREF _Toc213837942 \h </w:instrText>
        </w:r>
        <w:r>
          <w:rPr>
            <w:webHidden/>
          </w:rPr>
        </w:r>
        <w:r>
          <w:rPr>
            <w:webHidden/>
          </w:rPr>
          <w:fldChar w:fldCharType="separate"/>
        </w:r>
        <w:r w:rsidR="00061F2E">
          <w:rPr>
            <w:webHidden/>
          </w:rPr>
          <w:t>8</w:t>
        </w:r>
        <w:r>
          <w:rPr>
            <w:webHidden/>
          </w:rPr>
          <w:fldChar w:fldCharType="end"/>
        </w:r>
      </w:hyperlink>
    </w:p>
    <w:p w14:paraId="34FE600C" w14:textId="51297496" w:rsidR="006410B2" w:rsidRDefault="006410B2">
      <w:pPr>
        <w:pStyle w:val="TOC2"/>
        <w:rPr>
          <w:rFonts w:asciiTheme="minorHAnsi" w:hAnsiTheme="minorHAnsi" w:cstheme="minorBidi"/>
          <w:kern w:val="2"/>
          <w:sz w:val="24"/>
          <w:szCs w:val="24"/>
          <w:lang w:val="en-US" w:eastAsia="en-US"/>
          <w14:ligatures w14:val="standardContextual"/>
        </w:rPr>
      </w:pPr>
      <w:hyperlink w:anchor="_Toc213837943" w:history="1">
        <w:r w:rsidRPr="00D952A2">
          <w:rPr>
            <w:rStyle w:val="Hyperlink"/>
          </w:rPr>
          <w:t>3.2</w:t>
        </w:r>
        <w:r>
          <w:rPr>
            <w:rFonts w:asciiTheme="minorHAnsi" w:hAnsiTheme="minorHAnsi" w:cstheme="minorBidi"/>
            <w:kern w:val="2"/>
            <w:sz w:val="24"/>
            <w:szCs w:val="24"/>
            <w:lang w:val="en-US" w:eastAsia="en-US"/>
            <w14:ligatures w14:val="standardContextual"/>
          </w:rPr>
          <w:tab/>
        </w:r>
        <w:r w:rsidRPr="00D952A2">
          <w:rPr>
            <w:rStyle w:val="Hyperlink"/>
          </w:rPr>
          <w:t>Methodology and Rationale</w:t>
        </w:r>
        <w:r>
          <w:rPr>
            <w:webHidden/>
          </w:rPr>
          <w:tab/>
        </w:r>
        <w:r>
          <w:rPr>
            <w:webHidden/>
          </w:rPr>
          <w:fldChar w:fldCharType="begin"/>
        </w:r>
        <w:r>
          <w:rPr>
            <w:webHidden/>
          </w:rPr>
          <w:instrText xml:space="preserve"> PAGEREF _Toc213837943 \h </w:instrText>
        </w:r>
        <w:r>
          <w:rPr>
            <w:webHidden/>
          </w:rPr>
        </w:r>
        <w:r>
          <w:rPr>
            <w:webHidden/>
          </w:rPr>
          <w:fldChar w:fldCharType="separate"/>
        </w:r>
        <w:r w:rsidR="00061F2E">
          <w:rPr>
            <w:webHidden/>
          </w:rPr>
          <w:t>8</w:t>
        </w:r>
        <w:r>
          <w:rPr>
            <w:webHidden/>
          </w:rPr>
          <w:fldChar w:fldCharType="end"/>
        </w:r>
      </w:hyperlink>
    </w:p>
    <w:p w14:paraId="1DB78CB8" w14:textId="0EFBF6D9" w:rsidR="006410B2" w:rsidRDefault="006410B2">
      <w:pPr>
        <w:pStyle w:val="TOC2"/>
        <w:rPr>
          <w:rFonts w:asciiTheme="minorHAnsi" w:hAnsiTheme="minorHAnsi" w:cstheme="minorBidi"/>
          <w:kern w:val="2"/>
          <w:sz w:val="24"/>
          <w:szCs w:val="24"/>
          <w:lang w:val="en-US" w:eastAsia="en-US"/>
          <w14:ligatures w14:val="standardContextual"/>
        </w:rPr>
      </w:pPr>
      <w:hyperlink w:anchor="_Toc213837944" w:history="1">
        <w:r w:rsidRPr="00D952A2">
          <w:rPr>
            <w:rStyle w:val="Hyperlink"/>
          </w:rPr>
          <w:t>3.3</w:t>
        </w:r>
        <w:r>
          <w:rPr>
            <w:rFonts w:asciiTheme="minorHAnsi" w:hAnsiTheme="minorHAnsi" w:cstheme="minorBidi"/>
            <w:kern w:val="2"/>
            <w:sz w:val="24"/>
            <w:szCs w:val="24"/>
            <w:lang w:val="en-US" w:eastAsia="en-US"/>
            <w14:ligatures w14:val="standardContextual"/>
          </w:rPr>
          <w:tab/>
        </w:r>
        <w:r w:rsidRPr="00D952A2">
          <w:rPr>
            <w:rStyle w:val="Hyperlink"/>
          </w:rPr>
          <w:t>Data Resources and Sub-Index Detail</w:t>
        </w:r>
        <w:r>
          <w:rPr>
            <w:webHidden/>
          </w:rPr>
          <w:tab/>
        </w:r>
        <w:r>
          <w:rPr>
            <w:webHidden/>
          </w:rPr>
          <w:fldChar w:fldCharType="begin"/>
        </w:r>
        <w:r>
          <w:rPr>
            <w:webHidden/>
          </w:rPr>
          <w:instrText xml:space="preserve"> PAGEREF _Toc213837944 \h </w:instrText>
        </w:r>
        <w:r>
          <w:rPr>
            <w:webHidden/>
          </w:rPr>
        </w:r>
        <w:r>
          <w:rPr>
            <w:webHidden/>
          </w:rPr>
          <w:fldChar w:fldCharType="separate"/>
        </w:r>
        <w:r w:rsidR="00061F2E">
          <w:rPr>
            <w:webHidden/>
          </w:rPr>
          <w:t>8</w:t>
        </w:r>
        <w:r>
          <w:rPr>
            <w:webHidden/>
          </w:rPr>
          <w:fldChar w:fldCharType="end"/>
        </w:r>
      </w:hyperlink>
    </w:p>
    <w:p w14:paraId="259E38F3" w14:textId="60B7DD48"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45" w:history="1">
        <w:r w:rsidRPr="00D952A2">
          <w:rPr>
            <w:rStyle w:val="Hyperlink"/>
          </w:rPr>
          <w:t>4</w:t>
        </w:r>
        <w:r>
          <w:rPr>
            <w:rFonts w:asciiTheme="minorHAnsi" w:hAnsiTheme="minorHAnsi" w:cstheme="minorBidi"/>
            <w:caps w:val="0"/>
            <w:kern w:val="2"/>
            <w:sz w:val="24"/>
            <w:szCs w:val="24"/>
            <w:lang w:val="en-US" w:eastAsia="en-US"/>
            <w14:ligatures w14:val="standardContextual"/>
          </w:rPr>
          <w:tab/>
        </w:r>
        <w:r w:rsidRPr="00D952A2">
          <w:rPr>
            <w:rStyle w:val="Hyperlink"/>
          </w:rPr>
          <w:t>Gas Assets Index</w:t>
        </w:r>
        <w:r>
          <w:rPr>
            <w:webHidden/>
          </w:rPr>
          <w:tab/>
        </w:r>
        <w:r>
          <w:rPr>
            <w:webHidden/>
          </w:rPr>
          <w:fldChar w:fldCharType="begin"/>
        </w:r>
        <w:r>
          <w:rPr>
            <w:webHidden/>
          </w:rPr>
          <w:instrText xml:space="preserve"> PAGEREF _Toc213837945 \h </w:instrText>
        </w:r>
        <w:r>
          <w:rPr>
            <w:webHidden/>
          </w:rPr>
        </w:r>
        <w:r>
          <w:rPr>
            <w:webHidden/>
          </w:rPr>
          <w:fldChar w:fldCharType="separate"/>
        </w:r>
        <w:r w:rsidR="00061F2E">
          <w:rPr>
            <w:webHidden/>
          </w:rPr>
          <w:t>13</w:t>
        </w:r>
        <w:r>
          <w:rPr>
            <w:webHidden/>
          </w:rPr>
          <w:fldChar w:fldCharType="end"/>
        </w:r>
      </w:hyperlink>
    </w:p>
    <w:p w14:paraId="41FB8E68" w14:textId="63FAF28D" w:rsidR="006410B2" w:rsidRDefault="006410B2">
      <w:pPr>
        <w:pStyle w:val="TOC2"/>
        <w:rPr>
          <w:rFonts w:asciiTheme="minorHAnsi" w:hAnsiTheme="minorHAnsi" w:cstheme="minorBidi"/>
          <w:kern w:val="2"/>
          <w:sz w:val="24"/>
          <w:szCs w:val="24"/>
          <w:lang w:val="en-US" w:eastAsia="en-US"/>
          <w14:ligatures w14:val="standardContextual"/>
        </w:rPr>
      </w:pPr>
      <w:hyperlink w:anchor="_Toc213837946" w:history="1">
        <w:r w:rsidRPr="00D952A2">
          <w:rPr>
            <w:rStyle w:val="Hyperlink"/>
          </w:rPr>
          <w:t>4.1</w:t>
        </w:r>
        <w:r>
          <w:rPr>
            <w:rFonts w:asciiTheme="minorHAnsi" w:hAnsiTheme="minorHAnsi" w:cstheme="minorBidi"/>
            <w:kern w:val="2"/>
            <w:sz w:val="24"/>
            <w:szCs w:val="24"/>
            <w:lang w:val="en-US" w:eastAsia="en-US"/>
            <w14:ligatures w14:val="standardContextual"/>
          </w:rPr>
          <w:tab/>
        </w:r>
        <w:r w:rsidRPr="00D952A2">
          <w:rPr>
            <w:rStyle w:val="Hyperlink"/>
          </w:rPr>
          <w:t>Overview</w:t>
        </w:r>
        <w:r>
          <w:rPr>
            <w:webHidden/>
          </w:rPr>
          <w:tab/>
        </w:r>
        <w:r>
          <w:rPr>
            <w:webHidden/>
          </w:rPr>
          <w:fldChar w:fldCharType="begin"/>
        </w:r>
        <w:r>
          <w:rPr>
            <w:webHidden/>
          </w:rPr>
          <w:instrText xml:space="preserve"> PAGEREF _Toc213837946 \h </w:instrText>
        </w:r>
        <w:r>
          <w:rPr>
            <w:webHidden/>
          </w:rPr>
        </w:r>
        <w:r>
          <w:rPr>
            <w:webHidden/>
          </w:rPr>
          <w:fldChar w:fldCharType="separate"/>
        </w:r>
        <w:r w:rsidR="00061F2E">
          <w:rPr>
            <w:webHidden/>
          </w:rPr>
          <w:t>13</w:t>
        </w:r>
        <w:r>
          <w:rPr>
            <w:webHidden/>
          </w:rPr>
          <w:fldChar w:fldCharType="end"/>
        </w:r>
      </w:hyperlink>
    </w:p>
    <w:p w14:paraId="6A92F43C" w14:textId="11798E19" w:rsidR="006410B2" w:rsidRDefault="006410B2">
      <w:pPr>
        <w:pStyle w:val="TOC2"/>
        <w:rPr>
          <w:rFonts w:asciiTheme="minorHAnsi" w:hAnsiTheme="minorHAnsi" w:cstheme="minorBidi"/>
          <w:kern w:val="2"/>
          <w:sz w:val="24"/>
          <w:szCs w:val="24"/>
          <w:lang w:val="en-US" w:eastAsia="en-US"/>
          <w14:ligatures w14:val="standardContextual"/>
        </w:rPr>
      </w:pPr>
      <w:hyperlink w:anchor="_Toc213837947" w:history="1">
        <w:r w:rsidRPr="00D952A2">
          <w:rPr>
            <w:rStyle w:val="Hyperlink"/>
          </w:rPr>
          <w:t>4.2</w:t>
        </w:r>
        <w:r>
          <w:rPr>
            <w:rFonts w:asciiTheme="minorHAnsi" w:hAnsiTheme="minorHAnsi" w:cstheme="minorBidi"/>
            <w:kern w:val="2"/>
            <w:sz w:val="24"/>
            <w:szCs w:val="24"/>
            <w:lang w:val="en-US" w:eastAsia="en-US"/>
            <w14:ligatures w14:val="standardContextual"/>
          </w:rPr>
          <w:tab/>
        </w:r>
        <w:r w:rsidRPr="00D952A2">
          <w:rPr>
            <w:rStyle w:val="Hyperlink"/>
          </w:rPr>
          <w:t>Methodology and Rationale</w:t>
        </w:r>
        <w:r>
          <w:rPr>
            <w:webHidden/>
          </w:rPr>
          <w:tab/>
        </w:r>
        <w:r>
          <w:rPr>
            <w:webHidden/>
          </w:rPr>
          <w:fldChar w:fldCharType="begin"/>
        </w:r>
        <w:r>
          <w:rPr>
            <w:webHidden/>
          </w:rPr>
          <w:instrText xml:space="preserve"> PAGEREF _Toc213837947 \h </w:instrText>
        </w:r>
        <w:r>
          <w:rPr>
            <w:webHidden/>
          </w:rPr>
        </w:r>
        <w:r>
          <w:rPr>
            <w:webHidden/>
          </w:rPr>
          <w:fldChar w:fldCharType="separate"/>
        </w:r>
        <w:r w:rsidR="00061F2E">
          <w:rPr>
            <w:webHidden/>
          </w:rPr>
          <w:t>13</w:t>
        </w:r>
        <w:r>
          <w:rPr>
            <w:webHidden/>
          </w:rPr>
          <w:fldChar w:fldCharType="end"/>
        </w:r>
      </w:hyperlink>
    </w:p>
    <w:p w14:paraId="22B09470" w14:textId="167A6409" w:rsidR="006410B2" w:rsidRDefault="006410B2">
      <w:pPr>
        <w:pStyle w:val="TOC2"/>
        <w:rPr>
          <w:rFonts w:asciiTheme="minorHAnsi" w:hAnsiTheme="minorHAnsi" w:cstheme="minorBidi"/>
          <w:kern w:val="2"/>
          <w:sz w:val="24"/>
          <w:szCs w:val="24"/>
          <w:lang w:val="en-US" w:eastAsia="en-US"/>
          <w14:ligatures w14:val="standardContextual"/>
        </w:rPr>
      </w:pPr>
      <w:hyperlink w:anchor="_Toc213837948" w:history="1">
        <w:r w:rsidRPr="00D952A2">
          <w:rPr>
            <w:rStyle w:val="Hyperlink"/>
          </w:rPr>
          <w:t>4.3</w:t>
        </w:r>
        <w:r>
          <w:rPr>
            <w:rFonts w:asciiTheme="minorHAnsi" w:hAnsiTheme="minorHAnsi" w:cstheme="minorBidi"/>
            <w:kern w:val="2"/>
            <w:sz w:val="24"/>
            <w:szCs w:val="24"/>
            <w:lang w:val="en-US" w:eastAsia="en-US"/>
            <w14:ligatures w14:val="standardContextual"/>
          </w:rPr>
          <w:tab/>
        </w:r>
        <w:r w:rsidRPr="00D952A2">
          <w:rPr>
            <w:rStyle w:val="Hyperlink"/>
          </w:rPr>
          <w:t>Data Resources and Sub-Index Detail</w:t>
        </w:r>
        <w:r>
          <w:rPr>
            <w:webHidden/>
          </w:rPr>
          <w:tab/>
        </w:r>
        <w:r>
          <w:rPr>
            <w:webHidden/>
          </w:rPr>
          <w:fldChar w:fldCharType="begin"/>
        </w:r>
        <w:r>
          <w:rPr>
            <w:webHidden/>
          </w:rPr>
          <w:instrText xml:space="preserve"> PAGEREF _Toc213837948 \h </w:instrText>
        </w:r>
        <w:r>
          <w:rPr>
            <w:webHidden/>
          </w:rPr>
        </w:r>
        <w:r>
          <w:rPr>
            <w:webHidden/>
          </w:rPr>
          <w:fldChar w:fldCharType="separate"/>
        </w:r>
        <w:r w:rsidR="00061F2E">
          <w:rPr>
            <w:webHidden/>
          </w:rPr>
          <w:t>14</w:t>
        </w:r>
        <w:r>
          <w:rPr>
            <w:webHidden/>
          </w:rPr>
          <w:fldChar w:fldCharType="end"/>
        </w:r>
      </w:hyperlink>
    </w:p>
    <w:p w14:paraId="6B3B6314" w14:textId="21703223"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49" w:history="1">
        <w:r w:rsidRPr="00D952A2">
          <w:rPr>
            <w:rStyle w:val="Hyperlink"/>
          </w:rPr>
          <w:t>5</w:t>
        </w:r>
        <w:r>
          <w:rPr>
            <w:rFonts w:asciiTheme="minorHAnsi" w:hAnsiTheme="minorHAnsi" w:cstheme="minorBidi"/>
            <w:caps w:val="0"/>
            <w:kern w:val="2"/>
            <w:sz w:val="24"/>
            <w:szCs w:val="24"/>
            <w:lang w:val="en-US" w:eastAsia="en-US"/>
            <w14:ligatures w14:val="standardContextual"/>
          </w:rPr>
          <w:tab/>
        </w:r>
        <w:r w:rsidRPr="00D952A2">
          <w:rPr>
            <w:rStyle w:val="Hyperlink"/>
          </w:rPr>
          <w:t>Non-Residential Decommissioning Readiness Index</w:t>
        </w:r>
        <w:r>
          <w:rPr>
            <w:webHidden/>
          </w:rPr>
          <w:tab/>
        </w:r>
        <w:r>
          <w:rPr>
            <w:webHidden/>
          </w:rPr>
          <w:fldChar w:fldCharType="begin"/>
        </w:r>
        <w:r>
          <w:rPr>
            <w:webHidden/>
          </w:rPr>
          <w:instrText xml:space="preserve"> PAGEREF _Toc213837949 \h </w:instrText>
        </w:r>
        <w:r>
          <w:rPr>
            <w:webHidden/>
          </w:rPr>
        </w:r>
        <w:r>
          <w:rPr>
            <w:webHidden/>
          </w:rPr>
          <w:fldChar w:fldCharType="separate"/>
        </w:r>
        <w:r w:rsidR="00061F2E">
          <w:rPr>
            <w:webHidden/>
          </w:rPr>
          <w:t>18</w:t>
        </w:r>
        <w:r>
          <w:rPr>
            <w:webHidden/>
          </w:rPr>
          <w:fldChar w:fldCharType="end"/>
        </w:r>
      </w:hyperlink>
    </w:p>
    <w:p w14:paraId="6054E0AA" w14:textId="11A0F1DA" w:rsidR="006410B2" w:rsidRDefault="006410B2">
      <w:pPr>
        <w:pStyle w:val="TOC2"/>
        <w:rPr>
          <w:rFonts w:asciiTheme="minorHAnsi" w:hAnsiTheme="minorHAnsi" w:cstheme="minorBidi"/>
          <w:kern w:val="2"/>
          <w:sz w:val="24"/>
          <w:szCs w:val="24"/>
          <w:lang w:val="en-US" w:eastAsia="en-US"/>
          <w14:ligatures w14:val="standardContextual"/>
        </w:rPr>
      </w:pPr>
      <w:hyperlink w:anchor="_Toc213837950" w:history="1">
        <w:r w:rsidRPr="00D952A2">
          <w:rPr>
            <w:rStyle w:val="Hyperlink"/>
          </w:rPr>
          <w:t>5.1</w:t>
        </w:r>
        <w:r>
          <w:rPr>
            <w:rFonts w:asciiTheme="minorHAnsi" w:hAnsiTheme="minorHAnsi" w:cstheme="minorBidi"/>
            <w:kern w:val="2"/>
            <w:sz w:val="24"/>
            <w:szCs w:val="24"/>
            <w:lang w:val="en-US" w:eastAsia="en-US"/>
            <w14:ligatures w14:val="standardContextual"/>
          </w:rPr>
          <w:tab/>
        </w:r>
        <w:r w:rsidRPr="00D952A2">
          <w:rPr>
            <w:rStyle w:val="Hyperlink"/>
          </w:rPr>
          <w:t>Overview</w:t>
        </w:r>
        <w:r>
          <w:rPr>
            <w:webHidden/>
          </w:rPr>
          <w:tab/>
        </w:r>
        <w:r>
          <w:rPr>
            <w:webHidden/>
          </w:rPr>
          <w:fldChar w:fldCharType="begin"/>
        </w:r>
        <w:r>
          <w:rPr>
            <w:webHidden/>
          </w:rPr>
          <w:instrText xml:space="preserve"> PAGEREF _Toc213837950 \h </w:instrText>
        </w:r>
        <w:r>
          <w:rPr>
            <w:webHidden/>
          </w:rPr>
        </w:r>
        <w:r>
          <w:rPr>
            <w:webHidden/>
          </w:rPr>
          <w:fldChar w:fldCharType="separate"/>
        </w:r>
        <w:r w:rsidR="00061F2E">
          <w:rPr>
            <w:webHidden/>
          </w:rPr>
          <w:t>18</w:t>
        </w:r>
        <w:r>
          <w:rPr>
            <w:webHidden/>
          </w:rPr>
          <w:fldChar w:fldCharType="end"/>
        </w:r>
      </w:hyperlink>
    </w:p>
    <w:p w14:paraId="333BB0E7" w14:textId="6A648155" w:rsidR="006410B2" w:rsidRDefault="006410B2">
      <w:pPr>
        <w:pStyle w:val="TOC2"/>
        <w:rPr>
          <w:rFonts w:asciiTheme="minorHAnsi" w:hAnsiTheme="minorHAnsi" w:cstheme="minorBidi"/>
          <w:kern w:val="2"/>
          <w:sz w:val="24"/>
          <w:szCs w:val="24"/>
          <w:lang w:val="en-US" w:eastAsia="en-US"/>
          <w14:ligatures w14:val="standardContextual"/>
        </w:rPr>
      </w:pPr>
      <w:hyperlink w:anchor="_Toc213837951" w:history="1">
        <w:r w:rsidRPr="00D952A2">
          <w:rPr>
            <w:rStyle w:val="Hyperlink"/>
          </w:rPr>
          <w:t>5.2</w:t>
        </w:r>
        <w:r>
          <w:rPr>
            <w:rFonts w:asciiTheme="minorHAnsi" w:hAnsiTheme="minorHAnsi" w:cstheme="minorBidi"/>
            <w:kern w:val="2"/>
            <w:sz w:val="24"/>
            <w:szCs w:val="24"/>
            <w:lang w:val="en-US" w:eastAsia="en-US"/>
            <w14:ligatures w14:val="standardContextual"/>
          </w:rPr>
          <w:tab/>
        </w:r>
        <w:r w:rsidRPr="00D952A2">
          <w:rPr>
            <w:rStyle w:val="Hyperlink"/>
          </w:rPr>
          <w:t>Methodology and Rationale</w:t>
        </w:r>
        <w:r>
          <w:rPr>
            <w:webHidden/>
          </w:rPr>
          <w:tab/>
        </w:r>
        <w:r>
          <w:rPr>
            <w:webHidden/>
          </w:rPr>
          <w:fldChar w:fldCharType="begin"/>
        </w:r>
        <w:r>
          <w:rPr>
            <w:webHidden/>
          </w:rPr>
          <w:instrText xml:space="preserve"> PAGEREF _Toc213837951 \h </w:instrText>
        </w:r>
        <w:r>
          <w:rPr>
            <w:webHidden/>
          </w:rPr>
        </w:r>
        <w:r>
          <w:rPr>
            <w:webHidden/>
          </w:rPr>
          <w:fldChar w:fldCharType="separate"/>
        </w:r>
        <w:r w:rsidR="00061F2E">
          <w:rPr>
            <w:webHidden/>
          </w:rPr>
          <w:t>18</w:t>
        </w:r>
        <w:r>
          <w:rPr>
            <w:webHidden/>
          </w:rPr>
          <w:fldChar w:fldCharType="end"/>
        </w:r>
      </w:hyperlink>
    </w:p>
    <w:p w14:paraId="13FE4AEA" w14:textId="36B3C723" w:rsidR="006410B2" w:rsidRDefault="006410B2">
      <w:pPr>
        <w:pStyle w:val="TOC2"/>
        <w:rPr>
          <w:rFonts w:asciiTheme="minorHAnsi" w:hAnsiTheme="minorHAnsi" w:cstheme="minorBidi"/>
          <w:kern w:val="2"/>
          <w:sz w:val="24"/>
          <w:szCs w:val="24"/>
          <w:lang w:val="en-US" w:eastAsia="en-US"/>
          <w14:ligatures w14:val="standardContextual"/>
        </w:rPr>
      </w:pPr>
      <w:hyperlink w:anchor="_Toc213837952" w:history="1">
        <w:r w:rsidRPr="00D952A2">
          <w:rPr>
            <w:rStyle w:val="Hyperlink"/>
          </w:rPr>
          <w:t>5.3</w:t>
        </w:r>
        <w:r>
          <w:rPr>
            <w:rFonts w:asciiTheme="minorHAnsi" w:hAnsiTheme="minorHAnsi" w:cstheme="minorBidi"/>
            <w:kern w:val="2"/>
            <w:sz w:val="24"/>
            <w:szCs w:val="24"/>
            <w:lang w:val="en-US" w:eastAsia="en-US"/>
            <w14:ligatures w14:val="standardContextual"/>
          </w:rPr>
          <w:tab/>
        </w:r>
        <w:r w:rsidRPr="00D952A2">
          <w:rPr>
            <w:rStyle w:val="Hyperlink"/>
          </w:rPr>
          <w:t>Weighting Coefficients</w:t>
        </w:r>
        <w:r>
          <w:rPr>
            <w:webHidden/>
          </w:rPr>
          <w:tab/>
        </w:r>
        <w:r>
          <w:rPr>
            <w:webHidden/>
          </w:rPr>
          <w:fldChar w:fldCharType="begin"/>
        </w:r>
        <w:r>
          <w:rPr>
            <w:webHidden/>
          </w:rPr>
          <w:instrText xml:space="preserve"> PAGEREF _Toc213837952 \h </w:instrText>
        </w:r>
        <w:r>
          <w:rPr>
            <w:webHidden/>
          </w:rPr>
        </w:r>
        <w:r>
          <w:rPr>
            <w:webHidden/>
          </w:rPr>
          <w:fldChar w:fldCharType="separate"/>
        </w:r>
        <w:r w:rsidR="00061F2E">
          <w:rPr>
            <w:webHidden/>
          </w:rPr>
          <w:t>19</w:t>
        </w:r>
        <w:r>
          <w:rPr>
            <w:webHidden/>
          </w:rPr>
          <w:fldChar w:fldCharType="end"/>
        </w:r>
      </w:hyperlink>
    </w:p>
    <w:p w14:paraId="1D8CA0F1" w14:textId="6F6DD93E" w:rsidR="006410B2" w:rsidRDefault="006410B2">
      <w:pPr>
        <w:pStyle w:val="TOC2"/>
        <w:rPr>
          <w:rFonts w:asciiTheme="minorHAnsi" w:hAnsiTheme="minorHAnsi" w:cstheme="minorBidi"/>
          <w:kern w:val="2"/>
          <w:sz w:val="24"/>
          <w:szCs w:val="24"/>
          <w:lang w:val="en-US" w:eastAsia="en-US"/>
          <w14:ligatures w14:val="standardContextual"/>
        </w:rPr>
      </w:pPr>
      <w:hyperlink w:anchor="_Toc213837953" w:history="1">
        <w:r w:rsidRPr="00D952A2">
          <w:rPr>
            <w:rStyle w:val="Hyperlink"/>
          </w:rPr>
          <w:t>5.4</w:t>
        </w:r>
        <w:r>
          <w:rPr>
            <w:rFonts w:asciiTheme="minorHAnsi" w:hAnsiTheme="minorHAnsi" w:cstheme="minorBidi"/>
            <w:kern w:val="2"/>
            <w:sz w:val="24"/>
            <w:szCs w:val="24"/>
            <w:lang w:val="en-US" w:eastAsia="en-US"/>
            <w14:ligatures w14:val="standardContextual"/>
          </w:rPr>
          <w:tab/>
        </w:r>
        <w:r w:rsidRPr="00D952A2">
          <w:rPr>
            <w:rStyle w:val="Hyperlink"/>
          </w:rPr>
          <w:t>Data Resources and Sub-Index Detail</w:t>
        </w:r>
        <w:r>
          <w:rPr>
            <w:webHidden/>
          </w:rPr>
          <w:tab/>
        </w:r>
        <w:r>
          <w:rPr>
            <w:webHidden/>
          </w:rPr>
          <w:fldChar w:fldCharType="begin"/>
        </w:r>
        <w:r>
          <w:rPr>
            <w:webHidden/>
          </w:rPr>
          <w:instrText xml:space="preserve"> PAGEREF _Toc213837953 \h </w:instrText>
        </w:r>
        <w:r>
          <w:rPr>
            <w:webHidden/>
          </w:rPr>
        </w:r>
        <w:r>
          <w:rPr>
            <w:webHidden/>
          </w:rPr>
          <w:fldChar w:fldCharType="separate"/>
        </w:r>
        <w:r w:rsidR="00061F2E">
          <w:rPr>
            <w:webHidden/>
          </w:rPr>
          <w:t>20</w:t>
        </w:r>
        <w:r>
          <w:rPr>
            <w:webHidden/>
          </w:rPr>
          <w:fldChar w:fldCharType="end"/>
        </w:r>
      </w:hyperlink>
    </w:p>
    <w:p w14:paraId="3706FE4A" w14:textId="5CAB9DC8"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54" w:history="1">
        <w:r w:rsidRPr="00D952A2">
          <w:rPr>
            <w:rStyle w:val="Hyperlink"/>
          </w:rPr>
          <w:t>6</w:t>
        </w:r>
        <w:r>
          <w:rPr>
            <w:rFonts w:asciiTheme="minorHAnsi" w:hAnsiTheme="minorHAnsi" w:cstheme="minorBidi"/>
            <w:caps w:val="0"/>
            <w:kern w:val="2"/>
            <w:sz w:val="24"/>
            <w:szCs w:val="24"/>
            <w:lang w:val="en-US" w:eastAsia="en-US"/>
            <w14:ligatures w14:val="standardContextual"/>
          </w:rPr>
          <w:tab/>
        </w:r>
        <w:r w:rsidRPr="00D952A2">
          <w:rPr>
            <w:rStyle w:val="Hyperlink"/>
          </w:rPr>
          <w:t>Residential Decommissioning Readiness Index</w:t>
        </w:r>
        <w:r>
          <w:rPr>
            <w:webHidden/>
          </w:rPr>
          <w:tab/>
        </w:r>
        <w:r>
          <w:rPr>
            <w:webHidden/>
          </w:rPr>
          <w:fldChar w:fldCharType="begin"/>
        </w:r>
        <w:r>
          <w:rPr>
            <w:webHidden/>
          </w:rPr>
          <w:instrText xml:space="preserve"> PAGEREF _Toc213837954 \h </w:instrText>
        </w:r>
        <w:r>
          <w:rPr>
            <w:webHidden/>
          </w:rPr>
        </w:r>
        <w:r>
          <w:rPr>
            <w:webHidden/>
          </w:rPr>
          <w:fldChar w:fldCharType="separate"/>
        </w:r>
        <w:r w:rsidR="00061F2E">
          <w:rPr>
            <w:webHidden/>
          </w:rPr>
          <w:t>22</w:t>
        </w:r>
        <w:r>
          <w:rPr>
            <w:webHidden/>
          </w:rPr>
          <w:fldChar w:fldCharType="end"/>
        </w:r>
      </w:hyperlink>
    </w:p>
    <w:p w14:paraId="22563454" w14:textId="35ACE694" w:rsidR="006410B2" w:rsidRDefault="006410B2">
      <w:pPr>
        <w:pStyle w:val="TOC2"/>
        <w:rPr>
          <w:rFonts w:asciiTheme="minorHAnsi" w:hAnsiTheme="minorHAnsi" w:cstheme="minorBidi"/>
          <w:kern w:val="2"/>
          <w:sz w:val="24"/>
          <w:szCs w:val="24"/>
          <w:lang w:val="en-US" w:eastAsia="en-US"/>
          <w14:ligatures w14:val="standardContextual"/>
        </w:rPr>
      </w:pPr>
      <w:hyperlink w:anchor="_Toc213837955" w:history="1">
        <w:r w:rsidRPr="00D952A2">
          <w:rPr>
            <w:rStyle w:val="Hyperlink"/>
          </w:rPr>
          <w:t>6.1</w:t>
        </w:r>
        <w:r>
          <w:rPr>
            <w:rFonts w:asciiTheme="minorHAnsi" w:hAnsiTheme="minorHAnsi" w:cstheme="minorBidi"/>
            <w:kern w:val="2"/>
            <w:sz w:val="24"/>
            <w:szCs w:val="24"/>
            <w:lang w:val="en-US" w:eastAsia="en-US"/>
            <w14:ligatures w14:val="standardContextual"/>
          </w:rPr>
          <w:tab/>
        </w:r>
        <w:r w:rsidRPr="00D952A2">
          <w:rPr>
            <w:rStyle w:val="Hyperlink"/>
          </w:rPr>
          <w:t>Overview</w:t>
        </w:r>
        <w:r>
          <w:rPr>
            <w:webHidden/>
          </w:rPr>
          <w:tab/>
        </w:r>
        <w:r>
          <w:rPr>
            <w:webHidden/>
          </w:rPr>
          <w:fldChar w:fldCharType="begin"/>
        </w:r>
        <w:r>
          <w:rPr>
            <w:webHidden/>
          </w:rPr>
          <w:instrText xml:space="preserve"> PAGEREF _Toc213837955 \h </w:instrText>
        </w:r>
        <w:r>
          <w:rPr>
            <w:webHidden/>
          </w:rPr>
        </w:r>
        <w:r>
          <w:rPr>
            <w:webHidden/>
          </w:rPr>
          <w:fldChar w:fldCharType="separate"/>
        </w:r>
        <w:r w:rsidR="00061F2E">
          <w:rPr>
            <w:webHidden/>
          </w:rPr>
          <w:t>22</w:t>
        </w:r>
        <w:r>
          <w:rPr>
            <w:webHidden/>
          </w:rPr>
          <w:fldChar w:fldCharType="end"/>
        </w:r>
      </w:hyperlink>
    </w:p>
    <w:p w14:paraId="60222D04" w14:textId="4283CE27" w:rsidR="006410B2" w:rsidRDefault="006410B2">
      <w:pPr>
        <w:pStyle w:val="TOC2"/>
        <w:rPr>
          <w:rFonts w:asciiTheme="minorHAnsi" w:hAnsiTheme="minorHAnsi" w:cstheme="minorBidi"/>
          <w:kern w:val="2"/>
          <w:sz w:val="24"/>
          <w:szCs w:val="24"/>
          <w:lang w:val="en-US" w:eastAsia="en-US"/>
          <w14:ligatures w14:val="standardContextual"/>
        </w:rPr>
      </w:pPr>
      <w:hyperlink w:anchor="_Toc213837956" w:history="1">
        <w:r w:rsidRPr="00D952A2">
          <w:rPr>
            <w:rStyle w:val="Hyperlink"/>
          </w:rPr>
          <w:t>6.2</w:t>
        </w:r>
        <w:r>
          <w:rPr>
            <w:rFonts w:asciiTheme="minorHAnsi" w:hAnsiTheme="minorHAnsi" w:cstheme="minorBidi"/>
            <w:kern w:val="2"/>
            <w:sz w:val="24"/>
            <w:szCs w:val="24"/>
            <w:lang w:val="en-US" w:eastAsia="en-US"/>
            <w14:ligatures w14:val="standardContextual"/>
          </w:rPr>
          <w:tab/>
        </w:r>
        <w:r w:rsidRPr="00D952A2">
          <w:rPr>
            <w:rStyle w:val="Hyperlink"/>
          </w:rPr>
          <w:t>Methodology</w:t>
        </w:r>
        <w:r>
          <w:rPr>
            <w:webHidden/>
          </w:rPr>
          <w:tab/>
        </w:r>
        <w:r>
          <w:rPr>
            <w:webHidden/>
          </w:rPr>
          <w:fldChar w:fldCharType="begin"/>
        </w:r>
        <w:r>
          <w:rPr>
            <w:webHidden/>
          </w:rPr>
          <w:instrText xml:space="preserve"> PAGEREF _Toc213837956 \h </w:instrText>
        </w:r>
        <w:r>
          <w:rPr>
            <w:webHidden/>
          </w:rPr>
        </w:r>
        <w:r>
          <w:rPr>
            <w:webHidden/>
          </w:rPr>
          <w:fldChar w:fldCharType="separate"/>
        </w:r>
        <w:r w:rsidR="00061F2E">
          <w:rPr>
            <w:webHidden/>
          </w:rPr>
          <w:t>22</w:t>
        </w:r>
        <w:r>
          <w:rPr>
            <w:webHidden/>
          </w:rPr>
          <w:fldChar w:fldCharType="end"/>
        </w:r>
      </w:hyperlink>
    </w:p>
    <w:p w14:paraId="1A25DCA1" w14:textId="128476F6" w:rsidR="006410B2" w:rsidRDefault="006410B2">
      <w:pPr>
        <w:pStyle w:val="TOC2"/>
        <w:rPr>
          <w:rFonts w:asciiTheme="minorHAnsi" w:hAnsiTheme="minorHAnsi" w:cstheme="minorBidi"/>
          <w:kern w:val="2"/>
          <w:sz w:val="24"/>
          <w:szCs w:val="24"/>
          <w:lang w:val="en-US" w:eastAsia="en-US"/>
          <w14:ligatures w14:val="standardContextual"/>
        </w:rPr>
      </w:pPr>
      <w:hyperlink w:anchor="_Toc213837957" w:history="1">
        <w:r w:rsidRPr="00D952A2">
          <w:rPr>
            <w:rStyle w:val="Hyperlink"/>
          </w:rPr>
          <w:t>6.3</w:t>
        </w:r>
        <w:r>
          <w:rPr>
            <w:rFonts w:asciiTheme="minorHAnsi" w:hAnsiTheme="minorHAnsi" w:cstheme="minorBidi"/>
            <w:kern w:val="2"/>
            <w:sz w:val="24"/>
            <w:szCs w:val="24"/>
            <w:lang w:val="en-US" w:eastAsia="en-US"/>
            <w14:ligatures w14:val="standardContextual"/>
          </w:rPr>
          <w:tab/>
        </w:r>
        <w:r w:rsidRPr="00D952A2">
          <w:rPr>
            <w:rStyle w:val="Hyperlink"/>
          </w:rPr>
          <w:t>Data Resources and Sub-Index Detail</w:t>
        </w:r>
        <w:r>
          <w:rPr>
            <w:webHidden/>
          </w:rPr>
          <w:tab/>
        </w:r>
        <w:r>
          <w:rPr>
            <w:webHidden/>
          </w:rPr>
          <w:fldChar w:fldCharType="begin"/>
        </w:r>
        <w:r>
          <w:rPr>
            <w:webHidden/>
          </w:rPr>
          <w:instrText xml:space="preserve"> PAGEREF _Toc213837957 \h </w:instrText>
        </w:r>
        <w:r>
          <w:rPr>
            <w:webHidden/>
          </w:rPr>
        </w:r>
        <w:r>
          <w:rPr>
            <w:webHidden/>
          </w:rPr>
          <w:fldChar w:fldCharType="separate"/>
        </w:r>
        <w:r w:rsidR="00061F2E">
          <w:rPr>
            <w:webHidden/>
          </w:rPr>
          <w:t>23</w:t>
        </w:r>
        <w:r>
          <w:rPr>
            <w:webHidden/>
          </w:rPr>
          <w:fldChar w:fldCharType="end"/>
        </w:r>
      </w:hyperlink>
    </w:p>
    <w:p w14:paraId="398DCEBA" w14:textId="0ABA7995"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58" w:history="1">
        <w:r w:rsidRPr="00D952A2">
          <w:rPr>
            <w:rStyle w:val="Hyperlink"/>
          </w:rPr>
          <w:t>7</w:t>
        </w:r>
        <w:r>
          <w:rPr>
            <w:rFonts w:asciiTheme="minorHAnsi" w:hAnsiTheme="minorHAnsi" w:cstheme="minorBidi"/>
            <w:caps w:val="0"/>
            <w:kern w:val="2"/>
            <w:sz w:val="24"/>
            <w:szCs w:val="24"/>
            <w:lang w:val="en-US" w:eastAsia="en-US"/>
            <w14:ligatures w14:val="standardContextual"/>
          </w:rPr>
          <w:tab/>
        </w:r>
        <w:r w:rsidRPr="00D952A2">
          <w:rPr>
            <w:rStyle w:val="Hyperlink"/>
          </w:rPr>
          <w:t>Combined Indices</w:t>
        </w:r>
        <w:r>
          <w:rPr>
            <w:webHidden/>
          </w:rPr>
          <w:tab/>
        </w:r>
        <w:r>
          <w:rPr>
            <w:webHidden/>
          </w:rPr>
          <w:fldChar w:fldCharType="begin"/>
        </w:r>
        <w:r>
          <w:rPr>
            <w:webHidden/>
          </w:rPr>
          <w:instrText xml:space="preserve"> PAGEREF _Toc213837958 \h </w:instrText>
        </w:r>
        <w:r>
          <w:rPr>
            <w:webHidden/>
          </w:rPr>
        </w:r>
        <w:r>
          <w:rPr>
            <w:webHidden/>
          </w:rPr>
          <w:fldChar w:fldCharType="separate"/>
        </w:r>
        <w:r w:rsidR="00061F2E">
          <w:rPr>
            <w:webHidden/>
          </w:rPr>
          <w:t>27</w:t>
        </w:r>
        <w:r>
          <w:rPr>
            <w:webHidden/>
          </w:rPr>
          <w:fldChar w:fldCharType="end"/>
        </w:r>
      </w:hyperlink>
    </w:p>
    <w:p w14:paraId="10407EEE" w14:textId="01CEBF6D"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59" w:history="1">
        <w:r w:rsidRPr="00D952A2">
          <w:rPr>
            <w:rStyle w:val="Hyperlink"/>
          </w:rPr>
          <w:t>8</w:t>
        </w:r>
        <w:r>
          <w:rPr>
            <w:rFonts w:asciiTheme="minorHAnsi" w:hAnsiTheme="minorHAnsi" w:cstheme="minorBidi"/>
            <w:caps w:val="0"/>
            <w:kern w:val="2"/>
            <w:sz w:val="24"/>
            <w:szCs w:val="24"/>
            <w:lang w:val="en-US" w:eastAsia="en-US"/>
            <w14:ligatures w14:val="standardContextual"/>
          </w:rPr>
          <w:tab/>
        </w:r>
        <w:r w:rsidRPr="00D952A2">
          <w:rPr>
            <w:rStyle w:val="Hyperlink"/>
          </w:rPr>
          <w:t>Summary and Conclusion</w:t>
        </w:r>
        <w:r>
          <w:rPr>
            <w:webHidden/>
          </w:rPr>
          <w:tab/>
        </w:r>
        <w:r>
          <w:rPr>
            <w:webHidden/>
          </w:rPr>
          <w:fldChar w:fldCharType="begin"/>
        </w:r>
        <w:r>
          <w:rPr>
            <w:webHidden/>
          </w:rPr>
          <w:instrText xml:space="preserve"> PAGEREF _Toc213837959 \h </w:instrText>
        </w:r>
        <w:r>
          <w:rPr>
            <w:webHidden/>
          </w:rPr>
        </w:r>
        <w:r>
          <w:rPr>
            <w:webHidden/>
          </w:rPr>
          <w:fldChar w:fldCharType="separate"/>
        </w:r>
        <w:r w:rsidR="00061F2E">
          <w:rPr>
            <w:webHidden/>
          </w:rPr>
          <w:t>29</w:t>
        </w:r>
        <w:r>
          <w:rPr>
            <w:webHidden/>
          </w:rPr>
          <w:fldChar w:fldCharType="end"/>
        </w:r>
      </w:hyperlink>
    </w:p>
    <w:p w14:paraId="15521D45" w14:textId="56C69EC6" w:rsidR="006410B2" w:rsidRDefault="006410B2">
      <w:pPr>
        <w:pStyle w:val="TOC1"/>
        <w:rPr>
          <w:rFonts w:asciiTheme="minorHAnsi" w:hAnsiTheme="minorHAnsi" w:cstheme="minorBidi"/>
          <w:caps w:val="0"/>
          <w:kern w:val="2"/>
          <w:sz w:val="24"/>
          <w:szCs w:val="24"/>
          <w:lang w:val="en-US" w:eastAsia="en-US"/>
          <w14:ligatures w14:val="standardContextual"/>
        </w:rPr>
      </w:pPr>
      <w:hyperlink w:anchor="_Toc213837960" w:history="1">
        <w:r w:rsidRPr="00D952A2">
          <w:rPr>
            <w:rStyle w:val="Hyperlink"/>
          </w:rPr>
          <w:t>9</w:t>
        </w:r>
        <w:r>
          <w:rPr>
            <w:rFonts w:asciiTheme="minorHAnsi" w:hAnsiTheme="minorHAnsi" w:cstheme="minorBidi"/>
            <w:caps w:val="0"/>
            <w:kern w:val="2"/>
            <w:sz w:val="24"/>
            <w:szCs w:val="24"/>
            <w:lang w:val="en-US" w:eastAsia="en-US"/>
            <w14:ligatures w14:val="standardContextual"/>
          </w:rPr>
          <w:tab/>
        </w:r>
        <w:r w:rsidRPr="00D952A2">
          <w:rPr>
            <w:rStyle w:val="Hyperlink"/>
          </w:rPr>
          <w:t>References</w:t>
        </w:r>
        <w:r>
          <w:rPr>
            <w:webHidden/>
          </w:rPr>
          <w:tab/>
        </w:r>
        <w:r>
          <w:rPr>
            <w:webHidden/>
          </w:rPr>
          <w:fldChar w:fldCharType="begin"/>
        </w:r>
        <w:r>
          <w:rPr>
            <w:webHidden/>
          </w:rPr>
          <w:instrText xml:space="preserve"> PAGEREF _Toc213837960 \h </w:instrText>
        </w:r>
        <w:r>
          <w:rPr>
            <w:webHidden/>
          </w:rPr>
        </w:r>
        <w:r>
          <w:rPr>
            <w:webHidden/>
          </w:rPr>
          <w:fldChar w:fldCharType="separate"/>
        </w:r>
        <w:r w:rsidR="00061F2E">
          <w:rPr>
            <w:webHidden/>
          </w:rPr>
          <w:t>30</w:t>
        </w:r>
        <w:r>
          <w:rPr>
            <w:webHidden/>
          </w:rPr>
          <w:fldChar w:fldCharType="end"/>
        </w:r>
      </w:hyperlink>
    </w:p>
    <w:p w14:paraId="0A39AB5F" w14:textId="7FDF4284" w:rsidR="006410B2" w:rsidRDefault="006410B2">
      <w:pPr>
        <w:pStyle w:val="TOC1"/>
        <w:tabs>
          <w:tab w:val="left" w:pos="1417"/>
        </w:tabs>
        <w:rPr>
          <w:rFonts w:asciiTheme="minorHAnsi" w:hAnsiTheme="minorHAnsi" w:cstheme="minorBidi"/>
          <w:caps w:val="0"/>
          <w:kern w:val="2"/>
          <w:sz w:val="24"/>
          <w:szCs w:val="24"/>
          <w:lang w:val="en-US" w:eastAsia="en-US"/>
          <w14:ligatures w14:val="standardContextual"/>
        </w:rPr>
      </w:pPr>
      <w:hyperlink w:anchor="_Toc213837961" w:history="1">
        <w:r w:rsidRPr="00D952A2">
          <w:rPr>
            <w:rStyle w:val="Hyperlink"/>
          </w:rPr>
          <w:t>Appendix A.</w:t>
        </w:r>
        <w:r>
          <w:rPr>
            <w:rFonts w:asciiTheme="minorHAnsi" w:hAnsiTheme="minorHAnsi" w:cstheme="minorBidi"/>
            <w:caps w:val="0"/>
            <w:kern w:val="2"/>
            <w:sz w:val="24"/>
            <w:szCs w:val="24"/>
            <w:lang w:val="en-US" w:eastAsia="en-US"/>
            <w14:ligatures w14:val="standardContextual"/>
          </w:rPr>
          <w:tab/>
        </w:r>
        <w:r w:rsidRPr="00D952A2">
          <w:rPr>
            <w:rStyle w:val="Hyperlink"/>
          </w:rPr>
          <w:t>Network Diagram Depicting the Mapping of</w:t>
        </w:r>
        <w:r w:rsidR="00400013">
          <w:rPr>
            <w:rStyle w:val="Hyperlink"/>
          </w:rPr>
          <w:t xml:space="preserve"> variables</w:t>
        </w:r>
        <w:r w:rsidRPr="00D952A2">
          <w:rPr>
            <w:rStyle w:val="Hyperlink"/>
          </w:rPr>
          <w:t xml:space="preserve"> to </w:t>
        </w:r>
        <w:r w:rsidR="00223378">
          <w:rPr>
            <w:rStyle w:val="Hyperlink"/>
          </w:rPr>
          <w:t>Sub-indices</w:t>
        </w:r>
        <w:r w:rsidRPr="00D952A2">
          <w:rPr>
            <w:rStyle w:val="Hyperlink"/>
          </w:rPr>
          <w:t xml:space="preserve"> and </w:t>
        </w:r>
        <w:r w:rsidR="00400013">
          <w:rPr>
            <w:rStyle w:val="Hyperlink"/>
          </w:rPr>
          <w:t>indice</w:t>
        </w:r>
        <w:r w:rsidRPr="00D952A2">
          <w:rPr>
            <w:rStyle w:val="Hyperlink"/>
          </w:rPr>
          <w:t>s</w:t>
        </w:r>
        <w:r>
          <w:rPr>
            <w:webHidden/>
          </w:rPr>
          <w:tab/>
        </w:r>
        <w:r>
          <w:rPr>
            <w:webHidden/>
          </w:rPr>
          <w:fldChar w:fldCharType="begin"/>
        </w:r>
        <w:r>
          <w:rPr>
            <w:webHidden/>
          </w:rPr>
          <w:instrText xml:space="preserve"> PAGEREF _Toc213837961 \h </w:instrText>
        </w:r>
        <w:r>
          <w:rPr>
            <w:webHidden/>
          </w:rPr>
        </w:r>
        <w:r>
          <w:rPr>
            <w:webHidden/>
          </w:rPr>
          <w:fldChar w:fldCharType="separate"/>
        </w:r>
        <w:r w:rsidR="00061F2E">
          <w:rPr>
            <w:webHidden/>
          </w:rPr>
          <w:t>A-1</w:t>
        </w:r>
        <w:r>
          <w:rPr>
            <w:webHidden/>
          </w:rPr>
          <w:fldChar w:fldCharType="end"/>
        </w:r>
      </w:hyperlink>
    </w:p>
    <w:p w14:paraId="6170240A" w14:textId="4CA1B82B" w:rsidR="006410B2" w:rsidRDefault="006410B2">
      <w:pPr>
        <w:pStyle w:val="TOC1"/>
        <w:tabs>
          <w:tab w:val="left" w:pos="1417"/>
        </w:tabs>
        <w:rPr>
          <w:rFonts w:asciiTheme="minorHAnsi" w:hAnsiTheme="minorHAnsi" w:cstheme="minorBidi"/>
          <w:caps w:val="0"/>
          <w:kern w:val="2"/>
          <w:sz w:val="24"/>
          <w:szCs w:val="24"/>
          <w:lang w:val="en-US" w:eastAsia="en-US"/>
          <w14:ligatures w14:val="standardContextual"/>
        </w:rPr>
      </w:pPr>
      <w:hyperlink w:anchor="_Toc213837962" w:history="1">
        <w:r w:rsidRPr="00D952A2">
          <w:rPr>
            <w:rStyle w:val="Hyperlink"/>
          </w:rPr>
          <w:t>Appendix B.</w:t>
        </w:r>
        <w:r>
          <w:rPr>
            <w:rFonts w:asciiTheme="minorHAnsi" w:hAnsiTheme="minorHAnsi" w:cstheme="minorBidi"/>
            <w:caps w:val="0"/>
            <w:kern w:val="2"/>
            <w:sz w:val="24"/>
            <w:szCs w:val="24"/>
            <w:lang w:val="en-US" w:eastAsia="en-US"/>
            <w14:ligatures w14:val="standardContextual"/>
          </w:rPr>
          <w:tab/>
        </w:r>
        <w:r w:rsidRPr="00D952A2">
          <w:rPr>
            <w:rStyle w:val="Hyperlink"/>
          </w:rPr>
          <w:t>Weighting Coefficients – Detailed Tables</w:t>
        </w:r>
        <w:r>
          <w:rPr>
            <w:webHidden/>
          </w:rPr>
          <w:tab/>
        </w:r>
        <w:r>
          <w:rPr>
            <w:webHidden/>
          </w:rPr>
          <w:fldChar w:fldCharType="begin"/>
        </w:r>
        <w:r>
          <w:rPr>
            <w:webHidden/>
          </w:rPr>
          <w:instrText xml:space="preserve"> PAGEREF _Toc213837962 \h </w:instrText>
        </w:r>
        <w:r>
          <w:rPr>
            <w:webHidden/>
          </w:rPr>
        </w:r>
        <w:r>
          <w:rPr>
            <w:webHidden/>
          </w:rPr>
          <w:fldChar w:fldCharType="separate"/>
        </w:r>
        <w:r w:rsidR="00061F2E">
          <w:rPr>
            <w:webHidden/>
          </w:rPr>
          <w:t>B-1</w:t>
        </w:r>
        <w:r>
          <w:rPr>
            <w:webHidden/>
          </w:rPr>
          <w:fldChar w:fldCharType="end"/>
        </w:r>
      </w:hyperlink>
    </w:p>
    <w:p w14:paraId="26238D3E" w14:textId="485E73E9" w:rsidR="006410B2" w:rsidRDefault="006410B2">
      <w:pPr>
        <w:pStyle w:val="TOC2"/>
        <w:rPr>
          <w:rFonts w:asciiTheme="minorHAnsi" w:hAnsiTheme="minorHAnsi" w:cstheme="minorBidi"/>
          <w:kern w:val="2"/>
          <w:sz w:val="24"/>
          <w:szCs w:val="24"/>
          <w:lang w:val="en-US" w:eastAsia="en-US"/>
          <w14:ligatures w14:val="standardContextual"/>
        </w:rPr>
      </w:pPr>
      <w:hyperlink w:anchor="_Toc213837963" w:history="1">
        <w:r w:rsidRPr="00D952A2">
          <w:rPr>
            <w:rStyle w:val="Hyperlink"/>
          </w:rPr>
          <w:t>Commercial Sectors</w:t>
        </w:r>
        <w:r>
          <w:rPr>
            <w:webHidden/>
          </w:rPr>
          <w:tab/>
        </w:r>
        <w:r>
          <w:rPr>
            <w:webHidden/>
          </w:rPr>
          <w:fldChar w:fldCharType="begin"/>
        </w:r>
        <w:r>
          <w:rPr>
            <w:webHidden/>
          </w:rPr>
          <w:instrText xml:space="preserve"> PAGEREF _Toc213837963 \h </w:instrText>
        </w:r>
        <w:r>
          <w:rPr>
            <w:webHidden/>
          </w:rPr>
        </w:r>
        <w:r>
          <w:rPr>
            <w:webHidden/>
          </w:rPr>
          <w:fldChar w:fldCharType="separate"/>
        </w:r>
        <w:r w:rsidR="00061F2E">
          <w:rPr>
            <w:webHidden/>
          </w:rPr>
          <w:t>B-1</w:t>
        </w:r>
        <w:r>
          <w:rPr>
            <w:webHidden/>
          </w:rPr>
          <w:fldChar w:fldCharType="end"/>
        </w:r>
      </w:hyperlink>
    </w:p>
    <w:p w14:paraId="3CEE55CC" w14:textId="23FB213A" w:rsidR="006410B2" w:rsidRDefault="006410B2">
      <w:pPr>
        <w:pStyle w:val="TOC2"/>
        <w:rPr>
          <w:rFonts w:asciiTheme="minorHAnsi" w:hAnsiTheme="minorHAnsi" w:cstheme="minorBidi"/>
          <w:kern w:val="2"/>
          <w:sz w:val="24"/>
          <w:szCs w:val="24"/>
          <w:lang w:val="en-US" w:eastAsia="en-US"/>
          <w14:ligatures w14:val="standardContextual"/>
        </w:rPr>
      </w:pPr>
      <w:hyperlink w:anchor="_Toc213837964" w:history="1">
        <w:r w:rsidRPr="00D952A2">
          <w:rPr>
            <w:rStyle w:val="Hyperlink"/>
          </w:rPr>
          <w:t>Manufacturing, Industrial, and Mining Sectors</w:t>
        </w:r>
        <w:r>
          <w:rPr>
            <w:webHidden/>
          </w:rPr>
          <w:tab/>
        </w:r>
        <w:r>
          <w:rPr>
            <w:webHidden/>
          </w:rPr>
          <w:fldChar w:fldCharType="begin"/>
        </w:r>
        <w:r>
          <w:rPr>
            <w:webHidden/>
          </w:rPr>
          <w:instrText xml:space="preserve"> PAGEREF _Toc213837964 \h </w:instrText>
        </w:r>
        <w:r>
          <w:rPr>
            <w:webHidden/>
          </w:rPr>
        </w:r>
        <w:r>
          <w:rPr>
            <w:webHidden/>
          </w:rPr>
          <w:fldChar w:fldCharType="separate"/>
        </w:r>
        <w:r w:rsidR="00061F2E">
          <w:rPr>
            <w:webHidden/>
          </w:rPr>
          <w:t>B-2</w:t>
        </w:r>
        <w:r>
          <w:rPr>
            <w:webHidden/>
          </w:rPr>
          <w:fldChar w:fldCharType="end"/>
        </w:r>
      </w:hyperlink>
    </w:p>
    <w:p w14:paraId="0AD0B014" w14:textId="1E5E3785" w:rsidR="00076281" w:rsidRPr="009D630C" w:rsidRDefault="00490BA5" w:rsidP="00076281">
      <w:pPr>
        <w:pStyle w:val="Heading8"/>
      </w:pPr>
      <w:r>
        <w:rPr>
          <w:caps/>
          <w:noProof/>
        </w:rPr>
        <w:fldChar w:fldCharType="end"/>
      </w:r>
      <w:r w:rsidR="00076281">
        <w:t>Tables</w:t>
      </w:r>
    </w:p>
    <w:p w14:paraId="1071A610" w14:textId="77777777" w:rsidR="00076281" w:rsidRDefault="00076281">
      <w:pPr>
        <w:pStyle w:val="TableofFigures"/>
        <w:tabs>
          <w:tab w:val="right" w:leader="dot" w:pos="9572"/>
        </w:tabs>
      </w:pPr>
    </w:p>
    <w:p w14:paraId="6AABED88" w14:textId="4263190C" w:rsidR="006410B2" w:rsidRDefault="00076281">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"Table" </w:instrText>
      </w:r>
      <w:r>
        <w:fldChar w:fldCharType="separate"/>
      </w:r>
      <w:hyperlink w:anchor="_Toc213837965" w:history="1">
        <w:r w:rsidR="006410B2" w:rsidRPr="00784873">
          <w:rPr>
            <w:rStyle w:val="Hyperlink"/>
            <w:noProof/>
          </w:rPr>
          <w:t>Table 3</w:t>
        </w:r>
        <w:r w:rsidR="006410B2" w:rsidRPr="00784873">
          <w:rPr>
            <w:rStyle w:val="Hyperlink"/>
            <w:noProof/>
          </w:rPr>
          <w:noBreakHyphen/>
          <w:t>1. Variables to Sub-Indices for the Equity Index</w:t>
        </w:r>
        <w:r w:rsidR="006410B2">
          <w:rPr>
            <w:noProof/>
            <w:webHidden/>
          </w:rPr>
          <w:tab/>
        </w:r>
        <w:r w:rsidR="006410B2">
          <w:rPr>
            <w:noProof/>
            <w:webHidden/>
          </w:rPr>
          <w:fldChar w:fldCharType="begin"/>
        </w:r>
        <w:r w:rsidR="006410B2">
          <w:rPr>
            <w:noProof/>
            <w:webHidden/>
          </w:rPr>
          <w:instrText xml:space="preserve"> PAGEREF _Toc213837965 \h </w:instrText>
        </w:r>
        <w:r w:rsidR="006410B2">
          <w:rPr>
            <w:noProof/>
            <w:webHidden/>
          </w:rPr>
        </w:r>
        <w:r w:rsidR="006410B2">
          <w:rPr>
            <w:noProof/>
            <w:webHidden/>
          </w:rPr>
          <w:fldChar w:fldCharType="separate"/>
        </w:r>
        <w:r w:rsidR="00E16FA0">
          <w:rPr>
            <w:noProof/>
            <w:webHidden/>
          </w:rPr>
          <w:t>9</w:t>
        </w:r>
        <w:r w:rsidR="006410B2">
          <w:rPr>
            <w:noProof/>
            <w:webHidden/>
          </w:rPr>
          <w:fldChar w:fldCharType="end"/>
        </w:r>
      </w:hyperlink>
    </w:p>
    <w:p w14:paraId="60C4742A" w14:textId="0A52E641"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66" w:history="1">
        <w:r w:rsidRPr="00784873">
          <w:rPr>
            <w:rStyle w:val="Hyperlink"/>
            <w:noProof/>
          </w:rPr>
          <w:t>Table 4</w:t>
        </w:r>
        <w:r w:rsidRPr="00784873">
          <w:rPr>
            <w:rStyle w:val="Hyperlink"/>
            <w:noProof/>
          </w:rPr>
          <w:noBreakHyphen/>
          <w:t>1. Variables to Sub-Indices for the Gas Assets Index</w:t>
        </w:r>
        <w:r>
          <w:rPr>
            <w:noProof/>
            <w:webHidden/>
          </w:rPr>
          <w:tab/>
        </w:r>
        <w:r>
          <w:rPr>
            <w:noProof/>
            <w:webHidden/>
          </w:rPr>
          <w:fldChar w:fldCharType="begin"/>
        </w:r>
        <w:r>
          <w:rPr>
            <w:noProof/>
            <w:webHidden/>
          </w:rPr>
          <w:instrText xml:space="preserve"> PAGEREF _Toc213837966 \h </w:instrText>
        </w:r>
        <w:r>
          <w:rPr>
            <w:noProof/>
            <w:webHidden/>
          </w:rPr>
        </w:r>
        <w:r>
          <w:rPr>
            <w:noProof/>
            <w:webHidden/>
          </w:rPr>
          <w:fldChar w:fldCharType="separate"/>
        </w:r>
        <w:r w:rsidR="00E16FA0">
          <w:rPr>
            <w:noProof/>
            <w:webHidden/>
          </w:rPr>
          <w:t>14</w:t>
        </w:r>
        <w:r>
          <w:rPr>
            <w:noProof/>
            <w:webHidden/>
          </w:rPr>
          <w:fldChar w:fldCharType="end"/>
        </w:r>
      </w:hyperlink>
    </w:p>
    <w:p w14:paraId="6BA94F77" w14:textId="7CC68B65"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67" w:history="1">
        <w:r w:rsidRPr="00784873">
          <w:rPr>
            <w:rStyle w:val="Hyperlink"/>
            <w:noProof/>
          </w:rPr>
          <w:t>Table 5</w:t>
        </w:r>
        <w:r w:rsidRPr="00784873">
          <w:rPr>
            <w:rStyle w:val="Hyperlink"/>
            <w:noProof/>
          </w:rPr>
          <w:noBreakHyphen/>
          <w:t>1. Variables to Sub-Indices for the Non-Residential Readiness Decommissioning Index</w:t>
        </w:r>
        <w:r>
          <w:rPr>
            <w:noProof/>
            <w:webHidden/>
          </w:rPr>
          <w:tab/>
        </w:r>
        <w:r>
          <w:rPr>
            <w:noProof/>
            <w:webHidden/>
          </w:rPr>
          <w:fldChar w:fldCharType="begin"/>
        </w:r>
        <w:r>
          <w:rPr>
            <w:noProof/>
            <w:webHidden/>
          </w:rPr>
          <w:instrText xml:space="preserve"> PAGEREF _Toc213837967 \h </w:instrText>
        </w:r>
        <w:r>
          <w:rPr>
            <w:noProof/>
            <w:webHidden/>
          </w:rPr>
        </w:r>
        <w:r>
          <w:rPr>
            <w:noProof/>
            <w:webHidden/>
          </w:rPr>
          <w:fldChar w:fldCharType="separate"/>
        </w:r>
        <w:r w:rsidR="00E16FA0">
          <w:rPr>
            <w:noProof/>
            <w:webHidden/>
          </w:rPr>
          <w:t>20</w:t>
        </w:r>
        <w:r>
          <w:rPr>
            <w:noProof/>
            <w:webHidden/>
          </w:rPr>
          <w:fldChar w:fldCharType="end"/>
        </w:r>
      </w:hyperlink>
    </w:p>
    <w:p w14:paraId="595A6AC3" w14:textId="478C7491"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68" w:history="1">
        <w:r w:rsidRPr="00784873">
          <w:rPr>
            <w:rStyle w:val="Hyperlink"/>
            <w:noProof/>
          </w:rPr>
          <w:t>Table 6</w:t>
        </w:r>
        <w:r w:rsidRPr="00784873">
          <w:rPr>
            <w:rStyle w:val="Hyperlink"/>
            <w:noProof/>
          </w:rPr>
          <w:noBreakHyphen/>
          <w:t>1. Variables to Sub-Indices for the Residential Readiness Decommissioning Index</w:t>
        </w:r>
        <w:r>
          <w:rPr>
            <w:noProof/>
            <w:webHidden/>
          </w:rPr>
          <w:tab/>
        </w:r>
        <w:r>
          <w:rPr>
            <w:noProof/>
            <w:webHidden/>
          </w:rPr>
          <w:fldChar w:fldCharType="begin"/>
        </w:r>
        <w:r>
          <w:rPr>
            <w:noProof/>
            <w:webHidden/>
          </w:rPr>
          <w:instrText xml:space="preserve"> PAGEREF _Toc213837968 \h </w:instrText>
        </w:r>
        <w:r>
          <w:rPr>
            <w:noProof/>
            <w:webHidden/>
          </w:rPr>
        </w:r>
        <w:r>
          <w:rPr>
            <w:noProof/>
            <w:webHidden/>
          </w:rPr>
          <w:fldChar w:fldCharType="separate"/>
        </w:r>
        <w:r w:rsidR="00E16FA0">
          <w:rPr>
            <w:noProof/>
            <w:webHidden/>
          </w:rPr>
          <w:t>22</w:t>
        </w:r>
        <w:r>
          <w:rPr>
            <w:noProof/>
            <w:webHidden/>
          </w:rPr>
          <w:fldChar w:fldCharType="end"/>
        </w:r>
      </w:hyperlink>
    </w:p>
    <w:p w14:paraId="0384B2E8" w14:textId="7CBE8F48" w:rsidR="00CB429E" w:rsidRDefault="00076281" w:rsidP="007B6099">
      <w:pPr>
        <w:pStyle w:val="Heading8"/>
      </w:pPr>
      <w:r>
        <w:fldChar w:fldCharType="end"/>
      </w:r>
    </w:p>
    <w:p w14:paraId="0F0DC844" w14:textId="52B21630" w:rsidR="00CB429E" w:rsidRDefault="00CB429E">
      <w:pPr>
        <w:spacing w:after="200" w:line="276" w:lineRule="auto"/>
        <w:rPr>
          <w:color w:val="0F204B"/>
          <w:sz w:val="26"/>
        </w:rPr>
      </w:pPr>
    </w:p>
    <w:p w14:paraId="3E6E335D" w14:textId="14D01DA4" w:rsidR="007B6099" w:rsidRPr="009D630C" w:rsidRDefault="007B6099" w:rsidP="007B6099">
      <w:pPr>
        <w:pStyle w:val="Heading8"/>
      </w:pPr>
      <w:r>
        <w:t>Figures</w:t>
      </w:r>
    </w:p>
    <w:p w14:paraId="0F8F364C" w14:textId="77777777" w:rsidR="007B6099" w:rsidRDefault="007B6099">
      <w:pPr>
        <w:pStyle w:val="TableofFigures"/>
        <w:tabs>
          <w:tab w:val="right" w:leader="dot" w:pos="9572"/>
        </w:tabs>
      </w:pPr>
    </w:p>
    <w:p w14:paraId="6C8A4E53" w14:textId="7CB15EFC" w:rsidR="006410B2" w:rsidRDefault="007B6099">
      <w:pPr>
        <w:pStyle w:val="TableofFigures"/>
        <w:tabs>
          <w:tab w:val="right" w:leader="dot" w:pos="9572"/>
        </w:tabs>
        <w:rPr>
          <w:rFonts w:asciiTheme="minorHAnsi" w:hAnsiTheme="minorHAnsi" w:cstheme="minorBidi"/>
          <w:noProof/>
          <w:kern w:val="2"/>
          <w:sz w:val="24"/>
          <w:szCs w:val="24"/>
          <w:lang w:val="en-US" w:eastAsia="en-US"/>
          <w14:ligatures w14:val="standardContextual"/>
        </w:rPr>
      </w:pPr>
      <w:r>
        <w:fldChar w:fldCharType="begin"/>
      </w:r>
      <w:r>
        <w:instrText xml:space="preserve"> TOC \h \z \c "Figure" </w:instrText>
      </w:r>
      <w:r>
        <w:fldChar w:fldCharType="separate"/>
      </w:r>
      <w:hyperlink w:anchor="_Toc213837969" w:history="1">
        <w:r w:rsidR="006410B2" w:rsidRPr="00D65D89">
          <w:rPr>
            <w:rStyle w:val="Hyperlink"/>
            <w:noProof/>
          </w:rPr>
          <w:t>Figure 1</w:t>
        </w:r>
        <w:r w:rsidR="006410B2" w:rsidRPr="00D65D89">
          <w:rPr>
            <w:rStyle w:val="Hyperlink"/>
            <w:noProof/>
          </w:rPr>
          <w:noBreakHyphen/>
          <w:t>1. Mapping of Tertiary, Secondary, and Primary Metrics</w:t>
        </w:r>
        <w:r w:rsidR="006410B2">
          <w:rPr>
            <w:noProof/>
            <w:webHidden/>
          </w:rPr>
          <w:tab/>
        </w:r>
        <w:r w:rsidR="006410B2">
          <w:rPr>
            <w:noProof/>
            <w:webHidden/>
          </w:rPr>
          <w:fldChar w:fldCharType="begin"/>
        </w:r>
        <w:r w:rsidR="006410B2">
          <w:rPr>
            <w:noProof/>
            <w:webHidden/>
          </w:rPr>
          <w:instrText xml:space="preserve"> PAGEREF _Toc213837969 \h </w:instrText>
        </w:r>
        <w:r w:rsidR="006410B2">
          <w:rPr>
            <w:noProof/>
            <w:webHidden/>
          </w:rPr>
        </w:r>
        <w:r w:rsidR="006410B2">
          <w:rPr>
            <w:noProof/>
            <w:webHidden/>
          </w:rPr>
          <w:fldChar w:fldCharType="separate"/>
        </w:r>
        <w:r w:rsidR="00E16FA0">
          <w:rPr>
            <w:noProof/>
            <w:webHidden/>
          </w:rPr>
          <w:t>1</w:t>
        </w:r>
        <w:r w:rsidR="006410B2">
          <w:rPr>
            <w:noProof/>
            <w:webHidden/>
          </w:rPr>
          <w:fldChar w:fldCharType="end"/>
        </w:r>
      </w:hyperlink>
    </w:p>
    <w:p w14:paraId="10EBA5D7" w14:textId="4204CE93"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70" w:history="1">
        <w:r w:rsidRPr="00D65D89">
          <w:rPr>
            <w:rStyle w:val="Hyperlink"/>
            <w:noProof/>
          </w:rPr>
          <w:t>Figure 2</w:t>
        </w:r>
        <w:r w:rsidRPr="00D65D89">
          <w:rPr>
            <w:rStyle w:val="Hyperlink"/>
            <w:noProof/>
          </w:rPr>
          <w:noBreakHyphen/>
          <w:t>1. Fisher-Jenks Natural Breaks Optimization</w:t>
        </w:r>
        <w:r>
          <w:rPr>
            <w:noProof/>
            <w:webHidden/>
          </w:rPr>
          <w:tab/>
        </w:r>
        <w:r>
          <w:rPr>
            <w:noProof/>
            <w:webHidden/>
          </w:rPr>
          <w:fldChar w:fldCharType="begin"/>
        </w:r>
        <w:r>
          <w:rPr>
            <w:noProof/>
            <w:webHidden/>
          </w:rPr>
          <w:instrText xml:space="preserve"> PAGEREF _Toc213837970 \h </w:instrText>
        </w:r>
        <w:r>
          <w:rPr>
            <w:noProof/>
            <w:webHidden/>
          </w:rPr>
        </w:r>
        <w:r>
          <w:rPr>
            <w:noProof/>
            <w:webHidden/>
          </w:rPr>
          <w:fldChar w:fldCharType="separate"/>
        </w:r>
        <w:r w:rsidR="00E16FA0">
          <w:rPr>
            <w:noProof/>
            <w:webHidden/>
          </w:rPr>
          <w:t>5</w:t>
        </w:r>
        <w:r>
          <w:rPr>
            <w:noProof/>
            <w:webHidden/>
          </w:rPr>
          <w:fldChar w:fldCharType="end"/>
        </w:r>
      </w:hyperlink>
    </w:p>
    <w:p w14:paraId="3B45DAEF" w14:textId="3F509755"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71" w:history="1">
        <w:r w:rsidRPr="00D65D89">
          <w:rPr>
            <w:rStyle w:val="Hyperlink"/>
            <w:noProof/>
          </w:rPr>
          <w:t>Figure 4</w:t>
        </w:r>
        <w:r w:rsidRPr="00D65D89">
          <w:rPr>
            <w:rStyle w:val="Hyperlink"/>
            <w:noProof/>
          </w:rPr>
          <w:noBreakHyphen/>
          <w:t>1. Gas Assets Assessment Factors</w:t>
        </w:r>
        <w:r>
          <w:rPr>
            <w:noProof/>
            <w:webHidden/>
          </w:rPr>
          <w:tab/>
        </w:r>
        <w:r>
          <w:rPr>
            <w:noProof/>
            <w:webHidden/>
          </w:rPr>
          <w:fldChar w:fldCharType="begin"/>
        </w:r>
        <w:r>
          <w:rPr>
            <w:noProof/>
            <w:webHidden/>
          </w:rPr>
          <w:instrText xml:space="preserve"> PAGEREF _Toc213837971 \h </w:instrText>
        </w:r>
        <w:r>
          <w:rPr>
            <w:noProof/>
            <w:webHidden/>
          </w:rPr>
        </w:r>
        <w:r>
          <w:rPr>
            <w:noProof/>
            <w:webHidden/>
          </w:rPr>
          <w:fldChar w:fldCharType="separate"/>
        </w:r>
        <w:r w:rsidR="00E16FA0">
          <w:rPr>
            <w:noProof/>
            <w:webHidden/>
          </w:rPr>
          <w:t>13</w:t>
        </w:r>
        <w:r>
          <w:rPr>
            <w:noProof/>
            <w:webHidden/>
          </w:rPr>
          <w:fldChar w:fldCharType="end"/>
        </w:r>
      </w:hyperlink>
    </w:p>
    <w:p w14:paraId="01ECD4A6" w14:textId="3D8FB44A" w:rsidR="006410B2" w:rsidRDefault="006410B2">
      <w:pPr>
        <w:pStyle w:val="TableofFigures"/>
        <w:tabs>
          <w:tab w:val="right" w:leader="dot" w:pos="9572"/>
        </w:tabs>
        <w:rPr>
          <w:rFonts w:asciiTheme="minorHAnsi" w:hAnsiTheme="minorHAnsi" w:cstheme="minorBidi"/>
          <w:noProof/>
          <w:kern w:val="2"/>
          <w:sz w:val="24"/>
          <w:szCs w:val="24"/>
          <w:lang w:val="en-US" w:eastAsia="en-US"/>
          <w14:ligatures w14:val="standardContextual"/>
        </w:rPr>
      </w:pPr>
      <w:hyperlink w:anchor="_Toc213837972" w:history="1">
        <w:r w:rsidRPr="00D65D89">
          <w:rPr>
            <w:rStyle w:val="Hyperlink"/>
            <w:noProof/>
          </w:rPr>
          <w:t>Figure 7</w:t>
        </w:r>
        <w:r w:rsidRPr="00D65D89">
          <w:rPr>
            <w:rStyle w:val="Hyperlink"/>
            <w:noProof/>
          </w:rPr>
          <w:noBreakHyphen/>
          <w:t>1. Graphical Illustration of How Different Secondary Metrics (Index Layers) are Additively Combined to Create Combined Index Layers Within the Tool</w:t>
        </w:r>
        <w:r>
          <w:rPr>
            <w:noProof/>
            <w:webHidden/>
          </w:rPr>
          <w:tab/>
        </w:r>
        <w:r>
          <w:rPr>
            <w:noProof/>
            <w:webHidden/>
          </w:rPr>
          <w:fldChar w:fldCharType="begin"/>
        </w:r>
        <w:r>
          <w:rPr>
            <w:noProof/>
            <w:webHidden/>
          </w:rPr>
          <w:instrText xml:space="preserve"> PAGEREF _Toc213837972 \h </w:instrText>
        </w:r>
        <w:r>
          <w:rPr>
            <w:noProof/>
            <w:webHidden/>
          </w:rPr>
        </w:r>
        <w:r>
          <w:rPr>
            <w:noProof/>
            <w:webHidden/>
          </w:rPr>
          <w:fldChar w:fldCharType="separate"/>
        </w:r>
        <w:r w:rsidR="00E16FA0">
          <w:rPr>
            <w:noProof/>
            <w:webHidden/>
          </w:rPr>
          <w:t>26</w:t>
        </w:r>
        <w:r>
          <w:rPr>
            <w:noProof/>
            <w:webHidden/>
          </w:rPr>
          <w:fldChar w:fldCharType="end"/>
        </w:r>
      </w:hyperlink>
    </w:p>
    <w:p w14:paraId="4897EC2F" w14:textId="75A6A544" w:rsidR="000426A6" w:rsidRDefault="007B6099">
      <w:r>
        <w:fldChar w:fldCharType="end"/>
      </w:r>
    </w:p>
    <w:p w14:paraId="66A62CC5" w14:textId="77777777" w:rsidR="000426A6" w:rsidRPr="009D630C" w:rsidRDefault="000426A6">
      <w:pPr>
        <w:sectPr w:rsidR="000426A6" w:rsidRPr="009D630C" w:rsidSect="000426A6">
          <w:headerReference w:type="even" r:id="rId13"/>
          <w:headerReference w:type="default" r:id="rId14"/>
          <w:footerReference w:type="even" r:id="rId15"/>
          <w:footerReference w:type="default" r:id="rId16"/>
          <w:headerReference w:type="first" r:id="rId17"/>
          <w:footerReference w:type="first" r:id="rId18"/>
          <w:pgSz w:w="11907" w:h="16839"/>
          <w:pgMar w:top="1757" w:right="1134" w:bottom="1361" w:left="1191" w:header="774" w:footer="567" w:gutter="0"/>
          <w:pgNumType w:fmt="lowerRoman" w:start="1"/>
          <w:cols w:space="708"/>
          <w:docGrid w:linePitch="360"/>
        </w:sectPr>
      </w:pPr>
    </w:p>
    <w:p w14:paraId="63E7B8E4" w14:textId="580CF601" w:rsidR="009D630C" w:rsidRDefault="00240D84" w:rsidP="0080520C">
      <w:pPr>
        <w:pStyle w:val="Heading1"/>
      </w:pPr>
      <w:bookmarkStart w:id="0" w:name="_Toc213837935"/>
      <w:r>
        <w:t>Introduction</w:t>
      </w:r>
      <w:bookmarkEnd w:id="0"/>
    </w:p>
    <w:p w14:paraId="11471F48" w14:textId="65C0DEE0" w:rsidR="00711751" w:rsidRDefault="00712E37" w:rsidP="005C3CFD">
      <w:pPr>
        <w:pStyle w:val="BodyText"/>
      </w:pPr>
      <w:r>
        <w:t xml:space="preserve">In support of the </w:t>
      </w:r>
      <w:r w:rsidR="002C1C57" w:rsidRPr="002C1C57">
        <w:t>development of a data-driven tool to support strategic and equitable decommissioning of gas infrastructure</w:t>
      </w:r>
      <w:r w:rsidR="002C1C57">
        <w:t>, the DNV team</w:t>
      </w:r>
      <w:r w:rsidR="00CD5059">
        <w:t xml:space="preserve"> </w:t>
      </w:r>
      <w:r w:rsidR="00CD5059" w:rsidRPr="00CD5059">
        <w:t>coordinate</w:t>
      </w:r>
      <w:r w:rsidR="00CD5059">
        <w:t>d</w:t>
      </w:r>
      <w:r w:rsidR="00CD5059" w:rsidRPr="00CD5059">
        <w:t xml:space="preserve"> closely with the CEC and other stakeholders to develop </w:t>
      </w:r>
      <w:r w:rsidR="00DF7CBB">
        <w:t>indices and sub-indices</w:t>
      </w:r>
      <w:r w:rsidR="00CD5059" w:rsidRPr="00CD5059">
        <w:t xml:space="preserve"> that summarize the metrics collected</w:t>
      </w:r>
      <w:r w:rsidR="005C3CFD">
        <w:t xml:space="preserve"> </w:t>
      </w:r>
      <w:r w:rsidR="00094BEC" w:rsidRPr="00094BEC">
        <w:t xml:space="preserve">in </w:t>
      </w:r>
      <w:r w:rsidR="002E135F">
        <w:t>the following tasks: Task 2-Gas Assets Assessment;</w:t>
      </w:r>
      <w:r w:rsidR="00094BEC" w:rsidRPr="00094BEC">
        <w:t xml:space="preserve"> Task 3</w:t>
      </w:r>
      <w:r w:rsidR="002E135F">
        <w:t>-Decommissioning Readiness;</w:t>
      </w:r>
      <w:r w:rsidR="00094BEC" w:rsidRPr="00094BEC">
        <w:t xml:space="preserve"> and Task </w:t>
      </w:r>
      <w:r w:rsidR="00E20E49">
        <w:t>4-</w:t>
      </w:r>
      <w:r w:rsidR="00641AB4">
        <w:t>Community Resources and Equitability Assessment</w:t>
      </w:r>
      <w:r w:rsidR="00094BEC" w:rsidRPr="00094BEC">
        <w:t xml:space="preserve">. The </w:t>
      </w:r>
      <w:r w:rsidR="000D283A">
        <w:t>sub-indices (</w:t>
      </w:r>
      <w:r w:rsidR="00094BEC" w:rsidRPr="00094BEC">
        <w:t>secondary metrics</w:t>
      </w:r>
      <w:r w:rsidR="000D283A">
        <w:t>)</w:t>
      </w:r>
      <w:r w:rsidR="00094BEC" w:rsidRPr="00094BEC">
        <w:t xml:space="preserve"> </w:t>
      </w:r>
      <w:r w:rsidR="00641AB4">
        <w:t>were</w:t>
      </w:r>
      <w:r w:rsidR="00094BEC" w:rsidRPr="00094BEC">
        <w:t xml:space="preserve"> created to summarize the</w:t>
      </w:r>
      <w:r w:rsidR="000D283A">
        <w:t xml:space="preserve"> variables</w:t>
      </w:r>
      <w:r w:rsidR="00094BEC" w:rsidRPr="00094BEC">
        <w:t xml:space="preserve"> </w:t>
      </w:r>
      <w:r w:rsidR="000D283A">
        <w:t>(</w:t>
      </w:r>
      <w:r w:rsidR="00094BEC" w:rsidRPr="00094BEC">
        <w:t>primary metrics</w:t>
      </w:r>
      <w:r w:rsidR="000D283A">
        <w:t>)</w:t>
      </w:r>
      <w:r w:rsidR="00094BEC" w:rsidRPr="00094BEC">
        <w:t xml:space="preserve"> collected within each of these tasks. The purpose of the </w:t>
      </w:r>
      <w:r w:rsidR="00DF7CBB">
        <w:t>index</w:t>
      </w:r>
      <w:r w:rsidR="00094BEC" w:rsidRPr="00094BEC">
        <w:t xml:space="preserve"> is to effectively aggregate the </w:t>
      </w:r>
      <w:r w:rsidR="00954477">
        <w:t>sub-indices</w:t>
      </w:r>
      <w:r w:rsidR="00094BEC" w:rsidRPr="00094BEC">
        <w:t>, providing an overall assessment of gas decommissioning risks, costs</w:t>
      </w:r>
      <w:r w:rsidR="004F3A7F">
        <w:t>,</w:t>
      </w:r>
      <w:r w:rsidR="00094BEC" w:rsidRPr="00094BEC">
        <w:t xml:space="preserve"> and benefits. </w:t>
      </w:r>
    </w:p>
    <w:p w14:paraId="734AC262" w14:textId="67DB63BC" w:rsidR="008C7C25" w:rsidRDefault="006867A4" w:rsidP="005C3CFD">
      <w:pPr>
        <w:pStyle w:val="BodyText"/>
      </w:pPr>
      <w:r>
        <w:t xml:space="preserve">In this </w:t>
      </w:r>
      <w:r w:rsidR="00954477">
        <w:t xml:space="preserve">Indices and Sub-indices Memorandum (also the </w:t>
      </w:r>
      <w:r w:rsidR="008C7C25" w:rsidRPr="008C7C25">
        <w:t>Secondary and Tertiary Metrics Report</w:t>
      </w:r>
      <w:r w:rsidR="00954477">
        <w:t xml:space="preserve"> in the agreement documentation)</w:t>
      </w:r>
      <w:r>
        <w:t xml:space="preserve">, we </w:t>
      </w:r>
      <w:r w:rsidR="008C7C25" w:rsidRPr="008C7C25">
        <w:t xml:space="preserve">describe the design and development of the </w:t>
      </w:r>
      <w:r w:rsidR="00954477">
        <w:t>indices and sub-indices</w:t>
      </w:r>
      <w:r w:rsidR="00FF6814">
        <w:t xml:space="preserve"> as well as the </w:t>
      </w:r>
      <w:r w:rsidR="008C7C25" w:rsidRPr="008C7C25">
        <w:t xml:space="preserve">methods </w:t>
      </w:r>
      <w:r w:rsidR="00FF6814">
        <w:t xml:space="preserve">used </w:t>
      </w:r>
      <w:r w:rsidR="008C7C25" w:rsidRPr="008C7C25">
        <w:t>for their estimation.</w:t>
      </w:r>
      <w:r w:rsidR="00DC1944">
        <w:t xml:space="preserve"> </w:t>
      </w:r>
      <w:r w:rsidR="009D3562">
        <w:fldChar w:fldCharType="begin"/>
      </w:r>
      <w:r w:rsidR="009D3562">
        <w:instrText xml:space="preserve"> REF _Ref201137055 \h </w:instrText>
      </w:r>
      <w:r w:rsidR="009D3562">
        <w:fldChar w:fldCharType="separate"/>
      </w:r>
      <w:r w:rsidR="00D66740">
        <w:t xml:space="preserve">Figure </w:t>
      </w:r>
      <w:r w:rsidR="00D66740">
        <w:rPr>
          <w:noProof/>
        </w:rPr>
        <w:t>1</w:t>
      </w:r>
      <w:r w:rsidR="00D66740">
        <w:noBreakHyphen/>
      </w:r>
      <w:r w:rsidR="00D66740">
        <w:rPr>
          <w:noProof/>
        </w:rPr>
        <w:t>1</w:t>
      </w:r>
      <w:r w:rsidR="009D3562">
        <w:fldChar w:fldCharType="end"/>
      </w:r>
      <w:r w:rsidR="009D3562">
        <w:t xml:space="preserve"> </w:t>
      </w:r>
      <w:r w:rsidR="00554A8B">
        <w:t xml:space="preserve">provides a listing of the </w:t>
      </w:r>
      <w:r w:rsidR="00D337A4">
        <w:t xml:space="preserve">indices, sub-indices and variables (respectively the </w:t>
      </w:r>
      <w:r w:rsidR="00554A8B">
        <w:t>tertiary</w:t>
      </w:r>
      <w:r w:rsidR="006671CC">
        <w:t>, secondary, and primary</w:t>
      </w:r>
      <w:r w:rsidR="00554A8B">
        <w:t xml:space="preserve"> metrics</w:t>
      </w:r>
      <w:r w:rsidR="00D337A4">
        <w:t>)</w:t>
      </w:r>
      <w:r w:rsidR="005868CF">
        <w:t>, illustrating the relationship between the</w:t>
      </w:r>
      <w:r w:rsidR="00732338">
        <w:t>se metrics.</w:t>
      </w:r>
      <w:r w:rsidR="005A62D0">
        <w:t xml:space="preserve"> These are also schematically shown in </w:t>
      </w:r>
      <w:r w:rsidR="005B7705">
        <w:fldChar w:fldCharType="begin"/>
      </w:r>
      <w:r w:rsidR="005B7705">
        <w:instrText xml:space="preserve"> REF _Ref213830070 \r \h </w:instrText>
      </w:r>
      <w:r w:rsidR="005B7705">
        <w:fldChar w:fldCharType="separate"/>
      </w:r>
      <w:r w:rsidR="005B7705">
        <w:t>Appendix A</w:t>
      </w:r>
      <w:r w:rsidR="005B7705">
        <w:fldChar w:fldCharType="end"/>
      </w:r>
      <w:r w:rsidR="003313DC">
        <w:t xml:space="preserve">: </w:t>
      </w:r>
      <w:r w:rsidR="003313DC">
        <w:fldChar w:fldCharType="begin"/>
      </w:r>
      <w:r w:rsidR="003313DC">
        <w:instrText xml:space="preserve"> REF _Ref213830070 \h </w:instrText>
      </w:r>
      <w:r w:rsidR="003313DC">
        <w:fldChar w:fldCharType="separate"/>
      </w:r>
      <w:r w:rsidR="007A2D4E">
        <w:t xml:space="preserve">Network Diagram </w:t>
      </w:r>
      <w:r w:rsidR="007A2D4E" w:rsidRPr="000E5414">
        <w:t xml:space="preserve">Depicting </w:t>
      </w:r>
      <w:r w:rsidR="007A2D4E">
        <w:t>the</w:t>
      </w:r>
      <w:r w:rsidR="007A2D4E" w:rsidRPr="000E5414">
        <w:t xml:space="preserve"> Mapping </w:t>
      </w:r>
      <w:r w:rsidR="007A2D4E">
        <w:t>of</w:t>
      </w:r>
      <w:r w:rsidR="007A2D4E" w:rsidRPr="000E5414">
        <w:t xml:space="preserve"> </w:t>
      </w:r>
      <w:r w:rsidR="007A2D4E">
        <w:t>Variables</w:t>
      </w:r>
      <w:r w:rsidR="007A2D4E" w:rsidRPr="000E5414">
        <w:t xml:space="preserve"> </w:t>
      </w:r>
      <w:r w:rsidR="007A2D4E">
        <w:t>to</w:t>
      </w:r>
      <w:r w:rsidR="007A2D4E" w:rsidRPr="000E5414">
        <w:t xml:space="preserve"> S</w:t>
      </w:r>
      <w:r w:rsidR="007A2D4E">
        <w:t>ub-indices and Indic</w:t>
      </w:r>
      <w:r w:rsidR="007A2D4E" w:rsidRPr="000E5414">
        <w:t>es</w:t>
      </w:r>
      <w:r w:rsidR="003313DC">
        <w:fldChar w:fldCharType="end"/>
      </w:r>
      <w:r w:rsidR="003313DC">
        <w:t>.</w:t>
      </w:r>
    </w:p>
    <w:p w14:paraId="0C5CE777" w14:textId="0235D86D" w:rsidR="003B7EC0" w:rsidRPr="003B7EC0" w:rsidRDefault="006671CC" w:rsidP="006231BC">
      <w:pPr>
        <w:pStyle w:val="FigureTitle"/>
      </w:pPr>
      <w:bookmarkStart w:id="1" w:name="_Ref201137055"/>
      <w:bookmarkStart w:id="2" w:name="_Toc213837969"/>
      <w:r>
        <w:t xml:space="preserve">Figure </w:t>
      </w:r>
      <w:r w:rsidR="00EC2D20">
        <w:fldChar w:fldCharType="begin"/>
      </w:r>
      <w:r w:rsidR="00EC2D20">
        <w:instrText xml:space="preserve"> STYLEREF 1 \s </w:instrText>
      </w:r>
      <w:r w:rsidR="00EC2D20">
        <w:fldChar w:fldCharType="separate"/>
      </w:r>
      <w:r w:rsidR="00EC2D20">
        <w:rPr>
          <w:noProof/>
        </w:rPr>
        <w:t>1</w:t>
      </w:r>
      <w:r w:rsidR="00EC2D20">
        <w:fldChar w:fldCharType="end"/>
      </w:r>
      <w:r w:rsidR="00EC2D20">
        <w:noBreakHyphen/>
      </w:r>
      <w:r w:rsidR="00EC2D20">
        <w:fldChar w:fldCharType="begin"/>
      </w:r>
      <w:r w:rsidR="00EC2D20">
        <w:instrText xml:space="preserve"> SEQ Figure \* ARABIC \s 1 </w:instrText>
      </w:r>
      <w:r w:rsidR="00EC2D20">
        <w:fldChar w:fldCharType="separate"/>
      </w:r>
      <w:r w:rsidR="00EC2D20">
        <w:rPr>
          <w:noProof/>
        </w:rPr>
        <w:t>1</w:t>
      </w:r>
      <w:r w:rsidR="00EC2D20">
        <w:fldChar w:fldCharType="end"/>
      </w:r>
      <w:bookmarkEnd w:id="1"/>
      <w:r w:rsidR="00651093">
        <w:t xml:space="preserve">. </w:t>
      </w:r>
      <w:r w:rsidR="003B7EC0">
        <w:t>Mapping of Tertiary</w:t>
      </w:r>
      <w:r>
        <w:t>, Secondary, and Primary</w:t>
      </w:r>
      <w:r w:rsidR="003B7EC0">
        <w:t xml:space="preserve"> Metrics</w:t>
      </w:r>
      <w:bookmarkEnd w:id="2"/>
    </w:p>
    <w:p w14:paraId="7C7415B5" w14:textId="0A8DF318" w:rsidR="007B4D16" w:rsidRDefault="00F02AF0" w:rsidP="007B4D16">
      <w:pPr>
        <w:pStyle w:val="BodyText"/>
      </w:pPr>
      <w:r>
        <w:rPr>
          <w:noProof/>
        </w:rPr>
        <w:drawing>
          <wp:inline distT="0" distB="0" distL="0" distR="0" wp14:anchorId="02B3917A" wp14:editId="3CEBBC27">
            <wp:extent cx="5943612" cy="5160274"/>
            <wp:effectExtent l="0" t="0" r="0" b="0"/>
            <wp:docPr id="1797026649" name="Picture 1" descr="Image of a table showing the four indices that make up the combined index used in the tool, their subindices and where to find the variables that were fed into the sub-ind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6649" name="Picture 1" descr="Image of a table showing the four indices that make up the combined index used in the tool, their subindices and where to find the variables that were fed into the sub-indice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12" cy="5160274"/>
                    </a:xfrm>
                    <a:prstGeom prst="rect">
                      <a:avLst/>
                    </a:prstGeom>
                  </pic:spPr>
                </pic:pic>
              </a:graphicData>
            </a:graphic>
          </wp:inline>
        </w:drawing>
      </w:r>
    </w:p>
    <w:p w14:paraId="11BC47F5" w14:textId="12790F77" w:rsidR="00A23A2E" w:rsidRDefault="00C44494" w:rsidP="002965A6">
      <w:pPr>
        <w:pStyle w:val="BodyText"/>
      </w:pPr>
      <w:r>
        <w:t>The DNV team created t</w:t>
      </w:r>
      <w:r w:rsidR="006B27D4" w:rsidRPr="006B27D4">
        <w:t xml:space="preserve">he </w:t>
      </w:r>
      <w:r w:rsidR="00223378">
        <w:t>sub-indices</w:t>
      </w:r>
      <w:r w:rsidR="006B27D4" w:rsidRPr="006B27D4">
        <w:t xml:space="preserve"> to summarize the </w:t>
      </w:r>
      <w:r w:rsidR="002E68F1">
        <w:t>variables</w:t>
      </w:r>
      <w:r w:rsidR="006B27D4" w:rsidRPr="006B27D4">
        <w:t xml:space="preserve"> collected within each of the tasks</w:t>
      </w:r>
      <w:r w:rsidR="00353D18">
        <w:t xml:space="preserve"> referenced above</w:t>
      </w:r>
      <w:r w:rsidR="006B27D4" w:rsidRPr="006B27D4">
        <w:t xml:space="preserve">. The purpose of the </w:t>
      </w:r>
      <w:r w:rsidR="00974CE3">
        <w:t>indices</w:t>
      </w:r>
      <w:r w:rsidR="006B27D4" w:rsidRPr="006B27D4">
        <w:t xml:space="preserve"> is to effectively aggregate the secondary metrics</w:t>
      </w:r>
      <w:r w:rsidR="00974CE3">
        <w:t xml:space="preserve"> (sub-indices)</w:t>
      </w:r>
      <w:r w:rsidR="006B27D4" w:rsidRPr="006B27D4">
        <w:t>, providing an overall assessment of gas decommissioning risks, costs</w:t>
      </w:r>
      <w:r w:rsidR="00353D18">
        <w:t>,</w:t>
      </w:r>
      <w:r w:rsidR="006B27D4" w:rsidRPr="006B27D4">
        <w:t xml:space="preserve"> and benefits.</w:t>
      </w:r>
      <w:r w:rsidR="00660F16">
        <w:t xml:space="preserve"> </w:t>
      </w:r>
    </w:p>
    <w:p w14:paraId="6A97C7F9" w14:textId="3ECBFAAA" w:rsidR="002965A6" w:rsidRDefault="00353D18" w:rsidP="002965A6">
      <w:pPr>
        <w:pStyle w:val="BodyText"/>
      </w:pPr>
      <w:r>
        <w:t>Our</w:t>
      </w:r>
      <w:r w:rsidR="002965A6">
        <w:t xml:space="preserve"> approach </w:t>
      </w:r>
      <w:r w:rsidR="004912E0">
        <w:t>for developing the</w:t>
      </w:r>
      <w:r w:rsidR="00223378">
        <w:t xml:space="preserve"> indices and sub-indices</w:t>
      </w:r>
      <w:r w:rsidR="003A133F">
        <w:t xml:space="preserve"> </w:t>
      </w:r>
      <w:r w:rsidR="00BD6D01">
        <w:t>included the following</w:t>
      </w:r>
      <w:r w:rsidR="002965A6">
        <w:t xml:space="preserve">: </w:t>
      </w:r>
    </w:p>
    <w:p w14:paraId="260C3281" w14:textId="6D88E142" w:rsidR="002965A6" w:rsidRPr="002965A6" w:rsidRDefault="00BD6D01" w:rsidP="00422189">
      <w:pPr>
        <w:pStyle w:val="Bullet1"/>
      </w:pPr>
      <w:r>
        <w:t>Integrating data</w:t>
      </w:r>
      <w:r w:rsidR="002965A6">
        <w:t xml:space="preserve"> from multiple sources that quantify different issues of concern</w:t>
      </w:r>
    </w:p>
    <w:p w14:paraId="3CFA4226" w14:textId="010D8634" w:rsidR="002965A6" w:rsidRPr="002965A6" w:rsidRDefault="0040377B" w:rsidP="00422189">
      <w:pPr>
        <w:pStyle w:val="Bullet1"/>
      </w:pPr>
      <w:r>
        <w:t>Collecting</w:t>
      </w:r>
      <w:r w:rsidR="002965A6">
        <w:t xml:space="preserve"> variables that reflect common themes </w:t>
      </w:r>
      <w:r>
        <w:t>and combining them</w:t>
      </w:r>
      <w:r w:rsidR="002965A6">
        <w:t xml:space="preserve"> into index layers</w:t>
      </w:r>
      <w:r w:rsidR="005B77E8">
        <w:t xml:space="preserve"> (</w:t>
      </w:r>
      <w:r w:rsidR="00223378">
        <w:t>sub-indices</w:t>
      </w:r>
      <w:r w:rsidR="005B77E8">
        <w:t>)</w:t>
      </w:r>
    </w:p>
    <w:p w14:paraId="67C889FD" w14:textId="37F148E0" w:rsidR="002965A6" w:rsidRPr="002965A6" w:rsidRDefault="0040377B" w:rsidP="00422189">
      <w:pPr>
        <w:pStyle w:val="Bullet1"/>
      </w:pPr>
      <w:r>
        <w:t>Merging these</w:t>
      </w:r>
      <w:r w:rsidR="002965A6">
        <w:t xml:space="preserve"> index layers into a single composite index </w:t>
      </w:r>
      <w:r w:rsidR="005B77E8">
        <w:t>(</w:t>
      </w:r>
      <w:r w:rsidR="0007110D">
        <w:t>indices</w:t>
      </w:r>
      <w:r w:rsidR="005B77E8">
        <w:t>)</w:t>
      </w:r>
    </w:p>
    <w:p w14:paraId="03B4E980" w14:textId="19407385" w:rsidR="002965A6" w:rsidRDefault="00974CE3" w:rsidP="00422189">
      <w:pPr>
        <w:pStyle w:val="Bullet1Last"/>
      </w:pPr>
      <w:r>
        <w:t xml:space="preserve">Assigning </w:t>
      </w:r>
      <w:r w:rsidR="0040377B">
        <w:t xml:space="preserve">these indices </w:t>
      </w:r>
      <w:r w:rsidR="002965A6">
        <w:t>standard numerical scores that were normalized from the different units used in the underlying variables</w:t>
      </w:r>
    </w:p>
    <w:p w14:paraId="42633AA7" w14:textId="777197DA" w:rsidR="003604FC" w:rsidRDefault="003604FC" w:rsidP="008266FB">
      <w:pPr>
        <w:pStyle w:val="BodyText"/>
      </w:pPr>
      <w:r>
        <w:t xml:space="preserve">The </w:t>
      </w:r>
      <w:r w:rsidR="003A133F">
        <w:t>report</w:t>
      </w:r>
      <w:r>
        <w:t xml:space="preserve"> sections are organized as follows:</w:t>
      </w:r>
    </w:p>
    <w:p w14:paraId="34726E05" w14:textId="348DEC66" w:rsidR="00BB6EDF" w:rsidRDefault="007145F5" w:rsidP="00422189">
      <w:pPr>
        <w:pStyle w:val="Bullet1"/>
      </w:pPr>
      <w:r w:rsidRPr="6036F176">
        <w:rPr>
          <w:b/>
          <w:bCs/>
          <w:i/>
          <w:iCs/>
        </w:rPr>
        <w:t>Section 2</w:t>
      </w:r>
      <w:r w:rsidR="008A6B58" w:rsidRPr="6036F176">
        <w:rPr>
          <w:b/>
          <w:bCs/>
          <w:i/>
          <w:iCs/>
        </w:rPr>
        <w:t>:</w:t>
      </w:r>
      <w:r w:rsidRPr="6036F176">
        <w:rPr>
          <w:b/>
          <w:bCs/>
          <w:i/>
          <w:iCs/>
        </w:rPr>
        <w:t xml:space="preserve"> </w:t>
      </w:r>
      <w:r w:rsidRPr="6036F176">
        <w:rPr>
          <w:b/>
          <w:bCs/>
          <w:i/>
          <w:iCs/>
        </w:rPr>
        <w:fldChar w:fldCharType="begin"/>
      </w:r>
      <w:r w:rsidRPr="6036F176">
        <w:rPr>
          <w:b/>
          <w:bCs/>
          <w:i/>
          <w:iCs/>
        </w:rPr>
        <w:instrText xml:space="preserve"> REF _Ref197533546 \h </w:instrText>
      </w:r>
      <w:r w:rsidR="008928EB" w:rsidRPr="6036F176">
        <w:rPr>
          <w:b/>
          <w:bCs/>
          <w:i/>
          <w:iCs/>
        </w:rPr>
        <w:instrText xml:space="preserve"> \* MERGEFORMAT </w:instrText>
      </w:r>
      <w:r w:rsidRPr="6036F176">
        <w:rPr>
          <w:b/>
          <w:bCs/>
          <w:i/>
          <w:iCs/>
        </w:rPr>
      </w:r>
      <w:r w:rsidRPr="6036F176">
        <w:rPr>
          <w:b/>
          <w:bCs/>
          <w:i/>
          <w:iCs/>
        </w:rPr>
        <w:fldChar w:fldCharType="separate"/>
      </w:r>
      <w:r w:rsidR="00D66740" w:rsidRPr="6036F176">
        <w:rPr>
          <w:b/>
          <w:bCs/>
          <w:i/>
          <w:iCs/>
        </w:rPr>
        <w:t>Methods of Estimation</w:t>
      </w:r>
      <w:r w:rsidRPr="6036F176">
        <w:rPr>
          <w:b/>
          <w:bCs/>
          <w:i/>
          <w:iCs/>
        </w:rPr>
        <w:fldChar w:fldCharType="end"/>
      </w:r>
      <w:r>
        <w:t xml:space="preserve"> provides</w:t>
      </w:r>
      <w:r w:rsidR="006551E0">
        <w:t xml:space="preserve"> a description of the methods of estimation </w:t>
      </w:r>
      <w:r w:rsidR="00C17B07">
        <w:t>used to determine the analytical framework, value scaling, and criteria weighting.</w:t>
      </w:r>
    </w:p>
    <w:p w14:paraId="323C5F71" w14:textId="69126BE9" w:rsidR="00436E64" w:rsidRDefault="00436E64" w:rsidP="00422189">
      <w:pPr>
        <w:pStyle w:val="Bullet1"/>
      </w:pPr>
      <w:r w:rsidRPr="6036F176">
        <w:rPr>
          <w:b/>
          <w:bCs/>
          <w:i/>
          <w:iCs/>
        </w:rPr>
        <w:t xml:space="preserve">Section 3: </w:t>
      </w:r>
      <w:r w:rsidRPr="6036F176">
        <w:rPr>
          <w:b/>
          <w:bCs/>
          <w:i/>
          <w:iCs/>
        </w:rPr>
        <w:fldChar w:fldCharType="begin"/>
      </w:r>
      <w:r w:rsidRPr="6036F176">
        <w:rPr>
          <w:b/>
          <w:bCs/>
          <w:i/>
          <w:iCs/>
        </w:rPr>
        <w:instrText xml:space="preserve"> REF _Ref197944839 \h  \* MERGEFORMAT </w:instrText>
      </w:r>
      <w:r w:rsidRPr="6036F176">
        <w:rPr>
          <w:b/>
          <w:bCs/>
          <w:i/>
          <w:iCs/>
        </w:rPr>
      </w:r>
      <w:r w:rsidRPr="6036F176">
        <w:rPr>
          <w:b/>
          <w:bCs/>
          <w:i/>
          <w:iCs/>
        </w:rPr>
        <w:fldChar w:fldCharType="separate"/>
      </w:r>
      <w:r w:rsidR="00D66740" w:rsidRPr="6036F176">
        <w:rPr>
          <w:b/>
          <w:bCs/>
          <w:i/>
          <w:iCs/>
        </w:rPr>
        <w:t>Equity Index</w:t>
      </w:r>
      <w:r w:rsidRPr="6036F176">
        <w:rPr>
          <w:b/>
          <w:bCs/>
          <w:i/>
          <w:iCs/>
        </w:rPr>
        <w:fldChar w:fldCharType="end"/>
      </w:r>
      <w:r>
        <w:t xml:space="preserve"> </w:t>
      </w:r>
      <w:r w:rsidRPr="00F42FFA">
        <w:t xml:space="preserve">provides an overview, description and rationale for the methodology, and data resources used for the </w:t>
      </w:r>
      <w:r>
        <w:t>equity</w:t>
      </w:r>
      <w:r w:rsidRPr="00F42FFA">
        <w:t xml:space="preserve"> index.</w:t>
      </w:r>
    </w:p>
    <w:p w14:paraId="2CC09991" w14:textId="78D73ABF" w:rsidR="008A6B58" w:rsidRDefault="008A6B58" w:rsidP="00422189">
      <w:pPr>
        <w:pStyle w:val="Bullet1"/>
      </w:pPr>
      <w:r w:rsidRPr="6036F176">
        <w:rPr>
          <w:b/>
          <w:bCs/>
          <w:i/>
          <w:iCs/>
        </w:rPr>
        <w:t xml:space="preserve">Section </w:t>
      </w:r>
      <w:r w:rsidR="00436E64" w:rsidRPr="6036F176">
        <w:rPr>
          <w:b/>
          <w:bCs/>
          <w:i/>
          <w:iCs/>
        </w:rPr>
        <w:t>4</w:t>
      </w:r>
      <w:r w:rsidRPr="6036F176">
        <w:rPr>
          <w:b/>
          <w:bCs/>
          <w:i/>
          <w:iCs/>
        </w:rPr>
        <w:t xml:space="preserve">: </w:t>
      </w:r>
      <w:r w:rsidRPr="6036F176">
        <w:rPr>
          <w:b/>
          <w:bCs/>
          <w:i/>
          <w:iCs/>
        </w:rPr>
        <w:fldChar w:fldCharType="begin"/>
      </w:r>
      <w:r w:rsidRPr="6036F176">
        <w:rPr>
          <w:b/>
          <w:bCs/>
          <w:i/>
          <w:iCs/>
        </w:rPr>
        <w:instrText xml:space="preserve"> REF _Ref197944825 \h </w:instrText>
      </w:r>
      <w:r w:rsidR="008928EB" w:rsidRPr="6036F176">
        <w:rPr>
          <w:b/>
          <w:bCs/>
          <w:i/>
          <w:iCs/>
        </w:rPr>
        <w:instrText xml:space="preserve"> \* MERGEFORMAT </w:instrText>
      </w:r>
      <w:r w:rsidRPr="6036F176">
        <w:rPr>
          <w:b/>
          <w:bCs/>
          <w:i/>
          <w:iCs/>
        </w:rPr>
      </w:r>
      <w:r w:rsidRPr="6036F176">
        <w:rPr>
          <w:b/>
          <w:bCs/>
          <w:i/>
          <w:iCs/>
        </w:rPr>
        <w:fldChar w:fldCharType="separate"/>
      </w:r>
      <w:r w:rsidR="00D66740" w:rsidRPr="6036F176">
        <w:rPr>
          <w:b/>
          <w:bCs/>
          <w:i/>
          <w:iCs/>
        </w:rPr>
        <w:t>Gas Assets Index</w:t>
      </w:r>
      <w:r w:rsidRPr="6036F176">
        <w:rPr>
          <w:b/>
          <w:bCs/>
          <w:i/>
          <w:iCs/>
        </w:rPr>
        <w:fldChar w:fldCharType="end"/>
      </w:r>
      <w:r w:rsidR="00F417CC">
        <w:t xml:space="preserve"> provides an overview, description and rationale for the methodology</w:t>
      </w:r>
      <w:r w:rsidR="00F42FFA">
        <w:t>, and data resources used for the gas assets index.</w:t>
      </w:r>
    </w:p>
    <w:p w14:paraId="144F37B9" w14:textId="37301270" w:rsidR="008A6B58" w:rsidRDefault="008A6B58" w:rsidP="00422189">
      <w:pPr>
        <w:pStyle w:val="Bullet1"/>
      </w:pPr>
      <w:r w:rsidRPr="6036F176">
        <w:rPr>
          <w:b/>
          <w:bCs/>
          <w:i/>
          <w:iCs/>
        </w:rPr>
        <w:t xml:space="preserve">Section 5: </w:t>
      </w:r>
      <w:r w:rsidR="0039431F" w:rsidRPr="6036F176">
        <w:rPr>
          <w:b/>
          <w:bCs/>
          <w:i/>
          <w:iCs/>
        </w:rPr>
        <w:fldChar w:fldCharType="begin"/>
      </w:r>
      <w:r w:rsidR="0039431F" w:rsidRPr="6036F176">
        <w:rPr>
          <w:b/>
          <w:bCs/>
          <w:i/>
          <w:iCs/>
        </w:rPr>
        <w:instrText xml:space="preserve"> REF _Ref198727405 \h  \* MERGEFORMAT </w:instrText>
      </w:r>
      <w:r w:rsidR="0039431F" w:rsidRPr="6036F176">
        <w:rPr>
          <w:b/>
          <w:bCs/>
          <w:i/>
          <w:iCs/>
        </w:rPr>
      </w:r>
      <w:r w:rsidR="0039431F" w:rsidRPr="6036F176">
        <w:rPr>
          <w:b/>
          <w:bCs/>
          <w:i/>
          <w:iCs/>
        </w:rPr>
        <w:fldChar w:fldCharType="separate"/>
      </w:r>
      <w:r w:rsidR="00D66740" w:rsidRPr="6036F176">
        <w:rPr>
          <w:b/>
          <w:bCs/>
          <w:i/>
          <w:iCs/>
        </w:rPr>
        <w:t>Non-Residential Decommissioning Readiness Index</w:t>
      </w:r>
      <w:r w:rsidR="0039431F" w:rsidRPr="6036F176">
        <w:rPr>
          <w:b/>
          <w:bCs/>
          <w:i/>
          <w:iCs/>
        </w:rPr>
        <w:fldChar w:fldCharType="end"/>
      </w:r>
      <w:r w:rsidR="002112E2">
        <w:rPr>
          <w:rStyle w:val="CommentReference"/>
        </w:rPr>
        <w:t xml:space="preserve"> </w:t>
      </w:r>
      <w:r w:rsidR="00F42FFA">
        <w:t xml:space="preserve">provides an overview, description and rationale for the methodology, and data resources used for the </w:t>
      </w:r>
      <w:r w:rsidR="002E4700" w:rsidRPr="002E4700">
        <w:t>non-residential decommissioning readiness index</w:t>
      </w:r>
      <w:r w:rsidR="00F42FFA">
        <w:t>.</w:t>
      </w:r>
    </w:p>
    <w:p w14:paraId="74729BE8" w14:textId="7E582C14" w:rsidR="008A6B58" w:rsidRDefault="008A6B58" w:rsidP="00422189">
      <w:pPr>
        <w:pStyle w:val="Bullet1"/>
      </w:pPr>
      <w:r w:rsidRPr="6036F176">
        <w:rPr>
          <w:b/>
          <w:bCs/>
          <w:i/>
          <w:iCs/>
        </w:rPr>
        <w:t xml:space="preserve">Section 6: </w:t>
      </w:r>
      <w:r w:rsidRPr="6036F176">
        <w:rPr>
          <w:b/>
          <w:bCs/>
          <w:i/>
          <w:iCs/>
        </w:rPr>
        <w:fldChar w:fldCharType="begin"/>
      </w:r>
      <w:r w:rsidRPr="6036F176">
        <w:rPr>
          <w:b/>
          <w:bCs/>
          <w:i/>
          <w:iCs/>
        </w:rPr>
        <w:instrText xml:space="preserve"> REF _Ref197944867 \h </w:instrText>
      </w:r>
      <w:r w:rsidR="008928EB" w:rsidRPr="6036F176">
        <w:rPr>
          <w:b/>
          <w:bCs/>
          <w:i/>
          <w:iCs/>
        </w:rPr>
        <w:instrText xml:space="preserve"> \* MERGEFORMAT </w:instrText>
      </w:r>
      <w:r w:rsidRPr="6036F176">
        <w:rPr>
          <w:b/>
          <w:bCs/>
          <w:i/>
          <w:iCs/>
        </w:rPr>
      </w:r>
      <w:r w:rsidRPr="6036F176">
        <w:rPr>
          <w:b/>
          <w:bCs/>
          <w:i/>
          <w:iCs/>
        </w:rPr>
        <w:fldChar w:fldCharType="separate"/>
      </w:r>
      <w:r w:rsidR="00D66740" w:rsidRPr="6036F176">
        <w:rPr>
          <w:b/>
          <w:bCs/>
          <w:i/>
          <w:iCs/>
        </w:rPr>
        <w:t>Residential Decommissioning Readiness Index</w:t>
      </w:r>
      <w:r w:rsidRPr="6036F176">
        <w:rPr>
          <w:b/>
          <w:bCs/>
          <w:i/>
          <w:iCs/>
        </w:rPr>
        <w:fldChar w:fldCharType="end"/>
      </w:r>
      <w:r w:rsidR="002E4700">
        <w:t xml:space="preserve"> provides an overview, description and rationale for the methodology, and data resources used for the </w:t>
      </w:r>
      <w:r w:rsidR="002E4700" w:rsidRPr="002E4700">
        <w:t>residential decommissioning readiness index</w:t>
      </w:r>
      <w:r w:rsidR="002E4700">
        <w:t>.</w:t>
      </w:r>
    </w:p>
    <w:p w14:paraId="7E057CC8" w14:textId="67A813E1" w:rsidR="009A052A" w:rsidRDefault="008A6B58" w:rsidP="00422189">
      <w:pPr>
        <w:pStyle w:val="Bullet1"/>
      </w:pPr>
      <w:r w:rsidRPr="6036F176">
        <w:rPr>
          <w:b/>
          <w:bCs/>
          <w:i/>
          <w:iCs/>
        </w:rPr>
        <w:t xml:space="preserve">Section 7: </w:t>
      </w:r>
      <w:r w:rsidR="009A052A" w:rsidRPr="6036F176">
        <w:rPr>
          <w:b/>
          <w:bCs/>
          <w:i/>
          <w:iCs/>
        </w:rPr>
        <w:fldChar w:fldCharType="begin"/>
      </w:r>
      <w:r w:rsidR="009A052A" w:rsidRPr="6036F176">
        <w:rPr>
          <w:b/>
          <w:bCs/>
          <w:i/>
          <w:iCs/>
        </w:rPr>
        <w:instrText xml:space="preserve"> REF _Ref197944878 \h </w:instrText>
      </w:r>
      <w:r w:rsidR="008928EB" w:rsidRPr="6036F176">
        <w:rPr>
          <w:b/>
          <w:bCs/>
          <w:i/>
          <w:iCs/>
        </w:rPr>
        <w:instrText xml:space="preserve"> \* MERGEFORMAT </w:instrText>
      </w:r>
      <w:r w:rsidR="009A052A" w:rsidRPr="6036F176">
        <w:rPr>
          <w:b/>
          <w:bCs/>
          <w:i/>
          <w:iCs/>
        </w:rPr>
      </w:r>
      <w:r w:rsidR="009A052A" w:rsidRPr="6036F176">
        <w:rPr>
          <w:b/>
          <w:bCs/>
          <w:i/>
          <w:iCs/>
        </w:rPr>
        <w:fldChar w:fldCharType="separate"/>
      </w:r>
      <w:r w:rsidR="00D66740" w:rsidRPr="6036F176">
        <w:rPr>
          <w:b/>
          <w:bCs/>
          <w:i/>
          <w:iCs/>
        </w:rPr>
        <w:t>Combined Indices</w:t>
      </w:r>
      <w:r w:rsidR="009A052A" w:rsidRPr="6036F176">
        <w:rPr>
          <w:b/>
          <w:bCs/>
          <w:i/>
          <w:iCs/>
        </w:rPr>
        <w:fldChar w:fldCharType="end"/>
      </w:r>
      <w:r w:rsidR="00212477">
        <w:t xml:space="preserve"> provides a summary of how </w:t>
      </w:r>
      <w:r w:rsidR="00424A47">
        <w:t xml:space="preserve">we combine the four indices </w:t>
      </w:r>
      <w:r w:rsidR="00C80B37">
        <w:t>into a single layer</w:t>
      </w:r>
      <w:r w:rsidR="00212477" w:rsidRPr="00212477">
        <w:t xml:space="preserve"> to provide an overall assessment of gas decommissioning risks, costs, and benefits.</w:t>
      </w:r>
    </w:p>
    <w:p w14:paraId="7650DEBF" w14:textId="10C99F13" w:rsidR="00422189" w:rsidRDefault="009A052A" w:rsidP="00F60D0C">
      <w:pPr>
        <w:pStyle w:val="Bullet1"/>
      </w:pPr>
      <w:r w:rsidRPr="00422189">
        <w:rPr>
          <w:b/>
          <w:bCs/>
          <w:i/>
          <w:iCs/>
        </w:rPr>
        <w:t xml:space="preserve">Section 8: </w:t>
      </w:r>
      <w:r w:rsidRPr="00422189">
        <w:rPr>
          <w:b/>
          <w:bCs/>
          <w:i/>
          <w:iCs/>
        </w:rPr>
        <w:fldChar w:fldCharType="begin"/>
      </w:r>
      <w:r w:rsidRPr="00422189">
        <w:rPr>
          <w:b/>
          <w:bCs/>
          <w:i/>
          <w:iCs/>
        </w:rPr>
        <w:instrText xml:space="preserve"> REF _Ref197944892 \h </w:instrText>
      </w:r>
      <w:r w:rsidR="008928EB" w:rsidRPr="00422189">
        <w:rPr>
          <w:b/>
          <w:bCs/>
          <w:i/>
          <w:iCs/>
        </w:rPr>
        <w:instrText xml:space="preserve"> \* MERGEFORMAT </w:instrText>
      </w:r>
      <w:r w:rsidRPr="00422189">
        <w:rPr>
          <w:b/>
          <w:bCs/>
          <w:i/>
          <w:iCs/>
        </w:rPr>
      </w:r>
      <w:r w:rsidRPr="00422189">
        <w:rPr>
          <w:b/>
          <w:bCs/>
          <w:i/>
          <w:iCs/>
        </w:rPr>
        <w:fldChar w:fldCharType="separate"/>
      </w:r>
      <w:r w:rsidR="00D66740" w:rsidRPr="00422189">
        <w:rPr>
          <w:b/>
          <w:bCs/>
          <w:i/>
          <w:iCs/>
        </w:rPr>
        <w:t>Summary and Conclusion</w:t>
      </w:r>
      <w:r w:rsidRPr="00422189">
        <w:rPr>
          <w:b/>
          <w:bCs/>
          <w:i/>
          <w:iCs/>
        </w:rPr>
        <w:fldChar w:fldCharType="end"/>
      </w:r>
      <w:r w:rsidRPr="002965A6">
        <w:t xml:space="preserve"> </w:t>
      </w:r>
      <w:r w:rsidR="00543A8D">
        <w:t>provides a brief summary of</w:t>
      </w:r>
      <w:r w:rsidR="00543A8D" w:rsidRPr="00543A8D">
        <w:t xml:space="preserve"> benefits of a statewide</w:t>
      </w:r>
      <w:r w:rsidR="008928EB">
        <w:t xml:space="preserve">, data-driven </w:t>
      </w:r>
      <w:r w:rsidR="00543A8D" w:rsidRPr="00543A8D">
        <w:t>tool with consistent set of data</w:t>
      </w:r>
      <w:r w:rsidR="00543A8D">
        <w:t>.</w:t>
      </w:r>
      <w:bookmarkStart w:id="3" w:name="_Hlk207805193"/>
    </w:p>
    <w:p w14:paraId="2D784DB6" w14:textId="26433D43" w:rsidR="00D02C01" w:rsidRDefault="001833EC" w:rsidP="00F60D0C">
      <w:pPr>
        <w:pStyle w:val="Bullet1"/>
      </w:pPr>
      <w:r w:rsidRPr="00D44615">
        <w:rPr>
          <w:b/>
          <w:bCs/>
          <w:i/>
          <w:iCs/>
        </w:rPr>
        <w:fldChar w:fldCharType="begin"/>
      </w:r>
      <w:r w:rsidRPr="00D44615">
        <w:rPr>
          <w:b/>
          <w:bCs/>
          <w:i/>
          <w:iCs/>
        </w:rPr>
        <w:instrText xml:space="preserve"> REF _Ref207805661 \r \h </w:instrText>
      </w:r>
      <w:r w:rsidR="00D44615" w:rsidRPr="00D44615">
        <w:rPr>
          <w:b/>
          <w:bCs/>
          <w:i/>
          <w:iCs/>
        </w:rPr>
        <w:instrText xml:space="preserve"> \* MERGEFORMAT </w:instrText>
      </w:r>
      <w:r w:rsidRPr="00D44615">
        <w:rPr>
          <w:b/>
          <w:bCs/>
          <w:i/>
          <w:iCs/>
        </w:rPr>
      </w:r>
      <w:r w:rsidRPr="00D44615">
        <w:rPr>
          <w:b/>
          <w:bCs/>
          <w:i/>
          <w:iCs/>
        </w:rPr>
        <w:fldChar w:fldCharType="separate"/>
      </w:r>
      <w:r w:rsidRPr="00D44615">
        <w:rPr>
          <w:b/>
          <w:bCs/>
          <w:i/>
          <w:iCs/>
        </w:rPr>
        <w:t>Appendix A</w:t>
      </w:r>
      <w:r w:rsidRPr="00D44615">
        <w:rPr>
          <w:b/>
          <w:bCs/>
          <w:i/>
          <w:iCs/>
        </w:rPr>
        <w:fldChar w:fldCharType="end"/>
      </w:r>
      <w:r w:rsidR="00D44615" w:rsidRPr="00D44615">
        <w:rPr>
          <w:b/>
          <w:bCs/>
          <w:i/>
          <w:iCs/>
        </w:rPr>
        <w:t xml:space="preserve">: </w:t>
      </w:r>
      <w:r w:rsidR="002602DB" w:rsidRPr="00D44615">
        <w:rPr>
          <w:b/>
          <w:bCs/>
          <w:i/>
          <w:iCs/>
        </w:rPr>
        <w:fldChar w:fldCharType="begin"/>
      </w:r>
      <w:r w:rsidR="002602DB" w:rsidRPr="00D44615">
        <w:rPr>
          <w:b/>
          <w:bCs/>
          <w:i/>
          <w:iCs/>
        </w:rPr>
        <w:instrText xml:space="preserve"> REF _Ref207805661 \h </w:instrText>
      </w:r>
      <w:r w:rsidR="00D44615" w:rsidRPr="00D44615">
        <w:rPr>
          <w:b/>
          <w:bCs/>
          <w:i/>
          <w:iCs/>
        </w:rPr>
        <w:instrText xml:space="preserve"> \* MERGEFORMAT </w:instrText>
      </w:r>
      <w:r w:rsidR="002602DB" w:rsidRPr="00D44615">
        <w:rPr>
          <w:b/>
          <w:bCs/>
          <w:i/>
          <w:iCs/>
        </w:rPr>
      </w:r>
      <w:r w:rsidR="002602DB" w:rsidRPr="00D44615">
        <w:rPr>
          <w:b/>
          <w:bCs/>
          <w:i/>
          <w:iCs/>
        </w:rPr>
        <w:fldChar w:fldCharType="separate"/>
      </w:r>
      <w:r w:rsidR="002602DB" w:rsidRPr="00D44615">
        <w:rPr>
          <w:b/>
          <w:bCs/>
          <w:i/>
          <w:iCs/>
        </w:rPr>
        <w:t xml:space="preserve">Mapping </w:t>
      </w:r>
      <w:r w:rsidR="00992896">
        <w:rPr>
          <w:b/>
          <w:bCs/>
          <w:i/>
          <w:iCs/>
        </w:rPr>
        <w:t>Variables</w:t>
      </w:r>
      <w:r w:rsidR="002602DB" w:rsidRPr="00D44615">
        <w:rPr>
          <w:b/>
          <w:bCs/>
          <w:i/>
          <w:iCs/>
        </w:rPr>
        <w:t xml:space="preserve"> to </w:t>
      </w:r>
      <w:r w:rsidR="00223378">
        <w:rPr>
          <w:b/>
          <w:bCs/>
          <w:i/>
          <w:iCs/>
        </w:rPr>
        <w:t>Sub-indices</w:t>
      </w:r>
      <w:r w:rsidR="002602DB" w:rsidRPr="00D44615">
        <w:rPr>
          <w:b/>
          <w:bCs/>
          <w:i/>
          <w:iCs/>
        </w:rPr>
        <w:fldChar w:fldCharType="end"/>
      </w:r>
      <w:r w:rsidR="003B32B9">
        <w:t xml:space="preserve"> </w:t>
      </w:r>
      <w:r w:rsidR="00B91EA2">
        <w:t xml:space="preserve">provides a complete </w:t>
      </w:r>
      <w:r w:rsidR="00D02C01">
        <w:t xml:space="preserve">mapping of </w:t>
      </w:r>
      <w:r w:rsidR="00992896">
        <w:t>variables</w:t>
      </w:r>
      <w:r w:rsidR="00D02C01">
        <w:t xml:space="preserve"> </w:t>
      </w:r>
      <w:r w:rsidR="008E7189">
        <w:t xml:space="preserve">to </w:t>
      </w:r>
      <w:r w:rsidR="00223378">
        <w:t>sub-indices</w:t>
      </w:r>
      <w:r w:rsidR="008E7189">
        <w:t xml:space="preserve">. </w:t>
      </w:r>
    </w:p>
    <w:p w14:paraId="46CC92E1" w14:textId="0CA32FBF" w:rsidR="00F55B07" w:rsidRDefault="00D4235D" w:rsidP="00B4489C">
      <w:pPr>
        <w:pStyle w:val="Bullet1Last"/>
      </w:pPr>
      <w:r w:rsidRPr="00B4489C">
        <w:rPr>
          <w:b/>
          <w:bCs/>
          <w:i/>
          <w:iCs/>
        </w:rPr>
        <w:fldChar w:fldCharType="begin"/>
      </w:r>
      <w:r w:rsidRPr="00B4489C">
        <w:rPr>
          <w:b/>
          <w:bCs/>
          <w:i/>
          <w:iCs/>
        </w:rPr>
        <w:instrText xml:space="preserve"> REF _Ref207808325 \r \h </w:instrText>
      </w:r>
      <w:r w:rsidR="00F0517C" w:rsidRPr="00B4489C">
        <w:rPr>
          <w:b/>
          <w:bCs/>
          <w:i/>
          <w:iCs/>
        </w:rPr>
        <w:instrText xml:space="preserve"> \* MERGEFORMAT </w:instrText>
      </w:r>
      <w:r w:rsidRPr="00B4489C">
        <w:rPr>
          <w:b/>
          <w:bCs/>
          <w:i/>
          <w:iCs/>
        </w:rPr>
      </w:r>
      <w:r w:rsidRPr="00B4489C">
        <w:rPr>
          <w:b/>
          <w:bCs/>
          <w:i/>
          <w:iCs/>
        </w:rPr>
        <w:fldChar w:fldCharType="separate"/>
      </w:r>
      <w:r w:rsidRPr="00B4489C">
        <w:rPr>
          <w:b/>
          <w:bCs/>
          <w:i/>
          <w:iCs/>
        </w:rPr>
        <w:t>Appendix B</w:t>
      </w:r>
      <w:r w:rsidRPr="00B4489C">
        <w:rPr>
          <w:b/>
          <w:bCs/>
          <w:i/>
          <w:iCs/>
        </w:rPr>
        <w:fldChar w:fldCharType="end"/>
      </w:r>
      <w:r w:rsidR="00F050C3" w:rsidRPr="00B4489C">
        <w:rPr>
          <w:b/>
          <w:bCs/>
          <w:i/>
          <w:iCs/>
        </w:rPr>
        <w:t xml:space="preserve">: </w:t>
      </w:r>
      <w:r w:rsidRPr="00B4489C">
        <w:rPr>
          <w:b/>
          <w:bCs/>
          <w:i/>
          <w:iCs/>
        </w:rPr>
        <w:fldChar w:fldCharType="begin"/>
      </w:r>
      <w:r w:rsidRPr="00B4489C">
        <w:rPr>
          <w:b/>
          <w:bCs/>
          <w:i/>
          <w:iCs/>
        </w:rPr>
        <w:instrText xml:space="preserve"> REF _Ref207808325 \h </w:instrText>
      </w:r>
      <w:r w:rsidR="00F0517C" w:rsidRPr="00B4489C">
        <w:rPr>
          <w:b/>
          <w:bCs/>
          <w:i/>
          <w:iCs/>
        </w:rPr>
        <w:instrText xml:space="preserve"> \* MERGEFORMAT </w:instrText>
      </w:r>
      <w:r w:rsidRPr="00B4489C">
        <w:rPr>
          <w:b/>
          <w:bCs/>
          <w:i/>
          <w:iCs/>
        </w:rPr>
      </w:r>
      <w:r w:rsidRPr="00B4489C">
        <w:rPr>
          <w:b/>
          <w:bCs/>
          <w:i/>
          <w:iCs/>
        </w:rPr>
        <w:fldChar w:fldCharType="separate"/>
      </w:r>
      <w:r w:rsidR="00F050C3" w:rsidRPr="00B4489C">
        <w:rPr>
          <w:b/>
          <w:bCs/>
          <w:i/>
          <w:iCs/>
        </w:rPr>
        <w:t>Weighting</w:t>
      </w:r>
      <w:r w:rsidRPr="00B4489C">
        <w:rPr>
          <w:b/>
          <w:bCs/>
          <w:i/>
          <w:iCs/>
        </w:rPr>
        <w:t xml:space="preserve"> </w:t>
      </w:r>
      <w:r w:rsidR="00F050C3" w:rsidRPr="00B4489C">
        <w:rPr>
          <w:b/>
          <w:bCs/>
          <w:i/>
          <w:iCs/>
        </w:rPr>
        <w:t>Coefficients</w:t>
      </w:r>
      <w:r w:rsidRPr="00B4489C">
        <w:rPr>
          <w:b/>
          <w:bCs/>
          <w:i/>
          <w:iCs/>
        </w:rPr>
        <w:t xml:space="preserve"> – Detailed Tables</w:t>
      </w:r>
      <w:r w:rsidRPr="00B4489C">
        <w:rPr>
          <w:b/>
          <w:bCs/>
          <w:i/>
          <w:iCs/>
        </w:rPr>
        <w:fldChar w:fldCharType="end"/>
      </w:r>
      <w:r w:rsidR="00A31FD4">
        <w:t xml:space="preserve"> </w:t>
      </w:r>
      <w:r w:rsidR="001F01C2">
        <w:t xml:space="preserve">provides </w:t>
      </w:r>
      <w:r w:rsidR="00F0517C" w:rsidRPr="00F0517C">
        <w:t>detailed information for the end-use category based weighting scheme that was developed to quantify the decommissioning readiness of different non-residential customer sectors</w:t>
      </w:r>
      <w:r w:rsidR="00F0517C">
        <w:t>.</w:t>
      </w:r>
    </w:p>
    <w:p w14:paraId="6E25A9D6" w14:textId="43DF4062" w:rsidR="00D901ED" w:rsidRDefault="00D901ED" w:rsidP="006850CC">
      <w:pPr>
        <w:pStyle w:val="Heading1"/>
      </w:pPr>
      <w:bookmarkStart w:id="4" w:name="_Ref197533546"/>
      <w:bookmarkStart w:id="5" w:name="_Ref206692282"/>
      <w:bookmarkStart w:id="6" w:name="_Toc213837936"/>
      <w:bookmarkEnd w:id="3"/>
      <w:r>
        <w:t>Method</w:t>
      </w:r>
      <w:r w:rsidR="006850CC">
        <w:t>s of Estimation</w:t>
      </w:r>
      <w:bookmarkEnd w:id="4"/>
      <w:bookmarkEnd w:id="5"/>
      <w:bookmarkEnd w:id="6"/>
    </w:p>
    <w:p w14:paraId="19E27BCE" w14:textId="749ED25C" w:rsidR="00C6095F" w:rsidRDefault="00EA6728" w:rsidP="00EA6728">
      <w:pPr>
        <w:pStyle w:val="Heading2"/>
      </w:pPr>
      <w:bookmarkStart w:id="7" w:name="_Toc213837937"/>
      <w:r>
        <w:t>Analytical Framework</w:t>
      </w:r>
      <w:bookmarkEnd w:id="7"/>
    </w:p>
    <w:p w14:paraId="31D98217" w14:textId="4303A0DA" w:rsidR="00CB3987" w:rsidRDefault="000618CC" w:rsidP="00687AFD">
      <w:pPr>
        <w:pStyle w:val="BodyText"/>
      </w:pPr>
      <w:r>
        <w:t xml:space="preserve">The geospatial layers presented in the </w:t>
      </w:r>
      <w:r w:rsidR="00094A15">
        <w:t>T</w:t>
      </w:r>
      <w:r>
        <w:t xml:space="preserve">ool were developed using a geographic information system multi-criteria decision analysis (GIS-MCDA) approach. This analytical technique combines multiple pieces of quantitative information into a single unified representation, even when they may be naturally represented using diverse units and scales or derived from different and unrelated sources. The layers which have been derived from this approach represent groupings of the primary source variables in ways that signify the various </w:t>
      </w:r>
      <w:r w:rsidR="049F78B8">
        <w:t xml:space="preserve">issues or themes </w:t>
      </w:r>
      <w:r>
        <w:t xml:space="preserve">of concern relevant to gas decommissioning site exploration. In the </w:t>
      </w:r>
      <w:r w:rsidR="008E62D9" w:rsidRPr="008E62D9">
        <w:t>Gas Distribution System Screening Tool (the Tool)</w:t>
      </w:r>
      <w:r w:rsidR="008E62D9">
        <w:t xml:space="preserve"> developed and delivered for this project</w:t>
      </w:r>
      <w:r w:rsidR="00FA447E">
        <w:t xml:space="preserve">, with handover completed </w:t>
      </w:r>
      <w:r w:rsidR="009C5AD3">
        <w:t>on</w:t>
      </w:r>
      <w:r w:rsidR="00FA447E">
        <w:t xml:space="preserve"> October </w:t>
      </w:r>
      <w:r w:rsidR="009C5AD3">
        <w:t xml:space="preserve">28, </w:t>
      </w:r>
      <w:r w:rsidR="00FA447E">
        <w:t>2025)</w:t>
      </w:r>
      <w:r>
        <w:t>, these groupings include variables related to</w:t>
      </w:r>
    </w:p>
    <w:p w14:paraId="702CE234" w14:textId="77777777" w:rsidR="00BF008A" w:rsidRPr="00BF008A" w:rsidRDefault="00BF008A" w:rsidP="00BF008A">
      <w:pPr>
        <w:pStyle w:val="Bullet1"/>
      </w:pPr>
      <w:r w:rsidRPr="00BF008A">
        <w:t>A suite of considerations related to energy equity and environmental justice</w:t>
      </w:r>
    </w:p>
    <w:p w14:paraId="3A983897" w14:textId="018571D2" w:rsidR="00CB3987" w:rsidRDefault="00CB3987" w:rsidP="00CB3987">
      <w:pPr>
        <w:pStyle w:val="Bullet1"/>
      </w:pPr>
      <w:r>
        <w:t>T</w:t>
      </w:r>
      <w:r w:rsidR="000618CC">
        <w:t>he condition of gas</w:t>
      </w:r>
      <w:r w:rsidR="7AC85BE7">
        <w:t xml:space="preserve"> distribution infrastructure</w:t>
      </w:r>
      <w:r w:rsidR="000618CC">
        <w:t xml:space="preserve"> assets</w:t>
      </w:r>
    </w:p>
    <w:p w14:paraId="754B8973" w14:textId="77777777" w:rsidR="00CB3987" w:rsidRDefault="00CB3987" w:rsidP="00CB3987">
      <w:pPr>
        <w:pStyle w:val="Bullet1"/>
      </w:pPr>
      <w:r>
        <w:t>T</w:t>
      </w:r>
      <w:r w:rsidR="000618CC" w:rsidRPr="000618CC">
        <w:t>he volume of gas consumed by non-residential gas customers as well as relevant characteristics of their specific end-uses</w:t>
      </w:r>
    </w:p>
    <w:p w14:paraId="0F073CE6" w14:textId="6CC4A676" w:rsidR="00CB3987" w:rsidRDefault="00CB3987" w:rsidP="00853E6E">
      <w:pPr>
        <w:pStyle w:val="Bullet1Last"/>
      </w:pPr>
      <w:r>
        <w:t>P</w:t>
      </w:r>
      <w:r w:rsidR="000618CC">
        <w:t xml:space="preserve">otential barriers to gas substitute technology adoption </w:t>
      </w:r>
      <w:r>
        <w:t>and</w:t>
      </w:r>
      <w:r w:rsidR="000618CC">
        <w:t xml:space="preserve"> integration among residential customers</w:t>
      </w:r>
    </w:p>
    <w:p w14:paraId="141A1B52" w14:textId="30035E65" w:rsidR="00BA6D16" w:rsidRDefault="00687AFD" w:rsidP="00687AFD">
      <w:pPr>
        <w:pStyle w:val="BodyText"/>
      </w:pPr>
      <w:r>
        <w:t xml:space="preserve">A multi-criteria decision problem involves </w:t>
      </w:r>
      <w:r w:rsidR="714B13EA">
        <w:t>the evaluation of</w:t>
      </w:r>
      <w:r w:rsidR="441B3E58">
        <w:t xml:space="preserve"> a</w:t>
      </w:r>
      <w:r w:rsidR="00F77222">
        <w:t xml:space="preserve"> </w:t>
      </w:r>
      <w:r>
        <w:t xml:space="preserve">set of alternatives </w:t>
      </w:r>
      <w:r w:rsidR="1BDAE05C">
        <w:t xml:space="preserve">relative to </w:t>
      </w:r>
      <w:r w:rsidR="35F58B3C">
        <w:t>various</w:t>
      </w:r>
      <w:r w:rsidR="1BDAE05C">
        <w:t xml:space="preserve"> criteria</w:t>
      </w:r>
      <w:r w:rsidR="0D7FC9F8">
        <w:t>, some of</w:t>
      </w:r>
      <w:r w:rsidR="1BDAE05C">
        <w:t xml:space="preserve"> </w:t>
      </w:r>
      <w:r w:rsidR="48918820">
        <w:t>which may be in competition with one another.</w:t>
      </w:r>
      <w:r w:rsidR="1BDAE05C">
        <w:t xml:space="preserve"> </w:t>
      </w:r>
      <w:r w:rsidR="38B0B0E2">
        <w:t xml:space="preserve">These evaluations can </w:t>
      </w:r>
      <w:r w:rsidR="00E83E2E">
        <w:t>consider</w:t>
      </w:r>
      <w:r w:rsidR="38B0B0E2">
        <w:t xml:space="preserve"> differences in the preferences of individual decision makers, as articulated by the assignment of weights to</w:t>
      </w:r>
      <w:r w:rsidR="68AD414F">
        <w:t xml:space="preserve"> the different</w:t>
      </w:r>
      <w:r w:rsidR="38B0B0E2">
        <w:t xml:space="preserve"> component criteri</w:t>
      </w:r>
      <w:r w:rsidR="1D68E2D1">
        <w:t>a</w:t>
      </w:r>
      <w:r>
        <w:t xml:space="preserve">. The main elements of any multi-criteria decision problem </w:t>
      </w:r>
      <w:r w:rsidR="00CB3987">
        <w:t>include</w:t>
      </w:r>
      <w:r>
        <w:t xml:space="preserve"> decision maker(s), alternatives, and criteria. The procedures for tackling multi-criteria decision problems involve three main concepts: value scaling (or standardization), criterion weighting, and a combination (decision) rule. These are fundamental concepts for MCDA in general and GIS-MCDA in particular</w:t>
      </w:r>
      <w:r w:rsidR="00DF0201">
        <w:rPr>
          <w:rStyle w:val="FootnoteReference"/>
        </w:rPr>
        <w:footnoteReference w:id="2"/>
      </w:r>
      <w:r>
        <w:t>. They can be considered as the building blocks of spatial decision support procedures.</w:t>
      </w:r>
    </w:p>
    <w:p w14:paraId="79F65911" w14:textId="3444EE09" w:rsidR="00BA6D16" w:rsidRDefault="00BA6D16" w:rsidP="00BA6D16">
      <w:pPr>
        <w:pStyle w:val="Heading2"/>
      </w:pPr>
      <w:bookmarkStart w:id="8" w:name="_Ref211863998"/>
      <w:bookmarkStart w:id="9" w:name="_Toc213837938"/>
      <w:r>
        <w:t>Value Scaling</w:t>
      </w:r>
      <w:bookmarkEnd w:id="8"/>
      <w:bookmarkEnd w:id="9"/>
    </w:p>
    <w:p w14:paraId="6F3FDDA4" w14:textId="7006587B" w:rsidR="00574B29" w:rsidRDefault="007C6E1F" w:rsidP="00BA6D16">
      <w:pPr>
        <w:pStyle w:val="BodyText"/>
      </w:pPr>
      <w:r>
        <w:t xml:space="preserve">As part of a GIS-MCDA </w:t>
      </w:r>
      <w:r w:rsidR="00D00455">
        <w:t xml:space="preserve">analysis, input data needs to be standardized to align observations of varying units </w:t>
      </w:r>
      <w:r w:rsidR="009977A4">
        <w:t xml:space="preserve">and </w:t>
      </w:r>
      <w:r w:rsidR="002D1FEE">
        <w:t xml:space="preserve">scales. There are several </w:t>
      </w:r>
      <w:r w:rsidR="00DA21C3">
        <w:t>options for value standardization, including min-max scaling</w:t>
      </w:r>
      <w:r w:rsidR="00993071">
        <w:t xml:space="preserve">, </w:t>
      </w:r>
      <w:r w:rsidR="00AA0683">
        <w:t>standard</w:t>
      </w:r>
      <w:r w:rsidR="00993071">
        <w:t xml:space="preserve"> error scaling, and ranking</w:t>
      </w:r>
      <w:r w:rsidR="003C6AF7">
        <w:t>/</w:t>
      </w:r>
      <w:r w:rsidR="000A265F">
        <w:t>binning</w:t>
      </w:r>
      <w:r w:rsidR="00010558">
        <w:t>,</w:t>
      </w:r>
      <w:r w:rsidR="006664BB">
        <w:t xml:space="preserve"> with</w:t>
      </w:r>
      <w:r w:rsidR="003C6AF7">
        <w:t xml:space="preserve"> benefits and drawbacks </w:t>
      </w:r>
      <w:r w:rsidR="006664BB">
        <w:t>associated with</w:t>
      </w:r>
      <w:r w:rsidR="003C6AF7">
        <w:t xml:space="preserve"> each approach</w:t>
      </w:r>
      <w:r w:rsidR="006664BB">
        <w:t xml:space="preserve">. For </w:t>
      </w:r>
      <w:r w:rsidR="002634C7">
        <w:t xml:space="preserve">this project, </w:t>
      </w:r>
      <w:r w:rsidR="006A52BC">
        <w:t xml:space="preserve">the </w:t>
      </w:r>
      <w:r w:rsidR="006E1624">
        <w:t>research</w:t>
      </w:r>
      <w:r w:rsidR="006A52BC">
        <w:t xml:space="preserve"> team </w:t>
      </w:r>
      <w:r w:rsidR="000A265F">
        <w:t>used a ranking/binning approach</w:t>
      </w:r>
      <w:r w:rsidR="002B3694">
        <w:t xml:space="preserve"> </w:t>
      </w:r>
      <w:r w:rsidR="00744C73">
        <w:t>with 10 bins</w:t>
      </w:r>
      <w:r w:rsidR="002B3694">
        <w:t xml:space="preserve"> to discretize the </w:t>
      </w:r>
      <w:r w:rsidR="00B65C26">
        <w:t>resulting</w:t>
      </w:r>
      <w:r w:rsidR="00901572">
        <w:t xml:space="preserve"> decision index while retaining </w:t>
      </w:r>
      <w:r w:rsidR="007B4CDF">
        <w:t xml:space="preserve">sufficient information about the variance and </w:t>
      </w:r>
      <w:r w:rsidR="0071509C">
        <w:t>underlying</w:t>
      </w:r>
      <w:r w:rsidR="007B4CDF">
        <w:t xml:space="preserve"> distribution</w:t>
      </w:r>
      <w:r w:rsidR="0D42B01B">
        <w:t>s</w:t>
      </w:r>
      <w:r w:rsidR="007B4CDF">
        <w:t xml:space="preserve"> of the various </w:t>
      </w:r>
      <w:r w:rsidR="0071509C">
        <w:t>input variables.</w:t>
      </w:r>
    </w:p>
    <w:p w14:paraId="26DDCAC1" w14:textId="12EB6C6A" w:rsidR="00077213" w:rsidRDefault="00077213" w:rsidP="00BA6D16">
      <w:pPr>
        <w:pStyle w:val="BodyText"/>
      </w:pPr>
      <w:r>
        <w:t xml:space="preserve">We calculated indices </w:t>
      </w:r>
      <w:r w:rsidR="0080198D">
        <w:t>using</w:t>
      </w:r>
      <w:r>
        <w:t xml:space="preserve"> a tiered approach</w:t>
      </w:r>
      <w:r w:rsidR="00BD5E53">
        <w:t xml:space="preserve">, aggregating from primary variables up to the final composite index in stages. First, primary variables were grouped into related </w:t>
      </w:r>
      <w:r w:rsidR="006F23E5">
        <w:t>topic areas, each corresponding to a sub-index (e.g.</w:t>
      </w:r>
      <w:r w:rsidR="007C616A">
        <w:t>,</w:t>
      </w:r>
      <w:r w:rsidR="006F23E5">
        <w:t xml:space="preserve"> the gas assets safety sub-index or the equity energy burden sub-index). </w:t>
      </w:r>
      <w:r w:rsidR="00AF50AA">
        <w:t>Next, w</w:t>
      </w:r>
      <w:r w:rsidR="006F23E5">
        <w:t xml:space="preserve">ith some exceptions, each primary variable was </w:t>
      </w:r>
      <w:r w:rsidR="00930F17">
        <w:t xml:space="preserve">standardized on a 1-10 scale where lower values were </w:t>
      </w:r>
      <w:r w:rsidR="00AF50AA">
        <w:t>assigned a score of 1 and larger values a score of 10—some variables</w:t>
      </w:r>
      <w:r w:rsidR="00234C82">
        <w:t xml:space="preserve"> had fewer than 10 distinct values</w:t>
      </w:r>
      <w:r w:rsidR="00611ED7">
        <w:t xml:space="preserve"> </w:t>
      </w:r>
      <w:r w:rsidR="00234C82">
        <w:t xml:space="preserve">and </w:t>
      </w:r>
      <w:r w:rsidR="00611ED7">
        <w:t>were</w:t>
      </w:r>
      <w:r w:rsidR="00234C82">
        <w:t xml:space="preserve"> </w:t>
      </w:r>
      <w:r w:rsidR="00611ED7">
        <w:t>standardized on a 1-M scale, where M was the number of</w:t>
      </w:r>
      <w:r w:rsidR="00A3335C">
        <w:t xml:space="preserve"> distinct</w:t>
      </w:r>
      <w:r w:rsidR="00611ED7">
        <w:t xml:space="preserve"> values,</w:t>
      </w:r>
      <w:r w:rsidR="00234C82">
        <w:t xml:space="preserve"> </w:t>
      </w:r>
      <w:r w:rsidR="00611ED7">
        <w:t xml:space="preserve">and other variables, particularly </w:t>
      </w:r>
      <w:r w:rsidR="00870AA3">
        <w:t>variables relating to year of gas asset construction</w:t>
      </w:r>
      <w:r w:rsidR="00A3335C">
        <w:t>,</w:t>
      </w:r>
      <w:r w:rsidR="00870AA3">
        <w:t xml:space="preserve"> were ranked in reverse order with small values being assigned a score of 10 and large values a score of 1.</w:t>
      </w:r>
      <w:r w:rsidR="007143B9">
        <w:t xml:space="preserve"> Next, </w:t>
      </w:r>
      <w:r w:rsidR="00AA0778">
        <w:t>all</w:t>
      </w:r>
      <w:r w:rsidR="007143B9">
        <w:t xml:space="preserve"> the standardized scores of variables within a sub-index were summed together, </w:t>
      </w:r>
      <w:r w:rsidR="005F2634">
        <w:t xml:space="preserve">and the resulting sum was standardized using the same 1-10 binning procedure to create </w:t>
      </w:r>
      <w:r w:rsidR="00D10B2A">
        <w:t xml:space="preserve">a sub-index score. Finally, the values of all sub-indices </w:t>
      </w:r>
      <w:r w:rsidR="00AA0778">
        <w:t xml:space="preserve">within an index </w:t>
      </w:r>
      <w:r w:rsidR="00D10B2A">
        <w:t xml:space="preserve">were summed together and then standardized from 1-10, resulting in our </w:t>
      </w:r>
      <w:r w:rsidR="006D14CD">
        <w:t>four</w:t>
      </w:r>
      <w:r w:rsidR="00D10B2A">
        <w:t xml:space="preserve"> index values: the </w:t>
      </w:r>
      <w:r w:rsidR="007A6F2A">
        <w:t>Equity Index</w:t>
      </w:r>
      <w:r w:rsidR="00D10B2A">
        <w:t xml:space="preserve">, the </w:t>
      </w:r>
      <w:r w:rsidR="007A6F2A">
        <w:t>Gas Assets Index</w:t>
      </w:r>
      <w:r w:rsidR="00D10B2A">
        <w:t xml:space="preserve">, the </w:t>
      </w:r>
      <w:r w:rsidR="007A6F2A">
        <w:t>Non-Residential Decommissioning Readiness Index</w:t>
      </w:r>
      <w:r w:rsidR="006D14CD">
        <w:t xml:space="preserve">, and the </w:t>
      </w:r>
      <w:r w:rsidR="007A6F2A">
        <w:t>Residential Decommissioning Readiness Index</w:t>
      </w:r>
      <w:r w:rsidR="00D10B2A">
        <w:t>.</w:t>
      </w:r>
    </w:p>
    <w:p w14:paraId="226689BF" w14:textId="5333A836" w:rsidR="0030388B" w:rsidRDefault="0030388B" w:rsidP="00BA6D16">
      <w:pPr>
        <w:pStyle w:val="BodyText"/>
      </w:pPr>
      <w:r>
        <w:t xml:space="preserve">To perform the </w:t>
      </w:r>
      <w:r w:rsidR="00A56162">
        <w:t>binning procedure</w:t>
      </w:r>
      <w:r w:rsidR="0081775A">
        <w:t>,</w:t>
      </w:r>
      <w:r w:rsidR="00A56162">
        <w:t xml:space="preserve"> we used </w:t>
      </w:r>
      <w:r w:rsidR="001D2AA3">
        <w:t xml:space="preserve">the </w:t>
      </w:r>
      <w:r w:rsidR="00F8091C">
        <w:t>k</w:t>
      </w:r>
      <w:r w:rsidR="001D2AA3">
        <w:t>-</w:t>
      </w:r>
      <w:r w:rsidR="00F8091C">
        <w:t>m</w:t>
      </w:r>
      <w:r w:rsidR="00DF0201">
        <w:t>eans</w:t>
      </w:r>
      <w:r w:rsidR="0042322D">
        <w:rPr>
          <w:rStyle w:val="FootnoteReference"/>
        </w:rPr>
        <w:footnoteReference w:id="3"/>
      </w:r>
      <w:r w:rsidR="00DF0201">
        <w:t xml:space="preserve"> </w:t>
      </w:r>
      <w:r w:rsidR="001D2AA3">
        <w:t>and Jenks Optimization methods</w:t>
      </w:r>
      <w:r w:rsidR="00351D53">
        <w:rPr>
          <w:rStyle w:val="FootnoteReference"/>
        </w:rPr>
        <w:footnoteReference w:id="4"/>
      </w:r>
      <w:r w:rsidR="0081775A">
        <w:t>,</w:t>
      </w:r>
      <w:r w:rsidR="001D2AA3">
        <w:t xml:space="preserve"> </w:t>
      </w:r>
      <w:r w:rsidR="00D67593">
        <w:t xml:space="preserve">where choice of method was driven by software availability. </w:t>
      </w:r>
      <w:r w:rsidR="00B315E5">
        <w:t>Specifically, the D</w:t>
      </w:r>
      <w:r w:rsidR="00D567A3">
        <w:t xml:space="preserve">ecommissioning Readiness indices were binned using </w:t>
      </w:r>
      <w:r w:rsidR="007357D7">
        <w:t xml:space="preserve">the Jenks Optimization method while the Gas Assets and Equity indices were binned using </w:t>
      </w:r>
      <w:r w:rsidR="00F8091C">
        <w:t>k-means</w:t>
      </w:r>
      <w:r w:rsidR="002C3179">
        <w:t xml:space="preserve">. </w:t>
      </w:r>
      <w:r w:rsidR="00D67593">
        <w:t xml:space="preserve">Both the </w:t>
      </w:r>
      <w:r w:rsidR="00F8091C">
        <w:t xml:space="preserve">k-means </w:t>
      </w:r>
      <w:r w:rsidR="00D67593">
        <w:t xml:space="preserve">and Jenks Optimization methods </w:t>
      </w:r>
      <w:r w:rsidR="009C6098">
        <w:t xml:space="preserve">are unsupervised classification algorithms that </w:t>
      </w:r>
      <w:r w:rsidR="00797483">
        <w:t xml:space="preserve">assign observations to one of </w:t>
      </w:r>
      <m:oMath>
        <m:r>
          <w:rPr>
            <w:rFonts w:ascii="Cambria Math" w:hAnsi="Cambria Math"/>
          </w:rPr>
          <m:t>k</m:t>
        </m:r>
      </m:oMath>
      <w:r w:rsidR="008F4229">
        <w:t xml:space="preserve"> classes, where </w:t>
      </w:r>
      <m:oMath>
        <m:r>
          <w:rPr>
            <w:rFonts w:ascii="Cambria Math" w:hAnsi="Cambria Math"/>
          </w:rPr>
          <m:t>k</m:t>
        </m:r>
      </m:oMath>
      <w:r w:rsidR="008F4229">
        <w:t xml:space="preserve"> is an integer that is chosen by the user</w:t>
      </w:r>
      <w:r w:rsidR="00332066">
        <w:t xml:space="preserve"> (</w:t>
      </w:r>
      <m:oMath>
        <m:r>
          <w:rPr>
            <w:rFonts w:ascii="Cambria Math" w:hAnsi="Cambria Math"/>
          </w:rPr>
          <m:t>k</m:t>
        </m:r>
      </m:oMath>
      <w:r w:rsidR="00332066">
        <w:t xml:space="preserve"> is 10 in our use case).</w:t>
      </w:r>
      <w:r w:rsidR="003E63F8">
        <w:t xml:space="preserve"> </w:t>
      </w:r>
      <w:r w:rsidR="002A0C6C">
        <w:t xml:space="preserve">The </w:t>
      </w:r>
      <w:r w:rsidR="00F8091C">
        <w:t xml:space="preserve">k-means </w:t>
      </w:r>
      <w:r w:rsidR="002A0C6C">
        <w:t xml:space="preserve">algorithm works by </w:t>
      </w:r>
      <w:r w:rsidR="00FD35CC">
        <w:t>iteratively adjusting</w:t>
      </w:r>
      <w:r w:rsidR="002A0C6C">
        <w:t xml:space="preserve"> </w:t>
      </w:r>
      <w:r w:rsidR="00A4121A">
        <w:t xml:space="preserve">the membership of every observation </w:t>
      </w:r>
      <w:r w:rsidR="008B2880">
        <w:t xml:space="preserve">into one of the </w:t>
      </w:r>
      <m:oMath>
        <m:r>
          <w:rPr>
            <w:rFonts w:ascii="Cambria Math" w:hAnsi="Cambria Math"/>
          </w:rPr>
          <m:t>k</m:t>
        </m:r>
      </m:oMath>
      <w:r w:rsidR="008B2880">
        <w:t xml:space="preserve"> classes until </w:t>
      </w:r>
      <w:r w:rsidR="00C864BA">
        <w:t>within</w:t>
      </w:r>
      <w:r w:rsidR="002F3CFC">
        <w:t>-</w:t>
      </w:r>
      <w:r w:rsidR="00C864BA">
        <w:t xml:space="preserve">class variance has been minimized to be below some threshold. The Jenks Optimization algorithm </w:t>
      </w:r>
      <w:r w:rsidR="008548E0">
        <w:t xml:space="preserve">has the same </w:t>
      </w:r>
      <w:r w:rsidR="000650CE">
        <w:t>within-class</w:t>
      </w:r>
      <w:r w:rsidR="008548E0">
        <w:t xml:space="preserve"> variance minimization goal along with the goal of</w:t>
      </w:r>
      <w:r w:rsidR="00C864BA">
        <w:t xml:space="preserve"> </w:t>
      </w:r>
      <w:r w:rsidR="000A31A3">
        <w:t xml:space="preserve">maximizing </w:t>
      </w:r>
      <w:r w:rsidR="002F3CFC">
        <w:t xml:space="preserve">between-class variance. As a result, both algorithms </w:t>
      </w:r>
      <w:r w:rsidR="002B0A74">
        <w:t xml:space="preserve">should result in </w:t>
      </w:r>
      <w:r w:rsidR="002F3CFC">
        <w:t xml:space="preserve">very </w:t>
      </w:r>
      <w:r w:rsidR="002B0A74">
        <w:t xml:space="preserve">similar classifications, </w:t>
      </w:r>
      <w:r w:rsidR="00840E0C">
        <w:t>especially in a univariate application</w:t>
      </w:r>
      <w:r w:rsidR="007943B1">
        <w:t xml:space="preserve">, </w:t>
      </w:r>
      <w:r w:rsidR="002B0A74">
        <w:t xml:space="preserve">with minor differences </w:t>
      </w:r>
      <w:r w:rsidR="00610A4E">
        <w:t xml:space="preserve">arising </w:t>
      </w:r>
      <w:r w:rsidR="006D6AB0">
        <w:t>around class boundaries.</w:t>
      </w:r>
    </w:p>
    <w:p w14:paraId="59CF20F9" w14:textId="4345FCC8" w:rsidR="00FB5A31" w:rsidRPr="00FB5A31" w:rsidRDefault="00F92B8F" w:rsidP="00FB5A31">
      <w:pPr>
        <w:pStyle w:val="BodyText"/>
      </w:pPr>
      <w:r>
        <w:t>Each algorithm is discussed in more detail below.</w:t>
      </w:r>
    </w:p>
    <w:p w14:paraId="480183B5" w14:textId="4D14A622" w:rsidR="00F92B8F" w:rsidRDefault="00E42CD4" w:rsidP="007C616A">
      <w:pPr>
        <w:pStyle w:val="Heading3"/>
      </w:pPr>
      <w:r>
        <w:t>Fisher-</w:t>
      </w:r>
      <w:r w:rsidR="00005BAC">
        <w:t>Jenks Optimization</w:t>
      </w:r>
    </w:p>
    <w:p w14:paraId="5BCABE53" w14:textId="023C5789" w:rsidR="00A94179" w:rsidRDefault="00A94179" w:rsidP="00A94179">
      <w:pPr>
        <w:pStyle w:val="BodyText"/>
      </w:pPr>
      <w:r>
        <w:t xml:space="preserve">The </w:t>
      </w:r>
      <w:r w:rsidR="00E42CD4">
        <w:t>Fisher-</w:t>
      </w:r>
      <w:r>
        <w:t>Jenks optimization method</w:t>
      </w:r>
      <w:r w:rsidR="2BDA9B03">
        <w:t>,</w:t>
      </w:r>
      <w:r>
        <w:t xml:space="preserve"> also known as the goodness of variance fit (GVF</w:t>
      </w:r>
      <w:r w:rsidR="008651B4">
        <w:t>), seeks</w:t>
      </w:r>
      <w:r w:rsidR="4A173A63">
        <w:t xml:space="preserve"> to </w:t>
      </w:r>
      <w:r>
        <w:t>minimiz</w:t>
      </w:r>
      <w:r w:rsidR="677C7C53">
        <w:t>e</w:t>
      </w:r>
      <w:r w:rsidR="2CE37903">
        <w:t xml:space="preserve"> the variance within</w:t>
      </w:r>
      <w:r w:rsidR="41E9CF21">
        <w:t xml:space="preserve"> a set of defined</w:t>
      </w:r>
      <w:r w:rsidR="2CE37903">
        <w:t xml:space="preserve"> classes while simultaneously maximizing the variance between </w:t>
      </w:r>
      <w:r w:rsidR="03EA27D3">
        <w:t>them</w:t>
      </w:r>
      <w:r w:rsidR="2CE37903">
        <w:t xml:space="preserve">. </w:t>
      </w:r>
      <w:r>
        <w:t>The method employs the following four steps:</w:t>
      </w:r>
    </w:p>
    <w:p w14:paraId="39E3C155" w14:textId="1EA937D2" w:rsidR="00A94179" w:rsidRDefault="00A94179" w:rsidP="00A94179">
      <w:pPr>
        <w:pStyle w:val="Bullet1"/>
      </w:pPr>
      <w:r w:rsidRPr="007B37AD">
        <w:rPr>
          <w:b/>
          <w:bCs/>
        </w:rPr>
        <w:t>Step 1:</w:t>
      </w:r>
      <w:r>
        <w:t xml:space="preserve"> The user selects the attribute, x, to be classified and specifies the number of classes required, k. </w:t>
      </w:r>
    </w:p>
    <w:p w14:paraId="56E7F872" w14:textId="1D2E19B5" w:rsidR="00A94179" w:rsidRDefault="00A94179" w:rsidP="00A94179">
      <w:pPr>
        <w:pStyle w:val="Bullet1"/>
      </w:pPr>
      <w:r w:rsidRPr="007B37AD">
        <w:rPr>
          <w:b/>
          <w:bCs/>
        </w:rPr>
        <w:t>Step 2:</w:t>
      </w:r>
      <w:r>
        <w:t xml:space="preserve"> A set of k</w:t>
      </w:r>
      <w:r>
        <w:rPr>
          <w:rFonts w:ascii="Cambria Math" w:hAnsi="Cambria Math" w:cs="Cambria Math"/>
        </w:rPr>
        <w:t>‑</w:t>
      </w:r>
      <w:r>
        <w:t>1 random or uniform values are generated in the range [min{x},</w:t>
      </w:r>
      <w:r w:rsidR="008651B4">
        <w:t xml:space="preserve"> </w:t>
      </w:r>
      <w:r>
        <w:t xml:space="preserve">max{x}]. These are used as initial class boundaries. </w:t>
      </w:r>
    </w:p>
    <w:p w14:paraId="70E2E9A8" w14:textId="170B4575" w:rsidR="00A94179" w:rsidRDefault="00A94179" w:rsidP="00A94179">
      <w:pPr>
        <w:pStyle w:val="Bullet1"/>
      </w:pPr>
      <w:r w:rsidRPr="007B37AD">
        <w:rPr>
          <w:b/>
          <w:bCs/>
        </w:rPr>
        <w:t>Step 3:</w:t>
      </w:r>
      <w:r>
        <w:t xml:space="preserve"> The mean values for each initial class are computed and the sum of squared deviations of class members from the mean values is computed. The total sum of squared deviations (TSSD) is recorded. </w:t>
      </w:r>
    </w:p>
    <w:p w14:paraId="4023A7CB" w14:textId="540387A3" w:rsidR="00A94179" w:rsidRDefault="00A94179" w:rsidP="008651B4">
      <w:pPr>
        <w:pStyle w:val="Bullet1Last"/>
      </w:pPr>
      <w:r w:rsidRPr="1C03B715">
        <w:rPr>
          <w:b/>
          <w:bCs/>
        </w:rPr>
        <w:t>Step 4:</w:t>
      </w:r>
      <w:r>
        <w:t xml:space="preserve"> </w:t>
      </w:r>
      <w:r w:rsidRPr="008651B4">
        <w:t>Individual</w:t>
      </w:r>
      <w:r>
        <w:t xml:space="preserve"> values in each class are assigned to adjacent classes by adjusting the class boundaries to verify that the TSSD can be reduced. This iterative process ends when improvement in TSSD falls below a threshold level, i.e.</w:t>
      </w:r>
      <w:r w:rsidR="00C3616A">
        <w:t xml:space="preserve">, </w:t>
      </w:r>
      <w:r>
        <w:t xml:space="preserve">when the within class variance is as small as possible and between class variance is as large as possible. While true optimization is not assured, the entire process can be optionally repeated from Step 1 or 2 and the TSSD values compared. </w:t>
      </w:r>
    </w:p>
    <w:p w14:paraId="2CA0D700" w14:textId="0B8392A5" w:rsidR="00C3616A" w:rsidRDefault="00C3616A" w:rsidP="00C3616A">
      <w:pPr>
        <w:pStyle w:val="BodyText"/>
      </w:pPr>
      <w:r w:rsidRPr="00C3616A">
        <w:t xml:space="preserve">The Fisher-Jenks natural breaks optimization procedure </w:t>
      </w:r>
      <w:r>
        <w:t xml:space="preserve">shown in </w:t>
      </w:r>
      <w:r>
        <w:fldChar w:fldCharType="begin"/>
      </w:r>
      <w:r>
        <w:instrText xml:space="preserve"> REF _Ref207810281 \h </w:instrText>
      </w:r>
      <w:r>
        <w:fldChar w:fldCharType="separate"/>
      </w:r>
      <w:r>
        <w:t xml:space="preserve">Figure </w:t>
      </w:r>
      <w:r>
        <w:rPr>
          <w:noProof/>
        </w:rPr>
        <w:t>2</w:t>
      </w:r>
      <w:r>
        <w:noBreakHyphen/>
      </w:r>
      <w:r>
        <w:rPr>
          <w:noProof/>
        </w:rPr>
        <w:t>1</w:t>
      </w:r>
      <w:r>
        <w:fldChar w:fldCharType="end"/>
      </w:r>
      <w:r>
        <w:t xml:space="preserve"> </w:t>
      </w:r>
      <w:r w:rsidRPr="00C3616A">
        <w:t xml:space="preserve">was used to rescale values for component input variables into a standard 1-10 ordinal ranking scheme. This procedure is a slightly modified version of the </w:t>
      </w:r>
      <w:r w:rsidR="007A3ECE">
        <w:t>one</w:t>
      </w:r>
      <w:r>
        <w:noBreakHyphen/>
        <w:t>d</w:t>
      </w:r>
      <w:r w:rsidRPr="00C3616A">
        <w:t>imensional k-</w:t>
      </w:r>
      <w:r w:rsidR="00F8091C">
        <w:t>m</w:t>
      </w:r>
      <w:r w:rsidRPr="00C3616A">
        <w:t>eans cluster binning algorithm.</w:t>
      </w:r>
    </w:p>
    <w:p w14:paraId="58ADD05A" w14:textId="0C18B43E" w:rsidR="00EC2D20" w:rsidRDefault="00EC2D20" w:rsidP="00EC2D20">
      <w:pPr>
        <w:pStyle w:val="FigureTitle"/>
      </w:pPr>
      <w:bookmarkStart w:id="10" w:name="_Ref207810281"/>
      <w:bookmarkStart w:id="11" w:name="_Toc213837970"/>
      <w:r>
        <w:t xml:space="preserve">Figure </w:t>
      </w:r>
      <w:r>
        <w:fldChar w:fldCharType="begin"/>
      </w:r>
      <w:r>
        <w:instrText xml:space="preserve"> STYLEREF 1 \s </w:instrText>
      </w:r>
      <w:r>
        <w:fldChar w:fldCharType="separate"/>
      </w:r>
      <w:r>
        <w:rPr>
          <w:noProof/>
        </w:rPr>
        <w:t>2</w:t>
      </w:r>
      <w:r>
        <w:fldChar w:fldCharType="end"/>
      </w:r>
      <w:r>
        <w:noBreakHyphen/>
      </w:r>
      <w:r>
        <w:fldChar w:fldCharType="begin"/>
      </w:r>
      <w:r>
        <w:instrText xml:space="preserve"> SEQ Figure \* ARABIC \s 1 </w:instrText>
      </w:r>
      <w:r>
        <w:fldChar w:fldCharType="separate"/>
      </w:r>
      <w:r>
        <w:rPr>
          <w:noProof/>
        </w:rPr>
        <w:t>1</w:t>
      </w:r>
      <w:r>
        <w:fldChar w:fldCharType="end"/>
      </w:r>
      <w:bookmarkEnd w:id="10"/>
      <w:r>
        <w:t xml:space="preserve">. </w:t>
      </w:r>
      <w:r w:rsidR="00E42CD4">
        <w:t>Fisher-Jenks Natural Breaks Optimization</w:t>
      </w:r>
      <w:bookmarkEnd w:id="11"/>
    </w:p>
    <w:p w14:paraId="0DAD1166" w14:textId="1A51A128" w:rsidR="00177DBC" w:rsidRPr="00BA6D16" w:rsidRDefault="00BF5B79" w:rsidP="00BA6D16">
      <w:pPr>
        <w:pStyle w:val="BodyText"/>
      </w:pPr>
      <w:r>
        <w:rPr>
          <w:noProof/>
        </w:rPr>
        <w:drawing>
          <wp:inline distT="0" distB="0" distL="0" distR="0" wp14:anchorId="0258FB5B" wp14:editId="7A357B22">
            <wp:extent cx="3809210" cy="3009900"/>
            <wp:effectExtent l="0" t="0" r="1270" b="0"/>
            <wp:docPr id="1145410131" name="Picture 2" descr="A graph of the Fisher-Jenks natural breaks optimization, which was used to secale values for component input variables into the 1-10 ordinal ranking scheme utilized i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410131" name="Picture 2" descr="A graph of the Fisher-Jenks natural breaks optimization, which was used to secale values for component input variables into the 1-10 ordinal ranking scheme utilized in the T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4065" cy="3013736"/>
                    </a:xfrm>
                    <a:prstGeom prst="rect">
                      <a:avLst/>
                    </a:prstGeom>
                    <a:noFill/>
                    <a:ln>
                      <a:noFill/>
                    </a:ln>
                  </pic:spPr>
                </pic:pic>
              </a:graphicData>
            </a:graphic>
          </wp:inline>
        </w:drawing>
      </w:r>
    </w:p>
    <w:p w14:paraId="19EFA897" w14:textId="037D400C" w:rsidR="00135E9A" w:rsidRDefault="00135E9A" w:rsidP="00135E9A">
      <w:pPr>
        <w:pStyle w:val="Heading3"/>
      </w:pPr>
      <w:bookmarkStart w:id="12" w:name="_Ref211864309"/>
      <w:r>
        <w:t>K-Means Clustering</w:t>
      </w:r>
      <w:bookmarkEnd w:id="12"/>
    </w:p>
    <w:p w14:paraId="228B4E0F" w14:textId="13BBABCC" w:rsidR="00236F4F" w:rsidRDefault="00236F4F" w:rsidP="00236F4F">
      <w:pPr>
        <w:pStyle w:val="BodyText"/>
      </w:pPr>
      <w:r>
        <w:t>K-</w:t>
      </w:r>
      <w:r w:rsidR="00F8091C">
        <w:t>m</w:t>
      </w:r>
      <w:r>
        <w:t>eans</w:t>
      </w:r>
      <w:r w:rsidR="00814EBC">
        <w:rPr>
          <w:rStyle w:val="FootnoteReference"/>
        </w:rPr>
        <w:footnoteReference w:id="5"/>
      </w:r>
      <w:r w:rsidR="00D208F1">
        <w:t xml:space="preserve"> </w:t>
      </w:r>
      <w:r>
        <w:t xml:space="preserve">is an unsupervised clustering algorithm that assigns observations of arbitrary dimension into </w:t>
      </w:r>
      <w:r w:rsidR="008C2EB8">
        <w:t xml:space="preserve">k classes, where </w:t>
      </w:r>
      <w:r w:rsidR="005F309D">
        <w:t>the user chooses k</w:t>
      </w:r>
      <w:r w:rsidR="008C2EB8">
        <w:t>. The algorithm works as follows:</w:t>
      </w:r>
    </w:p>
    <w:p w14:paraId="6246667E" w14:textId="1E5367B5" w:rsidR="00365A82" w:rsidRDefault="005870CB" w:rsidP="00503ED2">
      <w:pPr>
        <w:pStyle w:val="ListNumber"/>
      </w:pPr>
      <w:r>
        <w:t xml:space="preserve">Choose </w:t>
      </w:r>
      <w:r w:rsidR="008C2EB8">
        <w:t xml:space="preserve">k cluster centers </w:t>
      </w:r>
      <w:r w:rsidR="00D43BC0">
        <w:t>at random from the range[(min{x1}, min{x2}, …, min{xn}</w:t>
      </w:r>
      <w:r w:rsidR="00D40F6D">
        <w:t>), (max{x1}, max{x2}, …, max{xn})]</w:t>
      </w:r>
      <w:r w:rsidR="00365A82">
        <w:t>.</w:t>
      </w:r>
    </w:p>
    <w:p w14:paraId="186F688E" w14:textId="4422D36E" w:rsidR="008C2EB8" w:rsidRDefault="00365A82" w:rsidP="00503ED2">
      <w:pPr>
        <w:pStyle w:val="ListNumber"/>
      </w:pPr>
      <w:r>
        <w:t xml:space="preserve">Assign every </w:t>
      </w:r>
      <w:r w:rsidR="00D40F6D">
        <w:t>observation in the population to the closest cluster ce</w:t>
      </w:r>
      <w:r w:rsidR="008E2E90">
        <w:t>nter.</w:t>
      </w:r>
    </w:p>
    <w:p w14:paraId="3CB87901" w14:textId="40CCD557" w:rsidR="00D40F6D" w:rsidRDefault="00D76861" w:rsidP="00503ED2">
      <w:pPr>
        <w:pStyle w:val="ListNumber"/>
      </w:pPr>
      <w:r>
        <w:t xml:space="preserve">Recalculate the k cluster centers according to </w:t>
      </w:r>
      <w:r w:rsidR="008E2E90">
        <w:t>the current assignment of observations.</w:t>
      </w:r>
    </w:p>
    <w:p w14:paraId="553BD2C5" w14:textId="30D48229" w:rsidR="008C2A31" w:rsidRPr="007F6182" w:rsidRDefault="008E2E90" w:rsidP="00503ED2">
      <w:pPr>
        <w:pStyle w:val="ListNumber"/>
      </w:pPr>
      <w:r>
        <w:t>Repeat ste</w:t>
      </w:r>
      <w:r w:rsidR="00365A82">
        <w:t xml:space="preserve">ps 2 and 3 until </w:t>
      </w:r>
      <w:r w:rsidR="00C500A8">
        <w:t>convergence, or until the WCSS (within cluster sum of squares) falls below a threshold.</w:t>
      </w:r>
    </w:p>
    <w:p w14:paraId="58F3A371" w14:textId="2B102D44" w:rsidR="009669C6" w:rsidRDefault="006A2FFB" w:rsidP="006A2FFB">
      <w:pPr>
        <w:pStyle w:val="Heading2"/>
      </w:pPr>
      <w:bookmarkStart w:id="13" w:name="_Toc213837939"/>
      <w:r>
        <w:t>Criteria Weighting</w:t>
      </w:r>
      <w:bookmarkEnd w:id="13"/>
    </w:p>
    <w:p w14:paraId="4EBAC655" w14:textId="391A7BDE" w:rsidR="00A21427" w:rsidRDefault="00A21427" w:rsidP="3C74CBD0">
      <w:pPr>
        <w:pStyle w:val="BodyText"/>
      </w:pPr>
      <w:r w:rsidRPr="00686DBF">
        <w:rPr>
          <w:color w:val="000000"/>
        </w:rPr>
        <w:t xml:space="preserve">Within the scope of this study, the research team did not conduct a comprehensive evaluation of potential variations in outcomes resulting from different weight combinations applied to the secondary criteria (indexes). Accordingly, the default tertiary metric (composite index) presented in the </w:t>
      </w:r>
      <w:r w:rsidR="00251A54">
        <w:rPr>
          <w:color w:val="000000"/>
        </w:rPr>
        <w:t>T</w:t>
      </w:r>
      <w:r w:rsidRPr="00686DBF">
        <w:rPr>
          <w:color w:val="000000"/>
        </w:rPr>
        <w:t xml:space="preserve">ool is based on a simple uniform weighting scheme. Recognising the importance of accommodating diverse user preferences within this analytical framework, the </w:t>
      </w:r>
      <w:r w:rsidR="00251A54">
        <w:rPr>
          <w:color w:val="000000"/>
        </w:rPr>
        <w:t>T</w:t>
      </w:r>
      <w:r w:rsidRPr="00686DBF">
        <w:rPr>
          <w:color w:val="000000"/>
        </w:rPr>
        <w:t xml:space="preserve">ool has been designed to facilitate the dynamic application of user-defined weights at both the index and sub-index levels. </w:t>
      </w:r>
      <w:r>
        <w:t>This functionality enables</w:t>
      </w:r>
      <w:r w:rsidR="2788E0A5">
        <w:t xml:space="preserve"> users </w:t>
      </w:r>
      <w:r w:rsidR="50544DD1">
        <w:t>t</w:t>
      </w:r>
      <w:r w:rsidR="2788E0A5">
        <w:t xml:space="preserve">o dynamically evaluate any possible combination of weights. </w:t>
      </w:r>
      <w:bookmarkStart w:id="14" w:name="_Hlk213314952"/>
      <w:r w:rsidR="592523E8">
        <w:t xml:space="preserve">The </w:t>
      </w:r>
      <w:r w:rsidR="16C51099">
        <w:t xml:space="preserve">development of these capabilities was pursued </w:t>
      </w:r>
      <w:r w:rsidR="009E5E21">
        <w:t>based on</w:t>
      </w:r>
      <w:r w:rsidR="16C51099">
        <w:t xml:space="preserve"> </w:t>
      </w:r>
      <w:r w:rsidR="009E5E21">
        <w:t xml:space="preserve">feedback </w:t>
      </w:r>
      <w:r w:rsidR="00E92DD3">
        <w:t xml:space="preserve">regarding their importance </w:t>
      </w:r>
      <w:bookmarkEnd w:id="14"/>
      <w:r w:rsidR="00E92DD3">
        <w:t xml:space="preserve">received during engagement with </w:t>
      </w:r>
      <w:r w:rsidR="00A66282">
        <w:t>stakeholders in</w:t>
      </w:r>
      <w:r w:rsidR="000D20CE">
        <w:t xml:space="preserve"> technical advisory committee (TAC) </w:t>
      </w:r>
      <w:r w:rsidR="00586B5C">
        <w:t xml:space="preserve">meetings, community workshops, and other meetings with </w:t>
      </w:r>
      <w:r w:rsidR="00297880">
        <w:t>CEC sta</w:t>
      </w:r>
      <w:r w:rsidR="005B19AD">
        <w:t>ff,</w:t>
      </w:r>
      <w:r w:rsidR="009E5E21">
        <w:t xml:space="preserve"> </w:t>
      </w:r>
      <w:r w:rsidR="16C51099">
        <w:t>communit</w:t>
      </w:r>
      <w:r w:rsidR="00AF6CB3">
        <w:t>y partners</w:t>
      </w:r>
      <w:r w:rsidR="005B19AD">
        <w:t>,</w:t>
      </w:r>
      <w:r w:rsidR="16C51099">
        <w:t xml:space="preserve"> and interested parties. </w:t>
      </w:r>
      <w:r w:rsidR="3ADBDA0C">
        <w:t xml:space="preserve">We </w:t>
      </w:r>
      <w:r w:rsidR="00574B54">
        <w:t xml:space="preserve">expect </w:t>
      </w:r>
      <w:r w:rsidR="3ADBDA0C">
        <w:t xml:space="preserve">that proper assessment of metrics-weighting will be an active area for future research and require significant stakeholder engagement. </w:t>
      </w:r>
      <w:r w:rsidR="009E5E21">
        <w:t>W</w:t>
      </w:r>
      <w:r w:rsidR="3ADBDA0C">
        <w:t xml:space="preserve">eighting </w:t>
      </w:r>
      <w:r w:rsidR="00BF3A62" w:rsidRPr="00BF3A62">
        <w:t>approaches may vary according to policy objectives, which can differ across regions or IOU districts.</w:t>
      </w:r>
      <w:r w:rsidR="002F3D09">
        <w:t xml:space="preserve"> </w:t>
      </w:r>
    </w:p>
    <w:p w14:paraId="0E258A7F" w14:textId="00BD3AF6" w:rsidR="008E4323" w:rsidRDefault="008E4323" w:rsidP="00CE61B2">
      <w:pPr>
        <w:pStyle w:val="Heading2"/>
      </w:pPr>
      <w:bookmarkStart w:id="15" w:name="_Toc213837940"/>
      <w:r>
        <w:t>Imputation</w:t>
      </w:r>
      <w:bookmarkEnd w:id="15"/>
      <w:r w:rsidR="002F3D09">
        <w:t xml:space="preserve"> </w:t>
      </w:r>
    </w:p>
    <w:p w14:paraId="2268BB02" w14:textId="315955D9" w:rsidR="008E4323" w:rsidRPr="006B27D4" w:rsidRDefault="2E8408EE" w:rsidP="00503ED2">
      <w:pPr>
        <w:pStyle w:val="BodyText"/>
      </w:pPr>
      <w:r w:rsidRPr="00503ED2">
        <w:t>Imputation refers to the process of inferring values for a given attribute or data field in instances where data is missing.</w:t>
      </w:r>
      <w:r w:rsidR="5DA636D2" w:rsidRPr="00503ED2">
        <w:t xml:space="preserve"> </w:t>
      </w:r>
      <w:r w:rsidR="0D80D112" w:rsidRPr="6F9D6BCD">
        <w:t xml:space="preserve">One of the fundamental limitations of the GIS-MCDA framework, which is the basis of our analytical approach, is that each hierarchy of the index structure inherits the missing data elements of the elements beneath it. </w:t>
      </w:r>
      <w:r w:rsidR="43709993" w:rsidRPr="6F9D6BCD">
        <w:t>I</w:t>
      </w:r>
      <w:r w:rsidR="0D80D112" w:rsidRPr="6F9D6BCD">
        <w:t>n other words, if data is missing for a single variable at a given location, then that will prevent that location from being used in the entire analysis. This is because the mathematical operations which are used to combine component variables into sub-indices, or component sub-indices into indices, do not have any mechanism for coping with missing data values (i.e., 1 + Null = Null). To address this problem within the context of our analyses, different imputation methods were developed and used to infer missing values for different</w:t>
      </w:r>
      <w:r w:rsidR="3390638A" w:rsidRPr="6F9D6BCD">
        <w:t xml:space="preserve"> attributes. T</w:t>
      </w:r>
      <w:r w:rsidR="5B28D2EC" w:rsidRPr="00503ED2">
        <w:t>his</w:t>
      </w:r>
      <w:r w:rsidR="3FCA4AA7" w:rsidRPr="6F9D6BCD">
        <w:t xml:space="preserve"> approach</w:t>
      </w:r>
      <w:r w:rsidR="5B28D2EC" w:rsidRPr="00503ED2">
        <w:t xml:space="preserve"> was </w:t>
      </w:r>
      <w:r w:rsidR="5C367EE1" w:rsidRPr="6F9D6BCD">
        <w:t>taken</w:t>
      </w:r>
      <w:r w:rsidR="440FBBC3" w:rsidRPr="6F9D6BCD">
        <w:t xml:space="preserve"> to leverage</w:t>
      </w:r>
      <w:r w:rsidR="5B28D2EC" w:rsidRPr="00503ED2">
        <w:t xml:space="preserve"> </w:t>
      </w:r>
      <w:r w:rsidR="0091BBCE" w:rsidRPr="6F9D6BCD">
        <w:t xml:space="preserve">unique </w:t>
      </w:r>
      <w:r w:rsidR="5B28D2EC" w:rsidRPr="00503ED2">
        <w:t xml:space="preserve">structural characteristics </w:t>
      </w:r>
      <w:r w:rsidR="48870B9C" w:rsidRPr="6F9D6BCD">
        <w:t>of each</w:t>
      </w:r>
      <w:r w:rsidR="5B28D2EC" w:rsidRPr="00503ED2">
        <w:t xml:space="preserve"> attribute (</w:t>
      </w:r>
      <w:r w:rsidR="62E82251" w:rsidRPr="6F9D6BCD">
        <w:t>such as</w:t>
      </w:r>
      <w:r w:rsidR="5B28D2EC" w:rsidRPr="00503ED2">
        <w:t xml:space="preserve"> correlations to other known variables) </w:t>
      </w:r>
      <w:r w:rsidR="17AE89BC" w:rsidRPr="6F9D6BCD">
        <w:t xml:space="preserve">to improve the quality of </w:t>
      </w:r>
      <w:r w:rsidR="6D26D0F4" w:rsidRPr="6F9D6BCD">
        <w:t>inference</w:t>
      </w:r>
      <w:r w:rsidR="17AE89BC" w:rsidRPr="6F9D6BCD">
        <w:t>.</w:t>
      </w:r>
    </w:p>
    <w:p w14:paraId="44A02F76" w14:textId="43C5CC62" w:rsidR="008E4323" w:rsidRPr="006B27D4" w:rsidRDefault="35F28598" w:rsidP="00503ED2">
      <w:pPr>
        <w:pStyle w:val="Heading3"/>
      </w:pPr>
      <w:r w:rsidRPr="6F9D6BCD">
        <w:t>Imputing Residential Decommissioning Readiness Variables</w:t>
      </w:r>
    </w:p>
    <w:p w14:paraId="4945322A" w14:textId="2DEEF4B8" w:rsidR="009F1D04" w:rsidRDefault="2E8408EE" w:rsidP="6F9D6BCD">
      <w:pPr>
        <w:pStyle w:val="BodyText"/>
      </w:pPr>
      <w:r>
        <w:t xml:space="preserve">In the case of the residential decommissioning readiness index, there are several fields </w:t>
      </w:r>
      <w:r w:rsidR="0000615E">
        <w:t xml:space="preserve">for </w:t>
      </w:r>
      <w:r>
        <w:t xml:space="preserve">which </w:t>
      </w:r>
      <w:r w:rsidR="0000615E">
        <w:t xml:space="preserve">missing values </w:t>
      </w:r>
      <w:r>
        <w:t xml:space="preserve">were derived </w:t>
      </w:r>
      <w:r w:rsidR="0000615E">
        <w:t>using</w:t>
      </w:r>
      <w:r>
        <w:t xml:space="preserve"> UCLA's private database of IOU customer metered electricity and natural gas consumption.</w:t>
      </w:r>
      <w:r w:rsidR="00076281">
        <w:t xml:space="preserve"> </w:t>
      </w:r>
      <w:r w:rsidR="007B073F">
        <w:t xml:space="preserve">Because the underlying source dataset is limited to IOU customer premises, we determined that imputing missing values for several variables was necessary—this ensured that incorporating the residential decommissioning readiness index did not reduce the geographic coverage of the overall analysis. </w:t>
      </w:r>
      <w:r w:rsidR="00300C66">
        <w:t>In accordance with CPUC</w:t>
      </w:r>
      <w:r w:rsidR="00E43881">
        <w:t>-</w:t>
      </w:r>
      <w:r w:rsidR="00300C66">
        <w:t xml:space="preserve">mandated customer usage data anonymization and aggregation guidelines, all uses of residential IOU customer usage data involved aggregations </w:t>
      </w:r>
      <w:r w:rsidR="31C14742">
        <w:t xml:space="preserve">that </w:t>
      </w:r>
      <w:r w:rsidR="00300C66">
        <w:t>contain</w:t>
      </w:r>
      <w:r w:rsidR="373B1072">
        <w:t>ed</w:t>
      </w:r>
      <w:r w:rsidR="00300C66">
        <w:t xml:space="preserve"> a minimum of 100 residential customers. In instances where this threshold could not be achieved for a given census tract, usage related attribute values were treated as NULL and then inferred based upon a geographic proximity-based imputation method </w:t>
      </w:r>
      <w:r w:rsidR="620D8C22">
        <w:t>that was applied using the</w:t>
      </w:r>
      <w:r w:rsidR="00300C66">
        <w:t xml:space="preserve"> remaining available data.</w:t>
      </w:r>
    </w:p>
    <w:p w14:paraId="662A7DCC" w14:textId="37529EFC" w:rsidR="008E4323" w:rsidRDefault="5A48920F" w:rsidP="00503ED2">
      <w:pPr>
        <w:pStyle w:val="BodyText"/>
      </w:pPr>
      <w:r>
        <w:t>The specific</w:t>
      </w:r>
      <w:r w:rsidR="2C651C9B">
        <w:t xml:space="preserve"> </w:t>
      </w:r>
      <w:r>
        <w:t>method</w:t>
      </w:r>
      <w:r w:rsidR="0E50620B">
        <w:t>ology</w:t>
      </w:r>
      <w:r w:rsidR="257704DD">
        <w:t xml:space="preserve"> that was</w:t>
      </w:r>
      <w:r w:rsidR="0E50620B">
        <w:t xml:space="preserve"> </w:t>
      </w:r>
      <w:r w:rsidR="007E5BB9">
        <w:t xml:space="preserve">used </w:t>
      </w:r>
      <w:r w:rsidR="3C4BF520">
        <w:t>to</w:t>
      </w:r>
      <w:r w:rsidR="4C81CAA5">
        <w:t xml:space="preserve"> </w:t>
      </w:r>
      <w:r w:rsidR="2FFBE242">
        <w:t>perform this</w:t>
      </w:r>
      <w:r w:rsidR="4C81CAA5">
        <w:t xml:space="preserve"> imputation is known as</w:t>
      </w:r>
      <w:r w:rsidR="3C4BF520">
        <w:t xml:space="preserve"> </w:t>
      </w:r>
      <w:r w:rsidR="007E5BB9">
        <w:t>Kriging</w:t>
      </w:r>
      <w:r w:rsidR="55A13209">
        <w:t xml:space="preserve">. </w:t>
      </w:r>
      <w:r w:rsidR="74F41E10">
        <w:t>Kriging</w:t>
      </w:r>
      <w:r w:rsidR="55A13209">
        <w:t xml:space="preserve"> is </w:t>
      </w:r>
      <w:r w:rsidR="007E5BB9">
        <w:t>a form of spatially weighted interpolation</w:t>
      </w:r>
      <w:r w:rsidR="1444C919">
        <w:t xml:space="preserve"> that</w:t>
      </w:r>
      <w:r w:rsidR="2E8408EE">
        <w:t xml:space="preserve"> </w:t>
      </w:r>
      <w:r w:rsidR="000E2117">
        <w:t xml:space="preserve">predicts values </w:t>
      </w:r>
      <w:r w:rsidR="3F81BDE3">
        <w:t xml:space="preserve">for attributes </w:t>
      </w:r>
      <w:r w:rsidR="000E2117">
        <w:t>at</w:t>
      </w:r>
      <w:r w:rsidR="49A86868">
        <w:t xml:space="preserve"> missing or</w:t>
      </w:r>
      <w:r w:rsidR="000E2117">
        <w:t xml:space="preserve"> unobserved locations</w:t>
      </w:r>
      <w:r w:rsidR="5F538B6B">
        <w:t xml:space="preserve"> based upon the</w:t>
      </w:r>
      <w:r w:rsidR="000E2117">
        <w:t xml:space="preserve"> spatial correlation </w:t>
      </w:r>
      <w:r w:rsidR="7967157B">
        <w:t xml:space="preserve">structure </w:t>
      </w:r>
      <w:r w:rsidR="47327A59">
        <w:t>available observations</w:t>
      </w:r>
      <w:r w:rsidR="7F6222B1">
        <w:t xml:space="preserve">. </w:t>
      </w:r>
      <w:r w:rsidR="71FD14B3">
        <w:t>It</w:t>
      </w:r>
      <w:r w:rsidR="7F6222B1">
        <w:t xml:space="preserve"> r</w:t>
      </w:r>
      <w:r w:rsidR="000E2117">
        <w:t xml:space="preserve">equires fitting a spatial covariance model </w:t>
      </w:r>
      <w:r w:rsidR="633C13BB">
        <w:t>to</w:t>
      </w:r>
      <w:r w:rsidR="000E2117">
        <w:t xml:space="preserve"> each attribute</w:t>
      </w:r>
      <w:r w:rsidR="5590B81B">
        <w:t xml:space="preserve"> for which missing values must be inferred</w:t>
      </w:r>
      <w:r w:rsidR="000E2117">
        <w:t>, since the</w:t>
      </w:r>
      <w:r w:rsidR="76CDA616">
        <w:t xml:space="preserve"> spatial correlation structures</w:t>
      </w:r>
      <w:r w:rsidR="000E2117">
        <w:t xml:space="preserve"> may differ</w:t>
      </w:r>
      <w:r w:rsidR="66375840">
        <w:t xml:space="preserve"> </w:t>
      </w:r>
      <w:r w:rsidR="09988014">
        <w:t xml:space="preserve">between </w:t>
      </w:r>
      <w:r w:rsidR="66375840">
        <w:t>attributes</w:t>
      </w:r>
      <w:r w:rsidR="000E2117">
        <w:t>.</w:t>
      </w:r>
      <w:r w:rsidR="2E8408EE">
        <w:t xml:space="preserve"> These models </w:t>
      </w:r>
      <w:r w:rsidR="2E01CFEB">
        <w:t xml:space="preserve">are then </w:t>
      </w:r>
      <w:r w:rsidR="2E8408EE">
        <w:t xml:space="preserve">used to generate predictions for the values of </w:t>
      </w:r>
      <w:r w:rsidR="5AACA0B9">
        <w:t>each attribute</w:t>
      </w:r>
      <w:r w:rsidR="2E8408EE">
        <w:t xml:space="preserve"> at </w:t>
      </w:r>
      <w:r w:rsidR="29D1BCF8">
        <w:t>missing or unobserved</w:t>
      </w:r>
      <w:r w:rsidR="2E8408EE">
        <w:t xml:space="preserve"> locations. </w:t>
      </w:r>
    </w:p>
    <w:p w14:paraId="7BB076CF" w14:textId="4F89675B" w:rsidR="008E4323" w:rsidRDefault="2E8408EE" w:rsidP="00503ED2">
      <w:pPr>
        <w:pStyle w:val="BodyText"/>
      </w:pPr>
      <w:r>
        <w:t>For this analysis we used the centroid locations of each census tract</w:t>
      </w:r>
      <w:r w:rsidR="4E94988F">
        <w:t>s</w:t>
      </w:r>
      <w:r>
        <w:t xml:space="preserve"> with missing attribute values for the purpose of computing the pairwise distances that are required </w:t>
      </w:r>
      <w:r w:rsidR="71850FC8">
        <w:t>to develop these</w:t>
      </w:r>
      <w:r>
        <w:t xml:space="preserve"> spatial correlation models. </w:t>
      </w:r>
      <w:r w:rsidR="56D38E99">
        <w:t>The</w:t>
      </w:r>
      <w:r>
        <w:t xml:space="preserve"> Kriging </w:t>
      </w:r>
      <w:r w:rsidR="3C526F62">
        <w:t>procedure</w:t>
      </w:r>
      <w:r w:rsidR="65054D7A">
        <w:t xml:space="preserve"> </w:t>
      </w:r>
      <w:r w:rsidR="13E15F99">
        <w:t xml:space="preserve">generates </w:t>
      </w:r>
      <w:r>
        <w:t xml:space="preserve">a </w:t>
      </w:r>
      <w:r w:rsidR="72CDF916">
        <w:t xml:space="preserve">set of </w:t>
      </w:r>
      <w:r>
        <w:t xml:space="preserve">confidence </w:t>
      </w:r>
      <w:r w:rsidR="16A9494A">
        <w:t>intervals</w:t>
      </w:r>
      <w:r w:rsidR="773163CD">
        <w:t xml:space="preserve"> for</w:t>
      </w:r>
      <w:r w:rsidR="4B080970">
        <w:t xml:space="preserve"> </w:t>
      </w:r>
      <w:r w:rsidR="3A7C0F28">
        <w:t xml:space="preserve">each </w:t>
      </w:r>
      <w:r w:rsidR="773163CD">
        <w:t>imputed value</w:t>
      </w:r>
      <w:r w:rsidR="3AC1C0A3">
        <w:t xml:space="preserve"> </w:t>
      </w:r>
      <w:r w:rsidR="2AF2C66A">
        <w:t>that it produces</w:t>
      </w:r>
      <w:r>
        <w:t>. An analysis of these confidence intervals indicated that they were suitable for use in th</w:t>
      </w:r>
      <w:r w:rsidR="6BC0D610">
        <w:t>is application</w:t>
      </w:r>
      <w:r w:rsidR="4B12EA58">
        <w:t>; however, these</w:t>
      </w:r>
      <w:r w:rsidR="7B8E13C0">
        <w:t xml:space="preserve"> confidence intervals have not </w:t>
      </w:r>
      <w:r>
        <w:t>been retained as variables in the hosted dataset.</w:t>
      </w:r>
      <w:r w:rsidR="03FD5BA3">
        <w:t xml:space="preserve"> All variables for which this type of imputation was applied have been documented in the Tool’s documentation page</w:t>
      </w:r>
      <w:r w:rsidR="22D37B8E">
        <w:t>s and associated ArcGIS Online</w:t>
      </w:r>
      <w:r w:rsidR="24D0BAD6">
        <w:t xml:space="preserve"> feature</w:t>
      </w:r>
      <w:r w:rsidR="22D37B8E">
        <w:t xml:space="preserve"> metadata.</w:t>
      </w:r>
      <w:r w:rsidR="00E16FA0">
        <w:t xml:space="preserve"> </w:t>
      </w:r>
    </w:p>
    <w:p w14:paraId="5FF0084C" w14:textId="53976EB3" w:rsidR="008E4323" w:rsidRPr="00503ED2" w:rsidRDefault="6B81F87E" w:rsidP="00503ED2">
      <w:pPr>
        <w:pStyle w:val="Heading3"/>
      </w:pPr>
      <w:bookmarkStart w:id="16" w:name="_Ref211864258"/>
      <w:r w:rsidRPr="6F9D6BCD">
        <w:t xml:space="preserve">Imputing Gas </w:t>
      </w:r>
      <w:r w:rsidR="10402E44" w:rsidRPr="6F9D6BCD">
        <w:t>Asset Variables</w:t>
      </w:r>
      <w:bookmarkEnd w:id="16"/>
    </w:p>
    <w:p w14:paraId="01AFA111" w14:textId="66AF5B67" w:rsidR="00E15D04" w:rsidRDefault="00B566EA" w:rsidP="005664EA">
      <w:pPr>
        <w:pStyle w:val="BodyText"/>
      </w:pPr>
      <w:bookmarkStart w:id="17" w:name="_Hlk213876232"/>
      <w:r>
        <w:t xml:space="preserve">In the </w:t>
      </w:r>
      <w:r w:rsidR="00E554FD">
        <w:t xml:space="preserve">case of the gas assets </w:t>
      </w:r>
      <w:r w:rsidR="00640B29">
        <w:t xml:space="preserve">index, imputation was required </w:t>
      </w:r>
      <w:r w:rsidR="0009773C">
        <w:t xml:space="preserve">to calculate the </w:t>
      </w:r>
      <w:r w:rsidR="00F72A55">
        <w:t>cost sub-index</w:t>
      </w:r>
      <w:r w:rsidR="00A2633F">
        <w:t xml:space="preserve">, which was </w:t>
      </w:r>
      <w:r w:rsidR="000B5AF1">
        <w:t xml:space="preserve">defined based on </w:t>
      </w:r>
      <w:r w:rsidR="00300A04">
        <w:t>the</w:t>
      </w:r>
      <w:r w:rsidR="00F45B81">
        <w:t xml:space="preserve"> </w:t>
      </w:r>
      <w:r w:rsidR="005B49EB">
        <w:t>“</w:t>
      </w:r>
      <w:r w:rsidR="00F45B81">
        <w:t>DistAvCost</w:t>
      </w:r>
      <w:r w:rsidR="005B49EB">
        <w:t>”</w:t>
      </w:r>
      <w:r w:rsidR="00F45B81">
        <w:t xml:space="preserve"> field</w:t>
      </w:r>
      <w:r w:rsidR="00F41161">
        <w:t>. This field,</w:t>
      </w:r>
      <w:r w:rsidR="000E2117">
        <w:t xml:space="preserve"> </w:t>
      </w:r>
      <w:r w:rsidR="00A234B7">
        <w:t>available within</w:t>
      </w:r>
      <w:r w:rsidR="00455D3C">
        <w:t xml:space="preserve"> the </w:t>
      </w:r>
      <w:r w:rsidR="009F27C7">
        <w:t xml:space="preserve">Gas System Census Tract </w:t>
      </w:r>
      <w:r w:rsidR="00A234B7">
        <w:t xml:space="preserve">Data </w:t>
      </w:r>
      <w:r w:rsidR="00F36B2C">
        <w:t xml:space="preserve">as provided by utilities to the R.20-01-007 service list on November 4, </w:t>
      </w:r>
      <w:r w:rsidR="00503ED2">
        <w:t>2022,</w:t>
      </w:r>
      <w:r w:rsidR="00AD258C">
        <w:t xml:space="preserve"> in c</w:t>
      </w:r>
      <w:r w:rsidR="00455D3C">
        <w:t xml:space="preserve">ompliance with </w:t>
      </w:r>
      <w:r w:rsidR="000B5AF1">
        <w:t xml:space="preserve">the </w:t>
      </w:r>
      <w:r w:rsidR="00C1647E">
        <w:t>Long-Term Gas Planning Rulemaking</w:t>
      </w:r>
      <w:r w:rsidR="00A226B1">
        <w:t>,</w:t>
      </w:r>
      <w:r w:rsidR="00AD258C">
        <w:rPr>
          <w:rStyle w:val="FootnoteReference"/>
        </w:rPr>
        <w:footnoteReference w:id="6"/>
      </w:r>
      <w:r w:rsidR="007A5768">
        <w:t xml:space="preserve"> was the best proxy for pipeline replacement cost identified in our </w:t>
      </w:r>
      <w:r w:rsidR="007555D6">
        <w:t xml:space="preserve">review of available </w:t>
      </w:r>
      <w:r w:rsidR="007A5768">
        <w:t>data</w:t>
      </w:r>
      <w:r w:rsidR="00B15359">
        <w:t xml:space="preserve">. The column description for DistAvCost </w:t>
      </w:r>
      <w:r w:rsidR="00A928BD">
        <w:t xml:space="preserve">describes the field as </w:t>
      </w:r>
      <w:r w:rsidR="00A928BD" w:rsidRPr="00503ED2">
        <w:rPr>
          <w:i/>
          <w:iCs/>
        </w:rPr>
        <w:t>the average cost per mile to replace distribution pipeline</w:t>
      </w:r>
      <w:r w:rsidR="00E1145B" w:rsidRPr="00503ED2">
        <w:rPr>
          <w:i/>
          <w:iCs/>
        </w:rPr>
        <w:t xml:space="preserve"> </w:t>
      </w:r>
      <w:r w:rsidR="00A928BD" w:rsidRPr="00503ED2">
        <w:rPr>
          <w:i/>
          <w:iCs/>
        </w:rPr>
        <w:t>in</w:t>
      </w:r>
      <w:r w:rsidR="00E1145B" w:rsidRPr="00503ED2">
        <w:rPr>
          <w:i/>
          <w:iCs/>
        </w:rPr>
        <w:t xml:space="preserve"> an Operating </w:t>
      </w:r>
      <w:r w:rsidR="00A928BD" w:rsidRPr="00503ED2">
        <w:rPr>
          <w:i/>
          <w:iCs/>
        </w:rPr>
        <w:t xml:space="preserve">District </w:t>
      </w:r>
      <w:r w:rsidR="00E1145B" w:rsidRPr="00503ED2">
        <w:rPr>
          <w:i/>
          <w:iCs/>
        </w:rPr>
        <w:t>(units: $/mile)</w:t>
      </w:r>
      <w:r w:rsidR="00A928BD">
        <w:t>.</w:t>
      </w:r>
      <w:r w:rsidR="00A226B1">
        <w:rPr>
          <w:rStyle w:val="FootnoteReference"/>
        </w:rPr>
        <w:footnoteReference w:id="7"/>
      </w:r>
      <w:r w:rsidR="00A928BD">
        <w:t xml:space="preserve"> </w:t>
      </w:r>
      <w:r w:rsidR="00364186">
        <w:t xml:space="preserve">The definition of </w:t>
      </w:r>
      <w:r w:rsidR="002E0457">
        <w:t xml:space="preserve">Operating District (field “OpDist”) </w:t>
      </w:r>
      <w:r w:rsidR="00364186">
        <w:t xml:space="preserve">varies by gas utility as follows: </w:t>
      </w:r>
      <w:r w:rsidR="005664EA">
        <w:t xml:space="preserve">Division (PG&amp;E), Operating District (SoCalGas), Construction and Operations Center serving the census tract (SDG&amp;E), or Jurisdiction (SW Gas). </w:t>
      </w:r>
      <w:r w:rsidR="004D7C09">
        <w:t>The documentation also noted that s</w:t>
      </w:r>
      <w:r w:rsidR="00A928BD">
        <w:t>ince average is calculated across</w:t>
      </w:r>
      <w:r w:rsidR="00E1145B">
        <w:t xml:space="preserve"> </w:t>
      </w:r>
      <w:r w:rsidR="00A928BD">
        <w:t xml:space="preserve">the </w:t>
      </w:r>
      <w:r w:rsidR="00167398">
        <w:t>Operating District</w:t>
      </w:r>
      <w:r w:rsidR="00A928BD">
        <w:t xml:space="preserve">, many tracts </w:t>
      </w:r>
      <w:r w:rsidR="004D7C09">
        <w:t>would have</w:t>
      </w:r>
      <w:r w:rsidR="00A928BD">
        <w:t xml:space="preserve"> the same value</w:t>
      </w:r>
      <w:r w:rsidR="002F5765">
        <w:t xml:space="preserve"> of DistAvCost</w:t>
      </w:r>
      <w:r w:rsidR="00A928BD">
        <w:t>.</w:t>
      </w:r>
      <w:r w:rsidR="00C1647E">
        <w:t xml:space="preserve"> </w:t>
      </w:r>
      <w:r w:rsidR="004D7C09">
        <w:t xml:space="preserve">Upon examination of this </w:t>
      </w:r>
      <w:r w:rsidR="008D3B14">
        <w:t>field</w:t>
      </w:r>
      <w:r w:rsidR="004D7C09">
        <w:t xml:space="preserve">, </w:t>
      </w:r>
      <w:r w:rsidR="00A94ADC">
        <w:t>w</w:t>
      </w:r>
      <w:r w:rsidR="002F5765">
        <w:t xml:space="preserve">e found that only </w:t>
      </w:r>
      <w:r w:rsidR="00BB08C9">
        <w:t xml:space="preserve">PG&amp;E’s DistAvCost </w:t>
      </w:r>
      <w:r w:rsidR="0011094B">
        <w:t>contained data with sufficient variation to include in the model</w:t>
      </w:r>
      <w:r w:rsidR="008D3B14">
        <w:t xml:space="preserve"> (i.e., SWG submitted data but only two values </w:t>
      </w:r>
      <w:r w:rsidR="00D23DD4">
        <w:t>representing all operating districts</w:t>
      </w:r>
      <w:r w:rsidR="00167398">
        <w:t xml:space="preserve">; SDG&amp;E submitted a single rate case value; </w:t>
      </w:r>
      <w:r w:rsidR="00A90CF1">
        <w:t>SoCalGas left the field blank</w:t>
      </w:r>
      <w:r w:rsidR="008D3B14">
        <w:t>)</w:t>
      </w:r>
      <w:r w:rsidR="0088027F">
        <w:t>.</w:t>
      </w:r>
      <w:r w:rsidR="00E15D04">
        <w:t xml:space="preserve"> </w:t>
      </w:r>
    </w:p>
    <w:p w14:paraId="044E3554" w14:textId="0D59B7B0" w:rsidR="006D266F" w:rsidRDefault="00D23DD4" w:rsidP="3C74CBD0">
      <w:pPr>
        <w:pStyle w:val="BodyText"/>
      </w:pPr>
      <w:r>
        <w:t>Using PG&amp;E’s DistAvCost, we</w:t>
      </w:r>
      <w:r w:rsidR="00A226B1">
        <w:t xml:space="preserve"> were able to</w:t>
      </w:r>
      <w:r>
        <w:t xml:space="preserve"> impute </w:t>
      </w:r>
      <w:r w:rsidR="00087EDE">
        <w:t>DistA</w:t>
      </w:r>
      <w:r w:rsidR="00B16805">
        <w:t>vCost</w:t>
      </w:r>
      <w:r w:rsidR="001E2205">
        <w:t xml:space="preserve"> </w:t>
      </w:r>
      <w:r w:rsidR="00B16805">
        <w:t xml:space="preserve">for the other gas utilities </w:t>
      </w:r>
      <w:r w:rsidR="00E16968">
        <w:t xml:space="preserve">using fields that were more reliably populated for </w:t>
      </w:r>
      <w:r w:rsidR="001E2205">
        <w:t>all utilities. We</w:t>
      </w:r>
      <w:r w:rsidR="00E15D04">
        <w:t xml:space="preserve"> utilized a regression-based approach</w:t>
      </w:r>
      <w:r w:rsidR="00AF357B">
        <w:t>, fitting a</w:t>
      </w:r>
      <w:r w:rsidR="00A36985">
        <w:t xml:space="preserve"> </w:t>
      </w:r>
      <w:r w:rsidR="00E52806">
        <w:t>multivariate</w:t>
      </w:r>
      <w:r w:rsidR="00AF357B">
        <w:t xml:space="preserve"> Ordinary Least Squares (OLS) model on </w:t>
      </w:r>
      <w:r w:rsidR="00113F5B">
        <w:t xml:space="preserve">known data and then using this model to predict DistAvCost for census tracts where it was missing. A multivariate OLS model quantifies the relationship between one dependent variable and multiple independent variables, resulting in an equation of the form </w:t>
      </w:r>
      <m:oMath>
        <m:r>
          <w:rPr>
            <w:rFonts w:ascii="Cambria Math" w:hAnsi="Cambria Math"/>
          </w:rPr>
          <m:t>y=α</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β</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δ</m:t>
        </m:r>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+C</m:t>
        </m:r>
      </m:oMath>
      <w:r w:rsidR="009D52C8">
        <w:t xml:space="preserve">. </w:t>
      </w:r>
      <w:r w:rsidR="006D266F">
        <w:t xml:space="preserve">The resulting equation can then be used to predict </w:t>
      </w:r>
      <m:oMath>
        <m:r>
          <w:rPr>
            <w:rFonts w:ascii="Cambria Math" w:hAnsi="Cambria Math"/>
          </w:rPr>
          <m:t>y</m:t>
        </m:r>
      </m:oMath>
      <w:r w:rsidR="006D266F">
        <w:t xml:space="preserve"> for different values of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n</m:t>
            </m:r>
          </m:sub>
        </m:sSub>
      </m:oMath>
      <w:r w:rsidR="006D266F">
        <w:t>, and will also provide associated prediction errors.</w:t>
      </w:r>
    </w:p>
    <w:p w14:paraId="6E17A722" w14:textId="54BB2C11" w:rsidR="009F27F5" w:rsidRDefault="0019313D" w:rsidP="00F71646">
      <w:pPr>
        <w:pStyle w:val="BodyText"/>
      </w:pPr>
      <w:r>
        <w:t>We completed this analysis in several steps: (1) variable selection</w:t>
      </w:r>
      <w:r w:rsidR="007A3ECE">
        <w:t>,</w:t>
      </w:r>
      <w:r>
        <w:t xml:space="preserve"> (2) model fitting</w:t>
      </w:r>
      <w:r w:rsidR="007A3ECE">
        <w:t>, and</w:t>
      </w:r>
      <w:r>
        <w:t xml:space="preserve"> (3) imputation.</w:t>
      </w:r>
      <w:r w:rsidR="00F403CD">
        <w:t xml:space="preserve"> </w:t>
      </w:r>
    </w:p>
    <w:p w14:paraId="73F289C9" w14:textId="064C2EDF" w:rsidR="008E4323" w:rsidRDefault="003318E5" w:rsidP="00F71646">
      <w:pPr>
        <w:pStyle w:val="BodyText"/>
      </w:pPr>
      <w:r>
        <w:t xml:space="preserve">In step (1), </w:t>
      </w:r>
      <w:r w:rsidR="00194FFD">
        <w:t xml:space="preserve">we first </w:t>
      </w:r>
      <w:r w:rsidR="00154664">
        <w:t>created</w:t>
      </w:r>
      <w:r w:rsidR="00194FFD">
        <w:t xml:space="preserve"> a model that fit DistAvCost against all available variables. </w:t>
      </w:r>
      <w:r w:rsidR="0083099E">
        <w:t>Any variable in this initial model that had a statistically significant coefficient</w:t>
      </w:r>
      <w:r w:rsidR="00815F6C">
        <w:t>—indicating a strong relationship with DistAvCost—</w:t>
      </w:r>
      <w:r w:rsidR="004A762A">
        <w:t>formed</w:t>
      </w:r>
      <w:r w:rsidR="00815F6C">
        <w:t xml:space="preserve"> </w:t>
      </w:r>
      <w:r w:rsidR="004A762A">
        <w:t xml:space="preserve">a preliminary set of predictor variables. We then removed variables from this set that were </w:t>
      </w:r>
      <w:r w:rsidR="00815F6C">
        <w:t xml:space="preserve">highly correlated with each other, using 0.75 as </w:t>
      </w:r>
      <w:r w:rsidR="00783A15">
        <w:t>a threshold for</w:t>
      </w:r>
      <w:r w:rsidR="007610A1">
        <w:t xml:space="preserve"> the absolute value of the correlation score</w:t>
      </w:r>
      <w:r w:rsidR="0083099E">
        <w:t xml:space="preserve"> </w:t>
      </w:r>
      <w:r w:rsidR="007610A1">
        <w:t xml:space="preserve">between two predictors. </w:t>
      </w:r>
      <w:r w:rsidR="00A33D96">
        <w:t xml:space="preserve">We also removed variables from this set that </w:t>
      </w:r>
      <w:r w:rsidR="004C12B8">
        <w:t xml:space="preserve">were mostly </w:t>
      </w:r>
      <w:r w:rsidR="00A00A29">
        <w:t xml:space="preserve">or </w:t>
      </w:r>
      <w:r w:rsidR="004C12B8">
        <w:t xml:space="preserve">entirely missing for the other IOUs. </w:t>
      </w:r>
      <w:r w:rsidR="00BE7D32">
        <w:t>Next, we fit o</w:t>
      </w:r>
      <w:r w:rsidR="005711C3">
        <w:t xml:space="preserve">ne more regression model </w:t>
      </w:r>
      <w:r w:rsidR="00F91319">
        <w:t>on DistAvCost against the remaining set of variables and</w:t>
      </w:r>
      <w:r w:rsidR="00BE7D32">
        <w:t xml:space="preserve"> then removed any variables that were no longer statistically significant</w:t>
      </w:r>
      <w:r w:rsidR="00144428">
        <w:t xml:space="preserve"> (</w:t>
      </w:r>
      <w:r w:rsidR="00E513A6">
        <w:t xml:space="preserve">the statistical significance of </w:t>
      </w:r>
      <w:r w:rsidR="00954F9B">
        <w:t xml:space="preserve">independent variables in a multivariate model can </w:t>
      </w:r>
      <w:r w:rsidR="003F13B7">
        <w:t>change based on</w:t>
      </w:r>
      <w:r w:rsidR="00AD7833">
        <w:t xml:space="preserve"> the addition or removal of</w:t>
      </w:r>
      <w:r w:rsidR="003F13B7">
        <w:t xml:space="preserve"> other predictors in the model because of </w:t>
      </w:r>
      <w:r w:rsidR="00E62E91">
        <w:t>correlation between these variables).</w:t>
      </w:r>
      <w:r w:rsidR="00AD7833">
        <w:t xml:space="preserve"> Any variables that remained after the selection process became the predictor variables in our </w:t>
      </w:r>
      <w:r w:rsidR="00E954E4">
        <w:t>OLS imputation model. The final OLS model had a</w:t>
      </w:r>
      <w:r w:rsidR="00C9026B">
        <w:t xml:space="preserv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E954E4">
        <w:t xml:space="preserve"> </w:t>
      </w:r>
      <w:r w:rsidR="00C9026B">
        <w:t xml:space="preserve">value of 0.924, indicating </w:t>
      </w:r>
      <w:r w:rsidR="00A54670">
        <w:t>high predicti</w:t>
      </w:r>
      <w:r w:rsidR="009F27F5">
        <w:t>ve</w:t>
      </w:r>
      <w:r w:rsidR="00A54670">
        <w:t xml:space="preserve"> power.</w:t>
      </w:r>
    </w:p>
    <w:p w14:paraId="4D4158A7" w14:textId="278F9C09" w:rsidR="00456607" w:rsidRPr="006B27D4" w:rsidRDefault="009F27F5" w:rsidP="00261E20">
      <w:pPr>
        <w:pStyle w:val="BodyText"/>
      </w:pPr>
      <w:r>
        <w:t xml:space="preserve">In step (2), we </w:t>
      </w:r>
      <w:r w:rsidR="00CC011B">
        <w:t xml:space="preserve">used the final set of predictor variables from step (1) and created an OLS model, fitting the equation </w:t>
      </w:r>
      <m:oMath>
        <m:r>
          <w:rPr>
            <w:rFonts w:ascii="Cambria Math" w:hAnsi="Cambria Math"/>
          </w:rPr>
          <m:t>DistAvCost ~ Diam2OrLess+ Diam2to4+ Diam8to12+DiamOver12+DiamUnk+AvMainPressure+AvMainConsq+AvServiceYear+MainValves+Oldest</m:t>
        </m:r>
      </m:oMath>
      <w:r w:rsidR="008032D9">
        <w:t xml:space="preserve">. In step (3), we </w:t>
      </w:r>
      <w:r w:rsidR="00456607">
        <w:t>fed these variables from the other IOUs into the OLS model to predict DistAvCost for census tracts where it was missing.</w:t>
      </w:r>
      <w:r w:rsidR="003962E9">
        <w:t xml:space="preserve"> </w:t>
      </w:r>
    </w:p>
    <w:p w14:paraId="7A8ACDF4" w14:textId="6DB74DEB" w:rsidR="003F47E5" w:rsidRDefault="79268E3E" w:rsidP="00834753">
      <w:pPr>
        <w:pStyle w:val="Heading1"/>
      </w:pPr>
      <w:bookmarkStart w:id="18" w:name="_Ref197944839"/>
      <w:bookmarkStart w:id="19" w:name="_Toc213837941"/>
      <w:bookmarkEnd w:id="17"/>
      <w:r>
        <w:t>Equity Index</w:t>
      </w:r>
      <w:bookmarkEnd w:id="18"/>
      <w:bookmarkEnd w:id="19"/>
    </w:p>
    <w:p w14:paraId="4ED43085" w14:textId="3E2B5B38" w:rsidR="007507CF" w:rsidRDefault="4D9D0500" w:rsidP="00834753">
      <w:pPr>
        <w:pStyle w:val="Heading2"/>
      </w:pPr>
      <w:bookmarkStart w:id="20" w:name="_Toc213837942"/>
      <w:r>
        <w:t>Overview</w:t>
      </w:r>
      <w:bookmarkEnd w:id="20"/>
    </w:p>
    <w:p w14:paraId="183EC135" w14:textId="65089B4B" w:rsidR="008F7AC5" w:rsidRDefault="7919C1DC" w:rsidP="043ACE0A">
      <w:pPr>
        <w:pStyle w:val="Bullet1Last"/>
        <w:numPr>
          <w:ilvl w:val="0"/>
          <w:numId w:val="0"/>
        </w:numPr>
        <w:rPr>
          <w:color w:val="000000" w:themeColor="text1"/>
        </w:rPr>
      </w:pPr>
      <w:r w:rsidRPr="043ACE0A">
        <w:rPr>
          <w:color w:val="000000" w:themeColor="text1"/>
          <w:lang w:val="en-US"/>
        </w:rPr>
        <w:t xml:space="preserve">The </w:t>
      </w:r>
      <w:r w:rsidR="001F795D">
        <w:rPr>
          <w:color w:val="000000" w:themeColor="text1"/>
          <w:lang w:val="en-US"/>
        </w:rPr>
        <w:t xml:space="preserve">Equity Index </w:t>
      </w:r>
      <w:r w:rsidRPr="043ACE0A">
        <w:rPr>
          <w:color w:val="000000" w:themeColor="text1"/>
          <w:lang w:val="en-US"/>
        </w:rPr>
        <w:t>is comprised of seven sub-indices, each of which is composed of several</w:t>
      </w:r>
      <w:r w:rsidR="005E0C34">
        <w:rPr>
          <w:color w:val="000000" w:themeColor="text1"/>
          <w:lang w:val="en-US"/>
        </w:rPr>
        <w:t xml:space="preserve"> variables</w:t>
      </w:r>
      <w:r w:rsidRPr="043ACE0A">
        <w:rPr>
          <w:color w:val="000000" w:themeColor="text1"/>
          <w:lang w:val="en-US"/>
        </w:rPr>
        <w:t xml:space="preserve">. These </w:t>
      </w:r>
      <w:r w:rsidR="005E0C34">
        <w:rPr>
          <w:color w:val="000000" w:themeColor="text1"/>
          <w:lang w:val="en-US"/>
        </w:rPr>
        <w:t>variables (</w:t>
      </w:r>
      <w:r w:rsidRPr="043ACE0A">
        <w:rPr>
          <w:color w:val="000000" w:themeColor="text1"/>
          <w:lang w:val="en-US"/>
        </w:rPr>
        <w:t>primary metrics</w:t>
      </w:r>
      <w:r w:rsidR="005E0C34">
        <w:rPr>
          <w:color w:val="000000" w:themeColor="text1"/>
          <w:lang w:val="en-US"/>
        </w:rPr>
        <w:t>)</w:t>
      </w:r>
      <w:r w:rsidRPr="043ACE0A">
        <w:rPr>
          <w:color w:val="000000" w:themeColor="text1"/>
          <w:lang w:val="en-US"/>
        </w:rPr>
        <w:t xml:space="preserve"> were identified and compiled to represent community impacts and to investigate pathways for prioritizing California communities who are identified as disadvantaged, underserved, at-risk, and most vulnerable to costs, burdens and cumulative energy inequities associated with early gas decommissioning. The metrics identified are intended to uplift non-energy impacts and benefits (e.g., health, housing, jobs) that communities view as priorities and analyze ways to quantify them for inclusion in the </w:t>
      </w:r>
      <w:r w:rsidR="00644A17">
        <w:rPr>
          <w:color w:val="000000" w:themeColor="text1"/>
          <w:lang w:val="en-US"/>
        </w:rPr>
        <w:t>Tool</w:t>
      </w:r>
      <w:r w:rsidRPr="043ACE0A">
        <w:rPr>
          <w:color w:val="000000" w:themeColor="text1"/>
          <w:lang w:val="en-US"/>
        </w:rPr>
        <w:t>.</w:t>
      </w:r>
    </w:p>
    <w:p w14:paraId="3781D2B7" w14:textId="0BBE2108" w:rsidR="008F7AC5" w:rsidRDefault="7919C1DC" w:rsidP="043ACE0A">
      <w:pPr>
        <w:pStyle w:val="Bullet1Last"/>
        <w:numPr>
          <w:ilvl w:val="0"/>
          <w:numId w:val="0"/>
        </w:numPr>
        <w:rPr>
          <w:color w:val="000000" w:themeColor="text1"/>
        </w:rPr>
      </w:pPr>
      <w:r w:rsidRPr="043ACE0A">
        <w:rPr>
          <w:color w:val="000000" w:themeColor="text1"/>
          <w:lang w:val="en-US"/>
        </w:rPr>
        <w:t>The equity layer was developed with the following data collection goals:</w:t>
      </w:r>
    </w:p>
    <w:p w14:paraId="7DCA318C" w14:textId="6461D8AB" w:rsidR="008F7AC5" w:rsidRDefault="000C25EC" w:rsidP="002B4B29">
      <w:pPr>
        <w:pStyle w:val="Bullet1"/>
      </w:pPr>
      <w:r>
        <w:rPr>
          <w:lang w:val="en-US"/>
        </w:rPr>
        <w:t>C</w:t>
      </w:r>
      <w:r w:rsidR="7919C1DC" w:rsidRPr="043ACE0A">
        <w:rPr>
          <w:lang w:val="en-US"/>
        </w:rPr>
        <w:t>omprehensively identify publicly available equity metrics and potential community impacts relevant to gas pipeline decommissioning.</w:t>
      </w:r>
    </w:p>
    <w:p w14:paraId="4811A25B" w14:textId="732D3CB7" w:rsidR="008F7AC5" w:rsidRDefault="7919C1DC" w:rsidP="002B4B29">
      <w:pPr>
        <w:pStyle w:val="Bullet1"/>
      </w:pPr>
      <w:r w:rsidRPr="043ACE0A">
        <w:rPr>
          <w:lang w:val="en-US"/>
        </w:rPr>
        <w:t>Research and build case study profiles to apply and test equity metrics identified.</w:t>
      </w:r>
    </w:p>
    <w:p w14:paraId="2993BCBC" w14:textId="285E858C" w:rsidR="008F7AC5" w:rsidRDefault="000C25EC" w:rsidP="002B4B29">
      <w:pPr>
        <w:pStyle w:val="Bullet1Last"/>
      </w:pPr>
      <w:r>
        <w:rPr>
          <w:lang w:val="en-US"/>
        </w:rPr>
        <w:t>I</w:t>
      </w:r>
      <w:r w:rsidR="7919C1DC" w:rsidRPr="043ACE0A">
        <w:rPr>
          <w:lang w:val="en-US"/>
        </w:rPr>
        <w:t>teratively refine, prioritize</w:t>
      </w:r>
      <w:r w:rsidR="00E77DA2">
        <w:rPr>
          <w:lang w:val="en-US"/>
        </w:rPr>
        <w:t>,</w:t>
      </w:r>
      <w:r w:rsidR="7919C1DC" w:rsidRPr="043ACE0A">
        <w:rPr>
          <w:lang w:val="en-US"/>
        </w:rPr>
        <w:t xml:space="preserve"> and select a set of equity metrics most representative of contextual community impacts through feedback from team, subject matter experts, and community input.</w:t>
      </w:r>
    </w:p>
    <w:p w14:paraId="1EA6E010" w14:textId="2C4A9AF5" w:rsidR="001C1927" w:rsidRPr="008F7AC5" w:rsidRDefault="001C1927" w:rsidP="001C1927">
      <w:pPr>
        <w:pStyle w:val="Bullet1"/>
        <w:numPr>
          <w:ilvl w:val="0"/>
          <w:numId w:val="0"/>
        </w:numPr>
      </w:pPr>
      <w:r>
        <w:t xml:space="preserve">Further information on the process for </w:t>
      </w:r>
      <w:r w:rsidR="004967E7">
        <w:t xml:space="preserve">identifying data sources and vetting the indices with community stakeholders is described in </w:t>
      </w:r>
      <w:r w:rsidR="00591CAE">
        <w:t xml:space="preserve">the following </w:t>
      </w:r>
      <w:r w:rsidR="00B87C8C">
        <w:t>project</w:t>
      </w:r>
      <w:r w:rsidR="008C570C">
        <w:t xml:space="preserve"> deliverable</w:t>
      </w:r>
      <w:r w:rsidR="00591CAE">
        <w:t xml:space="preserve">: </w:t>
      </w:r>
      <w:r w:rsidR="00591CAE" w:rsidRPr="001621B5">
        <w:rPr>
          <w:b/>
          <w:bCs/>
          <w:i/>
          <w:iCs/>
        </w:rPr>
        <w:t>Community Resources and Equitability Assessment Report.</w:t>
      </w:r>
      <w:r w:rsidR="00591CAE">
        <w:t xml:space="preserve"> </w:t>
      </w:r>
      <w:r w:rsidR="00B87C8C">
        <w:t xml:space="preserve">The following sections describe </w:t>
      </w:r>
      <w:r w:rsidR="00765BA4">
        <w:t xml:space="preserve">how the equity subindices and index were </w:t>
      </w:r>
      <w:r w:rsidR="00F41BB5">
        <w:t xml:space="preserve">designed and developed following the </w:t>
      </w:r>
      <w:r w:rsidR="00E95A5E">
        <w:t xml:space="preserve">estimation methodology </w:t>
      </w:r>
      <w:r w:rsidR="00ED754D">
        <w:t>presented</w:t>
      </w:r>
      <w:r w:rsidR="00482759">
        <w:t xml:space="preserve"> in</w:t>
      </w:r>
      <w:r w:rsidR="00E95A5E">
        <w:t xml:space="preserve"> </w:t>
      </w:r>
      <w:r w:rsidR="00482759" w:rsidRPr="009E5EAC">
        <w:rPr>
          <w:b/>
          <w:bCs/>
          <w:i/>
          <w:iCs/>
        </w:rPr>
        <w:t xml:space="preserve">Section 2, </w:t>
      </w:r>
      <w:r w:rsidR="00482759" w:rsidRPr="009E5EAC">
        <w:rPr>
          <w:b/>
          <w:bCs/>
          <w:i/>
          <w:iCs/>
        </w:rPr>
        <w:fldChar w:fldCharType="begin"/>
      </w:r>
      <w:r w:rsidR="00482759" w:rsidRPr="009E5EAC">
        <w:rPr>
          <w:b/>
          <w:bCs/>
          <w:i/>
          <w:iCs/>
        </w:rPr>
        <w:instrText xml:space="preserve"> REF _Ref197533546 \h  \* MERGEFORMAT </w:instrText>
      </w:r>
      <w:r w:rsidR="00482759" w:rsidRPr="009E5EAC">
        <w:rPr>
          <w:b/>
          <w:bCs/>
          <w:i/>
          <w:iCs/>
        </w:rPr>
      </w:r>
      <w:r w:rsidR="00482759" w:rsidRPr="009E5EAC">
        <w:rPr>
          <w:b/>
          <w:bCs/>
          <w:i/>
          <w:iCs/>
        </w:rPr>
        <w:fldChar w:fldCharType="separate"/>
      </w:r>
      <w:r w:rsidR="00482759" w:rsidRPr="00686DBF">
        <w:rPr>
          <w:b/>
          <w:bCs/>
          <w:i/>
          <w:iCs/>
        </w:rPr>
        <w:t>Methods of Estimation</w:t>
      </w:r>
      <w:r w:rsidR="00482759" w:rsidRPr="009E5EAC">
        <w:rPr>
          <w:b/>
          <w:bCs/>
          <w:i/>
          <w:iCs/>
        </w:rPr>
        <w:fldChar w:fldCharType="end"/>
      </w:r>
      <w:r w:rsidR="00F54DA2">
        <w:rPr>
          <w:b/>
          <w:bCs/>
          <w:i/>
          <w:iCs/>
        </w:rPr>
        <w:t>.</w:t>
      </w:r>
      <w:r w:rsidR="00E95A5E">
        <w:t xml:space="preserve"> </w:t>
      </w:r>
    </w:p>
    <w:p w14:paraId="338D0BF2" w14:textId="437AC401" w:rsidR="00786048" w:rsidRDefault="4D9D0500" w:rsidP="00834753">
      <w:pPr>
        <w:pStyle w:val="Heading2"/>
      </w:pPr>
      <w:bookmarkStart w:id="21" w:name="_Toc213837943"/>
      <w:r>
        <w:t>Methodology and Rationale</w:t>
      </w:r>
      <w:bookmarkEnd w:id="21"/>
    </w:p>
    <w:p w14:paraId="7D3F2610" w14:textId="2FA1F33E" w:rsidR="16C2DF2E" w:rsidRDefault="16C2DF2E" w:rsidP="043ACE0A">
      <w:pPr>
        <w:pStyle w:val="BodyText"/>
      </w:pPr>
      <w:r w:rsidRPr="043ACE0A">
        <w:rPr>
          <w:color w:val="000000" w:themeColor="text1"/>
          <w:lang w:val="en-US"/>
        </w:rPr>
        <w:t xml:space="preserve">The desktop research process reviewed and identified publicly available equity metrics frameworks and screening tools (see </w:t>
      </w:r>
      <w:r w:rsidR="001B0101">
        <w:rPr>
          <w:color w:val="000000" w:themeColor="text1"/>
          <w:lang w:val="en-US"/>
        </w:rPr>
        <w:fldChar w:fldCharType="begin"/>
      </w:r>
      <w:r w:rsidR="001B0101">
        <w:rPr>
          <w:color w:val="000000" w:themeColor="text1"/>
          <w:lang w:val="en-US"/>
        </w:rPr>
        <w:instrText xml:space="preserve"> REF _Ref200443370 \h </w:instrText>
      </w:r>
      <w:r w:rsidR="001B0101">
        <w:rPr>
          <w:color w:val="000000" w:themeColor="text1"/>
          <w:lang w:val="en-US"/>
        </w:rPr>
      </w:r>
      <w:r w:rsidR="001B0101">
        <w:rPr>
          <w:color w:val="000000" w:themeColor="text1"/>
          <w:lang w:val="en-US"/>
        </w:rPr>
        <w:fldChar w:fldCharType="separate"/>
      </w:r>
      <w:r w:rsidR="001B0101">
        <w:t xml:space="preserve">Table </w:t>
      </w:r>
      <w:r w:rsidR="001B0101">
        <w:rPr>
          <w:noProof/>
        </w:rPr>
        <w:t>3</w:t>
      </w:r>
      <w:r w:rsidR="001B0101">
        <w:noBreakHyphen/>
      </w:r>
      <w:r w:rsidR="001B0101">
        <w:rPr>
          <w:noProof/>
        </w:rPr>
        <w:t>1</w:t>
      </w:r>
      <w:r w:rsidR="001B0101">
        <w:rPr>
          <w:color w:val="000000" w:themeColor="text1"/>
          <w:lang w:val="en-US"/>
        </w:rPr>
        <w:fldChar w:fldCharType="end"/>
      </w:r>
      <w:r w:rsidR="001B0101">
        <w:rPr>
          <w:color w:val="000000" w:themeColor="text1"/>
          <w:lang w:val="en-US"/>
        </w:rPr>
        <w:t xml:space="preserve"> </w:t>
      </w:r>
      <w:r w:rsidRPr="043ACE0A">
        <w:rPr>
          <w:color w:val="000000" w:themeColor="text1"/>
          <w:lang w:val="en-US"/>
        </w:rPr>
        <w:t>for a list of metrics and sources). The most relevant and critical equity indicators—used as proxies for community impacts—were then aggregated into a comprehensive list to support the identification of promising gas decommissioning candidate sites statewide.</w:t>
      </w:r>
    </w:p>
    <w:p w14:paraId="098AD9EF" w14:textId="00F36FC4" w:rsidR="645FFA8F" w:rsidRDefault="645FFA8F" w:rsidP="043ACE0A">
      <w:pPr>
        <w:pStyle w:val="BodyText"/>
      </w:pPr>
      <w:r w:rsidRPr="043ACE0A">
        <w:rPr>
          <w:color w:val="000000" w:themeColor="text1"/>
          <w:lang w:val="en-US"/>
        </w:rPr>
        <w:t>If a region scores high in sensitive populations, environmental, and climate risk indicators, it may be considered a promising candidate for early gas decommissioning to help address these risks and related inequities sooner rather than later—provided there are no conflicting results in the gas asset and decommissioning readiness criteria. For example, if an area ranks high on the equity index but scores very low in gas asset presence and readiness, it may be deprioritized in favor of a location that scores high across all three categories. Additionally, even within the equity index itself, certain factors may complicate prioritization. An area with high energy burden and frequent grid outages, for instance, may not be a strong candidate for early decommissioning, as the transition to alternative energy sources could increase energy insecurity in the short term.</w:t>
      </w:r>
    </w:p>
    <w:p w14:paraId="6D8821CE" w14:textId="057ACEB4" w:rsidR="005579AB" w:rsidRDefault="57104C32" w:rsidP="00834753">
      <w:pPr>
        <w:pStyle w:val="Heading2"/>
      </w:pPr>
      <w:bookmarkStart w:id="22" w:name="_Toc213837944"/>
      <w:r>
        <w:t>Data Resources and Sub-Index Detail</w:t>
      </w:r>
      <w:bookmarkEnd w:id="22"/>
    </w:p>
    <w:p w14:paraId="2420FB97" w14:textId="4670D07C" w:rsidR="006C64B3" w:rsidRDefault="006C64B3" w:rsidP="006C64B3">
      <w:pPr>
        <w:pStyle w:val="BodyText"/>
        <w:rPr>
          <w:color w:val="000000" w:themeColor="text1"/>
          <w:lang w:val="en-US"/>
        </w:rPr>
      </w:pPr>
      <w:r>
        <w:rPr>
          <w:color w:val="000000" w:themeColor="text1"/>
          <w:lang w:val="en-US"/>
        </w:rPr>
        <w:t xml:space="preserve">The process for using a </w:t>
      </w:r>
      <w:r w:rsidRPr="000900DD">
        <w:rPr>
          <w:color w:val="000000" w:themeColor="text1"/>
          <w:lang w:val="en-US"/>
        </w:rPr>
        <w:t>data-driven scoring system to evaluate and rank different areas (by census tract)</w:t>
      </w:r>
      <w:r>
        <w:rPr>
          <w:color w:val="000000" w:themeColor="text1"/>
          <w:lang w:val="en-US"/>
        </w:rPr>
        <w:t xml:space="preserve"> was described in Section </w:t>
      </w:r>
      <w:r w:rsidR="00534F09">
        <w:rPr>
          <w:color w:val="000000" w:themeColor="text1"/>
          <w:lang w:val="en-US"/>
        </w:rPr>
        <w:fldChar w:fldCharType="begin"/>
      </w:r>
      <w:r w:rsidR="00534F09">
        <w:rPr>
          <w:color w:val="000000" w:themeColor="text1"/>
          <w:lang w:val="en-US"/>
        </w:rPr>
        <w:instrText xml:space="preserve"> REF _Ref211863998 \w \h </w:instrText>
      </w:r>
      <w:r w:rsidR="00534F09">
        <w:rPr>
          <w:color w:val="000000" w:themeColor="text1"/>
          <w:lang w:val="en-US"/>
        </w:rPr>
      </w:r>
      <w:r w:rsidR="00534F09">
        <w:rPr>
          <w:color w:val="000000" w:themeColor="text1"/>
          <w:lang w:val="en-US"/>
        </w:rPr>
        <w:fldChar w:fldCharType="separate"/>
      </w:r>
      <w:r w:rsidR="00534F09">
        <w:rPr>
          <w:color w:val="000000" w:themeColor="text1"/>
          <w:lang w:val="en-US"/>
        </w:rPr>
        <w:t>2.2</w:t>
      </w:r>
      <w:r w:rsidR="00534F09">
        <w:rPr>
          <w:color w:val="000000" w:themeColor="text1"/>
          <w:lang w:val="en-US"/>
        </w:rPr>
        <w:fldChar w:fldCharType="end"/>
      </w:r>
      <w:r>
        <w:rPr>
          <w:color w:val="000000" w:themeColor="text1"/>
          <w:lang w:val="en-US"/>
        </w:rPr>
        <w:t xml:space="preserve"> Value Scaling. </w:t>
      </w:r>
    </w:p>
    <w:p w14:paraId="0E92B7B1" w14:textId="5CC52EC7" w:rsidR="738BBAF6" w:rsidRDefault="738BBAF6" w:rsidP="043ACE0A">
      <w:pPr>
        <w:pStyle w:val="BodyText"/>
        <w:rPr>
          <w:color w:val="000000" w:themeColor="text1"/>
        </w:rPr>
      </w:pPr>
      <w:r w:rsidRPr="043ACE0A">
        <w:rPr>
          <w:color w:val="000000" w:themeColor="text1"/>
          <w:lang w:val="en-US"/>
        </w:rPr>
        <w:t>In line with the scope of this study, no additional weighting was applied—except for the pre-existing weighting used in the Energy Burden sub-index and Climate Risk Index. Instead, users can apply custom weights to sub-indices and indices in the Analyze tab. This allows weighting to reflect specific policy objectives and community needs, which may vary by region or IOU district.</w:t>
      </w:r>
      <w:r w:rsidR="00A66643">
        <w:rPr>
          <w:color w:val="000000" w:themeColor="text1"/>
          <w:lang w:val="en-US"/>
        </w:rPr>
        <w:t xml:space="preserve"> As noted above, t</w:t>
      </w:r>
      <w:r w:rsidR="00A66643" w:rsidRPr="00586B5C">
        <w:rPr>
          <w:color w:val="000000" w:themeColor="text1"/>
          <w:lang w:val="en-US"/>
        </w:rPr>
        <w:t>he development of these capabilities was pursued based on feedback regarding their importance</w:t>
      </w:r>
      <w:r w:rsidR="003F5602">
        <w:rPr>
          <w:color w:val="000000" w:themeColor="text1"/>
          <w:lang w:val="en-US"/>
        </w:rPr>
        <w:t xml:space="preserve"> from stakeholders, including CEC staff and community partners. </w:t>
      </w:r>
    </w:p>
    <w:p w14:paraId="6CAAF20C" w14:textId="6D9C0D31" w:rsidR="1D13042C" w:rsidRDefault="1D13042C" w:rsidP="043ACE0A">
      <w:pPr>
        <w:pStyle w:val="BodyText"/>
      </w:pPr>
      <w:r>
        <w:t xml:space="preserve">The aggregated data in the </w:t>
      </w:r>
      <w:r w:rsidR="000A1B4D">
        <w:t>T</w:t>
      </w:r>
      <w:r>
        <w:t xml:space="preserve">ool was reviewed and analyzed to determine clusters or patterns of community impacts. For instance, </w:t>
      </w:r>
      <w:r w:rsidR="00DE1679">
        <w:t xml:space="preserve">the </w:t>
      </w:r>
      <w:r>
        <w:t xml:space="preserve">Sensitive Populations Index was regressed with other indices to determine clusters and/or patterns that might emerge based on characteristics such as urban vs. rural vs. </w:t>
      </w:r>
      <w:r w:rsidR="005F309D">
        <w:t>Indigenous</w:t>
      </w:r>
      <w:r>
        <w:t xml:space="preserve"> lands. The analysis informed case study profiles that are as representative of regions and areas throughout the state.</w:t>
      </w:r>
    </w:p>
    <w:p w14:paraId="09036BF1" w14:textId="767CE2AD" w:rsidR="1D13042C" w:rsidRDefault="1D13042C" w:rsidP="043ACE0A">
      <w:pPr>
        <w:pStyle w:val="BodyText"/>
      </w:pPr>
      <w:r>
        <w:t>This case study approach informed a statewide understanding to assist in determination of the unique environmental justice and energy equity-focused needs and interests for various regions in the state.</w:t>
      </w:r>
      <w:r w:rsidR="64E24224">
        <w:t xml:space="preserve"> This case study process and community </w:t>
      </w:r>
      <w:r w:rsidR="244C6330">
        <w:t>validation of the respective indexes</w:t>
      </w:r>
      <w:r w:rsidR="64E24224">
        <w:t xml:space="preserve"> is described in more detail in the </w:t>
      </w:r>
      <w:r w:rsidR="64E24224" w:rsidRPr="00291B9A">
        <w:rPr>
          <w:b/>
          <w:bCs/>
          <w:i/>
          <w:iCs/>
        </w:rPr>
        <w:t>Community Resources and Equitability Assessment Report</w:t>
      </w:r>
      <w:r w:rsidR="64E24224">
        <w:t xml:space="preserve">. </w:t>
      </w:r>
    </w:p>
    <w:p w14:paraId="4548FDC9" w14:textId="153A9391" w:rsidR="00650CE4" w:rsidRPr="00D21BEE" w:rsidRDefault="00650CE4" w:rsidP="00650CE4">
      <w:pPr>
        <w:pStyle w:val="BodyText"/>
      </w:pPr>
      <w:r>
        <w:t xml:space="preserve">The secondary metrics (sub-indices) and primary metrics (variables) for the Equity Index are shown in </w:t>
      </w:r>
      <w:r>
        <w:fldChar w:fldCharType="begin"/>
      </w:r>
      <w:r>
        <w:instrText xml:space="preserve"> REF _Ref200443370 \h </w:instrText>
      </w:r>
      <w:r>
        <w:fldChar w:fldCharType="separate"/>
      </w:r>
      <w:r w:rsidR="005B1A28">
        <w:t xml:space="preserve">Table </w:t>
      </w:r>
      <w:r w:rsidR="005B1A28">
        <w:rPr>
          <w:noProof/>
        </w:rPr>
        <w:t>3</w:t>
      </w:r>
      <w:r w:rsidR="005B1A28">
        <w:noBreakHyphen/>
      </w:r>
      <w:r w:rsidR="005B1A28">
        <w:rPr>
          <w:noProof/>
        </w:rPr>
        <w:t>1</w:t>
      </w:r>
      <w:r>
        <w:fldChar w:fldCharType="end"/>
      </w:r>
      <w:r>
        <w:t xml:space="preserve"> below. Variable descriptions are included below the table.</w:t>
      </w:r>
    </w:p>
    <w:p w14:paraId="1C3CD606" w14:textId="55AF2C60" w:rsidR="00650CE4" w:rsidRDefault="00650CE4" w:rsidP="00185AFB">
      <w:pPr>
        <w:pStyle w:val="FigureTitle"/>
      </w:pPr>
      <w:bookmarkStart w:id="23" w:name="_Ref200443370"/>
      <w:bookmarkStart w:id="24" w:name="_Toc213837965"/>
      <w:r>
        <w:t xml:space="preserve">Table </w:t>
      </w:r>
      <w:r>
        <w:fldChar w:fldCharType="begin"/>
      </w:r>
      <w:r>
        <w:instrText xml:space="preserve"> STYLEREF 1 \s </w:instrText>
      </w:r>
      <w:r>
        <w:fldChar w:fldCharType="separate"/>
      </w:r>
      <w:r w:rsidR="005B1A28">
        <w:rPr>
          <w:noProof/>
        </w:rPr>
        <w:t>3</w:t>
      </w:r>
      <w:r>
        <w:fldChar w:fldCharType="end"/>
      </w:r>
      <w:r>
        <w:noBreakHyphen/>
      </w:r>
      <w:r>
        <w:fldChar w:fldCharType="begin"/>
      </w:r>
      <w:r>
        <w:instrText xml:space="preserve"> SEQ Table \* ARABIC \s 1 </w:instrText>
      </w:r>
      <w:r>
        <w:fldChar w:fldCharType="separate"/>
      </w:r>
      <w:r w:rsidR="005B1A28">
        <w:rPr>
          <w:noProof/>
        </w:rPr>
        <w:t>1</w:t>
      </w:r>
      <w:r>
        <w:fldChar w:fldCharType="end"/>
      </w:r>
      <w:bookmarkEnd w:id="23"/>
      <w:r>
        <w:t>. Variables to Sub-Indices</w:t>
      </w:r>
      <w:r w:rsidRPr="00B27C50">
        <w:t xml:space="preserve"> for the </w:t>
      </w:r>
      <w:r>
        <w:t xml:space="preserve">Equity </w:t>
      </w:r>
      <w:r w:rsidRPr="00B27C50">
        <w:t>Index</w:t>
      </w:r>
      <w:bookmarkEnd w:id="24"/>
    </w:p>
    <w:tbl>
      <w:tblPr>
        <w:tblStyle w:val="DNV"/>
        <w:tblW w:w="954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060"/>
        <w:gridCol w:w="3690"/>
        <w:gridCol w:w="2790"/>
      </w:tblGrid>
      <w:tr w:rsidR="00650CE4" w14:paraId="5F234B01" w14:textId="77777777" w:rsidTr="00714A84">
        <w:trPr>
          <w:cantSplit/>
          <w:trHeight w:val="313"/>
          <w:tblHeader/>
        </w:trPr>
        <w:tc>
          <w:tcPr>
            <w:tcW w:w="3060" w:type="dxa"/>
            <w:tcBorders>
              <w:bottom w:val="single" w:sz="4" w:space="0" w:color="FFFFFF" w:themeColor="background1"/>
            </w:tcBorders>
          </w:tcPr>
          <w:p w14:paraId="64EB5B06" w14:textId="77777777" w:rsidR="00650CE4" w:rsidRPr="00105122" w:rsidRDefault="00650CE4" w:rsidP="00185AFB">
            <w:pPr>
              <w:pStyle w:val="TableHeader"/>
              <w:spacing w:before="20" w:after="20"/>
              <w:cnfStyle w:val="100000000000" w:firstRow="1" w:lastRow="0" w:firstColumn="0" w:lastColumn="0" w:oddVBand="0" w:evenVBand="0" w:oddHBand="0" w:evenHBand="0" w:firstRowFirstColumn="0" w:firstRowLastColumn="0" w:lastRowFirstColumn="0" w:lastRowLastColumn="0"/>
              <w:rPr>
                <w:b/>
                <w:bCs/>
              </w:rPr>
            </w:pPr>
            <w:r w:rsidRPr="00105122">
              <w:rPr>
                <w:b/>
                <w:bCs/>
              </w:rPr>
              <w:t>Secondary Metric (Sub-Index)</w:t>
            </w:r>
          </w:p>
        </w:tc>
        <w:tc>
          <w:tcPr>
            <w:tcW w:w="3690" w:type="dxa"/>
          </w:tcPr>
          <w:p w14:paraId="340FF3E2" w14:textId="77777777" w:rsidR="00650CE4" w:rsidRPr="00105122" w:rsidRDefault="00650CE4" w:rsidP="00185AFB">
            <w:pPr>
              <w:pStyle w:val="TableHeader"/>
              <w:spacing w:before="20" w:after="20"/>
              <w:cnfStyle w:val="100000000000" w:firstRow="1" w:lastRow="0" w:firstColumn="0" w:lastColumn="0" w:oddVBand="0" w:evenVBand="0" w:oddHBand="0" w:evenHBand="0" w:firstRowFirstColumn="0" w:firstRowLastColumn="0" w:lastRowFirstColumn="0" w:lastRowLastColumn="0"/>
              <w:rPr>
                <w:b/>
                <w:bCs/>
              </w:rPr>
            </w:pPr>
            <w:r w:rsidRPr="00105122">
              <w:rPr>
                <w:b/>
                <w:bCs/>
              </w:rPr>
              <w:t>Primary Metric (Variable)</w:t>
            </w:r>
          </w:p>
        </w:tc>
        <w:tc>
          <w:tcPr>
            <w:tcW w:w="2790" w:type="dxa"/>
            <w:tcBorders>
              <w:bottom w:val="single" w:sz="4" w:space="0" w:color="FFFFFF" w:themeColor="background1"/>
            </w:tcBorders>
          </w:tcPr>
          <w:p w14:paraId="630C04DC" w14:textId="77777777" w:rsidR="00650CE4" w:rsidRPr="00105122" w:rsidRDefault="00650CE4" w:rsidP="00185AFB">
            <w:pPr>
              <w:pStyle w:val="TableHeader"/>
              <w:spacing w:before="20" w:after="20"/>
              <w:cnfStyle w:val="100000000000" w:firstRow="1" w:lastRow="0" w:firstColumn="0" w:lastColumn="0" w:oddVBand="0" w:evenVBand="0" w:oddHBand="0" w:evenHBand="0" w:firstRowFirstColumn="0" w:firstRowLastColumn="0" w:lastRowFirstColumn="0" w:lastRowLastColumn="0"/>
              <w:rPr>
                <w:b/>
                <w:bCs/>
              </w:rPr>
            </w:pPr>
            <w:r w:rsidRPr="00105122">
              <w:rPr>
                <w:b/>
                <w:bCs/>
              </w:rPr>
              <w:t>Data Source</w:t>
            </w:r>
          </w:p>
        </w:tc>
      </w:tr>
      <w:tr w:rsidR="00714A84" w14:paraId="2F0C9BBA" w14:textId="77777777" w:rsidTr="00714A84">
        <w:trPr>
          <w:cantSplit/>
          <w:trHeight w:val="845"/>
        </w:trPr>
        <w:tc>
          <w:tcPr>
            <w:tcW w:w="3060" w:type="dxa"/>
            <w:tcBorders>
              <w:bottom w:val="nil"/>
            </w:tcBorders>
          </w:tcPr>
          <w:p w14:paraId="68015275" w14:textId="77777777" w:rsidR="00714A84" w:rsidRPr="00ED54B6" w:rsidRDefault="00714A8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r w:rsidRPr="00ED54B6">
              <w:rPr>
                <w:b/>
                <w:bCs/>
              </w:rPr>
              <w:t>Socioeconomic Vulnerability</w:t>
            </w:r>
          </w:p>
        </w:tc>
        <w:tc>
          <w:tcPr>
            <w:tcW w:w="3690" w:type="dxa"/>
          </w:tcPr>
          <w:p w14:paraId="15C53E54" w14:textId="77777777" w:rsidR="00714A84" w:rsidRDefault="00714A84"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Education </w:t>
            </w:r>
          </w:p>
        </w:tc>
        <w:tc>
          <w:tcPr>
            <w:tcW w:w="2790" w:type="dxa"/>
            <w:tcBorders>
              <w:bottom w:val="nil"/>
            </w:tcBorders>
          </w:tcPr>
          <w:p w14:paraId="4AF4DE9A" w14:textId="2B203D9F"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r w:rsidRPr="00C820CB">
              <w:t>U.S. Census Bureau American Community Survey 5-Year (ACS 5-Year 2018-2022), accessed March 11, 2025</w:t>
            </w:r>
          </w:p>
        </w:tc>
      </w:tr>
      <w:tr w:rsidR="00714A84" w14:paraId="0D4801EA" w14:textId="77777777" w:rsidTr="00714A84">
        <w:trPr>
          <w:cantSplit/>
          <w:trHeight w:val="303"/>
        </w:trPr>
        <w:tc>
          <w:tcPr>
            <w:tcW w:w="3060" w:type="dxa"/>
            <w:tcBorders>
              <w:top w:val="nil"/>
              <w:bottom w:val="nil"/>
            </w:tcBorders>
          </w:tcPr>
          <w:p w14:paraId="11BF09FC" w14:textId="77777777" w:rsidR="00714A84" w:rsidRPr="00ED54B6"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68EED319" w14:textId="77777777"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Linguistic isolation </w:t>
            </w:r>
          </w:p>
        </w:tc>
        <w:tc>
          <w:tcPr>
            <w:tcW w:w="2790" w:type="dxa"/>
            <w:tcBorders>
              <w:top w:val="nil"/>
              <w:bottom w:val="nil"/>
            </w:tcBorders>
            <w:vAlign w:val="top"/>
          </w:tcPr>
          <w:p w14:paraId="2D255C05" w14:textId="530E7F98"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p>
        </w:tc>
      </w:tr>
      <w:tr w:rsidR="00714A84" w14:paraId="6FFD7467" w14:textId="77777777" w:rsidTr="00714A84">
        <w:trPr>
          <w:cantSplit/>
          <w:trHeight w:val="303"/>
        </w:trPr>
        <w:tc>
          <w:tcPr>
            <w:tcW w:w="3060" w:type="dxa"/>
            <w:tcBorders>
              <w:top w:val="nil"/>
              <w:bottom w:val="nil"/>
            </w:tcBorders>
          </w:tcPr>
          <w:p w14:paraId="1E7E162C" w14:textId="77777777" w:rsidR="00714A84" w:rsidRPr="00ED54B6"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Pr>
          <w:p w14:paraId="6625573F" w14:textId="77777777"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Low income </w:t>
            </w:r>
          </w:p>
        </w:tc>
        <w:tc>
          <w:tcPr>
            <w:tcW w:w="2790" w:type="dxa"/>
            <w:tcBorders>
              <w:top w:val="nil"/>
              <w:bottom w:val="nil"/>
            </w:tcBorders>
            <w:vAlign w:val="top"/>
          </w:tcPr>
          <w:p w14:paraId="4190EDBE" w14:textId="32C1C98C"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p>
        </w:tc>
      </w:tr>
      <w:tr w:rsidR="00714A84" w14:paraId="1A5F3131" w14:textId="77777777" w:rsidTr="00714A84">
        <w:trPr>
          <w:cantSplit/>
          <w:trHeight w:val="303"/>
        </w:trPr>
        <w:tc>
          <w:tcPr>
            <w:tcW w:w="3060" w:type="dxa"/>
            <w:tcBorders>
              <w:top w:val="nil"/>
              <w:bottom w:val="nil"/>
            </w:tcBorders>
          </w:tcPr>
          <w:p w14:paraId="69678036" w14:textId="77777777" w:rsidR="00714A84" w:rsidRPr="00ED54B6"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42AE8DEE" w14:textId="77777777"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r>
              <w:t>Mobile homes</w:t>
            </w:r>
          </w:p>
        </w:tc>
        <w:tc>
          <w:tcPr>
            <w:tcW w:w="2790" w:type="dxa"/>
            <w:tcBorders>
              <w:top w:val="nil"/>
              <w:bottom w:val="nil"/>
            </w:tcBorders>
            <w:vAlign w:val="top"/>
          </w:tcPr>
          <w:p w14:paraId="3D87B608" w14:textId="160FB561"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p>
        </w:tc>
      </w:tr>
      <w:tr w:rsidR="00714A84" w14:paraId="4BA16784" w14:textId="77777777" w:rsidTr="00714A84">
        <w:trPr>
          <w:cantSplit/>
          <w:trHeight w:val="303"/>
        </w:trPr>
        <w:tc>
          <w:tcPr>
            <w:tcW w:w="3060" w:type="dxa"/>
            <w:tcBorders>
              <w:top w:val="nil"/>
              <w:bottom w:val="nil"/>
            </w:tcBorders>
          </w:tcPr>
          <w:p w14:paraId="50EEE7F0" w14:textId="77777777" w:rsidR="00714A84" w:rsidRPr="00ED54B6"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Pr>
          <w:p w14:paraId="7844B26F" w14:textId="77777777"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r>
              <w:t>People of color</w:t>
            </w:r>
          </w:p>
        </w:tc>
        <w:tc>
          <w:tcPr>
            <w:tcW w:w="2790" w:type="dxa"/>
            <w:tcBorders>
              <w:top w:val="nil"/>
              <w:bottom w:val="nil"/>
            </w:tcBorders>
            <w:vAlign w:val="top"/>
          </w:tcPr>
          <w:p w14:paraId="7E7E3AC4" w14:textId="54924E14"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p>
        </w:tc>
      </w:tr>
      <w:tr w:rsidR="00714A84" w14:paraId="0D20001A" w14:textId="77777777" w:rsidTr="00714A84">
        <w:trPr>
          <w:cantSplit/>
          <w:trHeight w:val="303"/>
        </w:trPr>
        <w:tc>
          <w:tcPr>
            <w:tcW w:w="3060" w:type="dxa"/>
            <w:tcBorders>
              <w:top w:val="nil"/>
              <w:bottom w:val="nil"/>
            </w:tcBorders>
          </w:tcPr>
          <w:p w14:paraId="0A0D059A" w14:textId="77777777" w:rsidR="00714A84" w:rsidRPr="00ED54B6"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309CA5D6" w14:textId="77777777"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Rent burden </w:t>
            </w:r>
          </w:p>
        </w:tc>
        <w:tc>
          <w:tcPr>
            <w:tcW w:w="2790" w:type="dxa"/>
            <w:tcBorders>
              <w:top w:val="nil"/>
              <w:bottom w:val="nil"/>
            </w:tcBorders>
            <w:vAlign w:val="top"/>
          </w:tcPr>
          <w:p w14:paraId="0492C1C3" w14:textId="58C25AA3"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p>
        </w:tc>
      </w:tr>
      <w:tr w:rsidR="00714A84" w14:paraId="76940670" w14:textId="77777777" w:rsidTr="00714A84">
        <w:trPr>
          <w:cantSplit/>
          <w:trHeight w:val="303"/>
        </w:trPr>
        <w:tc>
          <w:tcPr>
            <w:tcW w:w="3060" w:type="dxa"/>
            <w:tcBorders>
              <w:top w:val="nil"/>
              <w:bottom w:val="nil"/>
            </w:tcBorders>
          </w:tcPr>
          <w:p w14:paraId="1FB0AA02" w14:textId="77777777" w:rsidR="00714A84" w:rsidRPr="00ED54B6"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Pr>
          <w:p w14:paraId="5776C9EB" w14:textId="77777777"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r>
              <w:t>Renters</w:t>
            </w:r>
          </w:p>
        </w:tc>
        <w:tc>
          <w:tcPr>
            <w:tcW w:w="2790" w:type="dxa"/>
            <w:tcBorders>
              <w:top w:val="nil"/>
              <w:bottom w:val="nil"/>
            </w:tcBorders>
            <w:vAlign w:val="top"/>
          </w:tcPr>
          <w:p w14:paraId="032D293F" w14:textId="6BD60424"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p>
        </w:tc>
      </w:tr>
      <w:tr w:rsidR="00714A84" w14:paraId="4D048BAA" w14:textId="77777777" w:rsidTr="00714A84">
        <w:trPr>
          <w:cantSplit/>
          <w:trHeight w:val="303"/>
        </w:trPr>
        <w:tc>
          <w:tcPr>
            <w:tcW w:w="3060" w:type="dxa"/>
            <w:tcBorders>
              <w:top w:val="nil"/>
              <w:bottom w:val="nil"/>
            </w:tcBorders>
          </w:tcPr>
          <w:p w14:paraId="27C7EB81" w14:textId="77777777" w:rsidR="00714A84" w:rsidRPr="00ED54B6"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3BA28529" w14:textId="77777777"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r>
              <w:t>Single parent</w:t>
            </w:r>
          </w:p>
        </w:tc>
        <w:tc>
          <w:tcPr>
            <w:tcW w:w="2790" w:type="dxa"/>
            <w:tcBorders>
              <w:top w:val="nil"/>
              <w:bottom w:val="nil"/>
            </w:tcBorders>
            <w:vAlign w:val="top"/>
          </w:tcPr>
          <w:p w14:paraId="64DB52CE" w14:textId="2E6F73F3" w:rsidR="00714A84" w:rsidRDefault="00714A84"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p>
        </w:tc>
      </w:tr>
      <w:tr w:rsidR="00714A84" w14:paraId="511B8D37" w14:textId="77777777" w:rsidTr="00714A84">
        <w:trPr>
          <w:cantSplit/>
          <w:trHeight w:val="303"/>
        </w:trPr>
        <w:tc>
          <w:tcPr>
            <w:tcW w:w="3060" w:type="dxa"/>
            <w:tcBorders>
              <w:top w:val="nil"/>
              <w:bottom w:val="single" w:sz="4" w:space="0" w:color="F2F2F2" w:themeColor="background1" w:themeShade="F2"/>
            </w:tcBorders>
          </w:tcPr>
          <w:p w14:paraId="426EE900" w14:textId="77777777" w:rsidR="00714A84" w:rsidRPr="00ED54B6"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bottom w:val="single" w:sz="4" w:space="0" w:color="F2F2F2" w:themeColor="background1" w:themeShade="F2"/>
            </w:tcBorders>
          </w:tcPr>
          <w:p w14:paraId="33ED8296" w14:textId="77777777"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r>
              <w:t>Unemployment rate</w:t>
            </w:r>
          </w:p>
        </w:tc>
        <w:tc>
          <w:tcPr>
            <w:tcW w:w="2790" w:type="dxa"/>
            <w:tcBorders>
              <w:top w:val="nil"/>
              <w:bottom w:val="single" w:sz="4" w:space="0" w:color="F2F2F2" w:themeColor="background1" w:themeShade="F2"/>
            </w:tcBorders>
            <w:vAlign w:val="top"/>
          </w:tcPr>
          <w:p w14:paraId="39B78950" w14:textId="7E31C371" w:rsidR="00714A84" w:rsidRDefault="00714A84" w:rsidP="00214DFB">
            <w:pPr>
              <w:pStyle w:val="TableText"/>
              <w:spacing w:before="20" w:after="20"/>
              <w:cnfStyle w:val="000000100000" w:firstRow="0" w:lastRow="0" w:firstColumn="0" w:lastColumn="0" w:oddVBand="0" w:evenVBand="0" w:oddHBand="1" w:evenHBand="0" w:firstRowFirstColumn="0" w:firstRowLastColumn="0" w:lastRowFirstColumn="0" w:lastRowLastColumn="0"/>
            </w:pPr>
          </w:p>
        </w:tc>
      </w:tr>
      <w:tr w:rsidR="00214DFB" w14:paraId="78D3A2F6" w14:textId="77777777" w:rsidTr="0074533D">
        <w:trPr>
          <w:cantSplit/>
          <w:trHeight w:val="467"/>
        </w:trPr>
        <w:tc>
          <w:tcPr>
            <w:tcW w:w="3060" w:type="dxa"/>
            <w:tcBorders>
              <w:top w:val="single" w:sz="4" w:space="0" w:color="F2F2F2" w:themeColor="background1" w:themeShade="F2"/>
              <w:left w:val="single" w:sz="4" w:space="0" w:color="FFFFFF" w:themeColor="background1"/>
              <w:bottom w:val="single" w:sz="4" w:space="0" w:color="FFFFFF" w:themeColor="background1"/>
              <w:right w:val="single" w:sz="4" w:space="0" w:color="F2F2F2" w:themeColor="background1" w:themeShade="F2"/>
            </w:tcBorders>
            <w:shd w:val="clear" w:color="auto" w:fill="auto"/>
          </w:tcPr>
          <w:p w14:paraId="290557F0" w14:textId="77777777" w:rsidR="00214DFB" w:rsidRPr="00ED54B6" w:rsidRDefault="00214DFB" w:rsidP="00214D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r w:rsidRPr="00ED54B6">
              <w:rPr>
                <w:b/>
                <w:bCs/>
              </w:rPr>
              <w:t xml:space="preserve">Energy Burden </w:t>
            </w: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D0B6DAD" w14:textId="77777777" w:rsidR="00214DFB" w:rsidRDefault="00214DFB" w:rsidP="00214DFB">
            <w:pPr>
              <w:pStyle w:val="TableText"/>
              <w:spacing w:before="20" w:after="20"/>
              <w:cnfStyle w:val="000000010000" w:firstRow="0" w:lastRow="0" w:firstColumn="0" w:lastColumn="0" w:oddVBand="0" w:evenVBand="0" w:oddHBand="0" w:evenHBand="1" w:firstRowFirstColumn="0" w:firstRowLastColumn="0" w:lastRowFirstColumn="0" w:lastRowLastColumn="0"/>
            </w:pPr>
            <w:r>
              <w:t>Energy burden ratio</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tcPr>
          <w:p w14:paraId="4A7B575F" w14:textId="16A98807" w:rsidR="00214DFB" w:rsidRDefault="00214DFB" w:rsidP="00325265">
            <w:pPr>
              <w:pStyle w:val="TableText"/>
              <w:spacing w:before="20" w:after="20"/>
              <w:cnfStyle w:val="000000010000" w:firstRow="0" w:lastRow="0" w:firstColumn="0" w:lastColumn="0" w:oddVBand="0" w:evenVBand="0" w:oddHBand="0" w:evenHBand="1" w:firstRowFirstColumn="0" w:firstRowLastColumn="0" w:lastRowFirstColumn="0" w:lastRowLastColumn="0"/>
            </w:pPr>
            <w:r w:rsidRPr="00920DCF">
              <w:t>ACS 5-Year 2018-2022</w:t>
            </w:r>
          </w:p>
        </w:tc>
      </w:tr>
      <w:tr w:rsidR="00650CE4" w14:paraId="1DAE9C1C" w14:textId="77777777" w:rsidTr="0074533D">
        <w:trPr>
          <w:cantSplit/>
          <w:trHeight w:val="521"/>
        </w:trPr>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2F2F2" w:themeColor="background1" w:themeShade="F2"/>
            </w:tcBorders>
            <w:shd w:val="clear" w:color="auto" w:fill="auto"/>
          </w:tcPr>
          <w:p w14:paraId="6A1FB432" w14:textId="77777777" w:rsidR="00650CE4" w:rsidRPr="00ED54B6"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D50D3AE" w14:textId="77777777" w:rsidR="00650CE4"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Grid outage duration </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tcPr>
          <w:p w14:paraId="00D59B2C" w14:textId="2043AB69" w:rsidR="00650CE4" w:rsidRDefault="0098262E" w:rsidP="00325265">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098262E">
              <w:rPr>
                <w:color w:val="000000" w:themeColor="text1"/>
              </w:rPr>
              <w:t>U.S. DOE Low-income Energy Affordability Data (LEAD) Tool, retrieved July 28, 2023</w:t>
            </w:r>
          </w:p>
        </w:tc>
      </w:tr>
      <w:tr w:rsidR="00650CE4" w14:paraId="66D2534D" w14:textId="77777777" w:rsidTr="0074533D">
        <w:trPr>
          <w:cantSplit/>
          <w:trHeight w:val="395"/>
        </w:trPr>
        <w:tc>
          <w:tcPr>
            <w:tcW w:w="3060" w:type="dxa"/>
            <w:tcBorders>
              <w:top w:val="single" w:sz="4" w:space="0" w:color="FFFFFF" w:themeColor="background1"/>
              <w:left w:val="single" w:sz="4" w:space="0" w:color="FFFFFF" w:themeColor="background1"/>
              <w:bottom w:val="single" w:sz="4" w:space="0" w:color="FFFFFF" w:themeColor="background1"/>
              <w:right w:val="single" w:sz="4" w:space="0" w:color="F2F2F2" w:themeColor="background1" w:themeShade="F2"/>
            </w:tcBorders>
            <w:shd w:val="clear" w:color="auto" w:fill="auto"/>
          </w:tcPr>
          <w:p w14:paraId="4EA7AFB2" w14:textId="77777777" w:rsidR="00650CE4" w:rsidRPr="00ED54B6"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20C169F" w14:textId="77777777" w:rsidR="00650CE4"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Grid outages county</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tcPr>
          <w:p w14:paraId="74CC908C" w14:textId="77777777" w:rsidR="00650CE4" w:rsidRDefault="00650CE4" w:rsidP="00325265">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43ACE0A">
              <w:rPr>
                <w:color w:val="000000" w:themeColor="text1"/>
              </w:rPr>
              <w:t>DOE Lead Tool</w:t>
            </w:r>
          </w:p>
        </w:tc>
      </w:tr>
      <w:tr w:rsidR="00650CE4" w14:paraId="749FE18D" w14:textId="77777777" w:rsidTr="00714A84">
        <w:trPr>
          <w:cantSplit/>
          <w:trHeight w:val="440"/>
        </w:trPr>
        <w:tc>
          <w:tcPr>
            <w:tcW w:w="3060" w:type="dxa"/>
            <w:tcBorders>
              <w:top w:val="single" w:sz="4" w:space="0" w:color="FFFFFF" w:themeColor="background1"/>
              <w:left w:val="single" w:sz="4" w:space="0" w:color="FFFFFF" w:themeColor="background1"/>
              <w:bottom w:val="single" w:sz="4" w:space="0" w:color="F2F2F2" w:themeColor="background1" w:themeShade="F2"/>
              <w:right w:val="single" w:sz="4" w:space="0" w:color="F2F2F2" w:themeColor="background1" w:themeShade="F2"/>
            </w:tcBorders>
            <w:shd w:val="clear" w:color="auto" w:fill="auto"/>
          </w:tcPr>
          <w:p w14:paraId="2DD2A856" w14:textId="77777777" w:rsidR="00650CE4" w:rsidRPr="00ED54B6"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590AC49" w14:textId="77777777" w:rsidR="00650CE4"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Non-grid fuels </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tcPr>
          <w:p w14:paraId="1A2E131C" w14:textId="05540A60" w:rsidR="00650CE4" w:rsidRDefault="00472872" w:rsidP="00325265">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0472872">
              <w:rPr>
                <w:color w:val="000000" w:themeColor="text1"/>
              </w:rPr>
              <w:t>ACS 5-Year 2018-2022</w:t>
            </w:r>
          </w:p>
        </w:tc>
      </w:tr>
      <w:tr w:rsidR="00A201FD" w14:paraId="41724E10" w14:textId="77777777" w:rsidTr="00714A84">
        <w:trPr>
          <w:cantSplit/>
          <w:trHeight w:val="359"/>
        </w:trPr>
        <w:tc>
          <w:tcPr>
            <w:tcW w:w="3060" w:type="dxa"/>
            <w:tcBorders>
              <w:top w:val="single" w:sz="4" w:space="0" w:color="F2F2F2" w:themeColor="background1" w:themeShade="F2"/>
              <w:bottom w:val="nil"/>
            </w:tcBorders>
          </w:tcPr>
          <w:p w14:paraId="349CC9E5" w14:textId="77777777" w:rsidR="00A201FD" w:rsidRPr="00ED54B6"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r w:rsidRPr="00ED54B6">
              <w:rPr>
                <w:b/>
                <w:bCs/>
              </w:rPr>
              <w:t>Pollution Burden</w:t>
            </w:r>
          </w:p>
        </w:tc>
        <w:tc>
          <w:tcPr>
            <w:tcW w:w="3690" w:type="dxa"/>
            <w:tcBorders>
              <w:top w:val="single" w:sz="4" w:space="0" w:color="F2F2F2" w:themeColor="background1" w:themeShade="F2"/>
              <w:right w:val="single" w:sz="4" w:space="0" w:color="F2F2F2" w:themeColor="background1" w:themeShade="F2"/>
            </w:tcBorders>
          </w:tcPr>
          <w:p w14:paraId="7DFA30C7" w14:textId="77777777" w:rsidR="00A201FD"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Diesel particulate matter</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022E334A" w14:textId="0A8BFD89" w:rsidR="00A201FD"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0C96194">
              <w:rPr>
                <w:color w:val="000000" w:themeColor="text1"/>
              </w:rPr>
              <w:t>CalEnviroScreen 4.0, retrieved July 28, 2023</w:t>
            </w:r>
          </w:p>
        </w:tc>
      </w:tr>
      <w:tr w:rsidR="00A201FD" w14:paraId="21B0B702" w14:textId="77777777" w:rsidTr="00714A84">
        <w:trPr>
          <w:cantSplit/>
          <w:trHeight w:val="332"/>
        </w:trPr>
        <w:tc>
          <w:tcPr>
            <w:tcW w:w="3060" w:type="dxa"/>
            <w:tcBorders>
              <w:top w:val="nil"/>
              <w:bottom w:val="nil"/>
            </w:tcBorders>
          </w:tcPr>
          <w:p w14:paraId="59298DC9" w14:textId="77777777" w:rsidR="00A201FD" w:rsidRPr="00ED54B6"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right w:val="single" w:sz="4" w:space="0" w:color="F2F2F2" w:themeColor="background1" w:themeShade="F2"/>
            </w:tcBorders>
          </w:tcPr>
          <w:p w14:paraId="2A313DEC" w14:textId="77777777" w:rsidR="00A201FD"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Ozone </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3E2161C6" w14:textId="0763A25C" w:rsidR="00A201FD"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201FD" w14:paraId="627C7F99" w14:textId="77777777" w:rsidTr="00714A84">
        <w:trPr>
          <w:cantSplit/>
          <w:trHeight w:val="395"/>
        </w:trPr>
        <w:tc>
          <w:tcPr>
            <w:tcW w:w="3060" w:type="dxa"/>
            <w:tcBorders>
              <w:top w:val="nil"/>
              <w:bottom w:val="nil"/>
            </w:tcBorders>
          </w:tcPr>
          <w:p w14:paraId="1369858C" w14:textId="77777777" w:rsidR="00A201FD" w:rsidRPr="00ED54B6"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right w:val="single" w:sz="4" w:space="0" w:color="F2F2F2" w:themeColor="background1" w:themeShade="F2"/>
            </w:tcBorders>
          </w:tcPr>
          <w:p w14:paraId="5234F9B7" w14:textId="77777777" w:rsidR="00A201FD"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Pesticides use </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tcBorders>
          </w:tcPr>
          <w:p w14:paraId="555CC19D" w14:textId="3E4A5991" w:rsidR="00A201FD" w:rsidRDefault="00A201FD"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A201FD" w14:paraId="630F8C0F" w14:textId="77777777" w:rsidTr="00714A84">
        <w:trPr>
          <w:cantSplit/>
          <w:trHeight w:val="368"/>
        </w:trPr>
        <w:tc>
          <w:tcPr>
            <w:tcW w:w="3060" w:type="dxa"/>
            <w:tcBorders>
              <w:top w:val="nil"/>
              <w:bottom w:val="nil"/>
            </w:tcBorders>
          </w:tcPr>
          <w:p w14:paraId="5D37E912" w14:textId="77777777" w:rsidR="00A201FD" w:rsidRPr="00ED54B6"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right w:val="single" w:sz="4" w:space="0" w:color="F2F2F2" w:themeColor="background1" w:themeShade="F2"/>
            </w:tcBorders>
          </w:tcPr>
          <w:p w14:paraId="44F5453C" w14:textId="7A90A249" w:rsidR="00A201FD"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PM2.5 particulate matter</w:t>
            </w:r>
          </w:p>
        </w:tc>
        <w:tc>
          <w:tcPr>
            <w:tcW w:w="2790" w:type="dxa"/>
            <w:tcBorders>
              <w:top w:val="single" w:sz="4" w:space="0" w:color="F2F2F2" w:themeColor="background1" w:themeShade="F2"/>
              <w:left w:val="single" w:sz="4" w:space="0" w:color="F2F2F2" w:themeColor="background1" w:themeShade="F2"/>
            </w:tcBorders>
          </w:tcPr>
          <w:p w14:paraId="106DE5A4" w14:textId="31AF6B3A" w:rsidR="00A201FD" w:rsidRDefault="00A201FD"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50CE4" w14:paraId="7BC393A5" w14:textId="77777777" w:rsidTr="003453CD">
        <w:trPr>
          <w:cantSplit/>
          <w:trHeight w:val="1304"/>
        </w:trPr>
        <w:tc>
          <w:tcPr>
            <w:tcW w:w="3060" w:type="dxa"/>
            <w:tcBorders>
              <w:top w:val="nil"/>
              <w:bottom w:val="nil"/>
            </w:tcBorders>
          </w:tcPr>
          <w:p w14:paraId="667D003A" w14:textId="77777777" w:rsidR="00650CE4" w:rsidRPr="00ED54B6"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bottom w:val="nil"/>
            </w:tcBorders>
          </w:tcPr>
          <w:p w14:paraId="647E96AC" w14:textId="76A41647" w:rsidR="00650CE4"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Toxic </w:t>
            </w:r>
            <w:r w:rsidR="00BA0185">
              <w:t>releases to air</w:t>
            </w:r>
          </w:p>
        </w:tc>
        <w:tc>
          <w:tcPr>
            <w:tcW w:w="2790" w:type="dxa"/>
            <w:tcBorders>
              <w:bottom w:val="nil"/>
            </w:tcBorders>
          </w:tcPr>
          <w:p w14:paraId="67672A03" w14:textId="0171806D" w:rsidR="00650CE4" w:rsidRDefault="00326EF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0326EF4">
              <w:rPr>
                <w:color w:val="000000" w:themeColor="text1"/>
              </w:rPr>
              <w:t>U.S. Environmental Protection Agency (EPA) Environmental Justice Mapping and Screening Tool (EJScreen), retrieved July 28, 2023</w:t>
            </w:r>
          </w:p>
        </w:tc>
      </w:tr>
      <w:tr w:rsidR="003C0392" w14:paraId="0E192B25"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190429FD" w14:textId="77777777" w:rsidR="003C0392" w:rsidRPr="00ED54B6" w:rsidRDefault="003C0392"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r w:rsidRPr="00ED54B6">
              <w:rPr>
                <w:b/>
                <w:bCs/>
              </w:rPr>
              <w:t xml:space="preserve">Environmental Risk </w:t>
            </w:r>
          </w:p>
        </w:tc>
        <w:tc>
          <w:tcPr>
            <w:tcW w:w="369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FCB8AED" w14:textId="19AED60A" w:rsidR="003C0392" w:rsidRDefault="003C0392"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Asbestos risk</w:t>
            </w:r>
          </w:p>
        </w:tc>
        <w:tc>
          <w:tcPr>
            <w:tcW w:w="2790" w:type="dxa"/>
            <w:tcBorders>
              <w:top w:val="nil"/>
              <w:left w:val="single" w:sz="4" w:space="0" w:color="F2F2F2" w:themeColor="background1" w:themeShade="F2"/>
              <w:bottom w:val="nil"/>
              <w:right w:val="nil"/>
            </w:tcBorders>
            <w:shd w:val="clear" w:color="auto" w:fill="auto"/>
          </w:tcPr>
          <w:p w14:paraId="4E9D92E5" w14:textId="45BE56C2" w:rsidR="003C0392" w:rsidRDefault="003C0392"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0472872">
              <w:rPr>
                <w:color w:val="000000" w:themeColor="text1"/>
              </w:rPr>
              <w:t>ACS 5-Year 2018-2022</w:t>
            </w:r>
          </w:p>
        </w:tc>
      </w:tr>
      <w:tr w:rsidR="003C0392" w14:paraId="4152A564"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7698D6A5" w14:textId="77777777" w:rsidR="003C0392" w:rsidRPr="00ED54B6" w:rsidRDefault="003C0392"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606F7E96" w14:textId="626720A0" w:rsidR="003C0392" w:rsidRDefault="003C0392"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Lead paint</w:t>
            </w:r>
          </w:p>
        </w:tc>
        <w:tc>
          <w:tcPr>
            <w:tcW w:w="2790" w:type="dxa"/>
            <w:tcBorders>
              <w:top w:val="nil"/>
              <w:left w:val="single" w:sz="4" w:space="0" w:color="F2F2F2" w:themeColor="background1" w:themeShade="F2"/>
              <w:bottom w:val="single" w:sz="4" w:space="0" w:color="F2F2F2" w:themeColor="background1" w:themeShade="F2"/>
              <w:right w:val="nil"/>
            </w:tcBorders>
            <w:shd w:val="clear" w:color="auto" w:fill="auto"/>
          </w:tcPr>
          <w:p w14:paraId="30582A11" w14:textId="52C2E27D" w:rsidR="003C0392" w:rsidRDefault="003C0392"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9939EE" w14:paraId="30EBA40D" w14:textId="77777777" w:rsidTr="00826E9C">
        <w:trPr>
          <w:cantSplit/>
          <w:trHeight w:val="285"/>
        </w:trPr>
        <w:tc>
          <w:tcPr>
            <w:tcW w:w="3060" w:type="dxa"/>
            <w:tcBorders>
              <w:top w:val="nil"/>
              <w:left w:val="nil"/>
              <w:bottom w:val="nil"/>
              <w:right w:val="single" w:sz="4" w:space="0" w:color="F2F2F2" w:themeColor="background1" w:themeShade="F2"/>
            </w:tcBorders>
            <w:shd w:val="clear" w:color="auto" w:fill="auto"/>
          </w:tcPr>
          <w:p w14:paraId="1A9FD7A7" w14:textId="77777777" w:rsidR="009939EE" w:rsidRPr="00ED54B6" w:rsidRDefault="009939EE"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120F1D8" w14:textId="2C5B755C" w:rsidR="009939EE" w:rsidRDefault="009939EE"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rsidRPr="00325265">
              <w:t>Hazardous waste proximity</w:t>
            </w:r>
          </w:p>
        </w:tc>
        <w:tc>
          <w:tcPr>
            <w:tcW w:w="2790"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tcPr>
          <w:p w14:paraId="67EAAC94" w14:textId="64BA1168" w:rsidR="009939EE"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43ACE0A">
              <w:rPr>
                <w:color w:val="000000" w:themeColor="text1"/>
              </w:rPr>
              <w:t>EPA EJ Screen</w:t>
            </w:r>
          </w:p>
        </w:tc>
      </w:tr>
      <w:tr w:rsidR="009939EE" w14:paraId="4A16530A" w14:textId="77777777" w:rsidTr="00826E9C">
        <w:trPr>
          <w:cantSplit/>
          <w:trHeight w:val="285"/>
        </w:trPr>
        <w:tc>
          <w:tcPr>
            <w:tcW w:w="3060" w:type="dxa"/>
            <w:tcBorders>
              <w:top w:val="nil"/>
              <w:left w:val="nil"/>
              <w:bottom w:val="nil"/>
              <w:right w:val="single" w:sz="4" w:space="0" w:color="F2F2F2" w:themeColor="background1" w:themeShade="F2"/>
            </w:tcBorders>
            <w:shd w:val="clear" w:color="auto" w:fill="auto"/>
          </w:tcPr>
          <w:p w14:paraId="5B015672" w14:textId="77777777" w:rsidR="009939EE" w:rsidRPr="00ED54B6" w:rsidRDefault="009939EE"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D5E3771" w14:textId="7602DB9C" w:rsidR="009939EE" w:rsidRDefault="009939EE"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RMP proximity</w:t>
            </w:r>
          </w:p>
        </w:tc>
        <w:tc>
          <w:tcPr>
            <w:tcW w:w="2790" w:type="dxa"/>
            <w:tcBorders>
              <w:top w:val="nil"/>
              <w:left w:val="single" w:sz="4" w:space="0" w:color="F2F2F2" w:themeColor="background1" w:themeShade="F2"/>
              <w:bottom w:val="nil"/>
              <w:right w:val="single" w:sz="4" w:space="0" w:color="F2F2F2" w:themeColor="background1" w:themeShade="F2"/>
            </w:tcBorders>
            <w:shd w:val="clear" w:color="auto" w:fill="auto"/>
          </w:tcPr>
          <w:p w14:paraId="0281D6B3" w14:textId="6614989A" w:rsidR="009939EE" w:rsidRDefault="009939EE" w:rsidP="009939EE">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9939EE" w14:paraId="3F065509" w14:textId="77777777" w:rsidTr="00826E9C">
        <w:trPr>
          <w:cantSplit/>
          <w:trHeight w:val="285"/>
        </w:trPr>
        <w:tc>
          <w:tcPr>
            <w:tcW w:w="3060" w:type="dxa"/>
            <w:tcBorders>
              <w:top w:val="nil"/>
              <w:left w:val="nil"/>
              <w:bottom w:val="nil"/>
              <w:right w:val="single" w:sz="4" w:space="0" w:color="F2F2F2" w:themeColor="background1" w:themeShade="F2"/>
            </w:tcBorders>
            <w:shd w:val="clear" w:color="auto" w:fill="auto"/>
          </w:tcPr>
          <w:p w14:paraId="557C8172" w14:textId="77777777" w:rsidR="009939EE" w:rsidRPr="00ED54B6"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247EE8F4" w14:textId="51A165F5" w:rsidR="009939EE"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pPr>
            <w:r>
              <w:t>Superfund proximity</w:t>
            </w:r>
          </w:p>
        </w:tc>
        <w:tc>
          <w:tcPr>
            <w:tcW w:w="2790" w:type="dxa"/>
            <w:tcBorders>
              <w:top w:val="nil"/>
              <w:left w:val="single" w:sz="4" w:space="0" w:color="F2F2F2" w:themeColor="background1" w:themeShade="F2"/>
              <w:bottom w:val="nil"/>
              <w:right w:val="single" w:sz="4" w:space="0" w:color="F2F2F2" w:themeColor="background1" w:themeShade="F2"/>
            </w:tcBorders>
            <w:shd w:val="clear" w:color="auto" w:fill="auto"/>
          </w:tcPr>
          <w:p w14:paraId="33BB99C1" w14:textId="3D669708" w:rsidR="009939EE"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9939EE" w14:paraId="5000057E" w14:textId="77777777" w:rsidTr="00826E9C">
        <w:trPr>
          <w:cantSplit/>
          <w:trHeight w:val="285"/>
        </w:trPr>
        <w:tc>
          <w:tcPr>
            <w:tcW w:w="3060" w:type="dxa"/>
            <w:tcBorders>
              <w:top w:val="nil"/>
              <w:left w:val="nil"/>
              <w:bottom w:val="nil"/>
              <w:right w:val="single" w:sz="4" w:space="0" w:color="F2F2F2" w:themeColor="background1" w:themeShade="F2"/>
            </w:tcBorders>
            <w:shd w:val="clear" w:color="auto" w:fill="auto"/>
          </w:tcPr>
          <w:p w14:paraId="70F8FE87" w14:textId="77777777" w:rsidR="009939EE" w:rsidRPr="00ED54B6" w:rsidRDefault="009939EE" w:rsidP="009939EE">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B496D18" w14:textId="1228DA53" w:rsidR="009939EE" w:rsidRDefault="009939EE" w:rsidP="009939EE">
            <w:pPr>
              <w:pStyle w:val="TableText"/>
              <w:spacing w:before="20" w:after="20"/>
              <w:cnfStyle w:val="000000010000" w:firstRow="0" w:lastRow="0" w:firstColumn="0" w:lastColumn="0" w:oddVBand="0" w:evenVBand="0" w:oddHBand="0" w:evenHBand="1" w:firstRowFirstColumn="0" w:firstRowLastColumn="0" w:lastRowFirstColumn="0" w:lastRowLastColumn="0"/>
            </w:pPr>
            <w:r>
              <w:t>Storage tanks</w:t>
            </w:r>
          </w:p>
        </w:tc>
        <w:tc>
          <w:tcPr>
            <w:tcW w:w="2790" w:type="dxa"/>
            <w:tcBorders>
              <w:top w:val="nil"/>
              <w:left w:val="single" w:sz="4" w:space="0" w:color="F2F2F2" w:themeColor="background1" w:themeShade="F2"/>
              <w:bottom w:val="nil"/>
              <w:right w:val="single" w:sz="4" w:space="0" w:color="F2F2F2" w:themeColor="background1" w:themeShade="F2"/>
            </w:tcBorders>
            <w:shd w:val="clear" w:color="auto" w:fill="auto"/>
          </w:tcPr>
          <w:p w14:paraId="6AEAE27F" w14:textId="13E66495" w:rsidR="009939EE" w:rsidRDefault="009939EE" w:rsidP="009939EE">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9939EE" w14:paraId="2B561412" w14:textId="77777777" w:rsidTr="00826E9C">
        <w:trPr>
          <w:cantSplit/>
          <w:trHeight w:val="285"/>
        </w:trPr>
        <w:tc>
          <w:tcPr>
            <w:tcW w:w="3060" w:type="dxa"/>
            <w:tcBorders>
              <w:top w:val="nil"/>
              <w:left w:val="nil"/>
              <w:bottom w:val="nil"/>
              <w:right w:val="single" w:sz="4" w:space="0" w:color="F2F2F2" w:themeColor="background1" w:themeShade="F2"/>
            </w:tcBorders>
            <w:shd w:val="clear" w:color="auto" w:fill="auto"/>
          </w:tcPr>
          <w:p w14:paraId="2BDF8738" w14:textId="77777777" w:rsidR="009939EE" w:rsidRPr="00ED54B6"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9533E05" w14:textId="3F2D56C8" w:rsidR="009939EE"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Wastewater discharge </w:t>
            </w:r>
          </w:p>
        </w:tc>
        <w:tc>
          <w:tcPr>
            <w:tcW w:w="279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97F1504" w14:textId="793D4323" w:rsidR="009939EE" w:rsidRDefault="009939EE" w:rsidP="009939EE">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50CE4" w14:paraId="46C286D2"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204CB34F" w14:textId="77777777" w:rsidR="00650CE4" w:rsidRPr="00ED54B6"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tcPr>
          <w:p w14:paraId="39879D17" w14:textId="6F8CDEB4" w:rsidR="00650CE4" w:rsidRDefault="009939EE"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Soil contamination</w:t>
            </w:r>
          </w:p>
        </w:tc>
        <w:tc>
          <w:tcPr>
            <w:tcW w:w="2790" w:type="dxa"/>
            <w:tcBorders>
              <w:top w:val="single" w:sz="4" w:space="0" w:color="F2F2F2" w:themeColor="background1" w:themeShade="F2"/>
              <w:left w:val="single" w:sz="4" w:space="0" w:color="F2F2F2" w:themeColor="background1" w:themeShade="F2"/>
              <w:bottom w:val="nil"/>
              <w:right w:val="nil"/>
            </w:tcBorders>
            <w:shd w:val="clear" w:color="auto" w:fill="auto"/>
          </w:tcPr>
          <w:p w14:paraId="22A24875" w14:textId="1FF13274" w:rsidR="00650CE4" w:rsidRDefault="009939EE"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43ACE0A">
              <w:rPr>
                <w:color w:val="000000" w:themeColor="text1"/>
              </w:rPr>
              <w:t>CalEnviroScreen 4.0</w:t>
            </w:r>
          </w:p>
        </w:tc>
      </w:tr>
      <w:tr w:rsidR="00AD6200" w14:paraId="2A491E33" w14:textId="77777777" w:rsidTr="003453CD">
        <w:trPr>
          <w:cantSplit/>
          <w:trHeight w:val="285"/>
        </w:trPr>
        <w:tc>
          <w:tcPr>
            <w:tcW w:w="3060" w:type="dxa"/>
            <w:tcBorders>
              <w:top w:val="nil"/>
              <w:bottom w:val="nil"/>
            </w:tcBorders>
          </w:tcPr>
          <w:p w14:paraId="2FBB09B8" w14:textId="77777777" w:rsidR="00AD6200" w:rsidRPr="00ED54B6" w:rsidRDefault="00AD6200"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r w:rsidRPr="00ED54B6">
              <w:rPr>
                <w:b/>
                <w:bCs/>
              </w:rPr>
              <w:t xml:space="preserve">Sensitive Populations </w:t>
            </w:r>
          </w:p>
        </w:tc>
        <w:tc>
          <w:tcPr>
            <w:tcW w:w="3690" w:type="dxa"/>
            <w:tcBorders>
              <w:top w:val="nil"/>
            </w:tcBorders>
          </w:tcPr>
          <w:p w14:paraId="3570B31B" w14:textId="6AADE351" w:rsidR="00AD6200" w:rsidRDefault="00AD6200"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Asthma incidence </w:t>
            </w:r>
          </w:p>
        </w:tc>
        <w:tc>
          <w:tcPr>
            <w:tcW w:w="2790" w:type="dxa"/>
            <w:tcBorders>
              <w:top w:val="nil"/>
              <w:bottom w:val="nil"/>
            </w:tcBorders>
          </w:tcPr>
          <w:p w14:paraId="3F93F5CA" w14:textId="3C104E3E" w:rsidR="00AD6200" w:rsidRDefault="00AD6200" w:rsidP="00240D8A">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43ACE0A">
              <w:rPr>
                <w:color w:val="000000" w:themeColor="text1"/>
              </w:rPr>
              <w:t>CalEnviroScreen 4.0</w:t>
            </w:r>
          </w:p>
        </w:tc>
      </w:tr>
      <w:tr w:rsidR="00AD6200" w14:paraId="5AA7D545" w14:textId="77777777" w:rsidTr="003453CD">
        <w:trPr>
          <w:cantSplit/>
          <w:trHeight w:val="285"/>
        </w:trPr>
        <w:tc>
          <w:tcPr>
            <w:tcW w:w="3060" w:type="dxa"/>
            <w:tcBorders>
              <w:top w:val="nil"/>
              <w:bottom w:val="nil"/>
            </w:tcBorders>
          </w:tcPr>
          <w:p w14:paraId="52185FDF" w14:textId="77777777" w:rsidR="00AD6200" w:rsidRPr="00ED54B6" w:rsidRDefault="00AD6200" w:rsidP="00240D8A">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0C22C395" w14:textId="2D144C2B" w:rsidR="00AD6200" w:rsidRDefault="00AD6200" w:rsidP="00240D8A">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Heart disease incidence </w:t>
            </w:r>
          </w:p>
        </w:tc>
        <w:tc>
          <w:tcPr>
            <w:tcW w:w="2790" w:type="dxa"/>
            <w:tcBorders>
              <w:top w:val="nil"/>
              <w:bottom w:val="nil"/>
            </w:tcBorders>
          </w:tcPr>
          <w:p w14:paraId="2CB5EF3D" w14:textId="466939E8" w:rsidR="00AD6200" w:rsidRDefault="00AD6200" w:rsidP="00240D8A">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p>
        </w:tc>
      </w:tr>
      <w:tr w:rsidR="00AD6200" w14:paraId="4242A379" w14:textId="77777777" w:rsidTr="003453CD">
        <w:trPr>
          <w:cantSplit/>
          <w:trHeight w:val="285"/>
        </w:trPr>
        <w:tc>
          <w:tcPr>
            <w:tcW w:w="3060" w:type="dxa"/>
            <w:tcBorders>
              <w:top w:val="nil"/>
              <w:bottom w:val="nil"/>
            </w:tcBorders>
          </w:tcPr>
          <w:p w14:paraId="73AD974C" w14:textId="77777777" w:rsidR="00AD6200" w:rsidRPr="00ED54B6" w:rsidRDefault="00AD6200" w:rsidP="00240D8A">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Pr>
          <w:p w14:paraId="659239A4" w14:textId="2DE10508" w:rsidR="00AD6200" w:rsidRDefault="00AD6200" w:rsidP="00240D8A">
            <w:pPr>
              <w:pStyle w:val="TableText"/>
              <w:spacing w:before="20" w:after="20"/>
              <w:cnfStyle w:val="000000100000" w:firstRow="0" w:lastRow="0" w:firstColumn="0" w:lastColumn="0" w:oddVBand="0" w:evenVBand="0" w:oddHBand="1" w:evenHBand="0" w:firstRowFirstColumn="0" w:firstRowLastColumn="0" w:lastRowFirstColumn="0" w:lastRowLastColumn="0"/>
            </w:pPr>
            <w:r>
              <w:t>Low birth weight</w:t>
            </w:r>
          </w:p>
        </w:tc>
        <w:tc>
          <w:tcPr>
            <w:tcW w:w="2790" w:type="dxa"/>
            <w:tcBorders>
              <w:top w:val="nil"/>
              <w:bottom w:val="single" w:sz="4" w:space="0" w:color="FFFFFF" w:themeColor="background1"/>
            </w:tcBorders>
          </w:tcPr>
          <w:p w14:paraId="35BA2C4F" w14:textId="3A3D7378" w:rsidR="00AD6200" w:rsidRDefault="00AD6200" w:rsidP="00240D8A">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240D8A" w14:paraId="3068E5B7" w14:textId="77777777" w:rsidTr="003453CD">
        <w:trPr>
          <w:cantSplit/>
          <w:trHeight w:val="285"/>
        </w:trPr>
        <w:tc>
          <w:tcPr>
            <w:tcW w:w="3060" w:type="dxa"/>
            <w:tcBorders>
              <w:top w:val="nil"/>
              <w:bottom w:val="nil"/>
            </w:tcBorders>
          </w:tcPr>
          <w:p w14:paraId="11862B75" w14:textId="77777777" w:rsidR="00240D8A" w:rsidRPr="00ED54B6" w:rsidRDefault="00240D8A"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Pr>
          <w:p w14:paraId="633DDA74" w14:textId="14D6480F" w:rsidR="00240D8A" w:rsidRDefault="00240D8A"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Cancer incidence</w:t>
            </w:r>
          </w:p>
        </w:tc>
        <w:tc>
          <w:tcPr>
            <w:tcW w:w="2790" w:type="dxa"/>
            <w:tcBorders>
              <w:bottom w:val="nil"/>
            </w:tcBorders>
          </w:tcPr>
          <w:p w14:paraId="56F281C2" w14:textId="3A095B30" w:rsidR="00240D8A" w:rsidRDefault="00240D8A"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43ACE0A">
              <w:rPr>
                <w:color w:val="000000" w:themeColor="text1"/>
              </w:rPr>
              <w:t>EPA EJ Screen</w:t>
            </w:r>
          </w:p>
        </w:tc>
      </w:tr>
      <w:tr w:rsidR="00240D8A" w14:paraId="099F19AE" w14:textId="77777777" w:rsidTr="003453CD">
        <w:trPr>
          <w:cantSplit/>
          <w:trHeight w:val="285"/>
        </w:trPr>
        <w:tc>
          <w:tcPr>
            <w:tcW w:w="3060" w:type="dxa"/>
            <w:tcBorders>
              <w:top w:val="nil"/>
              <w:bottom w:val="nil"/>
            </w:tcBorders>
          </w:tcPr>
          <w:p w14:paraId="43416915" w14:textId="77777777" w:rsidR="00240D8A" w:rsidRPr="00ED54B6" w:rsidRDefault="00240D8A"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bottom w:val="nil"/>
            </w:tcBorders>
          </w:tcPr>
          <w:p w14:paraId="3F692F08" w14:textId="251DC730" w:rsidR="00240D8A" w:rsidRDefault="00240D8A"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Low life expectancy</w:t>
            </w:r>
          </w:p>
        </w:tc>
        <w:tc>
          <w:tcPr>
            <w:tcW w:w="2790" w:type="dxa"/>
            <w:tcBorders>
              <w:top w:val="nil"/>
              <w:bottom w:val="nil"/>
            </w:tcBorders>
          </w:tcPr>
          <w:p w14:paraId="413E2F08" w14:textId="210FDE1A" w:rsidR="00240D8A" w:rsidRDefault="00240D8A"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50CE4" w14:paraId="277EEDBF"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37A8DE89" w14:textId="77777777" w:rsidR="00650CE4" w:rsidRPr="00ED54B6"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r w:rsidRPr="00ED54B6">
              <w:rPr>
                <w:b/>
                <w:bCs/>
              </w:rPr>
              <w:t>Access to Critical Services</w:t>
            </w:r>
          </w:p>
        </w:tc>
        <w:tc>
          <w:tcPr>
            <w:tcW w:w="3690" w:type="dxa"/>
            <w:tcBorders>
              <w:top w:val="nil"/>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646DFBB1" w14:textId="77777777" w:rsidR="00650CE4"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Food deserts</w:t>
            </w:r>
          </w:p>
        </w:tc>
        <w:tc>
          <w:tcPr>
            <w:tcW w:w="2790" w:type="dxa"/>
            <w:tcBorders>
              <w:top w:val="nil"/>
              <w:left w:val="single" w:sz="4" w:space="0" w:color="F2F2F2" w:themeColor="background1" w:themeShade="F2"/>
              <w:bottom w:val="single" w:sz="4" w:space="0" w:color="F2F2F2" w:themeColor="background1" w:themeShade="F2"/>
              <w:right w:val="nil"/>
            </w:tcBorders>
            <w:shd w:val="clear" w:color="auto" w:fill="auto"/>
          </w:tcPr>
          <w:p w14:paraId="6A5DB1E7" w14:textId="303C2ABB" w:rsidR="00650CE4" w:rsidRDefault="00B5275C"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rsidRPr="00B5275C">
              <w:t>U.S. Department of Agriculture (USDA) Food Access Research Atlas, retrieved March 11, 2025</w:t>
            </w:r>
          </w:p>
        </w:tc>
      </w:tr>
      <w:tr w:rsidR="00650CE4" w14:paraId="32E92DEC"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4B737168" w14:textId="77777777" w:rsidR="00650CE4" w:rsidRPr="00ED54B6"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26D28564" w14:textId="77777777" w:rsidR="00650CE4"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Housing burden </w:t>
            </w:r>
          </w:p>
        </w:tc>
        <w:tc>
          <w:tcPr>
            <w:tcW w:w="2790" w:type="dxa"/>
            <w:tcBorders>
              <w:top w:val="single" w:sz="4" w:space="0" w:color="F2F2F2" w:themeColor="background1" w:themeShade="F2"/>
              <w:left w:val="single" w:sz="4" w:space="0" w:color="F2F2F2" w:themeColor="background1" w:themeShade="F2"/>
              <w:bottom w:val="single" w:sz="4" w:space="0" w:color="F2F2F2" w:themeColor="background1" w:themeShade="F2"/>
              <w:right w:val="nil"/>
            </w:tcBorders>
            <w:shd w:val="clear" w:color="auto" w:fill="auto"/>
          </w:tcPr>
          <w:p w14:paraId="7554024D" w14:textId="77777777" w:rsidR="00650CE4" w:rsidRDefault="00650CE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r w:rsidRPr="043ACE0A">
              <w:rPr>
                <w:color w:val="000000" w:themeColor="text1"/>
              </w:rPr>
              <w:t>CalEnviroScreen 4.0</w:t>
            </w:r>
          </w:p>
        </w:tc>
      </w:tr>
      <w:tr w:rsidR="00BF6B54" w14:paraId="3551D640"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36938A94" w14:textId="77777777" w:rsidR="00BF6B54" w:rsidRPr="00ED54B6" w:rsidRDefault="00BF6B5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5538336B" w14:textId="11511F60" w:rsidR="00BF6B54" w:rsidRDefault="00BF6B54"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Limited broadband</w:t>
            </w:r>
          </w:p>
        </w:tc>
        <w:tc>
          <w:tcPr>
            <w:tcW w:w="2790" w:type="dxa"/>
            <w:tcBorders>
              <w:top w:val="single" w:sz="4" w:space="0" w:color="F2F2F2" w:themeColor="background1" w:themeShade="F2"/>
              <w:left w:val="single" w:sz="4" w:space="0" w:color="F2F2F2" w:themeColor="background1" w:themeShade="F2"/>
              <w:bottom w:val="nil"/>
              <w:right w:val="nil"/>
            </w:tcBorders>
            <w:shd w:val="clear" w:color="auto" w:fill="auto"/>
          </w:tcPr>
          <w:p w14:paraId="68198009" w14:textId="184FB528" w:rsidR="00BF6B54" w:rsidRDefault="00BF6B5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43ACE0A">
              <w:rPr>
                <w:color w:val="000000" w:themeColor="text1"/>
              </w:rPr>
              <w:t>EPA EJ Screen</w:t>
            </w:r>
          </w:p>
        </w:tc>
      </w:tr>
      <w:tr w:rsidR="00BF6B54" w14:paraId="3D425C9E"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1F952E31" w14:textId="77777777" w:rsidR="00BF6B54" w:rsidRPr="00ED54B6" w:rsidRDefault="00BF6B5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919D894" w14:textId="77777777" w:rsidR="00BF6B54" w:rsidRDefault="00BF6B54"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Health insurance </w:t>
            </w:r>
          </w:p>
        </w:tc>
        <w:tc>
          <w:tcPr>
            <w:tcW w:w="2790" w:type="dxa"/>
            <w:tcBorders>
              <w:top w:val="nil"/>
              <w:left w:val="single" w:sz="4" w:space="0" w:color="F2F2F2" w:themeColor="background1" w:themeShade="F2"/>
              <w:bottom w:val="single" w:sz="4" w:space="0" w:color="F2F2F2" w:themeColor="background1" w:themeShade="F2"/>
              <w:right w:val="nil"/>
            </w:tcBorders>
            <w:shd w:val="clear" w:color="auto" w:fill="auto"/>
          </w:tcPr>
          <w:p w14:paraId="2F968A3F" w14:textId="1410DA17" w:rsidR="00BF6B54" w:rsidRDefault="00BF6B54"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color w:val="000000" w:themeColor="text1"/>
              </w:rPr>
            </w:pPr>
          </w:p>
        </w:tc>
      </w:tr>
      <w:tr w:rsidR="00650CE4" w14:paraId="30790837" w14:textId="77777777" w:rsidTr="003453CD">
        <w:trPr>
          <w:cantSplit/>
          <w:trHeight w:val="285"/>
        </w:trPr>
        <w:tc>
          <w:tcPr>
            <w:tcW w:w="3060" w:type="dxa"/>
            <w:tcBorders>
              <w:top w:val="nil"/>
              <w:left w:val="nil"/>
              <w:bottom w:val="nil"/>
              <w:right w:val="single" w:sz="4" w:space="0" w:color="F2F2F2" w:themeColor="background1" w:themeShade="F2"/>
            </w:tcBorders>
            <w:shd w:val="clear" w:color="auto" w:fill="auto"/>
          </w:tcPr>
          <w:p w14:paraId="35E7E90C" w14:textId="77777777" w:rsidR="00650CE4" w:rsidRPr="00ED54B6"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b/>
                <w:bCs/>
              </w:rPr>
            </w:pPr>
          </w:p>
        </w:tc>
        <w:tc>
          <w:tcPr>
            <w:tcW w:w="3690" w:type="dxa"/>
            <w:tcBorders>
              <w:top w:val="single" w:sz="4" w:space="0" w:color="F2F2F2" w:themeColor="background1" w:themeShade="F2"/>
              <w:left w:val="single" w:sz="4" w:space="0" w:color="F2F2F2" w:themeColor="background1" w:themeShade="F2"/>
              <w:bottom w:val="nil"/>
              <w:right w:val="single" w:sz="4" w:space="0" w:color="F2F2F2" w:themeColor="background1" w:themeShade="F2"/>
            </w:tcBorders>
            <w:shd w:val="clear" w:color="auto" w:fill="auto"/>
          </w:tcPr>
          <w:p w14:paraId="1CE44E6C" w14:textId="702D67A9" w:rsidR="00650CE4" w:rsidRDefault="00650CE4"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 xml:space="preserve">Transportation </w:t>
            </w:r>
            <w:r w:rsidR="00BA0185">
              <w:t>s</w:t>
            </w:r>
            <w:r>
              <w:t>tops</w:t>
            </w:r>
          </w:p>
        </w:tc>
        <w:tc>
          <w:tcPr>
            <w:tcW w:w="2790" w:type="dxa"/>
            <w:tcBorders>
              <w:top w:val="single" w:sz="4" w:space="0" w:color="F2F2F2" w:themeColor="background1" w:themeShade="F2"/>
              <w:left w:val="single" w:sz="4" w:space="0" w:color="F2F2F2" w:themeColor="background1" w:themeShade="F2"/>
              <w:bottom w:val="nil"/>
              <w:right w:val="nil"/>
            </w:tcBorders>
            <w:shd w:val="clear" w:color="auto" w:fill="auto"/>
          </w:tcPr>
          <w:p w14:paraId="7DA14FA2" w14:textId="27DE6793" w:rsidR="00650CE4" w:rsidRDefault="00E41E74" w:rsidP="00185AFB">
            <w:pPr>
              <w:pStyle w:val="TableText"/>
              <w:spacing w:before="20" w:after="20"/>
              <w:cnfStyle w:val="000000010000" w:firstRow="0" w:lastRow="0" w:firstColumn="0" w:lastColumn="0" w:oddVBand="0" w:evenVBand="0" w:oddHBand="0" w:evenHBand="1" w:firstRowFirstColumn="0" w:firstRowLastColumn="0" w:lastRowFirstColumn="0" w:lastRowLastColumn="0"/>
              <w:rPr>
                <w:color w:val="000000" w:themeColor="text1"/>
              </w:rPr>
            </w:pPr>
            <w:r w:rsidRPr="00E41E74">
              <w:rPr>
                <w:color w:val="000000" w:themeColor="text1"/>
              </w:rPr>
              <w:t>Inter-university Consortium for Political and Social Research (ICPSR) National Neighborhood Data Archive (NaNDA): Public Transit Stops by Census Tract and ZIP Code Tabulation Area, United States, 2016-2018 and 2024, retrieved March 11, 2025</w:t>
            </w:r>
          </w:p>
        </w:tc>
      </w:tr>
      <w:tr w:rsidR="003453CD" w14:paraId="5D3316F1" w14:textId="77777777" w:rsidTr="003453CD">
        <w:trPr>
          <w:cantSplit/>
          <w:trHeight w:val="285"/>
        </w:trPr>
        <w:tc>
          <w:tcPr>
            <w:tcW w:w="3060" w:type="dxa"/>
            <w:tcBorders>
              <w:top w:val="nil"/>
              <w:bottom w:val="nil"/>
            </w:tcBorders>
          </w:tcPr>
          <w:p w14:paraId="2E3D0451" w14:textId="77777777" w:rsidR="003453CD" w:rsidRPr="00ED54B6"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rPr>
                <w:b/>
                <w:bCs/>
              </w:rPr>
            </w:pPr>
            <w:r w:rsidRPr="00ED54B6">
              <w:rPr>
                <w:b/>
                <w:bCs/>
              </w:rPr>
              <w:t xml:space="preserve">Climate Risk </w:t>
            </w:r>
          </w:p>
        </w:tc>
        <w:tc>
          <w:tcPr>
            <w:tcW w:w="3690" w:type="dxa"/>
            <w:tcBorders>
              <w:top w:val="nil"/>
            </w:tcBorders>
          </w:tcPr>
          <w:p w14:paraId="75DB6533" w14:textId="750508C1" w:rsidR="003453CD"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Expected annual loss – agriculture </w:t>
            </w:r>
          </w:p>
        </w:tc>
        <w:tc>
          <w:tcPr>
            <w:tcW w:w="2790" w:type="dxa"/>
            <w:tcBorders>
              <w:top w:val="nil"/>
              <w:bottom w:val="nil"/>
            </w:tcBorders>
          </w:tcPr>
          <w:p w14:paraId="7CC64431" w14:textId="7F64F798" w:rsidR="003453CD"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rsidRPr="00A86269">
              <w:t>Federal Emergency Management Agency (FEMA) Natural Risk Index Dataset, retrieved July 28, 2023</w:t>
            </w:r>
          </w:p>
        </w:tc>
      </w:tr>
      <w:tr w:rsidR="003453CD" w14:paraId="247CA698" w14:textId="77777777" w:rsidTr="003453CD">
        <w:trPr>
          <w:cantSplit/>
          <w:trHeight w:val="285"/>
        </w:trPr>
        <w:tc>
          <w:tcPr>
            <w:tcW w:w="3060" w:type="dxa"/>
            <w:tcBorders>
              <w:top w:val="nil"/>
              <w:bottom w:val="nil"/>
            </w:tcBorders>
          </w:tcPr>
          <w:p w14:paraId="0C04013B" w14:textId="77777777" w:rsidR="003453CD" w:rsidRDefault="003453CD"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p>
        </w:tc>
        <w:tc>
          <w:tcPr>
            <w:tcW w:w="3690" w:type="dxa"/>
          </w:tcPr>
          <w:p w14:paraId="10AFFA92" w14:textId="3F069DE7" w:rsidR="003453CD" w:rsidRDefault="003453CD"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r>
              <w:t>Expected annual loss – buildings</w:t>
            </w:r>
          </w:p>
        </w:tc>
        <w:tc>
          <w:tcPr>
            <w:tcW w:w="2790" w:type="dxa"/>
            <w:tcBorders>
              <w:top w:val="nil"/>
              <w:bottom w:val="nil"/>
            </w:tcBorders>
          </w:tcPr>
          <w:p w14:paraId="4A2C671D" w14:textId="44E574CE" w:rsidR="003453CD" w:rsidRDefault="003453CD" w:rsidP="00185AFB">
            <w:pPr>
              <w:pStyle w:val="TableText"/>
              <w:spacing w:before="20" w:after="20"/>
              <w:cnfStyle w:val="000000010000" w:firstRow="0" w:lastRow="0" w:firstColumn="0" w:lastColumn="0" w:oddVBand="0" w:evenVBand="0" w:oddHBand="0" w:evenHBand="1" w:firstRowFirstColumn="0" w:firstRowLastColumn="0" w:lastRowFirstColumn="0" w:lastRowLastColumn="0"/>
            </w:pPr>
          </w:p>
        </w:tc>
      </w:tr>
      <w:tr w:rsidR="003453CD" w14:paraId="18A9E476" w14:textId="77777777" w:rsidTr="003453CD">
        <w:trPr>
          <w:cantSplit/>
          <w:trHeight w:val="285"/>
        </w:trPr>
        <w:tc>
          <w:tcPr>
            <w:tcW w:w="3060" w:type="dxa"/>
            <w:tcBorders>
              <w:top w:val="nil"/>
            </w:tcBorders>
          </w:tcPr>
          <w:p w14:paraId="5D0FCDA3" w14:textId="77777777" w:rsidR="003453CD"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p>
        </w:tc>
        <w:tc>
          <w:tcPr>
            <w:tcW w:w="3690" w:type="dxa"/>
          </w:tcPr>
          <w:p w14:paraId="4250DDCD" w14:textId="0652197E" w:rsidR="003453CD"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r>
              <w:t xml:space="preserve">Expected annual loss – population </w:t>
            </w:r>
          </w:p>
        </w:tc>
        <w:tc>
          <w:tcPr>
            <w:tcW w:w="2790" w:type="dxa"/>
            <w:tcBorders>
              <w:top w:val="nil"/>
            </w:tcBorders>
          </w:tcPr>
          <w:p w14:paraId="3359D76B" w14:textId="31BEE24C" w:rsidR="003453CD" w:rsidRDefault="003453CD" w:rsidP="00185AFB">
            <w:pPr>
              <w:pStyle w:val="TableText"/>
              <w:spacing w:before="20" w:after="20"/>
              <w:cnfStyle w:val="000000100000" w:firstRow="0" w:lastRow="0" w:firstColumn="0" w:lastColumn="0" w:oddVBand="0" w:evenVBand="0" w:oddHBand="1" w:evenHBand="0" w:firstRowFirstColumn="0" w:firstRowLastColumn="0" w:lastRowFirstColumn="0" w:lastRowLastColumn="0"/>
            </w:pPr>
          </w:p>
        </w:tc>
      </w:tr>
    </w:tbl>
    <w:p w14:paraId="48AE4C5F" w14:textId="77777777" w:rsidR="00650CE4" w:rsidRDefault="00650CE4" w:rsidP="00A95747">
      <w:pPr>
        <w:pStyle w:val="BodyText"/>
        <w:spacing w:before="240" w:after="0"/>
      </w:pPr>
      <w:r>
        <w:t>Variable descriptions for the Equity Index include:</w:t>
      </w:r>
    </w:p>
    <w:p w14:paraId="61B4B99E" w14:textId="1C42204A" w:rsidR="00650CE4" w:rsidRDefault="00650CE4" w:rsidP="00A95747">
      <w:pPr>
        <w:pStyle w:val="Bullet1"/>
        <w:spacing w:before="20" w:after="20"/>
      </w:pPr>
      <w:r w:rsidRPr="00ED54B6">
        <w:rPr>
          <w:b/>
          <w:bCs/>
        </w:rPr>
        <w:t>Education:</w:t>
      </w:r>
      <w:r>
        <w:t xml:space="preserve"> Percentage of households </w:t>
      </w:r>
      <w:r w:rsidR="00141581">
        <w:t>with individuals</w:t>
      </w:r>
      <w:r w:rsidR="00C474E0">
        <w:t xml:space="preserve"> aged</w:t>
      </w:r>
      <w:r>
        <w:t xml:space="preserve"> 25 </w:t>
      </w:r>
      <w:r w:rsidR="006876A8">
        <w:t xml:space="preserve">or </w:t>
      </w:r>
      <w:r>
        <w:t>old</w:t>
      </w:r>
      <w:r w:rsidR="00C474E0">
        <w:t>er</w:t>
      </w:r>
      <w:r>
        <w:t xml:space="preserve"> </w:t>
      </w:r>
      <w:r w:rsidR="00C474E0">
        <w:t>who have</w:t>
      </w:r>
      <w:r>
        <w:t xml:space="preserve"> less than a high school education</w:t>
      </w:r>
    </w:p>
    <w:p w14:paraId="6D41CBD2" w14:textId="77777777" w:rsidR="00650CE4" w:rsidRDefault="00650CE4" w:rsidP="00A95747">
      <w:pPr>
        <w:pStyle w:val="Bullet1"/>
        <w:spacing w:before="20" w:after="20"/>
      </w:pPr>
      <w:r w:rsidRPr="00ED54B6">
        <w:rPr>
          <w:b/>
          <w:bCs/>
        </w:rPr>
        <w:t>Linguistic isolation:</w:t>
      </w:r>
      <w:r>
        <w:t xml:space="preserve"> Percent of households that speak English less than "very well"</w:t>
      </w:r>
    </w:p>
    <w:p w14:paraId="103526EF" w14:textId="77777777" w:rsidR="00650CE4" w:rsidRDefault="00650CE4" w:rsidP="00A95747">
      <w:pPr>
        <w:pStyle w:val="Bullet1"/>
        <w:spacing w:before="20" w:after="20"/>
      </w:pPr>
      <w:r w:rsidRPr="00ED54B6">
        <w:rPr>
          <w:b/>
          <w:bCs/>
        </w:rPr>
        <w:t>Low income:</w:t>
      </w:r>
      <w:r>
        <w:t xml:space="preserve"> Percent of families below the poverty level</w:t>
      </w:r>
    </w:p>
    <w:p w14:paraId="62236B2D" w14:textId="77777777" w:rsidR="00650CE4" w:rsidRDefault="00650CE4" w:rsidP="00A95747">
      <w:pPr>
        <w:pStyle w:val="Bullet1"/>
        <w:spacing w:before="20" w:after="20"/>
      </w:pPr>
      <w:r w:rsidRPr="00ED54B6">
        <w:rPr>
          <w:b/>
          <w:bCs/>
        </w:rPr>
        <w:t>Mobile homes:</w:t>
      </w:r>
      <w:r>
        <w:t xml:space="preserve"> Percent of households that live in mobile homes</w:t>
      </w:r>
    </w:p>
    <w:p w14:paraId="03D37AB6" w14:textId="77777777" w:rsidR="00650CE4" w:rsidRDefault="00650CE4" w:rsidP="00A95747">
      <w:pPr>
        <w:pStyle w:val="Bullet1"/>
        <w:spacing w:before="20" w:after="20"/>
      </w:pPr>
      <w:r w:rsidRPr="00ED54B6">
        <w:rPr>
          <w:b/>
          <w:bCs/>
        </w:rPr>
        <w:t>People of color:</w:t>
      </w:r>
      <w:r>
        <w:t xml:space="preserve"> Percent of population that is non-white</w:t>
      </w:r>
    </w:p>
    <w:p w14:paraId="63175807" w14:textId="77777777" w:rsidR="00650CE4" w:rsidRDefault="00650CE4" w:rsidP="00A95747">
      <w:pPr>
        <w:pStyle w:val="Bullet1"/>
        <w:spacing w:before="20" w:after="20"/>
      </w:pPr>
      <w:r w:rsidRPr="00ED54B6">
        <w:rPr>
          <w:b/>
          <w:bCs/>
        </w:rPr>
        <w:t>Rent burden:</w:t>
      </w:r>
      <w:r>
        <w:t xml:space="preserve"> Percent of households paying more than 35% of gross income on rent</w:t>
      </w:r>
    </w:p>
    <w:p w14:paraId="1199026D" w14:textId="77777777" w:rsidR="00650CE4" w:rsidRDefault="00650CE4" w:rsidP="00A95747">
      <w:pPr>
        <w:pStyle w:val="Bullet1"/>
        <w:spacing w:before="20" w:after="20"/>
      </w:pPr>
      <w:r w:rsidRPr="00ED54B6">
        <w:rPr>
          <w:b/>
          <w:bCs/>
        </w:rPr>
        <w:t>Renters:</w:t>
      </w:r>
      <w:r>
        <w:t xml:space="preserve"> Percent of households occupied by renters</w:t>
      </w:r>
    </w:p>
    <w:p w14:paraId="35FEC912" w14:textId="77777777" w:rsidR="00650CE4" w:rsidRDefault="00650CE4" w:rsidP="00A95747">
      <w:pPr>
        <w:pStyle w:val="Bullet1"/>
        <w:spacing w:before="20" w:after="20"/>
      </w:pPr>
      <w:r w:rsidRPr="00ED54B6">
        <w:rPr>
          <w:b/>
          <w:bCs/>
        </w:rPr>
        <w:t>Single parent:</w:t>
      </w:r>
      <w:r>
        <w:t xml:space="preserve"> Percent of households with a single parent</w:t>
      </w:r>
    </w:p>
    <w:p w14:paraId="0A74773B" w14:textId="77777777" w:rsidR="00650CE4" w:rsidRDefault="00650CE4" w:rsidP="00A95747">
      <w:pPr>
        <w:pStyle w:val="Bullet1"/>
        <w:spacing w:before="20" w:after="20"/>
      </w:pPr>
      <w:r w:rsidRPr="00E721E0">
        <w:rPr>
          <w:b/>
          <w:bCs/>
        </w:rPr>
        <w:t>Unemployment rate:</w:t>
      </w:r>
      <w:r>
        <w:t xml:space="preserve"> Annual unemployment rate by county</w:t>
      </w:r>
    </w:p>
    <w:p w14:paraId="310ED50C" w14:textId="77777777" w:rsidR="00650CE4" w:rsidRDefault="00650CE4" w:rsidP="00A95747">
      <w:pPr>
        <w:pStyle w:val="Bullet1"/>
        <w:spacing w:before="20" w:after="20"/>
      </w:pPr>
      <w:r w:rsidRPr="00E721E0">
        <w:rPr>
          <w:b/>
          <w:bCs/>
        </w:rPr>
        <w:t>Energy burden ratio:</w:t>
      </w:r>
      <w:r>
        <w:t xml:space="preserve"> Household ratio of energy expenditures to gross income by census tract</w:t>
      </w:r>
    </w:p>
    <w:p w14:paraId="210FF332" w14:textId="77777777" w:rsidR="00650CE4" w:rsidRDefault="00650CE4" w:rsidP="00A95747">
      <w:pPr>
        <w:pStyle w:val="Bullet1"/>
        <w:spacing w:before="20" w:after="20"/>
      </w:pPr>
      <w:r w:rsidRPr="00E721E0">
        <w:rPr>
          <w:b/>
          <w:bCs/>
        </w:rPr>
        <w:t>Grid outage duration:</w:t>
      </w:r>
      <w:r>
        <w:t xml:space="preserve"> Average duration of grid outages in this county</w:t>
      </w:r>
    </w:p>
    <w:p w14:paraId="7BF183BA" w14:textId="77777777" w:rsidR="00650CE4" w:rsidRDefault="00650CE4" w:rsidP="00A95747">
      <w:pPr>
        <w:pStyle w:val="Bullet1"/>
        <w:spacing w:before="20" w:after="20"/>
      </w:pPr>
      <w:r w:rsidRPr="00E721E0">
        <w:rPr>
          <w:b/>
          <w:bCs/>
        </w:rPr>
        <w:t>Grid outages county:</w:t>
      </w:r>
      <w:r>
        <w:t xml:space="preserve"> Number of grid outages in this county</w:t>
      </w:r>
    </w:p>
    <w:p w14:paraId="7B576A1B" w14:textId="77777777" w:rsidR="00650CE4" w:rsidRDefault="00650CE4" w:rsidP="00A95747">
      <w:pPr>
        <w:pStyle w:val="Bullet1"/>
        <w:spacing w:before="20" w:after="20"/>
      </w:pPr>
      <w:r w:rsidRPr="00E721E0">
        <w:rPr>
          <w:b/>
          <w:bCs/>
        </w:rPr>
        <w:t>Non-grid fuels:</w:t>
      </w:r>
      <w:r>
        <w:t xml:space="preserve"> Percentage of households that use non-grid fuels to heat their home, which include natural gas, propane, liquid gas, wood</w:t>
      </w:r>
    </w:p>
    <w:p w14:paraId="638E919B" w14:textId="77777777" w:rsidR="00650CE4" w:rsidRDefault="00650CE4" w:rsidP="00A95747">
      <w:pPr>
        <w:pStyle w:val="Bullet1"/>
        <w:spacing w:before="20" w:after="20"/>
      </w:pPr>
      <w:r w:rsidRPr="00E721E0">
        <w:rPr>
          <w:b/>
          <w:bCs/>
        </w:rPr>
        <w:t>Diesel particulate matter:</w:t>
      </w:r>
      <w:r>
        <w:t xml:space="preserve"> Percentile of households exposed to diesel </w:t>
      </w:r>
      <w:r w:rsidRPr="00ED54B6">
        <w:t>particulate matter</w:t>
      </w:r>
    </w:p>
    <w:p w14:paraId="6F74D4A0" w14:textId="77777777" w:rsidR="00650CE4" w:rsidRDefault="00650CE4" w:rsidP="00A95747">
      <w:pPr>
        <w:pStyle w:val="Bullet1"/>
        <w:spacing w:before="20" w:after="20"/>
      </w:pPr>
      <w:r w:rsidRPr="00E721E0">
        <w:rPr>
          <w:b/>
          <w:bCs/>
        </w:rPr>
        <w:t>Ozone:</w:t>
      </w:r>
      <w:r>
        <w:t xml:space="preserve"> Concentration of ozone by census tract</w:t>
      </w:r>
    </w:p>
    <w:p w14:paraId="700DFED9" w14:textId="77777777" w:rsidR="00650CE4" w:rsidRDefault="00650CE4" w:rsidP="00A95747">
      <w:pPr>
        <w:pStyle w:val="Bullet1"/>
        <w:spacing w:before="20" w:after="20"/>
      </w:pPr>
      <w:r w:rsidRPr="00E721E0">
        <w:rPr>
          <w:b/>
          <w:bCs/>
        </w:rPr>
        <w:t>Pesticides use:</w:t>
      </w:r>
      <w:r>
        <w:t xml:space="preserve"> Percentile of census tracts affected by pesticide exposure</w:t>
      </w:r>
    </w:p>
    <w:p w14:paraId="63F6CD6E" w14:textId="77777777" w:rsidR="00650CE4" w:rsidRDefault="00650CE4" w:rsidP="00A95747">
      <w:pPr>
        <w:pStyle w:val="Bullet1"/>
        <w:spacing w:before="20" w:after="20"/>
      </w:pPr>
      <w:r w:rsidRPr="00E721E0">
        <w:rPr>
          <w:b/>
          <w:bCs/>
        </w:rPr>
        <w:t>PM2.5 particulate matter:</w:t>
      </w:r>
      <w:r>
        <w:t xml:space="preserve"> Percentile of census tracts affected by PM 2.5 concentration</w:t>
      </w:r>
    </w:p>
    <w:p w14:paraId="0E33E5E2" w14:textId="1FE24605" w:rsidR="00650CE4" w:rsidRDefault="00650CE4" w:rsidP="00A95747">
      <w:pPr>
        <w:pStyle w:val="Bullet1"/>
        <w:spacing w:before="20" w:after="20"/>
      </w:pPr>
      <w:r w:rsidRPr="00E721E0">
        <w:rPr>
          <w:b/>
          <w:bCs/>
        </w:rPr>
        <w:t>Toxic releases to air:</w:t>
      </w:r>
      <w:r>
        <w:t xml:space="preserve"> </w:t>
      </w:r>
      <w:r w:rsidR="00A34E14">
        <w:t>a screening-level estimate of relative risk</w:t>
      </w:r>
      <w:r w:rsidR="00075D99">
        <w:t xml:space="preserve"> reported as a toxicity-weighted concentration score, normalized for comparison across </w:t>
      </w:r>
      <w:r>
        <w:t>census tract</w:t>
      </w:r>
      <w:r w:rsidR="00705CE2">
        <w:t>s, not an actual exposure measurement</w:t>
      </w:r>
    </w:p>
    <w:p w14:paraId="7806B84F" w14:textId="77777777" w:rsidR="00650CE4" w:rsidRDefault="00650CE4" w:rsidP="00A95747">
      <w:pPr>
        <w:pStyle w:val="Bullet1"/>
        <w:spacing w:before="20" w:after="20"/>
      </w:pPr>
      <w:r w:rsidRPr="00E721E0">
        <w:rPr>
          <w:b/>
          <w:bCs/>
        </w:rPr>
        <w:t>Asbestos risk:</w:t>
      </w:r>
      <w:r>
        <w:t xml:space="preserve"> Percentage of households in residential buildings older than 1978 who have a higher likelihood of asbestos exposure</w:t>
      </w:r>
    </w:p>
    <w:p w14:paraId="34D9AB28" w14:textId="77777777" w:rsidR="00650CE4" w:rsidRDefault="00650CE4" w:rsidP="00A95747">
      <w:pPr>
        <w:pStyle w:val="Bullet1"/>
        <w:spacing w:before="20" w:after="20"/>
      </w:pPr>
      <w:r w:rsidRPr="00E721E0">
        <w:rPr>
          <w:b/>
          <w:bCs/>
        </w:rPr>
        <w:t>Hazardous waste proximity:</w:t>
      </w:r>
      <w:r>
        <w:t xml:space="preserve"> Proximity to hazardous waste disposal sites</w:t>
      </w:r>
    </w:p>
    <w:p w14:paraId="1D87EC22" w14:textId="77777777" w:rsidR="00650CE4" w:rsidRDefault="00650CE4" w:rsidP="00A95747">
      <w:pPr>
        <w:pStyle w:val="Bullet1"/>
        <w:spacing w:before="20" w:after="20"/>
      </w:pPr>
      <w:r w:rsidRPr="00E721E0">
        <w:rPr>
          <w:b/>
          <w:bCs/>
        </w:rPr>
        <w:t>Lead paint:</w:t>
      </w:r>
      <w:r>
        <w:t xml:space="preserve"> Percentage of homes at risk of lead paint exposure using the proxy of 1950s building vintages</w:t>
      </w:r>
    </w:p>
    <w:p w14:paraId="027A9C96" w14:textId="77777777" w:rsidR="00650CE4" w:rsidRDefault="00650CE4" w:rsidP="00A95747">
      <w:pPr>
        <w:pStyle w:val="Bullet1"/>
        <w:spacing w:before="20" w:after="20"/>
      </w:pPr>
      <w:r w:rsidRPr="00E721E0">
        <w:rPr>
          <w:b/>
          <w:bCs/>
        </w:rPr>
        <w:t>RMP proximity:</w:t>
      </w:r>
      <w:r>
        <w:t xml:space="preserve"> Proximity to Risk Management Program (RMP) facility</w:t>
      </w:r>
    </w:p>
    <w:p w14:paraId="34D5DDDD" w14:textId="6A579E41" w:rsidR="00650CE4" w:rsidRDefault="00650CE4" w:rsidP="00A95747">
      <w:pPr>
        <w:pStyle w:val="Bullet1"/>
        <w:spacing w:before="20" w:after="20"/>
      </w:pPr>
      <w:r w:rsidRPr="00E721E0">
        <w:rPr>
          <w:b/>
          <w:bCs/>
        </w:rPr>
        <w:t>Soil contamination:</w:t>
      </w:r>
      <w:r>
        <w:t xml:space="preserve"> </w:t>
      </w:r>
      <w:r w:rsidR="005517DE" w:rsidRPr="005517DE">
        <w:t>Measures potential exposure to hazardous substances in soil by identifying locations of cleanup sites where toxic chemicals have been released and remediation is required. Scores are expressed as percentiles relative to other census tracts statewide.</w:t>
      </w:r>
    </w:p>
    <w:p w14:paraId="0BAD4A0C" w14:textId="77777777" w:rsidR="00650CE4" w:rsidRDefault="00650CE4" w:rsidP="00A95747">
      <w:pPr>
        <w:pStyle w:val="Bullet1"/>
        <w:spacing w:before="20" w:after="20"/>
      </w:pPr>
      <w:r w:rsidRPr="00E721E0">
        <w:rPr>
          <w:b/>
          <w:bCs/>
        </w:rPr>
        <w:t>Superfund proximity:</w:t>
      </w:r>
      <w:r>
        <w:t xml:space="preserve"> Proximity to a U.S. EPA Superfund site</w:t>
      </w:r>
      <w:r>
        <w:rPr>
          <w:rStyle w:val="FootnoteReference"/>
        </w:rPr>
        <w:footnoteReference w:id="8"/>
      </w:r>
    </w:p>
    <w:p w14:paraId="11FE61EA" w14:textId="48EECC7E" w:rsidR="00650CE4" w:rsidRDefault="00650CE4" w:rsidP="00A95747">
      <w:pPr>
        <w:pStyle w:val="Bullet1"/>
        <w:spacing w:before="20" w:after="20"/>
      </w:pPr>
      <w:r w:rsidRPr="007820BA">
        <w:rPr>
          <w:b/>
          <w:bCs/>
        </w:rPr>
        <w:t>Storage tanks:</w:t>
      </w:r>
      <w:r>
        <w:t xml:space="preserve"> Proximity of households to underground storage tanks</w:t>
      </w:r>
      <w:r w:rsidR="00942E22">
        <w:t xml:space="preserve"> </w:t>
      </w:r>
      <w:r w:rsidR="00942E22" w:rsidRPr="00942E22">
        <w:t>that store petroleum or hazardous substances</w:t>
      </w:r>
    </w:p>
    <w:p w14:paraId="66FF0048" w14:textId="77777777" w:rsidR="00650CE4" w:rsidRDefault="00650CE4" w:rsidP="00A95747">
      <w:pPr>
        <w:pStyle w:val="Bullet1"/>
        <w:spacing w:before="20" w:after="20"/>
      </w:pPr>
      <w:r w:rsidRPr="007820BA">
        <w:rPr>
          <w:b/>
          <w:bCs/>
        </w:rPr>
        <w:t>Wastewater discharge:</w:t>
      </w:r>
      <w:r>
        <w:t xml:space="preserve"> Toxicity weighted concentration of wastewater discharge in nearby waterways</w:t>
      </w:r>
    </w:p>
    <w:p w14:paraId="5FBAC5C9" w14:textId="77777777" w:rsidR="00650CE4" w:rsidRDefault="00650CE4" w:rsidP="00A95747">
      <w:pPr>
        <w:pStyle w:val="Bullet1"/>
        <w:spacing w:before="20" w:after="20"/>
      </w:pPr>
      <w:r w:rsidRPr="007820BA">
        <w:rPr>
          <w:b/>
          <w:bCs/>
        </w:rPr>
        <w:t>Asthma incidence:</w:t>
      </w:r>
      <w:r>
        <w:t xml:space="preserve"> Percentile of households affected by asthma by census tract</w:t>
      </w:r>
    </w:p>
    <w:p w14:paraId="1B42A4FC" w14:textId="77777777" w:rsidR="00650CE4" w:rsidRDefault="00650CE4" w:rsidP="00A95747">
      <w:pPr>
        <w:pStyle w:val="Bullet1"/>
        <w:spacing w:before="20" w:after="20"/>
      </w:pPr>
      <w:r w:rsidRPr="00A3747D">
        <w:rPr>
          <w:b/>
          <w:bCs/>
        </w:rPr>
        <w:t>Cancer incidence:</w:t>
      </w:r>
      <w:r>
        <w:t xml:space="preserve"> Percentile of households affected by cancer by census tract</w:t>
      </w:r>
    </w:p>
    <w:p w14:paraId="66C01FC7" w14:textId="77777777" w:rsidR="00650CE4" w:rsidRDefault="00650CE4" w:rsidP="00A95747">
      <w:pPr>
        <w:pStyle w:val="Bullet1"/>
        <w:spacing w:before="20" w:after="20"/>
      </w:pPr>
      <w:r w:rsidRPr="00A3747D">
        <w:rPr>
          <w:b/>
          <w:bCs/>
        </w:rPr>
        <w:t>Heart disease incidence:</w:t>
      </w:r>
      <w:r>
        <w:t xml:space="preserve"> Percentile of households with heart disease incidence by census tracts</w:t>
      </w:r>
    </w:p>
    <w:p w14:paraId="738FF307" w14:textId="77777777" w:rsidR="00650CE4" w:rsidRDefault="00650CE4" w:rsidP="00A95747">
      <w:pPr>
        <w:pStyle w:val="Bullet1"/>
        <w:spacing w:before="20" w:after="20"/>
      </w:pPr>
      <w:r w:rsidRPr="00A3747D">
        <w:rPr>
          <w:b/>
          <w:bCs/>
        </w:rPr>
        <w:t>Low birth weight:</w:t>
      </w:r>
      <w:r>
        <w:t xml:space="preserve"> Percentage of babies born with low birth weight</w:t>
      </w:r>
    </w:p>
    <w:p w14:paraId="746B364C" w14:textId="77777777" w:rsidR="00650CE4" w:rsidRDefault="00650CE4" w:rsidP="00A95747">
      <w:pPr>
        <w:pStyle w:val="Bullet1"/>
        <w:spacing w:before="20" w:after="20"/>
      </w:pPr>
      <w:r w:rsidRPr="00A3747D">
        <w:rPr>
          <w:b/>
          <w:bCs/>
        </w:rPr>
        <w:t>Low life expectancy:</w:t>
      </w:r>
      <w:r>
        <w:t xml:space="preserve"> Percentile of households with low life expectancy by census tract</w:t>
      </w:r>
    </w:p>
    <w:p w14:paraId="500EEB08" w14:textId="28A3C672" w:rsidR="00650CE4" w:rsidRDefault="00650CE4" w:rsidP="00A95747">
      <w:pPr>
        <w:pStyle w:val="Bullet1"/>
        <w:spacing w:before="20" w:after="20"/>
      </w:pPr>
      <w:r w:rsidRPr="00A3747D">
        <w:rPr>
          <w:b/>
          <w:bCs/>
        </w:rPr>
        <w:t>Food deserts:</w:t>
      </w:r>
      <w:r>
        <w:t xml:space="preserve"> Limited access to supermarkets, </w:t>
      </w:r>
      <w:r w:rsidR="005F28DF">
        <w:t>supercenters</w:t>
      </w:r>
      <w:r>
        <w:t>, grocery stores, or other sources of healthy and affordable food that may make it harder for some people to eat a healthy diet</w:t>
      </w:r>
    </w:p>
    <w:p w14:paraId="675B819F" w14:textId="77777777" w:rsidR="00650CE4" w:rsidRDefault="00650CE4" w:rsidP="00A95747">
      <w:pPr>
        <w:pStyle w:val="Bullet1"/>
        <w:spacing w:before="20" w:after="20"/>
      </w:pPr>
      <w:r w:rsidRPr="00A3747D">
        <w:rPr>
          <w:b/>
          <w:bCs/>
        </w:rPr>
        <w:t>Housing burden:</w:t>
      </w:r>
      <w:r>
        <w:t xml:space="preserve"> Households who are low income and burdened by housing cost. </w:t>
      </w:r>
    </w:p>
    <w:p w14:paraId="3C88AA4C" w14:textId="77777777" w:rsidR="00650CE4" w:rsidRDefault="00650CE4" w:rsidP="00A95747">
      <w:pPr>
        <w:pStyle w:val="Bullet1"/>
        <w:spacing w:before="20" w:after="20"/>
      </w:pPr>
      <w:r w:rsidRPr="00A3747D">
        <w:rPr>
          <w:b/>
          <w:bCs/>
        </w:rPr>
        <w:t>Limited broadband:</w:t>
      </w:r>
      <w:r>
        <w:t xml:space="preserve"> Percentage of homes with limited broadband access</w:t>
      </w:r>
    </w:p>
    <w:p w14:paraId="61F9F0E9" w14:textId="18EEAAAB" w:rsidR="00650CE4" w:rsidRDefault="00650CE4" w:rsidP="00A95747">
      <w:pPr>
        <w:pStyle w:val="Bullet1"/>
        <w:spacing w:before="20" w:after="20"/>
      </w:pPr>
      <w:r w:rsidRPr="00A3747D">
        <w:rPr>
          <w:b/>
          <w:bCs/>
        </w:rPr>
        <w:t>Health insurance:</w:t>
      </w:r>
      <w:r w:rsidR="00A81E4C">
        <w:rPr>
          <w:b/>
          <w:bCs/>
        </w:rPr>
        <w:t xml:space="preserve"> </w:t>
      </w:r>
      <w:r>
        <w:t>Percentage of homes without health insurance</w:t>
      </w:r>
    </w:p>
    <w:p w14:paraId="4C9C098A" w14:textId="77777777" w:rsidR="00650CE4" w:rsidRDefault="00650CE4" w:rsidP="00A95747">
      <w:pPr>
        <w:pStyle w:val="Bullet1"/>
        <w:spacing w:before="20" w:after="20"/>
      </w:pPr>
      <w:r w:rsidRPr="00A3747D">
        <w:rPr>
          <w:b/>
          <w:bCs/>
        </w:rPr>
        <w:t>Transportation stops:</w:t>
      </w:r>
      <w:r>
        <w:t xml:space="preserve"> Transportation stops per square mile by census tract</w:t>
      </w:r>
    </w:p>
    <w:p w14:paraId="1926C661" w14:textId="77777777" w:rsidR="00650CE4" w:rsidRDefault="00650CE4" w:rsidP="00A95747">
      <w:pPr>
        <w:pStyle w:val="Bullet1"/>
        <w:spacing w:before="20" w:after="20"/>
      </w:pPr>
      <w:r w:rsidRPr="00A3747D">
        <w:rPr>
          <w:b/>
          <w:bCs/>
        </w:rPr>
        <w:t>Expected annual loss – agriculture:</w:t>
      </w:r>
      <w:r>
        <w:t xml:space="preserve"> Expected dollar value annual loss of agriculture due to climate impacts by census tract</w:t>
      </w:r>
    </w:p>
    <w:p w14:paraId="7F954982" w14:textId="77777777" w:rsidR="00650CE4" w:rsidRDefault="00650CE4" w:rsidP="00A95747">
      <w:pPr>
        <w:pStyle w:val="Bullet1"/>
        <w:spacing w:before="20" w:after="20"/>
      </w:pPr>
      <w:r w:rsidRPr="00A3747D">
        <w:rPr>
          <w:b/>
          <w:bCs/>
        </w:rPr>
        <w:t>Expected annual loss – buildings:</w:t>
      </w:r>
      <w:r>
        <w:t xml:space="preserve"> Expected dollar value annual loss of buildings due to climate impacts by census tract</w:t>
      </w:r>
    </w:p>
    <w:p w14:paraId="1D31EB00" w14:textId="77777777" w:rsidR="00650CE4" w:rsidRPr="004C25FC" w:rsidRDefault="00650CE4" w:rsidP="00A95747">
      <w:pPr>
        <w:pStyle w:val="Bullet1"/>
        <w:spacing w:before="20" w:after="20"/>
      </w:pPr>
      <w:r w:rsidRPr="00A3747D">
        <w:rPr>
          <w:b/>
          <w:bCs/>
        </w:rPr>
        <w:t>Expected annual loss – population:</w:t>
      </w:r>
      <w:r>
        <w:t xml:space="preserve"> Expected dollar value annual loss of populations due to climate impacts by census tract</w:t>
      </w:r>
    </w:p>
    <w:p w14:paraId="2D27553A" w14:textId="77777777" w:rsidR="00B64470" w:rsidRDefault="00B64470" w:rsidP="00B64470">
      <w:pPr>
        <w:pStyle w:val="Heading1"/>
      </w:pPr>
      <w:bookmarkStart w:id="25" w:name="_Ref197944825"/>
      <w:bookmarkStart w:id="26" w:name="_Toc213837945"/>
      <w:bookmarkStart w:id="27" w:name="_Ref197944854"/>
      <w:r>
        <w:t>Gas Assets Index</w:t>
      </w:r>
      <w:bookmarkEnd w:id="25"/>
      <w:bookmarkEnd w:id="26"/>
    </w:p>
    <w:p w14:paraId="58FD4B64" w14:textId="77777777" w:rsidR="00B64470" w:rsidRDefault="00B64470" w:rsidP="00B64470">
      <w:pPr>
        <w:pStyle w:val="Heading2"/>
      </w:pPr>
      <w:bookmarkStart w:id="28" w:name="_Toc213837946"/>
      <w:r>
        <w:t>Overview</w:t>
      </w:r>
      <w:bookmarkEnd w:id="28"/>
    </w:p>
    <w:p w14:paraId="4A66D562" w14:textId="4073F8F8" w:rsidR="00D2297D" w:rsidRDefault="00B64470" w:rsidP="002732D3">
      <w:pPr>
        <w:pStyle w:val="BodyText"/>
      </w:pPr>
      <w:r>
        <w:t xml:space="preserve">The </w:t>
      </w:r>
      <w:r w:rsidR="000A1B4D">
        <w:t>Tool</w:t>
      </w:r>
      <w:r>
        <w:t xml:space="preserve"> aims to identify and prioritize areas where gas distribution pipelines can be decommissioned in a safe, cost-effective, and environmentally beneficial way, while minimizing impacts on customers and communities. The </w:t>
      </w:r>
      <w:r w:rsidR="000A1B4D">
        <w:t>Tool</w:t>
      </w:r>
      <w:r>
        <w:t xml:space="preserve"> uses </w:t>
      </w:r>
      <w:r w:rsidR="00AA32B1">
        <w:t xml:space="preserve">Gas System Census Tract Data as provided by utilities to the R.20-01-007 service list on November 4, </w:t>
      </w:r>
      <w:r w:rsidR="00B52A24">
        <w:t>2022,</w:t>
      </w:r>
      <w:r w:rsidR="00AA32B1">
        <w:t xml:space="preserve"> in compliance with the Long-Term Gas Planning Rulemaking.</w:t>
      </w:r>
      <w:r w:rsidR="00AA32B1">
        <w:rPr>
          <w:rStyle w:val="FootnoteReference"/>
        </w:rPr>
        <w:footnoteReference w:id="9"/>
      </w:r>
      <w:r>
        <w:t xml:space="preserve"> </w:t>
      </w:r>
      <w:r w:rsidR="00D2297D">
        <w:t xml:space="preserve">The </w:t>
      </w:r>
      <w:r w:rsidR="0015166C">
        <w:t xml:space="preserve">following </w:t>
      </w:r>
      <w:r w:rsidR="00394435">
        <w:t xml:space="preserve">are the five </w:t>
      </w:r>
      <w:r w:rsidR="00223378">
        <w:t>sub-indices</w:t>
      </w:r>
      <w:r w:rsidR="00D2297D">
        <w:t xml:space="preserve"> included in the gas assets inde</w:t>
      </w:r>
      <w:r w:rsidR="006F04BF">
        <w:t>x</w:t>
      </w:r>
      <w:r w:rsidR="004221CB">
        <w:t>, listed with what each is designed to measure</w:t>
      </w:r>
      <w:r w:rsidR="00D2297D">
        <w:t>:</w:t>
      </w:r>
    </w:p>
    <w:p w14:paraId="640261F4" w14:textId="2B7BBB07" w:rsidR="009C5C74" w:rsidRDefault="00D2297D" w:rsidP="00D2297D">
      <w:pPr>
        <w:pStyle w:val="Bullet1"/>
      </w:pPr>
      <w:r w:rsidRPr="00291B9A">
        <w:rPr>
          <w:b/>
          <w:bCs/>
          <w:color w:val="2E7427" w:themeColor="accent6" w:themeShade="BF"/>
        </w:rPr>
        <w:t>Safety</w:t>
      </w:r>
      <w:r w:rsidR="009C5C74" w:rsidRPr="00291B9A">
        <w:rPr>
          <w:b/>
          <w:bCs/>
          <w:color w:val="2E7427" w:themeColor="accent6" w:themeShade="BF"/>
        </w:rPr>
        <w:t>:</w:t>
      </w:r>
      <w:r w:rsidR="009C5C74" w:rsidRPr="00291B9A">
        <w:rPr>
          <w:color w:val="2E7427" w:themeColor="accent6" w:themeShade="BF"/>
        </w:rPr>
        <w:t xml:space="preserve"> </w:t>
      </w:r>
      <w:r w:rsidR="00FC6666" w:rsidRPr="00FC6666">
        <w:t>risk of gas leaks, explosions, fires, and other hazards associated with the gas distribution pipelines</w:t>
      </w:r>
    </w:p>
    <w:p w14:paraId="3715D3F8" w14:textId="6D8E2F63" w:rsidR="009C5C74" w:rsidRDefault="00D2297D" w:rsidP="00D2297D">
      <w:pPr>
        <w:pStyle w:val="Bullet1"/>
      </w:pPr>
      <w:r w:rsidRPr="00291B9A">
        <w:rPr>
          <w:b/>
          <w:bCs/>
          <w:color w:val="2E7427" w:themeColor="accent6" w:themeShade="BF"/>
        </w:rPr>
        <w:t>Environment</w:t>
      </w:r>
      <w:r w:rsidR="00F357CB" w:rsidRPr="00291B9A">
        <w:rPr>
          <w:b/>
          <w:bCs/>
          <w:color w:val="2E7427" w:themeColor="accent6" w:themeShade="BF"/>
        </w:rPr>
        <w:t>:</w:t>
      </w:r>
      <w:r w:rsidR="00F357CB">
        <w:t xml:space="preserve"> </w:t>
      </w:r>
      <w:r w:rsidR="00CF0834" w:rsidRPr="00CF0834">
        <w:t xml:space="preserve">environmental benefits and impacts associated </w:t>
      </w:r>
      <w:r w:rsidR="00054E63">
        <w:t xml:space="preserve">with </w:t>
      </w:r>
      <w:r w:rsidR="002060CA">
        <w:t>gas distribution pipelines</w:t>
      </w:r>
      <w:r w:rsidR="00B64639">
        <w:t xml:space="preserve">, </w:t>
      </w:r>
      <w:r w:rsidR="00FE7490">
        <w:t>such as</w:t>
      </w:r>
      <w:r w:rsidR="00B64639">
        <w:t xml:space="preserve"> greenhouse gas (GHG) emissions that could be avoided through decommissioning</w:t>
      </w:r>
    </w:p>
    <w:p w14:paraId="7F057C2F" w14:textId="0248960B" w:rsidR="009C5C74" w:rsidRDefault="009C5C74" w:rsidP="00D2297D">
      <w:pPr>
        <w:pStyle w:val="Bullet1"/>
      </w:pPr>
      <w:r w:rsidRPr="00291B9A">
        <w:rPr>
          <w:b/>
          <w:bCs/>
          <w:color w:val="2E7427" w:themeColor="accent6" w:themeShade="BF"/>
        </w:rPr>
        <w:t>Cost</w:t>
      </w:r>
      <w:r w:rsidR="00F357CB" w:rsidRPr="00291B9A">
        <w:rPr>
          <w:b/>
          <w:bCs/>
          <w:color w:val="2E7427" w:themeColor="accent6" w:themeShade="BF"/>
        </w:rPr>
        <w:t>:</w:t>
      </w:r>
      <w:r w:rsidR="00F357CB">
        <w:t xml:space="preserve"> </w:t>
      </w:r>
      <w:r w:rsidR="00043C40" w:rsidRPr="00043C40">
        <w:t>cost avoidance associated with gas decommissioning in an area</w:t>
      </w:r>
      <w:r w:rsidR="00B64639">
        <w:t xml:space="preserve">, which would include costs </w:t>
      </w:r>
      <w:r w:rsidR="00C84690">
        <w:t>for maintaining or replacing an aging pipeline</w:t>
      </w:r>
    </w:p>
    <w:p w14:paraId="0908D239" w14:textId="0A39EA16" w:rsidR="009C5C74" w:rsidRDefault="00D2297D" w:rsidP="00D2297D">
      <w:pPr>
        <w:pStyle w:val="Bullet1"/>
      </w:pPr>
      <w:r w:rsidRPr="00291B9A">
        <w:rPr>
          <w:b/>
          <w:bCs/>
          <w:color w:val="2E7427" w:themeColor="accent6" w:themeShade="BF"/>
        </w:rPr>
        <w:t>Regulatory</w:t>
      </w:r>
      <w:r w:rsidR="009C5C74" w:rsidRPr="00291B9A">
        <w:rPr>
          <w:b/>
          <w:bCs/>
          <w:color w:val="2E7427" w:themeColor="accent6" w:themeShade="BF"/>
        </w:rPr>
        <w:t xml:space="preserve"> Compliance</w:t>
      </w:r>
      <w:r w:rsidR="00F357CB" w:rsidRPr="00291B9A">
        <w:rPr>
          <w:b/>
          <w:bCs/>
          <w:color w:val="2E7427" w:themeColor="accent6" w:themeShade="BF"/>
        </w:rPr>
        <w:t>:</w:t>
      </w:r>
      <w:r w:rsidR="00F357CB">
        <w:t xml:space="preserve"> </w:t>
      </w:r>
      <w:r w:rsidR="00556D4E" w:rsidRPr="00556D4E">
        <w:t>regulatory compliance and alignment associated with gas decommissioning in an area</w:t>
      </w:r>
      <w:r w:rsidR="009A4A79">
        <w:t xml:space="preserve"> </w:t>
      </w:r>
    </w:p>
    <w:p w14:paraId="4B889CAD" w14:textId="323F0505" w:rsidR="00CB0CB6" w:rsidRDefault="009C5C74" w:rsidP="00527C13">
      <w:pPr>
        <w:pStyle w:val="Bullet1Last"/>
      </w:pPr>
      <w:r w:rsidRPr="00291B9A">
        <w:rPr>
          <w:b/>
          <w:bCs/>
          <w:color w:val="2E7427" w:themeColor="accent6" w:themeShade="BF"/>
        </w:rPr>
        <w:t>Demand</w:t>
      </w:r>
      <w:r w:rsidR="00F357CB" w:rsidRPr="00291B9A">
        <w:rPr>
          <w:b/>
          <w:bCs/>
          <w:color w:val="2E7427" w:themeColor="accent6" w:themeShade="BF"/>
        </w:rPr>
        <w:t>:</w:t>
      </w:r>
      <w:r w:rsidR="00F357CB">
        <w:t xml:space="preserve"> </w:t>
      </w:r>
      <w:r w:rsidR="00556D4E" w:rsidRPr="00556D4E">
        <w:t>gas demand reduction and customer impact associated with gas decommissioning in an area</w:t>
      </w:r>
    </w:p>
    <w:p w14:paraId="3EE489C8" w14:textId="10C7C10D" w:rsidR="006B3720" w:rsidRDefault="00B64470" w:rsidP="00CB0CB6">
      <w:pPr>
        <w:pStyle w:val="BodyText"/>
      </w:pPr>
      <w:r>
        <w:t xml:space="preserve">Further information on the process for identifying data sources and coordination with relevant stakeholders is described in the following project </w:t>
      </w:r>
      <w:r w:rsidR="002D1284">
        <w:t>deliverable</w:t>
      </w:r>
      <w:r>
        <w:t xml:space="preserve">: </w:t>
      </w:r>
      <w:r w:rsidRPr="004455BC">
        <w:rPr>
          <w:b/>
          <w:i/>
        </w:rPr>
        <w:t>Gas Assets Assessment Data Collection and Analysis Report</w:t>
      </w:r>
      <w:r>
        <w:t xml:space="preserve">. </w:t>
      </w:r>
    </w:p>
    <w:p w14:paraId="4A9708C7" w14:textId="60B29AAB" w:rsidR="00B64470" w:rsidRPr="008F7AC5" w:rsidRDefault="00B64470" w:rsidP="006B3720">
      <w:pPr>
        <w:pStyle w:val="BodyText"/>
      </w:pPr>
      <w:r>
        <w:t xml:space="preserve">The following sections describe how the gas assets subindices and index were designed and developed following the estimation methodology presented in </w:t>
      </w:r>
      <w:r w:rsidRPr="009E5EAC">
        <w:rPr>
          <w:b/>
          <w:bCs/>
          <w:i/>
          <w:iCs/>
        </w:rPr>
        <w:t xml:space="preserve">Section 2, </w:t>
      </w:r>
      <w:r w:rsidRPr="009E5EAC">
        <w:rPr>
          <w:b/>
          <w:bCs/>
          <w:i/>
          <w:iCs/>
        </w:rPr>
        <w:fldChar w:fldCharType="begin"/>
      </w:r>
      <w:r w:rsidRPr="009E5EAC">
        <w:rPr>
          <w:b/>
          <w:bCs/>
          <w:i/>
          <w:iCs/>
        </w:rPr>
        <w:instrText xml:space="preserve"> REF _Ref197533546 \h  \* MERGEFORMAT </w:instrText>
      </w:r>
      <w:r w:rsidRPr="009E5EAC">
        <w:rPr>
          <w:b/>
          <w:bCs/>
          <w:i/>
          <w:iCs/>
        </w:rPr>
      </w:r>
      <w:r w:rsidRPr="009E5EAC">
        <w:rPr>
          <w:b/>
          <w:bCs/>
          <w:i/>
          <w:iCs/>
        </w:rPr>
        <w:fldChar w:fldCharType="separate"/>
      </w:r>
      <w:r w:rsidR="00D66740" w:rsidRPr="00291B9A">
        <w:rPr>
          <w:b/>
          <w:bCs/>
          <w:i/>
          <w:iCs/>
        </w:rPr>
        <w:t>Methods of Estimation</w:t>
      </w:r>
      <w:r w:rsidRPr="009E5EAC">
        <w:rPr>
          <w:b/>
          <w:bCs/>
          <w:i/>
          <w:iCs/>
        </w:rPr>
        <w:fldChar w:fldCharType="end"/>
      </w:r>
      <w:r>
        <w:t>.</w:t>
      </w:r>
    </w:p>
    <w:p w14:paraId="1F388A52" w14:textId="77777777" w:rsidR="00B64470" w:rsidRDefault="00B64470" w:rsidP="00B64470">
      <w:pPr>
        <w:pStyle w:val="Heading2"/>
      </w:pPr>
      <w:bookmarkStart w:id="29" w:name="_Toc213837947"/>
      <w:r>
        <w:t>Methodology and Rationale</w:t>
      </w:r>
      <w:bookmarkEnd w:id="29"/>
    </w:p>
    <w:p w14:paraId="1B82D494" w14:textId="5200DAF0" w:rsidR="007D64C4" w:rsidRDefault="000C01E0" w:rsidP="004A4D24">
      <w:pPr>
        <w:pStyle w:val="BodyText"/>
      </w:pPr>
      <w:r>
        <w:t>The research team began by identify</w:t>
      </w:r>
      <w:r w:rsidR="00FB375F">
        <w:t>ing</w:t>
      </w:r>
      <w:r w:rsidR="00403C6C">
        <w:t xml:space="preserve"> factors</w:t>
      </w:r>
      <w:r w:rsidR="00FB375F">
        <w:t xml:space="preserve"> </w:t>
      </w:r>
      <w:r w:rsidR="001C2DA8">
        <w:t xml:space="preserve">that </w:t>
      </w:r>
      <w:r w:rsidR="002F15F9">
        <w:t>influence decision</w:t>
      </w:r>
      <w:r w:rsidR="002A5BDB">
        <w:t xml:space="preserve">s </w:t>
      </w:r>
      <w:r w:rsidR="00BD747D">
        <w:t>on</w:t>
      </w:r>
      <w:r w:rsidR="00744C89">
        <w:t xml:space="preserve"> gas distribution system infrastructure</w:t>
      </w:r>
      <w:r w:rsidR="00BD747D">
        <w:t xml:space="preserve"> decommissioning</w:t>
      </w:r>
      <w:r w:rsidR="00B120C8">
        <w:t xml:space="preserve">. </w:t>
      </w:r>
      <w:r w:rsidR="00BD27BF">
        <w:t xml:space="preserve">As described above, the </w:t>
      </w:r>
      <w:r w:rsidR="00E75824">
        <w:t>gas asset assessment factors identified are</w:t>
      </w:r>
      <w:r w:rsidR="00BD27BF">
        <w:t xml:space="preserve"> safety, environment, cost, regulatory compliance, and </w:t>
      </w:r>
      <w:r w:rsidR="0094530D">
        <w:t>demand.</w:t>
      </w:r>
      <w:r w:rsidR="00E314E8">
        <w:t xml:space="preserve"> </w:t>
      </w:r>
      <w:r w:rsidR="00A8020D">
        <w:t xml:space="preserve">These five areas were defined as the sub-indices for the gas assets index. </w:t>
      </w:r>
    </w:p>
    <w:p w14:paraId="60AC0EEF" w14:textId="05126872" w:rsidR="004D5C8E" w:rsidRDefault="007D64C4" w:rsidP="004A4D24">
      <w:pPr>
        <w:pStyle w:val="BodyText"/>
      </w:pPr>
      <w:r>
        <w:t xml:space="preserve">To identify metrics associated with each of these areas, the research team started the data exploration by reviewing gas system census tract data provided by the four investor-owned gas utilities—PG&amp;E, SoCalGas (SCG), SDG&amp;E, and Southwest Gas (SWG)—in response to the CPUC’s Long-Term Gas Planning Rulemaking R.20-01-007. Data files for each of the four utilities were accessed and downloaded from the CPUC’s website. Using the R-programming language, the files were read and analyzed, with steps taken to validate and clean data to create a single dataset with consistent values across IOUs for each of the fields. For example, data was reviewed and edited where needed to ensure consistent use of variable names and units of measure. </w:t>
      </w:r>
      <w:r w:rsidR="00B111CE">
        <w:t xml:space="preserve">After a thorough review of the available data and fields, the research team identified a subset of </w:t>
      </w:r>
      <w:r w:rsidR="000F65A2">
        <w:t xml:space="preserve">variables with </w:t>
      </w:r>
      <w:r w:rsidR="00B111CE">
        <w:t xml:space="preserve">sufficient data to be used in the analysis. </w:t>
      </w:r>
      <w:r>
        <w:t>More information on the data validation</w:t>
      </w:r>
      <w:r w:rsidR="00EA63CE">
        <w:t xml:space="preserve"> and selection process</w:t>
      </w:r>
      <w:r>
        <w:t xml:space="preserve"> is provided in the </w:t>
      </w:r>
      <w:r w:rsidRPr="004455BC">
        <w:rPr>
          <w:b/>
          <w:i/>
        </w:rPr>
        <w:t>Gas Assets Assessment Data Collection and Analysis Report</w:t>
      </w:r>
      <w:r>
        <w:t xml:space="preserve">. </w:t>
      </w:r>
    </w:p>
    <w:p w14:paraId="0304EEF0" w14:textId="54ED3A76" w:rsidR="007D64C4" w:rsidRDefault="00E049C0" w:rsidP="004A4D24">
      <w:pPr>
        <w:pStyle w:val="BodyText"/>
      </w:pPr>
      <w:r>
        <w:t xml:space="preserve">As a first step in identifying </w:t>
      </w:r>
      <w:r w:rsidR="008516F2">
        <w:t>which</w:t>
      </w:r>
      <w:r w:rsidR="000F65A2">
        <w:t xml:space="preserve"> variables to </w:t>
      </w:r>
      <w:r w:rsidR="00307100">
        <w:t xml:space="preserve">use in the model, </w:t>
      </w:r>
      <w:r w:rsidR="002B1C5C">
        <w:t>t</w:t>
      </w:r>
      <w:r w:rsidR="009A6919">
        <w:t>he team identified thematic characteristics of gas infrastructure associated with each of the</w:t>
      </w:r>
      <w:r w:rsidR="00307100">
        <w:t xml:space="preserve"> five sub-</w:t>
      </w:r>
      <w:r w:rsidR="009A6919">
        <w:t xml:space="preserve">indices. </w:t>
      </w:r>
      <w:r w:rsidR="00FF7CBD">
        <w:fldChar w:fldCharType="begin"/>
      </w:r>
      <w:r w:rsidR="00FF7CBD">
        <w:instrText xml:space="preserve"> REF _Ref211618534 \h </w:instrText>
      </w:r>
      <w:r w:rsidR="00FF7CBD">
        <w:fldChar w:fldCharType="separate"/>
      </w:r>
      <w:r w:rsidR="00FF7CBD">
        <w:t xml:space="preserve">Figure </w:t>
      </w:r>
      <w:r w:rsidR="00FF7CBD">
        <w:rPr>
          <w:noProof/>
        </w:rPr>
        <w:t>4</w:t>
      </w:r>
      <w:r w:rsidR="00FF7CBD">
        <w:noBreakHyphen/>
      </w:r>
      <w:r w:rsidR="00FF7CBD">
        <w:rPr>
          <w:noProof/>
        </w:rPr>
        <w:t>1</w:t>
      </w:r>
      <w:r w:rsidR="00FF7CBD">
        <w:fldChar w:fldCharType="end"/>
      </w:r>
      <w:r w:rsidR="00FF7CBD">
        <w:t xml:space="preserve"> shows a</w:t>
      </w:r>
      <w:r w:rsidR="009A6919">
        <w:t xml:space="preserve"> mapping of </w:t>
      </w:r>
      <w:r w:rsidR="00FF7CBD">
        <w:t xml:space="preserve">gas assets </w:t>
      </w:r>
      <w:r w:rsidR="00307100">
        <w:t>sub-indices</w:t>
      </w:r>
      <w:r w:rsidR="00FF7CBD">
        <w:t xml:space="preserve"> (in green)</w:t>
      </w:r>
      <w:r w:rsidR="00307100">
        <w:t xml:space="preserve"> to </w:t>
      </w:r>
      <w:r w:rsidR="009A6919">
        <w:t>thematic characteristics</w:t>
      </w:r>
      <w:r w:rsidR="00FF7CBD">
        <w:t xml:space="preserve"> (in dark blue)</w:t>
      </w:r>
      <w:r w:rsidR="009A6919">
        <w:t xml:space="preserve">. </w:t>
      </w:r>
    </w:p>
    <w:p w14:paraId="07042223" w14:textId="13FEB0AF" w:rsidR="00F244B7" w:rsidRDefault="00F244B7" w:rsidP="002774D3">
      <w:pPr>
        <w:pStyle w:val="FigureTitle"/>
      </w:pPr>
      <w:bookmarkStart w:id="30" w:name="_Ref211618534"/>
      <w:bookmarkStart w:id="31" w:name="_Toc213837971"/>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w:t>
      </w:r>
      <w:r>
        <w:fldChar w:fldCharType="end"/>
      </w:r>
      <w:bookmarkEnd w:id="30"/>
      <w:r>
        <w:t xml:space="preserve">. Gas Assets </w:t>
      </w:r>
      <w:r w:rsidR="00B36C95" w:rsidRPr="002774D3">
        <w:t>Assessment</w:t>
      </w:r>
      <w:r w:rsidR="00B36C95">
        <w:t xml:space="preserve"> Factors</w:t>
      </w:r>
      <w:bookmarkEnd w:id="31"/>
    </w:p>
    <w:p w14:paraId="2AAACCBE" w14:textId="31E3DC55" w:rsidR="008C7BE5" w:rsidRDefault="00F13DEC" w:rsidP="004A4D24">
      <w:pPr>
        <w:pStyle w:val="BodyText"/>
      </w:pPr>
      <w:r>
        <w:rPr>
          <w:noProof/>
        </w:rPr>
        <w:drawing>
          <wp:inline distT="0" distB="0" distL="0" distR="0" wp14:anchorId="0D8878C2" wp14:editId="5F0FF0C0">
            <wp:extent cx="5486400" cy="3200400"/>
            <wp:effectExtent l="0" t="0" r="0" b="19050"/>
            <wp:docPr id="475584648" name="Diagram 3" descr="Image that maps the Gas Asset index, it's sub-indices and the variables that fed into the sub-indice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DF94105" w14:textId="207CAB1D" w:rsidR="00E70CD6" w:rsidRDefault="00DE5201" w:rsidP="00E41E74">
      <w:pPr>
        <w:pStyle w:val="BodyText"/>
        <w:spacing w:before="240"/>
      </w:pPr>
      <w:r>
        <w:t>Finally</w:t>
      </w:r>
      <w:r w:rsidR="00AA39F1">
        <w:t xml:space="preserve">, the team determined which of the data variables from the utilities’ gas system data </w:t>
      </w:r>
      <w:r w:rsidR="00023CA4">
        <w:t>would be</w:t>
      </w:r>
      <w:r w:rsidR="00D729EA">
        <w:t>st</w:t>
      </w:r>
      <w:r w:rsidR="00023CA4">
        <w:t xml:space="preserve"> </w:t>
      </w:r>
      <w:r w:rsidR="00AA39F1">
        <w:t xml:space="preserve">represent </w:t>
      </w:r>
      <w:r w:rsidR="00023CA4">
        <w:t>each</w:t>
      </w:r>
      <w:r w:rsidR="00AA39F1">
        <w:t xml:space="preserve"> thematic characteristic. In some cases, a mapping from the primary data to the thematic characteristics was </w:t>
      </w:r>
      <w:r w:rsidR="00425F70">
        <w:t>evident,</w:t>
      </w:r>
      <w:r w:rsidR="00AA39F1">
        <w:t xml:space="preserve"> e.g., the IOUs’ Gas System Census Tract Data included variables for pipeline materials and pipeline age (year). In other cases, the team identified prox</w:t>
      </w:r>
      <w:r w:rsidR="00D729EA">
        <w:t xml:space="preserve">y variables </w:t>
      </w:r>
      <w:r w:rsidR="00AA39F1">
        <w:t>to represent the thematic characteristic</w:t>
      </w:r>
      <w:r w:rsidR="00425F70">
        <w:t>,</w:t>
      </w:r>
      <w:r w:rsidR="00AA39F1">
        <w:t xml:space="preserve"> e.g., customer counts were proxied by the “Services” field, which is described in the data documentation as “Number of services—Services typically serve one customer each.” In some cases, multiple fields </w:t>
      </w:r>
      <w:r w:rsidR="003E7EF4">
        <w:t xml:space="preserve">were </w:t>
      </w:r>
      <w:r w:rsidR="00AA39F1">
        <w:t>combined to create a new metric to represent a thematic concept, e.g., “Customers per Mile” is derived by dividing “</w:t>
      </w:r>
      <w:r w:rsidR="00AA39F1" w:rsidRPr="006906BE">
        <w:t>Services</w:t>
      </w:r>
      <w:r w:rsidR="00AA39F1">
        <w:t xml:space="preserve"> (count)” by the sum of “Medium Pressure Mains (miles)” and “Medium Pressure Services (miles)</w:t>
      </w:r>
      <w:r w:rsidR="00E16FA0">
        <w:t>.”</w:t>
      </w:r>
      <w:r w:rsidR="00AA39F1">
        <w:t xml:space="preserve"> </w:t>
      </w:r>
    </w:p>
    <w:p w14:paraId="1B6CF4F2" w14:textId="13C1D62D" w:rsidR="00AA39F1" w:rsidRDefault="00B87927" w:rsidP="004A4D24">
      <w:pPr>
        <w:pStyle w:val="BodyText"/>
      </w:pPr>
      <w:r>
        <w:t xml:space="preserve">In </w:t>
      </w:r>
      <w:r w:rsidR="00707F9C">
        <w:t xml:space="preserve">the case of </w:t>
      </w:r>
      <w:r w:rsidR="00974209">
        <w:t xml:space="preserve">the pipeline replacement cost, </w:t>
      </w:r>
      <w:r w:rsidR="00EE46B1">
        <w:t xml:space="preserve">identifying </w:t>
      </w:r>
      <w:r w:rsidR="00CD4E01">
        <w:t>representative variables</w:t>
      </w:r>
      <w:r w:rsidR="00EE46B1">
        <w:t xml:space="preserve"> was </w:t>
      </w:r>
      <w:r w:rsidR="00AA39F1">
        <w:t xml:space="preserve">more complicated. </w:t>
      </w:r>
      <w:r w:rsidR="006A3488">
        <w:t>The</w:t>
      </w:r>
      <w:r w:rsidR="00AA39F1">
        <w:t xml:space="preserve"> IOUs’ Gas System Census Tract Data included only one cost field: “</w:t>
      </w:r>
      <w:r w:rsidR="00AA39F1" w:rsidRPr="00604958">
        <w:t>DistAvCost</w:t>
      </w:r>
      <w:r w:rsidR="00AA39F1">
        <w:t>” defined as “</w:t>
      </w:r>
      <w:r w:rsidR="00AA39F1" w:rsidRPr="00604958">
        <w:t>Average cost per mile to replace distribution pipeline</w:t>
      </w:r>
      <w:r w:rsidR="00AA39F1">
        <w:t>” in a</w:t>
      </w:r>
      <w:r w:rsidR="005726A6">
        <w:t>n</w:t>
      </w:r>
      <w:r w:rsidR="00AA39F1">
        <w:t xml:space="preserve"> operating district. As described in </w:t>
      </w:r>
      <w:r w:rsidR="00AA39F1" w:rsidRPr="002C0BD2">
        <w:rPr>
          <w:b/>
          <w:bCs/>
          <w:i/>
          <w:iCs/>
        </w:rPr>
        <w:t xml:space="preserve">Section </w:t>
      </w:r>
      <w:r w:rsidR="002C0BD2" w:rsidRPr="002C0BD2">
        <w:rPr>
          <w:b/>
          <w:bCs/>
          <w:i/>
          <w:iCs/>
        </w:rPr>
        <w:fldChar w:fldCharType="begin"/>
      </w:r>
      <w:r w:rsidR="002C0BD2" w:rsidRPr="002C0BD2">
        <w:rPr>
          <w:b/>
          <w:bCs/>
          <w:i/>
          <w:iCs/>
        </w:rPr>
        <w:instrText xml:space="preserve"> REF _Ref211864258 \w \h </w:instrText>
      </w:r>
      <w:r w:rsidR="002C0BD2">
        <w:rPr>
          <w:b/>
          <w:bCs/>
          <w:i/>
          <w:iCs/>
        </w:rPr>
        <w:instrText xml:space="preserve"> \* MERGEFORMAT </w:instrText>
      </w:r>
      <w:r w:rsidR="002C0BD2" w:rsidRPr="002C0BD2">
        <w:rPr>
          <w:b/>
          <w:bCs/>
          <w:i/>
          <w:iCs/>
        </w:rPr>
      </w:r>
      <w:r w:rsidR="002C0BD2" w:rsidRPr="002C0BD2">
        <w:rPr>
          <w:b/>
          <w:bCs/>
          <w:i/>
          <w:iCs/>
        </w:rPr>
        <w:fldChar w:fldCharType="separate"/>
      </w:r>
      <w:r w:rsidR="002C0BD2" w:rsidRPr="002C0BD2">
        <w:rPr>
          <w:b/>
          <w:bCs/>
          <w:i/>
          <w:iCs/>
        </w:rPr>
        <w:t>2.4.2</w:t>
      </w:r>
      <w:r w:rsidR="002C0BD2" w:rsidRPr="002C0BD2">
        <w:rPr>
          <w:b/>
          <w:bCs/>
          <w:i/>
          <w:iCs/>
        </w:rPr>
        <w:fldChar w:fldCharType="end"/>
      </w:r>
      <w:r w:rsidR="002C0BD2" w:rsidRPr="002C0BD2">
        <w:rPr>
          <w:b/>
          <w:bCs/>
          <w:i/>
          <w:iCs/>
        </w:rPr>
        <w:t xml:space="preserve"> </w:t>
      </w:r>
      <w:r w:rsidR="00AA39F1" w:rsidRPr="002C0BD2">
        <w:rPr>
          <w:b/>
          <w:bCs/>
          <w:i/>
          <w:iCs/>
        </w:rPr>
        <w:t>Imputing Gas Asset Variables,</w:t>
      </w:r>
      <w:r w:rsidR="00AA39F1" w:rsidRPr="002C0BD2">
        <w:t xml:space="preserve"> the</w:t>
      </w:r>
      <w:r w:rsidR="00AA39F1">
        <w:t xml:space="preserve"> research team found that this cost field was consistently populated</w:t>
      </w:r>
      <w:r w:rsidR="00DE2922">
        <w:t xml:space="preserve"> only </w:t>
      </w:r>
      <w:r w:rsidR="00FF7CBD">
        <w:t>in</w:t>
      </w:r>
      <w:r w:rsidR="00DE2922">
        <w:t xml:space="preserve"> PG&amp;E</w:t>
      </w:r>
      <w:r w:rsidR="00FF7CBD">
        <w:t>’s dataset</w:t>
      </w:r>
      <w:r w:rsidR="00AA39F1">
        <w:t>, and therefore, an imputation method was applied to fill in missing data to represent this critical metric</w:t>
      </w:r>
      <w:r w:rsidR="00DE2922">
        <w:t xml:space="preserve"> for </w:t>
      </w:r>
      <w:r w:rsidR="00742EAD">
        <w:t>SCG, SDG&amp;E, and SWG</w:t>
      </w:r>
      <w:r w:rsidR="00AA39F1">
        <w:t xml:space="preserve">. </w:t>
      </w:r>
      <w:r w:rsidR="0075606C">
        <w:t>Refer to Section</w:t>
      </w:r>
      <w:r w:rsidR="002C0BD2">
        <w:t> </w:t>
      </w:r>
      <w:r w:rsidR="002C0BD2">
        <w:fldChar w:fldCharType="begin"/>
      </w:r>
      <w:r w:rsidR="002C0BD2">
        <w:instrText xml:space="preserve"> REF _Ref211864258 \w \h </w:instrText>
      </w:r>
      <w:r w:rsidR="002C0BD2">
        <w:fldChar w:fldCharType="separate"/>
      </w:r>
      <w:r w:rsidR="002C0BD2">
        <w:t>2.4.2</w:t>
      </w:r>
      <w:r w:rsidR="002C0BD2">
        <w:fldChar w:fldCharType="end"/>
      </w:r>
      <w:r w:rsidR="0075606C">
        <w:t xml:space="preserve"> for more details on </w:t>
      </w:r>
      <w:r w:rsidR="003C17D8">
        <w:t>the method and data used to derive the cost data</w:t>
      </w:r>
      <w:r w:rsidR="008D10FF">
        <w:t xml:space="preserve"> metric</w:t>
      </w:r>
      <w:r w:rsidR="0075606C">
        <w:t xml:space="preserve">. </w:t>
      </w:r>
      <w:r w:rsidR="00742745">
        <w:t>See the</w:t>
      </w:r>
      <w:r w:rsidR="00AA39F1">
        <w:t xml:space="preserve"> next section </w:t>
      </w:r>
      <w:r w:rsidR="00742745">
        <w:t xml:space="preserve">for a complete </w:t>
      </w:r>
      <w:r w:rsidR="00AA39F1">
        <w:t xml:space="preserve">mapping of </w:t>
      </w:r>
      <w:r w:rsidR="00742745">
        <w:t xml:space="preserve">gas assets </w:t>
      </w:r>
      <w:r w:rsidR="005726A6">
        <w:t xml:space="preserve">sub-indices to </w:t>
      </w:r>
      <w:r w:rsidR="00E6192E">
        <w:t>variables</w:t>
      </w:r>
      <w:r w:rsidR="00742745">
        <w:t xml:space="preserve">, </w:t>
      </w:r>
      <w:r w:rsidR="001831C0">
        <w:t xml:space="preserve">with the variables </w:t>
      </w:r>
      <w:r w:rsidR="00742745">
        <w:t>grouped by</w:t>
      </w:r>
      <w:r w:rsidR="001831C0">
        <w:t xml:space="preserve"> the</w:t>
      </w:r>
      <w:r w:rsidR="00742745">
        <w:t xml:space="preserve"> th</w:t>
      </w:r>
      <w:r w:rsidR="001831C0">
        <w:t>ematic characteristics they represent</w:t>
      </w:r>
      <w:r w:rsidR="00E6192E">
        <w:t>.</w:t>
      </w:r>
      <w:r w:rsidR="007A3ECE">
        <w:t xml:space="preserve"> </w:t>
      </w:r>
    </w:p>
    <w:p w14:paraId="5FF3C5E4" w14:textId="77777777" w:rsidR="00B64470" w:rsidRDefault="00B64470" w:rsidP="00B64470">
      <w:pPr>
        <w:pStyle w:val="Heading2"/>
      </w:pPr>
      <w:bookmarkStart w:id="32" w:name="_Toc213837948"/>
      <w:r>
        <w:t>Data Resources and Sub-Index Detail</w:t>
      </w:r>
      <w:bookmarkEnd w:id="32"/>
    </w:p>
    <w:p w14:paraId="289D13DC" w14:textId="5754E5F7" w:rsidR="00D540C0" w:rsidRDefault="004D5139" w:rsidP="00D540C0">
      <w:pPr>
        <w:pStyle w:val="BodyText"/>
      </w:pPr>
      <w:r>
        <w:t xml:space="preserve">A mapping of Gas Assets Sub-Indices to </w:t>
      </w:r>
      <w:r w:rsidR="00E41E74">
        <w:t>c</w:t>
      </w:r>
      <w:r>
        <w:t xml:space="preserve">haracteristics and </w:t>
      </w:r>
      <w:r w:rsidR="00E41E74">
        <w:t>v</w:t>
      </w:r>
      <w:r>
        <w:t>ariables, with definitions, is shown in</w:t>
      </w:r>
      <w:r w:rsidR="00D540C0">
        <w:t xml:space="preserve"> </w:t>
      </w:r>
      <w:r w:rsidR="00D540C0">
        <w:fldChar w:fldCharType="begin"/>
      </w:r>
      <w:r w:rsidR="00D540C0">
        <w:instrText xml:space="preserve"> REF _Ref200445530 \h </w:instrText>
      </w:r>
      <w:r w:rsidR="00D540C0">
        <w:fldChar w:fldCharType="separate"/>
      </w:r>
      <w:r w:rsidR="00D66740">
        <w:t xml:space="preserve">Table </w:t>
      </w:r>
      <w:r w:rsidR="00D66740">
        <w:rPr>
          <w:noProof/>
        </w:rPr>
        <w:t>4</w:t>
      </w:r>
      <w:r w:rsidR="00D66740">
        <w:noBreakHyphen/>
      </w:r>
      <w:r w:rsidR="00EB14B5">
        <w:rPr>
          <w:noProof/>
        </w:rPr>
        <w:t>1</w:t>
      </w:r>
      <w:r w:rsidR="00D540C0">
        <w:fldChar w:fldCharType="end"/>
      </w:r>
      <w:r w:rsidR="00D540C0">
        <w:t xml:space="preserve"> below. </w:t>
      </w:r>
      <w:r w:rsidR="00A46639">
        <w:t xml:space="preserve">All </w:t>
      </w:r>
      <w:r w:rsidR="00141858">
        <w:t xml:space="preserve">variables </w:t>
      </w:r>
      <w:r w:rsidR="00BB4936">
        <w:t xml:space="preserve">are sourced from </w:t>
      </w:r>
      <w:r w:rsidR="00C422E7">
        <w:t xml:space="preserve">Selected Rulings from the </w:t>
      </w:r>
      <w:r w:rsidR="00E243E0">
        <w:t>Long-Term Gas Planning Rulemaking (</w:t>
      </w:r>
      <w:r w:rsidR="00845F37">
        <w:t>R.20-01-007</w:t>
      </w:r>
      <w:r w:rsidR="00E243E0">
        <w:t>)</w:t>
      </w:r>
      <w:r w:rsidR="008B577D">
        <w:t xml:space="preserve">, with </w:t>
      </w:r>
      <w:r w:rsidR="00AE0580">
        <w:t>most</w:t>
      </w:r>
      <w:r w:rsidR="008B577D">
        <w:t xml:space="preserve"> described in the March 1, </w:t>
      </w:r>
      <w:r w:rsidR="00291B9A">
        <w:t>2022,</w:t>
      </w:r>
      <w:r w:rsidR="008B577D">
        <w:t xml:space="preserve"> </w:t>
      </w:r>
      <w:r w:rsidR="001131A8">
        <w:t>Gas System Data Ruling</w:t>
      </w:r>
      <w:r w:rsidR="001131A8">
        <w:rPr>
          <w:rStyle w:val="FootnoteReference"/>
        </w:rPr>
        <w:footnoteReference w:id="10"/>
      </w:r>
      <w:r w:rsidR="001131A8">
        <w:t xml:space="preserve"> and supplemental </w:t>
      </w:r>
      <w:r w:rsidR="00141858">
        <w:t>variables</w:t>
      </w:r>
      <w:r w:rsidR="001131A8">
        <w:t xml:space="preserve"> </w:t>
      </w:r>
      <w:r w:rsidR="00935110">
        <w:t>described in the September 21, 2022</w:t>
      </w:r>
      <w:r w:rsidR="00291B9A">
        <w:t>,</w:t>
      </w:r>
      <w:r w:rsidR="00935110">
        <w:t xml:space="preserve"> Revised Gas System Data Ruling.</w:t>
      </w:r>
      <w:r w:rsidR="00C422E7">
        <w:rPr>
          <w:rStyle w:val="FootnoteReference"/>
        </w:rPr>
        <w:footnoteReference w:id="11"/>
      </w:r>
      <w:r w:rsidR="00FF7CBD">
        <w:t xml:space="preserve"> </w:t>
      </w:r>
    </w:p>
    <w:p w14:paraId="7E167019" w14:textId="67CFBD65" w:rsidR="00DA3BB2" w:rsidRDefault="00141858" w:rsidP="00DA3BB2">
      <w:pPr>
        <w:pStyle w:val="BodyText"/>
      </w:pPr>
      <w:r>
        <w:fldChar w:fldCharType="begin"/>
      </w:r>
      <w:r>
        <w:instrText xml:space="preserve"> REF _Ref200445530 \h </w:instrText>
      </w:r>
      <w:r>
        <w:fldChar w:fldCharType="separate"/>
      </w:r>
      <w:r>
        <w:t xml:space="preserve">Table </w:t>
      </w:r>
      <w:r>
        <w:rPr>
          <w:noProof/>
        </w:rPr>
        <w:t>4</w:t>
      </w:r>
      <w:r>
        <w:noBreakHyphen/>
      </w:r>
      <w:r>
        <w:rPr>
          <w:noProof/>
        </w:rPr>
        <w:t>1</w:t>
      </w:r>
      <w:r>
        <w:fldChar w:fldCharType="end"/>
      </w:r>
      <w:r>
        <w:t xml:space="preserve"> shows which </w:t>
      </w:r>
      <w:r w:rsidR="00333AFC">
        <w:t>variables</w:t>
      </w:r>
      <w:r>
        <w:t xml:space="preserve"> were used to derive each of the gas assets sub-indices. </w:t>
      </w:r>
      <w:r w:rsidR="00CC5416">
        <w:t>Most variables were included directly, without transformation</w:t>
      </w:r>
      <w:r w:rsidR="00F8091C">
        <w:t xml:space="preserve">, in the k-means value </w:t>
      </w:r>
      <w:r w:rsidR="00CC5416">
        <w:t xml:space="preserve">scaling model described </w:t>
      </w:r>
      <w:r w:rsidR="00CC5416" w:rsidRPr="002C0BD2">
        <w:t xml:space="preserve">in Section </w:t>
      </w:r>
      <w:r w:rsidR="00CC5416" w:rsidRPr="002C0BD2">
        <w:fldChar w:fldCharType="begin"/>
      </w:r>
      <w:r w:rsidR="00CC5416" w:rsidRPr="002C0BD2">
        <w:instrText xml:space="preserve"> REF _Ref211864309 \w \h  \* MERGEFORMAT </w:instrText>
      </w:r>
      <w:r w:rsidR="00CC5416" w:rsidRPr="002C0BD2">
        <w:fldChar w:fldCharType="separate"/>
      </w:r>
      <w:r w:rsidR="00CC5416" w:rsidRPr="002C0BD2">
        <w:t>2.2.2</w:t>
      </w:r>
      <w:r w:rsidR="00CC5416" w:rsidRPr="002C0BD2">
        <w:fldChar w:fldCharType="end"/>
      </w:r>
      <w:r w:rsidR="00CC5416" w:rsidRPr="002C0BD2">
        <w:t xml:space="preserve">. </w:t>
      </w:r>
      <w:r w:rsidR="00CC5416">
        <w:t xml:space="preserve">There are several exceptions, noted in the table below, where variables were transformed in some way before being included in the model. </w:t>
      </w:r>
      <w:r w:rsidR="00DA3BB2">
        <w:t xml:space="preserve">These exceptions include: </w:t>
      </w:r>
    </w:p>
    <w:p w14:paraId="3DD77415" w14:textId="2201837A" w:rsidR="00DA3BB2" w:rsidRDefault="00DA3BB2" w:rsidP="00DA3BB2">
      <w:pPr>
        <w:pStyle w:val="Bullet1"/>
      </w:pPr>
      <w:r w:rsidRPr="00670418">
        <w:rPr>
          <w:b/>
          <w:bCs/>
        </w:rPr>
        <w:t>Pipe Materials:</w:t>
      </w:r>
      <w:r>
        <w:t xml:space="preserve"> six pipe material variables in the IOU data were summed to create a single ‘Pipe Materials’ variable, which was included in </w:t>
      </w:r>
      <w:r w:rsidR="00F8091C">
        <w:t xml:space="preserve">the k-means </w:t>
      </w:r>
      <w:r>
        <w:t>value scaling model.</w:t>
      </w:r>
    </w:p>
    <w:p w14:paraId="0D8D0CFE" w14:textId="77777777" w:rsidR="00DA3BB2" w:rsidRPr="000D184F" w:rsidRDefault="00DA3BB2" w:rsidP="00DA3BB2">
      <w:pPr>
        <w:pStyle w:val="Bullet1"/>
      </w:pPr>
      <w:r w:rsidRPr="00670418">
        <w:rPr>
          <w:b/>
          <w:bCs/>
        </w:rPr>
        <w:t>District Average Cost</w:t>
      </w:r>
      <w:r>
        <w:rPr>
          <w:b/>
          <w:bCs/>
        </w:rPr>
        <w:t xml:space="preserve"> (DistAvCost)</w:t>
      </w:r>
      <w:r w:rsidRPr="00670418">
        <w:rPr>
          <w:b/>
          <w:bCs/>
        </w:rPr>
        <w:t>:</w:t>
      </w:r>
      <w:r>
        <w:t xml:space="preserve"> The PG&amp;E DistAvCost field was included directly in the model, but due to data gaps, the DistAvCost field was imputed for SCG, SDG&amp;E, and SWG. The derivation of this cost field is described in detail in </w:t>
      </w:r>
      <w:r w:rsidRPr="000D184F">
        <w:rPr>
          <w:i/>
          <w:iCs/>
        </w:rPr>
        <w:t xml:space="preserve">Section </w:t>
      </w:r>
      <w:r w:rsidRPr="000D184F">
        <w:rPr>
          <w:i/>
          <w:iCs/>
        </w:rPr>
        <w:fldChar w:fldCharType="begin"/>
      </w:r>
      <w:r w:rsidRPr="000D184F">
        <w:rPr>
          <w:i/>
          <w:iCs/>
        </w:rPr>
        <w:instrText xml:space="preserve"> REF _Ref211864258 \w \h  \* MERGEFORMAT </w:instrText>
      </w:r>
      <w:r w:rsidRPr="000D184F">
        <w:rPr>
          <w:i/>
          <w:iCs/>
        </w:rPr>
      </w:r>
      <w:r w:rsidRPr="000D184F">
        <w:rPr>
          <w:i/>
          <w:iCs/>
        </w:rPr>
        <w:fldChar w:fldCharType="separate"/>
      </w:r>
      <w:r w:rsidRPr="000D184F">
        <w:rPr>
          <w:i/>
          <w:iCs/>
        </w:rPr>
        <w:t>2.4.2</w:t>
      </w:r>
      <w:r w:rsidRPr="000D184F">
        <w:rPr>
          <w:i/>
          <w:iCs/>
        </w:rPr>
        <w:fldChar w:fldCharType="end"/>
      </w:r>
      <w:r w:rsidRPr="000D184F">
        <w:rPr>
          <w:i/>
          <w:iCs/>
        </w:rPr>
        <w:t xml:space="preserve"> Imputing Gas Asset Variables.</w:t>
      </w:r>
      <w:r w:rsidRPr="000D184F">
        <w:t xml:space="preserve"> </w:t>
      </w:r>
      <w:r>
        <w:t xml:space="preserve">The table below provides definitions for the variables that were used in the OLS model to impute DistAvCost. </w:t>
      </w:r>
    </w:p>
    <w:p w14:paraId="77382B0F" w14:textId="77777777" w:rsidR="00DA3BB2" w:rsidRPr="00287E89" w:rsidRDefault="00DA3BB2" w:rsidP="00DA3BB2">
      <w:pPr>
        <w:pStyle w:val="Bullet1Last"/>
      </w:pPr>
      <w:r w:rsidRPr="00670418">
        <w:rPr>
          <w:b/>
          <w:bCs/>
        </w:rPr>
        <w:t>Customer</w:t>
      </w:r>
      <w:r>
        <w:rPr>
          <w:b/>
          <w:bCs/>
        </w:rPr>
        <w:t>s per Mile:</w:t>
      </w:r>
      <w:r>
        <w:t xml:space="preserve"> a variable derived for input to the Demand sub-index, as described in the preceding section, to represent the number of customers served by a mile of gas distribution system pipeline. </w:t>
      </w:r>
    </w:p>
    <w:p w14:paraId="2D0FB59E" w14:textId="36D9BC6B" w:rsidR="00D540C0" w:rsidRDefault="00D540C0" w:rsidP="000160B2">
      <w:pPr>
        <w:pStyle w:val="FigureTitle"/>
      </w:pPr>
      <w:bookmarkStart w:id="33" w:name="_Ref200445530"/>
      <w:bookmarkStart w:id="34" w:name="_Toc213837966"/>
      <w:r>
        <w:t xml:space="preserve">Table </w:t>
      </w:r>
      <w:r>
        <w:fldChar w:fldCharType="begin"/>
      </w:r>
      <w:r>
        <w:instrText xml:space="preserve"> STYLEREF 1 \s </w:instrText>
      </w:r>
      <w:r>
        <w:fldChar w:fldCharType="separate"/>
      </w:r>
      <w:r w:rsidR="00D66740">
        <w:rPr>
          <w:noProof/>
        </w:rPr>
        <w:t>4</w:t>
      </w:r>
      <w:r>
        <w:fldChar w:fldCharType="end"/>
      </w:r>
      <w:r>
        <w:noBreakHyphen/>
      </w:r>
      <w:r>
        <w:fldChar w:fldCharType="begin"/>
      </w:r>
      <w:r>
        <w:instrText xml:space="preserve"> SEQ Table \* ARABIC \s 1 </w:instrText>
      </w:r>
      <w:r>
        <w:fldChar w:fldCharType="separate"/>
      </w:r>
      <w:r w:rsidR="00C6123D">
        <w:rPr>
          <w:noProof/>
        </w:rPr>
        <w:t>1</w:t>
      </w:r>
      <w:r>
        <w:fldChar w:fldCharType="end"/>
      </w:r>
      <w:bookmarkEnd w:id="33"/>
      <w:r>
        <w:t>. Variables to Sub-Indices</w:t>
      </w:r>
      <w:r w:rsidRPr="00B27C50">
        <w:t xml:space="preserve"> for the </w:t>
      </w:r>
      <w:r w:rsidR="004654B5">
        <w:t xml:space="preserve">Gas Assets </w:t>
      </w:r>
      <w:r w:rsidRPr="00B27C50">
        <w:t>Index</w:t>
      </w:r>
      <w:bookmarkEnd w:id="34"/>
    </w:p>
    <w:tbl>
      <w:tblPr>
        <w:tblStyle w:val="DNV"/>
        <w:tblW w:w="9800" w:type="dxa"/>
        <w:tblInd w:w="5" w:type="dxa"/>
        <w:tblLook w:val="04A0" w:firstRow="1" w:lastRow="0" w:firstColumn="1" w:lastColumn="0" w:noHBand="0" w:noVBand="1"/>
      </w:tblPr>
      <w:tblGrid>
        <w:gridCol w:w="1795"/>
        <w:gridCol w:w="1795"/>
        <w:gridCol w:w="6210"/>
      </w:tblGrid>
      <w:tr w:rsidR="00674F9B" w:rsidRPr="008D6082" w14:paraId="62CC7BB0" w14:textId="77777777" w:rsidTr="00F60D0C">
        <w:trPr>
          <w:cantSplit/>
          <w:trHeight w:val="313"/>
          <w:tblHeader/>
        </w:trPr>
        <w:tc>
          <w:tcPr>
            <w:tcW w:w="1795" w:type="dxa"/>
          </w:tcPr>
          <w:p w14:paraId="69B19271" w14:textId="77777777" w:rsidR="00674F9B" w:rsidRDefault="00674F9B" w:rsidP="00F60D0C">
            <w:pPr>
              <w:pStyle w:val="TableHeader"/>
              <w:cnfStyle w:val="100000000000" w:firstRow="1" w:lastRow="0" w:firstColumn="0" w:lastColumn="0" w:oddVBand="0" w:evenVBand="0" w:oddHBand="0" w:evenHBand="0" w:firstRowFirstColumn="0" w:firstRowLastColumn="0" w:lastRowFirstColumn="0" w:lastRowLastColumn="0"/>
              <w:rPr>
                <w:b/>
                <w:bCs/>
              </w:rPr>
            </w:pPr>
            <w:r>
              <w:rPr>
                <w:b/>
              </w:rPr>
              <w:t>Sub-Indices</w:t>
            </w:r>
          </w:p>
        </w:tc>
        <w:tc>
          <w:tcPr>
            <w:tcW w:w="1795" w:type="dxa"/>
            <w:tcBorders>
              <w:top w:val="nil"/>
              <w:left w:val="single" w:sz="4" w:space="0" w:color="FFFFFF" w:themeColor="background1"/>
            </w:tcBorders>
          </w:tcPr>
          <w:p w14:paraId="5C4BD882" w14:textId="77777777" w:rsidR="00674F9B" w:rsidRPr="00105122" w:rsidRDefault="00674F9B" w:rsidP="00F60D0C">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Characteristic</w:t>
            </w:r>
          </w:p>
        </w:tc>
        <w:tc>
          <w:tcPr>
            <w:tcW w:w="6210" w:type="dxa"/>
            <w:tcBorders>
              <w:top w:val="nil"/>
            </w:tcBorders>
          </w:tcPr>
          <w:p w14:paraId="64BDDCCC" w14:textId="77777777" w:rsidR="00674F9B" w:rsidRPr="00105122" w:rsidRDefault="00674F9B" w:rsidP="00F60D0C">
            <w:pPr>
              <w:pStyle w:val="TableHeader"/>
              <w:cnfStyle w:val="100000000000" w:firstRow="1" w:lastRow="0" w:firstColumn="0" w:lastColumn="0" w:oddVBand="0" w:evenVBand="0" w:oddHBand="0" w:evenHBand="0" w:firstRowFirstColumn="0" w:firstRowLastColumn="0" w:lastRowFirstColumn="0" w:lastRowLastColumn="0"/>
              <w:rPr>
                <w:b/>
                <w:bCs/>
              </w:rPr>
            </w:pPr>
            <w:r>
              <w:rPr>
                <w:b/>
                <w:bCs/>
              </w:rPr>
              <w:t>Variable Descriptions</w:t>
            </w:r>
          </w:p>
        </w:tc>
      </w:tr>
      <w:tr w:rsidR="00674F9B" w14:paraId="042618A8" w14:textId="77777777" w:rsidTr="00F60D0C">
        <w:trPr>
          <w:cantSplit/>
          <w:trHeight w:val="330"/>
        </w:trPr>
        <w:tc>
          <w:tcPr>
            <w:tcW w:w="1795" w:type="dxa"/>
          </w:tcPr>
          <w:p w14:paraId="59B1F942"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Safety, Environment, Regulatory</w:t>
            </w:r>
          </w:p>
        </w:tc>
        <w:tc>
          <w:tcPr>
            <w:tcW w:w="1795" w:type="dxa"/>
            <w:tcBorders>
              <w:left w:val="single" w:sz="4" w:space="0" w:color="FFFFFF" w:themeColor="background1"/>
            </w:tcBorders>
          </w:tcPr>
          <w:p w14:paraId="1BB44F84"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Pipeline Age</w:t>
            </w:r>
          </w:p>
        </w:tc>
        <w:tc>
          <w:tcPr>
            <w:tcW w:w="6210" w:type="dxa"/>
          </w:tcPr>
          <w:p w14:paraId="6F5B3C10" w14:textId="77777777" w:rsidR="00674F9B" w:rsidRPr="00260481"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A1FF7">
              <w:rPr>
                <w:b/>
                <w:bCs/>
              </w:rPr>
              <w:t>AvMainYear:</w:t>
            </w:r>
            <w:r w:rsidRPr="00260481">
              <w:t xml:space="preserve"> Year pipeline was installed, averaged across distribution main pipeline miles</w:t>
            </w:r>
          </w:p>
          <w:p w14:paraId="1A1C2C19" w14:textId="77777777" w:rsidR="00674F9B" w:rsidRPr="00260481"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A1FF7">
              <w:rPr>
                <w:b/>
                <w:bCs/>
              </w:rPr>
              <w:t>AvServiceYear:</w:t>
            </w:r>
            <w:r w:rsidRPr="00260481">
              <w:t xml:space="preserve"> Year pipeline was installed, averaged across distribution service pipeline miles</w:t>
            </w:r>
          </w:p>
          <w:p w14:paraId="45D47F57" w14:textId="77777777" w:rsidR="00674F9B" w:rsidRPr="002A1FF7" w:rsidRDefault="00674F9B" w:rsidP="00F60D0C">
            <w:pPr>
              <w:pStyle w:val="Tablebullet"/>
              <w:cnfStyle w:val="000000100000" w:firstRow="0" w:lastRow="0" w:firstColumn="0" w:lastColumn="0" w:oddVBand="0" w:evenVBand="0" w:oddHBand="1" w:evenHBand="0" w:firstRowFirstColumn="0" w:firstRowLastColumn="0" w:lastRowFirstColumn="0" w:lastRowLastColumn="0"/>
              <w:rPr>
                <w:b/>
                <w:bCs/>
              </w:rPr>
            </w:pPr>
            <w:r w:rsidRPr="002A1FF7">
              <w:rPr>
                <w:b/>
                <w:bCs/>
              </w:rPr>
              <w:t>Oldest:</w:t>
            </w:r>
            <w:r w:rsidRPr="00260481">
              <w:t xml:space="preserve"> Miles of distribution main and service pipeline older than 1941 or with unknown installation date</w:t>
            </w:r>
          </w:p>
        </w:tc>
      </w:tr>
      <w:tr w:rsidR="00674F9B" w14:paraId="21B7A974" w14:textId="77777777" w:rsidTr="00F60D0C">
        <w:trPr>
          <w:cantSplit/>
          <w:trHeight w:val="330"/>
        </w:trPr>
        <w:tc>
          <w:tcPr>
            <w:tcW w:w="1795" w:type="dxa"/>
          </w:tcPr>
          <w:p w14:paraId="448C95A9"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Safety, Environment, Regulatory</w:t>
            </w:r>
          </w:p>
        </w:tc>
        <w:tc>
          <w:tcPr>
            <w:tcW w:w="1795" w:type="dxa"/>
            <w:tcBorders>
              <w:left w:val="single" w:sz="4" w:space="0" w:color="FFFFFF" w:themeColor="background1"/>
            </w:tcBorders>
          </w:tcPr>
          <w:p w14:paraId="605649D0"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Pipe Materials</w:t>
            </w:r>
          </w:p>
        </w:tc>
        <w:tc>
          <w:tcPr>
            <w:tcW w:w="6210" w:type="dxa"/>
          </w:tcPr>
          <w:p w14:paraId="695A8D19" w14:textId="77777777" w:rsidR="00674F9B" w:rsidRPr="00A8169F" w:rsidRDefault="00674F9B" w:rsidP="00F60D0C">
            <w:pPr>
              <w:pStyle w:val="Tablebullet"/>
              <w:numPr>
                <w:ilvl w:val="0"/>
                <w:numId w:val="0"/>
              </w:numPr>
              <w:cnfStyle w:val="000000010000" w:firstRow="0" w:lastRow="0" w:firstColumn="0" w:lastColumn="0" w:oddVBand="0" w:evenVBand="0" w:oddHBand="0" w:evenHBand="1" w:firstRowFirstColumn="0" w:firstRowLastColumn="0" w:lastRowFirstColumn="0" w:lastRowLastColumn="0"/>
              <w:rPr>
                <w:b/>
                <w:bCs/>
              </w:rPr>
            </w:pPr>
            <w:r w:rsidRPr="00260481">
              <w:rPr>
                <w:b/>
                <w:bCs/>
              </w:rPr>
              <w:t>Derived from:</w:t>
            </w:r>
          </w:p>
          <w:p w14:paraId="51E3DE6F"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D86AD5">
              <w:rPr>
                <w:b/>
                <w:bCs/>
              </w:rPr>
              <w:t xml:space="preserve">EarlyAldylA: </w:t>
            </w:r>
            <w:r w:rsidRPr="00260481">
              <w:t>Miles of distribution main and service pipeline made of Aldyl-A plastic installed in 1965-1972</w:t>
            </w:r>
          </w:p>
          <w:p w14:paraId="2DD926CF"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D86AD5">
              <w:rPr>
                <w:b/>
                <w:bCs/>
              </w:rPr>
              <w:t xml:space="preserve">LaterAldylA: </w:t>
            </w:r>
            <w:r w:rsidRPr="00260481">
              <w:t>Miles of distribution main and service pipeline made of Aldyl-A plastic installed in 1973-1985</w:t>
            </w:r>
          </w:p>
          <w:p w14:paraId="7EB2AEE8"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D86AD5">
              <w:rPr>
                <w:b/>
                <w:bCs/>
              </w:rPr>
              <w:t xml:space="preserve">UnkDateAldylA: </w:t>
            </w:r>
            <w:r w:rsidRPr="00260481">
              <w:t>Miles of distribution main and service pipeline made of Aldyl-A plastic with unknown manufacturer or installation year</w:t>
            </w:r>
          </w:p>
          <w:p w14:paraId="27ED0713"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D86AD5">
              <w:rPr>
                <w:b/>
                <w:bCs/>
              </w:rPr>
              <w:t xml:space="preserve">NCPSteel: </w:t>
            </w:r>
            <w:r w:rsidRPr="00260481">
              <w:t>Miles of distribution main and service pipeline made of steel without cathodic protection</w:t>
            </w:r>
          </w:p>
          <w:p w14:paraId="4B352311" w14:textId="77777777" w:rsidR="00674F9B" w:rsidRPr="00D86AD5"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D86AD5">
              <w:rPr>
                <w:b/>
                <w:bCs/>
              </w:rPr>
              <w:t xml:space="preserve">Copper: </w:t>
            </w:r>
            <w:r w:rsidRPr="00260481">
              <w:t>Miles of distribution service pipeline made of copper</w:t>
            </w:r>
          </w:p>
          <w:p w14:paraId="508F21BC"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D86AD5">
              <w:rPr>
                <w:b/>
                <w:bCs/>
              </w:rPr>
              <w:t xml:space="preserve">Iron: </w:t>
            </w:r>
            <w:r w:rsidRPr="00260481">
              <w:t>Miles of distribution main and service pipeline made of wrought iron</w:t>
            </w:r>
          </w:p>
          <w:p w14:paraId="1E0E0BFB" w14:textId="77777777" w:rsidR="00674F9B" w:rsidRDefault="00674F9B" w:rsidP="00F60D0C">
            <w:pPr>
              <w:pStyle w:val="Table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b/>
                <w:bCs/>
              </w:rPr>
            </w:pPr>
          </w:p>
          <w:p w14:paraId="1BEE5821" w14:textId="77777777" w:rsidR="00674F9B" w:rsidRPr="00D86AD5" w:rsidRDefault="00674F9B" w:rsidP="00F60D0C">
            <w:pPr>
              <w:pStyle w:val="Table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b/>
                <w:bCs/>
              </w:rPr>
            </w:pPr>
            <w:r>
              <w:rPr>
                <w:b/>
                <w:bCs/>
              </w:rPr>
              <w:t xml:space="preserve">Formula: </w:t>
            </w:r>
            <m:oMath>
              <m:r>
                <w:rPr>
                  <w:rFonts w:ascii="Cambria Math" w:hAnsi="Cambria Math"/>
                  <w:sz w:val="20"/>
                  <w:szCs w:val="20"/>
                </w:rPr>
                <m:t>(EarlyAldylA+LaterAldylA+UnkDateAldylA+NCPSteel+Copper+Iron)</m:t>
              </m:r>
            </m:oMath>
          </w:p>
        </w:tc>
      </w:tr>
      <w:tr w:rsidR="00674F9B" w14:paraId="7BE3E4DC" w14:textId="77777777" w:rsidTr="00F60D0C">
        <w:trPr>
          <w:cantSplit/>
          <w:trHeight w:val="330"/>
        </w:trPr>
        <w:tc>
          <w:tcPr>
            <w:tcW w:w="1795" w:type="dxa"/>
          </w:tcPr>
          <w:p w14:paraId="1DEC9B36"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Safety, Environment</w:t>
            </w:r>
          </w:p>
        </w:tc>
        <w:tc>
          <w:tcPr>
            <w:tcW w:w="1795" w:type="dxa"/>
            <w:tcBorders>
              <w:left w:val="single" w:sz="4" w:space="0" w:color="FFFFFF" w:themeColor="background1"/>
            </w:tcBorders>
          </w:tcPr>
          <w:p w14:paraId="190B38D1" w14:textId="77777777" w:rsidR="00674F9B" w:rsidRPr="00260481"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Pipeline Leaks</w:t>
            </w:r>
          </w:p>
        </w:tc>
        <w:tc>
          <w:tcPr>
            <w:tcW w:w="6210" w:type="dxa"/>
          </w:tcPr>
          <w:p w14:paraId="5E8F675E" w14:textId="77777777" w:rsidR="00674F9B" w:rsidRPr="00291C75"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AvMainLeaks:</w:t>
            </w:r>
            <w:r w:rsidRPr="00291C75">
              <w:t xml:space="preserve"> Main leaks identified in leak surveys, excluding repaired or removed leaks, averaged across distribution main pipeline miles</w:t>
            </w:r>
          </w:p>
          <w:p w14:paraId="3E7D58E4" w14:textId="77777777" w:rsidR="00674F9B" w:rsidRPr="00291C75"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AvServiceLeaks:</w:t>
            </w:r>
            <w:r w:rsidRPr="00291C75">
              <w:t xml:space="preserve"> Service leaks identified in leak surveys, excluding repaired or removed leaks, averaged across distribution service pipeline miles</w:t>
            </w:r>
          </w:p>
          <w:p w14:paraId="69C7F133" w14:textId="77777777" w:rsidR="00674F9B" w:rsidRPr="00291C75"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HistAvMainHazLeaks:</w:t>
            </w:r>
            <w:r w:rsidRPr="00291C75">
              <w:t xml:space="preserve"> Main hazardous leaks (grade 1) repaired in 2015-2020, averaged across distribution main pipeline miles</w:t>
            </w:r>
          </w:p>
          <w:p w14:paraId="367D3195"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HistAvServiceHazLeaks:</w:t>
            </w:r>
            <w:r w:rsidRPr="00291C75">
              <w:t xml:space="preserve"> Service hazardous leaks (grade 1) repaired in 2015-2020, averaged across distribution service pipeline miles</w:t>
            </w:r>
          </w:p>
        </w:tc>
      </w:tr>
      <w:tr w:rsidR="00674F9B" w14:paraId="0C07ED2A" w14:textId="77777777" w:rsidTr="00F60D0C">
        <w:trPr>
          <w:cantSplit/>
          <w:trHeight w:val="330"/>
        </w:trPr>
        <w:tc>
          <w:tcPr>
            <w:tcW w:w="1795" w:type="dxa"/>
          </w:tcPr>
          <w:p w14:paraId="70CFD3EA"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Safety, Environment</w:t>
            </w:r>
          </w:p>
        </w:tc>
        <w:tc>
          <w:tcPr>
            <w:tcW w:w="1795" w:type="dxa"/>
            <w:tcBorders>
              <w:left w:val="single" w:sz="4" w:space="0" w:color="FFFFFF" w:themeColor="background1"/>
            </w:tcBorders>
          </w:tcPr>
          <w:p w14:paraId="7001ABEB"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Pipeline Risk</w:t>
            </w:r>
          </w:p>
        </w:tc>
        <w:tc>
          <w:tcPr>
            <w:tcW w:w="6210" w:type="dxa"/>
          </w:tcPr>
          <w:p w14:paraId="0B2D5694" w14:textId="77777777" w:rsidR="00674F9B"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E9008C">
              <w:rPr>
                <w:b/>
                <w:bCs/>
              </w:rPr>
              <w:t>Av</w:t>
            </w:r>
            <w:r>
              <w:rPr>
                <w:b/>
                <w:bCs/>
              </w:rPr>
              <w:t>Main</w:t>
            </w:r>
            <w:r w:rsidRPr="00E9008C">
              <w:rPr>
                <w:b/>
                <w:bCs/>
              </w:rPr>
              <w:t>RiskScore</w:t>
            </w:r>
            <w:r>
              <w:t xml:space="preserve">: </w:t>
            </w:r>
            <w:r w:rsidRPr="00AD4CD2">
              <w:t xml:space="preserve">Risk score averaged across distribution </w:t>
            </w:r>
            <w:r>
              <w:t>main</w:t>
            </w:r>
            <w:r w:rsidRPr="00AD4CD2">
              <w:t xml:space="preserve"> pipeline miles</w:t>
            </w:r>
          </w:p>
          <w:p w14:paraId="655F1726" w14:textId="77777777" w:rsidR="00674F9B" w:rsidRPr="00AA517F"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E9008C">
              <w:rPr>
                <w:b/>
                <w:bCs/>
              </w:rPr>
              <w:t>AvServiceRiskScore</w:t>
            </w:r>
            <w:r>
              <w:t xml:space="preserve">: </w:t>
            </w:r>
            <w:r w:rsidRPr="00AD4CD2">
              <w:t>Risk score averaged across distribution service pipeline miles</w:t>
            </w:r>
          </w:p>
        </w:tc>
      </w:tr>
      <w:tr w:rsidR="00674F9B" w14:paraId="11F4649F" w14:textId="77777777" w:rsidTr="00F60D0C">
        <w:trPr>
          <w:cantSplit/>
          <w:trHeight w:val="330"/>
        </w:trPr>
        <w:tc>
          <w:tcPr>
            <w:tcW w:w="1795" w:type="dxa"/>
          </w:tcPr>
          <w:p w14:paraId="27222E5D"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Safety</w:t>
            </w:r>
          </w:p>
        </w:tc>
        <w:tc>
          <w:tcPr>
            <w:tcW w:w="1795" w:type="dxa"/>
            <w:tcBorders>
              <w:left w:val="single" w:sz="4" w:space="0" w:color="FFFFFF" w:themeColor="background1"/>
            </w:tcBorders>
          </w:tcPr>
          <w:p w14:paraId="655971E9"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Customer Proximity</w:t>
            </w:r>
          </w:p>
        </w:tc>
        <w:tc>
          <w:tcPr>
            <w:tcW w:w="6210" w:type="dxa"/>
          </w:tcPr>
          <w:p w14:paraId="3373E677" w14:textId="77777777" w:rsidR="00674F9B" w:rsidRPr="00260481"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7B17AC">
              <w:rPr>
                <w:b/>
                <w:bCs/>
              </w:rPr>
              <w:t xml:space="preserve">High consequence area (HCA): </w:t>
            </w:r>
            <w:r w:rsidRPr="00260481">
              <w:t>Overlaps an HCA, which is a populated area near transmission pipelines, where accidents would have higher human consequences</w:t>
            </w:r>
          </w:p>
          <w:p w14:paraId="005D2F83" w14:textId="77777777" w:rsidR="00674F9B" w:rsidRPr="007B17AC" w:rsidRDefault="00674F9B" w:rsidP="00F60D0C">
            <w:pPr>
              <w:pStyle w:val="Tablebullet"/>
              <w:cnfStyle w:val="000000100000" w:firstRow="0" w:lastRow="0" w:firstColumn="0" w:lastColumn="0" w:oddVBand="0" w:evenVBand="0" w:oddHBand="1" w:evenHBand="0" w:firstRowFirstColumn="0" w:firstRowLastColumn="0" w:lastRowFirstColumn="0" w:lastRowLastColumn="0"/>
              <w:rPr>
                <w:b/>
                <w:bCs/>
              </w:rPr>
            </w:pPr>
            <w:r w:rsidRPr="007B17AC">
              <w:rPr>
                <w:b/>
                <w:bCs/>
              </w:rPr>
              <w:t xml:space="preserve">Moderate consequence area (MCA): </w:t>
            </w:r>
            <w:r w:rsidRPr="00260481">
              <w:t>Overlaps an MCA, which is moderately populated areas or four-lane road near transmission pipelines</w:t>
            </w:r>
          </w:p>
        </w:tc>
      </w:tr>
      <w:tr w:rsidR="00674F9B" w14:paraId="77357066" w14:textId="77777777" w:rsidTr="00F60D0C">
        <w:trPr>
          <w:cantSplit/>
          <w:trHeight w:val="330"/>
        </w:trPr>
        <w:tc>
          <w:tcPr>
            <w:tcW w:w="1795" w:type="dxa"/>
          </w:tcPr>
          <w:p w14:paraId="67C4EBCC"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Environment, Demand</w:t>
            </w:r>
          </w:p>
        </w:tc>
        <w:tc>
          <w:tcPr>
            <w:tcW w:w="1795" w:type="dxa"/>
            <w:tcBorders>
              <w:left w:val="single" w:sz="4" w:space="0" w:color="FFFFFF" w:themeColor="background1"/>
            </w:tcBorders>
          </w:tcPr>
          <w:p w14:paraId="0896D69F"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Gas Consumption</w:t>
            </w:r>
          </w:p>
        </w:tc>
        <w:tc>
          <w:tcPr>
            <w:tcW w:w="6210" w:type="dxa"/>
          </w:tcPr>
          <w:p w14:paraId="1DB451D4" w14:textId="77777777" w:rsidR="00674F9B" w:rsidRPr="00D25FED"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D25FED">
              <w:rPr>
                <w:b/>
                <w:bCs/>
              </w:rPr>
              <w:t xml:space="preserve">TotalLoad: </w:t>
            </w:r>
            <w:r w:rsidRPr="00260481">
              <w:t>Average annual daily gas consumption in 2021</w:t>
            </w:r>
          </w:p>
          <w:p w14:paraId="29B3F11B" w14:textId="77777777" w:rsidR="00674F9B" w:rsidRPr="00D25FED"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D25FED">
              <w:rPr>
                <w:b/>
                <w:bCs/>
              </w:rPr>
              <w:t xml:space="preserve">LoadChange: </w:t>
            </w:r>
            <w:r w:rsidRPr="00260481">
              <w:t>Annual gas demand change from 2015 to 2020</w:t>
            </w:r>
          </w:p>
        </w:tc>
      </w:tr>
      <w:tr w:rsidR="00674F9B" w14:paraId="451C0138" w14:textId="77777777" w:rsidTr="00F60D0C">
        <w:trPr>
          <w:cantSplit/>
          <w:trHeight w:val="330"/>
        </w:trPr>
        <w:tc>
          <w:tcPr>
            <w:tcW w:w="1795" w:type="dxa"/>
          </w:tcPr>
          <w:p w14:paraId="5825DFDB"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Cost</w:t>
            </w:r>
          </w:p>
        </w:tc>
        <w:tc>
          <w:tcPr>
            <w:tcW w:w="1795" w:type="dxa"/>
            <w:tcBorders>
              <w:left w:val="single" w:sz="4" w:space="0" w:color="FFFFFF" w:themeColor="background1"/>
            </w:tcBorders>
          </w:tcPr>
          <w:p w14:paraId="4009B67D"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Pipeline Replacement Cost</w:t>
            </w:r>
          </w:p>
        </w:tc>
        <w:tc>
          <w:tcPr>
            <w:tcW w:w="6210" w:type="dxa"/>
          </w:tcPr>
          <w:p w14:paraId="4FAAC2C2"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E9008C">
              <w:rPr>
                <w:b/>
                <w:bCs/>
              </w:rPr>
              <w:t>DistAvCost:</w:t>
            </w:r>
            <w:r>
              <w:t xml:space="preserve"> </w:t>
            </w:r>
            <w:r w:rsidRPr="00A1419D">
              <w:t xml:space="preserve">Average cost per mile to replace distribution pipeline in the </w:t>
            </w:r>
            <w:r w:rsidRPr="00757E1E">
              <w:t>Division (PG&amp;E)</w:t>
            </w:r>
          </w:p>
          <w:p w14:paraId="64FE7526" w14:textId="77777777" w:rsidR="00674F9B" w:rsidRDefault="00674F9B" w:rsidP="00F60D0C">
            <w:pPr>
              <w:pStyle w:val="Tablebullet"/>
              <w:numPr>
                <w:ilvl w:val="0"/>
                <w:numId w:val="0"/>
              </w:numPr>
              <w:cnfStyle w:val="000000100000" w:firstRow="0" w:lastRow="0" w:firstColumn="0" w:lastColumn="0" w:oddVBand="0" w:evenVBand="0" w:oddHBand="1" w:evenHBand="0" w:firstRowFirstColumn="0" w:firstRowLastColumn="0" w:lastRowFirstColumn="0" w:lastRowLastColumn="0"/>
            </w:pPr>
          </w:p>
          <w:p w14:paraId="10E1297F" w14:textId="77777777" w:rsidR="00674F9B" w:rsidRDefault="00674F9B" w:rsidP="00F60D0C">
            <w:pPr>
              <w:pStyle w:val="Table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Pr>
                <w:b/>
                <w:bCs/>
              </w:rPr>
              <w:t xml:space="preserve">DistAvCost Imputed for </w:t>
            </w:r>
            <w:r>
              <w:t>SCG</w:t>
            </w:r>
            <w:r w:rsidRPr="00757E1E">
              <w:t>, SDG&amp;E</w:t>
            </w:r>
            <w:r>
              <w:t xml:space="preserve">, and SWG based on: </w:t>
            </w:r>
          </w:p>
          <w:p w14:paraId="290195D3"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Diam2OrLess:</w:t>
            </w:r>
            <w:r>
              <w:t xml:space="preserve"> Miles of distribution main and service pipeline with diameter of 2” or less</w:t>
            </w:r>
          </w:p>
          <w:p w14:paraId="3CDD8B55"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Diam2to4:</w:t>
            </w:r>
            <w:r>
              <w:t xml:space="preserve"> Miles of distribution main and service pipeline with diameter over 2” through 4” </w:t>
            </w:r>
          </w:p>
          <w:p w14:paraId="1A3700E4"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Diam8to12:</w:t>
            </w:r>
            <w:r>
              <w:t xml:space="preserve"> Miles of distribution main and service pipeline with diameter over 8” through 12” </w:t>
            </w:r>
          </w:p>
          <w:p w14:paraId="4B29E978"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DiamOver12:</w:t>
            </w:r>
            <w:r>
              <w:t xml:space="preserve"> Miles of distribution main and service pipeline with diameter over 12”</w:t>
            </w:r>
          </w:p>
          <w:p w14:paraId="21EE74BE"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 xml:space="preserve">DiamUnk: </w:t>
            </w:r>
            <w:r>
              <w:t>Miles of main or service distribution pipeline with unknown diameter</w:t>
            </w:r>
          </w:p>
          <w:p w14:paraId="54014FD3"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 xml:space="preserve">AvMainPressure: </w:t>
            </w:r>
            <w:r>
              <w:t>Set pressure, averaged across distribution main pipeline miles</w:t>
            </w:r>
          </w:p>
          <w:p w14:paraId="51603156" w14:textId="77777777" w:rsidR="00674F9B"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260481">
              <w:rPr>
                <w:b/>
                <w:bCs/>
              </w:rPr>
              <w:t>AvMainConsq:</w:t>
            </w:r>
            <w:r>
              <w:t xml:space="preserve"> Calculated probability of serious safety incident given leak, or consequence of failure, averaged across distribution main pipeline miles</w:t>
            </w:r>
          </w:p>
          <w:p w14:paraId="7251885B" w14:textId="77777777" w:rsidR="00674F9B" w:rsidRDefault="00674F9B" w:rsidP="00F60D0C">
            <w:pPr>
              <w:pStyle w:val="Table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t>•</w:t>
            </w:r>
            <w:r>
              <w:tab/>
            </w:r>
            <w:r w:rsidRPr="00260481">
              <w:rPr>
                <w:b/>
                <w:bCs/>
              </w:rPr>
              <w:t>MainValves:</w:t>
            </w:r>
            <w:r>
              <w:t xml:space="preserve"> Number of valves on distribution main pipelines. Portions of the system can be isolated by closing two or more valves.</w:t>
            </w:r>
          </w:p>
          <w:p w14:paraId="3CE8FC47" w14:textId="77777777" w:rsidR="00674F9B" w:rsidRDefault="00674F9B" w:rsidP="00F60D0C">
            <w:pPr>
              <w:pStyle w:val="Table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p>
          <w:p w14:paraId="5122F4F3" w14:textId="77777777" w:rsidR="00674F9B" w:rsidRPr="00D25FED" w:rsidRDefault="00674F9B" w:rsidP="00F60D0C">
            <w:pPr>
              <w:pStyle w:val="Tablebullet"/>
              <w:numPr>
                <w:ilvl w:val="0"/>
                <w:numId w:val="0"/>
              </w:numPr>
              <w:ind w:left="360" w:hanging="360"/>
              <w:cnfStyle w:val="000000100000" w:firstRow="0" w:lastRow="0" w:firstColumn="0" w:lastColumn="0" w:oddVBand="0" w:evenVBand="0" w:oddHBand="1" w:evenHBand="0" w:firstRowFirstColumn="0" w:firstRowLastColumn="0" w:lastRowFirstColumn="0" w:lastRowLastColumn="0"/>
            </w:pPr>
            <w:r w:rsidRPr="00260481">
              <w:rPr>
                <w:b/>
                <w:bCs/>
              </w:rPr>
              <w:t>Formula:</w:t>
            </w:r>
            <w:r>
              <w:t xml:space="preserve"> </w:t>
            </w:r>
            <w:r w:rsidRPr="005C09CB">
              <w:rPr>
                <w:i/>
                <w:iCs/>
              </w:rPr>
              <w:t>See section 2.4.2 Imputing Gas Asset Variables</w:t>
            </w:r>
          </w:p>
        </w:tc>
      </w:tr>
      <w:tr w:rsidR="00674F9B" w14:paraId="55BAB5CD" w14:textId="77777777" w:rsidTr="00F60D0C">
        <w:trPr>
          <w:cantSplit/>
          <w:trHeight w:val="330"/>
        </w:trPr>
        <w:tc>
          <w:tcPr>
            <w:tcW w:w="1795" w:type="dxa"/>
          </w:tcPr>
          <w:p w14:paraId="5E678D3F"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Demand</w:t>
            </w:r>
          </w:p>
        </w:tc>
        <w:tc>
          <w:tcPr>
            <w:tcW w:w="1795" w:type="dxa"/>
            <w:tcBorders>
              <w:left w:val="single" w:sz="4" w:space="0" w:color="FFFFFF" w:themeColor="background1"/>
            </w:tcBorders>
          </w:tcPr>
          <w:p w14:paraId="45A283CD"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Customer Count</w:t>
            </w:r>
          </w:p>
        </w:tc>
        <w:tc>
          <w:tcPr>
            <w:tcW w:w="6210" w:type="dxa"/>
          </w:tcPr>
          <w:p w14:paraId="06A7281E"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0615F4">
              <w:rPr>
                <w:b/>
                <w:bCs/>
              </w:rPr>
              <w:t xml:space="preserve">Services: </w:t>
            </w:r>
            <w:r w:rsidRPr="00260481">
              <w:t>Number of services—Services typically serve one customer each—used as a proxy for customer count</w:t>
            </w:r>
            <w:r>
              <w:t xml:space="preserve"> </w:t>
            </w:r>
          </w:p>
        </w:tc>
      </w:tr>
      <w:tr w:rsidR="00674F9B" w14:paraId="266FC591" w14:textId="77777777" w:rsidTr="00F60D0C">
        <w:trPr>
          <w:cantSplit/>
          <w:trHeight w:val="330"/>
        </w:trPr>
        <w:tc>
          <w:tcPr>
            <w:tcW w:w="1795" w:type="dxa"/>
          </w:tcPr>
          <w:p w14:paraId="76DD6E6F"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Demand</w:t>
            </w:r>
          </w:p>
        </w:tc>
        <w:tc>
          <w:tcPr>
            <w:tcW w:w="1795" w:type="dxa"/>
            <w:tcBorders>
              <w:left w:val="single" w:sz="4" w:space="0" w:color="FFFFFF" w:themeColor="background1"/>
            </w:tcBorders>
          </w:tcPr>
          <w:p w14:paraId="27E286EC" w14:textId="77777777" w:rsidR="00674F9B" w:rsidRDefault="00674F9B" w:rsidP="00F60D0C">
            <w:pPr>
              <w:pStyle w:val="TableText"/>
              <w:cnfStyle w:val="000000100000" w:firstRow="0" w:lastRow="0" w:firstColumn="0" w:lastColumn="0" w:oddVBand="0" w:evenVBand="0" w:oddHBand="1" w:evenHBand="0" w:firstRowFirstColumn="0" w:firstRowLastColumn="0" w:lastRowFirstColumn="0" w:lastRowLastColumn="0"/>
            </w:pPr>
            <w:r>
              <w:t>Large Customers</w:t>
            </w:r>
          </w:p>
        </w:tc>
        <w:tc>
          <w:tcPr>
            <w:tcW w:w="6210" w:type="dxa"/>
          </w:tcPr>
          <w:p w14:paraId="385EC31B" w14:textId="77777777" w:rsidR="00674F9B" w:rsidRPr="0055125A" w:rsidRDefault="00674F9B" w:rsidP="00F60D0C">
            <w:pPr>
              <w:pStyle w:val="Tablebullet"/>
              <w:cnfStyle w:val="000000100000" w:firstRow="0" w:lastRow="0" w:firstColumn="0" w:lastColumn="0" w:oddVBand="0" w:evenVBand="0" w:oddHBand="1" w:evenHBand="0" w:firstRowFirstColumn="0" w:firstRowLastColumn="0" w:lastRowFirstColumn="0" w:lastRowLastColumn="0"/>
            </w:pPr>
            <w:r w:rsidRPr="00AE7A76">
              <w:rPr>
                <w:b/>
                <w:bCs/>
              </w:rPr>
              <w:t xml:space="preserve">LargeCustomers: </w:t>
            </w:r>
            <w:r w:rsidRPr="00260481">
              <w:t>Number of large volume customers (count of customers that can receive more than 40,000 cubic feet/hour of gas)</w:t>
            </w:r>
          </w:p>
        </w:tc>
      </w:tr>
      <w:tr w:rsidR="00674F9B" w14:paraId="3425298D" w14:textId="77777777" w:rsidTr="00F60D0C">
        <w:trPr>
          <w:cantSplit/>
          <w:trHeight w:val="330"/>
        </w:trPr>
        <w:tc>
          <w:tcPr>
            <w:tcW w:w="1795" w:type="dxa"/>
          </w:tcPr>
          <w:p w14:paraId="28FB0E97"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Demand</w:t>
            </w:r>
          </w:p>
        </w:tc>
        <w:tc>
          <w:tcPr>
            <w:tcW w:w="1795" w:type="dxa"/>
            <w:tcBorders>
              <w:left w:val="single" w:sz="4" w:space="0" w:color="FFFFFF" w:themeColor="background1"/>
            </w:tcBorders>
          </w:tcPr>
          <w:p w14:paraId="426B7233" w14:textId="77777777" w:rsidR="00674F9B" w:rsidRDefault="00674F9B" w:rsidP="00F60D0C">
            <w:pPr>
              <w:pStyle w:val="TableText"/>
              <w:cnfStyle w:val="000000010000" w:firstRow="0" w:lastRow="0" w:firstColumn="0" w:lastColumn="0" w:oddVBand="0" w:evenVBand="0" w:oddHBand="0" w:evenHBand="1" w:firstRowFirstColumn="0" w:firstRowLastColumn="0" w:lastRowFirstColumn="0" w:lastRowLastColumn="0"/>
            </w:pPr>
            <w:r>
              <w:t>Customers per Mile</w:t>
            </w:r>
          </w:p>
        </w:tc>
        <w:tc>
          <w:tcPr>
            <w:tcW w:w="6210" w:type="dxa"/>
          </w:tcPr>
          <w:p w14:paraId="2F08E2F9" w14:textId="77777777" w:rsidR="00674F9B" w:rsidRDefault="00674F9B" w:rsidP="00F60D0C">
            <w:pPr>
              <w:pStyle w:val="Tablebullet"/>
              <w:numPr>
                <w:ilvl w:val="0"/>
                <w:numId w:val="0"/>
              </w:numPr>
              <w:ind w:left="360" w:hanging="360"/>
              <w:cnfStyle w:val="000000010000" w:firstRow="0" w:lastRow="0" w:firstColumn="0" w:lastColumn="0" w:oddVBand="0" w:evenVBand="0" w:oddHBand="0" w:evenHBand="1" w:firstRowFirstColumn="0" w:firstRowLastColumn="0" w:lastRowFirstColumn="0" w:lastRowLastColumn="0"/>
              <w:rPr>
                <w:b/>
                <w:bCs/>
              </w:rPr>
            </w:pPr>
            <w:r>
              <w:rPr>
                <w:b/>
                <w:bCs/>
              </w:rPr>
              <w:t>Derived from:</w:t>
            </w:r>
          </w:p>
          <w:p w14:paraId="02F83923" w14:textId="77777777" w:rsidR="00674F9B" w:rsidRPr="00260481"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0615F4">
              <w:rPr>
                <w:b/>
                <w:bCs/>
              </w:rPr>
              <w:t xml:space="preserve">Services: </w:t>
            </w:r>
            <w:r w:rsidRPr="00AA517F">
              <w:t>Number of services—Services typically serve one customer each—used as a proxy for customer count</w:t>
            </w:r>
          </w:p>
          <w:p w14:paraId="07B49C8E" w14:textId="77777777" w:rsidR="00674F9B" w:rsidRPr="00794A0B" w:rsidRDefault="00674F9B" w:rsidP="00F60D0C">
            <w:pPr>
              <w:pStyle w:val="Tablebullet"/>
              <w:cnfStyle w:val="000000010000" w:firstRow="0" w:lastRow="0" w:firstColumn="0" w:lastColumn="0" w:oddVBand="0" w:evenVBand="0" w:oddHBand="0" w:evenHBand="1" w:firstRowFirstColumn="0" w:firstRowLastColumn="0" w:lastRowFirstColumn="0" w:lastRowLastColumn="0"/>
              <w:rPr>
                <w:b/>
                <w:bCs/>
              </w:rPr>
            </w:pPr>
            <w:r w:rsidRPr="00794A0B">
              <w:rPr>
                <w:b/>
                <w:bCs/>
              </w:rPr>
              <w:t>MedPressMains</w:t>
            </w:r>
            <w:r>
              <w:rPr>
                <w:b/>
                <w:bCs/>
              </w:rPr>
              <w:t xml:space="preserve">: </w:t>
            </w:r>
            <w:r w:rsidRPr="00504EAE">
              <w:t>Miles of medium pressure (60 psi or below) distribution main pipeline</w:t>
            </w:r>
          </w:p>
          <w:p w14:paraId="36E6A6D7" w14:textId="77777777" w:rsidR="00674F9B" w:rsidRDefault="00674F9B" w:rsidP="00F60D0C">
            <w:pPr>
              <w:pStyle w:val="Tablebullet"/>
              <w:cnfStyle w:val="000000010000" w:firstRow="0" w:lastRow="0" w:firstColumn="0" w:lastColumn="0" w:oddVBand="0" w:evenVBand="0" w:oddHBand="0" w:evenHBand="1" w:firstRowFirstColumn="0" w:firstRowLastColumn="0" w:lastRowFirstColumn="0" w:lastRowLastColumn="0"/>
            </w:pPr>
            <w:r w:rsidRPr="00817DB2">
              <w:rPr>
                <w:b/>
                <w:bCs/>
              </w:rPr>
              <w:t>MedPressServices:</w:t>
            </w:r>
            <w:r>
              <w:t xml:space="preserve"> </w:t>
            </w:r>
            <w:r w:rsidRPr="00A21386">
              <w:t>Miles of medium pressure (60 psi or below) distribution service pipelin</w:t>
            </w:r>
            <w:r>
              <w:t>e</w:t>
            </w:r>
          </w:p>
          <w:p w14:paraId="499B59DE" w14:textId="77777777" w:rsidR="00674F9B" w:rsidRDefault="00674F9B" w:rsidP="00F60D0C">
            <w:pPr>
              <w:pStyle w:val="Tablebullet"/>
              <w:numPr>
                <w:ilvl w:val="0"/>
                <w:numId w:val="0"/>
              </w:numPr>
              <w:cnfStyle w:val="000000010000" w:firstRow="0" w:lastRow="0" w:firstColumn="0" w:lastColumn="0" w:oddVBand="0" w:evenVBand="0" w:oddHBand="0" w:evenHBand="1" w:firstRowFirstColumn="0" w:firstRowLastColumn="0" w:lastRowFirstColumn="0" w:lastRowLastColumn="0"/>
            </w:pPr>
          </w:p>
          <w:p w14:paraId="67D3670C" w14:textId="77777777" w:rsidR="00674F9B" w:rsidRPr="00AE7A76" w:rsidRDefault="00674F9B" w:rsidP="00F60D0C">
            <w:pPr>
              <w:pStyle w:val="Tablebullet"/>
              <w:numPr>
                <w:ilvl w:val="0"/>
                <w:numId w:val="0"/>
              </w:numPr>
              <w:cnfStyle w:val="000000010000" w:firstRow="0" w:lastRow="0" w:firstColumn="0" w:lastColumn="0" w:oddVBand="0" w:evenVBand="0" w:oddHBand="0" w:evenHBand="1" w:firstRowFirstColumn="0" w:firstRowLastColumn="0" w:lastRowFirstColumn="0" w:lastRowLastColumn="0"/>
            </w:pPr>
            <w:r w:rsidRPr="00260481">
              <w:rPr>
                <w:b/>
                <w:bCs/>
              </w:rPr>
              <w:t>Formula:</w:t>
            </w:r>
            <w:r>
              <w:t xml:space="preserve"> </w:t>
            </w:r>
            <m:oMath>
              <m:r>
                <w:rPr>
                  <w:rFonts w:ascii="Cambria Math" w:hAnsi="Cambria Math"/>
                  <w:sz w:val="20"/>
                  <w:szCs w:val="20"/>
                </w:rPr>
                <m:t>Services÷(MedPressMains+MedPressServices)</m:t>
              </m:r>
            </m:oMath>
          </w:p>
        </w:tc>
      </w:tr>
    </w:tbl>
    <w:p w14:paraId="43BE4BAE" w14:textId="77777777" w:rsidR="00674F9B" w:rsidRPr="00674F9B" w:rsidRDefault="00674F9B" w:rsidP="00674F9B"/>
    <w:p w14:paraId="549CCD2A" w14:textId="4FFA9B84" w:rsidR="0058175A" w:rsidRDefault="0058175A" w:rsidP="00794A0B">
      <w:pPr>
        <w:pStyle w:val="Heading1"/>
      </w:pPr>
      <w:bookmarkStart w:id="35" w:name="_Ref198727405"/>
      <w:bookmarkStart w:id="36" w:name="_Toc213837949"/>
      <w:r>
        <w:t>Non-Residential Decommissioning Readiness Index</w:t>
      </w:r>
      <w:bookmarkEnd w:id="27"/>
      <w:bookmarkEnd w:id="35"/>
      <w:bookmarkEnd w:id="36"/>
    </w:p>
    <w:p w14:paraId="791ABB11" w14:textId="77777777" w:rsidR="001C7AC7" w:rsidRDefault="001C7AC7" w:rsidP="00834753">
      <w:pPr>
        <w:pStyle w:val="Heading2"/>
      </w:pPr>
      <w:bookmarkStart w:id="37" w:name="_Toc213837950"/>
      <w:r>
        <w:t>Overview</w:t>
      </w:r>
      <w:bookmarkEnd w:id="37"/>
    </w:p>
    <w:p w14:paraId="0224B096" w14:textId="7DFCAF80" w:rsidR="00BA67C9" w:rsidRPr="00BA67C9" w:rsidRDefault="00BA67C9" w:rsidP="00BA67C9">
      <w:pPr>
        <w:pStyle w:val="BodyText"/>
      </w:pPr>
      <w:r>
        <w:t xml:space="preserve">The </w:t>
      </w:r>
      <w:r w:rsidR="00B06266">
        <w:t xml:space="preserve">Non-Residential Decommissioning Readiness Index </w:t>
      </w:r>
      <w:r>
        <w:t xml:space="preserve">is intended to represent the feasibility of non-residential customers disconnecting from gas service based upon the current volume of their gas consumption and the availability of alternative fuel technologies </w:t>
      </w:r>
      <w:r w:rsidR="608743EA">
        <w:t>for</w:t>
      </w:r>
      <w:r>
        <w:t xml:space="preserve"> different end-use</w:t>
      </w:r>
      <w:r w:rsidR="4665C825">
        <w:t>s</w:t>
      </w:r>
      <w:r>
        <w:t xml:space="preserve"> </w:t>
      </w:r>
      <w:r w:rsidR="11831554">
        <w:t>of gas</w:t>
      </w:r>
      <w:r>
        <w:t xml:space="preserve">. </w:t>
      </w:r>
    </w:p>
    <w:p w14:paraId="549711FA" w14:textId="77777777" w:rsidR="00BA67C9" w:rsidRPr="00BA67C9" w:rsidRDefault="00BA67C9" w:rsidP="00BA67C9">
      <w:pPr>
        <w:pStyle w:val="BodyText"/>
      </w:pPr>
      <w:r w:rsidRPr="00BA67C9">
        <w:t>Fundamentally, the non-residential decommissioning readiness index seeks to quantify:</w:t>
      </w:r>
    </w:p>
    <w:p w14:paraId="11ACEF90" w14:textId="77777777" w:rsidR="00BA67C9" w:rsidRDefault="00BA67C9" w:rsidP="00F53C45">
      <w:pPr>
        <w:pStyle w:val="Bullet1"/>
      </w:pPr>
      <w:r w:rsidRPr="00BA67C9">
        <w:t>The relative difficulty of substituting specific gas end-use activities with alternative fuels based upon the availability and cost-competitiveness of existing technologies.</w:t>
      </w:r>
    </w:p>
    <w:p w14:paraId="27B5442E" w14:textId="77777777" w:rsidR="003E0210" w:rsidRDefault="00F53C45" w:rsidP="003E0210">
      <w:pPr>
        <w:pStyle w:val="Bullet1Last"/>
      </w:pPr>
      <w:r>
        <w:t xml:space="preserve">The concentration and total volume of gas use among non-residential customers by </w:t>
      </w:r>
      <w:r w:rsidR="21113846">
        <w:t>commercial</w:t>
      </w:r>
      <w:r w:rsidR="4F9C4CC4">
        <w:t xml:space="preserve"> or industrial</w:t>
      </w:r>
      <w:r w:rsidR="21113846">
        <w:t xml:space="preserve"> </w:t>
      </w:r>
      <w:r>
        <w:t>sub-sector and corresponding end-use energy service category.</w:t>
      </w:r>
      <w:r w:rsidR="00B573ED">
        <w:t xml:space="preserve"> </w:t>
      </w:r>
    </w:p>
    <w:p w14:paraId="79AD0A55" w14:textId="164D1F44" w:rsidR="001C7AC7" w:rsidRDefault="001C7AC7" w:rsidP="003E0210">
      <w:pPr>
        <w:pStyle w:val="Heading2"/>
      </w:pPr>
      <w:bookmarkStart w:id="38" w:name="_Toc213837951"/>
      <w:r>
        <w:t>Methodology and Rationale</w:t>
      </w:r>
      <w:bookmarkEnd w:id="38"/>
    </w:p>
    <w:p w14:paraId="7B463E53" w14:textId="0912F30A" w:rsidR="00BC628E" w:rsidRDefault="00BC628E" w:rsidP="00BC628E">
      <w:pPr>
        <w:pStyle w:val="BodyText"/>
      </w:pPr>
      <w:r>
        <w:t xml:space="preserve">Decommissioning </w:t>
      </w:r>
      <w:r w:rsidR="3AAC48D5">
        <w:t>non-residential</w:t>
      </w:r>
      <w:r>
        <w:t xml:space="preserve"> gas customers will likely be challenging as there do not currently exist commercially available appliances and equipment offerings that can readily be used as substitutes for all existing gas end-uses </w:t>
      </w:r>
      <w:r w:rsidR="6EE2A986">
        <w:t>within the commercial and industrial sectors</w:t>
      </w:r>
      <w:r w:rsidR="003875A5">
        <w:t>.</w:t>
      </w:r>
      <w:r>
        <w:t xml:space="preserve"> At the present time, the majority of existing commercially available fuel substitution appliance and equipment offerings are based upon electricity. However, in the future, other solutions may emerge, which are similarly technically and economically viable, that are based on alternative energy carriers.</w:t>
      </w:r>
    </w:p>
    <w:p w14:paraId="61725FEC" w14:textId="77777777" w:rsidR="00BC628E" w:rsidRDefault="00BC628E" w:rsidP="00BC628E">
      <w:pPr>
        <w:pStyle w:val="BodyText"/>
      </w:pPr>
      <w:r>
        <w:t>Our approach to developing this index involves the following key steps:</w:t>
      </w:r>
    </w:p>
    <w:p w14:paraId="7B693CE5" w14:textId="19D84CDC" w:rsidR="00BC628E" w:rsidRDefault="00BC628E" w:rsidP="00180EDB">
      <w:pPr>
        <w:pStyle w:val="ListNumber2"/>
      </w:pPr>
      <w:r>
        <w:t>Quantify the proportion</w:t>
      </w:r>
      <w:r w:rsidR="41F0AA90">
        <w:t>s</w:t>
      </w:r>
      <w:r>
        <w:t xml:space="preserve"> of total gas non-residential consumption being used to provide different end-use services</w:t>
      </w:r>
      <w:r w:rsidR="0EE59C36">
        <w:t xml:space="preserve"> / activities</w:t>
      </w:r>
      <w:r>
        <w:t>.</w:t>
      </w:r>
    </w:p>
    <w:p w14:paraId="58FFC2E3" w14:textId="3795CE5F" w:rsidR="00BC628E" w:rsidRDefault="00BC628E" w:rsidP="00180EDB">
      <w:pPr>
        <w:pStyle w:val="ListNumber2"/>
      </w:pPr>
      <w:r>
        <w:t>Quantify the relative difficulty</w:t>
      </w:r>
      <w:r w:rsidR="6462DEF5">
        <w:t xml:space="preserve"> </w:t>
      </w:r>
      <w:r>
        <w:t>/</w:t>
      </w:r>
      <w:r w:rsidR="6462DEF5">
        <w:t xml:space="preserve"> </w:t>
      </w:r>
      <w:r>
        <w:t>ease with which it would be currently possible to replace existing end-use gas equipment with non-</w:t>
      </w:r>
      <w:r w:rsidR="00A33BBE">
        <w:t>gas-powered</w:t>
      </w:r>
      <w:r>
        <w:t xml:space="preserve"> alternatives.</w:t>
      </w:r>
    </w:p>
    <w:p w14:paraId="0E576FED" w14:textId="0C26EDA0" w:rsidR="00BC628E" w:rsidRPr="00CC546D" w:rsidRDefault="00BC628E" w:rsidP="00CC546D">
      <w:pPr>
        <w:pStyle w:val="BodyText"/>
      </w:pPr>
      <w:r w:rsidRPr="00CC546D">
        <w:t xml:space="preserve">Our approach to calculating </w:t>
      </w:r>
      <w:r w:rsidR="00BD62C4" w:rsidRPr="00CC546D">
        <w:t>gas use</w:t>
      </w:r>
      <w:r w:rsidRPr="00CC546D" w:rsidDel="00BC628E">
        <w:t xml:space="preserve"> </w:t>
      </w:r>
      <w:r w:rsidRPr="00CC546D">
        <w:t xml:space="preserve">involved the use of a large private database of non-residential customer account level metered gas consumption for the </w:t>
      </w:r>
      <w:r w:rsidR="006412C5" w:rsidRPr="00CC546D">
        <w:t>state’s</w:t>
      </w:r>
      <w:r w:rsidRPr="00CC546D">
        <w:t xml:space="preserve"> major investor</w:t>
      </w:r>
      <w:r w:rsidR="006412C5" w:rsidRPr="00CC546D">
        <w:t>-</w:t>
      </w:r>
      <w:r w:rsidRPr="00CC546D">
        <w:t xml:space="preserve">owned gas service providers. This database includes billing interval records from the year 2021 for all customers in PG&amp;E, Southern California Gas, and San Diego Gas </w:t>
      </w:r>
      <w:r w:rsidR="005833EF" w:rsidRPr="00CC546D">
        <w:t>and</w:t>
      </w:r>
      <w:r w:rsidRPr="00CC546D">
        <w:t xml:space="preserve"> Electric </w:t>
      </w:r>
      <w:r w:rsidR="005833EF" w:rsidRPr="00CC546D">
        <w:t>(SDG&amp;E)</w:t>
      </w:r>
      <w:r w:rsidRPr="00CC546D">
        <w:t xml:space="preserve"> service territories. Unfortunately, data for </w:t>
      </w:r>
      <w:r w:rsidR="005833EF" w:rsidRPr="00CC546D">
        <w:t xml:space="preserve">the </w:t>
      </w:r>
      <w:r w:rsidRPr="00CC546D">
        <w:t xml:space="preserve">Southwestern Gas service territory was not available at this time but could be incorporated into future iterations of the analysis if it becomes available. </w:t>
      </w:r>
      <w:r w:rsidR="0030633E" w:rsidRPr="00CC546D">
        <w:t>To protect non-residential IOU customer privacy, no sensitive customer information or usage data are exposed within the Tool in the form of published raw variable inputs. These data were only used in the background calculations that were performed to construct the unitless scores for each of the various non-residential decommissioning readiness sub-indices.</w:t>
      </w:r>
    </w:p>
    <w:p w14:paraId="61D96737" w14:textId="0C8744D0" w:rsidR="00BC628E" w:rsidRPr="00CC546D" w:rsidRDefault="00BC628E" w:rsidP="00CC546D">
      <w:pPr>
        <w:pStyle w:val="BodyText"/>
      </w:pPr>
      <w:r w:rsidRPr="00CC546D">
        <w:t xml:space="preserve">As a starting point in this process each non-residential customer in this database is identified with a </w:t>
      </w:r>
      <w:r w:rsidR="00875107" w:rsidRPr="00CC546D">
        <w:t>six-digit</w:t>
      </w:r>
      <w:r w:rsidRPr="00CC546D">
        <w:t xml:space="preserve"> code from the North American Industrial Classification System (NAICS). The NAICS is a nested classification scheme, which provides detailed information about the nature of business or production activities occurring at each customer premise. Furthermore, these NAICS codes can be used to link customer usage records to external published end-use consumption survey results which report the relative proportion of gas consumption for different categories of end-use activity by NAICS sector. </w:t>
      </w:r>
    </w:p>
    <w:p w14:paraId="208BC77A" w14:textId="0C046194" w:rsidR="00156FD7" w:rsidRDefault="00A33BBE" w:rsidP="00CC546D">
      <w:pPr>
        <w:pStyle w:val="BodyText"/>
      </w:pPr>
      <w:r w:rsidRPr="00CC546D">
        <w:t>To</w:t>
      </w:r>
      <w:r w:rsidR="00BC628E" w:rsidRPr="00CC546D">
        <w:t xml:space="preserve"> </w:t>
      </w:r>
      <w:r w:rsidR="00180EDB" w:rsidRPr="00CC546D">
        <w:t xml:space="preserve">calculate </w:t>
      </w:r>
      <w:r w:rsidR="00C748E0" w:rsidRPr="00CC546D">
        <w:t>the relative difficulty</w:t>
      </w:r>
      <w:r w:rsidR="53D2841D" w:rsidRPr="00CC546D">
        <w:t xml:space="preserve"> </w:t>
      </w:r>
      <w:r w:rsidR="00C748E0" w:rsidRPr="00CC546D">
        <w:t>/</w:t>
      </w:r>
      <w:r w:rsidR="53D2841D" w:rsidRPr="00CC546D">
        <w:t xml:space="preserve"> </w:t>
      </w:r>
      <w:r w:rsidR="00C748E0" w:rsidRPr="00CC546D">
        <w:t xml:space="preserve">ease of replacing gas </w:t>
      </w:r>
      <w:r w:rsidR="0056342C" w:rsidRPr="00CC546D">
        <w:t>equipment</w:t>
      </w:r>
      <w:r w:rsidR="267AF609" w:rsidRPr="00CC546D">
        <w:t>,</w:t>
      </w:r>
      <w:r w:rsidR="00BC628E" w:rsidRPr="00CC546D">
        <w:t xml:space="preserve"> we developed a relative weighting scheme which was used to assign more importance to gas consumption powering end-use categories that were deemed more difficult to substitute using non-</w:t>
      </w:r>
      <w:r w:rsidR="000E033B" w:rsidRPr="00CC546D">
        <w:t>gas-powered</w:t>
      </w:r>
      <w:r w:rsidR="00BC628E" w:rsidRPr="00CC546D">
        <w:t xml:space="preserve"> technologies. This weighting scheme works by multiplying the raw NAICS code level</w:t>
      </w:r>
      <w:r w:rsidR="00BC628E">
        <w:t xml:space="preserve"> aggregated consumption data for each end-use by a multiplier coefficient which reflected the relative difficulty of gas substitution in that category. Three coefficients were used in this scheme to reflect our qualitative assessment of meaningful differences in the overall technical and economic readiness of available gas-substitution technology alternatives by end-use category: Low Readiness = 3, Medium Readiness = 2, High Readiness = 1. The precise mapping of weighting coefficients to end-use categories within different sectors is </w:t>
      </w:r>
      <w:r w:rsidR="00156FD7">
        <w:t>described below</w:t>
      </w:r>
      <w:r w:rsidR="00BC628E">
        <w:t xml:space="preserve">. </w:t>
      </w:r>
    </w:p>
    <w:p w14:paraId="31D5447C" w14:textId="42ADA0A0" w:rsidR="00F53C45" w:rsidRDefault="00BC628E" w:rsidP="00BC628E">
      <w:pPr>
        <w:pStyle w:val="BodyText"/>
      </w:pPr>
      <w:r>
        <w:t xml:space="preserve">Within this framework, consumption records for groups of NAICS codes which shared end-use gas consumption breakdowns, were aggregated together prior to performing the weighting calculation. These collections of customers map to sectors which constitute the major component sub-indices of the final composite gas decommissioning readiness which is currently presented in the </w:t>
      </w:r>
      <w:r w:rsidR="000A1B4D">
        <w:t>T</w:t>
      </w:r>
      <w:r>
        <w:t>ool. The detailed decommissioning readiness scores computed for each of these sub-indices are viewed in dedicated map panels at the bottom of this page.</w:t>
      </w:r>
      <w:r w:rsidR="00156FD7">
        <w:t xml:space="preserve"> </w:t>
      </w:r>
    </w:p>
    <w:p w14:paraId="647060C1" w14:textId="423503EF" w:rsidR="00156FD7" w:rsidRDefault="007A5EF0" w:rsidP="00BC628E">
      <w:pPr>
        <w:pStyle w:val="BodyText"/>
      </w:pPr>
      <w:r>
        <w:t xml:space="preserve">To summarize, the major quantitative steps involved in generating each </w:t>
      </w:r>
      <w:r w:rsidR="3995B2B2">
        <w:t xml:space="preserve">non-residential </w:t>
      </w:r>
      <w:r>
        <w:t>decommissioning readiness sub-index involved the following:</w:t>
      </w:r>
    </w:p>
    <w:p w14:paraId="210C00CF" w14:textId="6D647DCB" w:rsidR="007A5EF0" w:rsidRDefault="007A5EF0" w:rsidP="007A5EF0">
      <w:pPr>
        <w:pStyle w:val="Bullet1"/>
      </w:pPr>
      <w:r>
        <w:t xml:space="preserve">Non-residential customer accounts within our backend account level gas consumption database </w:t>
      </w:r>
      <w:r w:rsidR="006E7FA6">
        <w:t xml:space="preserve">were </w:t>
      </w:r>
      <w:r>
        <w:t>assigned standard 6-digit industry classification (NAICS) codes. For each unique NAICS code which appears in the dataset, we assign</w:t>
      </w:r>
      <w:r w:rsidR="006E7FA6">
        <w:t>ed</w:t>
      </w:r>
      <w:r>
        <w:t xml:space="preserve"> a higher-level sectoral designation that we can use to link to published data about the breakdown of gas consumption by end-use category. These approximately map to the first 3-digits of the NAICS codes.</w:t>
      </w:r>
    </w:p>
    <w:p w14:paraId="3D0B5023" w14:textId="14F514E4" w:rsidR="007A5EF0" w:rsidRDefault="007A5EF0" w:rsidP="007A5EF0">
      <w:pPr>
        <w:pStyle w:val="Bullet1"/>
      </w:pPr>
      <w:r>
        <w:t xml:space="preserve">An aggregated usage table </w:t>
      </w:r>
      <w:r w:rsidR="006E7FA6">
        <w:t>wa</w:t>
      </w:r>
      <w:r>
        <w:t>s then computed from our database of non-residential account level consumption data. Consumption values in this table are reported for each census tract and sector.</w:t>
      </w:r>
    </w:p>
    <w:p w14:paraId="2CB7C192" w14:textId="54C63E18" w:rsidR="007A5EF0" w:rsidRDefault="007A5EF0" w:rsidP="007A5EF0">
      <w:pPr>
        <w:pStyle w:val="Bullet1"/>
      </w:pPr>
      <w:r>
        <w:t xml:space="preserve">Decommissioning readiness weighting coefficients </w:t>
      </w:r>
      <w:r w:rsidR="006E7FA6">
        <w:t>we</w:t>
      </w:r>
      <w:r>
        <w:t>re then assigned for a set of end-use categories that is specific to each sector. Weights range</w:t>
      </w:r>
      <w:r w:rsidR="006E7FA6">
        <w:t>d</w:t>
      </w:r>
      <w:r>
        <w:t xml:space="preserve"> from 1-3 (High, Medium, Low). These end-use categories correspond with those variously identified in the CEC’s Commercial Energy Usage Survey (CEUS) </w:t>
      </w:r>
      <w:r w:rsidR="000F692A">
        <w:t>and</w:t>
      </w:r>
      <w:r>
        <w:t xml:space="preserve"> Industrial Energy Usage Survey (IEUS), NREL's county</w:t>
      </w:r>
      <w:r w:rsidR="000F692A">
        <w:t>-</w:t>
      </w:r>
      <w:r>
        <w:t xml:space="preserve">level industrial energy use database, and the US EIA's Manufacturing End-Use Consumption Survey (MECS). </w:t>
      </w:r>
    </w:p>
    <w:p w14:paraId="61EA2F71" w14:textId="1B7A3146" w:rsidR="007A5EF0" w:rsidRDefault="007A5EF0" w:rsidP="007A5EF0">
      <w:pPr>
        <w:pStyle w:val="Bullet1"/>
      </w:pPr>
      <w:r>
        <w:t xml:space="preserve">Raw decommissioning readiness scores </w:t>
      </w:r>
      <w:r w:rsidR="006E7FA6">
        <w:t>we</w:t>
      </w:r>
      <w:r>
        <w:t xml:space="preserve">re then computed for each census tract. This </w:t>
      </w:r>
      <w:r w:rsidR="006E7FA6">
        <w:t>wa</w:t>
      </w:r>
      <w:r>
        <w:t>s done</w:t>
      </w:r>
      <w:r w:rsidDel="007A5EF0">
        <w:t xml:space="preserve"> </w:t>
      </w:r>
      <w:r>
        <w:t xml:space="preserve">by </w:t>
      </w:r>
      <w:r w:rsidR="510D8255">
        <w:t>computing</w:t>
      </w:r>
      <w:r w:rsidR="01607EC7">
        <w:t xml:space="preserve"> the</w:t>
      </w:r>
      <w:r w:rsidR="40C47149">
        <w:t xml:space="preserve"> scalar </w:t>
      </w:r>
      <w:r>
        <w:t xml:space="preserve">product </w:t>
      </w:r>
      <w:r w:rsidR="1729E58C">
        <w:t>of</w:t>
      </w:r>
      <w:r w:rsidR="5BD36F48">
        <w:t xml:space="preserve"> a vector</w:t>
      </w:r>
      <w:r w:rsidR="050555DD">
        <w:t xml:space="preserve"> </w:t>
      </w:r>
      <w:r w:rsidR="7F73CF72">
        <w:t xml:space="preserve">representing </w:t>
      </w:r>
      <w:r w:rsidR="00F16D21">
        <w:t>total aggregated</w:t>
      </w:r>
      <w:r>
        <w:t xml:space="preserve"> gas </w:t>
      </w:r>
      <w:r w:rsidR="00F16D21">
        <w:t>usage</w:t>
      </w:r>
      <w:r w:rsidDel="007A5EF0">
        <w:t xml:space="preserve"> </w:t>
      </w:r>
      <w:r w:rsidR="3D644C36">
        <w:t>for each</w:t>
      </w:r>
      <w:r w:rsidR="7EE06324">
        <w:t xml:space="preserve"> </w:t>
      </w:r>
      <w:r w:rsidR="6086BEBA">
        <w:t>sub-</w:t>
      </w:r>
      <w:r w:rsidR="00967F1F">
        <w:t>sector and</w:t>
      </w:r>
      <w:r w:rsidR="398AEB09">
        <w:t xml:space="preserve"> </w:t>
      </w:r>
      <w:r w:rsidR="7A27E0A3">
        <w:t>a</w:t>
      </w:r>
      <w:r w:rsidR="0747BA43">
        <w:t>nother</w:t>
      </w:r>
      <w:r w:rsidR="7A27E0A3">
        <w:t xml:space="preserve"> </w:t>
      </w:r>
      <w:r w:rsidR="7D9BD573">
        <w:t>vector</w:t>
      </w:r>
      <w:r w:rsidR="398AEB09">
        <w:t xml:space="preserve"> </w:t>
      </w:r>
      <w:r w:rsidR="64B3A95A">
        <w:t xml:space="preserve">representing the </w:t>
      </w:r>
      <w:r>
        <w:t xml:space="preserve">fractional breakdowns </w:t>
      </w:r>
      <w:r w:rsidR="53775F29">
        <w:t xml:space="preserve">of gas consumption </w:t>
      </w:r>
      <w:r>
        <w:t>by end-use category</w:t>
      </w:r>
      <w:r w:rsidR="18641159">
        <w:t xml:space="preserve"> </w:t>
      </w:r>
      <w:r w:rsidR="679AA4D8">
        <w:t>within that sub-sector</w:t>
      </w:r>
      <w:r w:rsidR="119B0C39">
        <w:t>. This latter vector</w:t>
      </w:r>
      <w:r w:rsidR="7196E11C">
        <w:t xml:space="preserve"> </w:t>
      </w:r>
      <w:r w:rsidR="006E7FA6">
        <w:t xml:space="preserve">was </w:t>
      </w:r>
      <w:r w:rsidR="7AD92E6D">
        <w:t>additionally transformed by applying a set of weights</w:t>
      </w:r>
      <w:r w:rsidR="020BEE07">
        <w:t xml:space="preserve"> which reflect our</w:t>
      </w:r>
      <w:r w:rsidR="5FF1F3E2">
        <w:t xml:space="preserve"> assess</w:t>
      </w:r>
      <w:r w:rsidR="29C01676">
        <w:t>ment of the relative</w:t>
      </w:r>
      <w:r w:rsidR="5FF1F3E2">
        <w:t xml:space="preserve"> </w:t>
      </w:r>
      <w:r w:rsidR="04D15858">
        <w:t xml:space="preserve">technical </w:t>
      </w:r>
      <w:r w:rsidR="5FF1F3E2">
        <w:t xml:space="preserve">difficulty of </w:t>
      </w:r>
      <w:r w:rsidR="60AD0E60">
        <w:t>substituting</w:t>
      </w:r>
      <w:r w:rsidR="6D8024BF">
        <w:t xml:space="preserve"> </w:t>
      </w:r>
      <w:r w:rsidR="5698E7A1">
        <w:t xml:space="preserve">gas </w:t>
      </w:r>
      <w:r w:rsidR="401B487D">
        <w:t>for each</w:t>
      </w:r>
      <w:r w:rsidR="0F31C5DC">
        <w:t xml:space="preserve"> gas e</w:t>
      </w:r>
      <w:r w:rsidR="401B487D">
        <w:t>nd</w:t>
      </w:r>
      <w:r w:rsidR="6B6D53B9">
        <w:t>-</w:t>
      </w:r>
      <w:r w:rsidR="401B487D">
        <w:t>use within that particular</w:t>
      </w:r>
      <w:r w:rsidR="6D8024BF">
        <w:t xml:space="preserve"> </w:t>
      </w:r>
      <w:r w:rsidR="77E85337">
        <w:t>sub-</w:t>
      </w:r>
      <w:r w:rsidR="6D8024BF">
        <w:t>sector</w:t>
      </w:r>
      <w:r w:rsidR="2CA67223">
        <w:t>.</w:t>
      </w:r>
      <w:r>
        <w:t xml:space="preserve"> </w:t>
      </w:r>
    </w:p>
    <w:p w14:paraId="372B9B02" w14:textId="00DA44FB" w:rsidR="007A5EF0" w:rsidRDefault="007A5EF0" w:rsidP="005A3147">
      <w:pPr>
        <w:pStyle w:val="Bullet1Last"/>
      </w:pPr>
      <w:r>
        <w:t xml:space="preserve">These raw scores </w:t>
      </w:r>
      <w:r w:rsidR="006E7FA6">
        <w:t>we</w:t>
      </w:r>
      <w:r>
        <w:t>re then binned using a univariate k-means clustering algorithm (Fisher-Jenks Clustering) and reported as ordinal values with a range of 1-10, reflecting low to high decommissioning readiness.</w:t>
      </w:r>
    </w:p>
    <w:p w14:paraId="5133BFCB" w14:textId="61A05D9E" w:rsidR="00893056" w:rsidRDefault="00893056" w:rsidP="00834753">
      <w:pPr>
        <w:pStyle w:val="Heading2"/>
      </w:pPr>
      <w:bookmarkStart w:id="39" w:name="_Toc213837952"/>
      <w:r>
        <w:t>Weighting Coeff</w:t>
      </w:r>
      <w:r w:rsidR="000F5273">
        <w:t>icients</w:t>
      </w:r>
      <w:bookmarkEnd w:id="39"/>
    </w:p>
    <w:p w14:paraId="52758024" w14:textId="0FEB5511" w:rsidR="000F5273" w:rsidRDefault="000B00B2" w:rsidP="000F5273">
      <w:pPr>
        <w:pStyle w:val="BodyText"/>
      </w:pPr>
      <w:r>
        <w:t xml:space="preserve">Below, we have provided </w:t>
      </w:r>
      <w:r w:rsidR="00593EA2">
        <w:t>a</w:t>
      </w:r>
      <w:r w:rsidR="00532881">
        <w:t xml:space="preserve"> high-level </w:t>
      </w:r>
      <w:r w:rsidR="00B32A57">
        <w:t xml:space="preserve">description </w:t>
      </w:r>
      <w:r w:rsidR="00593EA2">
        <w:t>of the weighting scheme</w:t>
      </w:r>
      <w:r w:rsidR="00B32A57">
        <w:t xml:space="preserve"> used</w:t>
      </w:r>
      <w:r w:rsidR="00532881">
        <w:t xml:space="preserve"> </w:t>
      </w:r>
      <w:r w:rsidR="00055C2F">
        <w:t>quantify the decommissioning readiness of different non-residential customer sectors (commercial</w:t>
      </w:r>
      <w:r w:rsidR="40B5403F">
        <w:t>, industrial,</w:t>
      </w:r>
      <w:r w:rsidR="007A3AEF">
        <w:t xml:space="preserve"> manufacturing</w:t>
      </w:r>
      <w:r w:rsidR="3F96E9FD">
        <w:t>, and mining</w:t>
      </w:r>
      <w:r w:rsidR="007A3AEF">
        <w:t>)</w:t>
      </w:r>
      <w:r w:rsidR="008B08AE">
        <w:t xml:space="preserve"> as well as a </w:t>
      </w:r>
      <w:r w:rsidR="00AD0829">
        <w:t xml:space="preserve">summary of the </w:t>
      </w:r>
      <w:r w:rsidR="00E16E2F">
        <w:t>weights chosen</w:t>
      </w:r>
      <w:r w:rsidR="00927C70">
        <w:t xml:space="preserve">. </w:t>
      </w:r>
      <w:r w:rsidR="000F5273">
        <w:t xml:space="preserve">The </w:t>
      </w:r>
      <w:r>
        <w:t xml:space="preserve">tables in </w:t>
      </w:r>
      <w:r w:rsidR="00CA2DA2" w:rsidRPr="002077AC">
        <w:rPr>
          <w:b/>
          <w:bCs/>
          <w:i/>
          <w:iCs/>
        </w:rPr>
        <w:fldChar w:fldCharType="begin"/>
      </w:r>
      <w:r w:rsidR="00CA2DA2" w:rsidRPr="002077AC">
        <w:rPr>
          <w:b/>
          <w:bCs/>
          <w:i/>
          <w:iCs/>
        </w:rPr>
        <w:instrText xml:space="preserve"> REF _Ref207804659 \r \h  \* MERGEFORMAT </w:instrText>
      </w:r>
      <w:r w:rsidR="00CA2DA2" w:rsidRPr="002077AC">
        <w:rPr>
          <w:b/>
          <w:bCs/>
          <w:i/>
          <w:iCs/>
        </w:rPr>
      </w:r>
      <w:r w:rsidR="00CA2DA2" w:rsidRPr="002077AC">
        <w:rPr>
          <w:b/>
          <w:bCs/>
          <w:i/>
          <w:iCs/>
        </w:rPr>
        <w:fldChar w:fldCharType="separate"/>
      </w:r>
      <w:r w:rsidR="00CA2DA2" w:rsidRPr="002077AC">
        <w:rPr>
          <w:b/>
          <w:bCs/>
          <w:i/>
          <w:iCs/>
        </w:rPr>
        <w:t>Appendix B</w:t>
      </w:r>
      <w:r w:rsidR="00CA2DA2" w:rsidRPr="002077AC">
        <w:rPr>
          <w:b/>
          <w:bCs/>
          <w:i/>
          <w:iCs/>
        </w:rPr>
        <w:fldChar w:fldCharType="end"/>
      </w:r>
      <w:r w:rsidR="002077AC" w:rsidRPr="002077AC">
        <w:rPr>
          <w:b/>
          <w:bCs/>
          <w:i/>
          <w:iCs/>
        </w:rPr>
        <w:t xml:space="preserve">: </w:t>
      </w:r>
      <w:r w:rsidR="002077AC" w:rsidRPr="002077AC">
        <w:rPr>
          <w:b/>
          <w:bCs/>
          <w:i/>
          <w:iCs/>
        </w:rPr>
        <w:fldChar w:fldCharType="begin"/>
      </w:r>
      <w:r w:rsidR="002077AC" w:rsidRPr="002077AC">
        <w:rPr>
          <w:b/>
          <w:bCs/>
          <w:i/>
          <w:iCs/>
        </w:rPr>
        <w:instrText xml:space="preserve"> REF _Ref207808325 \h  \* MERGEFORMAT </w:instrText>
      </w:r>
      <w:r w:rsidR="002077AC" w:rsidRPr="002077AC">
        <w:rPr>
          <w:b/>
          <w:bCs/>
          <w:i/>
          <w:iCs/>
        </w:rPr>
      </w:r>
      <w:r w:rsidR="002077AC" w:rsidRPr="002077AC">
        <w:rPr>
          <w:b/>
          <w:bCs/>
          <w:i/>
          <w:iCs/>
        </w:rPr>
        <w:fldChar w:fldCharType="separate"/>
      </w:r>
      <w:r w:rsidR="002077AC" w:rsidRPr="002077AC">
        <w:rPr>
          <w:b/>
          <w:bCs/>
          <w:i/>
          <w:iCs/>
        </w:rPr>
        <w:t>Weighting Coefficients – Detailed Tables</w:t>
      </w:r>
      <w:r w:rsidR="002077AC" w:rsidRPr="002077AC">
        <w:rPr>
          <w:b/>
          <w:bCs/>
          <w:i/>
          <w:iCs/>
        </w:rPr>
        <w:fldChar w:fldCharType="end"/>
      </w:r>
      <w:r w:rsidR="00EE0B00">
        <w:t xml:space="preserve"> </w:t>
      </w:r>
      <w:r w:rsidR="000F5273">
        <w:t xml:space="preserve">provide detailed information for the end-use category based weighting scheme that was developed to quantify the decommissioning readiness of different non-residential customer sectors. In the tables, the numerical weights that were applied to the consumption within each end-use category are shown along with a narrative justification for why that weight was selected and links to </w:t>
      </w:r>
      <w:r w:rsidR="003E1D49">
        <w:t xml:space="preserve">supporting resources. </w:t>
      </w:r>
    </w:p>
    <w:p w14:paraId="71AF5C27" w14:textId="77777777" w:rsidR="000B00B2" w:rsidRDefault="000B00B2" w:rsidP="000B00B2">
      <w:pPr>
        <w:pStyle w:val="Heading3"/>
      </w:pPr>
      <w:r>
        <w:t>Overview of the Weighting Scheme</w:t>
      </w:r>
    </w:p>
    <w:p w14:paraId="6F6F3CA6" w14:textId="77777777" w:rsidR="000B00B2" w:rsidRDefault="000B00B2" w:rsidP="000B00B2">
      <w:pPr>
        <w:pStyle w:val="BodyText"/>
      </w:pPr>
      <w:r>
        <w:t>To assess how ready various non-residential customer sectors are for transitioning away from natural gas, a weighting system was developed based on end-use categories. Each category was assigned a weight from 1 to 3, where:</w:t>
      </w:r>
    </w:p>
    <w:p w14:paraId="1976AF82" w14:textId="226093B4" w:rsidR="000B00B2" w:rsidRDefault="000B00B2" w:rsidP="00DF4255">
      <w:pPr>
        <w:pStyle w:val="Bullet1"/>
      </w:pPr>
      <w:r>
        <w:t>1 indicates high readiness for electrification</w:t>
      </w:r>
    </w:p>
    <w:p w14:paraId="7937C3CC" w14:textId="51A0A8AB" w:rsidR="000B00B2" w:rsidRDefault="000B00B2" w:rsidP="00DF4255">
      <w:pPr>
        <w:pStyle w:val="Bullet1"/>
      </w:pPr>
      <w:r>
        <w:t>2 indicates moderate readiness with some barriers</w:t>
      </w:r>
    </w:p>
    <w:p w14:paraId="6B5F6470" w14:textId="1B739AC4" w:rsidR="000B00B2" w:rsidRDefault="000B00B2" w:rsidP="00DF4255">
      <w:pPr>
        <w:pStyle w:val="Bullet1Last"/>
      </w:pPr>
      <w:r>
        <w:t>3 indicates low readiness due to technological or market limitations</w:t>
      </w:r>
    </w:p>
    <w:p w14:paraId="56FFA64B" w14:textId="5C30AB7A" w:rsidR="000B00B2" w:rsidRDefault="000B00B2" w:rsidP="000B00B2">
      <w:pPr>
        <w:pStyle w:val="BodyText"/>
      </w:pPr>
      <w:r>
        <w:t xml:space="preserve">The weights are supported by publicly available data and </w:t>
      </w:r>
      <w:r w:rsidR="6636B174">
        <w:t xml:space="preserve">findings from published </w:t>
      </w:r>
      <w:r>
        <w:t>studies</w:t>
      </w:r>
      <w:r w:rsidR="41E98EFB">
        <w:t xml:space="preserve"> in both academic and trade specific literature</w:t>
      </w:r>
      <w:r>
        <w:t>, which provide insight into the availability of electric alternatives, cost considerations, industry norms, and policy incentives.</w:t>
      </w:r>
    </w:p>
    <w:p w14:paraId="18138753" w14:textId="77777777" w:rsidR="00AC077E" w:rsidRDefault="00AC077E" w:rsidP="00F936B5">
      <w:pPr>
        <w:pStyle w:val="Heading3"/>
      </w:pPr>
      <w:r>
        <w:t>Commercial Sectors</w:t>
      </w:r>
    </w:p>
    <w:p w14:paraId="403B48B4" w14:textId="77777777" w:rsidR="00AC077E" w:rsidRDefault="00AC077E" w:rsidP="00AC077E">
      <w:pPr>
        <w:pStyle w:val="BodyText"/>
      </w:pPr>
      <w:r>
        <w:t>In commercial settings, most end-use categories received a weight of 1, reflecting strong readiness for electrification:</w:t>
      </w:r>
    </w:p>
    <w:p w14:paraId="3D60FB28" w14:textId="20FA314D" w:rsidR="00AC077E" w:rsidRDefault="00AC077E" w:rsidP="00DF4255">
      <w:pPr>
        <w:pStyle w:val="Bullet1"/>
      </w:pPr>
      <w:r w:rsidRPr="00B1384E">
        <w:rPr>
          <w:b/>
          <w:bCs/>
        </w:rPr>
        <w:t xml:space="preserve">Space Heating </w:t>
      </w:r>
      <w:r w:rsidR="000E3024">
        <w:rPr>
          <w:b/>
          <w:bCs/>
        </w:rPr>
        <w:t>&amp;</w:t>
      </w:r>
      <w:r w:rsidRPr="00B1384E">
        <w:rPr>
          <w:b/>
          <w:bCs/>
        </w:rPr>
        <w:t xml:space="preserve"> Cooling</w:t>
      </w:r>
      <w:r>
        <w:t xml:space="preserve"> and </w:t>
      </w:r>
      <w:r w:rsidRPr="00B1384E">
        <w:rPr>
          <w:b/>
          <w:bCs/>
        </w:rPr>
        <w:t>Water Heating</w:t>
      </w:r>
      <w:r>
        <w:t xml:space="preserve"> are highly electrifiable with technologies like heat pumps widely available and supported by incentives.</w:t>
      </w:r>
    </w:p>
    <w:p w14:paraId="4C8FF83C" w14:textId="29441308" w:rsidR="00AC077E" w:rsidRDefault="00AC077E" w:rsidP="00DF4255">
      <w:pPr>
        <w:pStyle w:val="Bullet1"/>
      </w:pPr>
      <w:r w:rsidRPr="00B1384E">
        <w:rPr>
          <w:b/>
          <w:bCs/>
        </w:rPr>
        <w:t>Miscellaneous Uses</w:t>
      </w:r>
      <w:r>
        <w:t xml:space="preserve"> also scored a 1, as most equipment is already electric or has viable alternatives.</w:t>
      </w:r>
    </w:p>
    <w:p w14:paraId="4A32F34F" w14:textId="592707D6" w:rsidR="00AC077E" w:rsidRDefault="00AC077E" w:rsidP="00DF4255">
      <w:pPr>
        <w:pStyle w:val="Bullet1Last"/>
      </w:pPr>
      <w:r w:rsidRPr="00B1384E">
        <w:rPr>
          <w:b/>
          <w:bCs/>
        </w:rPr>
        <w:t>Cooking</w:t>
      </w:r>
      <w:r>
        <w:t xml:space="preserve"> and </w:t>
      </w:r>
      <w:r w:rsidRPr="00B1384E">
        <w:rPr>
          <w:b/>
          <w:bCs/>
        </w:rPr>
        <w:t>Process Uses</w:t>
      </w:r>
      <w:r>
        <w:t xml:space="preserve"> received a weight of 2, due to entrenched industry preferences for gas and higher costs of electric alternatives, despite their availability.</w:t>
      </w:r>
    </w:p>
    <w:p w14:paraId="47D54F7F" w14:textId="77777777" w:rsidR="00AC077E" w:rsidRDefault="00AC077E" w:rsidP="00A85360">
      <w:pPr>
        <w:pStyle w:val="Heading3"/>
      </w:pPr>
      <w:r>
        <w:t>Manufacturing, Industrial, and Mining Sectors</w:t>
      </w:r>
    </w:p>
    <w:p w14:paraId="5D579BB8" w14:textId="77777777" w:rsidR="00AC077E" w:rsidRDefault="00AC077E" w:rsidP="00AC077E">
      <w:pPr>
        <w:pStyle w:val="BodyText"/>
      </w:pPr>
      <w:r>
        <w:t>This sector presents a more varied landscape:</w:t>
      </w:r>
    </w:p>
    <w:p w14:paraId="04FDC0DB" w14:textId="105292A1" w:rsidR="00AC077E" w:rsidRDefault="00AC077E" w:rsidP="000E3024">
      <w:pPr>
        <w:pStyle w:val="Bullet1"/>
      </w:pPr>
      <w:r>
        <w:t xml:space="preserve">Categories like </w:t>
      </w:r>
      <w:r w:rsidRPr="000E3024">
        <w:rPr>
          <w:b/>
          <w:bCs/>
        </w:rPr>
        <w:t>Facility HVAC</w:t>
      </w:r>
      <w:r>
        <w:t xml:space="preserve">, </w:t>
      </w:r>
      <w:r w:rsidRPr="000E3024">
        <w:rPr>
          <w:b/>
          <w:bCs/>
        </w:rPr>
        <w:t>Machine Drive</w:t>
      </w:r>
      <w:r>
        <w:t xml:space="preserve">, </w:t>
      </w:r>
      <w:r w:rsidRPr="000E3024">
        <w:rPr>
          <w:b/>
          <w:bCs/>
        </w:rPr>
        <w:t>Onsite Transportation</w:t>
      </w:r>
      <w:r>
        <w:t xml:space="preserve">, and </w:t>
      </w:r>
      <w:r w:rsidRPr="000E3024">
        <w:rPr>
          <w:b/>
          <w:bCs/>
        </w:rPr>
        <w:t>Other Facility Support</w:t>
      </w:r>
      <w:r>
        <w:t xml:space="preserve"> were assigned a weight of 1, indicating that electric alternatives are widely adopted or easily implementable.</w:t>
      </w:r>
    </w:p>
    <w:p w14:paraId="15DC5153" w14:textId="21A31400" w:rsidR="00AC077E" w:rsidRDefault="00AC077E" w:rsidP="002774D3">
      <w:pPr>
        <w:pStyle w:val="Bullet1Last"/>
      </w:pPr>
      <w:r w:rsidRPr="000E3024">
        <w:rPr>
          <w:b/>
          <w:bCs/>
        </w:rPr>
        <w:t>CHP &amp; Cogeneration</w:t>
      </w:r>
      <w:r>
        <w:t xml:space="preserve"> and </w:t>
      </w:r>
      <w:r w:rsidRPr="000E3024">
        <w:rPr>
          <w:b/>
          <w:bCs/>
        </w:rPr>
        <w:t>Conventional Boiler</w:t>
      </w:r>
      <w:r>
        <w:t xml:space="preserve"> </w:t>
      </w:r>
      <w:r w:rsidRPr="000E3024">
        <w:rPr>
          <w:b/>
          <w:bCs/>
        </w:rPr>
        <w:t>Use</w:t>
      </w:r>
      <w:r>
        <w:t xml:space="preserve"> received a 2, reflecting moderate readiness. While alternatives exist, they often require significant infrastructure changes or face cost barriers.</w:t>
      </w:r>
    </w:p>
    <w:p w14:paraId="4028A6BB" w14:textId="72EDBFEF" w:rsidR="00AC077E" w:rsidRDefault="00AC077E" w:rsidP="49A7419C">
      <w:pPr>
        <w:pStyle w:val="Bullet1Last"/>
        <w:numPr>
          <w:ilvl w:val="0"/>
          <w:numId w:val="0"/>
        </w:numPr>
      </w:pPr>
      <w:r w:rsidRPr="49A7419C">
        <w:rPr>
          <w:b/>
          <w:bCs/>
        </w:rPr>
        <w:t>Other Process Use</w:t>
      </w:r>
      <w:r>
        <w:t xml:space="preserve">, </w:t>
      </w:r>
      <w:r w:rsidRPr="49A7419C">
        <w:rPr>
          <w:b/>
          <w:bCs/>
        </w:rPr>
        <w:t>Process Heating</w:t>
      </w:r>
      <w:r>
        <w:t xml:space="preserve">, and </w:t>
      </w:r>
      <w:r w:rsidRPr="49A7419C">
        <w:rPr>
          <w:b/>
          <w:bCs/>
        </w:rPr>
        <w:t>Electro-Chemical Processes</w:t>
      </w:r>
      <w:r>
        <w:t xml:space="preserve"> were </w:t>
      </w:r>
      <w:r w:rsidR="4975F045">
        <w:t>assigned</w:t>
      </w:r>
      <w:r>
        <w:t xml:space="preserve"> a weight of 3, due to limited technological maturity and the need for further development—especially in high-energy applications and hydrogen-based systems.</w:t>
      </w:r>
    </w:p>
    <w:p w14:paraId="48B7FE08" w14:textId="77777777" w:rsidR="00AC077E" w:rsidRDefault="00AC077E" w:rsidP="00A85360">
      <w:pPr>
        <w:pStyle w:val="Heading3"/>
      </w:pPr>
      <w:r>
        <w:t>Key Takeaways</w:t>
      </w:r>
    </w:p>
    <w:p w14:paraId="14E7A7CE" w14:textId="5599428F" w:rsidR="00AC077E" w:rsidRDefault="00AC077E" w:rsidP="00AC077E">
      <w:pPr>
        <w:pStyle w:val="BodyText"/>
      </w:pPr>
      <w:r>
        <w:t>This weighting scheme helps identify which sectors and end-uses are most prepared for electrification and which require further innovation or policy support. It showcases the potential for near-term transitions in many commercial applications, while highlighting the need for continued research and investment in industrial processes.</w:t>
      </w:r>
    </w:p>
    <w:p w14:paraId="10A2178E" w14:textId="00301F77" w:rsidR="00F20E2C" w:rsidRDefault="00F20E2C" w:rsidP="00834753">
      <w:pPr>
        <w:pStyle w:val="Heading2"/>
      </w:pPr>
      <w:bookmarkStart w:id="40" w:name="_Toc213837953"/>
      <w:r>
        <w:t>Data Resources and Sub-Index Detail</w:t>
      </w:r>
      <w:bookmarkEnd w:id="40"/>
    </w:p>
    <w:p w14:paraId="5E6AAABE" w14:textId="0067E0BE" w:rsidR="00605326" w:rsidRPr="00D21BEE" w:rsidRDefault="00605326" w:rsidP="008A37EA">
      <w:pPr>
        <w:pStyle w:val="BodyText"/>
      </w:pPr>
      <w:r>
        <w:t xml:space="preserve">The secondary metrics (sub-indices) and primary metrics (variables) for the Non-Residential Decommissioning Readiness Index are shown in </w:t>
      </w:r>
      <w:r>
        <w:fldChar w:fldCharType="begin"/>
      </w:r>
      <w:r>
        <w:instrText xml:space="preserve"> REF _Ref200524467 \h </w:instrText>
      </w:r>
      <w:r>
        <w:fldChar w:fldCharType="separate"/>
      </w:r>
      <w:r w:rsidR="00D66740">
        <w:t xml:space="preserve">Table </w:t>
      </w:r>
      <w:r w:rsidR="00D66740">
        <w:rPr>
          <w:noProof/>
        </w:rPr>
        <w:t>5</w:t>
      </w:r>
      <w:r w:rsidR="00D66740">
        <w:noBreakHyphen/>
      </w:r>
      <w:r w:rsidR="00D66740">
        <w:rPr>
          <w:noProof/>
        </w:rPr>
        <w:t>1</w:t>
      </w:r>
      <w:r>
        <w:fldChar w:fldCharType="end"/>
      </w:r>
      <w:r>
        <w:t xml:space="preserve">. </w:t>
      </w:r>
    </w:p>
    <w:p w14:paraId="13AF00BF" w14:textId="713357EC" w:rsidR="003E1D49" w:rsidRDefault="00E10A9C" w:rsidP="002077AC">
      <w:pPr>
        <w:pStyle w:val="FigureTitle"/>
      </w:pPr>
      <w:bookmarkStart w:id="41" w:name="_Ref200524467"/>
      <w:bookmarkStart w:id="42" w:name="_Toc213837967"/>
      <w:r>
        <w:t xml:space="preserve">Table </w:t>
      </w:r>
      <w:r>
        <w:fldChar w:fldCharType="begin"/>
      </w:r>
      <w:r>
        <w:instrText xml:space="preserve"> STYLEREF 1 \s </w:instrText>
      </w:r>
      <w:r>
        <w:fldChar w:fldCharType="separate"/>
      </w:r>
      <w:r w:rsidR="00D66740">
        <w:rPr>
          <w:noProof/>
        </w:rPr>
        <w:t>5</w:t>
      </w:r>
      <w:r>
        <w:fldChar w:fldCharType="end"/>
      </w:r>
      <w:r>
        <w:noBreakHyphen/>
      </w:r>
      <w:r>
        <w:fldChar w:fldCharType="begin"/>
      </w:r>
      <w:r>
        <w:instrText xml:space="preserve"> SEQ Table \* ARABIC \s 1 </w:instrText>
      </w:r>
      <w:r>
        <w:fldChar w:fldCharType="separate"/>
      </w:r>
      <w:r w:rsidR="00D66740">
        <w:rPr>
          <w:noProof/>
        </w:rPr>
        <w:t>1</w:t>
      </w:r>
      <w:r>
        <w:fldChar w:fldCharType="end"/>
      </w:r>
      <w:bookmarkEnd w:id="41"/>
      <w:r>
        <w:t xml:space="preserve">. </w:t>
      </w:r>
      <w:r w:rsidR="00605326">
        <w:t>Variables to Sub-Indices</w:t>
      </w:r>
      <w:r w:rsidR="00605326" w:rsidRPr="00B27C50">
        <w:t xml:space="preserve"> </w:t>
      </w:r>
      <w:r w:rsidR="00CF01EE" w:rsidRPr="00B27C50">
        <w:t xml:space="preserve">for the Non-Residential Readiness </w:t>
      </w:r>
      <w:r w:rsidR="00CF01EE">
        <w:t xml:space="preserve">Decommissioning </w:t>
      </w:r>
      <w:r w:rsidR="00CF01EE" w:rsidRPr="00B27C50">
        <w:t>Index</w:t>
      </w:r>
      <w:bookmarkEnd w:id="42"/>
    </w:p>
    <w:tbl>
      <w:tblPr>
        <w:tblStyle w:val="DNV"/>
        <w:tblW w:w="9540" w:type="dxa"/>
        <w:tblBorders>
          <w:insideH w:val="single" w:sz="4" w:space="0" w:color="FFFFFF" w:themeColor="background1"/>
          <w:insideV w:val="single" w:sz="4" w:space="0" w:color="FFFFFF" w:themeColor="background1"/>
        </w:tblBorders>
        <w:tblLook w:val="04A0" w:firstRow="1" w:lastRow="0" w:firstColumn="1" w:lastColumn="0" w:noHBand="0" w:noVBand="1"/>
      </w:tblPr>
      <w:tblGrid>
        <w:gridCol w:w="3060"/>
        <w:gridCol w:w="3060"/>
        <w:gridCol w:w="3420"/>
      </w:tblGrid>
      <w:tr w:rsidR="00CC00E6" w:rsidRPr="002077AC" w14:paraId="73A276C0" w14:textId="77777777" w:rsidTr="00FC565C">
        <w:trPr>
          <w:cantSplit/>
          <w:trHeight w:val="313"/>
          <w:tblHeader/>
        </w:trPr>
        <w:tc>
          <w:tcPr>
            <w:tcW w:w="3060" w:type="dxa"/>
          </w:tcPr>
          <w:p w14:paraId="11004F10" w14:textId="77777777" w:rsidR="00CC00E6" w:rsidRPr="002077AC" w:rsidRDefault="00CC00E6" w:rsidP="002077AC">
            <w:pPr>
              <w:pStyle w:val="TableHeader"/>
              <w:keepNext/>
              <w:keepLines/>
              <w:cnfStyle w:val="100000000000" w:firstRow="1" w:lastRow="0" w:firstColumn="0" w:lastColumn="0" w:oddVBand="0" w:evenVBand="0" w:oddHBand="0" w:evenHBand="0" w:firstRowFirstColumn="0" w:firstRowLastColumn="0" w:lastRowFirstColumn="0" w:lastRowLastColumn="0"/>
              <w:rPr>
                <w:b/>
                <w:bCs/>
              </w:rPr>
            </w:pPr>
            <w:r w:rsidRPr="002077AC">
              <w:rPr>
                <w:b/>
                <w:bCs/>
              </w:rPr>
              <w:t>Secondary Metric (Sub-Index)</w:t>
            </w:r>
          </w:p>
        </w:tc>
        <w:tc>
          <w:tcPr>
            <w:tcW w:w="3060" w:type="dxa"/>
            <w:tcBorders>
              <w:bottom w:val="single" w:sz="4" w:space="0" w:color="FFFFFF" w:themeColor="background1"/>
            </w:tcBorders>
          </w:tcPr>
          <w:p w14:paraId="53E5C2D9" w14:textId="23FCE9E1" w:rsidR="00CC00E6" w:rsidRPr="002077AC" w:rsidRDefault="6FE25FD8" w:rsidP="002077AC">
            <w:pPr>
              <w:pStyle w:val="TableHeader"/>
              <w:keepNext/>
              <w:keepLines/>
              <w:cnfStyle w:val="100000000000" w:firstRow="1" w:lastRow="0" w:firstColumn="0" w:lastColumn="0" w:oddVBand="0" w:evenVBand="0" w:oddHBand="0" w:evenHBand="0" w:firstRowFirstColumn="0" w:firstRowLastColumn="0" w:lastRowFirstColumn="0" w:lastRowLastColumn="0"/>
              <w:rPr>
                <w:b/>
                <w:bCs/>
              </w:rPr>
            </w:pPr>
            <w:r w:rsidRPr="002077AC">
              <w:rPr>
                <w:b/>
                <w:bCs/>
              </w:rPr>
              <w:t>Primary Metric</w:t>
            </w:r>
            <w:r w:rsidR="709FCA80" w:rsidRPr="002077AC">
              <w:rPr>
                <w:b/>
                <w:bCs/>
              </w:rPr>
              <w:t>s</w:t>
            </w:r>
            <w:r w:rsidRPr="002077AC">
              <w:rPr>
                <w:b/>
                <w:bCs/>
              </w:rPr>
              <w:t xml:space="preserve"> (Variable</w:t>
            </w:r>
            <w:r w:rsidR="4A5D9548" w:rsidRPr="002077AC">
              <w:rPr>
                <w:b/>
                <w:bCs/>
              </w:rPr>
              <w:t>s</w:t>
            </w:r>
            <w:r w:rsidRPr="002077AC">
              <w:rPr>
                <w:b/>
                <w:bCs/>
              </w:rPr>
              <w:t>)</w:t>
            </w:r>
          </w:p>
        </w:tc>
        <w:tc>
          <w:tcPr>
            <w:tcW w:w="3420" w:type="dxa"/>
            <w:tcBorders>
              <w:bottom w:val="single" w:sz="4" w:space="0" w:color="FFFFFF" w:themeColor="background1"/>
            </w:tcBorders>
          </w:tcPr>
          <w:p w14:paraId="3070D4DA" w14:textId="77777777" w:rsidR="00CC00E6" w:rsidRPr="002077AC" w:rsidRDefault="00CC00E6" w:rsidP="002077AC">
            <w:pPr>
              <w:pStyle w:val="TableHeader"/>
              <w:keepNext/>
              <w:keepLines/>
              <w:cnfStyle w:val="100000000000" w:firstRow="1" w:lastRow="0" w:firstColumn="0" w:lastColumn="0" w:oddVBand="0" w:evenVBand="0" w:oddHBand="0" w:evenHBand="0" w:firstRowFirstColumn="0" w:firstRowLastColumn="0" w:lastRowFirstColumn="0" w:lastRowLastColumn="0"/>
              <w:rPr>
                <w:b/>
                <w:bCs/>
              </w:rPr>
            </w:pPr>
            <w:r w:rsidRPr="002077AC">
              <w:rPr>
                <w:b/>
                <w:bCs/>
              </w:rPr>
              <w:t>Data Source</w:t>
            </w:r>
          </w:p>
        </w:tc>
      </w:tr>
      <w:tr w:rsidR="00CC00E6" w:rsidRPr="002077AC" w14:paraId="2D708765" w14:textId="77777777" w:rsidTr="00FC565C">
        <w:trPr>
          <w:cantSplit/>
          <w:trHeight w:val="300"/>
        </w:trPr>
        <w:tc>
          <w:tcPr>
            <w:tcW w:w="3060" w:type="dxa"/>
          </w:tcPr>
          <w:p w14:paraId="3AB28F7F" w14:textId="49701F97" w:rsidR="00CC00E6" w:rsidRPr="002077AC" w:rsidRDefault="00CC00E6" w:rsidP="002077AC">
            <w:pPr>
              <w:pStyle w:val="TableText"/>
              <w:keepNext/>
              <w:keepLines/>
              <w:cnfStyle w:val="000000100000" w:firstRow="0" w:lastRow="0" w:firstColumn="0" w:lastColumn="0" w:oddVBand="0" w:evenVBand="0" w:oddHBand="1" w:evenHBand="0" w:firstRowFirstColumn="0" w:firstRowLastColumn="0" w:lastRowFirstColumn="0" w:lastRowLastColumn="0"/>
              <w:rPr>
                <w:b/>
                <w:bCs/>
              </w:rPr>
            </w:pPr>
            <w:r w:rsidRPr="002077AC">
              <w:t>Nondurable Goods Manufacturing</w:t>
            </w:r>
          </w:p>
        </w:tc>
        <w:tc>
          <w:tcPr>
            <w:tcW w:w="3060" w:type="dxa"/>
            <w:tcBorders>
              <w:top w:val="single" w:sz="4" w:space="0" w:color="FFFFFF" w:themeColor="background1"/>
              <w:bottom w:val="nil"/>
            </w:tcBorders>
          </w:tcPr>
          <w:p w14:paraId="7DBE171A" w14:textId="7D347713" w:rsidR="00CC00E6" w:rsidRPr="002077AC" w:rsidRDefault="7DE264AC" w:rsidP="001A6C56">
            <w:pPr>
              <w:pStyle w:val="Tablebullet"/>
              <w:keepNext/>
              <w:keepLines/>
              <w:spacing w:after="120"/>
              <w:ind w:left="259" w:hanging="259"/>
              <w:cnfStyle w:val="000000100000" w:firstRow="0" w:lastRow="0" w:firstColumn="0" w:lastColumn="0" w:oddVBand="0" w:evenVBand="0" w:oddHBand="1" w:evenHBand="0" w:firstRowFirstColumn="0" w:firstRowLastColumn="0" w:lastRowFirstColumn="0" w:lastRowLastColumn="0"/>
            </w:pPr>
            <w:r w:rsidRPr="002077AC">
              <w:t>Facility</w:t>
            </w:r>
            <w:r w:rsidR="761E15BB" w:rsidRPr="002077AC">
              <w:t xml:space="preserve"> Level Gas Consumption</w:t>
            </w:r>
          </w:p>
        </w:tc>
        <w:tc>
          <w:tcPr>
            <w:tcW w:w="3420" w:type="dxa"/>
            <w:tcBorders>
              <w:top w:val="single" w:sz="4" w:space="0" w:color="FFFFFF" w:themeColor="background1"/>
              <w:bottom w:val="nil"/>
            </w:tcBorders>
          </w:tcPr>
          <w:p w14:paraId="008946DF" w14:textId="61AB63E3" w:rsidR="00CC00E6" w:rsidRPr="002077AC" w:rsidRDefault="583DAF9B" w:rsidP="00FC565C">
            <w:pPr>
              <w:pStyle w:val="Tablebullet"/>
              <w:keepNext/>
              <w:keepLines/>
              <w:spacing w:after="120"/>
              <w:ind w:left="259" w:hanging="259"/>
              <w:cnfStyle w:val="000000100000" w:firstRow="0" w:lastRow="0" w:firstColumn="0" w:lastColumn="0" w:oddVBand="0" w:evenVBand="0" w:oddHBand="1" w:evenHBand="0" w:firstRowFirstColumn="0" w:firstRowLastColumn="0" w:lastRowFirstColumn="0" w:lastRowLastColumn="0"/>
            </w:pPr>
            <w:r w:rsidRPr="002077AC">
              <w:t>CPUC</w:t>
            </w:r>
            <w:r w:rsidR="3E5E2DDE" w:rsidRPr="002077AC">
              <w:t xml:space="preserve"> Disaggregated I</w:t>
            </w:r>
            <w:r w:rsidR="76E59B85" w:rsidRPr="002077AC">
              <w:t xml:space="preserve">nvestor-Owned Utility </w:t>
            </w:r>
            <w:r w:rsidR="3E5E2DDE" w:rsidRPr="002077AC">
              <w:t>Customer Gas Demand Database (</w:t>
            </w:r>
            <w:r w:rsidR="69799D0F" w:rsidRPr="002077AC">
              <w:t xml:space="preserve">UCLA Private Access, </w:t>
            </w:r>
            <w:r w:rsidR="3E5E2DDE" w:rsidRPr="002077AC">
              <w:t>2021</w:t>
            </w:r>
            <w:r w:rsidR="0FD28C8E" w:rsidRPr="002077AC">
              <w:t xml:space="preserve"> </w:t>
            </w:r>
            <w:r w:rsidR="004714C9" w:rsidRPr="002077AC">
              <w:t>vintage</w:t>
            </w:r>
            <w:r w:rsidR="6AB6DE2B" w:rsidRPr="002077AC">
              <w:t xml:space="preserve"> </w:t>
            </w:r>
            <w:r w:rsidR="0FD28C8E" w:rsidRPr="002077AC">
              <w:t>data</w:t>
            </w:r>
            <w:r w:rsidR="3E5E2DDE" w:rsidRPr="002077AC">
              <w:t>)</w:t>
            </w:r>
          </w:p>
        </w:tc>
      </w:tr>
      <w:tr w:rsidR="00CC00E6" w:rsidRPr="002077AC" w14:paraId="034BA48F" w14:textId="77777777" w:rsidTr="00FC565C">
        <w:trPr>
          <w:cantSplit/>
          <w:trHeight w:val="132"/>
        </w:trPr>
        <w:tc>
          <w:tcPr>
            <w:tcW w:w="3060" w:type="dxa"/>
          </w:tcPr>
          <w:p w14:paraId="53B38035" w14:textId="6D78D213"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Durable Goods Manufacturing</w:t>
            </w:r>
          </w:p>
        </w:tc>
        <w:tc>
          <w:tcPr>
            <w:tcW w:w="3060" w:type="dxa"/>
            <w:tcBorders>
              <w:top w:val="nil"/>
              <w:bottom w:val="nil"/>
            </w:tcBorders>
          </w:tcPr>
          <w:p w14:paraId="284A5BA7" w14:textId="12DD91D0" w:rsidR="00CC00E6" w:rsidRPr="002077AC" w:rsidRDefault="001A6C56" w:rsidP="001A6C56">
            <w:pPr>
              <w:pStyle w:val="Tablebullet"/>
              <w:keepNext/>
              <w:keepLines/>
              <w:spacing w:after="120"/>
              <w:ind w:left="259" w:hanging="259"/>
              <w:cnfStyle w:val="000000010000" w:firstRow="0" w:lastRow="0" w:firstColumn="0" w:lastColumn="0" w:oddVBand="0" w:evenVBand="0" w:oddHBand="0" w:evenHBand="1" w:firstRowFirstColumn="0" w:firstRowLastColumn="0" w:lastRowFirstColumn="0" w:lastRowLastColumn="0"/>
            </w:pPr>
            <w:r w:rsidRPr="002077AC">
              <w:t>Sub-sectoral Level End-Use Gas Consumption Breakdowns</w:t>
            </w:r>
          </w:p>
        </w:tc>
        <w:tc>
          <w:tcPr>
            <w:tcW w:w="3420" w:type="dxa"/>
            <w:tcBorders>
              <w:top w:val="nil"/>
              <w:bottom w:val="nil"/>
            </w:tcBorders>
          </w:tcPr>
          <w:p w14:paraId="47AAECCF" w14:textId="79F0D004" w:rsidR="00CC00E6" w:rsidRPr="002077AC" w:rsidRDefault="008D00A7" w:rsidP="008D00A7">
            <w:pPr>
              <w:pStyle w:val="Tablebullet"/>
              <w:keepNext/>
              <w:keepLines/>
              <w:spacing w:after="120"/>
              <w:ind w:left="259" w:hanging="259"/>
              <w:cnfStyle w:val="000000010000" w:firstRow="0" w:lastRow="0" w:firstColumn="0" w:lastColumn="0" w:oddVBand="0" w:evenVBand="0" w:oddHBand="0" w:evenHBand="1" w:firstRowFirstColumn="0" w:firstRowLastColumn="0" w:lastRowFirstColumn="0" w:lastRowLastColumn="0"/>
            </w:pPr>
            <w:r w:rsidRPr="002077AC">
              <w:t>CEC Commercial End-Use Survey (2019 vintage data)</w:t>
            </w:r>
          </w:p>
        </w:tc>
      </w:tr>
      <w:tr w:rsidR="00CC00E6" w:rsidRPr="002077AC" w14:paraId="709451D1" w14:textId="77777777" w:rsidTr="00FC565C">
        <w:trPr>
          <w:cantSplit/>
          <w:trHeight w:val="64"/>
        </w:trPr>
        <w:tc>
          <w:tcPr>
            <w:tcW w:w="3060" w:type="dxa"/>
          </w:tcPr>
          <w:p w14:paraId="5FEBDC02" w14:textId="4F200429"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Colleges</w:t>
            </w:r>
          </w:p>
        </w:tc>
        <w:tc>
          <w:tcPr>
            <w:tcW w:w="3060" w:type="dxa"/>
            <w:tcBorders>
              <w:top w:val="nil"/>
              <w:bottom w:val="nil"/>
            </w:tcBorders>
          </w:tcPr>
          <w:p w14:paraId="766421A0" w14:textId="6885E2AB" w:rsidR="00CC00E6" w:rsidRPr="002077AC" w:rsidRDefault="001A6C56" w:rsidP="001A6C56">
            <w:pPr>
              <w:pStyle w:val="Tablebullet"/>
              <w:keepNext/>
              <w:keepLines/>
              <w:spacing w:after="120"/>
              <w:ind w:left="259" w:hanging="259"/>
              <w:cnfStyle w:val="000000100000" w:firstRow="0" w:lastRow="0" w:firstColumn="0" w:lastColumn="0" w:oddVBand="0" w:evenVBand="0" w:oddHBand="1" w:evenHBand="0" w:firstRowFirstColumn="0" w:firstRowLastColumn="0" w:lastRowFirstColumn="0" w:lastRowLastColumn="0"/>
            </w:pPr>
            <w:r w:rsidRPr="002077AC">
              <w:t>End-Use Specific Fuel-Substitution Difficulty Weighting Coefficients</w:t>
            </w:r>
          </w:p>
        </w:tc>
        <w:tc>
          <w:tcPr>
            <w:tcW w:w="3420" w:type="dxa"/>
            <w:tcBorders>
              <w:top w:val="nil"/>
              <w:bottom w:val="nil"/>
            </w:tcBorders>
          </w:tcPr>
          <w:p w14:paraId="7A6ADC5A" w14:textId="106F390F" w:rsidR="00CC00E6" w:rsidRPr="002077AC" w:rsidRDefault="008D00A7" w:rsidP="008D00A7">
            <w:pPr>
              <w:pStyle w:val="Tablebullet"/>
              <w:keepNext/>
              <w:keepLines/>
              <w:spacing w:after="120"/>
              <w:ind w:left="259" w:hanging="259"/>
              <w:cnfStyle w:val="000000100000" w:firstRow="0" w:lastRow="0" w:firstColumn="0" w:lastColumn="0" w:oddVBand="0" w:evenVBand="0" w:oddHBand="1" w:evenHBand="0" w:firstRowFirstColumn="0" w:firstRowLastColumn="0" w:lastRowFirstColumn="0" w:lastRowLastColumn="0"/>
            </w:pPr>
            <w:r w:rsidRPr="002077AC">
              <w:t>U.S. EIA Manufacturing Energy Consumption Survey (2022 vintage data)</w:t>
            </w:r>
          </w:p>
        </w:tc>
      </w:tr>
      <w:tr w:rsidR="00CC00E6" w:rsidRPr="002077AC" w14:paraId="201AB905" w14:textId="77777777" w:rsidTr="00FC565C">
        <w:trPr>
          <w:cantSplit/>
          <w:trHeight w:val="69"/>
        </w:trPr>
        <w:tc>
          <w:tcPr>
            <w:tcW w:w="3060" w:type="dxa"/>
          </w:tcPr>
          <w:p w14:paraId="578218EA" w14:textId="53D86996"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 xml:space="preserve">Food </w:t>
            </w:r>
            <w:r w:rsidR="00E00076" w:rsidRPr="002077AC">
              <w:t>Stores</w:t>
            </w:r>
            <w:r w:rsidR="00076281" w:rsidRPr="002077AC">
              <w:t xml:space="preserve"> </w:t>
            </w:r>
          </w:p>
        </w:tc>
        <w:tc>
          <w:tcPr>
            <w:tcW w:w="3060" w:type="dxa"/>
            <w:tcBorders>
              <w:top w:val="nil"/>
              <w:bottom w:val="nil"/>
            </w:tcBorders>
          </w:tcPr>
          <w:p w14:paraId="3502A253"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c>
          <w:tcPr>
            <w:tcW w:w="3420" w:type="dxa"/>
            <w:tcBorders>
              <w:top w:val="nil"/>
              <w:bottom w:val="nil"/>
            </w:tcBorders>
          </w:tcPr>
          <w:p w14:paraId="411A1169" w14:textId="58EECFE3" w:rsidR="00CC00E6" w:rsidRPr="002077AC" w:rsidRDefault="008D00A7" w:rsidP="008D00A7">
            <w:pPr>
              <w:pStyle w:val="Tablebullet"/>
              <w:keepNext/>
              <w:keepLines/>
              <w:spacing w:after="120"/>
              <w:ind w:left="259" w:hanging="259"/>
              <w:cnfStyle w:val="000000010000" w:firstRow="0" w:lastRow="0" w:firstColumn="0" w:lastColumn="0" w:oddVBand="0" w:evenVBand="0" w:oddHBand="0" w:evenHBand="1" w:firstRowFirstColumn="0" w:firstRowLastColumn="0" w:lastRowFirstColumn="0" w:lastRowLastColumn="0"/>
            </w:pPr>
            <w:r w:rsidRPr="002077AC">
              <w:t>NREL US County Level Industrial Energy Use Database (2014 vintage data)</w:t>
            </w:r>
          </w:p>
        </w:tc>
      </w:tr>
      <w:tr w:rsidR="00CC00E6" w:rsidRPr="002077AC" w14:paraId="1929194F" w14:textId="77777777" w:rsidTr="00FC565C">
        <w:trPr>
          <w:cantSplit/>
          <w:trHeight w:val="78"/>
        </w:trPr>
        <w:tc>
          <w:tcPr>
            <w:tcW w:w="3060" w:type="dxa"/>
          </w:tcPr>
          <w:p w14:paraId="2690FE5C" w14:textId="008CF6FA"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Healthcare</w:t>
            </w:r>
          </w:p>
        </w:tc>
        <w:tc>
          <w:tcPr>
            <w:tcW w:w="3060" w:type="dxa"/>
            <w:tcBorders>
              <w:top w:val="nil"/>
              <w:bottom w:val="nil"/>
            </w:tcBorders>
          </w:tcPr>
          <w:p w14:paraId="237AC5BF"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c>
          <w:tcPr>
            <w:tcW w:w="3420" w:type="dxa"/>
            <w:tcBorders>
              <w:top w:val="nil"/>
              <w:bottom w:val="nil"/>
            </w:tcBorders>
          </w:tcPr>
          <w:p w14:paraId="3800FE50"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r>
      <w:tr w:rsidR="00CC00E6" w:rsidRPr="002077AC" w14:paraId="6810D2EF" w14:textId="77777777" w:rsidTr="00FC565C">
        <w:trPr>
          <w:cantSplit/>
          <w:trHeight w:val="96"/>
        </w:trPr>
        <w:tc>
          <w:tcPr>
            <w:tcW w:w="3060" w:type="dxa"/>
          </w:tcPr>
          <w:p w14:paraId="2FBD7694" w14:textId="3AEB732B"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Hotels</w:t>
            </w:r>
          </w:p>
        </w:tc>
        <w:tc>
          <w:tcPr>
            <w:tcW w:w="3060" w:type="dxa"/>
            <w:tcBorders>
              <w:top w:val="nil"/>
              <w:bottom w:val="nil"/>
            </w:tcBorders>
          </w:tcPr>
          <w:p w14:paraId="127ACF6E"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c>
          <w:tcPr>
            <w:tcW w:w="3420" w:type="dxa"/>
            <w:tcBorders>
              <w:top w:val="nil"/>
              <w:bottom w:val="nil"/>
            </w:tcBorders>
          </w:tcPr>
          <w:p w14:paraId="0C746344"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r>
      <w:tr w:rsidR="00CC00E6" w:rsidRPr="002077AC" w14:paraId="397F7687" w14:textId="77777777" w:rsidTr="00FC565C">
        <w:trPr>
          <w:cantSplit/>
          <w:trHeight w:val="64"/>
        </w:trPr>
        <w:tc>
          <w:tcPr>
            <w:tcW w:w="3060" w:type="dxa"/>
          </w:tcPr>
          <w:p w14:paraId="51EA36AA" w14:textId="75AE01C0"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Miscellaneous</w:t>
            </w:r>
          </w:p>
        </w:tc>
        <w:tc>
          <w:tcPr>
            <w:tcW w:w="3060" w:type="dxa"/>
            <w:tcBorders>
              <w:top w:val="nil"/>
              <w:bottom w:val="nil"/>
            </w:tcBorders>
          </w:tcPr>
          <w:p w14:paraId="213FE6F6"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c>
          <w:tcPr>
            <w:tcW w:w="3420" w:type="dxa"/>
            <w:tcBorders>
              <w:top w:val="nil"/>
              <w:bottom w:val="nil"/>
            </w:tcBorders>
          </w:tcPr>
          <w:p w14:paraId="2B8C1E9F"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r>
      <w:tr w:rsidR="00CC00E6" w:rsidRPr="002077AC" w14:paraId="24EAF523" w14:textId="77777777" w:rsidTr="00FC565C">
        <w:trPr>
          <w:cantSplit/>
          <w:trHeight w:val="64"/>
        </w:trPr>
        <w:tc>
          <w:tcPr>
            <w:tcW w:w="3060" w:type="dxa"/>
          </w:tcPr>
          <w:p w14:paraId="0A585A42" w14:textId="2F8612D8"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Offices</w:t>
            </w:r>
          </w:p>
        </w:tc>
        <w:tc>
          <w:tcPr>
            <w:tcW w:w="3060" w:type="dxa"/>
            <w:tcBorders>
              <w:top w:val="nil"/>
              <w:bottom w:val="nil"/>
            </w:tcBorders>
          </w:tcPr>
          <w:p w14:paraId="7A8B4AE0"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c>
          <w:tcPr>
            <w:tcW w:w="3420" w:type="dxa"/>
            <w:tcBorders>
              <w:top w:val="nil"/>
              <w:bottom w:val="nil"/>
            </w:tcBorders>
          </w:tcPr>
          <w:p w14:paraId="4CC461DB"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r>
      <w:tr w:rsidR="00CC00E6" w:rsidRPr="002077AC" w14:paraId="40558CC7" w14:textId="77777777" w:rsidTr="00FC565C">
        <w:trPr>
          <w:cantSplit/>
          <w:trHeight w:val="64"/>
        </w:trPr>
        <w:tc>
          <w:tcPr>
            <w:tcW w:w="3060" w:type="dxa"/>
          </w:tcPr>
          <w:p w14:paraId="7E2C18B2" w14:textId="458DB81E"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Warehouses</w:t>
            </w:r>
          </w:p>
        </w:tc>
        <w:tc>
          <w:tcPr>
            <w:tcW w:w="3060" w:type="dxa"/>
            <w:tcBorders>
              <w:top w:val="nil"/>
              <w:bottom w:val="nil"/>
            </w:tcBorders>
          </w:tcPr>
          <w:p w14:paraId="7CBC7187"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c>
          <w:tcPr>
            <w:tcW w:w="3420" w:type="dxa"/>
            <w:tcBorders>
              <w:top w:val="nil"/>
              <w:bottom w:val="nil"/>
            </w:tcBorders>
          </w:tcPr>
          <w:p w14:paraId="645C3476"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r>
      <w:tr w:rsidR="00CC00E6" w:rsidRPr="002077AC" w14:paraId="41798F3A" w14:textId="77777777" w:rsidTr="00FC565C">
        <w:trPr>
          <w:cantSplit/>
          <w:trHeight w:val="64"/>
        </w:trPr>
        <w:tc>
          <w:tcPr>
            <w:tcW w:w="3060" w:type="dxa"/>
          </w:tcPr>
          <w:p w14:paraId="02D6F367" w14:textId="68DD33F5"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Refrigerated Warehouses</w:t>
            </w:r>
          </w:p>
        </w:tc>
        <w:tc>
          <w:tcPr>
            <w:tcW w:w="3060" w:type="dxa"/>
            <w:tcBorders>
              <w:top w:val="nil"/>
              <w:bottom w:val="nil"/>
            </w:tcBorders>
          </w:tcPr>
          <w:p w14:paraId="0B44609B"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c>
          <w:tcPr>
            <w:tcW w:w="3420" w:type="dxa"/>
            <w:tcBorders>
              <w:top w:val="nil"/>
              <w:bottom w:val="nil"/>
            </w:tcBorders>
          </w:tcPr>
          <w:p w14:paraId="593AD7E7"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r>
      <w:tr w:rsidR="00CC00E6" w:rsidRPr="002077AC" w14:paraId="11569734" w14:textId="77777777" w:rsidTr="00FC565C">
        <w:trPr>
          <w:cantSplit/>
          <w:trHeight w:val="64"/>
        </w:trPr>
        <w:tc>
          <w:tcPr>
            <w:tcW w:w="3060" w:type="dxa"/>
          </w:tcPr>
          <w:p w14:paraId="5E4EA98E" w14:textId="091F2EC6"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Restaurants</w:t>
            </w:r>
          </w:p>
        </w:tc>
        <w:tc>
          <w:tcPr>
            <w:tcW w:w="3060" w:type="dxa"/>
            <w:tcBorders>
              <w:top w:val="nil"/>
              <w:bottom w:val="nil"/>
            </w:tcBorders>
          </w:tcPr>
          <w:p w14:paraId="0ACB9C88"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c>
          <w:tcPr>
            <w:tcW w:w="3420" w:type="dxa"/>
            <w:tcBorders>
              <w:top w:val="nil"/>
              <w:bottom w:val="nil"/>
            </w:tcBorders>
          </w:tcPr>
          <w:p w14:paraId="4040CF1E"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r>
      <w:tr w:rsidR="00CC00E6" w:rsidRPr="002077AC" w14:paraId="7B075024" w14:textId="77777777" w:rsidTr="00FC565C">
        <w:trPr>
          <w:cantSplit/>
          <w:trHeight w:val="64"/>
        </w:trPr>
        <w:tc>
          <w:tcPr>
            <w:tcW w:w="3060" w:type="dxa"/>
          </w:tcPr>
          <w:p w14:paraId="1E762675" w14:textId="0C522392" w:rsidR="00CC00E6" w:rsidRPr="002077AC" w:rsidRDefault="00CC00E6" w:rsidP="00792EC9">
            <w:pPr>
              <w:pStyle w:val="TableText"/>
              <w:cnfStyle w:val="000000010000" w:firstRow="0" w:lastRow="0" w:firstColumn="0" w:lastColumn="0" w:oddVBand="0" w:evenVBand="0" w:oddHBand="0" w:evenHBand="1" w:firstRowFirstColumn="0" w:firstRowLastColumn="0" w:lastRowFirstColumn="0" w:lastRowLastColumn="0"/>
              <w:rPr>
                <w:b/>
                <w:bCs/>
              </w:rPr>
            </w:pPr>
            <w:r w:rsidRPr="002077AC">
              <w:t>Retail</w:t>
            </w:r>
          </w:p>
        </w:tc>
        <w:tc>
          <w:tcPr>
            <w:tcW w:w="3060" w:type="dxa"/>
            <w:tcBorders>
              <w:top w:val="nil"/>
              <w:bottom w:val="nil"/>
            </w:tcBorders>
          </w:tcPr>
          <w:p w14:paraId="35AE1BAA"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c>
          <w:tcPr>
            <w:tcW w:w="3420" w:type="dxa"/>
            <w:tcBorders>
              <w:top w:val="nil"/>
              <w:bottom w:val="nil"/>
            </w:tcBorders>
          </w:tcPr>
          <w:p w14:paraId="73681555" w14:textId="77777777" w:rsidR="00CC00E6" w:rsidRPr="002077AC" w:rsidRDefault="00CC00E6" w:rsidP="00CC00E6">
            <w:pPr>
              <w:pStyle w:val="TableText"/>
              <w:cnfStyle w:val="000000010000" w:firstRow="0" w:lastRow="0" w:firstColumn="0" w:lastColumn="0" w:oddVBand="0" w:evenVBand="0" w:oddHBand="0" w:evenHBand="1" w:firstRowFirstColumn="0" w:firstRowLastColumn="0" w:lastRowFirstColumn="0" w:lastRowLastColumn="0"/>
            </w:pPr>
          </w:p>
        </w:tc>
      </w:tr>
      <w:tr w:rsidR="00CC00E6" w:rsidRPr="002077AC" w14:paraId="59307F3B" w14:textId="77777777" w:rsidTr="00FC565C">
        <w:trPr>
          <w:cantSplit/>
          <w:trHeight w:val="64"/>
        </w:trPr>
        <w:tc>
          <w:tcPr>
            <w:tcW w:w="3060" w:type="dxa"/>
          </w:tcPr>
          <w:p w14:paraId="6E08D04D" w14:textId="462B5003" w:rsidR="00CC00E6" w:rsidRPr="002077AC" w:rsidRDefault="00CC00E6" w:rsidP="00792EC9">
            <w:pPr>
              <w:pStyle w:val="TableText"/>
              <w:cnfStyle w:val="000000100000" w:firstRow="0" w:lastRow="0" w:firstColumn="0" w:lastColumn="0" w:oddVBand="0" w:evenVBand="0" w:oddHBand="1" w:evenHBand="0" w:firstRowFirstColumn="0" w:firstRowLastColumn="0" w:lastRowFirstColumn="0" w:lastRowLastColumn="0"/>
              <w:rPr>
                <w:b/>
                <w:bCs/>
              </w:rPr>
            </w:pPr>
            <w:r w:rsidRPr="002077AC">
              <w:t>Schools</w:t>
            </w:r>
          </w:p>
        </w:tc>
        <w:tc>
          <w:tcPr>
            <w:tcW w:w="3060" w:type="dxa"/>
            <w:tcBorders>
              <w:top w:val="nil"/>
              <w:bottom w:val="nil"/>
            </w:tcBorders>
          </w:tcPr>
          <w:p w14:paraId="632C056B"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c>
          <w:tcPr>
            <w:tcW w:w="3420" w:type="dxa"/>
            <w:tcBorders>
              <w:top w:val="nil"/>
              <w:bottom w:val="nil"/>
            </w:tcBorders>
          </w:tcPr>
          <w:p w14:paraId="2AD8C5FF" w14:textId="77777777" w:rsidR="00CC00E6" w:rsidRPr="002077AC" w:rsidRDefault="00CC00E6" w:rsidP="00CC00E6">
            <w:pPr>
              <w:pStyle w:val="TableText"/>
              <w:cnfStyle w:val="000000100000" w:firstRow="0" w:lastRow="0" w:firstColumn="0" w:lastColumn="0" w:oddVBand="0" w:evenVBand="0" w:oddHBand="1" w:evenHBand="0" w:firstRowFirstColumn="0" w:firstRowLastColumn="0" w:lastRowFirstColumn="0" w:lastRowLastColumn="0"/>
            </w:pPr>
          </w:p>
        </w:tc>
      </w:tr>
    </w:tbl>
    <w:p w14:paraId="324D1F86" w14:textId="77777777" w:rsidR="00CC00E6" w:rsidRDefault="00CC00E6" w:rsidP="00CC00E6">
      <w:pPr>
        <w:pStyle w:val="BodyText"/>
      </w:pPr>
    </w:p>
    <w:p w14:paraId="67E80D37" w14:textId="211C2B57" w:rsidR="0078034B" w:rsidRDefault="0078034B" w:rsidP="00834753">
      <w:pPr>
        <w:pStyle w:val="Heading1"/>
      </w:pPr>
      <w:bookmarkStart w:id="43" w:name="_Ref197944867"/>
      <w:bookmarkStart w:id="44" w:name="_Toc213837954"/>
      <w:r>
        <w:t>Residential Decommissioning Readiness Index</w:t>
      </w:r>
      <w:bookmarkEnd w:id="43"/>
      <w:bookmarkEnd w:id="44"/>
    </w:p>
    <w:p w14:paraId="29D29EE3" w14:textId="77777777" w:rsidR="001C7AC7" w:rsidRDefault="001C7AC7" w:rsidP="00834753">
      <w:pPr>
        <w:pStyle w:val="Heading2"/>
      </w:pPr>
      <w:bookmarkStart w:id="45" w:name="_Toc213837955"/>
      <w:r>
        <w:t>Overview</w:t>
      </w:r>
      <w:bookmarkEnd w:id="45"/>
    </w:p>
    <w:p w14:paraId="42994F7D" w14:textId="6AECE670" w:rsidR="0074762D" w:rsidRDefault="0074762D" w:rsidP="0074762D">
      <w:pPr>
        <w:pStyle w:val="BodyText"/>
      </w:pPr>
      <w:r>
        <w:t xml:space="preserve">The </w:t>
      </w:r>
      <w:r w:rsidR="0037474B">
        <w:t>Residential Decommissioning Readiness Index</w:t>
      </w:r>
      <w:r>
        <w:t xml:space="preserve"> represents the relative feasibility </w:t>
      </w:r>
      <w:r w:rsidR="00506858">
        <w:t>for different</w:t>
      </w:r>
      <w:r>
        <w:t xml:space="preserve"> groups of residential customers </w:t>
      </w:r>
      <w:r w:rsidR="43801988">
        <w:t xml:space="preserve">to </w:t>
      </w:r>
      <w:r>
        <w:t xml:space="preserve">be able to disconnect from gas service. The index's various sub-components are based upon a collection of variables which are known to be correlated with barriers to the adoption of gas substitute technologies (primarily electric), including the integration of those technologies into the electrical and mechanical systems of existing buildings. </w:t>
      </w:r>
    </w:p>
    <w:p w14:paraId="292ED08A" w14:textId="77777777" w:rsidR="0074762D" w:rsidRDefault="0074762D" w:rsidP="0074762D">
      <w:pPr>
        <w:pStyle w:val="BodyText"/>
      </w:pPr>
      <w:r>
        <w:t>Fundamentally, the residential gas decommissioning index seeks to quantify:</w:t>
      </w:r>
    </w:p>
    <w:p w14:paraId="40DC947F" w14:textId="1FB18E24" w:rsidR="0074762D" w:rsidRDefault="0074762D" w:rsidP="0074762D">
      <w:pPr>
        <w:pStyle w:val="Bullet1"/>
      </w:pPr>
      <w:r>
        <w:t>The relative dependence of residential customers on gas as a primary fuel source as well as metrics related to the intensity and overall magnitude of total site energy use (gas + electricity)</w:t>
      </w:r>
    </w:p>
    <w:p w14:paraId="6939B3D6" w14:textId="79A6BA77" w:rsidR="0074762D" w:rsidRDefault="0074762D" w:rsidP="0074762D">
      <w:pPr>
        <w:pStyle w:val="Bullet1"/>
      </w:pPr>
      <w:r>
        <w:t xml:space="preserve">Socio-economic factors that are likely to </w:t>
      </w:r>
      <w:r w:rsidR="00427A80">
        <w:t>affect</w:t>
      </w:r>
      <w:r>
        <w:t xml:space="preserve"> a household's capacity to independently support the financial and logistical burdens associated with purchasing and installing gas substitute technologies </w:t>
      </w:r>
    </w:p>
    <w:p w14:paraId="22636CE2" w14:textId="0C4C5AB3" w:rsidR="00EB75DA" w:rsidRDefault="0074762D" w:rsidP="007025F4">
      <w:pPr>
        <w:pStyle w:val="Bullet1Last"/>
      </w:pPr>
      <w:r>
        <w:t>Constraints related to the age and physical condition of the existing building stock that are likely to increase gas substitute technology integration challenges</w:t>
      </w:r>
    </w:p>
    <w:p w14:paraId="25B5A5EB" w14:textId="7E5EDB7C" w:rsidR="001C7AC7" w:rsidRDefault="001C7AC7" w:rsidP="00834753">
      <w:pPr>
        <w:pStyle w:val="Heading2"/>
      </w:pPr>
      <w:bookmarkStart w:id="46" w:name="_Toc213837956"/>
      <w:r>
        <w:t>Methodology</w:t>
      </w:r>
      <w:bookmarkEnd w:id="46"/>
    </w:p>
    <w:p w14:paraId="2929850C" w14:textId="768CA5F5" w:rsidR="00865DA1" w:rsidRDefault="00865DA1" w:rsidP="00865DA1">
      <w:pPr>
        <w:pStyle w:val="Heading3"/>
      </w:pPr>
      <w:r>
        <w:t>Rationale</w:t>
      </w:r>
    </w:p>
    <w:p w14:paraId="6B387570" w14:textId="77777777" w:rsidR="0040434A" w:rsidRDefault="0040434A" w:rsidP="0040434A">
      <w:pPr>
        <w:pStyle w:val="BodyText"/>
      </w:pPr>
      <w:r>
        <w:t xml:space="preserve">When it comes to the potential for residential gas customers to participate in a gas distribution system decommissioning project, we expect that the primary barriers will be different from those facing non-residential customers, as there are already a wide range of commercially available alternative fuel end-use equipment that can immediately be used as substitutes for all existing domestic gas end-uses. </w:t>
      </w:r>
    </w:p>
    <w:p w14:paraId="48F0B2ED" w14:textId="2E09D667" w:rsidR="003E5DC7" w:rsidRDefault="0040434A" w:rsidP="003E5DC7">
      <w:pPr>
        <w:pStyle w:val="BodyText"/>
      </w:pPr>
      <w:r>
        <w:t>The majority of these existing residential gas-substitute equipment offerings make use of electricity as their primary fuel carrier. In many cases, this is because modern heat pump technologies are ideally suited to efficiently deliver the relatively modest temperatures and pressures that are required for domestic end-use energy services. As a result of this current market landscape, it is worth noting that a significant focus area of the methodology which we have devised for quantifying residential sector decommissioning readiness is oriented around the assessment of different barriers to residential end-use electrification which have previously been identified, both by members of this project team, as well as by other studies.</w:t>
      </w:r>
    </w:p>
    <w:p w14:paraId="35A8D1AA" w14:textId="318657B9" w:rsidR="0068478E" w:rsidRDefault="0068478E" w:rsidP="0068478E">
      <w:pPr>
        <w:pStyle w:val="Heading3"/>
      </w:pPr>
      <w:r>
        <w:t>Approach</w:t>
      </w:r>
    </w:p>
    <w:p w14:paraId="2E554DA0" w14:textId="1D396694" w:rsidR="008909D2" w:rsidRDefault="008909D2" w:rsidP="008909D2">
      <w:pPr>
        <w:pStyle w:val="BodyText"/>
      </w:pPr>
      <w:r>
        <w:t xml:space="preserve">Our approach to the development of Residential Decommissioning Readiness </w:t>
      </w:r>
      <w:r w:rsidR="0060247F">
        <w:t xml:space="preserve">Index </w:t>
      </w:r>
      <w:r>
        <w:t>involves the creation of three sub-indices. Each of these reflect a separate set of challenges or considerations that are distinct from the technological maturity of gas-substitute appliance or equipment offerings. These sub-indices include relevant information about (1) the physical condition of the residential housing stock within each census tract as pertains to the needs of electric appliance integration, (2) the degree to which residential households may or may not have the financial resources necessary to support the early retirement of existing installed gas appliances and their replacement with new substitute equipment, and (3) the degree to which residential customers are currently dependent upon gas for the provisioning of the full suite of end-use energy services that they consume.</w:t>
      </w:r>
      <w:r w:rsidR="004B3CC9">
        <w:t xml:space="preserve"> </w:t>
      </w:r>
    </w:p>
    <w:p w14:paraId="2E7863AD" w14:textId="61FEC2F4" w:rsidR="00EB75DA" w:rsidRDefault="008909D2" w:rsidP="00EB75DA">
      <w:pPr>
        <w:pStyle w:val="BodyText"/>
      </w:pPr>
      <w:r>
        <w:t>The underlying variables which have been assembled to create the three residential gas decommissioning sub-indices are drawn from a combination of public and private sources. The main source of public data is the 2022 American Community Survey (ACS) 5-Year estimates census tract attributes related to housing tenure and costs as well as the physical condition of the residential housing stock and certain classes of installed end-use energy equipment. Census data were access programmatically via a Python API. A coded list of all of the ACS attribute fields used in the analysis is provided in the relevant section below. Alternatively, the main source of private data is a large historical database of account level electricity and natural gas consumption, obtained from California's four major IOU service providers (PG&amp;E, SDG&amp;E, SCE, and SoCalGas) through a data-sharing agreement established between the UCLA team at CCSC and the CPUC's Energy Division. For the purposes of this analysis, account level consumption data for the 2020 calendar year were isolated. Account addresses were geocoded to the parcel level and linked to parcel level building attribute information compiled by county tax assessor offices. These annualized consumption data were then normalized using different parcel attributes to derived</w:t>
      </w:r>
      <w:r w:rsidR="00244F16">
        <w:t xml:space="preserve"> needed</w:t>
      </w:r>
      <w:r>
        <w:t xml:space="preserve"> fields. </w:t>
      </w:r>
      <w:r w:rsidR="008F030F" w:rsidRPr="008F030F">
        <w:t xml:space="preserve">In accordance with CPUC mandated customer usage data anonymization and aggregation guidelines, all uses of residential IOU customer usage data involved aggregations containing a minimum of 100 residential customers. In instances where this threshold could not be achieved for a given census tract, usage related attribute values were treated as NULL and then inferred based upon a geographic proximity-based imputation method which operate using the remaining available data. </w:t>
      </w:r>
      <w:r>
        <w:t>These fields were ultimately used as inputs to the Household Gas Dependence sub-index</w:t>
      </w:r>
      <w:r w:rsidR="00E64BB1">
        <w:t xml:space="preserve"> in the Tool</w:t>
      </w:r>
      <w:r>
        <w:t xml:space="preserve"> as described in the following</w:t>
      </w:r>
      <w:r w:rsidR="0089321A">
        <w:t xml:space="preserve"> section</w:t>
      </w:r>
      <w:r>
        <w:t>.</w:t>
      </w:r>
    </w:p>
    <w:p w14:paraId="561F2C89" w14:textId="068AB736" w:rsidR="000E2861" w:rsidRDefault="00D204B7" w:rsidP="00834753">
      <w:pPr>
        <w:pStyle w:val="Heading2"/>
      </w:pPr>
      <w:bookmarkStart w:id="47" w:name="_Toc213837957"/>
      <w:r>
        <w:t xml:space="preserve">Data Resources and </w:t>
      </w:r>
      <w:r w:rsidR="000E2861">
        <w:t>Sub-Index Detail</w:t>
      </w:r>
      <w:bookmarkEnd w:id="47"/>
    </w:p>
    <w:p w14:paraId="26E56A9E" w14:textId="6BDEB2DE" w:rsidR="002D025D" w:rsidRPr="00D21BEE" w:rsidRDefault="002D025D">
      <w:pPr>
        <w:pStyle w:val="BodyText"/>
      </w:pPr>
      <w:r>
        <w:t xml:space="preserve">The secondary metrics (sub-indices) and primary metrics (variables) for the Residential Decommissioning Readiness Index are shown in </w:t>
      </w:r>
      <w:r>
        <w:fldChar w:fldCharType="begin"/>
      </w:r>
      <w:r>
        <w:instrText xml:space="preserve"> REF _Ref200527903 \h </w:instrText>
      </w:r>
      <w:r>
        <w:fldChar w:fldCharType="separate"/>
      </w:r>
      <w:r w:rsidR="00D66740">
        <w:t xml:space="preserve">Table </w:t>
      </w:r>
      <w:r w:rsidR="00D66740">
        <w:rPr>
          <w:noProof/>
        </w:rPr>
        <w:t>6</w:t>
      </w:r>
      <w:r w:rsidR="00D66740">
        <w:noBreakHyphen/>
      </w:r>
      <w:r w:rsidR="00D66740">
        <w:rPr>
          <w:noProof/>
        </w:rPr>
        <w:t>1</w:t>
      </w:r>
      <w:r>
        <w:fldChar w:fldCharType="end"/>
      </w:r>
      <w:r>
        <w:t xml:space="preserve"> below. Variable descriptions are included below the table.</w:t>
      </w:r>
    </w:p>
    <w:p w14:paraId="4A37F71B" w14:textId="366F7CF6" w:rsidR="002D025D" w:rsidRDefault="002D025D" w:rsidP="00B64688">
      <w:pPr>
        <w:pStyle w:val="FigureTitle"/>
      </w:pPr>
      <w:bookmarkStart w:id="48" w:name="_Ref200527903"/>
      <w:bookmarkStart w:id="49" w:name="_Toc213837968"/>
      <w:r>
        <w:t xml:space="preserve">Table </w:t>
      </w:r>
      <w:r>
        <w:fldChar w:fldCharType="begin"/>
      </w:r>
      <w:r>
        <w:instrText xml:space="preserve"> STYLEREF 1 \s </w:instrText>
      </w:r>
      <w:r>
        <w:fldChar w:fldCharType="separate"/>
      </w:r>
      <w:r w:rsidR="00D66740">
        <w:rPr>
          <w:noProof/>
        </w:rPr>
        <w:t>6</w:t>
      </w:r>
      <w:r>
        <w:fldChar w:fldCharType="end"/>
      </w:r>
      <w:r>
        <w:noBreakHyphen/>
      </w:r>
      <w:r>
        <w:fldChar w:fldCharType="begin"/>
      </w:r>
      <w:r>
        <w:instrText xml:space="preserve"> SEQ Table \* ARABIC \s 1 </w:instrText>
      </w:r>
      <w:r>
        <w:fldChar w:fldCharType="separate"/>
      </w:r>
      <w:r w:rsidR="00D66740">
        <w:rPr>
          <w:noProof/>
        </w:rPr>
        <w:t>1</w:t>
      </w:r>
      <w:r>
        <w:fldChar w:fldCharType="end"/>
      </w:r>
      <w:bookmarkEnd w:id="48"/>
      <w:r>
        <w:t>. Variables to Sub-Indices</w:t>
      </w:r>
      <w:r w:rsidRPr="00B27C50">
        <w:t xml:space="preserve"> for the Residential Readiness </w:t>
      </w:r>
      <w:r>
        <w:t xml:space="preserve">Decommissioning </w:t>
      </w:r>
      <w:r w:rsidRPr="00B27C50">
        <w:t>Index</w:t>
      </w:r>
      <w:bookmarkEnd w:id="49"/>
    </w:p>
    <w:tbl>
      <w:tblPr>
        <w:tblStyle w:val="DNV"/>
        <w:tblW w:w="9900" w:type="dxa"/>
        <w:tblLook w:val="04A0" w:firstRow="1" w:lastRow="0" w:firstColumn="1" w:lastColumn="0" w:noHBand="0" w:noVBand="1"/>
      </w:tblPr>
      <w:tblGrid>
        <w:gridCol w:w="2790"/>
        <w:gridCol w:w="4770"/>
        <w:gridCol w:w="2340"/>
      </w:tblGrid>
      <w:tr w:rsidR="000D10FB" w14:paraId="5ADC7F00" w14:textId="77777777" w:rsidTr="00E51BBF">
        <w:trPr>
          <w:cantSplit/>
          <w:tblHeader/>
        </w:trPr>
        <w:tc>
          <w:tcPr>
            <w:tcW w:w="2790" w:type="dxa"/>
          </w:tcPr>
          <w:p w14:paraId="6C6DC814" w14:textId="4AFBBFA1" w:rsidR="000D10FB" w:rsidRDefault="000D10FB" w:rsidP="00606AE6">
            <w:pPr>
              <w:pStyle w:val="TableHeader"/>
              <w:cnfStyle w:val="100000000000" w:firstRow="1" w:lastRow="0" w:firstColumn="0" w:lastColumn="0" w:oddVBand="0" w:evenVBand="0" w:oddHBand="0" w:evenHBand="0" w:firstRowFirstColumn="0" w:firstRowLastColumn="0" w:lastRowFirstColumn="0" w:lastRowLastColumn="0"/>
            </w:pPr>
            <w:r w:rsidRPr="00105122">
              <w:rPr>
                <w:b/>
              </w:rPr>
              <w:t>Secondary Metric (Sub-Index)</w:t>
            </w:r>
          </w:p>
        </w:tc>
        <w:tc>
          <w:tcPr>
            <w:tcW w:w="4770" w:type="dxa"/>
          </w:tcPr>
          <w:p w14:paraId="4AA18B72" w14:textId="36F36785" w:rsidR="000D10FB" w:rsidRDefault="000D10FB" w:rsidP="00606AE6">
            <w:pPr>
              <w:pStyle w:val="TableHeader"/>
              <w:cnfStyle w:val="100000000000" w:firstRow="1" w:lastRow="0" w:firstColumn="0" w:lastColumn="0" w:oddVBand="0" w:evenVBand="0" w:oddHBand="0" w:evenHBand="0" w:firstRowFirstColumn="0" w:firstRowLastColumn="0" w:lastRowFirstColumn="0" w:lastRowLastColumn="0"/>
            </w:pPr>
            <w:r w:rsidRPr="00105122">
              <w:rPr>
                <w:b/>
              </w:rPr>
              <w:t>Primary Metric (Variable)</w:t>
            </w:r>
          </w:p>
        </w:tc>
        <w:tc>
          <w:tcPr>
            <w:tcW w:w="2340" w:type="dxa"/>
          </w:tcPr>
          <w:p w14:paraId="7710CEDA" w14:textId="32D71F9A" w:rsidR="000D10FB" w:rsidRDefault="000D10FB" w:rsidP="00606AE6">
            <w:pPr>
              <w:pStyle w:val="TableHeader"/>
              <w:cnfStyle w:val="100000000000" w:firstRow="1" w:lastRow="0" w:firstColumn="0" w:lastColumn="0" w:oddVBand="0" w:evenVBand="0" w:oddHBand="0" w:evenHBand="0" w:firstRowFirstColumn="0" w:firstRowLastColumn="0" w:lastRowFirstColumn="0" w:lastRowLastColumn="0"/>
            </w:pPr>
            <w:r w:rsidRPr="00105122">
              <w:rPr>
                <w:b/>
              </w:rPr>
              <w:t>Data Source</w:t>
            </w:r>
          </w:p>
        </w:tc>
      </w:tr>
      <w:tr w:rsidR="00557759" w14:paraId="3DB322CC" w14:textId="77777777" w:rsidTr="00E51BBF">
        <w:trPr>
          <w:trHeight w:val="662"/>
        </w:trPr>
        <w:tc>
          <w:tcPr>
            <w:tcW w:w="2790" w:type="dxa"/>
          </w:tcPr>
          <w:p w14:paraId="5800FBF0" w14:textId="0BE88DB9" w:rsidR="00557759" w:rsidRPr="004D715A" w:rsidRDefault="00557759" w:rsidP="004D715A">
            <w:pPr>
              <w:pStyle w:val="TableText"/>
              <w:cnfStyle w:val="000000100000" w:firstRow="0" w:lastRow="0" w:firstColumn="0" w:lastColumn="0" w:oddVBand="0" w:evenVBand="0" w:oddHBand="1" w:evenHBand="0" w:firstRowFirstColumn="0" w:firstRowLastColumn="0" w:lastRowFirstColumn="0" w:lastRowLastColumn="0"/>
              <w:rPr>
                <w:b/>
                <w:bCs/>
              </w:rPr>
            </w:pPr>
            <w:r w:rsidRPr="004D715A">
              <w:rPr>
                <w:b/>
                <w:bCs/>
              </w:rPr>
              <w:t>Housing Stock Condition</w:t>
            </w:r>
          </w:p>
        </w:tc>
        <w:tc>
          <w:tcPr>
            <w:tcW w:w="4770" w:type="dxa"/>
          </w:tcPr>
          <w:p w14:paraId="38CE1754" w14:textId="6A6F648A"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30283E">
              <w:t>Percentage of total housing units that are in 4+ unit multi-family buildings</w:t>
            </w:r>
          </w:p>
        </w:tc>
        <w:tc>
          <w:tcPr>
            <w:tcW w:w="2340" w:type="dxa"/>
          </w:tcPr>
          <w:p w14:paraId="255B615E" w14:textId="1836CF90"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920DCF">
              <w:t>ACS 5-Year 2018-2022</w:t>
            </w:r>
          </w:p>
        </w:tc>
      </w:tr>
      <w:tr w:rsidR="00557759" w14:paraId="6BE8DBF3" w14:textId="77777777" w:rsidTr="00E51BBF">
        <w:trPr>
          <w:trHeight w:val="662"/>
        </w:trPr>
        <w:tc>
          <w:tcPr>
            <w:tcW w:w="2790" w:type="dxa"/>
          </w:tcPr>
          <w:p w14:paraId="1C4AC92C" w14:textId="77777777" w:rsidR="00557759" w:rsidRPr="004D715A" w:rsidRDefault="00557759" w:rsidP="004D715A">
            <w:pPr>
              <w:pStyle w:val="TableText"/>
              <w:cnfStyle w:val="000000010000" w:firstRow="0" w:lastRow="0" w:firstColumn="0" w:lastColumn="0" w:oddVBand="0" w:evenVBand="0" w:oddHBand="0" w:evenHBand="1" w:firstRowFirstColumn="0" w:firstRowLastColumn="0" w:lastRowFirstColumn="0" w:lastRowLastColumn="0"/>
              <w:rPr>
                <w:b/>
                <w:bCs/>
              </w:rPr>
            </w:pPr>
          </w:p>
        </w:tc>
        <w:tc>
          <w:tcPr>
            <w:tcW w:w="4770" w:type="dxa"/>
          </w:tcPr>
          <w:p w14:paraId="7C146763" w14:textId="01E418F6"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7772FA">
              <w:t>Percentage of total housing units that were built prior to 1978</w:t>
            </w:r>
          </w:p>
        </w:tc>
        <w:tc>
          <w:tcPr>
            <w:tcW w:w="2340" w:type="dxa"/>
          </w:tcPr>
          <w:p w14:paraId="67636A10" w14:textId="5D0DADEE"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r>
      <w:tr w:rsidR="00557759" w14:paraId="0011ECFA" w14:textId="77777777" w:rsidTr="00E51BBF">
        <w:trPr>
          <w:trHeight w:val="662"/>
        </w:trPr>
        <w:tc>
          <w:tcPr>
            <w:tcW w:w="2790" w:type="dxa"/>
          </w:tcPr>
          <w:p w14:paraId="5F4AE7F2" w14:textId="77777777" w:rsidR="00557759" w:rsidRPr="004D715A" w:rsidRDefault="00557759" w:rsidP="004D715A">
            <w:pPr>
              <w:pStyle w:val="TableText"/>
              <w:cnfStyle w:val="000000100000" w:firstRow="0" w:lastRow="0" w:firstColumn="0" w:lastColumn="0" w:oddVBand="0" w:evenVBand="0" w:oddHBand="1" w:evenHBand="0" w:firstRowFirstColumn="0" w:firstRowLastColumn="0" w:lastRowFirstColumn="0" w:lastRowLastColumn="0"/>
              <w:rPr>
                <w:b/>
                <w:bCs/>
              </w:rPr>
            </w:pPr>
          </w:p>
        </w:tc>
        <w:tc>
          <w:tcPr>
            <w:tcW w:w="4770" w:type="dxa"/>
          </w:tcPr>
          <w:p w14:paraId="57B113B1" w14:textId="269E49D2"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CF0148">
              <w:t>Median home value</w:t>
            </w:r>
          </w:p>
        </w:tc>
        <w:tc>
          <w:tcPr>
            <w:tcW w:w="2340" w:type="dxa"/>
          </w:tcPr>
          <w:p w14:paraId="14724D73" w14:textId="7BFCAF5D"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28E77463" w14:textId="77777777" w:rsidTr="00E51BBF">
        <w:trPr>
          <w:trHeight w:val="662"/>
        </w:trPr>
        <w:tc>
          <w:tcPr>
            <w:tcW w:w="2790" w:type="dxa"/>
            <w:shd w:val="clear" w:color="auto" w:fill="auto"/>
          </w:tcPr>
          <w:p w14:paraId="4ABCEF23" w14:textId="5BCE2CF0" w:rsidR="00557759" w:rsidRPr="004D715A" w:rsidRDefault="00557759" w:rsidP="004D715A">
            <w:pPr>
              <w:pStyle w:val="TableText"/>
              <w:cnfStyle w:val="000000010000" w:firstRow="0" w:lastRow="0" w:firstColumn="0" w:lastColumn="0" w:oddVBand="0" w:evenVBand="0" w:oddHBand="0" w:evenHBand="1" w:firstRowFirstColumn="0" w:firstRowLastColumn="0" w:lastRowFirstColumn="0" w:lastRowLastColumn="0"/>
              <w:rPr>
                <w:b/>
                <w:bCs/>
              </w:rPr>
            </w:pPr>
            <w:r w:rsidRPr="004D715A">
              <w:rPr>
                <w:b/>
                <w:bCs/>
              </w:rPr>
              <w:t>Household Financial Stability</w:t>
            </w:r>
          </w:p>
        </w:tc>
        <w:tc>
          <w:tcPr>
            <w:tcW w:w="4770" w:type="dxa"/>
            <w:shd w:val="clear" w:color="auto" w:fill="auto"/>
          </w:tcPr>
          <w:p w14:paraId="4D2EF406" w14:textId="5C668E24"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6167C9">
              <w:t>Median household income</w:t>
            </w:r>
          </w:p>
        </w:tc>
        <w:tc>
          <w:tcPr>
            <w:tcW w:w="2340" w:type="dxa"/>
            <w:shd w:val="clear" w:color="auto" w:fill="auto"/>
          </w:tcPr>
          <w:p w14:paraId="47A53B79" w14:textId="7C0DC43E"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920DCF">
              <w:t>ACS 5-Year 2018-2022</w:t>
            </w:r>
          </w:p>
        </w:tc>
      </w:tr>
      <w:tr w:rsidR="00557759" w14:paraId="57950433" w14:textId="77777777" w:rsidTr="00E51BBF">
        <w:trPr>
          <w:trHeight w:val="662"/>
        </w:trPr>
        <w:tc>
          <w:tcPr>
            <w:tcW w:w="2790" w:type="dxa"/>
            <w:shd w:val="clear" w:color="auto" w:fill="auto"/>
          </w:tcPr>
          <w:p w14:paraId="45E76BAD" w14:textId="77777777" w:rsidR="00557759" w:rsidRPr="004D715A" w:rsidRDefault="00557759" w:rsidP="004D715A">
            <w:pPr>
              <w:pStyle w:val="TableText"/>
              <w:cnfStyle w:val="000000100000" w:firstRow="0" w:lastRow="0" w:firstColumn="0" w:lastColumn="0" w:oddVBand="0" w:evenVBand="0" w:oddHBand="1" w:evenHBand="0" w:firstRowFirstColumn="0" w:firstRowLastColumn="0" w:lastRowFirstColumn="0" w:lastRowLastColumn="0"/>
              <w:rPr>
                <w:b/>
                <w:bCs/>
              </w:rPr>
            </w:pPr>
          </w:p>
        </w:tc>
        <w:tc>
          <w:tcPr>
            <w:tcW w:w="4770" w:type="dxa"/>
            <w:shd w:val="clear" w:color="auto" w:fill="auto"/>
          </w:tcPr>
          <w:p w14:paraId="5A1AA815" w14:textId="6DA67E3D"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6F63A8">
              <w:t>Percentage renter housing units</w:t>
            </w:r>
          </w:p>
        </w:tc>
        <w:tc>
          <w:tcPr>
            <w:tcW w:w="2340" w:type="dxa"/>
            <w:shd w:val="clear" w:color="auto" w:fill="auto"/>
          </w:tcPr>
          <w:p w14:paraId="4BAF1E78" w14:textId="26F9A40B"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119E3102" w14:textId="77777777" w:rsidTr="00E51BBF">
        <w:trPr>
          <w:trHeight w:val="662"/>
        </w:trPr>
        <w:tc>
          <w:tcPr>
            <w:tcW w:w="2790" w:type="dxa"/>
            <w:shd w:val="clear" w:color="auto" w:fill="auto"/>
          </w:tcPr>
          <w:p w14:paraId="7F685DEA" w14:textId="77777777" w:rsidR="00557759" w:rsidRPr="004D715A" w:rsidRDefault="00557759" w:rsidP="004D715A">
            <w:pPr>
              <w:pStyle w:val="TableText"/>
              <w:cnfStyle w:val="000000010000" w:firstRow="0" w:lastRow="0" w:firstColumn="0" w:lastColumn="0" w:oddVBand="0" w:evenVBand="0" w:oddHBand="0" w:evenHBand="1" w:firstRowFirstColumn="0" w:firstRowLastColumn="0" w:lastRowFirstColumn="0" w:lastRowLastColumn="0"/>
              <w:rPr>
                <w:b/>
                <w:bCs/>
              </w:rPr>
            </w:pPr>
          </w:p>
        </w:tc>
        <w:tc>
          <w:tcPr>
            <w:tcW w:w="4770" w:type="dxa"/>
            <w:shd w:val="clear" w:color="auto" w:fill="auto"/>
          </w:tcPr>
          <w:p w14:paraId="61E7E7EC" w14:textId="52B12B4C" w:rsidR="00557759" w:rsidRPr="006167C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EF0333">
              <w:t>Median gross rent as a percentage of household income</w:t>
            </w:r>
          </w:p>
        </w:tc>
        <w:tc>
          <w:tcPr>
            <w:tcW w:w="2340" w:type="dxa"/>
            <w:shd w:val="clear" w:color="auto" w:fill="auto"/>
          </w:tcPr>
          <w:p w14:paraId="18B923C6" w14:textId="46606ED9"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r>
      <w:tr w:rsidR="00557759" w14:paraId="52B3CA8F" w14:textId="77777777" w:rsidTr="00E51BBF">
        <w:trPr>
          <w:trHeight w:val="662"/>
        </w:trPr>
        <w:tc>
          <w:tcPr>
            <w:tcW w:w="2790" w:type="dxa"/>
            <w:shd w:val="clear" w:color="auto" w:fill="auto"/>
          </w:tcPr>
          <w:p w14:paraId="18107E44" w14:textId="77777777" w:rsidR="00557759" w:rsidRPr="004D715A" w:rsidRDefault="00557759" w:rsidP="004D715A">
            <w:pPr>
              <w:pStyle w:val="TableText"/>
              <w:cnfStyle w:val="000000100000" w:firstRow="0" w:lastRow="0" w:firstColumn="0" w:lastColumn="0" w:oddVBand="0" w:evenVBand="0" w:oddHBand="1" w:evenHBand="0" w:firstRowFirstColumn="0" w:firstRowLastColumn="0" w:lastRowFirstColumn="0" w:lastRowLastColumn="0"/>
              <w:rPr>
                <w:b/>
                <w:bCs/>
              </w:rPr>
            </w:pPr>
          </w:p>
        </w:tc>
        <w:tc>
          <w:tcPr>
            <w:tcW w:w="4770" w:type="dxa"/>
            <w:shd w:val="clear" w:color="auto" w:fill="auto"/>
          </w:tcPr>
          <w:p w14:paraId="4BC8BE69" w14:textId="2991C12A"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F62C0B">
              <w:t>Homeowners with mortgage housing costs that are greater than 50% of their household income</w:t>
            </w:r>
          </w:p>
        </w:tc>
        <w:tc>
          <w:tcPr>
            <w:tcW w:w="2340" w:type="dxa"/>
            <w:shd w:val="clear" w:color="auto" w:fill="auto"/>
          </w:tcPr>
          <w:p w14:paraId="6F3D9576" w14:textId="13A7F1E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105AC92B" w14:textId="77777777" w:rsidTr="00E51BBF">
        <w:trPr>
          <w:trHeight w:val="662"/>
        </w:trPr>
        <w:tc>
          <w:tcPr>
            <w:tcW w:w="2790" w:type="dxa"/>
            <w:shd w:val="clear" w:color="auto" w:fill="auto"/>
          </w:tcPr>
          <w:p w14:paraId="77F453E6" w14:textId="77777777" w:rsidR="00557759" w:rsidRPr="004D715A" w:rsidRDefault="00557759" w:rsidP="004D715A">
            <w:pPr>
              <w:pStyle w:val="TableText"/>
              <w:cnfStyle w:val="000000010000" w:firstRow="0" w:lastRow="0" w:firstColumn="0" w:lastColumn="0" w:oddVBand="0" w:evenVBand="0" w:oddHBand="0" w:evenHBand="1" w:firstRowFirstColumn="0" w:firstRowLastColumn="0" w:lastRowFirstColumn="0" w:lastRowLastColumn="0"/>
              <w:rPr>
                <w:b/>
                <w:bCs/>
              </w:rPr>
            </w:pPr>
          </w:p>
        </w:tc>
        <w:tc>
          <w:tcPr>
            <w:tcW w:w="4770" w:type="dxa"/>
            <w:shd w:val="clear" w:color="auto" w:fill="auto"/>
          </w:tcPr>
          <w:p w14:paraId="7343A86C" w14:textId="1362DA16" w:rsidR="00557759" w:rsidRPr="006167C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431A9B">
              <w:t>Homeowners without mortgage housing costs that are greater than 50% of their household income</w:t>
            </w:r>
          </w:p>
        </w:tc>
        <w:tc>
          <w:tcPr>
            <w:tcW w:w="2340" w:type="dxa"/>
            <w:shd w:val="clear" w:color="auto" w:fill="auto"/>
          </w:tcPr>
          <w:p w14:paraId="05A11978" w14:textId="554E6B5D"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r>
      <w:tr w:rsidR="00557759" w14:paraId="407880F8" w14:textId="77777777" w:rsidTr="00E51BBF">
        <w:trPr>
          <w:trHeight w:val="662"/>
        </w:trPr>
        <w:tc>
          <w:tcPr>
            <w:tcW w:w="2790" w:type="dxa"/>
            <w:shd w:val="clear" w:color="auto" w:fill="auto"/>
          </w:tcPr>
          <w:p w14:paraId="6D201973" w14:textId="77777777" w:rsidR="00557759" w:rsidRPr="004D715A" w:rsidRDefault="00557759" w:rsidP="004D715A">
            <w:pPr>
              <w:pStyle w:val="TableText"/>
              <w:cnfStyle w:val="000000100000" w:firstRow="0" w:lastRow="0" w:firstColumn="0" w:lastColumn="0" w:oddVBand="0" w:evenVBand="0" w:oddHBand="1" w:evenHBand="0" w:firstRowFirstColumn="0" w:firstRowLastColumn="0" w:lastRowFirstColumn="0" w:lastRowLastColumn="0"/>
              <w:rPr>
                <w:b/>
                <w:bCs/>
              </w:rPr>
            </w:pPr>
          </w:p>
        </w:tc>
        <w:tc>
          <w:tcPr>
            <w:tcW w:w="4770" w:type="dxa"/>
            <w:shd w:val="clear" w:color="auto" w:fill="auto"/>
          </w:tcPr>
          <w:p w14:paraId="037D45AB" w14:textId="3D29A626"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CC0B0E">
              <w:t>Renter housing costs greater than 50% of their household income</w:t>
            </w:r>
          </w:p>
        </w:tc>
        <w:tc>
          <w:tcPr>
            <w:tcW w:w="2340" w:type="dxa"/>
            <w:shd w:val="clear" w:color="auto" w:fill="auto"/>
          </w:tcPr>
          <w:p w14:paraId="77E67261" w14:textId="4DF13EB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CC0B0E" w14:paraId="106CE45B" w14:textId="77777777" w:rsidTr="00E51BBF">
        <w:trPr>
          <w:trHeight w:val="698"/>
        </w:trPr>
        <w:tc>
          <w:tcPr>
            <w:tcW w:w="2790" w:type="dxa"/>
          </w:tcPr>
          <w:p w14:paraId="56A80C08" w14:textId="4EA13C55" w:rsidR="00CC0B0E" w:rsidRPr="004D715A" w:rsidRDefault="00CC0B0E" w:rsidP="004D715A">
            <w:pPr>
              <w:pStyle w:val="TableText"/>
              <w:cnfStyle w:val="000000010000" w:firstRow="0" w:lastRow="0" w:firstColumn="0" w:lastColumn="0" w:oddVBand="0" w:evenVBand="0" w:oddHBand="0" w:evenHBand="1" w:firstRowFirstColumn="0" w:firstRowLastColumn="0" w:lastRowFirstColumn="0" w:lastRowLastColumn="0"/>
              <w:rPr>
                <w:b/>
                <w:bCs/>
              </w:rPr>
            </w:pPr>
            <w:r w:rsidRPr="004D715A">
              <w:rPr>
                <w:b/>
                <w:bCs/>
              </w:rPr>
              <w:t>Household Gas Dependence</w:t>
            </w:r>
          </w:p>
        </w:tc>
        <w:tc>
          <w:tcPr>
            <w:tcW w:w="4770" w:type="dxa"/>
          </w:tcPr>
          <w:p w14:paraId="07E27676" w14:textId="4B87B277" w:rsidR="00CC0B0E" w:rsidRPr="006167C9" w:rsidRDefault="0066532B" w:rsidP="004D715A">
            <w:pPr>
              <w:pStyle w:val="TableText"/>
              <w:cnfStyle w:val="000000010000" w:firstRow="0" w:lastRow="0" w:firstColumn="0" w:lastColumn="0" w:oddVBand="0" w:evenVBand="0" w:oddHBand="0" w:evenHBand="1" w:firstRowFirstColumn="0" w:firstRowLastColumn="0" w:lastRowFirstColumn="0" w:lastRowLastColumn="0"/>
            </w:pPr>
            <w:r w:rsidRPr="0066532B">
              <w:t>Percent of total housing units with gas heating equipment</w:t>
            </w:r>
          </w:p>
        </w:tc>
        <w:tc>
          <w:tcPr>
            <w:tcW w:w="2340" w:type="dxa"/>
          </w:tcPr>
          <w:p w14:paraId="63C47FD4" w14:textId="13210C4E" w:rsidR="00CC0B0E"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920DCF">
              <w:t>ACS 5-Year 2018-2022</w:t>
            </w:r>
          </w:p>
        </w:tc>
      </w:tr>
      <w:tr w:rsidR="00557759" w14:paraId="34462269" w14:textId="77777777" w:rsidTr="00E51BBF">
        <w:trPr>
          <w:trHeight w:val="698"/>
        </w:trPr>
        <w:tc>
          <w:tcPr>
            <w:tcW w:w="2790" w:type="dxa"/>
          </w:tcPr>
          <w:p w14:paraId="4A7E4632" w14:textId="7777777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c>
          <w:tcPr>
            <w:tcW w:w="4770" w:type="dxa"/>
          </w:tcPr>
          <w:p w14:paraId="6957C4CD" w14:textId="3D728CD4"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E5151F">
              <w:t>SF &amp; MF</w:t>
            </w:r>
            <w:r>
              <w:rPr>
                <w:rStyle w:val="FootnoteReference"/>
              </w:rPr>
              <w:footnoteReference w:id="12"/>
            </w:r>
            <w:r w:rsidRPr="00E5151F">
              <w:t xml:space="preserve"> residential parcel median annual gas consumption as a percentage of total site energy use</w:t>
            </w:r>
          </w:p>
        </w:tc>
        <w:tc>
          <w:tcPr>
            <w:tcW w:w="2340" w:type="dxa"/>
          </w:tcPr>
          <w:p w14:paraId="6725E81A" w14:textId="49F3DCCF"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4D4E7516" w14:textId="77777777" w:rsidTr="00E51BBF">
        <w:trPr>
          <w:trHeight w:val="698"/>
        </w:trPr>
        <w:tc>
          <w:tcPr>
            <w:tcW w:w="2790" w:type="dxa"/>
          </w:tcPr>
          <w:p w14:paraId="20F5C018" w14:textId="77777777"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c>
          <w:tcPr>
            <w:tcW w:w="4770" w:type="dxa"/>
          </w:tcPr>
          <w:p w14:paraId="0ED72B11" w14:textId="0FC9CA5B" w:rsidR="00557759" w:rsidRPr="006167C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E5151F">
              <w:t>SF &amp; MF residential parcel median annual gas consumption in therms</w:t>
            </w:r>
          </w:p>
        </w:tc>
        <w:tc>
          <w:tcPr>
            <w:tcW w:w="2340" w:type="dxa"/>
          </w:tcPr>
          <w:p w14:paraId="6F9BF68D" w14:textId="4A08E489"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r>
      <w:tr w:rsidR="00557759" w14:paraId="145D2137" w14:textId="77777777" w:rsidTr="00E51BBF">
        <w:trPr>
          <w:trHeight w:val="698"/>
        </w:trPr>
        <w:tc>
          <w:tcPr>
            <w:tcW w:w="2790" w:type="dxa"/>
          </w:tcPr>
          <w:p w14:paraId="4C26C84A" w14:textId="7777777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c>
          <w:tcPr>
            <w:tcW w:w="4770" w:type="dxa"/>
          </w:tcPr>
          <w:p w14:paraId="06DEA0E5" w14:textId="182DCD46"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E5151F">
              <w:t>SF &amp; MF residential parcel median annual gas consumption per square foot of built area</w:t>
            </w:r>
          </w:p>
        </w:tc>
        <w:tc>
          <w:tcPr>
            <w:tcW w:w="2340" w:type="dxa"/>
            <w:tcBorders>
              <w:bottom w:val="single" w:sz="4" w:space="0" w:color="auto"/>
            </w:tcBorders>
          </w:tcPr>
          <w:p w14:paraId="25CF14C9" w14:textId="35C499AD"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039F52D8" w14:textId="77777777" w:rsidTr="00E51BBF">
        <w:trPr>
          <w:trHeight w:val="698"/>
        </w:trPr>
        <w:tc>
          <w:tcPr>
            <w:tcW w:w="2790" w:type="dxa"/>
          </w:tcPr>
          <w:p w14:paraId="32164ADE" w14:textId="77777777"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c>
          <w:tcPr>
            <w:tcW w:w="4770" w:type="dxa"/>
          </w:tcPr>
          <w:p w14:paraId="1C42EF7B" w14:textId="22E01D44" w:rsidR="00557759" w:rsidRPr="006167C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ED5502">
              <w:t>SF &amp; MF residential parcel median annual electricity consumption in kilowatt-hours</w:t>
            </w:r>
          </w:p>
        </w:tc>
        <w:tc>
          <w:tcPr>
            <w:tcW w:w="2340" w:type="dxa"/>
            <w:tcBorders>
              <w:top w:val="single" w:sz="4" w:space="0" w:color="auto"/>
            </w:tcBorders>
          </w:tcPr>
          <w:p w14:paraId="4EEA0A70" w14:textId="2B6ADE85" w:rsidR="00557759" w:rsidRDefault="00E51BBF" w:rsidP="004D715A">
            <w:pPr>
              <w:pStyle w:val="TableText"/>
              <w:cnfStyle w:val="000000010000" w:firstRow="0" w:lastRow="0" w:firstColumn="0" w:lastColumn="0" w:oddVBand="0" w:evenVBand="0" w:oddHBand="0" w:evenHBand="1" w:firstRowFirstColumn="0" w:firstRowLastColumn="0" w:lastRowFirstColumn="0" w:lastRowLastColumn="0"/>
            </w:pPr>
            <w:r w:rsidRPr="00557759">
              <w:t>CPUC Data / anonymized, aggregated, and imputed</w:t>
            </w:r>
          </w:p>
        </w:tc>
      </w:tr>
      <w:tr w:rsidR="00557759" w14:paraId="01C46CED" w14:textId="77777777" w:rsidTr="00E51BBF">
        <w:trPr>
          <w:trHeight w:val="698"/>
        </w:trPr>
        <w:tc>
          <w:tcPr>
            <w:tcW w:w="2790" w:type="dxa"/>
          </w:tcPr>
          <w:p w14:paraId="683EFC85" w14:textId="7777777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c>
          <w:tcPr>
            <w:tcW w:w="4770" w:type="dxa"/>
          </w:tcPr>
          <w:p w14:paraId="536A57D3" w14:textId="2C9D00C6"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ED5502">
              <w:t>SF &amp; MF residential parcel median annual electricity consumption per square foot of built area</w:t>
            </w:r>
          </w:p>
        </w:tc>
        <w:tc>
          <w:tcPr>
            <w:tcW w:w="2340" w:type="dxa"/>
          </w:tcPr>
          <w:p w14:paraId="31B82DDE" w14:textId="55569308"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r w:rsidR="00557759" w14:paraId="759E2463" w14:textId="77777777" w:rsidTr="00E51BBF">
        <w:trPr>
          <w:trHeight w:val="698"/>
        </w:trPr>
        <w:tc>
          <w:tcPr>
            <w:tcW w:w="2790" w:type="dxa"/>
          </w:tcPr>
          <w:p w14:paraId="34D0184E" w14:textId="77777777"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c>
          <w:tcPr>
            <w:tcW w:w="4770" w:type="dxa"/>
          </w:tcPr>
          <w:p w14:paraId="2E413D75" w14:textId="197BEB29" w:rsidR="00557759" w:rsidRPr="006167C9" w:rsidRDefault="00557759" w:rsidP="004D715A">
            <w:pPr>
              <w:pStyle w:val="TableText"/>
              <w:cnfStyle w:val="000000010000" w:firstRow="0" w:lastRow="0" w:firstColumn="0" w:lastColumn="0" w:oddVBand="0" w:evenVBand="0" w:oddHBand="0" w:evenHBand="1" w:firstRowFirstColumn="0" w:firstRowLastColumn="0" w:lastRowFirstColumn="0" w:lastRowLastColumn="0"/>
            </w:pPr>
            <w:r w:rsidRPr="00ED5502">
              <w:t>SF &amp; MF residential total annual electricity consumption in kilowatt-hours</w:t>
            </w:r>
          </w:p>
        </w:tc>
        <w:tc>
          <w:tcPr>
            <w:tcW w:w="2340" w:type="dxa"/>
          </w:tcPr>
          <w:p w14:paraId="17DF892C" w14:textId="0AD8DF01" w:rsidR="00557759" w:rsidRDefault="00557759" w:rsidP="004D715A">
            <w:pPr>
              <w:pStyle w:val="TableText"/>
              <w:cnfStyle w:val="000000010000" w:firstRow="0" w:lastRow="0" w:firstColumn="0" w:lastColumn="0" w:oddVBand="0" w:evenVBand="0" w:oddHBand="0" w:evenHBand="1" w:firstRowFirstColumn="0" w:firstRowLastColumn="0" w:lastRowFirstColumn="0" w:lastRowLastColumn="0"/>
            </w:pPr>
          </w:p>
        </w:tc>
      </w:tr>
      <w:tr w:rsidR="00557759" w14:paraId="3B6A5488" w14:textId="77777777" w:rsidTr="00E51BBF">
        <w:trPr>
          <w:trHeight w:val="698"/>
        </w:trPr>
        <w:tc>
          <w:tcPr>
            <w:tcW w:w="2790" w:type="dxa"/>
          </w:tcPr>
          <w:p w14:paraId="55B71A57" w14:textId="77777777"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c>
          <w:tcPr>
            <w:tcW w:w="4770" w:type="dxa"/>
          </w:tcPr>
          <w:p w14:paraId="6C7A50A6" w14:textId="6B602B61" w:rsidR="00557759" w:rsidRPr="006167C9" w:rsidRDefault="00557759" w:rsidP="004D715A">
            <w:pPr>
              <w:pStyle w:val="TableText"/>
              <w:cnfStyle w:val="000000100000" w:firstRow="0" w:lastRow="0" w:firstColumn="0" w:lastColumn="0" w:oddVBand="0" w:evenVBand="0" w:oddHBand="1" w:evenHBand="0" w:firstRowFirstColumn="0" w:firstRowLastColumn="0" w:lastRowFirstColumn="0" w:lastRowLastColumn="0"/>
            </w:pPr>
            <w:r w:rsidRPr="00ED5502">
              <w:t>SF &amp; MF residential total annual gas consumption in therms</w:t>
            </w:r>
          </w:p>
        </w:tc>
        <w:tc>
          <w:tcPr>
            <w:tcW w:w="2340" w:type="dxa"/>
          </w:tcPr>
          <w:p w14:paraId="2B74D05D" w14:textId="5D00DC52" w:rsidR="00557759" w:rsidRDefault="00557759" w:rsidP="004D715A">
            <w:pPr>
              <w:pStyle w:val="TableText"/>
              <w:cnfStyle w:val="000000100000" w:firstRow="0" w:lastRow="0" w:firstColumn="0" w:lastColumn="0" w:oddVBand="0" w:evenVBand="0" w:oddHBand="1" w:evenHBand="0" w:firstRowFirstColumn="0" w:firstRowLastColumn="0" w:lastRowFirstColumn="0" w:lastRowLastColumn="0"/>
            </w:pPr>
          </w:p>
        </w:tc>
      </w:tr>
    </w:tbl>
    <w:p w14:paraId="0E8CEFE9" w14:textId="1CDAF30E" w:rsidR="008A383B" w:rsidRDefault="008A383B" w:rsidP="00B64688">
      <w:pPr>
        <w:pStyle w:val="BodyText"/>
        <w:keepNext/>
        <w:keepLines/>
        <w:spacing w:before="240"/>
      </w:pPr>
      <w:r>
        <w:t xml:space="preserve">Variable descriptions for the </w:t>
      </w:r>
      <w:r w:rsidRPr="00A61A30">
        <w:t xml:space="preserve">Residential Readiness Decommissioning </w:t>
      </w:r>
      <w:r>
        <w:t>Index include:</w:t>
      </w:r>
    </w:p>
    <w:p w14:paraId="55E4FDA5" w14:textId="46BF41F7" w:rsidR="00ED5502" w:rsidRDefault="00ED5502" w:rsidP="00B64688">
      <w:pPr>
        <w:pStyle w:val="Bullet1"/>
        <w:keepNext/>
        <w:keepLines/>
      </w:pPr>
      <w:r w:rsidRPr="004D715A">
        <w:rPr>
          <w:b/>
          <w:bCs/>
        </w:rPr>
        <w:t>Percentage of total housing units that are in 4+ unit multi-family buildings:</w:t>
      </w:r>
      <w:r>
        <w:t xml:space="preserve"> </w:t>
      </w:r>
      <w:r w:rsidR="00F83865" w:rsidRPr="00F83865">
        <w:t>The assumption relative to this variable is that census tracts with a larger proportion of inhabitants living within larger multi-family buildings should be considered less ready for gas decommissioning as these types of properties are structurally more difficult to electrify and must content with split incentives (between owners and occupants) in terms of the costs and benefits from doing so.</w:t>
      </w:r>
    </w:p>
    <w:p w14:paraId="4CE38971" w14:textId="03FFB6BF" w:rsidR="00ED5502" w:rsidRDefault="00ED5502" w:rsidP="00ED5502">
      <w:pPr>
        <w:pStyle w:val="Bullet1"/>
      </w:pPr>
      <w:r w:rsidRPr="004D715A">
        <w:rPr>
          <w:b/>
          <w:bCs/>
        </w:rPr>
        <w:t>Percentage of total housing units that were built prior to 1978</w:t>
      </w:r>
      <w:r w:rsidR="00F83865" w:rsidRPr="004D715A">
        <w:rPr>
          <w:b/>
          <w:bCs/>
        </w:rPr>
        <w:t>:</w:t>
      </w:r>
      <w:r w:rsidR="00F83865">
        <w:t xml:space="preserve"> </w:t>
      </w:r>
      <w:r w:rsidR="00F83865" w:rsidRPr="00F83865">
        <w:t>The assumption relative to this variable is that census tracts with a higher proportion of total housing units built before to 1978 (prior to the introduction of California's statewide Title-24 building energy codes) are likely to have been constructed with smaller capacity electrical service panels that are less ready to integrate new electrical appliance loads without the need for costly capacity upgrades or other panel size optimization strategies.</w:t>
      </w:r>
    </w:p>
    <w:p w14:paraId="501CA079" w14:textId="163379B8" w:rsidR="00ED5502" w:rsidRDefault="00ED5502" w:rsidP="00ED5502">
      <w:pPr>
        <w:pStyle w:val="Bullet1"/>
      </w:pPr>
      <w:r w:rsidRPr="004D715A">
        <w:rPr>
          <w:b/>
          <w:bCs/>
        </w:rPr>
        <w:t>Median home value</w:t>
      </w:r>
      <w:r w:rsidR="00F83865" w:rsidRPr="004D715A">
        <w:rPr>
          <w:b/>
          <w:bCs/>
        </w:rPr>
        <w:t>:</w:t>
      </w:r>
      <w:r w:rsidR="00F83865">
        <w:t xml:space="preserve"> </w:t>
      </w:r>
      <w:r w:rsidR="00F83865" w:rsidRPr="00F83865">
        <w:t>The assumption relative to this variable is that census tracts with higher median home values are likely to have received more extensive and more recent building retrofit measures resulting in the improved thermal shell efficiency, end-use energy appliance efficiency, as well as higher-capacity building electrical system components (service panels, wiring, outlet receptacles, etc.) reducing the effective barriers to gas-substitute end-use electrical appliance integration.</w:t>
      </w:r>
    </w:p>
    <w:p w14:paraId="7545156D" w14:textId="0B947BFE" w:rsidR="00ED5502" w:rsidRDefault="00ED5502" w:rsidP="00ED5502">
      <w:pPr>
        <w:pStyle w:val="Bullet1"/>
      </w:pPr>
      <w:r w:rsidRPr="004D715A">
        <w:rPr>
          <w:b/>
          <w:bCs/>
        </w:rPr>
        <w:t>Median household income</w:t>
      </w:r>
      <w:r w:rsidR="005E7CAE" w:rsidRPr="004D715A">
        <w:rPr>
          <w:b/>
          <w:bCs/>
        </w:rPr>
        <w:t>:</w:t>
      </w:r>
      <w:r w:rsidR="005E7CAE">
        <w:t xml:space="preserve"> </w:t>
      </w:r>
      <w:r w:rsidR="005E7CAE" w:rsidRPr="005E7CAE">
        <w:t>The assumption relative to this variable is that census tracts with higher median household incomes will have greater access to financial resources necessary to facilitate the up-front purchase of gas substitute equipment, as well as to make any necessary property renovations/retrofits necessary to accommodate their installation.</w:t>
      </w:r>
    </w:p>
    <w:p w14:paraId="7653DDC5" w14:textId="0D22BE9D" w:rsidR="00ED5502" w:rsidRDefault="00ED5502" w:rsidP="00ED5502">
      <w:pPr>
        <w:pStyle w:val="Bullet1"/>
      </w:pPr>
      <w:r w:rsidRPr="004D715A">
        <w:rPr>
          <w:b/>
          <w:bCs/>
        </w:rPr>
        <w:t>Percentage renter housing units</w:t>
      </w:r>
      <w:r w:rsidR="005E7CAE" w:rsidRPr="004D715A">
        <w:rPr>
          <w:b/>
          <w:bCs/>
        </w:rPr>
        <w:t>:</w:t>
      </w:r>
      <w:r w:rsidR="005E7CAE">
        <w:t xml:space="preserve"> </w:t>
      </w:r>
      <w:r w:rsidR="005E7CAE" w:rsidRPr="005E7CAE">
        <w:t>The assumption relative to this variable is that census tracts with a higher percentage of renter housing units will have greater challenges in terms of initiating and completing gas-appliance substitution projects, due to the split-incentives between property owners and renters in terms of these types of building energy system alteration projects.</w:t>
      </w:r>
    </w:p>
    <w:p w14:paraId="0A6FD36B" w14:textId="029D9C83" w:rsidR="00ED5502" w:rsidRDefault="00ED5502" w:rsidP="00ED5502">
      <w:pPr>
        <w:pStyle w:val="Bullet1"/>
      </w:pPr>
      <w:r w:rsidRPr="004D715A">
        <w:rPr>
          <w:b/>
          <w:bCs/>
        </w:rPr>
        <w:t>Median gross rent as a percentage of household income</w:t>
      </w:r>
      <w:r w:rsidR="005E7CAE" w:rsidRPr="004D715A">
        <w:rPr>
          <w:b/>
          <w:bCs/>
        </w:rPr>
        <w:t>:</w:t>
      </w:r>
      <w:r w:rsidR="005E7CAE">
        <w:t xml:space="preserve"> </w:t>
      </w:r>
      <w:r w:rsidR="005E7CAE" w:rsidRPr="005E7CAE">
        <w:t>The assumption relative to this variable is that census tracts with higher median gross rents as a percentage of household income will have a larger population facing financial constraints in terms of the cost of implementing the types of fuel-substitution measures that would likely be required to participate in a decommissioning project.</w:t>
      </w:r>
    </w:p>
    <w:p w14:paraId="7F0E654B" w14:textId="6496A9EF" w:rsidR="00ED5502" w:rsidRDefault="00ED5502" w:rsidP="00ED5502">
      <w:pPr>
        <w:pStyle w:val="Bullet1"/>
      </w:pPr>
      <w:r w:rsidRPr="004D715A">
        <w:rPr>
          <w:b/>
          <w:bCs/>
        </w:rPr>
        <w:t>Homeowners with mortgage housing costs that are greater than 50% of their household income</w:t>
      </w:r>
      <w:r w:rsidR="00B615F5" w:rsidRPr="004D715A">
        <w:rPr>
          <w:b/>
          <w:bCs/>
        </w:rPr>
        <w:t>:</w:t>
      </w:r>
      <w:r w:rsidR="00B615F5">
        <w:t xml:space="preserve"> </w:t>
      </w:r>
      <w:r w:rsidR="002B0EF1" w:rsidRPr="002B0EF1">
        <w:t>The assumption relative to this variable is that census tracts with a larger number of homeowners whose housing costs are greater than 50% of their household income will be more financially constrained in terms of initiating the types of fuel-substitution measures that would likely be required to participate in a decommissioning project.</w:t>
      </w:r>
    </w:p>
    <w:p w14:paraId="6650DBA4" w14:textId="321E1137" w:rsidR="00ED5502" w:rsidRDefault="00ED5502" w:rsidP="00ED5502">
      <w:pPr>
        <w:pStyle w:val="Bullet1"/>
      </w:pPr>
      <w:r w:rsidRPr="004D715A">
        <w:rPr>
          <w:b/>
          <w:bCs/>
        </w:rPr>
        <w:t>Homeowners without mortgage housing costs that are greater than 50% of their household income</w:t>
      </w:r>
      <w:r w:rsidR="002B0EF1" w:rsidRPr="004D715A">
        <w:rPr>
          <w:b/>
          <w:bCs/>
        </w:rPr>
        <w:t>:</w:t>
      </w:r>
      <w:r w:rsidR="002B0EF1">
        <w:t xml:space="preserve"> </w:t>
      </w:r>
      <w:r w:rsidR="002B0EF1" w:rsidRPr="002B0EF1">
        <w:t xml:space="preserve">The assumption relative to this variable mirrors that of the previous, except as applied to </w:t>
      </w:r>
      <w:r w:rsidR="00447FD0" w:rsidRPr="002B0EF1">
        <w:t>homeowners</w:t>
      </w:r>
      <w:r w:rsidR="002B0EF1" w:rsidRPr="002B0EF1">
        <w:t xml:space="preserve"> who may be similarly burdened by non-mortgage related housing costs.</w:t>
      </w:r>
    </w:p>
    <w:p w14:paraId="470703E9" w14:textId="5AE4303B" w:rsidR="00ED5502" w:rsidRDefault="00ED5502" w:rsidP="00ED5502">
      <w:pPr>
        <w:pStyle w:val="Bullet1"/>
      </w:pPr>
      <w:r w:rsidRPr="004D715A">
        <w:rPr>
          <w:b/>
          <w:bCs/>
        </w:rPr>
        <w:t>Renter housing costs greater than 50% of their household income</w:t>
      </w:r>
      <w:r w:rsidR="00447FD0" w:rsidRPr="004D715A">
        <w:rPr>
          <w:b/>
          <w:bCs/>
        </w:rPr>
        <w:t>:</w:t>
      </w:r>
      <w:r w:rsidR="00447FD0">
        <w:t xml:space="preserve"> </w:t>
      </w:r>
      <w:r w:rsidR="00447FD0" w:rsidRPr="00447FD0">
        <w:t>The assumption relative to this variable mirrors that of the previous, except as applied to renters who may be similarly burdened by housing costs. (NOTE: This variable somewhat overlaps with the median gross rent as a percentage of household income, introduced previously. However, we observe that renters are not the principal agents responsible making property modification decisions. Thus, we determined that it would be appropriate to include both variables in this sub-index as a way of amplifying these concerns relative to census tracts with larger populations of housing cost burdened renter household we consider as having a lower measure of financial stability relative to the potential needs of decommissioning project participation.)</w:t>
      </w:r>
    </w:p>
    <w:p w14:paraId="732DD99C" w14:textId="58C6D029" w:rsidR="00ED5502" w:rsidRDefault="00ED5502" w:rsidP="00ED5502">
      <w:pPr>
        <w:pStyle w:val="Bullet1"/>
      </w:pPr>
      <w:r w:rsidRPr="004D715A">
        <w:rPr>
          <w:b/>
          <w:bCs/>
        </w:rPr>
        <w:t>Percent of total housing units with gas heating equipment</w:t>
      </w:r>
      <w:r w:rsidR="005A375E" w:rsidRPr="004D715A">
        <w:rPr>
          <w:b/>
          <w:bCs/>
        </w:rPr>
        <w:t>:</w:t>
      </w:r>
      <w:r w:rsidR="005A375E">
        <w:t xml:space="preserve"> </w:t>
      </w:r>
      <w:r w:rsidR="005A375E" w:rsidRPr="005A375E">
        <w:t>The assumption relative to this variable is that census tracts possessing a larger number of total housing units with gas heating equipment should be considered more dependent upon gas service and thus, less suitable for the immediate siting of gas decommissioning projects.</w:t>
      </w:r>
    </w:p>
    <w:p w14:paraId="410218F4" w14:textId="3ED5F91C" w:rsidR="00ED5502" w:rsidRDefault="00ED5502" w:rsidP="000C7AE5">
      <w:pPr>
        <w:pStyle w:val="Bullet1"/>
        <w:keepNext/>
        <w:keepLines/>
      </w:pPr>
      <w:r w:rsidRPr="004D715A">
        <w:rPr>
          <w:b/>
          <w:bCs/>
        </w:rPr>
        <w:t>SF &amp; MF residential parcel median annual gas consumption as a percentage of total site energy use</w:t>
      </w:r>
      <w:r w:rsidR="005A375E" w:rsidRPr="004D715A">
        <w:rPr>
          <w:b/>
          <w:bCs/>
        </w:rPr>
        <w:t>:</w:t>
      </w:r>
      <w:r w:rsidR="005A375E">
        <w:t xml:space="preserve"> </w:t>
      </w:r>
      <w:r w:rsidR="005A375E" w:rsidRPr="005A375E">
        <w:t>The assumption relative to these variables is that census tracts with SF and MF residential parcels whose gas consumption represents a higher proportion of total site energy use are more dependent upon gas service and would likely encounter greater challenges in terms of hosting decommissioning projects. (Note: We observe that this ratio could be skewed if properties had unusually low levels of metered electricity consumption totals for one reason or another. Thus, we additional include the following set of metrics representing the relative magnitude of the consumption of each fuel type, such that they can independently feed into the sub-index.)</w:t>
      </w:r>
    </w:p>
    <w:p w14:paraId="0884160C" w14:textId="57B2D29F" w:rsidR="00ED5502" w:rsidRDefault="00ED5502" w:rsidP="00ED5502">
      <w:pPr>
        <w:pStyle w:val="Bullet1"/>
      </w:pPr>
      <w:r w:rsidRPr="004D715A">
        <w:rPr>
          <w:b/>
          <w:bCs/>
        </w:rPr>
        <w:t>SF &amp; MF residential parcel median annual gas consumption in therms</w:t>
      </w:r>
      <w:r w:rsidR="005A375E" w:rsidRPr="004D715A">
        <w:rPr>
          <w:b/>
          <w:bCs/>
        </w:rPr>
        <w:t>:</w:t>
      </w:r>
      <w:r w:rsidR="005A375E">
        <w:t xml:space="preserve"> </w:t>
      </w:r>
      <w:r w:rsidR="005A375E" w:rsidRPr="005A375E">
        <w:t>The assumption relative to these variables is that census tracts with SF and MF residential parcels that have higher median annual gas consumption totals are more dependent upon gas service.</w:t>
      </w:r>
    </w:p>
    <w:p w14:paraId="4E4E6FD3" w14:textId="09B3C8B4" w:rsidR="00ED5502" w:rsidRDefault="00ED5502" w:rsidP="00ED5502">
      <w:pPr>
        <w:pStyle w:val="Bullet1"/>
      </w:pPr>
      <w:r w:rsidRPr="004D715A">
        <w:rPr>
          <w:b/>
          <w:bCs/>
        </w:rPr>
        <w:t>SF &amp; MF residential parcel median annual gas consumption per square foot of built area</w:t>
      </w:r>
      <w:r w:rsidR="0046405D" w:rsidRPr="004D715A">
        <w:rPr>
          <w:b/>
          <w:bCs/>
        </w:rPr>
        <w:t>:</w:t>
      </w:r>
      <w:r w:rsidR="0046405D">
        <w:t xml:space="preserve"> </w:t>
      </w:r>
      <w:r w:rsidR="0046405D" w:rsidRPr="0046405D">
        <w:t>The assumption relative to these variables is that census tracts with SF and MF residential parcels that have higher median gas consumption totals per square foot are more dependent upon gas service.</w:t>
      </w:r>
    </w:p>
    <w:p w14:paraId="3224C499" w14:textId="563682F9" w:rsidR="00ED5502" w:rsidRDefault="00ED5502" w:rsidP="00ED5502">
      <w:pPr>
        <w:pStyle w:val="Bullet1"/>
      </w:pPr>
      <w:r w:rsidRPr="004D715A">
        <w:rPr>
          <w:b/>
          <w:bCs/>
        </w:rPr>
        <w:t>SF &amp; MF residential parcel median annual electricity consumption in kilowatt-hours</w:t>
      </w:r>
      <w:r w:rsidR="0046405D" w:rsidRPr="004D715A">
        <w:rPr>
          <w:b/>
          <w:bCs/>
        </w:rPr>
        <w:t>:</w:t>
      </w:r>
      <w:r w:rsidR="0046405D">
        <w:t xml:space="preserve"> </w:t>
      </w:r>
      <w:r w:rsidR="0046405D" w:rsidRPr="0046405D">
        <w:t>The assumption relative to these variables is that census tracts with SF and MF residential parcels that have higher median annual electricity consumption totals are less dependent upon gas service.</w:t>
      </w:r>
    </w:p>
    <w:p w14:paraId="4796FE58" w14:textId="68AB9A24" w:rsidR="00ED5502" w:rsidRDefault="00ED5502" w:rsidP="00ED5502">
      <w:pPr>
        <w:pStyle w:val="Bullet1"/>
      </w:pPr>
      <w:r w:rsidRPr="004D715A">
        <w:rPr>
          <w:b/>
          <w:bCs/>
        </w:rPr>
        <w:t>SF &amp; MF residential parcel median annual electricity consumption per square foot of built area</w:t>
      </w:r>
      <w:r w:rsidR="0046405D" w:rsidRPr="004D715A">
        <w:rPr>
          <w:b/>
          <w:bCs/>
        </w:rPr>
        <w:t>:</w:t>
      </w:r>
      <w:r w:rsidR="0046405D">
        <w:t xml:space="preserve"> </w:t>
      </w:r>
      <w:r w:rsidR="0046405D" w:rsidRPr="0046405D">
        <w:t>The assumption relative to these variables is that census tracts with SF and MF residential parcels that have higher median electricity consumption totals per square foot are less dependent upon gas service.</w:t>
      </w:r>
    </w:p>
    <w:p w14:paraId="06A84ADE" w14:textId="5863222A" w:rsidR="00ED5502" w:rsidRDefault="00ED5502" w:rsidP="00ED5502">
      <w:pPr>
        <w:pStyle w:val="Bullet1"/>
      </w:pPr>
      <w:r w:rsidRPr="004D715A">
        <w:rPr>
          <w:b/>
          <w:bCs/>
        </w:rPr>
        <w:t>SF &amp; MF residential total annual electricity consumption in kilowatt-hours</w:t>
      </w:r>
      <w:r w:rsidR="0046405D" w:rsidRPr="004D715A">
        <w:rPr>
          <w:b/>
          <w:bCs/>
        </w:rPr>
        <w:t>:</w:t>
      </w:r>
      <w:r w:rsidR="0046405D">
        <w:t xml:space="preserve"> </w:t>
      </w:r>
      <w:r w:rsidR="0046405D" w:rsidRPr="0046405D">
        <w:t>The assumption relative to these variables is that census tracts with SF and MF residential parcels that have higher total annual electricity consumption levels are less dependent upon gas service.</w:t>
      </w:r>
    </w:p>
    <w:p w14:paraId="4FDC673B" w14:textId="2E9EAE0D" w:rsidR="008A383B" w:rsidRPr="00881B7C" w:rsidRDefault="00ED5502" w:rsidP="00ED5502">
      <w:pPr>
        <w:pStyle w:val="Bullet1"/>
      </w:pPr>
      <w:r w:rsidRPr="004D715A">
        <w:rPr>
          <w:b/>
          <w:bCs/>
        </w:rPr>
        <w:t>SF &amp; MF residential total annual gas consumption in therms</w:t>
      </w:r>
      <w:r w:rsidR="00E616C9" w:rsidRPr="004D715A">
        <w:rPr>
          <w:b/>
          <w:bCs/>
        </w:rPr>
        <w:t>:</w:t>
      </w:r>
      <w:r w:rsidR="00E616C9">
        <w:t xml:space="preserve"> </w:t>
      </w:r>
      <w:r w:rsidR="00E616C9" w:rsidRPr="00E616C9">
        <w:t>The assumption relative to these variables is that census tracts with SF and MF residential parcels that have higher total annual electricity consumption levels are more dependent upon gas service.</w:t>
      </w:r>
    </w:p>
    <w:p w14:paraId="5F099A5C" w14:textId="77777777" w:rsidR="00EB75DA" w:rsidRDefault="00EB75DA" w:rsidP="00EB75DA">
      <w:pPr>
        <w:pStyle w:val="BodyText"/>
      </w:pPr>
    </w:p>
    <w:p w14:paraId="06093C4C" w14:textId="77777777" w:rsidR="00EB75DA" w:rsidRPr="00EB75DA" w:rsidRDefault="00EB75DA" w:rsidP="00EB75DA">
      <w:pPr>
        <w:pStyle w:val="BodyText"/>
      </w:pPr>
    </w:p>
    <w:p w14:paraId="51C9EF29" w14:textId="77777777" w:rsidR="000E2861" w:rsidRDefault="000E2861" w:rsidP="001C7AC7">
      <w:pPr>
        <w:spacing w:after="200" w:line="276" w:lineRule="auto"/>
      </w:pPr>
    </w:p>
    <w:p w14:paraId="2A653331" w14:textId="7693366C" w:rsidR="0008401F" w:rsidRDefault="00834753" w:rsidP="0008401F">
      <w:pPr>
        <w:pStyle w:val="Heading1"/>
      </w:pPr>
      <w:bookmarkStart w:id="50" w:name="_Ref197944878"/>
      <w:bookmarkStart w:id="51" w:name="_Ref197944881"/>
      <w:bookmarkStart w:id="52" w:name="_Toc213837958"/>
      <w:r>
        <w:t xml:space="preserve">Combined </w:t>
      </w:r>
      <w:r w:rsidR="00474E1E">
        <w:t>Indices</w:t>
      </w:r>
      <w:bookmarkEnd w:id="50"/>
      <w:bookmarkEnd w:id="51"/>
      <w:bookmarkEnd w:id="52"/>
    </w:p>
    <w:p w14:paraId="50150E8A" w14:textId="7E93EB53" w:rsidR="002F6770" w:rsidRDefault="00812EC7" w:rsidP="002F6770">
      <w:pPr>
        <w:pStyle w:val="BodyText"/>
      </w:pPr>
      <w:r>
        <w:t xml:space="preserve">The purpose of the tertiary metric is to effectively aggregate the </w:t>
      </w:r>
      <w:r w:rsidR="00F343ED">
        <w:t xml:space="preserve">four </w:t>
      </w:r>
      <w:r w:rsidR="00223378">
        <w:t>sub-indices</w:t>
      </w:r>
      <w:r w:rsidR="00F343ED">
        <w:t xml:space="preserve"> to </w:t>
      </w:r>
      <w:r>
        <w:t>provid</w:t>
      </w:r>
      <w:r w:rsidR="00F343ED">
        <w:t>e</w:t>
      </w:r>
      <w:r>
        <w:t xml:space="preserve"> an overall assessment of gas decommissioning risks, costs</w:t>
      </w:r>
      <w:r w:rsidR="00212477">
        <w:t>,</w:t>
      </w:r>
      <w:r>
        <w:t xml:space="preserve"> and benefits. </w:t>
      </w:r>
      <w:r w:rsidR="1218015D">
        <w:t xml:space="preserve">The </w:t>
      </w:r>
      <w:r w:rsidR="55C0BD9C">
        <w:t xml:space="preserve">initial set of </w:t>
      </w:r>
      <w:r w:rsidR="1218015D">
        <w:t>tertiary metric</w:t>
      </w:r>
      <w:r w:rsidR="278DCBCC">
        <w:t>s</w:t>
      </w:r>
      <w:r w:rsidR="1218015D">
        <w:t xml:space="preserve"> provided in the Tool as the “Combined Index” layer </w:t>
      </w:r>
      <w:r w:rsidR="69DB9E83">
        <w:t>were computed as an</w:t>
      </w:r>
      <w:r w:rsidR="6B8ED4C0">
        <w:t xml:space="preserve"> evenly</w:t>
      </w:r>
      <w:r w:rsidR="6E010E11">
        <w:t xml:space="preserve"> </w:t>
      </w:r>
      <w:r w:rsidR="6B8ED4C0">
        <w:t xml:space="preserve">weighted summation of the four </w:t>
      </w:r>
      <w:r w:rsidR="00223378">
        <w:t>indices</w:t>
      </w:r>
      <w:r w:rsidR="6B8ED4C0">
        <w:t xml:space="preserve"> (e.g. “Index” layers)</w:t>
      </w:r>
      <w:r w:rsidR="002B13DF">
        <w:t xml:space="preserve"> and then </w:t>
      </w:r>
      <w:r w:rsidR="5C9227D0">
        <w:t>renormalized to a 1-10</w:t>
      </w:r>
      <w:r w:rsidR="6B8ED4C0">
        <w:t xml:space="preserve"> </w:t>
      </w:r>
      <w:r w:rsidR="78AA546A">
        <w:t xml:space="preserve">value range using the same </w:t>
      </w:r>
      <w:r w:rsidR="007B0106">
        <w:t xml:space="preserve">k-means </w:t>
      </w:r>
      <w:r w:rsidR="78AA546A">
        <w:t xml:space="preserve">optimization algorithm used elsewhere throughout the analysis. </w:t>
      </w:r>
      <w:r w:rsidR="007B6099">
        <w:fldChar w:fldCharType="begin"/>
      </w:r>
      <w:r w:rsidR="007B6099">
        <w:instrText xml:space="preserve"> REF _Ref209162072 \h </w:instrText>
      </w:r>
      <w:r w:rsidR="007B6099">
        <w:fldChar w:fldCharType="separate"/>
      </w:r>
      <w:r w:rsidR="007B6099">
        <w:t xml:space="preserve">Figure </w:t>
      </w:r>
      <w:r w:rsidR="007B6099">
        <w:rPr>
          <w:noProof/>
        </w:rPr>
        <w:t>7</w:t>
      </w:r>
      <w:r w:rsidR="007B6099">
        <w:noBreakHyphen/>
      </w:r>
      <w:r w:rsidR="007B6099">
        <w:rPr>
          <w:noProof/>
        </w:rPr>
        <w:t>1</w:t>
      </w:r>
      <w:r w:rsidR="007B6099">
        <w:fldChar w:fldCharType="end"/>
      </w:r>
      <w:r w:rsidR="007B6099">
        <w:t xml:space="preserve"> </w:t>
      </w:r>
      <w:r w:rsidR="00245202" w:rsidRPr="6036F176">
        <w:t xml:space="preserve">provides a graphical illustration of how the four </w:t>
      </w:r>
      <w:r w:rsidR="00223378">
        <w:t>indices</w:t>
      </w:r>
      <w:r w:rsidR="00245202" w:rsidRPr="6036F176">
        <w:t xml:space="preserve"> (</w:t>
      </w:r>
      <w:r w:rsidR="002828F3">
        <w:t>i</w:t>
      </w:r>
      <w:r w:rsidR="00245202" w:rsidRPr="6036F176">
        <w:t xml:space="preserve">ndex layers) within the Tool are additively combined to create </w:t>
      </w:r>
      <w:r w:rsidR="00223378">
        <w:t>indices</w:t>
      </w:r>
      <w:r w:rsidR="00245202" w:rsidRPr="6036F176">
        <w:t xml:space="preserve">, which are described as </w:t>
      </w:r>
      <w:r w:rsidR="002828F3">
        <w:t>c</w:t>
      </w:r>
      <w:r w:rsidR="00245202" w:rsidRPr="6036F176">
        <w:t>ombined index layers within the Tool.</w:t>
      </w:r>
    </w:p>
    <w:p w14:paraId="11AB1ECB" w14:textId="66E92B35" w:rsidR="007B66AC" w:rsidRDefault="007B66AC" w:rsidP="007B6099">
      <w:pPr>
        <w:pStyle w:val="FigureTitle"/>
      </w:pPr>
      <w:bookmarkStart w:id="53" w:name="_Ref209162072"/>
      <w:bookmarkStart w:id="54" w:name="_Toc213837972"/>
      <w:r>
        <w:t xml:space="preserve">Figure </w:t>
      </w:r>
      <w:r w:rsidR="00EC2D20">
        <w:fldChar w:fldCharType="begin"/>
      </w:r>
      <w:r w:rsidR="00EC2D20">
        <w:instrText xml:space="preserve"> STYLEREF 1 \s </w:instrText>
      </w:r>
      <w:r w:rsidR="00EC2D20">
        <w:fldChar w:fldCharType="separate"/>
      </w:r>
      <w:r w:rsidR="00EC2D20">
        <w:rPr>
          <w:noProof/>
        </w:rPr>
        <w:t>7</w:t>
      </w:r>
      <w:r w:rsidR="00EC2D20">
        <w:fldChar w:fldCharType="end"/>
      </w:r>
      <w:r w:rsidR="00EC2D20">
        <w:noBreakHyphen/>
      </w:r>
      <w:r w:rsidR="00EC2D20">
        <w:fldChar w:fldCharType="begin"/>
      </w:r>
      <w:r w:rsidR="00EC2D20">
        <w:instrText xml:space="preserve"> SEQ Figure \* ARABIC \s 1 </w:instrText>
      </w:r>
      <w:r w:rsidR="00EC2D20">
        <w:fldChar w:fldCharType="separate"/>
      </w:r>
      <w:r w:rsidR="00EC2D20">
        <w:rPr>
          <w:noProof/>
        </w:rPr>
        <w:t>1</w:t>
      </w:r>
      <w:r w:rsidR="00EC2D20">
        <w:fldChar w:fldCharType="end"/>
      </w:r>
      <w:bookmarkEnd w:id="53"/>
      <w:r>
        <w:t xml:space="preserve">. Graphical </w:t>
      </w:r>
      <w:r w:rsidR="00792EC9">
        <w:t>Illustration of How Different Secondary Metrics (</w:t>
      </w:r>
      <w:r>
        <w:t xml:space="preserve">Index </w:t>
      </w:r>
      <w:r w:rsidR="00792EC9">
        <w:t xml:space="preserve">Layers) </w:t>
      </w:r>
      <w:r w:rsidR="00153E5E">
        <w:t>a</w:t>
      </w:r>
      <w:r w:rsidR="00792EC9">
        <w:t xml:space="preserve">re Additively Combined to Create </w:t>
      </w:r>
      <w:r>
        <w:t xml:space="preserve">Combined </w:t>
      </w:r>
      <w:r w:rsidR="00792EC9">
        <w:t xml:space="preserve">Index Layers Within the </w:t>
      </w:r>
      <w:r>
        <w:t>Tool</w:t>
      </w:r>
      <w:bookmarkEnd w:id="54"/>
    </w:p>
    <w:p w14:paraId="14435E25" w14:textId="134E8B97" w:rsidR="00A95EF8" w:rsidRDefault="3B4EE5B7" w:rsidP="00236E4E">
      <w:pPr>
        <w:pStyle w:val="BodyText"/>
      </w:pPr>
      <w:r>
        <w:rPr>
          <w:noProof/>
        </w:rPr>
        <w:drawing>
          <wp:inline distT="0" distB="0" distL="0" distR="0" wp14:anchorId="254595AE" wp14:editId="126D6F80">
            <wp:extent cx="6086475" cy="5572125"/>
            <wp:effectExtent l="0" t="0" r="0" b="0"/>
            <wp:docPr id="1032660527" name="drawing"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60527"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86475" cy="5572125"/>
                    </a:xfrm>
                    <a:prstGeom prst="rect">
                      <a:avLst/>
                    </a:prstGeom>
                  </pic:spPr>
                </pic:pic>
              </a:graphicData>
            </a:graphic>
          </wp:inline>
        </w:drawing>
      </w:r>
    </w:p>
    <w:p w14:paraId="08DA060C" w14:textId="3390A63C" w:rsidR="00501C79" w:rsidRDefault="7922AC91" w:rsidP="00501C79">
      <w:pPr>
        <w:pStyle w:val="BodyText"/>
      </w:pPr>
      <w:r w:rsidRPr="6036F176">
        <w:t>The default approach</w:t>
      </w:r>
      <w:r w:rsidR="00792EC9">
        <w:t xml:space="preserve"> </w:t>
      </w:r>
      <w:r w:rsidRPr="6036F176">
        <w:t xml:space="preserve">involves the application of a uniform weight to each index layer. </w:t>
      </w:r>
      <w:r w:rsidR="00501C79">
        <w:t xml:space="preserve">The GIS-MCDA framework </w:t>
      </w:r>
      <w:r w:rsidR="001271D7">
        <w:t xml:space="preserve">also </w:t>
      </w:r>
      <w:r w:rsidR="00501C79">
        <w:t>allows stakeholders to assign different weights to secondary metrics to better reflect individual or community perspectives on their relative importance. When designing the structure of the</w:t>
      </w:r>
      <w:r w:rsidR="00CB6FE2">
        <w:t xml:space="preserve"> (sub)</w:t>
      </w:r>
      <w:r w:rsidR="00501C79">
        <w:t xml:space="preserve"> indices, the team realized that there could be many possible permutations of weighted combinations of </w:t>
      </w:r>
      <w:r w:rsidR="00CB6FE2">
        <w:t>sub-indices</w:t>
      </w:r>
      <w:r w:rsidR="00501C79">
        <w:t xml:space="preserve">. Rather than infer preferences for weighting combinations and pre-calculate them, the </w:t>
      </w:r>
      <w:r w:rsidR="00DF1AA2">
        <w:t>T</w:t>
      </w:r>
      <w:r w:rsidR="00501C79">
        <w:t xml:space="preserve">ool includes computational tools that allows users to generate their own, bespoke, </w:t>
      </w:r>
      <w:r w:rsidR="00223378">
        <w:t>indices</w:t>
      </w:r>
      <w:r w:rsidR="00501C79">
        <w:t xml:space="preserve"> at either the index </w:t>
      </w:r>
      <w:r w:rsidR="00CB6FE2">
        <w:t xml:space="preserve">or sub-index </w:t>
      </w:r>
      <w:r w:rsidR="00501C79">
        <w:t>levels based on individual or community preferences. W</w:t>
      </w:r>
      <w:r w:rsidR="00501C79" w:rsidRPr="6036F176">
        <w:t xml:space="preserve">eights can be adjusted by multiplying the values for each </w:t>
      </w:r>
      <w:r w:rsidR="00244A8A">
        <w:t>sub-index</w:t>
      </w:r>
      <w:r w:rsidR="00501C79" w:rsidRPr="6036F176">
        <w:t xml:space="preserve"> by </w:t>
      </w:r>
      <w:r w:rsidR="00921C24">
        <w:t xml:space="preserve">any integer value, including </w:t>
      </w:r>
      <w:r w:rsidR="00501C79" w:rsidRPr="6036F176">
        <w:t>negative</w:t>
      </w:r>
      <w:r w:rsidR="00921C24">
        <w:t xml:space="preserve"> values</w:t>
      </w:r>
      <w:r w:rsidR="00501C79" w:rsidRPr="6036F176">
        <w:t>.</w:t>
      </w:r>
      <w:r w:rsidR="00076281">
        <w:t xml:space="preserve"> </w:t>
      </w:r>
      <w:r w:rsidR="00501C79">
        <w:t xml:space="preserve">More details about the implementation of this solution are provided in the Data Driven Tool </w:t>
      </w:r>
      <w:r w:rsidR="00244A8A">
        <w:t>Memorandum, which is another deliverable of this project</w:t>
      </w:r>
      <w:r w:rsidR="00501C79">
        <w:t xml:space="preserve">. </w:t>
      </w:r>
    </w:p>
    <w:p w14:paraId="04E6CCDF" w14:textId="74049EAE" w:rsidR="3DBB6984" w:rsidRDefault="00223378" w:rsidP="00236E4E">
      <w:pPr>
        <w:pStyle w:val="BodyText"/>
      </w:pPr>
      <w:r>
        <w:t>Indices (t</w:t>
      </w:r>
      <w:r w:rsidR="3DBB6984">
        <w:t>ertiary metrics</w:t>
      </w:r>
      <w:r>
        <w:t>)</w:t>
      </w:r>
      <w:r w:rsidR="3DBB6984">
        <w:t xml:space="preserve"> are useful for developing an overall sense of which locations are</w:t>
      </w:r>
      <w:r w:rsidR="582AE7A4">
        <w:t xml:space="preserve"> the</w:t>
      </w:r>
      <w:r w:rsidR="3DBB6984">
        <w:t xml:space="preserve"> most</w:t>
      </w:r>
      <w:r w:rsidR="0FF632B4">
        <w:t xml:space="preserve"> comprehensively</w:t>
      </w:r>
      <w:r w:rsidR="3DBB6984">
        <w:t xml:space="preserve"> suitable for the desired application when simultaneously considering multiple, potentially competing, issues of concern. </w:t>
      </w:r>
      <w:r w:rsidR="4FB93019">
        <w:t>This is particularly useful when non</w:t>
      </w:r>
      <w:r w:rsidR="601B6D11">
        <w:t>e</w:t>
      </w:r>
      <w:r w:rsidR="4FB93019">
        <w:t xml:space="preserve"> of the individual </w:t>
      </w:r>
      <w:r w:rsidR="006D505D">
        <w:t xml:space="preserve">criterion </w:t>
      </w:r>
      <w:r w:rsidR="4FB93019">
        <w:t xml:space="preserve">involved with the site selection decision can be allowed to strictly dominate any or </w:t>
      </w:r>
      <w:r w:rsidR="006D505D">
        <w:t>all</w:t>
      </w:r>
      <w:r w:rsidR="4FB93019">
        <w:t xml:space="preserve"> other</w:t>
      </w:r>
      <w:r w:rsidR="006D505D">
        <w:t xml:space="preserve"> criteria</w:t>
      </w:r>
      <w:r w:rsidR="4FB93019">
        <w:t xml:space="preserve">. </w:t>
      </w:r>
      <w:r w:rsidR="7CB17285">
        <w:t xml:space="preserve">Having a single layer that provides a comprehensive </w:t>
      </w:r>
      <w:r w:rsidR="5930B526">
        <w:t>over</w:t>
      </w:r>
      <w:r w:rsidR="7CB17285">
        <w:t>view</w:t>
      </w:r>
      <w:r w:rsidR="006D505D">
        <w:t xml:space="preserve"> </w:t>
      </w:r>
      <w:r w:rsidR="7CB17285">
        <w:t xml:space="preserve">can </w:t>
      </w:r>
      <w:r w:rsidR="52EAFE5B">
        <w:t xml:space="preserve">also </w:t>
      </w:r>
      <w:r w:rsidR="00FA3801">
        <w:t xml:space="preserve">be </w:t>
      </w:r>
      <w:r w:rsidR="7CB17285">
        <w:t xml:space="preserve">useful as an initial point of entry </w:t>
      </w:r>
      <w:r w:rsidR="3EC4CDA3">
        <w:t xml:space="preserve">for stakeholders who may be familiar with some </w:t>
      </w:r>
      <w:r w:rsidR="00FA3801">
        <w:t xml:space="preserve">but not all </w:t>
      </w:r>
      <w:r w:rsidR="3EC4CDA3">
        <w:t>the criteria of concern. These type</w:t>
      </w:r>
      <w:r w:rsidR="506B5B77">
        <w:t>s</w:t>
      </w:r>
      <w:r w:rsidR="3EC4CDA3">
        <w:t xml:space="preserve"> of site-selection problem</w:t>
      </w:r>
      <w:r w:rsidR="4A99FEFA">
        <w:t>s draw upon</w:t>
      </w:r>
      <w:r w:rsidR="6E5DF0C7">
        <w:t xml:space="preserve"> large number</w:t>
      </w:r>
      <w:r w:rsidR="004066AE">
        <w:t>s</w:t>
      </w:r>
      <w:r w:rsidR="6E5DF0C7">
        <w:t xml:space="preserve"> of heterogenous prioritization criteria and their associated primary data sets. Navigating the combined index layer, </w:t>
      </w:r>
      <w:r w:rsidR="4B85F375">
        <w:t xml:space="preserve">as a first experience with the </w:t>
      </w:r>
      <w:r w:rsidR="00DF1AA2">
        <w:t>T</w:t>
      </w:r>
      <w:r w:rsidR="4B85F375">
        <w:t xml:space="preserve">ool, </w:t>
      </w:r>
      <w:r w:rsidR="5903D965">
        <w:t>can</w:t>
      </w:r>
      <w:r w:rsidR="494BA3BA">
        <w:t xml:space="preserve"> provide a useful </w:t>
      </w:r>
      <w:r w:rsidR="009041B7">
        <w:t>initial</w:t>
      </w:r>
      <w:r w:rsidR="494BA3BA">
        <w:t xml:space="preserve"> introduction to both the way in which the problem has been framed and the various data sources which have been drawn together to support this framing. </w:t>
      </w:r>
    </w:p>
    <w:p w14:paraId="78DE1DE9" w14:textId="4B15F365" w:rsidR="001C7AC7" w:rsidRDefault="00975E21" w:rsidP="001C7AC7">
      <w:pPr>
        <w:pStyle w:val="Heading1"/>
      </w:pPr>
      <w:bookmarkStart w:id="55" w:name="_Ref197944892"/>
      <w:bookmarkStart w:id="56" w:name="_Toc213837959"/>
      <w:r>
        <w:t xml:space="preserve">Summary and </w:t>
      </w:r>
      <w:r w:rsidR="003F1109">
        <w:t>Conclusion</w:t>
      </w:r>
      <w:bookmarkEnd w:id="55"/>
      <w:bookmarkEnd w:id="56"/>
    </w:p>
    <w:p w14:paraId="5C36642B" w14:textId="1F026788" w:rsidR="0059664C" w:rsidRDefault="00922FEB" w:rsidP="0059664C">
      <w:pPr>
        <w:pStyle w:val="BodyText"/>
      </w:pPr>
      <w:r>
        <w:t>This report</w:t>
      </w:r>
      <w:r w:rsidR="0059664C">
        <w:t xml:space="preserve"> detailed the development and implementation of </w:t>
      </w:r>
      <w:r w:rsidR="00223378">
        <w:t>indices and sub-indices</w:t>
      </w:r>
      <w:r w:rsidR="0059664C">
        <w:t xml:space="preserve"> to support the strategic and equitable decommissioning of gas infrastructure. The DNV team, in collaboration with the CEC and other stakeholders, created a comprehensive data-driven tool that integrates multiple sources of information to assess gas decommissioning risks, costs, and benefits.</w:t>
      </w:r>
    </w:p>
    <w:p w14:paraId="7AAE2DCF" w14:textId="222F1197" w:rsidR="0059664C" w:rsidRDefault="0059664C" w:rsidP="0059664C">
      <w:pPr>
        <w:pStyle w:val="BodyText"/>
      </w:pPr>
      <w:r>
        <w:t xml:space="preserve">The </w:t>
      </w:r>
      <w:r w:rsidR="0055102D">
        <w:t xml:space="preserve">sub-indices </w:t>
      </w:r>
      <w:r>
        <w:t xml:space="preserve">were designed to summarize the </w:t>
      </w:r>
      <w:r w:rsidR="0055102D">
        <w:t>variables</w:t>
      </w:r>
      <w:r>
        <w:t xml:space="preserve"> collected from various tasks, including gas assets assessment, decommissioning readiness, and community resources and equitability assessment. These </w:t>
      </w:r>
      <w:r w:rsidR="0055102D">
        <w:t>sub-indices</w:t>
      </w:r>
      <w:r>
        <w:t xml:space="preserve"> were then aggregated into </w:t>
      </w:r>
      <w:r w:rsidR="00223378">
        <w:t>indices</w:t>
      </w:r>
      <w:r>
        <w:t xml:space="preserve"> to provide an overall assessment. The methodology involved integrating data from multiple sources, collecting variables that reflect common themes, and combining them into index layers. These layers were then merged into a single composite index, with numerical scores assigned and normalized.</w:t>
      </w:r>
    </w:p>
    <w:p w14:paraId="7F7C2B0A" w14:textId="5E7E9601" w:rsidR="0059664C" w:rsidRDefault="0059664C" w:rsidP="0059664C">
      <w:pPr>
        <w:pStyle w:val="BodyText"/>
      </w:pPr>
      <w:r>
        <w:t xml:space="preserve">The </w:t>
      </w:r>
      <w:r w:rsidR="00922FEB">
        <w:t>Equity Index</w:t>
      </w:r>
      <w:r>
        <w:t xml:space="preserve">, was developed to prioritize California communities that are disadvantaged, underserved, at-risk, and most vulnerable to the impacts of early gas decommissioning. The </w:t>
      </w:r>
      <w:r w:rsidR="00922FEB">
        <w:t xml:space="preserve">Gas Assets Index </w:t>
      </w:r>
      <w:r>
        <w:t xml:space="preserve">focused on safety, environmental benefits, cost, regulatory compliance, and demand. The </w:t>
      </w:r>
      <w:r w:rsidR="00922FEB">
        <w:t xml:space="preserve">Non-Residential </w:t>
      </w:r>
      <w:r>
        <w:t xml:space="preserve">and </w:t>
      </w:r>
      <w:r w:rsidR="00922FEB">
        <w:t xml:space="preserve">Residential Decommissioning Readiness </w:t>
      </w:r>
      <w:r>
        <w:t>indices assessed the feasibility of disconnecting from gas service based on current consumption and the availability of alternative technologies.</w:t>
      </w:r>
    </w:p>
    <w:p w14:paraId="0DD2A703" w14:textId="20AC9E20" w:rsidR="00426E52" w:rsidRDefault="00DF06A2" w:rsidP="0059664C">
      <w:pPr>
        <w:pStyle w:val="BodyText"/>
      </w:pPr>
      <w:r>
        <w:t>The</w:t>
      </w:r>
      <w:r w:rsidR="0059664C">
        <w:t xml:space="preserve"> development of these </w:t>
      </w:r>
      <w:r w:rsidR="0007110D">
        <w:t>indices and sub-indices</w:t>
      </w:r>
      <w:r w:rsidR="0059664C">
        <w:t xml:space="preserve"> provides a robust framework for evaluating the risks, costs, and benefits associated with gas decommissioning. The </w:t>
      </w:r>
      <w:r w:rsidR="00DD4E9D">
        <w:t>T</w:t>
      </w:r>
      <w:r w:rsidR="0059664C">
        <w:t>ool offers a consistent set of data that can be used to make informed decisions about where and how to prioritize decommissioning efforts. By considering multiple factors and integrating diverse data sources, this approach ensures that decommissioning strategies are equitable, effective, and aligned with community needs and policy objectives.</w:t>
      </w:r>
    </w:p>
    <w:p w14:paraId="4824EE3B" w14:textId="7D483F89" w:rsidR="00FC09AA" w:rsidRDefault="00FC09AA" w:rsidP="00FC09AA">
      <w:pPr>
        <w:pStyle w:val="Heading1"/>
      </w:pPr>
      <w:bookmarkStart w:id="57" w:name="_Toc213837960"/>
      <w:r>
        <w:t>References</w:t>
      </w:r>
      <w:bookmarkEnd w:id="57"/>
      <w:r w:rsidR="00815BD3">
        <w:t xml:space="preserve"> </w:t>
      </w:r>
    </w:p>
    <w:p w14:paraId="484D2B4F" w14:textId="77777777" w:rsidR="00063C27" w:rsidRDefault="00063C27" w:rsidP="003200EF">
      <w:pPr>
        <w:pStyle w:val="BodyText"/>
        <w:spacing w:before="120" w:after="180"/>
      </w:pPr>
      <w:r>
        <w:t xml:space="preserve">“Algorithm AS 136: A K-Means Clustering Algorithm.” JSTOR, </w:t>
      </w:r>
      <w:hyperlink r:id="rId27" w:history="1">
        <w:r w:rsidRPr="00F73047">
          <w:rPr>
            <w:rStyle w:val="Hyperlink"/>
          </w:rPr>
          <w:t>www.jstor.org/stable/2346830</w:t>
        </w:r>
      </w:hyperlink>
      <w:r>
        <w:t xml:space="preserve">. </w:t>
      </w:r>
    </w:p>
    <w:p w14:paraId="4EF179CB" w14:textId="567E9059" w:rsidR="00A746B8" w:rsidRDefault="00A746B8" w:rsidP="003200EF">
      <w:pPr>
        <w:pStyle w:val="BodyText"/>
        <w:spacing w:before="120" w:after="180"/>
      </w:pPr>
      <w:r w:rsidRPr="00A746B8">
        <w:t xml:space="preserve">California Energy Commission. California Commercial End-Use Survey. 2019 vintage data. </w:t>
      </w:r>
      <w:hyperlink r:id="rId28" w:history="1">
        <w:r w:rsidRPr="00F73047">
          <w:rPr>
            <w:rStyle w:val="Hyperlink"/>
          </w:rPr>
          <w:t>https://www.energy.ca.gov/data-reports/surveys/california-commercial-end-use-survey</w:t>
        </w:r>
      </w:hyperlink>
      <w:r w:rsidRPr="00A746B8">
        <w:t>.</w:t>
      </w:r>
      <w:r>
        <w:t xml:space="preserve"> </w:t>
      </w:r>
    </w:p>
    <w:p w14:paraId="6296EC0A" w14:textId="23A5D7EA" w:rsidR="005E090B" w:rsidRDefault="005E090B" w:rsidP="003200EF">
      <w:pPr>
        <w:pStyle w:val="BodyText"/>
        <w:spacing w:before="120" w:after="180"/>
      </w:pPr>
      <w:r w:rsidRPr="005E090B">
        <w:t>California Public Utilities Commission. Disaggregated IOU Customer Gas Demand Database. 2021 vintage data. Accessed via UCLA private database. Private database.</w:t>
      </w:r>
      <w:r>
        <w:t xml:space="preserve"> </w:t>
      </w:r>
    </w:p>
    <w:p w14:paraId="577B6D06" w14:textId="3D505C4B" w:rsidR="00E83631" w:rsidRDefault="00E83631" w:rsidP="003200EF">
      <w:pPr>
        <w:pStyle w:val="BodyText"/>
        <w:spacing w:before="120" w:after="180"/>
      </w:pPr>
      <w:r>
        <w:t xml:space="preserve">California Public Utilities Commission. “Long-Term Gas Planning Rulemaking (Closed).” CPUC, </w:t>
      </w:r>
      <w:hyperlink r:id="rId29" w:history="1">
        <w:r w:rsidRPr="00F73047">
          <w:rPr>
            <w:rStyle w:val="Hyperlink"/>
          </w:rPr>
          <w:t>https://www.cpuc.ca.gov/industries-and-topics/natural-gas/long-term-gas-planning-rulemaking-closed</w:t>
        </w:r>
      </w:hyperlink>
      <w:r>
        <w:t xml:space="preserve">. </w:t>
      </w:r>
    </w:p>
    <w:p w14:paraId="351251C0" w14:textId="2CF098B2" w:rsidR="00E83631" w:rsidRDefault="00E83631" w:rsidP="003200EF">
      <w:pPr>
        <w:pStyle w:val="BodyText"/>
        <w:spacing w:before="120" w:after="180"/>
      </w:pPr>
      <w:r>
        <w:t xml:space="preserve">California Public Utilities Commission. “Revised Gas System Data Ruling.” CPUC, </w:t>
      </w:r>
      <w:hyperlink r:id="rId30" w:history="1">
        <w:r w:rsidR="004D7D41" w:rsidRPr="00F73047">
          <w:rPr>
            <w:rStyle w:val="Hyperlink"/>
          </w:rPr>
          <w:t>https://www.cpuc.ca.gov/-/media/cpuc-website/divisions/energy-division/documents/natural-gas/long-term-gas-planning-oir/rulings/revisedgassystemdataruling09212022.pdf</w:t>
        </w:r>
      </w:hyperlink>
      <w:r>
        <w:t>.</w:t>
      </w:r>
      <w:r w:rsidR="004D7D41">
        <w:t xml:space="preserve"> </w:t>
      </w:r>
    </w:p>
    <w:p w14:paraId="2914EE47" w14:textId="2BC53FC3" w:rsidR="00D9410B" w:rsidRDefault="00D9410B" w:rsidP="003200EF">
      <w:pPr>
        <w:pStyle w:val="BodyText"/>
        <w:spacing w:before="120" w:after="180"/>
      </w:pPr>
      <w:r w:rsidRPr="00D9410B">
        <w:t xml:space="preserve">Federal Emergency Management Agency. National Risk Index: Data Resources. </w:t>
      </w:r>
      <w:hyperlink r:id="rId31" w:history="1">
        <w:r w:rsidR="00D7611C" w:rsidRPr="00F73047">
          <w:rPr>
            <w:rStyle w:val="Hyperlink"/>
          </w:rPr>
          <w:t>https://hazards.fema.gov/nri/data-resources</w:t>
        </w:r>
      </w:hyperlink>
      <w:r w:rsidRPr="00D9410B">
        <w:t>.</w:t>
      </w:r>
      <w:r w:rsidR="00D7611C">
        <w:t xml:space="preserve"> </w:t>
      </w:r>
      <w:r w:rsidRPr="00D9410B">
        <w:t>[hazards.fema.gov]</w:t>
      </w:r>
      <w:r>
        <w:t xml:space="preserve"> </w:t>
      </w:r>
      <w:r w:rsidR="0073779C">
        <w:t>R</w:t>
      </w:r>
      <w:r w:rsidR="0073779C" w:rsidRPr="00A86269">
        <w:t>etrieved July 28, 2023</w:t>
      </w:r>
      <w:r w:rsidR="0073779C">
        <w:t>.</w:t>
      </w:r>
    </w:p>
    <w:p w14:paraId="1AD71309" w14:textId="77777777" w:rsidR="00E83631" w:rsidRDefault="00E83631" w:rsidP="003200EF">
      <w:pPr>
        <w:pStyle w:val="BodyText"/>
        <w:spacing w:before="120" w:after="180"/>
      </w:pPr>
      <w:r>
        <w:t>Hartigan, J. A., and M. A. Wong. “Algorithm AS 136: A K-Means Clustering Algorithm.” Journal of the Royal Statistical Society: Series C (Applied Statistics), vol. 28, no. 1, 1979, pp. 100–108. Oxford University Press, doi:10.2307/2346830.</w:t>
      </w:r>
    </w:p>
    <w:p w14:paraId="48020368" w14:textId="77777777" w:rsidR="00E83631" w:rsidRDefault="00E83631" w:rsidP="003200EF">
      <w:pPr>
        <w:pStyle w:val="BodyText"/>
        <w:spacing w:before="120" w:after="180"/>
      </w:pPr>
      <w:r>
        <w:t>Jenks, George F. “The Data Model Concept in Statistical Mapping.” International Yearbook of Cartography, vol. 7, 1967, pp. 186–190.</w:t>
      </w:r>
    </w:p>
    <w:p w14:paraId="10497D08" w14:textId="77777777" w:rsidR="00E83631" w:rsidRDefault="00E83631" w:rsidP="003200EF">
      <w:pPr>
        <w:pStyle w:val="BodyText"/>
        <w:spacing w:before="120" w:after="180"/>
      </w:pPr>
      <w:r>
        <w:t>Malczewski, Jacek, and Claus Rinner. Introduction to GIS-MCDA. Multicriteria Decision Analysis in Geographic Information Science, Springer, 2015, pp. 23–54.</w:t>
      </w:r>
    </w:p>
    <w:p w14:paraId="5EE70122" w14:textId="338F3414" w:rsidR="00053655" w:rsidRDefault="00053655" w:rsidP="003200EF">
      <w:pPr>
        <w:pStyle w:val="BodyText"/>
        <w:spacing w:before="120" w:after="180"/>
      </w:pPr>
      <w:r w:rsidRPr="00053655">
        <w:t xml:space="preserve">McMillan, Colin, and Vinayak Narwade. United States County-Level Industrial Energy Use. National Renewable Energy Laboratory, 2018. Updated 22 July 2025. </w:t>
      </w:r>
      <w:hyperlink r:id="rId32" w:history="1">
        <w:r w:rsidRPr="00F73047">
          <w:rPr>
            <w:rStyle w:val="Hyperlink"/>
          </w:rPr>
          <w:t>https://data.nrel.gov/submissions/97</w:t>
        </w:r>
      </w:hyperlink>
      <w:r w:rsidRPr="00053655">
        <w:t>.</w:t>
      </w:r>
      <w:r>
        <w:t xml:space="preserve"> </w:t>
      </w:r>
    </w:p>
    <w:p w14:paraId="0AF23941" w14:textId="310DF729" w:rsidR="00063C27" w:rsidRDefault="00063C27" w:rsidP="003200EF">
      <w:pPr>
        <w:pStyle w:val="BodyText"/>
        <w:spacing w:before="120" w:after="180"/>
      </w:pPr>
      <w:r w:rsidRPr="00063C27">
        <w:t xml:space="preserve">Office of Environmental Health Hazard Assessment. CalEnviroScreen 4.0 Data Dictionary. </w:t>
      </w:r>
      <w:hyperlink r:id="rId33" w:history="1">
        <w:r w:rsidRPr="00F73047">
          <w:rPr>
            <w:rStyle w:val="Hyperlink"/>
          </w:rPr>
          <w:t>https://oehha.ca.gov/media/downloads/calenviroscreen/document/calenviroscreen40resultsdatadictionaryf2021.zip</w:t>
        </w:r>
      </w:hyperlink>
      <w:r w:rsidRPr="00063C27">
        <w:t>.</w:t>
      </w:r>
      <w:r>
        <w:t xml:space="preserve"> </w:t>
      </w:r>
      <w:r w:rsidR="009A70DB">
        <w:t>R</w:t>
      </w:r>
      <w:r w:rsidR="009A70DB" w:rsidRPr="009A70DB">
        <w:t>etrieved July 28, 2023</w:t>
      </w:r>
    </w:p>
    <w:p w14:paraId="23847CC7" w14:textId="439462FC" w:rsidR="00815BD3" w:rsidRDefault="005A55F4" w:rsidP="003200EF">
      <w:pPr>
        <w:pStyle w:val="BodyText"/>
        <w:spacing w:before="120" w:after="180"/>
      </w:pPr>
      <w:r w:rsidRPr="005A55F4">
        <w:t xml:space="preserve">U.S. Census Bureau. American Community Survey 5-Year Estimates Data Profiles, 2022. </w:t>
      </w:r>
      <w:hyperlink r:id="rId34" w:history="1">
        <w:r w:rsidRPr="00F73047">
          <w:rPr>
            <w:rStyle w:val="Hyperlink"/>
          </w:rPr>
          <w:t>https://data.census.gov/table?g=040XX00US06$1400000&amp;y=2022&amp;d=ACS+5-Year+Estimates+Data+Profiles</w:t>
        </w:r>
      </w:hyperlink>
      <w:r w:rsidRPr="005A55F4">
        <w:t>.</w:t>
      </w:r>
      <w:r>
        <w:t xml:space="preserve"> </w:t>
      </w:r>
      <w:r w:rsidR="00A046F0">
        <w:t>A</w:t>
      </w:r>
      <w:r w:rsidR="00A046F0" w:rsidRPr="00C820CB">
        <w:t>ccessed March 11, 2025</w:t>
      </w:r>
      <w:r w:rsidR="00A046F0">
        <w:t>.</w:t>
      </w:r>
    </w:p>
    <w:p w14:paraId="13FFE68F" w14:textId="187B8564" w:rsidR="00AC5777" w:rsidRDefault="00AC5777" w:rsidP="003200EF">
      <w:pPr>
        <w:pStyle w:val="BodyText"/>
        <w:spacing w:before="120" w:after="180"/>
      </w:pPr>
      <w:r w:rsidRPr="00AC5777">
        <w:t xml:space="preserve">U.S. Department of Agriculture, Economic Research Service. Food Access Research Atlas. </w:t>
      </w:r>
      <w:hyperlink r:id="rId35" w:history="1">
        <w:r w:rsidRPr="00F73047">
          <w:rPr>
            <w:rStyle w:val="Hyperlink"/>
          </w:rPr>
          <w:t>https://www.ers.usda.gov/data-products/food-access-research-atlas</w:t>
        </w:r>
      </w:hyperlink>
      <w:r w:rsidRPr="00AC5777">
        <w:t>.</w:t>
      </w:r>
      <w:r>
        <w:t xml:space="preserve"> </w:t>
      </w:r>
      <w:r w:rsidR="00827990">
        <w:t xml:space="preserve">Retrieved </w:t>
      </w:r>
      <w:r w:rsidR="00827990" w:rsidRPr="00B5275C">
        <w:t>March 11, 2025</w:t>
      </w:r>
      <w:r w:rsidR="00827990">
        <w:t>.</w:t>
      </w:r>
    </w:p>
    <w:p w14:paraId="28A1A2ED" w14:textId="38BAC78D" w:rsidR="005C2787" w:rsidRDefault="005C2787" w:rsidP="003200EF">
      <w:pPr>
        <w:pStyle w:val="BodyText"/>
        <w:spacing w:before="120" w:after="180"/>
      </w:pPr>
      <w:r w:rsidRPr="005C2787">
        <w:t xml:space="preserve">U.S. Department of Energy. Low-Income Energy Affordability Data (LEAD) Tool. Office of State and Community Energy Programs, </w:t>
      </w:r>
      <w:hyperlink r:id="rId36" w:history="1">
        <w:r w:rsidRPr="00F73047">
          <w:rPr>
            <w:rStyle w:val="Hyperlink"/>
          </w:rPr>
          <w:t>https://www.energy.gov/scep/slsc/lead-tool</w:t>
        </w:r>
      </w:hyperlink>
      <w:r w:rsidRPr="005C2787">
        <w:t>.</w:t>
      </w:r>
      <w:r>
        <w:t xml:space="preserve"> </w:t>
      </w:r>
      <w:r w:rsidR="00A046F0">
        <w:rPr>
          <w:color w:val="000000" w:themeColor="text1"/>
        </w:rPr>
        <w:t>R</w:t>
      </w:r>
      <w:r w:rsidR="00A046F0" w:rsidRPr="0098262E">
        <w:rPr>
          <w:color w:val="000000" w:themeColor="text1"/>
        </w:rPr>
        <w:t>etrieved July 28, 2023</w:t>
      </w:r>
      <w:r w:rsidR="00A046F0">
        <w:rPr>
          <w:color w:val="000000" w:themeColor="text1"/>
        </w:rPr>
        <w:t>.</w:t>
      </w:r>
    </w:p>
    <w:p w14:paraId="785CC824" w14:textId="7C699DB2" w:rsidR="00646146" w:rsidRDefault="00646146" w:rsidP="003200EF">
      <w:pPr>
        <w:pStyle w:val="BodyText"/>
        <w:spacing w:before="120" w:after="180"/>
      </w:pPr>
      <w:r w:rsidRPr="00646146">
        <w:t xml:space="preserve">U.S. Energy Information Administration. 2022 Manufacturing Energy Consumption Survey: Highlights from Data Releases 1 &amp; 2. U.S. Department of Energy, 2025. </w:t>
      </w:r>
      <w:hyperlink r:id="rId37" w:history="1">
        <w:r w:rsidRPr="00F73047">
          <w:rPr>
            <w:rStyle w:val="Hyperlink"/>
          </w:rPr>
          <w:t>https://www.eia.gov/consumption/manufacturing/data/2022/pdf/MECS%202022%20Release%201-2%20Results.pdf</w:t>
        </w:r>
      </w:hyperlink>
      <w:r w:rsidRPr="00646146">
        <w:t>.</w:t>
      </w:r>
      <w:r>
        <w:t xml:space="preserve"> </w:t>
      </w:r>
    </w:p>
    <w:p w14:paraId="0341BDD5" w14:textId="7EBE8BF8" w:rsidR="00815BD3" w:rsidRDefault="00182F26" w:rsidP="003200EF">
      <w:pPr>
        <w:spacing w:before="120" w:after="180" w:line="276" w:lineRule="auto"/>
        <w:rPr>
          <w:color w:val="000000" w:themeColor="text1"/>
        </w:rPr>
      </w:pPr>
      <w:r w:rsidRPr="00182F26">
        <w:t xml:space="preserve">U.S. Environmental Protection Agency. Download EJSCREEN Data. EJSCREEN: Environmental Justice Screening and Mapping Tool, </w:t>
      </w:r>
      <w:hyperlink r:id="rId38" w:history="1">
        <w:r w:rsidRPr="00F73047">
          <w:rPr>
            <w:rStyle w:val="Hyperlink"/>
          </w:rPr>
          <w:t>https://www.epa.gov/ejscreen/download-ejscreen-data</w:t>
        </w:r>
      </w:hyperlink>
      <w:r w:rsidRPr="00182F26">
        <w:t>.</w:t>
      </w:r>
      <w:r>
        <w:t xml:space="preserve"> </w:t>
      </w:r>
      <w:r w:rsidRPr="00182F26">
        <w:t>(No longer available).</w:t>
      </w:r>
      <w:r>
        <w:t xml:space="preserve"> </w:t>
      </w:r>
      <w:r w:rsidR="00B00345">
        <w:rPr>
          <w:color w:val="000000" w:themeColor="text1"/>
        </w:rPr>
        <w:t>R</w:t>
      </w:r>
      <w:r w:rsidR="00B00345" w:rsidRPr="00326EF4">
        <w:rPr>
          <w:color w:val="000000" w:themeColor="text1"/>
        </w:rPr>
        <w:t>etrieved July 28, 2023</w:t>
      </w:r>
      <w:r w:rsidR="00B00345">
        <w:rPr>
          <w:color w:val="000000" w:themeColor="text1"/>
        </w:rPr>
        <w:t>.</w:t>
      </w:r>
    </w:p>
    <w:p w14:paraId="347908AC" w14:textId="46103348" w:rsidR="00815BD3" w:rsidRDefault="009D77F6" w:rsidP="003200EF">
      <w:pPr>
        <w:spacing w:before="120" w:after="180" w:line="276" w:lineRule="auto"/>
      </w:pPr>
      <w:r w:rsidRPr="009D77F6">
        <w:t xml:space="preserve">University of Michigan Institute for Social Research. National Neighborhood Data Archive (NaNDA). Inter-university Consortium for Political and Social Research, </w:t>
      </w:r>
      <w:hyperlink r:id="rId39" w:history="1">
        <w:r w:rsidRPr="00F73047">
          <w:rPr>
            <w:rStyle w:val="Hyperlink"/>
          </w:rPr>
          <w:t>https://www.icpsr.umich.edu/web/ICPSR/studies/38605</w:t>
        </w:r>
      </w:hyperlink>
      <w:r w:rsidRPr="009D77F6">
        <w:t>.</w:t>
      </w:r>
      <w:r>
        <w:t xml:space="preserve"> Retrieved </w:t>
      </w:r>
      <w:r w:rsidRPr="00B5275C">
        <w:t>March 11, 2025</w:t>
      </w:r>
      <w:r>
        <w:t>.</w:t>
      </w:r>
    </w:p>
    <w:p w14:paraId="64E1C6E1" w14:textId="77777777" w:rsidR="00DB4F2E" w:rsidRDefault="00DB4F2E">
      <w:pPr>
        <w:spacing w:after="200" w:line="276" w:lineRule="auto"/>
        <w:sectPr w:rsidR="00DB4F2E" w:rsidSect="00B31A7E">
          <w:headerReference w:type="even" r:id="rId40"/>
          <w:headerReference w:type="default" r:id="rId41"/>
          <w:footerReference w:type="even" r:id="rId42"/>
          <w:headerReference w:type="first" r:id="rId43"/>
          <w:footerReference w:type="first" r:id="rId44"/>
          <w:pgSz w:w="12240" w:h="15840" w:code="1"/>
          <w:pgMar w:top="1269" w:right="1134" w:bottom="1361" w:left="1191" w:header="774" w:footer="567" w:gutter="0"/>
          <w:pgNumType w:start="1"/>
          <w:cols w:space="708"/>
          <w:docGrid w:linePitch="360"/>
        </w:sectPr>
      </w:pPr>
    </w:p>
    <w:p w14:paraId="30406CAA" w14:textId="5B023361" w:rsidR="00E72646" w:rsidRDefault="00BA30AB" w:rsidP="005F19EB">
      <w:pPr>
        <w:pStyle w:val="Heading7"/>
      </w:pPr>
      <w:bookmarkStart w:id="58" w:name="_Ref213830070"/>
      <w:bookmarkStart w:id="59" w:name="_Toc213837961"/>
      <w:r>
        <w:t xml:space="preserve">Network Diagram </w:t>
      </w:r>
      <w:r w:rsidRPr="000E5414">
        <w:t xml:space="preserve">Depicting </w:t>
      </w:r>
      <w:r w:rsidR="003313DC">
        <w:t>the</w:t>
      </w:r>
      <w:r w:rsidRPr="000E5414">
        <w:t xml:space="preserve"> Mapping </w:t>
      </w:r>
      <w:r w:rsidR="003313DC">
        <w:t>of</w:t>
      </w:r>
      <w:r w:rsidRPr="000E5414">
        <w:t xml:space="preserve"> </w:t>
      </w:r>
      <w:r w:rsidR="00BC64D0">
        <w:t>Variables</w:t>
      </w:r>
      <w:r w:rsidRPr="000E5414">
        <w:t xml:space="preserve"> </w:t>
      </w:r>
      <w:r w:rsidR="003313DC">
        <w:t>to</w:t>
      </w:r>
      <w:r w:rsidRPr="000E5414">
        <w:t xml:space="preserve"> S</w:t>
      </w:r>
      <w:r w:rsidR="009E56F7">
        <w:t>u</w:t>
      </w:r>
      <w:r w:rsidR="00BC64D0">
        <w:t xml:space="preserve">b-indices </w:t>
      </w:r>
      <w:r w:rsidR="003313DC">
        <w:t>and</w:t>
      </w:r>
      <w:r w:rsidR="00BC64D0">
        <w:t xml:space="preserve"> Indic</w:t>
      </w:r>
      <w:r w:rsidRPr="000E5414">
        <w:t>es</w:t>
      </w:r>
      <w:bookmarkEnd w:id="58"/>
      <w:bookmarkEnd w:id="59"/>
    </w:p>
    <w:p w14:paraId="511A2525" w14:textId="4AD436F7" w:rsidR="00210AE1" w:rsidRDefault="00BA30AB" w:rsidP="005F19EB">
      <w:pPr>
        <w:pStyle w:val="BodyText"/>
        <w:widowControl w:val="0"/>
      </w:pPr>
      <w:r>
        <w:rPr>
          <w:rFonts w:ascii="Times New Roman" w:hAnsi="Times New Roman" w:cs="Times New Roman"/>
          <w:noProof/>
          <w:sz w:val="24"/>
          <w:szCs w:val="24"/>
          <w:lang w:val="en-US" w:eastAsia="en-US"/>
        </w:rPr>
        <mc:AlternateContent>
          <mc:Choice Requires="wps">
            <w:drawing>
              <wp:anchor distT="0" distB="0" distL="114300" distR="114300" simplePos="0" relativeHeight="251658240" behindDoc="0" locked="0" layoutInCell="1" allowOverlap="1" wp14:anchorId="5597B866" wp14:editId="3D10EA85">
                <wp:simplePos x="0" y="0"/>
                <wp:positionH relativeFrom="margin">
                  <wp:posOffset>6829425</wp:posOffset>
                </wp:positionH>
                <wp:positionV relativeFrom="paragraph">
                  <wp:posOffset>38100</wp:posOffset>
                </wp:positionV>
                <wp:extent cx="2146300" cy="3105150"/>
                <wp:effectExtent l="0" t="0" r="6350" b="0"/>
                <wp:wrapNone/>
                <wp:docPr id="1026919444" name="Text Box 2"/>
                <wp:cNvGraphicFramePr/>
                <a:graphic xmlns:a="http://schemas.openxmlformats.org/drawingml/2006/main">
                  <a:graphicData uri="http://schemas.microsoft.com/office/word/2010/wordprocessingShape">
                    <wps:wsp>
                      <wps:cNvSpPr txBox="1"/>
                      <wps:spPr>
                        <a:xfrm>
                          <a:off x="0" y="0"/>
                          <a:ext cx="2146300" cy="3105150"/>
                        </a:xfrm>
                        <a:prstGeom prst="rect">
                          <a:avLst/>
                        </a:prstGeom>
                        <a:solidFill>
                          <a:schemeClr val="tx2"/>
                        </a:solidFill>
                        <a:ln w="6350">
                          <a:noFill/>
                        </a:ln>
                      </wps:spPr>
                      <wps:txbx>
                        <w:txbxContent>
                          <w:p w14:paraId="388A10B3" w14:textId="77777777" w:rsidR="00BA30AB" w:rsidRDefault="00BA30AB" w:rsidP="00BA30AB">
                            <w:pPr>
                              <w:spacing w:before="120" w:after="120" w:line="360" w:lineRule="auto"/>
                              <w:rPr>
                                <w:sz w:val="24"/>
                                <w:szCs w:val="24"/>
                              </w:rPr>
                            </w:pPr>
                            <w:r>
                              <w:rPr>
                                <w:sz w:val="24"/>
                                <w:szCs w:val="24"/>
                              </w:rPr>
                              <w:t xml:space="preserve">This network diagram depicts the hierarchical structure of the multi-level index dataset developed for use in the tool. </w:t>
                            </w:r>
                          </w:p>
                          <w:p w14:paraId="23AF6F3B" w14:textId="29C1B97B" w:rsidR="00BA30AB" w:rsidRDefault="00BA30AB" w:rsidP="00BA30AB">
                            <w:pPr>
                              <w:spacing w:before="120" w:after="120" w:line="360" w:lineRule="auto"/>
                              <w:rPr>
                                <w:sz w:val="24"/>
                                <w:szCs w:val="24"/>
                              </w:rPr>
                            </w:pPr>
                            <w:r>
                              <w:rPr>
                                <w:sz w:val="24"/>
                                <w:szCs w:val="24"/>
                              </w:rPr>
                              <w:t xml:space="preserve">It illustrates the mapping of </w:t>
                            </w:r>
                            <w:r w:rsidR="00084191">
                              <w:rPr>
                                <w:sz w:val="24"/>
                                <w:szCs w:val="24"/>
                              </w:rPr>
                              <w:t>indices</w:t>
                            </w:r>
                            <w:r>
                              <w:rPr>
                                <w:sz w:val="24"/>
                                <w:szCs w:val="24"/>
                              </w:rPr>
                              <w:t xml:space="preserve"> (orange) to </w:t>
                            </w:r>
                            <w:r w:rsidR="00223378">
                              <w:rPr>
                                <w:sz w:val="24"/>
                                <w:szCs w:val="24"/>
                              </w:rPr>
                              <w:t>sub-indices</w:t>
                            </w:r>
                            <w:r>
                              <w:rPr>
                                <w:sz w:val="24"/>
                                <w:szCs w:val="24"/>
                              </w:rPr>
                              <w:t xml:space="preserve"> (green) as well as from </w:t>
                            </w:r>
                            <w:r w:rsidR="00223378">
                              <w:rPr>
                                <w:sz w:val="24"/>
                                <w:szCs w:val="24"/>
                              </w:rPr>
                              <w:t>sub-indices</w:t>
                            </w:r>
                            <w:r>
                              <w:rPr>
                                <w:sz w:val="24"/>
                                <w:szCs w:val="24"/>
                              </w:rPr>
                              <w:t xml:space="preserve"> to component variables (blue).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7B866" id="_x0000_t202" coordsize="21600,21600" o:spt="202" path="m,l,21600r21600,l21600,xe">
                <v:stroke joinstyle="miter"/>
                <v:path gradientshapeok="t" o:connecttype="rect"/>
              </v:shapetype>
              <v:shape id="Text Box 2" o:spid="_x0000_s1026" type="#_x0000_t202" style="position:absolute;margin-left:537.75pt;margin-top:3pt;width:169pt;height:244.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" fillcolor="#0f204b [3215]" stroked="f" strokeweight=".5pt">
                <v:textbox>
                  <w:txbxContent>
                    <w:p w14:paraId="388A10B3" w14:textId="77777777" w:rsidR="00BA30AB" w:rsidRDefault="00BA30AB" w:rsidP="00BA30AB">
                      <w:pPr>
                        <w:spacing w:before="120" w:after="120" w:line="360" w:lineRule="auto"/>
                        <w:rPr>
                          <w:sz w:val="24"/>
                          <w:szCs w:val="24"/>
                        </w:rPr>
                      </w:pPr>
                      <w:r>
                        <w:rPr>
                          <w:sz w:val="24"/>
                          <w:szCs w:val="24"/>
                        </w:rPr>
                        <w:t xml:space="preserve">This network diagram depicts the hierarchical structure of the multi-level index dataset developed for use in the tool. </w:t>
                      </w:r>
                    </w:p>
                    <w:p w14:paraId="23AF6F3B" w14:textId="29C1B97B" w:rsidR="00BA30AB" w:rsidRDefault="00BA30AB" w:rsidP="00BA30AB">
                      <w:pPr>
                        <w:spacing w:before="120" w:after="120" w:line="360" w:lineRule="auto"/>
                        <w:rPr>
                          <w:sz w:val="24"/>
                          <w:szCs w:val="24"/>
                        </w:rPr>
                      </w:pPr>
                      <w:r>
                        <w:rPr>
                          <w:sz w:val="24"/>
                          <w:szCs w:val="24"/>
                        </w:rPr>
                        <w:t xml:space="preserve">It illustrates the mapping of </w:t>
                      </w:r>
                      <w:r w:rsidR="00084191">
                        <w:rPr>
                          <w:sz w:val="24"/>
                          <w:szCs w:val="24"/>
                        </w:rPr>
                        <w:t>indices</w:t>
                      </w:r>
                      <w:r>
                        <w:rPr>
                          <w:sz w:val="24"/>
                          <w:szCs w:val="24"/>
                        </w:rPr>
                        <w:t xml:space="preserve"> (orange) to </w:t>
                      </w:r>
                      <w:r w:rsidR="00223378">
                        <w:rPr>
                          <w:sz w:val="24"/>
                          <w:szCs w:val="24"/>
                        </w:rPr>
                        <w:t>sub-indices</w:t>
                      </w:r>
                      <w:r>
                        <w:rPr>
                          <w:sz w:val="24"/>
                          <w:szCs w:val="24"/>
                        </w:rPr>
                        <w:t xml:space="preserve"> (green) as well as from </w:t>
                      </w:r>
                      <w:r w:rsidR="00223378">
                        <w:rPr>
                          <w:sz w:val="24"/>
                          <w:szCs w:val="24"/>
                        </w:rPr>
                        <w:t>sub-indices</w:t>
                      </w:r>
                      <w:r>
                        <w:rPr>
                          <w:sz w:val="24"/>
                          <w:szCs w:val="24"/>
                        </w:rPr>
                        <w:t xml:space="preserve"> to component variables (blue).</w:t>
                      </w:r>
                    </w:p>
                  </w:txbxContent>
                </v:textbox>
                <w10:wrap anchorx="margin"/>
              </v:shape>
            </w:pict>
          </mc:Fallback>
        </mc:AlternateContent>
      </w:r>
      <w:r w:rsidR="00E72646" w:rsidRPr="0042322D">
        <w:rPr>
          <w:noProof/>
        </w:rPr>
        <w:drawing>
          <wp:inline distT="0" distB="0" distL="0" distR="0" wp14:anchorId="2DBFE06B" wp14:editId="4A52EFBE">
            <wp:extent cx="5527020" cy="4829175"/>
            <wp:effectExtent l="0" t="0" r="0" b="0"/>
            <wp:docPr id="334435336" name="Picture 1" descr="A network diagram with many dots and lines, that depicts the hierarchical structure of the multi-level index dataset developed for use in the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35336" name="Picture 1" descr="A network diagram with many dots and lines, that depicts the hierarchical structure of the multi-level index dataset developed for use in the Tool."/>
                    <pic:cNvPicPr/>
                  </pic:nvPicPr>
                  <pic:blipFill>
                    <a:blip r:embed="rId45" cstate="print">
                      <a:extLst>
                        <a:ext uri="{28A0092B-C50C-407E-A947-70E740481C1C}">
                          <a14:useLocalDpi xmlns:a14="http://schemas.microsoft.com/office/drawing/2010/main"/>
                        </a:ext>
                      </a:extLst>
                    </a:blip>
                    <a:stretch>
                      <a:fillRect/>
                    </a:stretch>
                  </pic:blipFill>
                  <pic:spPr>
                    <a:xfrm>
                      <a:off x="0" y="0"/>
                      <a:ext cx="5564644" cy="4862049"/>
                    </a:xfrm>
                    <a:prstGeom prst="rect">
                      <a:avLst/>
                    </a:prstGeom>
                  </pic:spPr>
                </pic:pic>
              </a:graphicData>
            </a:graphic>
          </wp:inline>
        </w:drawing>
      </w:r>
      <w:r w:rsidRPr="00BA30AB">
        <w:rPr>
          <w:rFonts w:ascii="Times New Roman" w:hAnsi="Times New Roman" w:cs="Times New Roman"/>
          <w:sz w:val="24"/>
          <w:szCs w:val="24"/>
          <w:lang w:val="en-US" w:eastAsia="en-US"/>
        </w:rPr>
        <w:t xml:space="preserve"> </w:t>
      </w:r>
    </w:p>
    <w:p w14:paraId="647C5336" w14:textId="77777777" w:rsidR="008C6565" w:rsidRPr="008C6565" w:rsidRDefault="008C6565" w:rsidP="005F19EB"/>
    <w:p w14:paraId="5D153778" w14:textId="77777777" w:rsidR="008C6565" w:rsidRPr="008C6565" w:rsidRDefault="008C6565" w:rsidP="005F19EB">
      <w:pPr>
        <w:sectPr w:rsidR="008C6565" w:rsidRPr="008C6565" w:rsidSect="00694E64">
          <w:headerReference w:type="even" r:id="rId46"/>
          <w:headerReference w:type="default" r:id="rId47"/>
          <w:footerReference w:type="default" r:id="rId48"/>
          <w:headerReference w:type="first" r:id="rId49"/>
          <w:pgSz w:w="16839" w:h="11907" w:orient="landscape"/>
          <w:pgMar w:top="1191" w:right="1359" w:bottom="1134" w:left="1361" w:header="774" w:footer="567" w:gutter="0"/>
          <w:pgNumType w:start="1" w:chapStyle="7"/>
          <w:cols w:space="708"/>
          <w:docGrid w:linePitch="360"/>
        </w:sectPr>
      </w:pPr>
    </w:p>
    <w:p w14:paraId="2E25A963" w14:textId="737B325F" w:rsidR="00273F96" w:rsidRDefault="00684037" w:rsidP="00CF348C">
      <w:pPr>
        <w:pStyle w:val="Heading7"/>
      </w:pPr>
      <w:bookmarkStart w:id="60" w:name="_Ref207808325"/>
      <w:bookmarkStart w:id="61" w:name="_Toc213837962"/>
      <w:r>
        <w:t>W</w:t>
      </w:r>
      <w:r w:rsidR="00F050C3" w:rsidRPr="00F050C3">
        <w:t xml:space="preserve">eighting Coefficients </w:t>
      </w:r>
      <w:r w:rsidR="005C63D1">
        <w:t>– Detailed Tables</w:t>
      </w:r>
      <w:bookmarkEnd w:id="60"/>
      <w:bookmarkEnd w:id="61"/>
    </w:p>
    <w:p w14:paraId="204445C0" w14:textId="77777777" w:rsidR="005C63D1" w:rsidRDefault="005C63D1" w:rsidP="002D4798">
      <w:pPr>
        <w:pStyle w:val="Heading2-NoNumbers"/>
      </w:pPr>
      <w:bookmarkStart w:id="62" w:name="_Toc213837963"/>
      <w:r w:rsidRPr="00711556">
        <w:t>Commercial Sectors</w:t>
      </w:r>
      <w:bookmarkEnd w:id="62"/>
    </w:p>
    <w:tbl>
      <w:tblPr>
        <w:tblStyle w:val="DNV"/>
        <w:tblW w:w="14130" w:type="dxa"/>
        <w:tblLook w:val="04A0" w:firstRow="1" w:lastRow="0" w:firstColumn="1" w:lastColumn="0" w:noHBand="0" w:noVBand="1"/>
      </w:tblPr>
      <w:tblGrid>
        <w:gridCol w:w="1404"/>
        <w:gridCol w:w="894"/>
        <w:gridCol w:w="5802"/>
        <w:gridCol w:w="6030"/>
      </w:tblGrid>
      <w:tr w:rsidR="005C63D1" w:rsidRPr="007808C8" w14:paraId="128E92B1" w14:textId="77777777" w:rsidTr="007808C8">
        <w:trPr>
          <w:trHeight w:val="458"/>
          <w:tblHeader/>
        </w:trPr>
        <w:tc>
          <w:tcPr>
            <w:tcW w:w="1404" w:type="dxa"/>
          </w:tcPr>
          <w:p w14:paraId="76348BCC" w14:textId="77777777" w:rsidR="005C63D1" w:rsidRPr="007808C8" w:rsidRDefault="005C63D1" w:rsidP="007808C8">
            <w:pPr>
              <w:pStyle w:val="Table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End-Use Category</w:t>
            </w:r>
          </w:p>
        </w:tc>
        <w:tc>
          <w:tcPr>
            <w:tcW w:w="894" w:type="dxa"/>
          </w:tcPr>
          <w:p w14:paraId="58E40206" w14:textId="77777777" w:rsidR="005C63D1" w:rsidRPr="007808C8" w:rsidRDefault="005C63D1" w:rsidP="007808C8">
            <w:pPr>
              <w:pStyle w:val="Table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Weight</w:t>
            </w:r>
          </w:p>
        </w:tc>
        <w:tc>
          <w:tcPr>
            <w:tcW w:w="5802" w:type="dxa"/>
          </w:tcPr>
          <w:p w14:paraId="3E2E9631" w14:textId="77777777" w:rsidR="005C63D1" w:rsidRPr="007808C8" w:rsidRDefault="005C63D1" w:rsidP="007808C8">
            <w:pPr>
              <w:pStyle w:val="Table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Justification</w:t>
            </w:r>
          </w:p>
        </w:tc>
        <w:tc>
          <w:tcPr>
            <w:tcW w:w="6030" w:type="dxa"/>
          </w:tcPr>
          <w:p w14:paraId="1C44B2DD" w14:textId="77777777" w:rsidR="005C63D1" w:rsidRPr="007808C8" w:rsidRDefault="005C63D1" w:rsidP="007808C8">
            <w:pPr>
              <w:pStyle w:val="TableHeader"/>
              <w:spacing w:before="0" w:after="0"/>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 xml:space="preserve">Sources </w:t>
            </w:r>
          </w:p>
        </w:tc>
      </w:tr>
      <w:tr w:rsidR="005C63D1" w:rsidRPr="007808C8" w14:paraId="07CB167B" w14:textId="77777777" w:rsidTr="007808C8">
        <w:tc>
          <w:tcPr>
            <w:tcW w:w="1404" w:type="dxa"/>
          </w:tcPr>
          <w:p w14:paraId="029E51F1"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Space Heating &amp; Cooling</w:t>
            </w:r>
          </w:p>
          <w:p w14:paraId="0EBA4287"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p>
        </w:tc>
        <w:tc>
          <w:tcPr>
            <w:tcW w:w="894" w:type="dxa"/>
          </w:tcPr>
          <w:p w14:paraId="1A96DC76"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1</w:t>
            </w:r>
          </w:p>
        </w:tc>
        <w:tc>
          <w:tcPr>
            <w:tcW w:w="5802" w:type="dxa"/>
          </w:tcPr>
          <w:p w14:paraId="289453D0" w14:textId="5EC4EBED"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 xml:space="preserve">Comparable heating technology such as mini split heat pumps and ducted heat pumps are readily available. Costs can be marginally higher for </w:t>
            </w:r>
            <w:r w:rsidR="00E73DE4" w:rsidRPr="007808C8">
              <w:rPr>
                <w:sz w:val="17"/>
                <w:szCs w:val="17"/>
              </w:rPr>
              <w:t>this equipment</w:t>
            </w:r>
            <w:r w:rsidRPr="007808C8">
              <w:rPr>
                <w:sz w:val="17"/>
                <w:szCs w:val="17"/>
              </w:rPr>
              <w:t xml:space="preserve">. Output is the same and can also compensate for cooling technology. There are no restricted industry norms or standard practices. Contractors are offering this, and state policy offers incentives to contractors and business owners. </w:t>
            </w:r>
          </w:p>
        </w:tc>
        <w:tc>
          <w:tcPr>
            <w:tcW w:w="6030" w:type="dxa"/>
          </w:tcPr>
          <w:p w14:paraId="5D602E33" w14:textId="77777777"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California Energy Codes and Standards Cost-Effectiveness Studies 2022 Nonresidential New Construction and Existing Building Reports</w:t>
            </w:r>
          </w:p>
          <w:p w14:paraId="2192621F" w14:textId="01D238D8"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0" w:tgtFrame="_self" w:history="1">
              <w:r w:rsidRPr="007808C8">
                <w:rPr>
                  <w:rStyle w:val="Hyperlink"/>
                  <w:sz w:val="17"/>
                  <w:szCs w:val="17"/>
                </w:rPr>
                <w:t>https://opiniondynamics.com/wp-content/uploads/2022/06/OD-CPUC-Heat-Pump-Market-Study-Report-f.pdf</w:t>
              </w:r>
            </w:hyperlink>
          </w:p>
        </w:tc>
      </w:tr>
      <w:tr w:rsidR="005C63D1" w:rsidRPr="007808C8" w14:paraId="2B935C9D" w14:textId="77777777" w:rsidTr="007808C8">
        <w:tc>
          <w:tcPr>
            <w:tcW w:w="1404" w:type="dxa"/>
          </w:tcPr>
          <w:p w14:paraId="152A30A6"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 xml:space="preserve">Water Heating </w:t>
            </w:r>
          </w:p>
          <w:p w14:paraId="0E98FA1E"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p>
        </w:tc>
        <w:tc>
          <w:tcPr>
            <w:tcW w:w="894" w:type="dxa"/>
          </w:tcPr>
          <w:p w14:paraId="1DC01203"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802" w:type="dxa"/>
          </w:tcPr>
          <w:p w14:paraId="6C7FD102"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 xml:space="preserve">Widely available electric-based technology alternatives. Heat pumps can be used for low-temperature water applications, while resistance-based systems can be used for higher temperature water requirements. </w:t>
            </w:r>
          </w:p>
        </w:tc>
        <w:tc>
          <w:tcPr>
            <w:tcW w:w="6030" w:type="dxa"/>
          </w:tcPr>
          <w:p w14:paraId="7E822459" w14:textId="77777777" w:rsidR="005C63D1" w:rsidRPr="007808C8" w:rsidRDefault="005C63D1" w:rsidP="007808C8">
            <w:pPr>
              <w:spacing w:line="278" w:lineRule="auto"/>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California Energy Codes and Standards Cost-Effectiveness Studies 2022 Nonresidential New Construction and Existing Building Reports</w:t>
            </w:r>
          </w:p>
          <w:p w14:paraId="1E367E2E" w14:textId="71730C62" w:rsidR="005C63D1" w:rsidRPr="007808C8" w:rsidRDefault="005C63D1" w:rsidP="007808C8">
            <w:pPr>
              <w:spacing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51" w:tgtFrame="_self" w:history="1">
              <w:r w:rsidRPr="007808C8">
                <w:rPr>
                  <w:rStyle w:val="Hyperlink"/>
                  <w:sz w:val="17"/>
                  <w:szCs w:val="17"/>
                </w:rPr>
                <w:t>https://www.energy.ca.gov/publications/2021/demonstration-high-efficiency-commercial-cooking-equipment-and-kitchen</w:t>
              </w:r>
            </w:hyperlink>
          </w:p>
        </w:tc>
      </w:tr>
      <w:tr w:rsidR="005C63D1" w:rsidRPr="007808C8" w14:paraId="3413254F" w14:textId="77777777" w:rsidTr="007808C8">
        <w:tc>
          <w:tcPr>
            <w:tcW w:w="1404" w:type="dxa"/>
          </w:tcPr>
          <w:p w14:paraId="4F54CBD3"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Cooking</w:t>
            </w:r>
          </w:p>
        </w:tc>
        <w:tc>
          <w:tcPr>
            <w:tcW w:w="894" w:type="dxa"/>
          </w:tcPr>
          <w:p w14:paraId="031C40DD"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2</w:t>
            </w:r>
          </w:p>
        </w:tc>
        <w:tc>
          <w:tcPr>
            <w:tcW w:w="5802" w:type="dxa"/>
          </w:tcPr>
          <w:p w14:paraId="6DF0FE47"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 xml:space="preserve">Commercially ready, offered by contractors, rebates available, and offered in stores. Though the cost of these appliances is significantly higher than natural gas cooking appliances. Industry norms lean towards using natural gas cooking appliances due to perception that they are 'better for cooking' and have more heat control, though manufacturers claim they have comparative performance to gas power cooking equipment. </w:t>
            </w:r>
          </w:p>
        </w:tc>
        <w:tc>
          <w:tcPr>
            <w:tcW w:w="6030" w:type="dxa"/>
          </w:tcPr>
          <w:p w14:paraId="5157D923" w14:textId="77777777"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California Energy Codes and Standards Cost-Effectiveness Studies 2022 Nonresidential New Construction and Existing Building Reports</w:t>
            </w:r>
          </w:p>
          <w:p w14:paraId="3232017C" w14:textId="77777777"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2" w:tgtFrame="_self" w:history="1">
              <w:r w:rsidRPr="007808C8">
                <w:rPr>
                  <w:rStyle w:val="Hyperlink"/>
                  <w:sz w:val="17"/>
                  <w:szCs w:val="17"/>
                </w:rPr>
                <w:t>https://www.energy.ca.gov/publications/2021/demonstration-high-efficiency-commercial-cooking-equipment-and-kitchen</w:t>
              </w:r>
            </w:hyperlink>
          </w:p>
          <w:p w14:paraId="3385EE49" w14:textId="3C697F5B"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3" w:tgtFrame="_self" w:history="1">
              <w:r w:rsidRPr="007808C8">
                <w:rPr>
                  <w:rStyle w:val="Hyperlink"/>
                  <w:sz w:val="17"/>
                  <w:szCs w:val="17"/>
                </w:rPr>
                <w:t>https://caenergywise.com/instant-rebates/</w:t>
              </w:r>
            </w:hyperlink>
          </w:p>
        </w:tc>
      </w:tr>
      <w:tr w:rsidR="005C63D1" w:rsidRPr="007808C8" w14:paraId="156FD145" w14:textId="77777777" w:rsidTr="007808C8">
        <w:tc>
          <w:tcPr>
            <w:tcW w:w="1404" w:type="dxa"/>
          </w:tcPr>
          <w:p w14:paraId="5D8B29C7"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Miscellaneous</w:t>
            </w:r>
          </w:p>
          <w:p w14:paraId="3ECEAE94"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p>
        </w:tc>
        <w:tc>
          <w:tcPr>
            <w:tcW w:w="894" w:type="dxa"/>
          </w:tcPr>
          <w:p w14:paraId="1A0C4433" w14:textId="77777777"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802" w:type="dxa"/>
          </w:tcPr>
          <w:p w14:paraId="38C5C0F4" w14:textId="2EC6BF39" w:rsidR="005C63D1" w:rsidRPr="007808C8" w:rsidRDefault="005C63D1" w:rsidP="007808C8">
            <w:pPr>
              <w:pStyle w:val="TableText"/>
              <w:spacing w:before="0" w:after="0"/>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The equipment from four of the six "Miscellaneous" sub-categories are entirely electric by default due to the adaptability and mobility required by the industries in which they are most commonly used. Of the equipment in the remaining two sub-sectors, there are also commercially available electric alternatives for each, however industry norms, cost considerations, and concerns over efficiency are the primary roadblocks to complete electrification.</w:t>
            </w:r>
          </w:p>
        </w:tc>
        <w:tc>
          <w:tcPr>
            <w:tcW w:w="6030" w:type="dxa"/>
          </w:tcPr>
          <w:p w14:paraId="2145FFB7" w14:textId="2F8A9882" w:rsidR="005C63D1" w:rsidRPr="007808C8" w:rsidRDefault="005C63D1" w:rsidP="007808C8">
            <w:pPr>
              <w:spacing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54" w:tgtFrame="_blank" w:history="1">
              <w:r w:rsidRPr="007808C8">
                <w:rPr>
                  <w:rStyle w:val="Hyperlink"/>
                  <w:sz w:val="17"/>
                  <w:szCs w:val="17"/>
                </w:rPr>
                <w:t>CEUS 2006 Appendix C</w:t>
              </w:r>
            </w:hyperlink>
          </w:p>
        </w:tc>
      </w:tr>
      <w:tr w:rsidR="005C63D1" w:rsidRPr="007808C8" w14:paraId="554F8BF7" w14:textId="77777777" w:rsidTr="007808C8">
        <w:trPr>
          <w:trHeight w:val="2489"/>
        </w:trPr>
        <w:tc>
          <w:tcPr>
            <w:tcW w:w="1404" w:type="dxa"/>
          </w:tcPr>
          <w:p w14:paraId="7DBC09F9"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Process</w:t>
            </w:r>
          </w:p>
          <w:p w14:paraId="31D7815B"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p>
        </w:tc>
        <w:tc>
          <w:tcPr>
            <w:tcW w:w="894" w:type="dxa"/>
          </w:tcPr>
          <w:p w14:paraId="338A491D" w14:textId="77777777"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2</w:t>
            </w:r>
          </w:p>
        </w:tc>
        <w:tc>
          <w:tcPr>
            <w:tcW w:w="5802" w:type="dxa"/>
          </w:tcPr>
          <w:p w14:paraId="04D148F5" w14:textId="2D38A370" w:rsidR="005C63D1" w:rsidRPr="007808C8" w:rsidRDefault="005C63D1" w:rsidP="007808C8">
            <w:pPr>
              <w:pStyle w:val="TableText"/>
              <w:spacing w:before="0" w:after="0"/>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Though the equipment categorized under "Process" encompasses many industries, much of the equipment is known to be electrifiable, if not already electrified. Process natural gas usage outside of cooking equipment applies to only a small pool of industrial activities that are classified under the commercial sector. The cooking equipment already has commercial alternatives that are readily available, though, as mentioned above, industry norms lean toward using natural gas for certain processes. Most of the remaining equipment borders on industrial process equipment that has been augmented or adapted to operate in mostly electrified commercial office settings. However, there do remaining a few pieces of equipment that are not currently electrifiable, giv</w:t>
            </w:r>
            <w:r w:rsidR="00694E64" w:rsidRPr="007808C8">
              <w:rPr>
                <w:sz w:val="17"/>
                <w:szCs w:val="17"/>
              </w:rPr>
              <w:t>e</w:t>
            </w:r>
            <w:r w:rsidRPr="007808C8">
              <w:rPr>
                <w:sz w:val="17"/>
                <w:szCs w:val="17"/>
              </w:rPr>
              <w:t>n the energy intensity of said equipment.</w:t>
            </w:r>
          </w:p>
        </w:tc>
        <w:tc>
          <w:tcPr>
            <w:tcW w:w="6030" w:type="dxa"/>
          </w:tcPr>
          <w:p w14:paraId="6BE87FAC" w14:textId="77777777" w:rsidR="005C63D1" w:rsidRPr="007808C8" w:rsidRDefault="005C63D1" w:rsidP="007808C8">
            <w:pPr>
              <w:spacing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5" w:tgtFrame="_blank" w:history="1">
              <w:r w:rsidRPr="007808C8">
                <w:rPr>
                  <w:rStyle w:val="Hyperlink"/>
                  <w:sz w:val="17"/>
                  <w:szCs w:val="17"/>
                </w:rPr>
                <w:t>CEUS 2006 Appendix C</w:t>
              </w:r>
            </w:hyperlink>
          </w:p>
          <w:p w14:paraId="5176CAD1" w14:textId="77777777" w:rsidR="005C63D1" w:rsidRPr="007808C8" w:rsidRDefault="005C63D1" w:rsidP="007808C8">
            <w:pPr>
              <w:cnfStyle w:val="000000100000" w:firstRow="0" w:lastRow="0" w:firstColumn="0" w:lastColumn="0" w:oddVBand="0" w:evenVBand="0" w:oddHBand="1" w:evenHBand="0" w:firstRowFirstColumn="0" w:firstRowLastColumn="0" w:lastRowFirstColumn="0" w:lastRowLastColumn="0"/>
              <w:rPr>
                <w:sz w:val="17"/>
                <w:szCs w:val="17"/>
              </w:rPr>
            </w:pPr>
          </w:p>
        </w:tc>
      </w:tr>
    </w:tbl>
    <w:p w14:paraId="67B96CFA" w14:textId="1EEC6BE9" w:rsidR="005C63D1" w:rsidRDefault="005C63D1" w:rsidP="00B25715">
      <w:pPr>
        <w:pStyle w:val="Heading2-NoNumbers"/>
      </w:pPr>
      <w:bookmarkStart w:id="63" w:name="_Toc213837964"/>
      <w:r w:rsidRPr="00711556">
        <w:t>Manufacturing, Industrial, and Mining Sectors</w:t>
      </w:r>
      <w:bookmarkEnd w:id="63"/>
    </w:p>
    <w:tbl>
      <w:tblPr>
        <w:tblStyle w:val="DNV"/>
        <w:tblW w:w="14130" w:type="dxa"/>
        <w:tblLook w:val="04A0" w:firstRow="1" w:lastRow="0" w:firstColumn="1" w:lastColumn="0" w:noHBand="0" w:noVBand="1"/>
      </w:tblPr>
      <w:tblGrid>
        <w:gridCol w:w="1440"/>
        <w:gridCol w:w="900"/>
        <w:gridCol w:w="5760"/>
        <w:gridCol w:w="6030"/>
      </w:tblGrid>
      <w:tr w:rsidR="00CD77FD" w:rsidRPr="007808C8" w14:paraId="7965243A" w14:textId="77777777" w:rsidTr="007808C8">
        <w:trPr>
          <w:tblHeader/>
        </w:trPr>
        <w:tc>
          <w:tcPr>
            <w:tcW w:w="1440" w:type="dxa"/>
          </w:tcPr>
          <w:p w14:paraId="60E09B8F" w14:textId="6A95EFDD" w:rsidR="005C63D1" w:rsidRPr="007808C8" w:rsidRDefault="005C63D1" w:rsidP="00477DD6">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End-Use Category</w:t>
            </w:r>
          </w:p>
        </w:tc>
        <w:tc>
          <w:tcPr>
            <w:tcW w:w="900" w:type="dxa"/>
          </w:tcPr>
          <w:p w14:paraId="19BFDDB5" w14:textId="273983DE" w:rsidR="005C63D1" w:rsidRPr="007808C8" w:rsidRDefault="005C63D1" w:rsidP="00477DD6">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Weight</w:t>
            </w:r>
          </w:p>
        </w:tc>
        <w:tc>
          <w:tcPr>
            <w:tcW w:w="5760" w:type="dxa"/>
          </w:tcPr>
          <w:p w14:paraId="22BE1455" w14:textId="2AD7B242" w:rsidR="005C63D1" w:rsidRPr="007808C8" w:rsidRDefault="005C63D1" w:rsidP="00477DD6">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Justification</w:t>
            </w:r>
          </w:p>
        </w:tc>
        <w:tc>
          <w:tcPr>
            <w:tcW w:w="6030" w:type="dxa"/>
          </w:tcPr>
          <w:p w14:paraId="43F3C1F8" w14:textId="4B3F5677" w:rsidR="005C63D1" w:rsidRPr="007808C8" w:rsidRDefault="005C63D1" w:rsidP="00477DD6">
            <w:pPr>
              <w:pStyle w:val="TableHeader"/>
              <w:cnfStyle w:val="100000000000" w:firstRow="1" w:lastRow="0" w:firstColumn="0" w:lastColumn="0" w:oddVBand="0" w:evenVBand="0" w:oddHBand="0" w:evenHBand="0" w:firstRowFirstColumn="0" w:firstRowLastColumn="0" w:lastRowFirstColumn="0" w:lastRowLastColumn="0"/>
              <w:rPr>
                <w:sz w:val="17"/>
                <w:szCs w:val="17"/>
              </w:rPr>
            </w:pPr>
            <w:r w:rsidRPr="007808C8">
              <w:rPr>
                <w:b/>
                <w:sz w:val="17"/>
                <w:szCs w:val="17"/>
              </w:rPr>
              <w:t xml:space="preserve">Sources </w:t>
            </w:r>
          </w:p>
        </w:tc>
      </w:tr>
      <w:tr w:rsidR="00CD77FD" w:rsidRPr="007808C8" w14:paraId="599AEEB9" w14:textId="77777777" w:rsidTr="007808C8">
        <w:tc>
          <w:tcPr>
            <w:tcW w:w="1440" w:type="dxa"/>
          </w:tcPr>
          <w:p w14:paraId="00F70EDF" w14:textId="5E501A6E"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CHP &amp; Cogeneration Process</w:t>
            </w:r>
          </w:p>
        </w:tc>
        <w:tc>
          <w:tcPr>
            <w:tcW w:w="900" w:type="dxa"/>
          </w:tcPr>
          <w:p w14:paraId="210220EF"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2</w:t>
            </w:r>
          </w:p>
        </w:tc>
        <w:tc>
          <w:tcPr>
            <w:tcW w:w="5760" w:type="dxa"/>
          </w:tcPr>
          <w:p w14:paraId="69B632D6" w14:textId="2B670DA4"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 xml:space="preserve">Combined heat and power (CHP) or cogeneration processes produces electricity and thermal energy generally from natural gas. Alternatives to a CHP plant running off natural gas is an all-electric central heating and cooling plant or potentially replacing the fuel with hydrogen or biofuels as they become more available. The all-electric option requires fundamentally changing the source of electricity for the facility and has consequences to the thermal energy </w:t>
            </w:r>
            <w:r w:rsidR="00477DD6" w:rsidRPr="007808C8">
              <w:rPr>
                <w:sz w:val="17"/>
                <w:szCs w:val="17"/>
              </w:rPr>
              <w:t>products,</w:t>
            </w:r>
            <w:r w:rsidRPr="007808C8">
              <w:rPr>
                <w:sz w:val="17"/>
                <w:szCs w:val="17"/>
              </w:rPr>
              <w:t xml:space="preserve"> but it is generally possible to implement. On-site renewable energy and storage is another option. Hydrogen fuel is not yet available at the scale needed and there are many remaining questions about the distribution of the fuel.</w:t>
            </w:r>
          </w:p>
        </w:tc>
        <w:tc>
          <w:tcPr>
            <w:tcW w:w="6030" w:type="dxa"/>
          </w:tcPr>
          <w:p w14:paraId="782C613A" w14:textId="030E007D" w:rsidR="005C63D1" w:rsidRPr="007808C8" w:rsidRDefault="005C63D1" w:rsidP="007808C8">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6" w:tgtFrame="_self" w:history="1">
              <w:r w:rsidRPr="007808C8">
                <w:rPr>
                  <w:rStyle w:val="Hyperlink"/>
                  <w:sz w:val="17"/>
                  <w:szCs w:val="17"/>
                </w:rPr>
                <w:t>https://alumni.berkeley.edu/california-magazine/2023-spring-summer/berkeley-goes-all-electric-as-part-of-ambitious-clean-energy-campus-plan/</w:t>
              </w:r>
            </w:hyperlink>
          </w:p>
        </w:tc>
      </w:tr>
      <w:tr w:rsidR="00CD77FD" w:rsidRPr="007808C8" w14:paraId="6343ED81" w14:textId="77777777" w:rsidTr="007808C8">
        <w:tc>
          <w:tcPr>
            <w:tcW w:w="1440" w:type="dxa"/>
          </w:tcPr>
          <w:p w14:paraId="4C46AB0D" w14:textId="6FC7031E"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Conventional Boiler Use</w:t>
            </w:r>
          </w:p>
        </w:tc>
        <w:tc>
          <w:tcPr>
            <w:tcW w:w="900" w:type="dxa"/>
          </w:tcPr>
          <w:p w14:paraId="4E1CDE13"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p w14:paraId="44805C43"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p>
        </w:tc>
        <w:tc>
          <w:tcPr>
            <w:tcW w:w="5760" w:type="dxa"/>
          </w:tcPr>
          <w:p w14:paraId="0B605C9F"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Electric boilers are cheaper than combustion boilers and more efficient. However, higher cost of electricity than gas overcomes the upfront savings and efficiency gains. The primary barrier to electrification for boilers is the cost.</w:t>
            </w:r>
          </w:p>
          <w:p w14:paraId="0ACDF0EB"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p>
        </w:tc>
        <w:tc>
          <w:tcPr>
            <w:tcW w:w="6030" w:type="dxa"/>
          </w:tcPr>
          <w:p w14:paraId="2F18BE29" w14:textId="4B14C2FE" w:rsidR="005C63D1" w:rsidRPr="007808C8" w:rsidRDefault="005C63D1" w:rsidP="007808C8">
            <w:pPr>
              <w:spacing w:after="160"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57" w:tgtFrame="_self" w:history="1">
              <w:r w:rsidRPr="007808C8">
                <w:rPr>
                  <w:rStyle w:val="Hyperlink"/>
                  <w:sz w:val="17"/>
                  <w:szCs w:val="17"/>
                </w:rPr>
                <w:t>https://www.globalefficiencyintel.com/electrification-of-boilers-in-us-manufacturing</w:t>
              </w:r>
            </w:hyperlink>
          </w:p>
        </w:tc>
      </w:tr>
      <w:tr w:rsidR="00CD77FD" w:rsidRPr="007808C8" w14:paraId="28B0F934" w14:textId="77777777" w:rsidTr="007808C8">
        <w:tc>
          <w:tcPr>
            <w:tcW w:w="1440" w:type="dxa"/>
          </w:tcPr>
          <w:p w14:paraId="28BAD661" w14:textId="04E42768"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Conventional Electricity Generation</w:t>
            </w:r>
          </w:p>
        </w:tc>
        <w:tc>
          <w:tcPr>
            <w:tcW w:w="900" w:type="dxa"/>
          </w:tcPr>
          <w:p w14:paraId="22BF146B"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1</w:t>
            </w:r>
          </w:p>
        </w:tc>
        <w:tc>
          <w:tcPr>
            <w:tcW w:w="5760" w:type="dxa"/>
          </w:tcPr>
          <w:p w14:paraId="7EC1620D" w14:textId="3459024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In conventional power plants that combust natural gas, steam is generated and fed to a turbine, which converts the heat energy to mechanical energy that in turn is converted to electrical energy. Manufacturing facilities would either need to purchase electricity from their utility or develop renewable energy resources, which poses temporal limitations and different land needs.</w:t>
            </w:r>
          </w:p>
        </w:tc>
        <w:tc>
          <w:tcPr>
            <w:tcW w:w="6030" w:type="dxa"/>
          </w:tcPr>
          <w:p w14:paraId="10FF2EBE" w14:textId="46554E5D" w:rsidR="005C63D1" w:rsidRPr="007808C8" w:rsidRDefault="005C63D1" w:rsidP="007808C8">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58" w:tgtFrame="_self" w:history="1">
              <w:r w:rsidRPr="007808C8">
                <w:rPr>
                  <w:rStyle w:val="Hyperlink"/>
                  <w:sz w:val="17"/>
                  <w:szCs w:val="17"/>
                </w:rPr>
                <w:t>https://www.sandia.gov/ess-ssl/wp-content/uploads/2018/08/2017_EESAT_Proceeding_Jacobs.pdf</w:t>
              </w:r>
            </w:hyperlink>
          </w:p>
        </w:tc>
      </w:tr>
      <w:tr w:rsidR="00CD77FD" w:rsidRPr="007808C8" w14:paraId="471F9D8F" w14:textId="77777777" w:rsidTr="007808C8">
        <w:tc>
          <w:tcPr>
            <w:tcW w:w="1440" w:type="dxa"/>
          </w:tcPr>
          <w:p w14:paraId="62C6383E" w14:textId="108617FC"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Facility HVAC</w:t>
            </w:r>
          </w:p>
        </w:tc>
        <w:tc>
          <w:tcPr>
            <w:tcW w:w="900" w:type="dxa"/>
          </w:tcPr>
          <w:p w14:paraId="69689589"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760" w:type="dxa"/>
          </w:tcPr>
          <w:p w14:paraId="6C3DA200"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Electric HVAC systems are readily available. Upfront costs are higher for electric systems but come with significant efficiency gains.</w:t>
            </w:r>
          </w:p>
          <w:p w14:paraId="137CD629"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p>
        </w:tc>
        <w:tc>
          <w:tcPr>
            <w:tcW w:w="6030" w:type="dxa"/>
          </w:tcPr>
          <w:p w14:paraId="5DE8CD7A" w14:textId="6138C87B" w:rsidR="005C63D1" w:rsidRPr="007808C8" w:rsidRDefault="005C63D1" w:rsidP="007808C8">
            <w:pPr>
              <w:spacing w:after="160"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59" w:tgtFrame="_self" w:history="1">
              <w:r w:rsidRPr="007808C8">
                <w:rPr>
                  <w:rStyle w:val="Hyperlink"/>
                  <w:sz w:val="17"/>
                  <w:szCs w:val="17"/>
                </w:rPr>
                <w:t>https://www.achrnews.com/articles/147247-commercial-hvac-retrofits-can-electrify-the-bottom-line</w:t>
              </w:r>
            </w:hyperlink>
          </w:p>
        </w:tc>
      </w:tr>
      <w:tr w:rsidR="00CD77FD" w:rsidRPr="007808C8" w14:paraId="68584F51" w14:textId="77777777" w:rsidTr="007808C8">
        <w:tc>
          <w:tcPr>
            <w:tcW w:w="1440" w:type="dxa"/>
          </w:tcPr>
          <w:p w14:paraId="5C96E191" w14:textId="56ECB405"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Machine Drive</w:t>
            </w:r>
          </w:p>
        </w:tc>
        <w:tc>
          <w:tcPr>
            <w:tcW w:w="900" w:type="dxa"/>
          </w:tcPr>
          <w:p w14:paraId="235851E4"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1</w:t>
            </w:r>
          </w:p>
        </w:tc>
        <w:tc>
          <w:tcPr>
            <w:tcW w:w="5760" w:type="dxa"/>
          </w:tcPr>
          <w:p w14:paraId="573712F7" w14:textId="63FE75A0"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This includes motors, pumps, etc. associated with manufacturing process. Electric motors are widely used in the industrial sector. In total, electricity powers about 89% of motors in manufacturing.</w:t>
            </w:r>
          </w:p>
        </w:tc>
        <w:tc>
          <w:tcPr>
            <w:tcW w:w="6030" w:type="dxa"/>
          </w:tcPr>
          <w:p w14:paraId="76DF8430"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0" w:tgtFrame="_self" w:history="1">
              <w:r w:rsidRPr="007808C8">
                <w:rPr>
                  <w:rStyle w:val="Hyperlink"/>
                  <w:sz w:val="17"/>
                  <w:szCs w:val="17"/>
                </w:rPr>
                <w:t>https://www.energy.gov/eere/ammto/articles/get-your-motor-running-next-generation-electric-machines</w:t>
              </w:r>
            </w:hyperlink>
          </w:p>
          <w:p w14:paraId="77DF2C4E"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1" w:tgtFrame="_self" w:history="1">
              <w:r w:rsidRPr="007808C8">
                <w:rPr>
                  <w:rStyle w:val="Hyperlink"/>
                  <w:sz w:val="17"/>
                  <w:szCs w:val="17"/>
                </w:rPr>
                <w:t>https://www1.eere.energy.gov/manufacturing/tech_assistance/pdfs/motor.pdf</w:t>
              </w:r>
            </w:hyperlink>
          </w:p>
          <w:p w14:paraId="47B3AABD"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2" w:tgtFrame="_self" w:history="1">
              <w:r w:rsidRPr="007808C8">
                <w:rPr>
                  <w:rStyle w:val="Hyperlink"/>
                  <w:sz w:val="17"/>
                  <w:szCs w:val="17"/>
                </w:rPr>
                <w:t>https://www.eia.gov/todayinenergy/detail.php?id=13431</w:t>
              </w:r>
            </w:hyperlink>
          </w:p>
          <w:p w14:paraId="52A9FEFC"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3" w:tgtFrame="_self" w:history="1">
              <w:r w:rsidRPr="007808C8">
                <w:rPr>
                  <w:rStyle w:val="Hyperlink"/>
                  <w:sz w:val="17"/>
                  <w:szCs w:val="17"/>
                </w:rPr>
                <w:t>https://ieeexplore.ieee.org/document/7732552</w:t>
              </w:r>
            </w:hyperlink>
          </w:p>
          <w:p w14:paraId="5EA7D9B8" w14:textId="77777777" w:rsidR="005C63D1" w:rsidRPr="007808C8" w:rsidRDefault="005C63D1" w:rsidP="0000363C">
            <w:pPr>
              <w:cnfStyle w:val="000000100000" w:firstRow="0" w:lastRow="0" w:firstColumn="0" w:lastColumn="0" w:oddVBand="0" w:evenVBand="0" w:oddHBand="1" w:evenHBand="0" w:firstRowFirstColumn="0" w:firstRowLastColumn="0" w:lastRowFirstColumn="0" w:lastRowLastColumn="0"/>
              <w:rPr>
                <w:sz w:val="17"/>
                <w:szCs w:val="17"/>
              </w:rPr>
            </w:pPr>
          </w:p>
        </w:tc>
      </w:tr>
      <w:tr w:rsidR="00CD77FD" w:rsidRPr="007808C8" w14:paraId="0A918104" w14:textId="77777777" w:rsidTr="007808C8">
        <w:tc>
          <w:tcPr>
            <w:tcW w:w="1440" w:type="dxa"/>
          </w:tcPr>
          <w:p w14:paraId="3E3E9A61" w14:textId="16A4C6EE"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Onsite Transportation</w:t>
            </w:r>
          </w:p>
        </w:tc>
        <w:tc>
          <w:tcPr>
            <w:tcW w:w="900" w:type="dxa"/>
          </w:tcPr>
          <w:p w14:paraId="02B540ED"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760" w:type="dxa"/>
          </w:tcPr>
          <w:p w14:paraId="53F2D8FD" w14:textId="1EE08863"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Battery electric forklifts and other forms of onsite transportation have been used commercially for decades.</w:t>
            </w:r>
          </w:p>
        </w:tc>
        <w:tc>
          <w:tcPr>
            <w:tcW w:w="6030" w:type="dxa"/>
          </w:tcPr>
          <w:p w14:paraId="648CD9EF" w14:textId="741661F8" w:rsidR="005C63D1" w:rsidRPr="007808C8" w:rsidRDefault="005C63D1" w:rsidP="007808C8">
            <w:pPr>
              <w:spacing w:after="160"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64" w:tgtFrame="_self" w:history="1">
              <w:r w:rsidRPr="007808C8">
                <w:rPr>
                  <w:rStyle w:val="Hyperlink"/>
                  <w:sz w:val="17"/>
                  <w:szCs w:val="17"/>
                </w:rPr>
                <w:t>h</w:t>
              </w:r>
            </w:hyperlink>
            <w:hyperlink r:id="rId65" w:tgtFrame="_self" w:history="1">
              <w:r w:rsidRPr="007808C8">
                <w:rPr>
                  <w:rStyle w:val="Hyperlink"/>
                  <w:sz w:val="17"/>
                  <w:szCs w:val="17"/>
                </w:rPr>
                <w:t>ttps://dof.ca.gov/wp-content/uploads/sites/352/2023/04/ZE-Forklift-SRIA-to-DOF.pdf</w:t>
              </w:r>
            </w:hyperlink>
          </w:p>
        </w:tc>
      </w:tr>
      <w:tr w:rsidR="00CD77FD" w:rsidRPr="007808C8" w14:paraId="05E5A6B4" w14:textId="77777777" w:rsidTr="007808C8">
        <w:tc>
          <w:tcPr>
            <w:tcW w:w="1440" w:type="dxa"/>
          </w:tcPr>
          <w:p w14:paraId="601BBD61" w14:textId="256267EA"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Other Facility Support</w:t>
            </w:r>
          </w:p>
        </w:tc>
        <w:tc>
          <w:tcPr>
            <w:tcW w:w="900" w:type="dxa"/>
          </w:tcPr>
          <w:p w14:paraId="233D2D93"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1</w:t>
            </w:r>
          </w:p>
        </w:tc>
        <w:tc>
          <w:tcPr>
            <w:tcW w:w="5760" w:type="dxa"/>
          </w:tcPr>
          <w:p w14:paraId="7D0A1320"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In the MECS survey, the examples of “Other Facility Support” include cooking, water heating, and office equipment, all of which have readily available electric alternatives.</w:t>
            </w:r>
          </w:p>
          <w:p w14:paraId="068CB1B5"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p>
        </w:tc>
        <w:tc>
          <w:tcPr>
            <w:tcW w:w="6030" w:type="dxa"/>
          </w:tcPr>
          <w:p w14:paraId="745F44F7" w14:textId="095593DF" w:rsidR="005C63D1" w:rsidRPr="007808C8" w:rsidRDefault="005C63D1" w:rsidP="007808C8">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6" w:tgtFrame="_self" w:history="1">
              <w:r w:rsidRPr="007808C8">
                <w:rPr>
                  <w:rStyle w:val="Hyperlink"/>
                  <w:sz w:val="17"/>
                  <w:szCs w:val="17"/>
                </w:rPr>
                <w:t>https://www.eia.gov/survey/form/eia_846/proposed/2022/form.pdf</w:t>
              </w:r>
            </w:hyperlink>
          </w:p>
        </w:tc>
      </w:tr>
      <w:tr w:rsidR="00CD77FD" w:rsidRPr="007808C8" w14:paraId="030A68DB" w14:textId="77777777" w:rsidTr="007808C8">
        <w:tc>
          <w:tcPr>
            <w:tcW w:w="1440" w:type="dxa"/>
          </w:tcPr>
          <w:p w14:paraId="630E278B" w14:textId="3821B629"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Other Non-Process Use</w:t>
            </w:r>
          </w:p>
        </w:tc>
        <w:tc>
          <w:tcPr>
            <w:tcW w:w="900" w:type="dxa"/>
          </w:tcPr>
          <w:p w14:paraId="310FE686"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760" w:type="dxa"/>
          </w:tcPr>
          <w:p w14:paraId="344D7C28" w14:textId="27BCFD6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Minimal information is provided about what is included in “Other Non-Process Use” in the survey form. The form describes the non-process section as including usage for facility lighting and space-conditioning equipment (HVAC). Electrification is relatively simple and feasible for both.</w:t>
            </w:r>
          </w:p>
        </w:tc>
        <w:tc>
          <w:tcPr>
            <w:tcW w:w="6030" w:type="dxa"/>
          </w:tcPr>
          <w:p w14:paraId="1BA0CDF8" w14:textId="77777777" w:rsidR="005C63D1" w:rsidRPr="007808C8" w:rsidRDefault="005C63D1" w:rsidP="0000363C">
            <w:pPr>
              <w:cnfStyle w:val="000000010000" w:firstRow="0" w:lastRow="0" w:firstColumn="0" w:lastColumn="0" w:oddVBand="0" w:evenVBand="0" w:oddHBand="0" w:evenHBand="1" w:firstRowFirstColumn="0" w:firstRowLastColumn="0" w:lastRowFirstColumn="0" w:lastRowLastColumn="0"/>
              <w:rPr>
                <w:sz w:val="17"/>
                <w:szCs w:val="17"/>
              </w:rPr>
            </w:pPr>
          </w:p>
        </w:tc>
      </w:tr>
      <w:tr w:rsidR="00CD77FD" w:rsidRPr="007808C8" w14:paraId="7FC3E15E" w14:textId="77777777" w:rsidTr="007808C8">
        <w:tc>
          <w:tcPr>
            <w:tcW w:w="1440" w:type="dxa"/>
          </w:tcPr>
          <w:p w14:paraId="66E73CD4" w14:textId="3B9BAC0A"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Other Process Use</w:t>
            </w:r>
          </w:p>
        </w:tc>
        <w:tc>
          <w:tcPr>
            <w:tcW w:w="900" w:type="dxa"/>
          </w:tcPr>
          <w:p w14:paraId="501584EE"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3</w:t>
            </w:r>
          </w:p>
        </w:tc>
        <w:tc>
          <w:tcPr>
            <w:tcW w:w="5760" w:type="dxa"/>
          </w:tcPr>
          <w:p w14:paraId="6EA613C5" w14:textId="0CCC559E"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Technologies to electrify process non-heating uses of gas are still being developed and have not achieved a high readiness state at this time.</w:t>
            </w:r>
          </w:p>
        </w:tc>
        <w:tc>
          <w:tcPr>
            <w:tcW w:w="6030" w:type="dxa"/>
          </w:tcPr>
          <w:p w14:paraId="74517070"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7" w:tgtFrame="_self" w:history="1">
              <w:r w:rsidRPr="007808C8">
                <w:rPr>
                  <w:rStyle w:val="Hyperlink"/>
                  <w:sz w:val="17"/>
                  <w:szCs w:val="17"/>
                </w:rPr>
                <w:t>https://www2.deloitte.com/cn/en/pages/consumer-industrial-products/articles/electrification-in-industrials.html</w:t>
              </w:r>
            </w:hyperlink>
          </w:p>
          <w:p w14:paraId="73536CE6"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8" w:tgtFrame="_self" w:history="1">
              <w:r w:rsidRPr="007808C8">
                <w:rPr>
                  <w:rStyle w:val="Hyperlink"/>
                  <w:sz w:val="17"/>
                  <w:szCs w:val="17"/>
                </w:rPr>
                <w:t>https://ipu.msu.edu/wp-content/uploads/2018/04/LBNL-Electrification-of-Buildings-2018.pdf</w:t>
              </w:r>
            </w:hyperlink>
          </w:p>
          <w:p w14:paraId="3CBB7D54" w14:textId="234F7164" w:rsidR="005C63D1" w:rsidRPr="007808C8" w:rsidRDefault="005C63D1" w:rsidP="007808C8">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69" w:tgtFrame="_self" w:history="1">
              <w:r w:rsidRPr="007808C8">
                <w:rPr>
                  <w:rStyle w:val="Hyperlink"/>
                  <w:sz w:val="17"/>
                  <w:szCs w:val="17"/>
                </w:rPr>
                <w:t>https://betterbuildingssolutioncenter.energy.gov/better-plants/process-cooling-and-hvac</w:t>
              </w:r>
            </w:hyperlink>
          </w:p>
        </w:tc>
      </w:tr>
      <w:tr w:rsidR="00CD77FD" w:rsidRPr="007808C8" w14:paraId="47270B2D" w14:textId="77777777" w:rsidTr="007808C8">
        <w:tc>
          <w:tcPr>
            <w:tcW w:w="1440" w:type="dxa"/>
          </w:tcPr>
          <w:p w14:paraId="4765A6B3" w14:textId="0C629788"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Process Cooling and Refrigeration</w:t>
            </w:r>
          </w:p>
        </w:tc>
        <w:tc>
          <w:tcPr>
            <w:tcW w:w="900" w:type="dxa"/>
          </w:tcPr>
          <w:p w14:paraId="21B8F7F2"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1</w:t>
            </w:r>
          </w:p>
        </w:tc>
        <w:tc>
          <w:tcPr>
            <w:tcW w:w="5760" w:type="dxa"/>
          </w:tcPr>
          <w:p w14:paraId="162F4972" w14:textId="56B8E2BC"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 xml:space="preserve">Electric heat-pump based cooling technologies are readily available for a wide variety of Process Cooling and Refrigeration applications. </w:t>
            </w:r>
          </w:p>
        </w:tc>
        <w:tc>
          <w:tcPr>
            <w:tcW w:w="6030" w:type="dxa"/>
          </w:tcPr>
          <w:p w14:paraId="2D87A08D" w14:textId="1D7485C9" w:rsidR="005C63D1" w:rsidRPr="007808C8" w:rsidRDefault="005C63D1" w:rsidP="007808C8">
            <w:pPr>
              <w:spacing w:after="160"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70" w:tgtFrame="_self" w:history="1">
              <w:r w:rsidRPr="007808C8">
                <w:rPr>
                  <w:rStyle w:val="Hyperlink"/>
                  <w:sz w:val="17"/>
                  <w:szCs w:val="17"/>
                </w:rPr>
                <w:t>https://esource.bizenergyadvisor.com/article/electric-chillers</w:t>
              </w:r>
            </w:hyperlink>
          </w:p>
        </w:tc>
      </w:tr>
      <w:tr w:rsidR="00CD77FD" w:rsidRPr="007808C8" w14:paraId="66392097" w14:textId="77777777" w:rsidTr="007808C8">
        <w:tc>
          <w:tcPr>
            <w:tcW w:w="1440" w:type="dxa"/>
          </w:tcPr>
          <w:p w14:paraId="4123EB9E" w14:textId="2773B28D"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Process Heating</w:t>
            </w:r>
          </w:p>
        </w:tc>
        <w:tc>
          <w:tcPr>
            <w:tcW w:w="900" w:type="dxa"/>
          </w:tcPr>
          <w:p w14:paraId="1A12D7EE" w14:textId="77777777"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3</w:t>
            </w:r>
          </w:p>
        </w:tc>
        <w:tc>
          <w:tcPr>
            <w:tcW w:w="5760" w:type="dxa"/>
          </w:tcPr>
          <w:p w14:paraId="74A05AA6" w14:textId="419F74F8" w:rsidR="005C63D1" w:rsidRPr="007808C8" w:rsidRDefault="005C63D1" w:rsidP="007808C8">
            <w:pPr>
              <w:pStyle w:val="TableText"/>
              <w:cnfStyle w:val="000000100000" w:firstRow="0" w:lastRow="0" w:firstColumn="0" w:lastColumn="0" w:oddVBand="0" w:evenVBand="0" w:oddHBand="1" w:evenHBand="0" w:firstRowFirstColumn="0" w:firstRowLastColumn="0" w:lastRowFirstColumn="0" w:lastRowLastColumn="0"/>
              <w:rPr>
                <w:sz w:val="17"/>
                <w:szCs w:val="17"/>
              </w:rPr>
            </w:pPr>
            <w:r w:rsidRPr="007808C8">
              <w:rPr>
                <w:sz w:val="17"/>
                <w:szCs w:val="17"/>
              </w:rPr>
              <w:t>Technologies to electrify Process Heating uses of gas are still being developed and have not achieved a high readiness state at this time.</w:t>
            </w:r>
          </w:p>
        </w:tc>
        <w:tc>
          <w:tcPr>
            <w:tcW w:w="6030" w:type="dxa"/>
          </w:tcPr>
          <w:p w14:paraId="46C28C10" w14:textId="77777777" w:rsidR="005C63D1" w:rsidRPr="007808C8" w:rsidRDefault="005C63D1" w:rsidP="0000363C">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71" w:tgtFrame="_self" w:history="1">
              <w:r w:rsidRPr="007808C8">
                <w:rPr>
                  <w:rStyle w:val="Hyperlink"/>
                  <w:sz w:val="17"/>
                  <w:szCs w:val="17"/>
                </w:rPr>
                <w:t>https://www.energy.gov/eere/iedo/decarbonizing-process-heat</w:t>
              </w:r>
            </w:hyperlink>
          </w:p>
          <w:p w14:paraId="581CDC37" w14:textId="0B54BB56" w:rsidR="005C63D1" w:rsidRPr="007808C8" w:rsidRDefault="005C63D1" w:rsidP="007808C8">
            <w:pPr>
              <w:spacing w:after="160" w:line="278" w:lineRule="auto"/>
              <w:cnfStyle w:val="000000100000" w:firstRow="0" w:lastRow="0" w:firstColumn="0" w:lastColumn="0" w:oddVBand="0" w:evenVBand="0" w:oddHBand="1" w:evenHBand="0" w:firstRowFirstColumn="0" w:firstRowLastColumn="0" w:lastRowFirstColumn="0" w:lastRowLastColumn="0"/>
              <w:rPr>
                <w:sz w:val="17"/>
                <w:szCs w:val="17"/>
              </w:rPr>
            </w:pPr>
            <w:hyperlink r:id="rId72" w:tgtFrame="_self" w:history="1">
              <w:r w:rsidRPr="007808C8">
                <w:rPr>
                  <w:rStyle w:val="Hyperlink"/>
                  <w:sz w:val="17"/>
                  <w:szCs w:val="17"/>
                </w:rPr>
                <w:t>https://ipu.msu.edu/wp-content/uploads/2018/04/LBNL-Electrification-of-Buildings-2018.pdf</w:t>
              </w:r>
            </w:hyperlink>
          </w:p>
        </w:tc>
      </w:tr>
      <w:tr w:rsidR="00CD77FD" w:rsidRPr="007808C8" w14:paraId="207A0DDD" w14:textId="77777777" w:rsidTr="007808C8">
        <w:tc>
          <w:tcPr>
            <w:tcW w:w="1440" w:type="dxa"/>
          </w:tcPr>
          <w:p w14:paraId="0DB76CC6" w14:textId="64E9618D"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Electro-Chemical Processes</w:t>
            </w:r>
          </w:p>
        </w:tc>
        <w:tc>
          <w:tcPr>
            <w:tcW w:w="900" w:type="dxa"/>
          </w:tcPr>
          <w:p w14:paraId="50D4AC90"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3</w:t>
            </w:r>
          </w:p>
        </w:tc>
        <w:tc>
          <w:tcPr>
            <w:tcW w:w="5760" w:type="dxa"/>
          </w:tcPr>
          <w:p w14:paraId="09ECF8D7"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r w:rsidRPr="007808C8">
              <w:rPr>
                <w:sz w:val="17"/>
                <w:szCs w:val="17"/>
              </w:rPr>
              <w:t>There are studies citing the transition for gas as feedstock and energy source to recycled hydrogen for Electric-Chemical Processing. However, the technologies are still very early in the stage of development and have not been implemented. Additionally, implementation is contingent on the wide availability of hydrogen.</w:t>
            </w:r>
          </w:p>
          <w:p w14:paraId="6313127D" w14:textId="77777777" w:rsidR="005C63D1" w:rsidRPr="007808C8" w:rsidRDefault="005C63D1" w:rsidP="007808C8">
            <w:pPr>
              <w:pStyle w:val="TableText"/>
              <w:cnfStyle w:val="000000010000" w:firstRow="0" w:lastRow="0" w:firstColumn="0" w:lastColumn="0" w:oddVBand="0" w:evenVBand="0" w:oddHBand="0" w:evenHBand="1" w:firstRowFirstColumn="0" w:firstRowLastColumn="0" w:lastRowFirstColumn="0" w:lastRowLastColumn="0"/>
              <w:rPr>
                <w:sz w:val="17"/>
                <w:szCs w:val="17"/>
              </w:rPr>
            </w:pPr>
          </w:p>
        </w:tc>
        <w:tc>
          <w:tcPr>
            <w:tcW w:w="6030" w:type="dxa"/>
          </w:tcPr>
          <w:p w14:paraId="6DB94310" w14:textId="77777777" w:rsidR="005C63D1" w:rsidRPr="007808C8" w:rsidRDefault="005C63D1" w:rsidP="0000363C">
            <w:pPr>
              <w:spacing w:after="160" w:line="278" w:lineRule="auto"/>
              <w:cnfStyle w:val="000000010000" w:firstRow="0" w:lastRow="0" w:firstColumn="0" w:lastColumn="0" w:oddVBand="0" w:evenVBand="0" w:oddHBand="0" w:evenHBand="1" w:firstRowFirstColumn="0" w:firstRowLastColumn="0" w:lastRowFirstColumn="0" w:lastRowLastColumn="0"/>
              <w:rPr>
                <w:sz w:val="17"/>
                <w:szCs w:val="17"/>
              </w:rPr>
            </w:pPr>
            <w:hyperlink r:id="rId73" w:tgtFrame="_self" w:history="1">
              <w:r w:rsidRPr="007808C8">
                <w:rPr>
                  <w:rStyle w:val="Hyperlink"/>
                  <w:sz w:val="17"/>
                  <w:szCs w:val="17"/>
                </w:rPr>
                <w:t>https://www.sciencedirect.com/science/article/pii/S2211339817300977</w:t>
              </w:r>
            </w:hyperlink>
          </w:p>
          <w:p w14:paraId="774EAE1A" w14:textId="77777777" w:rsidR="005C63D1" w:rsidRPr="007808C8" w:rsidRDefault="005C63D1" w:rsidP="0000363C">
            <w:pPr>
              <w:cnfStyle w:val="000000010000" w:firstRow="0" w:lastRow="0" w:firstColumn="0" w:lastColumn="0" w:oddVBand="0" w:evenVBand="0" w:oddHBand="0" w:evenHBand="1" w:firstRowFirstColumn="0" w:firstRowLastColumn="0" w:lastRowFirstColumn="0" w:lastRowLastColumn="0"/>
              <w:rPr>
                <w:sz w:val="17"/>
                <w:szCs w:val="17"/>
              </w:rPr>
            </w:pPr>
          </w:p>
        </w:tc>
      </w:tr>
    </w:tbl>
    <w:p w14:paraId="24A24C56" w14:textId="65BD431E" w:rsidR="009D630C" w:rsidRPr="009D630C" w:rsidRDefault="009D630C" w:rsidP="00B4489C">
      <w:pPr>
        <w:pStyle w:val="Heading7"/>
        <w:numPr>
          <w:ilvl w:val="0"/>
          <w:numId w:val="0"/>
        </w:numPr>
      </w:pPr>
      <w:bookmarkStart w:id="64" w:name="_Toc374105605"/>
      <w:bookmarkEnd w:id="64"/>
    </w:p>
    <w:sectPr w:rsidR="009D630C" w:rsidRPr="009D630C" w:rsidSect="00B4489C">
      <w:headerReference w:type="even" r:id="rId74"/>
      <w:headerReference w:type="default" r:id="rId75"/>
      <w:footerReference w:type="default" r:id="rId76"/>
      <w:headerReference w:type="first" r:id="rId77"/>
      <w:pgSz w:w="16839" w:h="11907" w:orient="landscape"/>
      <w:pgMar w:top="1191" w:right="1757" w:bottom="1134" w:left="1361" w:header="774" w:footer="567" w:gutter="0"/>
      <w:pgNumType w:start="1" w:chapStyle="7"/>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2"/>
    </wne:keymap>
    <wne:keymap wne:kcmPrimary="0232">
      <wne:acd wne:acdName="acd3"/>
    </wne:keymap>
    <wne:keymap wne:kcmPrimary="0233">
      <wne:acd wne:acdName="acd4"/>
    </wne:keymap>
    <wne:keymap wne:kcmPrimary="0234">
      <wne:acd wne:acdName="acd5"/>
    </wne:keymap>
    <wne:keymap wne:kcmPrimary="0235">
      <wne:acd wne:acdName="acd6"/>
    </wne:keymap>
    <wne:keymap wne:kcmPrimary="0236">
      <wne:acd wne:acdName="acd7"/>
    </wne:keymap>
    <wne:keymap wne:kcmPrimary="0237">
      <wne:acd wne:acdName="acd8"/>
    </wne:keymap>
    <wne:keymap wne:kcmPrimary="0238">
      <wne:acd wne:acdName="acd9"/>
    </wne:keymap>
    <wne:keymap wne:kcmPrimary="0239">
      <wne:acd wne:acdName="acd10"/>
    </wne:keymap>
    <wne:keymap wne:kcmPrimary="0342">
      <wne:acd wne:acdName="acd1"/>
    </wne:keymap>
    <wne:keymap wne:kcmPrimary="034E">
      <wne:acd wne:acdName="acd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AAA" wne:acdName="acd0" wne:fciIndexBasedOn="0065"/>
    <wne:acd wne:argValue="AQAAAEIA" wne:acdName="acd1" wne:fciIndexBasedOn="0065"/>
    <wne:acd wne:argValue="AQAAAAEA" wne:acdName="acd2" wne:fciIndexBasedOn="0065"/>
    <wne:acd wne:argValue="AQAAAAIA" wne:acdName="acd3" wne:fciIndexBasedOn="0065"/>
    <wne:acd wne:argValue="AQAAAAMA" wne:acdName="acd4" wne:fciIndexBasedOn="0065"/>
    <wne:acd wne:argValue="AQAAAAQA" wne:acdName="acd5" wne:fciIndexBasedOn="0065"/>
    <wne:acd wne:argValue="AQAAAAUA" wne:acdName="acd6" wne:fciIndexBasedOn="0065"/>
    <wne:acd wne:argValue="AQAAAAYA" wne:acdName="acd7" wne:fciIndexBasedOn="0065"/>
    <wne:acd wne:argValue="AQAAAAcA" wne:acdName="acd8" wne:fciIndexBasedOn="0065"/>
    <wne:acd wne:argValue="AQAAAAgA" wne:acdName="acd9" wne:fciIndexBasedOn="0065"/>
    <wne:acd wne:argValue="AQAAAAkA" wne:acdName="acd1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7682F" w14:textId="77777777" w:rsidR="00882217" w:rsidRDefault="00882217" w:rsidP="00866BDC">
      <w:r>
        <w:separator/>
      </w:r>
    </w:p>
  </w:endnote>
  <w:endnote w:type="continuationSeparator" w:id="0">
    <w:p w14:paraId="46D65023" w14:textId="77777777" w:rsidR="00882217" w:rsidRDefault="00882217" w:rsidP="00866BDC">
      <w:r>
        <w:continuationSeparator/>
      </w:r>
    </w:p>
  </w:endnote>
  <w:endnote w:type="continuationNotice" w:id="1">
    <w:p w14:paraId="2A6B20CC" w14:textId="77777777" w:rsidR="00882217" w:rsidRDefault="008822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ABDD9" w14:textId="77777777" w:rsidR="0089723E" w:rsidRDefault="008972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5A142" w14:textId="6624C89F" w:rsidR="000426A6" w:rsidRPr="000426A6" w:rsidRDefault="00F60D0C" w:rsidP="00CC546D">
    <w:pPr>
      <w:pStyle w:val="Footer"/>
      <w:tabs>
        <w:tab w:val="right" w:pos="9900"/>
      </w:tabs>
    </w:pPr>
    <w:sdt>
      <w:sdtPr>
        <w:rPr>
          <w:noProof w:val="0"/>
        </w:rPr>
        <w:id w:val="-467895292"/>
        <w:docPartObj>
          <w:docPartGallery w:val="Page Numbers (Bottom of Page)"/>
          <w:docPartUnique/>
        </w:docPartObj>
      </w:sdtPr>
      <w:sdtEndPr>
        <w:rPr>
          <w:noProof/>
        </w:rPr>
      </w:sdtEndPr>
      <w:sdtContent>
        <w:r w:rsidR="00C875B8" w:rsidRPr="00C875B8">
          <w:t>Secondary and Tertiary Metrics Report</w:t>
        </w:r>
        <w:r w:rsidR="000426A6">
          <w:rPr>
            <w:noProof w:val="0"/>
          </w:rPr>
          <w:tab/>
        </w:r>
        <w:r w:rsidR="000426A6">
          <w:rPr>
            <w:noProof w:val="0"/>
          </w:rPr>
          <w:fldChar w:fldCharType="begin"/>
        </w:r>
        <w:r w:rsidR="000426A6">
          <w:instrText xml:space="preserve"> PAGE   \* MERGEFORMAT </w:instrText>
        </w:r>
        <w:r w:rsidR="000426A6">
          <w:rPr>
            <w:noProof w:val="0"/>
          </w:rPr>
          <w:fldChar w:fldCharType="separate"/>
        </w:r>
        <w:r w:rsidR="000426A6">
          <w:t>2</w:t>
        </w:r>
        <w:r w:rsidR="000426A6">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CA1B" w14:textId="77777777" w:rsidR="0089723E" w:rsidRDefault="008972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D3261" w14:textId="77777777" w:rsidR="009D630C" w:rsidRDefault="009D630C">
    <w:pPr>
      <w:pStyle w:val="Footer"/>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0B63" w14:textId="77777777" w:rsidR="009D630C" w:rsidRDefault="009D630C">
    <w:pPr>
      <w:pStyle w:val="Footer"/>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C90F6" w14:textId="77777777" w:rsidR="008C6565" w:rsidRPr="000426A6" w:rsidRDefault="00F60D0C" w:rsidP="00F8091C">
    <w:pPr>
      <w:pStyle w:val="Footer"/>
      <w:tabs>
        <w:tab w:val="right" w:pos="14040"/>
      </w:tabs>
    </w:pPr>
    <w:sdt>
      <w:sdtPr>
        <w:rPr>
          <w:noProof w:val="0"/>
        </w:rPr>
        <w:id w:val="-1376381840"/>
        <w:docPartObj>
          <w:docPartGallery w:val="Page Numbers (Bottom of Page)"/>
          <w:docPartUnique/>
        </w:docPartObj>
      </w:sdtPr>
      <w:sdtEndPr>
        <w:rPr>
          <w:noProof/>
        </w:rPr>
      </w:sdtEndPr>
      <w:sdtContent>
        <w:r w:rsidR="008C6565" w:rsidRPr="00C875B8">
          <w:t>Secondary and Tertiary Metrics Report</w:t>
        </w:r>
        <w:r w:rsidR="008C6565">
          <w:rPr>
            <w:noProof w:val="0"/>
          </w:rPr>
          <w:tab/>
        </w:r>
        <w:r w:rsidR="008C6565">
          <w:rPr>
            <w:noProof w:val="0"/>
          </w:rPr>
          <w:fldChar w:fldCharType="begin"/>
        </w:r>
        <w:r w:rsidR="008C6565">
          <w:instrText xml:space="preserve"> PAGE   \* MERGEFORMAT </w:instrText>
        </w:r>
        <w:r w:rsidR="008C6565">
          <w:rPr>
            <w:noProof w:val="0"/>
          </w:rPr>
          <w:fldChar w:fldCharType="separate"/>
        </w:r>
        <w:r w:rsidR="008C6565">
          <w:t>2</w:t>
        </w:r>
        <w:r w:rsidR="008C6565">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3CA30" w14:textId="77777777" w:rsidR="00866DAA" w:rsidRPr="000426A6" w:rsidRDefault="00F60D0C" w:rsidP="00D1157D">
    <w:pPr>
      <w:pStyle w:val="Footer"/>
      <w:tabs>
        <w:tab w:val="right" w:pos="13680"/>
      </w:tabs>
    </w:pPr>
    <w:sdt>
      <w:sdtPr>
        <w:rPr>
          <w:noProof w:val="0"/>
        </w:rPr>
        <w:id w:val="864863103"/>
        <w:docPartObj>
          <w:docPartGallery w:val="Page Numbers (Bottom of Page)"/>
          <w:docPartUnique/>
        </w:docPartObj>
      </w:sdtPr>
      <w:sdtEndPr>
        <w:rPr>
          <w:noProof/>
        </w:rPr>
      </w:sdtEndPr>
      <w:sdtContent>
        <w:r w:rsidR="00866DAA" w:rsidRPr="00C875B8">
          <w:t>Secondary and Tertiary Metrics Report</w:t>
        </w:r>
        <w:r w:rsidR="00866DAA">
          <w:rPr>
            <w:noProof w:val="0"/>
          </w:rPr>
          <w:tab/>
        </w:r>
        <w:r w:rsidR="00866DAA">
          <w:rPr>
            <w:noProof w:val="0"/>
          </w:rPr>
          <w:fldChar w:fldCharType="begin"/>
        </w:r>
        <w:r w:rsidR="00866DAA">
          <w:instrText xml:space="preserve"> PAGE   \* MERGEFORMAT </w:instrText>
        </w:r>
        <w:r w:rsidR="00866DAA">
          <w:rPr>
            <w:noProof w:val="0"/>
          </w:rPr>
          <w:fldChar w:fldCharType="separate"/>
        </w:r>
        <w:r w:rsidR="00866DAA">
          <w:t>2</w:t>
        </w:r>
        <w:r w:rsidR="00866DAA">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E0BEC" w14:textId="77777777" w:rsidR="00882217" w:rsidRDefault="00882217" w:rsidP="00866BDC">
      <w:r>
        <w:separator/>
      </w:r>
    </w:p>
  </w:footnote>
  <w:footnote w:type="continuationSeparator" w:id="0">
    <w:p w14:paraId="5F656FA9" w14:textId="77777777" w:rsidR="00882217" w:rsidRDefault="00882217" w:rsidP="00866BDC">
      <w:r>
        <w:continuationSeparator/>
      </w:r>
    </w:p>
  </w:footnote>
  <w:footnote w:type="continuationNotice" w:id="1">
    <w:p w14:paraId="40838994" w14:textId="77777777" w:rsidR="00882217" w:rsidRDefault="00882217"/>
  </w:footnote>
  <w:footnote w:id="2">
    <w:p w14:paraId="0C49180B" w14:textId="1CFA4A25" w:rsidR="00DF0201" w:rsidRPr="009C5AD3" w:rsidRDefault="00DF0201">
      <w:pPr>
        <w:pStyle w:val="FootnoteText"/>
        <w:rPr>
          <w:lang w:val="en-US"/>
        </w:rPr>
      </w:pPr>
      <w:r>
        <w:rPr>
          <w:rStyle w:val="FootnoteReference"/>
        </w:rPr>
        <w:footnoteRef/>
      </w:r>
      <w:r>
        <w:t xml:space="preserve"> </w:t>
      </w:r>
      <w:r w:rsidRPr="00DF0201">
        <w:t>Malczewski, Jacek, and Claus Rinner. "Introduction to GIS-MCDA." Multicriteria decision analysis in geographic information science. Berlin, Heidelberg: Springer Berlin Heidelberg, 2015. 23-54.</w:t>
      </w:r>
    </w:p>
  </w:footnote>
  <w:footnote w:id="3">
    <w:p w14:paraId="167C96DA" w14:textId="6613C73C" w:rsidR="0042322D" w:rsidRPr="009C5AD3" w:rsidRDefault="0042322D">
      <w:pPr>
        <w:pStyle w:val="FootnoteText"/>
        <w:rPr>
          <w:lang w:val="en-US"/>
        </w:rPr>
      </w:pPr>
      <w:r>
        <w:rPr>
          <w:rStyle w:val="FootnoteReference"/>
        </w:rPr>
        <w:footnoteRef/>
      </w:r>
      <w:r>
        <w:t xml:space="preserve"> </w:t>
      </w:r>
      <w:r w:rsidRPr="0042322D">
        <w:t>Hartigan, J. A., &amp; Wong, M. A. (1979). Algorithm AS 136: A K-Means Clustering Algorithm. Journal of the Royal Statistical Society: Series C (Applied Statistics), 28(1), 100–108. Oxford University Press.</w:t>
      </w:r>
    </w:p>
  </w:footnote>
  <w:footnote w:id="4">
    <w:p w14:paraId="58A2C27C" w14:textId="5D21AD45" w:rsidR="00351D53" w:rsidRPr="009C5AD3" w:rsidRDefault="00351D53">
      <w:pPr>
        <w:pStyle w:val="FootnoteText"/>
        <w:rPr>
          <w:lang w:val="en-US"/>
        </w:rPr>
      </w:pPr>
      <w:r>
        <w:rPr>
          <w:rStyle w:val="FootnoteReference"/>
        </w:rPr>
        <w:footnoteRef/>
      </w:r>
      <w:r>
        <w:t xml:space="preserve"> </w:t>
      </w:r>
      <w:r w:rsidRPr="00351D53">
        <w:t>Jenks, George F. 1967. "The Data Model Concept in Statistical Mapping", International Yearbook of Cartography 7: 186-190.</w:t>
      </w:r>
    </w:p>
  </w:footnote>
  <w:footnote w:id="5">
    <w:p w14:paraId="45FBAE5A" w14:textId="13A19435" w:rsidR="00814EBC" w:rsidRPr="00503ED2" w:rsidRDefault="00814EBC">
      <w:pPr>
        <w:pStyle w:val="FootnoteText"/>
        <w:rPr>
          <w:lang w:val="en-US"/>
        </w:rPr>
      </w:pPr>
      <w:r>
        <w:rPr>
          <w:rStyle w:val="FootnoteReference"/>
        </w:rPr>
        <w:footnoteRef/>
      </w:r>
      <w:r>
        <w:t xml:space="preserve"> </w:t>
      </w:r>
      <w:hyperlink r:id="rId1" w:history="1">
        <w:r w:rsidR="0030748D" w:rsidRPr="00D208F1">
          <w:rPr>
            <w:rStyle w:val="Hyperlink"/>
          </w:rPr>
          <w:t>Algorithm AS 136: A K-Means Clustering Algorithm on JSTOR</w:t>
        </w:r>
      </w:hyperlink>
    </w:p>
  </w:footnote>
  <w:footnote w:id="6">
    <w:p w14:paraId="5B009023" w14:textId="2A219760" w:rsidR="00AD258C" w:rsidRPr="00503ED2" w:rsidRDefault="00AD258C">
      <w:pPr>
        <w:pStyle w:val="FootnoteText"/>
        <w:rPr>
          <w:lang w:val="en-US"/>
        </w:rPr>
      </w:pPr>
      <w:r>
        <w:rPr>
          <w:rStyle w:val="FootnoteReference"/>
        </w:rPr>
        <w:footnoteRef/>
      </w:r>
      <w:r>
        <w:t xml:space="preserve"> </w:t>
      </w:r>
      <w:hyperlink r:id="rId2" w:history="1">
        <w:r w:rsidRPr="00AC13FA">
          <w:rPr>
            <w:rStyle w:val="Hyperlink"/>
          </w:rPr>
          <w:t>https://www.cpuc.ca.gov/industries-and-topics/natural-gas/long-term-gas-planning-rulemaking-closed</w:t>
        </w:r>
      </w:hyperlink>
      <w:r>
        <w:t xml:space="preserve"> </w:t>
      </w:r>
    </w:p>
  </w:footnote>
  <w:footnote w:id="7">
    <w:p w14:paraId="05704A4E" w14:textId="0A0D7711" w:rsidR="00A226B1" w:rsidRPr="00503ED2" w:rsidRDefault="00A226B1">
      <w:pPr>
        <w:pStyle w:val="FootnoteText"/>
        <w:rPr>
          <w:lang w:val="en-US"/>
        </w:rPr>
      </w:pPr>
      <w:r>
        <w:rPr>
          <w:rStyle w:val="FootnoteReference"/>
        </w:rPr>
        <w:footnoteRef/>
      </w:r>
      <w:r>
        <w:t xml:space="preserve"> </w:t>
      </w:r>
      <w:hyperlink r:id="rId3" w:history="1">
        <w:r w:rsidRPr="00AC13FA">
          <w:rPr>
            <w:rStyle w:val="Hyperlink"/>
          </w:rPr>
          <w:t>https://www.cpuc.ca.gov/-/media/cpuc-website/divisions/energy-division/documents/natural-gas/long-term-gas-planning-oir/rulings/revisedgassystemdataruling09212022.pdf</w:t>
        </w:r>
      </w:hyperlink>
      <w:r>
        <w:t xml:space="preserve"> </w:t>
      </w:r>
    </w:p>
  </w:footnote>
  <w:footnote w:id="8">
    <w:p w14:paraId="44AE9F3F" w14:textId="77777777" w:rsidR="00650CE4" w:rsidRPr="007820BA" w:rsidRDefault="00650CE4" w:rsidP="00650CE4">
      <w:pPr>
        <w:pStyle w:val="FootnoteText"/>
        <w:rPr>
          <w:lang w:val="en-US"/>
        </w:rPr>
      </w:pPr>
      <w:r>
        <w:rPr>
          <w:rStyle w:val="FootnoteReference"/>
        </w:rPr>
        <w:footnoteRef/>
      </w:r>
      <w:r>
        <w:t xml:space="preserve"> </w:t>
      </w:r>
      <w:hyperlink r:id="rId4" w:history="1">
        <w:r w:rsidRPr="0090497F">
          <w:rPr>
            <w:rStyle w:val="Hyperlink"/>
          </w:rPr>
          <w:t>https://www.epa.gov/superfund/what-superfund</w:t>
        </w:r>
      </w:hyperlink>
      <w:r>
        <w:t xml:space="preserve"> </w:t>
      </w:r>
    </w:p>
  </w:footnote>
  <w:footnote w:id="9">
    <w:p w14:paraId="2F7A864C" w14:textId="77777777" w:rsidR="00AA32B1" w:rsidRPr="00686DBF" w:rsidRDefault="00AA32B1" w:rsidP="00AA32B1">
      <w:pPr>
        <w:pStyle w:val="FootnoteText"/>
        <w:rPr>
          <w:lang w:val="en-US"/>
        </w:rPr>
      </w:pPr>
      <w:r>
        <w:rPr>
          <w:rStyle w:val="FootnoteReference"/>
        </w:rPr>
        <w:footnoteRef/>
      </w:r>
      <w:r>
        <w:t xml:space="preserve"> </w:t>
      </w:r>
      <w:hyperlink r:id="rId5" w:history="1">
        <w:r w:rsidRPr="00AC13FA">
          <w:rPr>
            <w:rStyle w:val="Hyperlink"/>
          </w:rPr>
          <w:t>https://www.cpuc.ca.gov/industries-and-topics/natural-gas/long-term-gas-planning-rulemaking-closed</w:t>
        </w:r>
      </w:hyperlink>
      <w:r>
        <w:t xml:space="preserve"> </w:t>
      </w:r>
    </w:p>
  </w:footnote>
  <w:footnote w:id="10">
    <w:p w14:paraId="2122DC79" w14:textId="57078B97" w:rsidR="001131A8" w:rsidRPr="00E756E5" w:rsidRDefault="001131A8">
      <w:pPr>
        <w:pStyle w:val="FootnoteText"/>
        <w:rPr>
          <w:lang w:val="en-US"/>
        </w:rPr>
      </w:pPr>
      <w:r>
        <w:rPr>
          <w:rStyle w:val="FootnoteReference"/>
        </w:rPr>
        <w:footnoteRef/>
      </w:r>
      <w:r>
        <w:t xml:space="preserve"> </w:t>
      </w:r>
      <w:hyperlink r:id="rId6" w:history="1">
        <w:r w:rsidRPr="00AC13FA">
          <w:rPr>
            <w:rStyle w:val="Hyperlink"/>
          </w:rPr>
          <w:t>https://www.cpuc.ca.gov/-/media/cpuc-website/divisions/energy-division/documents/natural-gas/long-term-gas-planning-oir/rulings/gassystemdataruling03012022.pdf</w:t>
        </w:r>
      </w:hyperlink>
      <w:r>
        <w:t xml:space="preserve"> </w:t>
      </w:r>
    </w:p>
  </w:footnote>
  <w:footnote w:id="11">
    <w:p w14:paraId="1045A931" w14:textId="6A64DD42" w:rsidR="00C422E7" w:rsidRPr="00E756E5" w:rsidRDefault="00C422E7">
      <w:pPr>
        <w:pStyle w:val="FootnoteText"/>
        <w:rPr>
          <w:lang w:val="en-US"/>
        </w:rPr>
      </w:pPr>
      <w:r>
        <w:rPr>
          <w:rStyle w:val="FootnoteReference"/>
        </w:rPr>
        <w:footnoteRef/>
      </w:r>
      <w:r>
        <w:t xml:space="preserve"> </w:t>
      </w:r>
      <w:hyperlink r:id="rId7" w:history="1">
        <w:r w:rsidRPr="00AC13FA">
          <w:rPr>
            <w:rStyle w:val="Hyperlink"/>
          </w:rPr>
          <w:t>https://www.cpuc.ca.gov/-/media/cpuc-website/divisions/energy-division/documents/natural-gas/long-term-gas-planning-oir/rulings/revisedgassystemdataruling09212022.pdf</w:t>
        </w:r>
      </w:hyperlink>
      <w:r>
        <w:t xml:space="preserve"> </w:t>
      </w:r>
    </w:p>
  </w:footnote>
  <w:footnote w:id="12">
    <w:p w14:paraId="6E917B74" w14:textId="657C1AEA" w:rsidR="00557759" w:rsidRPr="0089321A" w:rsidRDefault="00557759">
      <w:pPr>
        <w:pStyle w:val="FootnoteText"/>
        <w:rPr>
          <w:lang w:val="en-US"/>
        </w:rPr>
      </w:pPr>
      <w:r>
        <w:rPr>
          <w:rStyle w:val="FootnoteReference"/>
        </w:rPr>
        <w:footnoteRef/>
      </w:r>
      <w:r>
        <w:t xml:space="preserve"> </w:t>
      </w:r>
      <w:r>
        <w:rPr>
          <w:lang w:val="en-US"/>
        </w:rPr>
        <w:t>SF &amp; MF: single-family and multi-family residential parcels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F3445" w14:textId="79740EF6" w:rsidR="0089723E" w:rsidRDefault="00F60D0C">
    <w:pPr>
      <w:pStyle w:val="Header"/>
    </w:pPr>
    <w:r>
      <w:pict w14:anchorId="7479A3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4" o:spid="_x0000_s1026" type="#_x0000_t136" style="position:absolute;margin-left:0;margin-top:0;width:595.95pt;height:79.45pt;rotation:315;z-index:-25165823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15C7B" w14:textId="0C10E9F4" w:rsidR="0089723E" w:rsidRDefault="00F60D0C">
    <w:pPr>
      <w:pStyle w:val="Header"/>
    </w:pPr>
    <w:r>
      <w:pict w14:anchorId="2113B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103" o:spid="_x0000_s1035" type="#_x0000_t136" style="position:absolute;margin-left:0;margin-top:0;width:595.95pt;height:79.45pt;rotation:315;z-index:-25165823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BE3EE" w14:textId="6698D9F8" w:rsidR="0089723E" w:rsidRDefault="00F60D0C">
    <w:pPr>
      <w:pStyle w:val="Header"/>
    </w:pPr>
    <w:r>
      <w:pict w14:anchorId="070504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104" o:spid="_x0000_s1036" type="#_x0000_t136" style="position:absolute;margin-left:0;margin-top:0;width:595.95pt;height:79.45pt;rotation:315;z-index:-251658229;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7C25" w14:textId="5AA07C4B" w:rsidR="0089723E" w:rsidRDefault="00F60D0C">
    <w:pPr>
      <w:pStyle w:val="Header"/>
    </w:pPr>
    <w:r>
      <w:pict w14:anchorId="57FB31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102" o:spid="_x0000_s1034" type="#_x0000_t136" style="position:absolute;margin-left:0;margin-top:0;width:595.95pt;height:79.45pt;rotation:315;z-index:-251658231;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5234" w14:textId="5A2653D5" w:rsidR="009D630C" w:rsidRDefault="00F60D0C" w:rsidP="0080520C">
    <w:r>
      <w:rPr>
        <w:noProof/>
      </w:rPr>
      <w:pict w14:anchorId="0051B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5" o:spid="_x0000_s1027" type="#_x0000_t136" style="position:absolute;margin-left:0;margin-top:0;width:595.95pt;height:143.65pt;rotation:315;z-index:-251658238;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15BFAF5D" wp14:editId="6D4C47C2">
          <wp:extent cx="1479600" cy="730800"/>
          <wp:effectExtent l="0" t="0" r="0" b="0"/>
          <wp:docPr id="2045236543" name="Picture 2045236543" descr="Ic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36543" name="Picture 2045236543" descr="Icon&#10;&#10;"/>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4F050ADE" w14:textId="77777777" w:rsidR="008C640B" w:rsidRDefault="008C640B" w:rsidP="0080520C"/>
  <w:p w14:paraId="68265793" w14:textId="77777777" w:rsidR="009D630C" w:rsidRDefault="009D630C">
    <w:pPr>
      <w:pStyle w:val="Header"/>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6498E" w14:textId="7030F7B4" w:rsidR="0089723E" w:rsidRDefault="00F60D0C">
    <w:pPr>
      <w:pStyle w:val="Header"/>
    </w:pPr>
    <w:r>
      <w:pict w14:anchorId="104CDF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3" o:spid="_x0000_s1025" type="#_x0000_t136" style="position:absolute;margin-left:0;margin-top:0;width:595.95pt;height:79.45pt;rotation:315;z-index:-251658240;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47138" w14:textId="2E165952" w:rsidR="009D630C" w:rsidRDefault="00F60D0C">
    <w:pPr>
      <w:pStyle w:val="Header"/>
      <w:rPr>
        <w:sz w:val="2"/>
      </w:rPr>
    </w:pPr>
    <w:r>
      <w:pict w14:anchorId="0B5099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7" o:spid="_x0000_s1029" type="#_x0000_t136" style="position:absolute;margin-left:0;margin-top:0;width:595.95pt;height:79.45pt;rotation:315;z-index:-251658236;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16017" w14:textId="26B626BC" w:rsidR="009D630C" w:rsidRDefault="00F60D0C" w:rsidP="0080520C">
    <w:r>
      <w:rPr>
        <w:noProof/>
      </w:rPr>
      <w:pict w14:anchorId="16C1D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8" o:spid="_x0000_s1030" type="#_x0000_t136" style="position:absolute;margin-left:0;margin-top:0;width:595.95pt;height:79.45pt;rotation:315;z-index:-251658235;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r w:rsidR="20B54020">
      <w:rPr>
        <w:noProof/>
      </w:rPr>
      <w:drawing>
        <wp:inline distT="0" distB="0" distL="0" distR="0" wp14:anchorId="672E6930" wp14:editId="2269DF8E">
          <wp:extent cx="1479600" cy="730800"/>
          <wp:effectExtent l="0" t="0" r="0" b="0"/>
          <wp:docPr id="127270561" name="Picture 1272705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0561" name="Picture 12727056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79600" cy="730800"/>
                  </a:xfrm>
                  <a:prstGeom prst="rect">
                    <a:avLst/>
                  </a:prstGeom>
                </pic:spPr>
              </pic:pic>
            </a:graphicData>
          </a:graphic>
        </wp:inline>
      </w:drawing>
    </w:r>
  </w:p>
  <w:p w14:paraId="02FB03FB" w14:textId="77777777" w:rsidR="008C640B" w:rsidRDefault="008C640B" w:rsidP="0080520C"/>
  <w:p w14:paraId="39400C80" w14:textId="77777777" w:rsidR="009D630C" w:rsidRDefault="009D630C">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077CB" w14:textId="3BD427D1" w:rsidR="009D630C" w:rsidRPr="00866BDC" w:rsidRDefault="00F60D0C">
    <w:pPr>
      <w:pStyle w:val="Header"/>
      <w:rPr>
        <w:sz w:val="2"/>
      </w:rPr>
    </w:pPr>
    <w:r>
      <w:pict w14:anchorId="7185F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6" o:spid="_x0000_s1028" type="#_x0000_t136" style="position:absolute;margin-left:0;margin-top:0;width:595.95pt;height:79.45pt;rotation:315;z-index:-251658237;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3D6B" w14:textId="7CF15451" w:rsidR="0089723E" w:rsidRDefault="00F60D0C">
    <w:pPr>
      <w:pStyle w:val="Header"/>
    </w:pPr>
    <w:r>
      <w:pict w14:anchorId="0AEB38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100" o:spid="_x0000_s1032" type="#_x0000_t136" style="position:absolute;margin-left:0;margin-top:0;width:595.95pt;height:79.45pt;rotation:315;z-index:-251658233;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B4007" w14:textId="73874C9D" w:rsidR="0089723E" w:rsidRDefault="00F60D0C">
    <w:pPr>
      <w:pStyle w:val="Header"/>
    </w:pPr>
    <w:r>
      <w:pict w14:anchorId="5AB52C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101" o:spid="_x0000_s1033" type="#_x0000_t136" style="position:absolute;margin-left:0;margin-top:0;width:595.95pt;height:79.45pt;rotation:315;z-index:-251658232;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2155D" w14:textId="1201CD59" w:rsidR="0089723E" w:rsidRDefault="00F60D0C">
    <w:pPr>
      <w:pStyle w:val="Header"/>
    </w:pPr>
    <w:r>
      <w:pict w14:anchorId="4BFBB2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8459099" o:spid="_x0000_s1031" type="#_x0000_t136" style="position:absolute;margin-left:0;margin-top:0;width:595.95pt;height:79.45pt;rotation:315;z-index:-251658234;mso-position-horizontal:center;mso-position-horizontal-relative:margin;mso-position-vertical:center;mso-position-vertical-relative:margin" o:allowincell="f" fillcolor="silver" stroked="f">
          <v:fill opacity=".5"/>
          <v:textpath style="font-family:&quot;Arial&quot;;font-size:1pt" string="interim deliverable"/>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bdD+gAEUW+xKEt" int2:id="OfW4lYDG">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37E0DA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9880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C21F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E10A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6020DC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E4BE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065AE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068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46B32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A7AEC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693DAD"/>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3E47023"/>
    <w:multiLevelType w:val="multilevel"/>
    <w:tmpl w:val="C576BECC"/>
    <w:name w:val="DNVGL Headings"/>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4D43E1B"/>
    <w:multiLevelType w:val="hybridMultilevel"/>
    <w:tmpl w:val="BABC339C"/>
    <w:lvl w:ilvl="0" w:tplc="12F818E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15135B"/>
    <w:multiLevelType w:val="hybridMultilevel"/>
    <w:tmpl w:val="02C498E2"/>
    <w:lvl w:ilvl="0" w:tplc="605AB25C">
      <w:numFmt w:val="bullet"/>
      <w:lvlText w:val=""/>
      <w:lvlJc w:val="left"/>
      <w:pPr>
        <w:ind w:left="720" w:hanging="360"/>
      </w:pPr>
      <w:rPr>
        <w:rFonts w:ascii="Symbol" w:eastAsiaTheme="minorEastAsia" w:hAnsi="Symbol"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E729AA"/>
    <w:multiLevelType w:val="multilevel"/>
    <w:tmpl w:val="6854C28A"/>
    <w:name w:val="DNVGL Appendices"/>
    <w:lvl w:ilvl="0">
      <w:start w:val="1"/>
      <w:numFmt w:val="upperLetter"/>
      <w:lvlRestart w:val="0"/>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A716B5E"/>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469D4706"/>
    <w:multiLevelType w:val="hybridMultilevel"/>
    <w:tmpl w:val="2CDC503C"/>
    <w:lvl w:ilvl="0" w:tplc="9C60BA4C">
      <w:start w:val="1"/>
      <w:numFmt w:val="bullet"/>
      <w:pStyle w:val="Table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C6D28BD"/>
    <w:multiLevelType w:val="hybridMultilevel"/>
    <w:tmpl w:val="8CCE4C3A"/>
    <w:lvl w:ilvl="0" w:tplc="C1AC88F0">
      <w:start w:val="1"/>
      <w:numFmt w:val="upperLetter"/>
      <w:pStyle w:val="Appendix"/>
      <w:lvlText w:val="Appendix %1."/>
      <w:lvlJc w:val="left"/>
      <w:pPr>
        <w:ind w:left="3060" w:hanging="360"/>
      </w:p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18" w15:restartNumberingAfterBreak="0">
    <w:nsid w:val="5DD051D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F110CB1"/>
    <w:multiLevelType w:val="hybridMultilevel"/>
    <w:tmpl w:val="130025D8"/>
    <w:lvl w:ilvl="0" w:tplc="1CB227FE">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13708853">
    <w:abstractNumId w:val="11"/>
  </w:num>
  <w:num w:numId="2" w16cid:durableId="843932718">
    <w:abstractNumId w:val="9"/>
  </w:num>
  <w:num w:numId="3" w16cid:durableId="1961302724">
    <w:abstractNumId w:val="8"/>
  </w:num>
  <w:num w:numId="4" w16cid:durableId="1691375048">
    <w:abstractNumId w:val="14"/>
  </w:num>
  <w:num w:numId="5" w16cid:durableId="360208491">
    <w:abstractNumId w:val="7"/>
  </w:num>
  <w:num w:numId="6" w16cid:durableId="1408071720">
    <w:abstractNumId w:val="6"/>
  </w:num>
  <w:num w:numId="7" w16cid:durableId="250042307">
    <w:abstractNumId w:val="5"/>
  </w:num>
  <w:num w:numId="8" w16cid:durableId="254482244">
    <w:abstractNumId w:val="4"/>
  </w:num>
  <w:num w:numId="9" w16cid:durableId="2001421933">
    <w:abstractNumId w:val="3"/>
  </w:num>
  <w:num w:numId="10" w16cid:durableId="1703558061">
    <w:abstractNumId w:val="2"/>
  </w:num>
  <w:num w:numId="11" w16cid:durableId="2048602246">
    <w:abstractNumId w:val="1"/>
  </w:num>
  <w:num w:numId="12" w16cid:durableId="178199090">
    <w:abstractNumId w:val="0"/>
  </w:num>
  <w:num w:numId="13" w16cid:durableId="896598103">
    <w:abstractNumId w:val="10"/>
  </w:num>
  <w:num w:numId="14" w16cid:durableId="72241736">
    <w:abstractNumId w:val="18"/>
  </w:num>
  <w:num w:numId="15" w16cid:durableId="905340075">
    <w:abstractNumId w:val="15"/>
  </w:num>
  <w:num w:numId="16" w16cid:durableId="332731756">
    <w:abstractNumId w:val="19"/>
  </w:num>
  <w:num w:numId="17" w16cid:durableId="1032077808">
    <w:abstractNumId w:val="17"/>
  </w:num>
  <w:num w:numId="18" w16cid:durableId="2045251379">
    <w:abstractNumId w:val="16"/>
  </w:num>
  <w:num w:numId="19" w16cid:durableId="1288198380">
    <w:abstractNumId w:val="13"/>
  </w:num>
  <w:num w:numId="20" w16cid:durableId="1423334412">
    <w:abstractNumId w:val="12"/>
  </w:num>
  <w:num w:numId="21" w16cid:durableId="551502802">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MDO0NDQxNjMyNzNQ0lEKTi0uzszPAykwqgUAOuO7FSwAAAA="/>
    <w:docVar w:name="DFS_FileId" w:val="COR006.dotx"/>
    <w:docVar w:name="DFS_FormId" w:val="1789"/>
    <w:docVar w:name="DFS_FormNo" w:val="COR 006"/>
    <w:docVar w:name="DFS_FormversionNo" w:val="33"/>
    <w:docVar w:name="DFS_Issue" w:val="2021-03"/>
    <w:docVar w:name="DNVeFormDoc_guid" w:val="d4344e0f01ce4378b362095aabefc71c"/>
    <w:docVar w:name="eForms Core NewDocument" w:val="2021-02-24T11:09:03Z"/>
    <w:docVar w:name="eForms_xdoc_doc_config" w:val="&lt;?xml version=&quot;1.0&quot; encoding=&quot;UTF-8&quot;?&gt;&lt;DNVeFormsCore version=&quot;1.0&quot;&gt;&lt;doc_config client_app=&quot;&quot;&gt;&lt;setting name=&quot;form_config&quot;&gt;&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lt;/setting&gt;&lt;/doc_config&gt;&lt;/DNVeFormsCore&gt;"/>
    <w:docVar w:name="eFormsDataStoreItemId" w:val="{5CA4A4C5-54AF-4604-9925-3D577EA5FC6C}"/>
    <w:docVar w:name="eFormsFormConfig" w:val="&lt;form form_id=&quot;1789&quot; formversion_no=&quot;32&quot; code=&quot;COR 006&quot; name=&quot;Report&quot; issue=&quot;2020-05&quot; formgroup_id=&quot;0&quot; distribution_bits=&quot;15&quot; FU=&quot;1&quot; SS=&quot;1&quot; SL=&quot;1&quot; ST=&quot;1&quot; filename=&quot;COR006.dotx&quot; type=&quot;Word&quot; datafolder=&quot;&quot; form_id_field=&quot;&quot; formflow_filename=&quot;&quot; standalone=&quot;n&quot;&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210216 124511"/>
    <w:docVar w:name="TB build utc" w:val="2021-02-16T11:45:18"/>
    <w:docVar w:name="TB filename" w:val="COR006.dotx"/>
    <w:docVar w:name="TB id" w:val="7262"/>
    <w:docVar w:name="TB name" w:val="COR 006"/>
    <w:docVar w:name="XCD450QKD" w:val="f0cae5b166804c489d7d6309072ec101"/>
  </w:docVars>
  <w:rsids>
    <w:rsidRoot w:val="006E5F7D"/>
    <w:rsid w:val="000010F2"/>
    <w:rsid w:val="000013A2"/>
    <w:rsid w:val="000013B9"/>
    <w:rsid w:val="00001F10"/>
    <w:rsid w:val="00002A9B"/>
    <w:rsid w:val="0000363C"/>
    <w:rsid w:val="00004095"/>
    <w:rsid w:val="00005373"/>
    <w:rsid w:val="00005BAC"/>
    <w:rsid w:val="00005CAD"/>
    <w:rsid w:val="000060E4"/>
    <w:rsid w:val="00006120"/>
    <w:rsid w:val="0000615E"/>
    <w:rsid w:val="0000645C"/>
    <w:rsid w:val="000073D0"/>
    <w:rsid w:val="000103BB"/>
    <w:rsid w:val="00010558"/>
    <w:rsid w:val="00010B0B"/>
    <w:rsid w:val="00012139"/>
    <w:rsid w:val="000125C0"/>
    <w:rsid w:val="000126AB"/>
    <w:rsid w:val="00012BC8"/>
    <w:rsid w:val="000145E3"/>
    <w:rsid w:val="0001478C"/>
    <w:rsid w:val="0001538E"/>
    <w:rsid w:val="00015968"/>
    <w:rsid w:val="00015D95"/>
    <w:rsid w:val="000160B2"/>
    <w:rsid w:val="00016451"/>
    <w:rsid w:val="00016B25"/>
    <w:rsid w:val="00016EC0"/>
    <w:rsid w:val="00020E0E"/>
    <w:rsid w:val="0002168E"/>
    <w:rsid w:val="00023649"/>
    <w:rsid w:val="00023CA4"/>
    <w:rsid w:val="00025D52"/>
    <w:rsid w:val="00025FDB"/>
    <w:rsid w:val="00026DC0"/>
    <w:rsid w:val="00027784"/>
    <w:rsid w:val="00030037"/>
    <w:rsid w:val="000301F0"/>
    <w:rsid w:val="00030917"/>
    <w:rsid w:val="00031328"/>
    <w:rsid w:val="00031AFB"/>
    <w:rsid w:val="000349AC"/>
    <w:rsid w:val="00035DD8"/>
    <w:rsid w:val="0003667A"/>
    <w:rsid w:val="00036E2D"/>
    <w:rsid w:val="00040628"/>
    <w:rsid w:val="00041AB5"/>
    <w:rsid w:val="000426A6"/>
    <w:rsid w:val="00042E5C"/>
    <w:rsid w:val="00042F39"/>
    <w:rsid w:val="00042F8E"/>
    <w:rsid w:val="000432EC"/>
    <w:rsid w:val="00043C40"/>
    <w:rsid w:val="00043F5A"/>
    <w:rsid w:val="0004498B"/>
    <w:rsid w:val="00045B49"/>
    <w:rsid w:val="00045B9B"/>
    <w:rsid w:val="00045E88"/>
    <w:rsid w:val="0004784C"/>
    <w:rsid w:val="00047CBF"/>
    <w:rsid w:val="00047DB3"/>
    <w:rsid w:val="00051119"/>
    <w:rsid w:val="0005155D"/>
    <w:rsid w:val="00051C72"/>
    <w:rsid w:val="00052447"/>
    <w:rsid w:val="000528CF"/>
    <w:rsid w:val="00053066"/>
    <w:rsid w:val="00053655"/>
    <w:rsid w:val="000537CB"/>
    <w:rsid w:val="00054902"/>
    <w:rsid w:val="00054E63"/>
    <w:rsid w:val="00055C2F"/>
    <w:rsid w:val="00056BE4"/>
    <w:rsid w:val="00056F0F"/>
    <w:rsid w:val="000578B6"/>
    <w:rsid w:val="00057BCA"/>
    <w:rsid w:val="000618CC"/>
    <w:rsid w:val="00061F2E"/>
    <w:rsid w:val="000639D0"/>
    <w:rsid w:val="00063C27"/>
    <w:rsid w:val="00064ABA"/>
    <w:rsid w:val="000650CE"/>
    <w:rsid w:val="00065419"/>
    <w:rsid w:val="000657AC"/>
    <w:rsid w:val="0007110D"/>
    <w:rsid w:val="00071CD2"/>
    <w:rsid w:val="0007320C"/>
    <w:rsid w:val="000758BA"/>
    <w:rsid w:val="00075ABE"/>
    <w:rsid w:val="00075D99"/>
    <w:rsid w:val="00076281"/>
    <w:rsid w:val="000764B4"/>
    <w:rsid w:val="00077213"/>
    <w:rsid w:val="000777B9"/>
    <w:rsid w:val="0008083B"/>
    <w:rsid w:val="00080FB9"/>
    <w:rsid w:val="00081213"/>
    <w:rsid w:val="000819B6"/>
    <w:rsid w:val="0008236B"/>
    <w:rsid w:val="00082605"/>
    <w:rsid w:val="00083A6F"/>
    <w:rsid w:val="00083C3B"/>
    <w:rsid w:val="0008401F"/>
    <w:rsid w:val="00084191"/>
    <w:rsid w:val="0008432D"/>
    <w:rsid w:val="000845D7"/>
    <w:rsid w:val="000845F9"/>
    <w:rsid w:val="000847C4"/>
    <w:rsid w:val="00084805"/>
    <w:rsid w:val="00087EDE"/>
    <w:rsid w:val="00090F9C"/>
    <w:rsid w:val="0009116F"/>
    <w:rsid w:val="000916F4"/>
    <w:rsid w:val="0009205E"/>
    <w:rsid w:val="000922BA"/>
    <w:rsid w:val="0009304F"/>
    <w:rsid w:val="00093326"/>
    <w:rsid w:val="00094A15"/>
    <w:rsid w:val="00094BEC"/>
    <w:rsid w:val="00095DCA"/>
    <w:rsid w:val="000965FF"/>
    <w:rsid w:val="0009773C"/>
    <w:rsid w:val="000A115B"/>
    <w:rsid w:val="000A168D"/>
    <w:rsid w:val="000A1B4D"/>
    <w:rsid w:val="000A1BF5"/>
    <w:rsid w:val="000A265F"/>
    <w:rsid w:val="000A31A3"/>
    <w:rsid w:val="000A5D9E"/>
    <w:rsid w:val="000A68C2"/>
    <w:rsid w:val="000A6CC2"/>
    <w:rsid w:val="000A70B9"/>
    <w:rsid w:val="000A73EB"/>
    <w:rsid w:val="000A75FC"/>
    <w:rsid w:val="000A791D"/>
    <w:rsid w:val="000B00B2"/>
    <w:rsid w:val="000B0C9B"/>
    <w:rsid w:val="000B0F49"/>
    <w:rsid w:val="000B1746"/>
    <w:rsid w:val="000B2E97"/>
    <w:rsid w:val="000B3613"/>
    <w:rsid w:val="000B4BB0"/>
    <w:rsid w:val="000B4BDA"/>
    <w:rsid w:val="000B5725"/>
    <w:rsid w:val="000B5AF1"/>
    <w:rsid w:val="000B6690"/>
    <w:rsid w:val="000B6D78"/>
    <w:rsid w:val="000B7CED"/>
    <w:rsid w:val="000C01E0"/>
    <w:rsid w:val="000C084F"/>
    <w:rsid w:val="000C0EB4"/>
    <w:rsid w:val="000C23D4"/>
    <w:rsid w:val="000C25EC"/>
    <w:rsid w:val="000C5DED"/>
    <w:rsid w:val="000C5FA2"/>
    <w:rsid w:val="000C746A"/>
    <w:rsid w:val="000C7AE5"/>
    <w:rsid w:val="000C7E7F"/>
    <w:rsid w:val="000D0241"/>
    <w:rsid w:val="000D05A8"/>
    <w:rsid w:val="000D10FB"/>
    <w:rsid w:val="000D20CE"/>
    <w:rsid w:val="000D283A"/>
    <w:rsid w:val="000D5AFC"/>
    <w:rsid w:val="000D5BA3"/>
    <w:rsid w:val="000D614A"/>
    <w:rsid w:val="000D6F4B"/>
    <w:rsid w:val="000D7535"/>
    <w:rsid w:val="000E033B"/>
    <w:rsid w:val="000E0B7C"/>
    <w:rsid w:val="000E10A3"/>
    <w:rsid w:val="000E2117"/>
    <w:rsid w:val="000E2861"/>
    <w:rsid w:val="000E2A73"/>
    <w:rsid w:val="000E3024"/>
    <w:rsid w:val="000E4C71"/>
    <w:rsid w:val="000E5414"/>
    <w:rsid w:val="000E5B29"/>
    <w:rsid w:val="000E6C86"/>
    <w:rsid w:val="000E72AF"/>
    <w:rsid w:val="000E73C6"/>
    <w:rsid w:val="000E764D"/>
    <w:rsid w:val="000F0287"/>
    <w:rsid w:val="000F0F00"/>
    <w:rsid w:val="000F0F0F"/>
    <w:rsid w:val="000F1F39"/>
    <w:rsid w:val="000F3734"/>
    <w:rsid w:val="000F39E8"/>
    <w:rsid w:val="000F3A7A"/>
    <w:rsid w:val="000F3F9F"/>
    <w:rsid w:val="000F5273"/>
    <w:rsid w:val="000F52F3"/>
    <w:rsid w:val="000F5E2E"/>
    <w:rsid w:val="000F6333"/>
    <w:rsid w:val="000F65A2"/>
    <w:rsid w:val="000F692A"/>
    <w:rsid w:val="000F7C1B"/>
    <w:rsid w:val="000F7D6A"/>
    <w:rsid w:val="00100F79"/>
    <w:rsid w:val="00101030"/>
    <w:rsid w:val="00101852"/>
    <w:rsid w:val="00102A54"/>
    <w:rsid w:val="0010306C"/>
    <w:rsid w:val="00103D07"/>
    <w:rsid w:val="00105DF2"/>
    <w:rsid w:val="001079F8"/>
    <w:rsid w:val="00107A99"/>
    <w:rsid w:val="0011094B"/>
    <w:rsid w:val="001109EA"/>
    <w:rsid w:val="00112832"/>
    <w:rsid w:val="00112AD9"/>
    <w:rsid w:val="00112DF1"/>
    <w:rsid w:val="00112F23"/>
    <w:rsid w:val="001131A8"/>
    <w:rsid w:val="00113F5B"/>
    <w:rsid w:val="00114698"/>
    <w:rsid w:val="001149DB"/>
    <w:rsid w:val="00114A16"/>
    <w:rsid w:val="00115270"/>
    <w:rsid w:val="001163FC"/>
    <w:rsid w:val="001175A5"/>
    <w:rsid w:val="001205BF"/>
    <w:rsid w:val="001217DC"/>
    <w:rsid w:val="00122A9D"/>
    <w:rsid w:val="001230C0"/>
    <w:rsid w:val="00123EB0"/>
    <w:rsid w:val="0012455F"/>
    <w:rsid w:val="001256F4"/>
    <w:rsid w:val="00126795"/>
    <w:rsid w:val="001271D7"/>
    <w:rsid w:val="001302C8"/>
    <w:rsid w:val="0013081F"/>
    <w:rsid w:val="00130DDA"/>
    <w:rsid w:val="001321EA"/>
    <w:rsid w:val="001326B1"/>
    <w:rsid w:val="001328A6"/>
    <w:rsid w:val="001328CF"/>
    <w:rsid w:val="00132C98"/>
    <w:rsid w:val="001343CF"/>
    <w:rsid w:val="001349EE"/>
    <w:rsid w:val="00135442"/>
    <w:rsid w:val="00135E9A"/>
    <w:rsid w:val="0013619B"/>
    <w:rsid w:val="00137449"/>
    <w:rsid w:val="0013745C"/>
    <w:rsid w:val="00141581"/>
    <w:rsid w:val="00141858"/>
    <w:rsid w:val="00141F2A"/>
    <w:rsid w:val="00142522"/>
    <w:rsid w:val="00142FE5"/>
    <w:rsid w:val="001438B4"/>
    <w:rsid w:val="00144428"/>
    <w:rsid w:val="00147073"/>
    <w:rsid w:val="00147956"/>
    <w:rsid w:val="00150BC6"/>
    <w:rsid w:val="00151022"/>
    <w:rsid w:val="00151294"/>
    <w:rsid w:val="0015166C"/>
    <w:rsid w:val="00151A23"/>
    <w:rsid w:val="00152821"/>
    <w:rsid w:val="00152C66"/>
    <w:rsid w:val="00153593"/>
    <w:rsid w:val="00153E5E"/>
    <w:rsid w:val="001540E8"/>
    <w:rsid w:val="00154664"/>
    <w:rsid w:val="00154AEB"/>
    <w:rsid w:val="00156477"/>
    <w:rsid w:val="00156609"/>
    <w:rsid w:val="001568C1"/>
    <w:rsid w:val="00156FD7"/>
    <w:rsid w:val="00157010"/>
    <w:rsid w:val="001576F2"/>
    <w:rsid w:val="00160C42"/>
    <w:rsid w:val="00160EBD"/>
    <w:rsid w:val="00161A86"/>
    <w:rsid w:val="00161D9C"/>
    <w:rsid w:val="001621B5"/>
    <w:rsid w:val="001636C4"/>
    <w:rsid w:val="00164B77"/>
    <w:rsid w:val="00164F71"/>
    <w:rsid w:val="001650FA"/>
    <w:rsid w:val="001656D5"/>
    <w:rsid w:val="001660E7"/>
    <w:rsid w:val="00166F96"/>
    <w:rsid w:val="00167398"/>
    <w:rsid w:val="00167A65"/>
    <w:rsid w:val="00167D28"/>
    <w:rsid w:val="00170EA0"/>
    <w:rsid w:val="00171079"/>
    <w:rsid w:val="00171BD1"/>
    <w:rsid w:val="001724FF"/>
    <w:rsid w:val="00172B32"/>
    <w:rsid w:val="001739ED"/>
    <w:rsid w:val="00174FBD"/>
    <w:rsid w:val="00175240"/>
    <w:rsid w:val="00175815"/>
    <w:rsid w:val="001770CA"/>
    <w:rsid w:val="0017792B"/>
    <w:rsid w:val="00177DBC"/>
    <w:rsid w:val="00180B60"/>
    <w:rsid w:val="00180EDB"/>
    <w:rsid w:val="00182123"/>
    <w:rsid w:val="00182F26"/>
    <w:rsid w:val="001831C0"/>
    <w:rsid w:val="001833EC"/>
    <w:rsid w:val="001836F8"/>
    <w:rsid w:val="00183C1F"/>
    <w:rsid w:val="00184649"/>
    <w:rsid w:val="0018482C"/>
    <w:rsid w:val="00185AFB"/>
    <w:rsid w:val="001870DA"/>
    <w:rsid w:val="001871B8"/>
    <w:rsid w:val="00187332"/>
    <w:rsid w:val="00187CFA"/>
    <w:rsid w:val="00191969"/>
    <w:rsid w:val="001927F6"/>
    <w:rsid w:val="00192D17"/>
    <w:rsid w:val="0019313D"/>
    <w:rsid w:val="001941BE"/>
    <w:rsid w:val="00194FFD"/>
    <w:rsid w:val="001964EF"/>
    <w:rsid w:val="00197596"/>
    <w:rsid w:val="00197B33"/>
    <w:rsid w:val="001A0412"/>
    <w:rsid w:val="001A0DE0"/>
    <w:rsid w:val="001A1A3B"/>
    <w:rsid w:val="001A3E58"/>
    <w:rsid w:val="001A5051"/>
    <w:rsid w:val="001A6293"/>
    <w:rsid w:val="001A66FC"/>
    <w:rsid w:val="001A6C56"/>
    <w:rsid w:val="001A7AE4"/>
    <w:rsid w:val="001B0101"/>
    <w:rsid w:val="001B0317"/>
    <w:rsid w:val="001B1C21"/>
    <w:rsid w:val="001B1C72"/>
    <w:rsid w:val="001B2069"/>
    <w:rsid w:val="001B367A"/>
    <w:rsid w:val="001B3A39"/>
    <w:rsid w:val="001B5A4C"/>
    <w:rsid w:val="001B765F"/>
    <w:rsid w:val="001B7E3A"/>
    <w:rsid w:val="001C0F4E"/>
    <w:rsid w:val="001C1678"/>
    <w:rsid w:val="001C1927"/>
    <w:rsid w:val="001C2DA8"/>
    <w:rsid w:val="001C5744"/>
    <w:rsid w:val="001C6014"/>
    <w:rsid w:val="001C61B0"/>
    <w:rsid w:val="001C7AC7"/>
    <w:rsid w:val="001D267B"/>
    <w:rsid w:val="001D281E"/>
    <w:rsid w:val="001D2AA3"/>
    <w:rsid w:val="001D3822"/>
    <w:rsid w:val="001D3E83"/>
    <w:rsid w:val="001D420C"/>
    <w:rsid w:val="001D5229"/>
    <w:rsid w:val="001D5470"/>
    <w:rsid w:val="001D5B70"/>
    <w:rsid w:val="001D5D49"/>
    <w:rsid w:val="001D64FF"/>
    <w:rsid w:val="001D685D"/>
    <w:rsid w:val="001D690C"/>
    <w:rsid w:val="001D6987"/>
    <w:rsid w:val="001E0362"/>
    <w:rsid w:val="001E2205"/>
    <w:rsid w:val="001E4D45"/>
    <w:rsid w:val="001E5613"/>
    <w:rsid w:val="001F01C2"/>
    <w:rsid w:val="001F03DD"/>
    <w:rsid w:val="001F05A5"/>
    <w:rsid w:val="001F10A8"/>
    <w:rsid w:val="001F234F"/>
    <w:rsid w:val="001F26D6"/>
    <w:rsid w:val="001F2EC6"/>
    <w:rsid w:val="001F3A04"/>
    <w:rsid w:val="001F3D7F"/>
    <w:rsid w:val="001F75A8"/>
    <w:rsid w:val="001F795D"/>
    <w:rsid w:val="00200ACE"/>
    <w:rsid w:val="00202C9D"/>
    <w:rsid w:val="0020388F"/>
    <w:rsid w:val="00203A83"/>
    <w:rsid w:val="00203F45"/>
    <w:rsid w:val="002060CA"/>
    <w:rsid w:val="002065CC"/>
    <w:rsid w:val="00206630"/>
    <w:rsid w:val="00207666"/>
    <w:rsid w:val="002077AC"/>
    <w:rsid w:val="00210AE1"/>
    <w:rsid w:val="00211064"/>
    <w:rsid w:val="002112E2"/>
    <w:rsid w:val="002123C7"/>
    <w:rsid w:val="00212477"/>
    <w:rsid w:val="00213972"/>
    <w:rsid w:val="00214DFB"/>
    <w:rsid w:val="0021591B"/>
    <w:rsid w:val="00215C1E"/>
    <w:rsid w:val="002177C8"/>
    <w:rsid w:val="00220649"/>
    <w:rsid w:val="00220DFC"/>
    <w:rsid w:val="00221210"/>
    <w:rsid w:val="00221570"/>
    <w:rsid w:val="0022178C"/>
    <w:rsid w:val="002218AC"/>
    <w:rsid w:val="00221A42"/>
    <w:rsid w:val="002220BA"/>
    <w:rsid w:val="0022270B"/>
    <w:rsid w:val="00223378"/>
    <w:rsid w:val="00223638"/>
    <w:rsid w:val="00223DC6"/>
    <w:rsid w:val="00225993"/>
    <w:rsid w:val="00225DC9"/>
    <w:rsid w:val="00227660"/>
    <w:rsid w:val="002303D7"/>
    <w:rsid w:val="002303FC"/>
    <w:rsid w:val="00232116"/>
    <w:rsid w:val="00232209"/>
    <w:rsid w:val="00232B0D"/>
    <w:rsid w:val="002332A8"/>
    <w:rsid w:val="00234708"/>
    <w:rsid w:val="00234C82"/>
    <w:rsid w:val="002353A1"/>
    <w:rsid w:val="00235A34"/>
    <w:rsid w:val="00236BEA"/>
    <w:rsid w:val="00236E4E"/>
    <w:rsid w:val="00236F4F"/>
    <w:rsid w:val="00237B25"/>
    <w:rsid w:val="00237B28"/>
    <w:rsid w:val="00240718"/>
    <w:rsid w:val="00240963"/>
    <w:rsid w:val="00240CCD"/>
    <w:rsid w:val="00240CF4"/>
    <w:rsid w:val="00240D84"/>
    <w:rsid w:val="00240D8A"/>
    <w:rsid w:val="00242CE8"/>
    <w:rsid w:val="00242F4B"/>
    <w:rsid w:val="00243E2E"/>
    <w:rsid w:val="00243E36"/>
    <w:rsid w:val="00244A8A"/>
    <w:rsid w:val="00244F16"/>
    <w:rsid w:val="00245202"/>
    <w:rsid w:val="00246042"/>
    <w:rsid w:val="00246287"/>
    <w:rsid w:val="00246BF6"/>
    <w:rsid w:val="002507BE"/>
    <w:rsid w:val="0025145F"/>
    <w:rsid w:val="00251698"/>
    <w:rsid w:val="00251A54"/>
    <w:rsid w:val="00251AD8"/>
    <w:rsid w:val="0025327A"/>
    <w:rsid w:val="00253478"/>
    <w:rsid w:val="00255664"/>
    <w:rsid w:val="00255831"/>
    <w:rsid w:val="00255F5C"/>
    <w:rsid w:val="0025631E"/>
    <w:rsid w:val="00256B5C"/>
    <w:rsid w:val="002602DB"/>
    <w:rsid w:val="002605D4"/>
    <w:rsid w:val="00261E20"/>
    <w:rsid w:val="00262323"/>
    <w:rsid w:val="0026244E"/>
    <w:rsid w:val="002634C7"/>
    <w:rsid w:val="00263FDC"/>
    <w:rsid w:val="00267427"/>
    <w:rsid w:val="00270D28"/>
    <w:rsid w:val="00270DA1"/>
    <w:rsid w:val="00271AF6"/>
    <w:rsid w:val="00273186"/>
    <w:rsid w:val="002732D3"/>
    <w:rsid w:val="00273B49"/>
    <w:rsid w:val="00273CFD"/>
    <w:rsid w:val="00273E5E"/>
    <w:rsid w:val="00273E94"/>
    <w:rsid w:val="00273F96"/>
    <w:rsid w:val="0027418A"/>
    <w:rsid w:val="0027472F"/>
    <w:rsid w:val="00274F0C"/>
    <w:rsid w:val="0027656F"/>
    <w:rsid w:val="0027748A"/>
    <w:rsid w:val="002774D3"/>
    <w:rsid w:val="0027C918"/>
    <w:rsid w:val="002828F3"/>
    <w:rsid w:val="00283118"/>
    <w:rsid w:val="002853C7"/>
    <w:rsid w:val="002855A6"/>
    <w:rsid w:val="00287E89"/>
    <w:rsid w:val="00290E2E"/>
    <w:rsid w:val="00291B9A"/>
    <w:rsid w:val="00292F7F"/>
    <w:rsid w:val="00294A74"/>
    <w:rsid w:val="002965A6"/>
    <w:rsid w:val="00297880"/>
    <w:rsid w:val="00297AC2"/>
    <w:rsid w:val="00297C56"/>
    <w:rsid w:val="00297E6B"/>
    <w:rsid w:val="002A0C6C"/>
    <w:rsid w:val="002A2034"/>
    <w:rsid w:val="002A3908"/>
    <w:rsid w:val="002A3A3E"/>
    <w:rsid w:val="002A56F3"/>
    <w:rsid w:val="002A5AC3"/>
    <w:rsid w:val="002A5BDB"/>
    <w:rsid w:val="002A6E3C"/>
    <w:rsid w:val="002A7034"/>
    <w:rsid w:val="002A74CC"/>
    <w:rsid w:val="002B00AF"/>
    <w:rsid w:val="002B0215"/>
    <w:rsid w:val="002B0A74"/>
    <w:rsid w:val="002B0D4A"/>
    <w:rsid w:val="002B0EF1"/>
    <w:rsid w:val="002B13DF"/>
    <w:rsid w:val="002B1C5C"/>
    <w:rsid w:val="002B1FBF"/>
    <w:rsid w:val="002B2CD7"/>
    <w:rsid w:val="002B335C"/>
    <w:rsid w:val="002B3694"/>
    <w:rsid w:val="002B465D"/>
    <w:rsid w:val="002B4B29"/>
    <w:rsid w:val="002B65D9"/>
    <w:rsid w:val="002B73A3"/>
    <w:rsid w:val="002B7799"/>
    <w:rsid w:val="002C019A"/>
    <w:rsid w:val="002C0A17"/>
    <w:rsid w:val="002C0BD2"/>
    <w:rsid w:val="002C1895"/>
    <w:rsid w:val="002C1C57"/>
    <w:rsid w:val="002C222E"/>
    <w:rsid w:val="002C2CB2"/>
    <w:rsid w:val="002C2D2A"/>
    <w:rsid w:val="002C3179"/>
    <w:rsid w:val="002C324D"/>
    <w:rsid w:val="002C4150"/>
    <w:rsid w:val="002C4EAC"/>
    <w:rsid w:val="002C57AB"/>
    <w:rsid w:val="002C6934"/>
    <w:rsid w:val="002C739B"/>
    <w:rsid w:val="002D025D"/>
    <w:rsid w:val="002D1284"/>
    <w:rsid w:val="002D1FEE"/>
    <w:rsid w:val="002D23C2"/>
    <w:rsid w:val="002D41DF"/>
    <w:rsid w:val="002D4798"/>
    <w:rsid w:val="002D55D5"/>
    <w:rsid w:val="002D68B1"/>
    <w:rsid w:val="002D7CC8"/>
    <w:rsid w:val="002D7DE1"/>
    <w:rsid w:val="002E00E1"/>
    <w:rsid w:val="002E0119"/>
    <w:rsid w:val="002E0457"/>
    <w:rsid w:val="002E135F"/>
    <w:rsid w:val="002E1700"/>
    <w:rsid w:val="002E1949"/>
    <w:rsid w:val="002E251A"/>
    <w:rsid w:val="002E3AD9"/>
    <w:rsid w:val="002E4700"/>
    <w:rsid w:val="002E47F3"/>
    <w:rsid w:val="002E51BF"/>
    <w:rsid w:val="002E6523"/>
    <w:rsid w:val="002E68F1"/>
    <w:rsid w:val="002E76C1"/>
    <w:rsid w:val="002F0643"/>
    <w:rsid w:val="002F0FDD"/>
    <w:rsid w:val="002F15F9"/>
    <w:rsid w:val="002F1AEF"/>
    <w:rsid w:val="002F213A"/>
    <w:rsid w:val="002F2D59"/>
    <w:rsid w:val="002F30F4"/>
    <w:rsid w:val="002F3CFC"/>
    <w:rsid w:val="002F3D09"/>
    <w:rsid w:val="002F479C"/>
    <w:rsid w:val="002F4A2E"/>
    <w:rsid w:val="002F55F8"/>
    <w:rsid w:val="002F5765"/>
    <w:rsid w:val="002F5A98"/>
    <w:rsid w:val="002F6770"/>
    <w:rsid w:val="002F6D3E"/>
    <w:rsid w:val="002F6FDF"/>
    <w:rsid w:val="00300A04"/>
    <w:rsid w:val="00300C66"/>
    <w:rsid w:val="00300D1E"/>
    <w:rsid w:val="00301614"/>
    <w:rsid w:val="0030218C"/>
    <w:rsid w:val="00302238"/>
    <w:rsid w:val="003025B4"/>
    <w:rsid w:val="0030283E"/>
    <w:rsid w:val="0030384B"/>
    <w:rsid w:val="0030388B"/>
    <w:rsid w:val="003042AE"/>
    <w:rsid w:val="00304B23"/>
    <w:rsid w:val="00305A9E"/>
    <w:rsid w:val="00305E2A"/>
    <w:rsid w:val="0030633E"/>
    <w:rsid w:val="00307100"/>
    <w:rsid w:val="0030748D"/>
    <w:rsid w:val="0031014A"/>
    <w:rsid w:val="00310CF6"/>
    <w:rsid w:val="003115CF"/>
    <w:rsid w:val="00313A6B"/>
    <w:rsid w:val="0031531C"/>
    <w:rsid w:val="003153E9"/>
    <w:rsid w:val="003153EB"/>
    <w:rsid w:val="00315C43"/>
    <w:rsid w:val="00315EFF"/>
    <w:rsid w:val="00316609"/>
    <w:rsid w:val="00316A60"/>
    <w:rsid w:val="0031720F"/>
    <w:rsid w:val="003172B8"/>
    <w:rsid w:val="0031756E"/>
    <w:rsid w:val="00317CC9"/>
    <w:rsid w:val="00317F50"/>
    <w:rsid w:val="003200EF"/>
    <w:rsid w:val="00320945"/>
    <w:rsid w:val="00320B4C"/>
    <w:rsid w:val="00320EC7"/>
    <w:rsid w:val="0032131A"/>
    <w:rsid w:val="003223E6"/>
    <w:rsid w:val="00322CE2"/>
    <w:rsid w:val="003238CF"/>
    <w:rsid w:val="00323BA4"/>
    <w:rsid w:val="00323C48"/>
    <w:rsid w:val="0032512A"/>
    <w:rsid w:val="00325265"/>
    <w:rsid w:val="0032585D"/>
    <w:rsid w:val="00325A58"/>
    <w:rsid w:val="00326757"/>
    <w:rsid w:val="00326E2E"/>
    <w:rsid w:val="00326EF4"/>
    <w:rsid w:val="00326F1E"/>
    <w:rsid w:val="0032786B"/>
    <w:rsid w:val="003301D1"/>
    <w:rsid w:val="003313DC"/>
    <w:rsid w:val="003316CA"/>
    <w:rsid w:val="00331820"/>
    <w:rsid w:val="0033184F"/>
    <w:rsid w:val="003318E5"/>
    <w:rsid w:val="00331E3F"/>
    <w:rsid w:val="00332066"/>
    <w:rsid w:val="00332DC9"/>
    <w:rsid w:val="00333AFC"/>
    <w:rsid w:val="003345F4"/>
    <w:rsid w:val="00334BD0"/>
    <w:rsid w:val="00334E47"/>
    <w:rsid w:val="003356F5"/>
    <w:rsid w:val="00337292"/>
    <w:rsid w:val="00337BCB"/>
    <w:rsid w:val="00337EEF"/>
    <w:rsid w:val="00340027"/>
    <w:rsid w:val="003403C8"/>
    <w:rsid w:val="0034229F"/>
    <w:rsid w:val="003426CF"/>
    <w:rsid w:val="003426EC"/>
    <w:rsid w:val="003429E4"/>
    <w:rsid w:val="00343A48"/>
    <w:rsid w:val="003445C1"/>
    <w:rsid w:val="003453CD"/>
    <w:rsid w:val="00345827"/>
    <w:rsid w:val="003463DC"/>
    <w:rsid w:val="00350BFA"/>
    <w:rsid w:val="00351649"/>
    <w:rsid w:val="00351D53"/>
    <w:rsid w:val="00351FA4"/>
    <w:rsid w:val="00353B0D"/>
    <w:rsid w:val="00353D18"/>
    <w:rsid w:val="00353F55"/>
    <w:rsid w:val="00354411"/>
    <w:rsid w:val="003555FF"/>
    <w:rsid w:val="00356947"/>
    <w:rsid w:val="00357563"/>
    <w:rsid w:val="00357AE2"/>
    <w:rsid w:val="003604FC"/>
    <w:rsid w:val="003612BB"/>
    <w:rsid w:val="00361524"/>
    <w:rsid w:val="003627E2"/>
    <w:rsid w:val="00364186"/>
    <w:rsid w:val="00364A0C"/>
    <w:rsid w:val="00364DFC"/>
    <w:rsid w:val="00364F5E"/>
    <w:rsid w:val="00365A82"/>
    <w:rsid w:val="003670E2"/>
    <w:rsid w:val="003677BA"/>
    <w:rsid w:val="00370333"/>
    <w:rsid w:val="00370359"/>
    <w:rsid w:val="00370F08"/>
    <w:rsid w:val="00372115"/>
    <w:rsid w:val="00373822"/>
    <w:rsid w:val="0037474B"/>
    <w:rsid w:val="00374B86"/>
    <w:rsid w:val="00374C2E"/>
    <w:rsid w:val="0037603C"/>
    <w:rsid w:val="00377DD9"/>
    <w:rsid w:val="003802E9"/>
    <w:rsid w:val="00381008"/>
    <w:rsid w:val="003817B9"/>
    <w:rsid w:val="00381838"/>
    <w:rsid w:val="003827EC"/>
    <w:rsid w:val="00382948"/>
    <w:rsid w:val="0038316D"/>
    <w:rsid w:val="00385AEC"/>
    <w:rsid w:val="003865BE"/>
    <w:rsid w:val="003875A5"/>
    <w:rsid w:val="003875BA"/>
    <w:rsid w:val="003902E7"/>
    <w:rsid w:val="00390416"/>
    <w:rsid w:val="00391847"/>
    <w:rsid w:val="00391AA1"/>
    <w:rsid w:val="003924A3"/>
    <w:rsid w:val="00393079"/>
    <w:rsid w:val="00393EE2"/>
    <w:rsid w:val="0039431F"/>
    <w:rsid w:val="00394435"/>
    <w:rsid w:val="0039517C"/>
    <w:rsid w:val="00395AD4"/>
    <w:rsid w:val="003962E9"/>
    <w:rsid w:val="003962EA"/>
    <w:rsid w:val="003A07FF"/>
    <w:rsid w:val="003A0F56"/>
    <w:rsid w:val="003A133F"/>
    <w:rsid w:val="003A24DD"/>
    <w:rsid w:val="003A3B0A"/>
    <w:rsid w:val="003A3BAD"/>
    <w:rsid w:val="003A3FDE"/>
    <w:rsid w:val="003A46F0"/>
    <w:rsid w:val="003A4810"/>
    <w:rsid w:val="003A4D0F"/>
    <w:rsid w:val="003A5635"/>
    <w:rsid w:val="003A58DA"/>
    <w:rsid w:val="003A79DE"/>
    <w:rsid w:val="003B00BD"/>
    <w:rsid w:val="003B32B9"/>
    <w:rsid w:val="003B3BF9"/>
    <w:rsid w:val="003B435D"/>
    <w:rsid w:val="003B49C8"/>
    <w:rsid w:val="003B6F49"/>
    <w:rsid w:val="003B71E5"/>
    <w:rsid w:val="003B7579"/>
    <w:rsid w:val="003B7EC0"/>
    <w:rsid w:val="003C0392"/>
    <w:rsid w:val="003C06E7"/>
    <w:rsid w:val="003C1625"/>
    <w:rsid w:val="003C17D8"/>
    <w:rsid w:val="003C1904"/>
    <w:rsid w:val="003C1DCC"/>
    <w:rsid w:val="003C22CD"/>
    <w:rsid w:val="003C23C7"/>
    <w:rsid w:val="003C2F3C"/>
    <w:rsid w:val="003C2FBF"/>
    <w:rsid w:val="003C3A9F"/>
    <w:rsid w:val="003C3AD5"/>
    <w:rsid w:val="003C428F"/>
    <w:rsid w:val="003C4476"/>
    <w:rsid w:val="003C58D7"/>
    <w:rsid w:val="003C6A97"/>
    <w:rsid w:val="003C6AF7"/>
    <w:rsid w:val="003C6D61"/>
    <w:rsid w:val="003D11A5"/>
    <w:rsid w:val="003D1ADE"/>
    <w:rsid w:val="003D2070"/>
    <w:rsid w:val="003D3038"/>
    <w:rsid w:val="003D3A14"/>
    <w:rsid w:val="003D5784"/>
    <w:rsid w:val="003D7920"/>
    <w:rsid w:val="003E0210"/>
    <w:rsid w:val="003E0D45"/>
    <w:rsid w:val="003E1471"/>
    <w:rsid w:val="003E1D49"/>
    <w:rsid w:val="003E2779"/>
    <w:rsid w:val="003E2D33"/>
    <w:rsid w:val="003E2D74"/>
    <w:rsid w:val="003E323D"/>
    <w:rsid w:val="003E4AC0"/>
    <w:rsid w:val="003E576F"/>
    <w:rsid w:val="003E57B8"/>
    <w:rsid w:val="003E59EC"/>
    <w:rsid w:val="003E5BA5"/>
    <w:rsid w:val="003E5DC7"/>
    <w:rsid w:val="003E63F8"/>
    <w:rsid w:val="003E7AD9"/>
    <w:rsid w:val="003E7EF4"/>
    <w:rsid w:val="003F1109"/>
    <w:rsid w:val="003F13B7"/>
    <w:rsid w:val="003F2971"/>
    <w:rsid w:val="003F47E5"/>
    <w:rsid w:val="003F546B"/>
    <w:rsid w:val="003F5560"/>
    <w:rsid w:val="003F5602"/>
    <w:rsid w:val="003F5B50"/>
    <w:rsid w:val="003F6163"/>
    <w:rsid w:val="003F6A12"/>
    <w:rsid w:val="003F760C"/>
    <w:rsid w:val="003F7F37"/>
    <w:rsid w:val="00400013"/>
    <w:rsid w:val="004011F6"/>
    <w:rsid w:val="00402D63"/>
    <w:rsid w:val="004032DC"/>
    <w:rsid w:val="00403483"/>
    <w:rsid w:val="004034BF"/>
    <w:rsid w:val="0040377B"/>
    <w:rsid w:val="00403C6C"/>
    <w:rsid w:val="0040434A"/>
    <w:rsid w:val="004066AE"/>
    <w:rsid w:val="00406E8E"/>
    <w:rsid w:val="00407E4F"/>
    <w:rsid w:val="00408718"/>
    <w:rsid w:val="004104E8"/>
    <w:rsid w:val="00410C54"/>
    <w:rsid w:val="0041219A"/>
    <w:rsid w:val="00412B6F"/>
    <w:rsid w:val="00412F73"/>
    <w:rsid w:val="004130FE"/>
    <w:rsid w:val="00413B2C"/>
    <w:rsid w:val="00414A45"/>
    <w:rsid w:val="004168D0"/>
    <w:rsid w:val="004207A1"/>
    <w:rsid w:val="00421461"/>
    <w:rsid w:val="00421C50"/>
    <w:rsid w:val="00421E69"/>
    <w:rsid w:val="00422189"/>
    <w:rsid w:val="004221CB"/>
    <w:rsid w:val="0042248B"/>
    <w:rsid w:val="00422971"/>
    <w:rsid w:val="00422AC5"/>
    <w:rsid w:val="0042308E"/>
    <w:rsid w:val="0042322D"/>
    <w:rsid w:val="004236E1"/>
    <w:rsid w:val="00423B28"/>
    <w:rsid w:val="00424A47"/>
    <w:rsid w:val="0042507A"/>
    <w:rsid w:val="00425D95"/>
    <w:rsid w:val="00425F70"/>
    <w:rsid w:val="00426D8D"/>
    <w:rsid w:val="00426E52"/>
    <w:rsid w:val="00426F81"/>
    <w:rsid w:val="00427A80"/>
    <w:rsid w:val="00427AFB"/>
    <w:rsid w:val="00427E21"/>
    <w:rsid w:val="00427E9D"/>
    <w:rsid w:val="0043021E"/>
    <w:rsid w:val="00430493"/>
    <w:rsid w:val="00430806"/>
    <w:rsid w:val="00430810"/>
    <w:rsid w:val="004311F0"/>
    <w:rsid w:val="004314E9"/>
    <w:rsid w:val="00431A9B"/>
    <w:rsid w:val="00431C50"/>
    <w:rsid w:val="00432F8C"/>
    <w:rsid w:val="00434212"/>
    <w:rsid w:val="004351F8"/>
    <w:rsid w:val="00436722"/>
    <w:rsid w:val="00436E64"/>
    <w:rsid w:val="00437626"/>
    <w:rsid w:val="004378CD"/>
    <w:rsid w:val="00437B3B"/>
    <w:rsid w:val="00440396"/>
    <w:rsid w:val="004425FF"/>
    <w:rsid w:val="004455BC"/>
    <w:rsid w:val="0044648D"/>
    <w:rsid w:val="004479B7"/>
    <w:rsid w:val="00447A69"/>
    <w:rsid w:val="00447A7A"/>
    <w:rsid w:val="00447FD0"/>
    <w:rsid w:val="004505D5"/>
    <w:rsid w:val="00451729"/>
    <w:rsid w:val="0045221F"/>
    <w:rsid w:val="004522AE"/>
    <w:rsid w:val="00452ED2"/>
    <w:rsid w:val="00452F21"/>
    <w:rsid w:val="00453216"/>
    <w:rsid w:val="004538EB"/>
    <w:rsid w:val="004544D5"/>
    <w:rsid w:val="00454FAB"/>
    <w:rsid w:val="00455692"/>
    <w:rsid w:val="00455D3C"/>
    <w:rsid w:val="00456159"/>
    <w:rsid w:val="00456607"/>
    <w:rsid w:val="004573E7"/>
    <w:rsid w:val="0045771F"/>
    <w:rsid w:val="00460BB2"/>
    <w:rsid w:val="00461500"/>
    <w:rsid w:val="004622E5"/>
    <w:rsid w:val="0046286E"/>
    <w:rsid w:val="00463427"/>
    <w:rsid w:val="00463660"/>
    <w:rsid w:val="00463E98"/>
    <w:rsid w:val="0046405D"/>
    <w:rsid w:val="004654B5"/>
    <w:rsid w:val="00465F92"/>
    <w:rsid w:val="004662D3"/>
    <w:rsid w:val="00466607"/>
    <w:rsid w:val="00467E83"/>
    <w:rsid w:val="00470B21"/>
    <w:rsid w:val="00470C4A"/>
    <w:rsid w:val="00470D58"/>
    <w:rsid w:val="004714C9"/>
    <w:rsid w:val="00472872"/>
    <w:rsid w:val="00473AA9"/>
    <w:rsid w:val="0047479F"/>
    <w:rsid w:val="00474E1E"/>
    <w:rsid w:val="00475034"/>
    <w:rsid w:val="00476669"/>
    <w:rsid w:val="0047712A"/>
    <w:rsid w:val="00477DD6"/>
    <w:rsid w:val="00477E39"/>
    <w:rsid w:val="0048090F"/>
    <w:rsid w:val="00481461"/>
    <w:rsid w:val="00482759"/>
    <w:rsid w:val="0048363E"/>
    <w:rsid w:val="00483863"/>
    <w:rsid w:val="004840DD"/>
    <w:rsid w:val="0048557A"/>
    <w:rsid w:val="0048642F"/>
    <w:rsid w:val="00487875"/>
    <w:rsid w:val="00490BA5"/>
    <w:rsid w:val="004912E0"/>
    <w:rsid w:val="00491649"/>
    <w:rsid w:val="00491831"/>
    <w:rsid w:val="0049235A"/>
    <w:rsid w:val="00492597"/>
    <w:rsid w:val="00493006"/>
    <w:rsid w:val="0049334A"/>
    <w:rsid w:val="004935A4"/>
    <w:rsid w:val="00494ECA"/>
    <w:rsid w:val="004965F2"/>
    <w:rsid w:val="004967E7"/>
    <w:rsid w:val="00497908"/>
    <w:rsid w:val="004A0025"/>
    <w:rsid w:val="004A0799"/>
    <w:rsid w:val="004A1272"/>
    <w:rsid w:val="004A3539"/>
    <w:rsid w:val="004A3709"/>
    <w:rsid w:val="004A4590"/>
    <w:rsid w:val="004A4A54"/>
    <w:rsid w:val="004A4D24"/>
    <w:rsid w:val="004A4DFE"/>
    <w:rsid w:val="004A59BF"/>
    <w:rsid w:val="004A762A"/>
    <w:rsid w:val="004A7BD6"/>
    <w:rsid w:val="004B0A05"/>
    <w:rsid w:val="004B16FF"/>
    <w:rsid w:val="004B20A6"/>
    <w:rsid w:val="004B2A3F"/>
    <w:rsid w:val="004B2D8D"/>
    <w:rsid w:val="004B3CC9"/>
    <w:rsid w:val="004B458E"/>
    <w:rsid w:val="004B4BC8"/>
    <w:rsid w:val="004B4FB9"/>
    <w:rsid w:val="004B5520"/>
    <w:rsid w:val="004B6C22"/>
    <w:rsid w:val="004B7810"/>
    <w:rsid w:val="004B7CB9"/>
    <w:rsid w:val="004C0076"/>
    <w:rsid w:val="004C12B8"/>
    <w:rsid w:val="004C25FC"/>
    <w:rsid w:val="004C27B3"/>
    <w:rsid w:val="004C69DD"/>
    <w:rsid w:val="004D1056"/>
    <w:rsid w:val="004D181F"/>
    <w:rsid w:val="004D1E36"/>
    <w:rsid w:val="004D249E"/>
    <w:rsid w:val="004D2DAB"/>
    <w:rsid w:val="004D3E3A"/>
    <w:rsid w:val="004D48A2"/>
    <w:rsid w:val="004D5139"/>
    <w:rsid w:val="004D5C8E"/>
    <w:rsid w:val="004D5F81"/>
    <w:rsid w:val="004D6874"/>
    <w:rsid w:val="004D715A"/>
    <w:rsid w:val="004D7A02"/>
    <w:rsid w:val="004D7C09"/>
    <w:rsid w:val="004D7D41"/>
    <w:rsid w:val="004E0908"/>
    <w:rsid w:val="004E1232"/>
    <w:rsid w:val="004E172B"/>
    <w:rsid w:val="004E1AD5"/>
    <w:rsid w:val="004E1C0D"/>
    <w:rsid w:val="004E5B54"/>
    <w:rsid w:val="004E626E"/>
    <w:rsid w:val="004E72E5"/>
    <w:rsid w:val="004F0125"/>
    <w:rsid w:val="004F0428"/>
    <w:rsid w:val="004F088C"/>
    <w:rsid w:val="004F2150"/>
    <w:rsid w:val="004F27A7"/>
    <w:rsid w:val="004F3A7F"/>
    <w:rsid w:val="004F6CED"/>
    <w:rsid w:val="004F7E1C"/>
    <w:rsid w:val="005014D8"/>
    <w:rsid w:val="00501C79"/>
    <w:rsid w:val="00503ED2"/>
    <w:rsid w:val="00504EAE"/>
    <w:rsid w:val="0050643C"/>
    <w:rsid w:val="00506512"/>
    <w:rsid w:val="00506858"/>
    <w:rsid w:val="00506CE1"/>
    <w:rsid w:val="005101EE"/>
    <w:rsid w:val="00511029"/>
    <w:rsid w:val="00511131"/>
    <w:rsid w:val="005116D6"/>
    <w:rsid w:val="0051246D"/>
    <w:rsid w:val="00512546"/>
    <w:rsid w:val="00512A57"/>
    <w:rsid w:val="005131BA"/>
    <w:rsid w:val="005139B5"/>
    <w:rsid w:val="00517B14"/>
    <w:rsid w:val="00521D2F"/>
    <w:rsid w:val="00522A1E"/>
    <w:rsid w:val="00523E98"/>
    <w:rsid w:val="005246E7"/>
    <w:rsid w:val="005247DE"/>
    <w:rsid w:val="00524B05"/>
    <w:rsid w:val="0052538E"/>
    <w:rsid w:val="00525649"/>
    <w:rsid w:val="00526014"/>
    <w:rsid w:val="005275D7"/>
    <w:rsid w:val="00527C13"/>
    <w:rsid w:val="0053227B"/>
    <w:rsid w:val="00532881"/>
    <w:rsid w:val="00534398"/>
    <w:rsid w:val="00534686"/>
    <w:rsid w:val="0053479D"/>
    <w:rsid w:val="005348CD"/>
    <w:rsid w:val="00534F09"/>
    <w:rsid w:val="005350D3"/>
    <w:rsid w:val="0053583F"/>
    <w:rsid w:val="0053586C"/>
    <w:rsid w:val="005359D9"/>
    <w:rsid w:val="00535B3A"/>
    <w:rsid w:val="00535DF9"/>
    <w:rsid w:val="005370FD"/>
    <w:rsid w:val="005370FE"/>
    <w:rsid w:val="00537FED"/>
    <w:rsid w:val="00540A26"/>
    <w:rsid w:val="00541563"/>
    <w:rsid w:val="00541C1C"/>
    <w:rsid w:val="00542E2A"/>
    <w:rsid w:val="00543A8D"/>
    <w:rsid w:val="00543E1C"/>
    <w:rsid w:val="00544432"/>
    <w:rsid w:val="00545252"/>
    <w:rsid w:val="00545757"/>
    <w:rsid w:val="0054643C"/>
    <w:rsid w:val="00546CCC"/>
    <w:rsid w:val="0055102D"/>
    <w:rsid w:val="0055108F"/>
    <w:rsid w:val="005517DE"/>
    <w:rsid w:val="0055183E"/>
    <w:rsid w:val="00551F5E"/>
    <w:rsid w:val="00552EF1"/>
    <w:rsid w:val="00553ED2"/>
    <w:rsid w:val="00554A8B"/>
    <w:rsid w:val="00554AAF"/>
    <w:rsid w:val="005559E0"/>
    <w:rsid w:val="00555C88"/>
    <w:rsid w:val="00556863"/>
    <w:rsid w:val="00556D4E"/>
    <w:rsid w:val="00557759"/>
    <w:rsid w:val="005579AB"/>
    <w:rsid w:val="0056024A"/>
    <w:rsid w:val="00560E99"/>
    <w:rsid w:val="00561027"/>
    <w:rsid w:val="005618B3"/>
    <w:rsid w:val="005624B0"/>
    <w:rsid w:val="00562B5D"/>
    <w:rsid w:val="0056342C"/>
    <w:rsid w:val="0056418E"/>
    <w:rsid w:val="0056452B"/>
    <w:rsid w:val="00566474"/>
    <w:rsid w:val="005664EA"/>
    <w:rsid w:val="005678DB"/>
    <w:rsid w:val="005679EB"/>
    <w:rsid w:val="00567CBA"/>
    <w:rsid w:val="00570EAB"/>
    <w:rsid w:val="0057118B"/>
    <w:rsid w:val="005711C3"/>
    <w:rsid w:val="00572458"/>
    <w:rsid w:val="005726A6"/>
    <w:rsid w:val="00572B9A"/>
    <w:rsid w:val="00572EBB"/>
    <w:rsid w:val="00573B22"/>
    <w:rsid w:val="00573BA0"/>
    <w:rsid w:val="00574B29"/>
    <w:rsid w:val="00574B54"/>
    <w:rsid w:val="005770A6"/>
    <w:rsid w:val="005779B6"/>
    <w:rsid w:val="005816EA"/>
    <w:rsid w:val="00581721"/>
    <w:rsid w:val="0058175A"/>
    <w:rsid w:val="005821E0"/>
    <w:rsid w:val="00582684"/>
    <w:rsid w:val="005833EF"/>
    <w:rsid w:val="00583C10"/>
    <w:rsid w:val="005843CB"/>
    <w:rsid w:val="005856B3"/>
    <w:rsid w:val="005868CF"/>
    <w:rsid w:val="00586B5C"/>
    <w:rsid w:val="005870CB"/>
    <w:rsid w:val="00587810"/>
    <w:rsid w:val="00590415"/>
    <w:rsid w:val="00591360"/>
    <w:rsid w:val="00591CAE"/>
    <w:rsid w:val="0059243D"/>
    <w:rsid w:val="00593CED"/>
    <w:rsid w:val="00593EA2"/>
    <w:rsid w:val="00594283"/>
    <w:rsid w:val="00595F76"/>
    <w:rsid w:val="0059664C"/>
    <w:rsid w:val="00596B6F"/>
    <w:rsid w:val="00596DC5"/>
    <w:rsid w:val="005A0099"/>
    <w:rsid w:val="005A152C"/>
    <w:rsid w:val="005A2D2A"/>
    <w:rsid w:val="005A3147"/>
    <w:rsid w:val="005A355D"/>
    <w:rsid w:val="005A375E"/>
    <w:rsid w:val="005A3C4F"/>
    <w:rsid w:val="005A53B6"/>
    <w:rsid w:val="005A5582"/>
    <w:rsid w:val="005A55F4"/>
    <w:rsid w:val="005A577D"/>
    <w:rsid w:val="005A5D25"/>
    <w:rsid w:val="005A5E84"/>
    <w:rsid w:val="005A62D0"/>
    <w:rsid w:val="005A6E21"/>
    <w:rsid w:val="005B061D"/>
    <w:rsid w:val="005B0880"/>
    <w:rsid w:val="005B19AD"/>
    <w:rsid w:val="005B1A28"/>
    <w:rsid w:val="005B2867"/>
    <w:rsid w:val="005B2AE5"/>
    <w:rsid w:val="005B3984"/>
    <w:rsid w:val="005B49EB"/>
    <w:rsid w:val="005B54DB"/>
    <w:rsid w:val="005B5AC4"/>
    <w:rsid w:val="005B6099"/>
    <w:rsid w:val="005B6481"/>
    <w:rsid w:val="005B6E80"/>
    <w:rsid w:val="005B7705"/>
    <w:rsid w:val="005B77E8"/>
    <w:rsid w:val="005C025D"/>
    <w:rsid w:val="005C0690"/>
    <w:rsid w:val="005C119E"/>
    <w:rsid w:val="005C15AB"/>
    <w:rsid w:val="005C1AA1"/>
    <w:rsid w:val="005C1B20"/>
    <w:rsid w:val="005C1C47"/>
    <w:rsid w:val="005C231A"/>
    <w:rsid w:val="005C2787"/>
    <w:rsid w:val="005C2C74"/>
    <w:rsid w:val="005C315B"/>
    <w:rsid w:val="005C3CFD"/>
    <w:rsid w:val="005C3D14"/>
    <w:rsid w:val="005C4350"/>
    <w:rsid w:val="005C44C0"/>
    <w:rsid w:val="005C45EA"/>
    <w:rsid w:val="005C5915"/>
    <w:rsid w:val="005C63D1"/>
    <w:rsid w:val="005D0A7A"/>
    <w:rsid w:val="005D1055"/>
    <w:rsid w:val="005D17C4"/>
    <w:rsid w:val="005D249B"/>
    <w:rsid w:val="005D405F"/>
    <w:rsid w:val="005D4559"/>
    <w:rsid w:val="005D4C37"/>
    <w:rsid w:val="005D5628"/>
    <w:rsid w:val="005D6797"/>
    <w:rsid w:val="005D67A9"/>
    <w:rsid w:val="005E090B"/>
    <w:rsid w:val="005E0C34"/>
    <w:rsid w:val="005E0EFB"/>
    <w:rsid w:val="005E1BBE"/>
    <w:rsid w:val="005E1F50"/>
    <w:rsid w:val="005E4AE3"/>
    <w:rsid w:val="005E50BA"/>
    <w:rsid w:val="005E753D"/>
    <w:rsid w:val="005E75BD"/>
    <w:rsid w:val="005E7B45"/>
    <w:rsid w:val="005E7CAE"/>
    <w:rsid w:val="005E7D5E"/>
    <w:rsid w:val="005F0645"/>
    <w:rsid w:val="005F0C15"/>
    <w:rsid w:val="005F19EB"/>
    <w:rsid w:val="005F20DC"/>
    <w:rsid w:val="005F232C"/>
    <w:rsid w:val="005F2634"/>
    <w:rsid w:val="005F28DF"/>
    <w:rsid w:val="005F309D"/>
    <w:rsid w:val="005F3685"/>
    <w:rsid w:val="005F3986"/>
    <w:rsid w:val="005F492B"/>
    <w:rsid w:val="005F73F2"/>
    <w:rsid w:val="005F764C"/>
    <w:rsid w:val="00600413"/>
    <w:rsid w:val="00600B27"/>
    <w:rsid w:val="00600D4B"/>
    <w:rsid w:val="00601096"/>
    <w:rsid w:val="006012C9"/>
    <w:rsid w:val="00601FB0"/>
    <w:rsid w:val="0060247F"/>
    <w:rsid w:val="00602842"/>
    <w:rsid w:val="006029B2"/>
    <w:rsid w:val="00603525"/>
    <w:rsid w:val="00603555"/>
    <w:rsid w:val="006037EE"/>
    <w:rsid w:val="00603A4B"/>
    <w:rsid w:val="00604958"/>
    <w:rsid w:val="00605326"/>
    <w:rsid w:val="006068FD"/>
    <w:rsid w:val="00606A7E"/>
    <w:rsid w:val="00606AE6"/>
    <w:rsid w:val="00606E40"/>
    <w:rsid w:val="0060758B"/>
    <w:rsid w:val="00610A4E"/>
    <w:rsid w:val="00611ED7"/>
    <w:rsid w:val="00612194"/>
    <w:rsid w:val="00613973"/>
    <w:rsid w:val="00613A5F"/>
    <w:rsid w:val="00614F22"/>
    <w:rsid w:val="00615842"/>
    <w:rsid w:val="00615E54"/>
    <w:rsid w:val="006167C9"/>
    <w:rsid w:val="00616C96"/>
    <w:rsid w:val="00616FF8"/>
    <w:rsid w:val="006170AA"/>
    <w:rsid w:val="0061747A"/>
    <w:rsid w:val="00617D31"/>
    <w:rsid w:val="00620314"/>
    <w:rsid w:val="00620C22"/>
    <w:rsid w:val="00620E5E"/>
    <w:rsid w:val="00620F57"/>
    <w:rsid w:val="00621447"/>
    <w:rsid w:val="00621C03"/>
    <w:rsid w:val="0062273A"/>
    <w:rsid w:val="00623092"/>
    <w:rsid w:val="006231BC"/>
    <w:rsid w:val="006243AB"/>
    <w:rsid w:val="00625967"/>
    <w:rsid w:val="00627354"/>
    <w:rsid w:val="00630ACF"/>
    <w:rsid w:val="0063132E"/>
    <w:rsid w:val="006314DF"/>
    <w:rsid w:val="006335C3"/>
    <w:rsid w:val="00634140"/>
    <w:rsid w:val="006343BA"/>
    <w:rsid w:val="00635069"/>
    <w:rsid w:val="0063690C"/>
    <w:rsid w:val="0063715E"/>
    <w:rsid w:val="00637951"/>
    <w:rsid w:val="00640B29"/>
    <w:rsid w:val="006410B2"/>
    <w:rsid w:val="006412C5"/>
    <w:rsid w:val="00641A30"/>
    <w:rsid w:val="00641AB4"/>
    <w:rsid w:val="00641F29"/>
    <w:rsid w:val="0064202E"/>
    <w:rsid w:val="00642150"/>
    <w:rsid w:val="00642CF4"/>
    <w:rsid w:val="00643710"/>
    <w:rsid w:val="00643905"/>
    <w:rsid w:val="00643DF2"/>
    <w:rsid w:val="00644A17"/>
    <w:rsid w:val="00645ADF"/>
    <w:rsid w:val="00646146"/>
    <w:rsid w:val="006467C2"/>
    <w:rsid w:val="00646FDA"/>
    <w:rsid w:val="00647544"/>
    <w:rsid w:val="00647EB8"/>
    <w:rsid w:val="00650CE4"/>
    <w:rsid w:val="00651093"/>
    <w:rsid w:val="006522D1"/>
    <w:rsid w:val="006525AA"/>
    <w:rsid w:val="00652ACE"/>
    <w:rsid w:val="00652F0C"/>
    <w:rsid w:val="006530D1"/>
    <w:rsid w:val="006551DE"/>
    <w:rsid w:val="006551E0"/>
    <w:rsid w:val="006555DB"/>
    <w:rsid w:val="00656B61"/>
    <w:rsid w:val="00657431"/>
    <w:rsid w:val="00657722"/>
    <w:rsid w:val="006577D0"/>
    <w:rsid w:val="00657E2F"/>
    <w:rsid w:val="00660F16"/>
    <w:rsid w:val="006612E0"/>
    <w:rsid w:val="006612EB"/>
    <w:rsid w:val="00662C24"/>
    <w:rsid w:val="006641E1"/>
    <w:rsid w:val="006641F1"/>
    <w:rsid w:val="00664B33"/>
    <w:rsid w:val="00664D27"/>
    <w:rsid w:val="0066532B"/>
    <w:rsid w:val="00665CE6"/>
    <w:rsid w:val="00665FCB"/>
    <w:rsid w:val="006664BB"/>
    <w:rsid w:val="006669DF"/>
    <w:rsid w:val="006671CC"/>
    <w:rsid w:val="0066729E"/>
    <w:rsid w:val="00670151"/>
    <w:rsid w:val="00670CB5"/>
    <w:rsid w:val="00670D29"/>
    <w:rsid w:val="00671727"/>
    <w:rsid w:val="0067250C"/>
    <w:rsid w:val="00673445"/>
    <w:rsid w:val="00674871"/>
    <w:rsid w:val="00674F9B"/>
    <w:rsid w:val="00675B50"/>
    <w:rsid w:val="00675B68"/>
    <w:rsid w:val="00676481"/>
    <w:rsid w:val="00676798"/>
    <w:rsid w:val="00676BF2"/>
    <w:rsid w:val="00676C81"/>
    <w:rsid w:val="00677F2F"/>
    <w:rsid w:val="0068031E"/>
    <w:rsid w:val="00680514"/>
    <w:rsid w:val="006815A9"/>
    <w:rsid w:val="00681774"/>
    <w:rsid w:val="00681B1B"/>
    <w:rsid w:val="0068335A"/>
    <w:rsid w:val="00683570"/>
    <w:rsid w:val="00683930"/>
    <w:rsid w:val="00683CEE"/>
    <w:rsid w:val="00684037"/>
    <w:rsid w:val="0068478E"/>
    <w:rsid w:val="00684C71"/>
    <w:rsid w:val="006850CC"/>
    <w:rsid w:val="006867A4"/>
    <w:rsid w:val="0068705E"/>
    <w:rsid w:val="006872DB"/>
    <w:rsid w:val="006876A8"/>
    <w:rsid w:val="00687AFD"/>
    <w:rsid w:val="006906AB"/>
    <w:rsid w:val="006906BE"/>
    <w:rsid w:val="00690914"/>
    <w:rsid w:val="00690D3F"/>
    <w:rsid w:val="00691EE5"/>
    <w:rsid w:val="00693B8E"/>
    <w:rsid w:val="00694470"/>
    <w:rsid w:val="00694C40"/>
    <w:rsid w:val="00694E64"/>
    <w:rsid w:val="00694F92"/>
    <w:rsid w:val="0069522E"/>
    <w:rsid w:val="00695470"/>
    <w:rsid w:val="00695689"/>
    <w:rsid w:val="00695A72"/>
    <w:rsid w:val="00695D28"/>
    <w:rsid w:val="0069664D"/>
    <w:rsid w:val="00696E00"/>
    <w:rsid w:val="00697B89"/>
    <w:rsid w:val="006A06EE"/>
    <w:rsid w:val="006A0EED"/>
    <w:rsid w:val="006A14C4"/>
    <w:rsid w:val="006A2088"/>
    <w:rsid w:val="006A20E3"/>
    <w:rsid w:val="006A270E"/>
    <w:rsid w:val="006A2FFB"/>
    <w:rsid w:val="006A3488"/>
    <w:rsid w:val="006A3BD3"/>
    <w:rsid w:val="006A3D12"/>
    <w:rsid w:val="006A44BD"/>
    <w:rsid w:val="006A4782"/>
    <w:rsid w:val="006A4AC5"/>
    <w:rsid w:val="006A52BC"/>
    <w:rsid w:val="006B0636"/>
    <w:rsid w:val="006B1D72"/>
    <w:rsid w:val="006B20C3"/>
    <w:rsid w:val="006B27D4"/>
    <w:rsid w:val="006B2CCA"/>
    <w:rsid w:val="006B3145"/>
    <w:rsid w:val="006B3720"/>
    <w:rsid w:val="006B4808"/>
    <w:rsid w:val="006B49B8"/>
    <w:rsid w:val="006B5710"/>
    <w:rsid w:val="006B57CC"/>
    <w:rsid w:val="006B6031"/>
    <w:rsid w:val="006C03AF"/>
    <w:rsid w:val="006C0511"/>
    <w:rsid w:val="006C1898"/>
    <w:rsid w:val="006C1ACD"/>
    <w:rsid w:val="006C1EEB"/>
    <w:rsid w:val="006C27AA"/>
    <w:rsid w:val="006C3C93"/>
    <w:rsid w:val="006C3E08"/>
    <w:rsid w:val="006C47DC"/>
    <w:rsid w:val="006C5D7B"/>
    <w:rsid w:val="006C64B3"/>
    <w:rsid w:val="006C739D"/>
    <w:rsid w:val="006C77DA"/>
    <w:rsid w:val="006D003E"/>
    <w:rsid w:val="006D09E0"/>
    <w:rsid w:val="006D0B01"/>
    <w:rsid w:val="006D11E2"/>
    <w:rsid w:val="006D14CD"/>
    <w:rsid w:val="006D150E"/>
    <w:rsid w:val="006D266F"/>
    <w:rsid w:val="006D505D"/>
    <w:rsid w:val="006D5EB4"/>
    <w:rsid w:val="006D6AB0"/>
    <w:rsid w:val="006D6DBA"/>
    <w:rsid w:val="006D6E61"/>
    <w:rsid w:val="006D7060"/>
    <w:rsid w:val="006D78BE"/>
    <w:rsid w:val="006D7B70"/>
    <w:rsid w:val="006E0336"/>
    <w:rsid w:val="006E1624"/>
    <w:rsid w:val="006E2BB1"/>
    <w:rsid w:val="006E35F4"/>
    <w:rsid w:val="006E4217"/>
    <w:rsid w:val="006E441F"/>
    <w:rsid w:val="006E514F"/>
    <w:rsid w:val="006E5F7D"/>
    <w:rsid w:val="006E6103"/>
    <w:rsid w:val="006E7E62"/>
    <w:rsid w:val="006E7FA6"/>
    <w:rsid w:val="006F0253"/>
    <w:rsid w:val="006F04BF"/>
    <w:rsid w:val="006F0BAA"/>
    <w:rsid w:val="006F12AA"/>
    <w:rsid w:val="006F1B5B"/>
    <w:rsid w:val="006F2332"/>
    <w:rsid w:val="006F23E5"/>
    <w:rsid w:val="006F2D24"/>
    <w:rsid w:val="006F37FC"/>
    <w:rsid w:val="006F3FD4"/>
    <w:rsid w:val="006F4EE3"/>
    <w:rsid w:val="006F63A8"/>
    <w:rsid w:val="0070144E"/>
    <w:rsid w:val="007025F4"/>
    <w:rsid w:val="00702964"/>
    <w:rsid w:val="00703315"/>
    <w:rsid w:val="00703554"/>
    <w:rsid w:val="0070382B"/>
    <w:rsid w:val="0070560F"/>
    <w:rsid w:val="00705CE2"/>
    <w:rsid w:val="00705D1D"/>
    <w:rsid w:val="00707F9C"/>
    <w:rsid w:val="00710173"/>
    <w:rsid w:val="0071098D"/>
    <w:rsid w:val="00711751"/>
    <w:rsid w:val="007117A6"/>
    <w:rsid w:val="00711ED1"/>
    <w:rsid w:val="00712150"/>
    <w:rsid w:val="0071271A"/>
    <w:rsid w:val="00712E03"/>
    <w:rsid w:val="00712E37"/>
    <w:rsid w:val="00713A5B"/>
    <w:rsid w:val="007143B9"/>
    <w:rsid w:val="007145F5"/>
    <w:rsid w:val="00714774"/>
    <w:rsid w:val="00714A84"/>
    <w:rsid w:val="0071509C"/>
    <w:rsid w:val="00715231"/>
    <w:rsid w:val="0071528F"/>
    <w:rsid w:val="00720141"/>
    <w:rsid w:val="007210AE"/>
    <w:rsid w:val="0072187C"/>
    <w:rsid w:val="0072203D"/>
    <w:rsid w:val="0072291C"/>
    <w:rsid w:val="0072307F"/>
    <w:rsid w:val="00723B52"/>
    <w:rsid w:val="00725301"/>
    <w:rsid w:val="00725AAF"/>
    <w:rsid w:val="00730FD8"/>
    <w:rsid w:val="007319F6"/>
    <w:rsid w:val="00732338"/>
    <w:rsid w:val="007332AE"/>
    <w:rsid w:val="007340CC"/>
    <w:rsid w:val="007348AB"/>
    <w:rsid w:val="0073526F"/>
    <w:rsid w:val="007357D7"/>
    <w:rsid w:val="00735D03"/>
    <w:rsid w:val="007365FC"/>
    <w:rsid w:val="00737638"/>
    <w:rsid w:val="0073779C"/>
    <w:rsid w:val="00742738"/>
    <w:rsid w:val="00742745"/>
    <w:rsid w:val="00742C62"/>
    <w:rsid w:val="00742EAD"/>
    <w:rsid w:val="00743322"/>
    <w:rsid w:val="0074371F"/>
    <w:rsid w:val="00744C73"/>
    <w:rsid w:val="00744C89"/>
    <w:rsid w:val="0074533D"/>
    <w:rsid w:val="007453EE"/>
    <w:rsid w:val="007475F3"/>
    <w:rsid w:val="0074762D"/>
    <w:rsid w:val="00747BE8"/>
    <w:rsid w:val="007507CF"/>
    <w:rsid w:val="00750B6C"/>
    <w:rsid w:val="007525F5"/>
    <w:rsid w:val="007528F8"/>
    <w:rsid w:val="007532B7"/>
    <w:rsid w:val="00754115"/>
    <w:rsid w:val="0075446A"/>
    <w:rsid w:val="00754532"/>
    <w:rsid w:val="007555D6"/>
    <w:rsid w:val="00755735"/>
    <w:rsid w:val="0075606C"/>
    <w:rsid w:val="00756FE6"/>
    <w:rsid w:val="00757403"/>
    <w:rsid w:val="00757D56"/>
    <w:rsid w:val="007608B5"/>
    <w:rsid w:val="00760BC4"/>
    <w:rsid w:val="00761061"/>
    <w:rsid w:val="007610A1"/>
    <w:rsid w:val="00762B20"/>
    <w:rsid w:val="00762BD6"/>
    <w:rsid w:val="007633C7"/>
    <w:rsid w:val="0076371F"/>
    <w:rsid w:val="007638A4"/>
    <w:rsid w:val="007642D8"/>
    <w:rsid w:val="007643F6"/>
    <w:rsid w:val="00765BA4"/>
    <w:rsid w:val="00766F12"/>
    <w:rsid w:val="0076704C"/>
    <w:rsid w:val="00767D27"/>
    <w:rsid w:val="00767F14"/>
    <w:rsid w:val="00770070"/>
    <w:rsid w:val="00771DD8"/>
    <w:rsid w:val="00773E9F"/>
    <w:rsid w:val="00774B35"/>
    <w:rsid w:val="00774ED5"/>
    <w:rsid w:val="0077680D"/>
    <w:rsid w:val="00776B3F"/>
    <w:rsid w:val="00776D08"/>
    <w:rsid w:val="007772FA"/>
    <w:rsid w:val="00777CB1"/>
    <w:rsid w:val="00780141"/>
    <w:rsid w:val="0078034B"/>
    <w:rsid w:val="007808C8"/>
    <w:rsid w:val="007824B5"/>
    <w:rsid w:val="00782D94"/>
    <w:rsid w:val="00783A15"/>
    <w:rsid w:val="00783B41"/>
    <w:rsid w:val="00783BA2"/>
    <w:rsid w:val="00784F36"/>
    <w:rsid w:val="00784FAC"/>
    <w:rsid w:val="00786048"/>
    <w:rsid w:val="00786E42"/>
    <w:rsid w:val="00787096"/>
    <w:rsid w:val="007876C9"/>
    <w:rsid w:val="00787F38"/>
    <w:rsid w:val="0079041A"/>
    <w:rsid w:val="00792D03"/>
    <w:rsid w:val="00792EC9"/>
    <w:rsid w:val="007931E7"/>
    <w:rsid w:val="007943B1"/>
    <w:rsid w:val="00794A0B"/>
    <w:rsid w:val="00794D96"/>
    <w:rsid w:val="00796121"/>
    <w:rsid w:val="00797483"/>
    <w:rsid w:val="00797B4D"/>
    <w:rsid w:val="00797E3A"/>
    <w:rsid w:val="007A290A"/>
    <w:rsid w:val="007A2D4E"/>
    <w:rsid w:val="007A3AEF"/>
    <w:rsid w:val="007A3ECE"/>
    <w:rsid w:val="007A4976"/>
    <w:rsid w:val="007A5721"/>
    <w:rsid w:val="007A5768"/>
    <w:rsid w:val="007A5BB5"/>
    <w:rsid w:val="007A5EF0"/>
    <w:rsid w:val="007A622C"/>
    <w:rsid w:val="007A6F2A"/>
    <w:rsid w:val="007A7097"/>
    <w:rsid w:val="007A73CE"/>
    <w:rsid w:val="007B00B2"/>
    <w:rsid w:val="007B0106"/>
    <w:rsid w:val="007B073F"/>
    <w:rsid w:val="007B18CD"/>
    <w:rsid w:val="007B1EC8"/>
    <w:rsid w:val="007B260F"/>
    <w:rsid w:val="007B37AD"/>
    <w:rsid w:val="007B4CDF"/>
    <w:rsid w:val="007B4D16"/>
    <w:rsid w:val="007B5196"/>
    <w:rsid w:val="007B6099"/>
    <w:rsid w:val="007B66AC"/>
    <w:rsid w:val="007B751D"/>
    <w:rsid w:val="007C009B"/>
    <w:rsid w:val="007C126A"/>
    <w:rsid w:val="007C1521"/>
    <w:rsid w:val="007C167E"/>
    <w:rsid w:val="007C1943"/>
    <w:rsid w:val="007C1A29"/>
    <w:rsid w:val="007C2373"/>
    <w:rsid w:val="007C5734"/>
    <w:rsid w:val="007C5D34"/>
    <w:rsid w:val="007C5D37"/>
    <w:rsid w:val="007C616A"/>
    <w:rsid w:val="007C6E1F"/>
    <w:rsid w:val="007C7F9F"/>
    <w:rsid w:val="007D0571"/>
    <w:rsid w:val="007D09ED"/>
    <w:rsid w:val="007D107C"/>
    <w:rsid w:val="007D14FF"/>
    <w:rsid w:val="007D1A55"/>
    <w:rsid w:val="007D1AF6"/>
    <w:rsid w:val="007D1B21"/>
    <w:rsid w:val="007D1CD0"/>
    <w:rsid w:val="007D3626"/>
    <w:rsid w:val="007D3C78"/>
    <w:rsid w:val="007D4199"/>
    <w:rsid w:val="007D4C89"/>
    <w:rsid w:val="007D6272"/>
    <w:rsid w:val="007D64C4"/>
    <w:rsid w:val="007E1881"/>
    <w:rsid w:val="007E1C5A"/>
    <w:rsid w:val="007E2594"/>
    <w:rsid w:val="007E4651"/>
    <w:rsid w:val="007E497F"/>
    <w:rsid w:val="007E4D0A"/>
    <w:rsid w:val="007E5BB9"/>
    <w:rsid w:val="007E62FB"/>
    <w:rsid w:val="007E7443"/>
    <w:rsid w:val="007E7F51"/>
    <w:rsid w:val="007F3DE4"/>
    <w:rsid w:val="007F4292"/>
    <w:rsid w:val="007F44A2"/>
    <w:rsid w:val="007F486D"/>
    <w:rsid w:val="007F510D"/>
    <w:rsid w:val="007F55D1"/>
    <w:rsid w:val="007F5A45"/>
    <w:rsid w:val="007F6182"/>
    <w:rsid w:val="007F7168"/>
    <w:rsid w:val="007F737A"/>
    <w:rsid w:val="0080001B"/>
    <w:rsid w:val="00800476"/>
    <w:rsid w:val="0080105D"/>
    <w:rsid w:val="00801287"/>
    <w:rsid w:val="008016C8"/>
    <w:rsid w:val="0080198D"/>
    <w:rsid w:val="00802BD9"/>
    <w:rsid w:val="00802E3F"/>
    <w:rsid w:val="0080304E"/>
    <w:rsid w:val="008032D9"/>
    <w:rsid w:val="008036CE"/>
    <w:rsid w:val="00803749"/>
    <w:rsid w:val="008047BA"/>
    <w:rsid w:val="00804887"/>
    <w:rsid w:val="0080520C"/>
    <w:rsid w:val="00805216"/>
    <w:rsid w:val="00806BB9"/>
    <w:rsid w:val="00806F93"/>
    <w:rsid w:val="00810C3A"/>
    <w:rsid w:val="00810F2C"/>
    <w:rsid w:val="00810F49"/>
    <w:rsid w:val="008115D8"/>
    <w:rsid w:val="0081225E"/>
    <w:rsid w:val="00812EC7"/>
    <w:rsid w:val="008130F8"/>
    <w:rsid w:val="00813B15"/>
    <w:rsid w:val="00814EBC"/>
    <w:rsid w:val="00815BD3"/>
    <w:rsid w:val="00815F6C"/>
    <w:rsid w:val="0081649C"/>
    <w:rsid w:val="00816E49"/>
    <w:rsid w:val="0081775A"/>
    <w:rsid w:val="00817DB2"/>
    <w:rsid w:val="008224E5"/>
    <w:rsid w:val="00824253"/>
    <w:rsid w:val="00824B7F"/>
    <w:rsid w:val="00825F6E"/>
    <w:rsid w:val="008266FB"/>
    <w:rsid w:val="008267C4"/>
    <w:rsid w:val="00826E9C"/>
    <w:rsid w:val="008270DC"/>
    <w:rsid w:val="008276E8"/>
    <w:rsid w:val="00827990"/>
    <w:rsid w:val="00827B50"/>
    <w:rsid w:val="00827E44"/>
    <w:rsid w:val="0083099E"/>
    <w:rsid w:val="00830F43"/>
    <w:rsid w:val="00831A25"/>
    <w:rsid w:val="00832262"/>
    <w:rsid w:val="008331BF"/>
    <w:rsid w:val="008332FE"/>
    <w:rsid w:val="00834238"/>
    <w:rsid w:val="00834753"/>
    <w:rsid w:val="0083481B"/>
    <w:rsid w:val="00834886"/>
    <w:rsid w:val="00834F53"/>
    <w:rsid w:val="008404D9"/>
    <w:rsid w:val="00840E0C"/>
    <w:rsid w:val="0084250B"/>
    <w:rsid w:val="00842A5F"/>
    <w:rsid w:val="00845EE1"/>
    <w:rsid w:val="00845F37"/>
    <w:rsid w:val="00846CDB"/>
    <w:rsid w:val="00847CC2"/>
    <w:rsid w:val="008516F2"/>
    <w:rsid w:val="00852361"/>
    <w:rsid w:val="00853E6E"/>
    <w:rsid w:val="008548E0"/>
    <w:rsid w:val="00854ACF"/>
    <w:rsid w:val="00854C41"/>
    <w:rsid w:val="00855AF4"/>
    <w:rsid w:val="008571B2"/>
    <w:rsid w:val="008575B3"/>
    <w:rsid w:val="008576FA"/>
    <w:rsid w:val="00860642"/>
    <w:rsid w:val="00862FBD"/>
    <w:rsid w:val="00863206"/>
    <w:rsid w:val="00863D44"/>
    <w:rsid w:val="008649D7"/>
    <w:rsid w:val="00864AAF"/>
    <w:rsid w:val="008651B4"/>
    <w:rsid w:val="008655B3"/>
    <w:rsid w:val="00865DA1"/>
    <w:rsid w:val="00866AAC"/>
    <w:rsid w:val="00866BDC"/>
    <w:rsid w:val="00866DAA"/>
    <w:rsid w:val="00867476"/>
    <w:rsid w:val="00870AA3"/>
    <w:rsid w:val="00871203"/>
    <w:rsid w:val="00871533"/>
    <w:rsid w:val="00874B07"/>
    <w:rsid w:val="00875107"/>
    <w:rsid w:val="00876F0F"/>
    <w:rsid w:val="00877E0F"/>
    <w:rsid w:val="0088027F"/>
    <w:rsid w:val="008811A1"/>
    <w:rsid w:val="00881B7C"/>
    <w:rsid w:val="00882217"/>
    <w:rsid w:val="008836D3"/>
    <w:rsid w:val="008836DD"/>
    <w:rsid w:val="008836E6"/>
    <w:rsid w:val="008844B3"/>
    <w:rsid w:val="008858C4"/>
    <w:rsid w:val="00885AA1"/>
    <w:rsid w:val="00886893"/>
    <w:rsid w:val="00887167"/>
    <w:rsid w:val="00887A95"/>
    <w:rsid w:val="00887F65"/>
    <w:rsid w:val="008904E8"/>
    <w:rsid w:val="008909D2"/>
    <w:rsid w:val="00892132"/>
    <w:rsid w:val="008926FA"/>
    <w:rsid w:val="008928C2"/>
    <w:rsid w:val="008928EB"/>
    <w:rsid w:val="00893056"/>
    <w:rsid w:val="0089321A"/>
    <w:rsid w:val="00894094"/>
    <w:rsid w:val="00894283"/>
    <w:rsid w:val="00896480"/>
    <w:rsid w:val="0089648C"/>
    <w:rsid w:val="00896D51"/>
    <w:rsid w:val="0089723E"/>
    <w:rsid w:val="00897621"/>
    <w:rsid w:val="008A09D1"/>
    <w:rsid w:val="008A0C55"/>
    <w:rsid w:val="008A2896"/>
    <w:rsid w:val="008A37EA"/>
    <w:rsid w:val="008A383B"/>
    <w:rsid w:val="008A393A"/>
    <w:rsid w:val="008A40B3"/>
    <w:rsid w:val="008A4135"/>
    <w:rsid w:val="008A465E"/>
    <w:rsid w:val="008A5297"/>
    <w:rsid w:val="008A6B58"/>
    <w:rsid w:val="008A6B6D"/>
    <w:rsid w:val="008A6C56"/>
    <w:rsid w:val="008A77FD"/>
    <w:rsid w:val="008B08AE"/>
    <w:rsid w:val="008B2880"/>
    <w:rsid w:val="008B577D"/>
    <w:rsid w:val="008B58DF"/>
    <w:rsid w:val="008B7A32"/>
    <w:rsid w:val="008C08C9"/>
    <w:rsid w:val="008C0A7F"/>
    <w:rsid w:val="008C0EB2"/>
    <w:rsid w:val="008C1130"/>
    <w:rsid w:val="008C25C3"/>
    <w:rsid w:val="008C2A31"/>
    <w:rsid w:val="008C2C5C"/>
    <w:rsid w:val="008C2EB8"/>
    <w:rsid w:val="008C30C4"/>
    <w:rsid w:val="008C35F3"/>
    <w:rsid w:val="008C4B4D"/>
    <w:rsid w:val="008C570C"/>
    <w:rsid w:val="008C5FCE"/>
    <w:rsid w:val="008C640B"/>
    <w:rsid w:val="008C6565"/>
    <w:rsid w:val="008C762D"/>
    <w:rsid w:val="008C7A4E"/>
    <w:rsid w:val="008C7BE5"/>
    <w:rsid w:val="008C7C25"/>
    <w:rsid w:val="008D00A7"/>
    <w:rsid w:val="008D02A7"/>
    <w:rsid w:val="008D10FF"/>
    <w:rsid w:val="008D278A"/>
    <w:rsid w:val="008D2A72"/>
    <w:rsid w:val="008D2A7E"/>
    <w:rsid w:val="008D3B14"/>
    <w:rsid w:val="008D43DD"/>
    <w:rsid w:val="008D52BA"/>
    <w:rsid w:val="008D5596"/>
    <w:rsid w:val="008D6082"/>
    <w:rsid w:val="008D67DB"/>
    <w:rsid w:val="008D6B54"/>
    <w:rsid w:val="008D72EF"/>
    <w:rsid w:val="008E0E48"/>
    <w:rsid w:val="008E14DB"/>
    <w:rsid w:val="008E2B03"/>
    <w:rsid w:val="008E2D16"/>
    <w:rsid w:val="008E2E90"/>
    <w:rsid w:val="008E4323"/>
    <w:rsid w:val="008E51B4"/>
    <w:rsid w:val="008E62D9"/>
    <w:rsid w:val="008E6316"/>
    <w:rsid w:val="008E7189"/>
    <w:rsid w:val="008E7D24"/>
    <w:rsid w:val="008F030F"/>
    <w:rsid w:val="008F0447"/>
    <w:rsid w:val="008F20A6"/>
    <w:rsid w:val="008F2A8B"/>
    <w:rsid w:val="008F4229"/>
    <w:rsid w:val="008F4244"/>
    <w:rsid w:val="008F4E44"/>
    <w:rsid w:val="008F60B9"/>
    <w:rsid w:val="008F6854"/>
    <w:rsid w:val="008F7813"/>
    <w:rsid w:val="008F7AC5"/>
    <w:rsid w:val="00900809"/>
    <w:rsid w:val="00900FDB"/>
    <w:rsid w:val="00901033"/>
    <w:rsid w:val="00901572"/>
    <w:rsid w:val="0090193B"/>
    <w:rsid w:val="00902693"/>
    <w:rsid w:val="00902EDF"/>
    <w:rsid w:val="009041B7"/>
    <w:rsid w:val="009050F3"/>
    <w:rsid w:val="009054CC"/>
    <w:rsid w:val="0090681C"/>
    <w:rsid w:val="009073BA"/>
    <w:rsid w:val="00913208"/>
    <w:rsid w:val="00917E14"/>
    <w:rsid w:val="0091BBCE"/>
    <w:rsid w:val="0092151D"/>
    <w:rsid w:val="00921C24"/>
    <w:rsid w:val="00921D62"/>
    <w:rsid w:val="00921DA4"/>
    <w:rsid w:val="00922816"/>
    <w:rsid w:val="00922CDB"/>
    <w:rsid w:val="00922FEB"/>
    <w:rsid w:val="009238EE"/>
    <w:rsid w:val="00923B40"/>
    <w:rsid w:val="00924C1E"/>
    <w:rsid w:val="00925E3A"/>
    <w:rsid w:val="00926C81"/>
    <w:rsid w:val="00927C70"/>
    <w:rsid w:val="00930F17"/>
    <w:rsid w:val="0093176C"/>
    <w:rsid w:val="0093182A"/>
    <w:rsid w:val="00932160"/>
    <w:rsid w:val="009349ED"/>
    <w:rsid w:val="00934D0E"/>
    <w:rsid w:val="00935110"/>
    <w:rsid w:val="00935BC3"/>
    <w:rsid w:val="00936141"/>
    <w:rsid w:val="00937089"/>
    <w:rsid w:val="00937314"/>
    <w:rsid w:val="009400AC"/>
    <w:rsid w:val="00942B6F"/>
    <w:rsid w:val="00942E22"/>
    <w:rsid w:val="009440EA"/>
    <w:rsid w:val="00944760"/>
    <w:rsid w:val="0094481C"/>
    <w:rsid w:val="0094530D"/>
    <w:rsid w:val="009454E1"/>
    <w:rsid w:val="00945855"/>
    <w:rsid w:val="00951BD5"/>
    <w:rsid w:val="009538D1"/>
    <w:rsid w:val="00953D38"/>
    <w:rsid w:val="00954477"/>
    <w:rsid w:val="00954537"/>
    <w:rsid w:val="00954B93"/>
    <w:rsid w:val="00954F9B"/>
    <w:rsid w:val="00955D50"/>
    <w:rsid w:val="00957242"/>
    <w:rsid w:val="009602F0"/>
    <w:rsid w:val="009605AF"/>
    <w:rsid w:val="009619D9"/>
    <w:rsid w:val="00962A25"/>
    <w:rsid w:val="00963074"/>
    <w:rsid w:val="009669C6"/>
    <w:rsid w:val="00967F1F"/>
    <w:rsid w:val="0097192F"/>
    <w:rsid w:val="00971935"/>
    <w:rsid w:val="00972A4A"/>
    <w:rsid w:val="00972ED6"/>
    <w:rsid w:val="009735C5"/>
    <w:rsid w:val="00973D70"/>
    <w:rsid w:val="00974209"/>
    <w:rsid w:val="00974CE3"/>
    <w:rsid w:val="00974DBF"/>
    <w:rsid w:val="00975511"/>
    <w:rsid w:val="00975BCD"/>
    <w:rsid w:val="00975C0F"/>
    <w:rsid w:val="00975E21"/>
    <w:rsid w:val="0097602F"/>
    <w:rsid w:val="009772B4"/>
    <w:rsid w:val="009779E3"/>
    <w:rsid w:val="00977DB3"/>
    <w:rsid w:val="0098090B"/>
    <w:rsid w:val="00982394"/>
    <w:rsid w:val="0098262E"/>
    <w:rsid w:val="00982A94"/>
    <w:rsid w:val="00990ACF"/>
    <w:rsid w:val="00991008"/>
    <w:rsid w:val="0099190F"/>
    <w:rsid w:val="00992896"/>
    <w:rsid w:val="00993071"/>
    <w:rsid w:val="009932AA"/>
    <w:rsid w:val="009939EE"/>
    <w:rsid w:val="00994EC1"/>
    <w:rsid w:val="00994FDC"/>
    <w:rsid w:val="00996571"/>
    <w:rsid w:val="009968A1"/>
    <w:rsid w:val="009977A4"/>
    <w:rsid w:val="009A02C6"/>
    <w:rsid w:val="009A052A"/>
    <w:rsid w:val="009A0792"/>
    <w:rsid w:val="009A0D6D"/>
    <w:rsid w:val="009A293B"/>
    <w:rsid w:val="009A2BA9"/>
    <w:rsid w:val="009A2C4D"/>
    <w:rsid w:val="009A4A79"/>
    <w:rsid w:val="009A51F3"/>
    <w:rsid w:val="009A5219"/>
    <w:rsid w:val="009A5696"/>
    <w:rsid w:val="009A5E88"/>
    <w:rsid w:val="009A6919"/>
    <w:rsid w:val="009A70DB"/>
    <w:rsid w:val="009B138C"/>
    <w:rsid w:val="009B28A9"/>
    <w:rsid w:val="009B32D4"/>
    <w:rsid w:val="009B341F"/>
    <w:rsid w:val="009B3594"/>
    <w:rsid w:val="009B36E4"/>
    <w:rsid w:val="009B40B2"/>
    <w:rsid w:val="009B4268"/>
    <w:rsid w:val="009B529E"/>
    <w:rsid w:val="009B5502"/>
    <w:rsid w:val="009B61AF"/>
    <w:rsid w:val="009B6714"/>
    <w:rsid w:val="009B71AD"/>
    <w:rsid w:val="009C0461"/>
    <w:rsid w:val="009C1803"/>
    <w:rsid w:val="009C1814"/>
    <w:rsid w:val="009C1AB4"/>
    <w:rsid w:val="009C1AD1"/>
    <w:rsid w:val="009C2389"/>
    <w:rsid w:val="009C243B"/>
    <w:rsid w:val="009C33C3"/>
    <w:rsid w:val="009C3E4F"/>
    <w:rsid w:val="009C40A6"/>
    <w:rsid w:val="009C45F3"/>
    <w:rsid w:val="009C5020"/>
    <w:rsid w:val="009C51ED"/>
    <w:rsid w:val="009C5AD3"/>
    <w:rsid w:val="009C5C74"/>
    <w:rsid w:val="009C6098"/>
    <w:rsid w:val="009C6720"/>
    <w:rsid w:val="009C7115"/>
    <w:rsid w:val="009C76EA"/>
    <w:rsid w:val="009D01C0"/>
    <w:rsid w:val="009D0304"/>
    <w:rsid w:val="009D0A2F"/>
    <w:rsid w:val="009D17D6"/>
    <w:rsid w:val="009D21AF"/>
    <w:rsid w:val="009D3562"/>
    <w:rsid w:val="009D3971"/>
    <w:rsid w:val="009D4FDD"/>
    <w:rsid w:val="009D5088"/>
    <w:rsid w:val="009D52C8"/>
    <w:rsid w:val="009D539D"/>
    <w:rsid w:val="009D58BF"/>
    <w:rsid w:val="009D5BDD"/>
    <w:rsid w:val="009D630C"/>
    <w:rsid w:val="009D662F"/>
    <w:rsid w:val="009D6661"/>
    <w:rsid w:val="009D67E8"/>
    <w:rsid w:val="009D77F6"/>
    <w:rsid w:val="009D7E69"/>
    <w:rsid w:val="009DD4A9"/>
    <w:rsid w:val="009E0E1A"/>
    <w:rsid w:val="009E14D0"/>
    <w:rsid w:val="009E2FBA"/>
    <w:rsid w:val="009E4237"/>
    <w:rsid w:val="009E48F3"/>
    <w:rsid w:val="009E56F7"/>
    <w:rsid w:val="009E5E21"/>
    <w:rsid w:val="009E5EAC"/>
    <w:rsid w:val="009E7136"/>
    <w:rsid w:val="009E7341"/>
    <w:rsid w:val="009F0478"/>
    <w:rsid w:val="009F0ADF"/>
    <w:rsid w:val="009F1D04"/>
    <w:rsid w:val="009F27C7"/>
    <w:rsid w:val="009F27F5"/>
    <w:rsid w:val="009F51F3"/>
    <w:rsid w:val="009F55DB"/>
    <w:rsid w:val="009F6086"/>
    <w:rsid w:val="009F6CE5"/>
    <w:rsid w:val="009F6DAF"/>
    <w:rsid w:val="009F7948"/>
    <w:rsid w:val="009F79A1"/>
    <w:rsid w:val="009F7C36"/>
    <w:rsid w:val="00A00A29"/>
    <w:rsid w:val="00A01D75"/>
    <w:rsid w:val="00A01F93"/>
    <w:rsid w:val="00A02287"/>
    <w:rsid w:val="00A02A0A"/>
    <w:rsid w:val="00A0360A"/>
    <w:rsid w:val="00A046F0"/>
    <w:rsid w:val="00A04A3A"/>
    <w:rsid w:val="00A04C87"/>
    <w:rsid w:val="00A061AA"/>
    <w:rsid w:val="00A0627A"/>
    <w:rsid w:val="00A07DCA"/>
    <w:rsid w:val="00A113E5"/>
    <w:rsid w:val="00A1168B"/>
    <w:rsid w:val="00A11958"/>
    <w:rsid w:val="00A11D6E"/>
    <w:rsid w:val="00A11D86"/>
    <w:rsid w:val="00A155A1"/>
    <w:rsid w:val="00A155EA"/>
    <w:rsid w:val="00A177DC"/>
    <w:rsid w:val="00A201FD"/>
    <w:rsid w:val="00A205C8"/>
    <w:rsid w:val="00A21386"/>
    <w:rsid w:val="00A21427"/>
    <w:rsid w:val="00A2181B"/>
    <w:rsid w:val="00A21F3C"/>
    <w:rsid w:val="00A22525"/>
    <w:rsid w:val="00A226B1"/>
    <w:rsid w:val="00A230CD"/>
    <w:rsid w:val="00A234B7"/>
    <w:rsid w:val="00A23A2E"/>
    <w:rsid w:val="00A24539"/>
    <w:rsid w:val="00A24916"/>
    <w:rsid w:val="00A25529"/>
    <w:rsid w:val="00A26037"/>
    <w:rsid w:val="00A262B5"/>
    <w:rsid w:val="00A2633F"/>
    <w:rsid w:val="00A274EB"/>
    <w:rsid w:val="00A31FD4"/>
    <w:rsid w:val="00A32352"/>
    <w:rsid w:val="00A3335C"/>
    <w:rsid w:val="00A33BBE"/>
    <w:rsid w:val="00A33D96"/>
    <w:rsid w:val="00A34855"/>
    <w:rsid w:val="00A34E14"/>
    <w:rsid w:val="00A360BA"/>
    <w:rsid w:val="00A360FB"/>
    <w:rsid w:val="00A36382"/>
    <w:rsid w:val="00A36985"/>
    <w:rsid w:val="00A37095"/>
    <w:rsid w:val="00A372C7"/>
    <w:rsid w:val="00A40098"/>
    <w:rsid w:val="00A40309"/>
    <w:rsid w:val="00A40555"/>
    <w:rsid w:val="00A4121A"/>
    <w:rsid w:val="00A41319"/>
    <w:rsid w:val="00A4446F"/>
    <w:rsid w:val="00A46639"/>
    <w:rsid w:val="00A47181"/>
    <w:rsid w:val="00A47226"/>
    <w:rsid w:val="00A477C6"/>
    <w:rsid w:val="00A50145"/>
    <w:rsid w:val="00A50570"/>
    <w:rsid w:val="00A51E8B"/>
    <w:rsid w:val="00A51FC5"/>
    <w:rsid w:val="00A5207B"/>
    <w:rsid w:val="00A523A3"/>
    <w:rsid w:val="00A525FA"/>
    <w:rsid w:val="00A53819"/>
    <w:rsid w:val="00A53B52"/>
    <w:rsid w:val="00A544AC"/>
    <w:rsid w:val="00A54670"/>
    <w:rsid w:val="00A55223"/>
    <w:rsid w:val="00A56162"/>
    <w:rsid w:val="00A562E1"/>
    <w:rsid w:val="00A565DD"/>
    <w:rsid w:val="00A57340"/>
    <w:rsid w:val="00A57AE7"/>
    <w:rsid w:val="00A61A30"/>
    <w:rsid w:val="00A62971"/>
    <w:rsid w:val="00A63F73"/>
    <w:rsid w:val="00A64CBA"/>
    <w:rsid w:val="00A64EE1"/>
    <w:rsid w:val="00A65F46"/>
    <w:rsid w:val="00A6608F"/>
    <w:rsid w:val="00A66282"/>
    <w:rsid w:val="00A66643"/>
    <w:rsid w:val="00A67AF3"/>
    <w:rsid w:val="00A7016E"/>
    <w:rsid w:val="00A71192"/>
    <w:rsid w:val="00A71678"/>
    <w:rsid w:val="00A72E1A"/>
    <w:rsid w:val="00A73834"/>
    <w:rsid w:val="00A7413E"/>
    <w:rsid w:val="00A746B8"/>
    <w:rsid w:val="00A74AE4"/>
    <w:rsid w:val="00A74E9F"/>
    <w:rsid w:val="00A7644F"/>
    <w:rsid w:val="00A7721F"/>
    <w:rsid w:val="00A7778E"/>
    <w:rsid w:val="00A8020D"/>
    <w:rsid w:val="00A81E4C"/>
    <w:rsid w:val="00A82D86"/>
    <w:rsid w:val="00A837C2"/>
    <w:rsid w:val="00A84E6D"/>
    <w:rsid w:val="00A850C2"/>
    <w:rsid w:val="00A85360"/>
    <w:rsid w:val="00A85657"/>
    <w:rsid w:val="00A85B98"/>
    <w:rsid w:val="00A86097"/>
    <w:rsid w:val="00A86269"/>
    <w:rsid w:val="00A87453"/>
    <w:rsid w:val="00A87533"/>
    <w:rsid w:val="00A90CF1"/>
    <w:rsid w:val="00A920F9"/>
    <w:rsid w:val="00A928BD"/>
    <w:rsid w:val="00A93B02"/>
    <w:rsid w:val="00A94179"/>
    <w:rsid w:val="00A94683"/>
    <w:rsid w:val="00A94ADC"/>
    <w:rsid w:val="00A94B41"/>
    <w:rsid w:val="00A95747"/>
    <w:rsid w:val="00A95EF8"/>
    <w:rsid w:val="00A960C3"/>
    <w:rsid w:val="00AA0683"/>
    <w:rsid w:val="00AA0778"/>
    <w:rsid w:val="00AA08D9"/>
    <w:rsid w:val="00AA2BB4"/>
    <w:rsid w:val="00AA32B1"/>
    <w:rsid w:val="00AA349B"/>
    <w:rsid w:val="00AA39F1"/>
    <w:rsid w:val="00AA4744"/>
    <w:rsid w:val="00AA508F"/>
    <w:rsid w:val="00AA55CE"/>
    <w:rsid w:val="00AA5816"/>
    <w:rsid w:val="00AA7205"/>
    <w:rsid w:val="00AA76E8"/>
    <w:rsid w:val="00AB2120"/>
    <w:rsid w:val="00AB2B42"/>
    <w:rsid w:val="00AB3057"/>
    <w:rsid w:val="00AB347A"/>
    <w:rsid w:val="00AB409E"/>
    <w:rsid w:val="00AB503E"/>
    <w:rsid w:val="00AB536C"/>
    <w:rsid w:val="00AB6305"/>
    <w:rsid w:val="00AB79C9"/>
    <w:rsid w:val="00AC077E"/>
    <w:rsid w:val="00AC0C30"/>
    <w:rsid w:val="00AC0C86"/>
    <w:rsid w:val="00AC1485"/>
    <w:rsid w:val="00AC18CE"/>
    <w:rsid w:val="00AC1AEF"/>
    <w:rsid w:val="00AC2001"/>
    <w:rsid w:val="00AC3C94"/>
    <w:rsid w:val="00AC4027"/>
    <w:rsid w:val="00AC4CFF"/>
    <w:rsid w:val="00AC5777"/>
    <w:rsid w:val="00AC5E15"/>
    <w:rsid w:val="00AC610F"/>
    <w:rsid w:val="00AC6265"/>
    <w:rsid w:val="00AC6515"/>
    <w:rsid w:val="00AC66B0"/>
    <w:rsid w:val="00AC7374"/>
    <w:rsid w:val="00AC7661"/>
    <w:rsid w:val="00AC7C7A"/>
    <w:rsid w:val="00AD06A2"/>
    <w:rsid w:val="00AD0829"/>
    <w:rsid w:val="00AD178A"/>
    <w:rsid w:val="00AD258C"/>
    <w:rsid w:val="00AD2B27"/>
    <w:rsid w:val="00AD3DBC"/>
    <w:rsid w:val="00AD4170"/>
    <w:rsid w:val="00AD5915"/>
    <w:rsid w:val="00AD5B42"/>
    <w:rsid w:val="00AD6200"/>
    <w:rsid w:val="00AD7500"/>
    <w:rsid w:val="00AD7833"/>
    <w:rsid w:val="00AE0580"/>
    <w:rsid w:val="00AE0C9C"/>
    <w:rsid w:val="00AE1B80"/>
    <w:rsid w:val="00AE1FE3"/>
    <w:rsid w:val="00AE33BA"/>
    <w:rsid w:val="00AE3831"/>
    <w:rsid w:val="00AE3BAB"/>
    <w:rsid w:val="00AE43B4"/>
    <w:rsid w:val="00AE5AA1"/>
    <w:rsid w:val="00AE6541"/>
    <w:rsid w:val="00AE7074"/>
    <w:rsid w:val="00AF15AE"/>
    <w:rsid w:val="00AF1E53"/>
    <w:rsid w:val="00AF357B"/>
    <w:rsid w:val="00AF3C30"/>
    <w:rsid w:val="00AF4BAD"/>
    <w:rsid w:val="00AF50AA"/>
    <w:rsid w:val="00AF5772"/>
    <w:rsid w:val="00AF6662"/>
    <w:rsid w:val="00AF6CB3"/>
    <w:rsid w:val="00B000E6"/>
    <w:rsid w:val="00B00345"/>
    <w:rsid w:val="00B0101B"/>
    <w:rsid w:val="00B012DA"/>
    <w:rsid w:val="00B018E8"/>
    <w:rsid w:val="00B02475"/>
    <w:rsid w:val="00B02C37"/>
    <w:rsid w:val="00B03BA4"/>
    <w:rsid w:val="00B03C48"/>
    <w:rsid w:val="00B0432A"/>
    <w:rsid w:val="00B055E6"/>
    <w:rsid w:val="00B059E7"/>
    <w:rsid w:val="00B06030"/>
    <w:rsid w:val="00B06266"/>
    <w:rsid w:val="00B06516"/>
    <w:rsid w:val="00B1098B"/>
    <w:rsid w:val="00B111CE"/>
    <w:rsid w:val="00B117EC"/>
    <w:rsid w:val="00B11B5E"/>
    <w:rsid w:val="00B120C8"/>
    <w:rsid w:val="00B13839"/>
    <w:rsid w:val="00B1384E"/>
    <w:rsid w:val="00B13E17"/>
    <w:rsid w:val="00B15359"/>
    <w:rsid w:val="00B16536"/>
    <w:rsid w:val="00B16805"/>
    <w:rsid w:val="00B16A26"/>
    <w:rsid w:val="00B16CEF"/>
    <w:rsid w:val="00B177E0"/>
    <w:rsid w:val="00B1791D"/>
    <w:rsid w:val="00B17998"/>
    <w:rsid w:val="00B20A31"/>
    <w:rsid w:val="00B2120A"/>
    <w:rsid w:val="00B22031"/>
    <w:rsid w:val="00B23731"/>
    <w:rsid w:val="00B23E5D"/>
    <w:rsid w:val="00B2447A"/>
    <w:rsid w:val="00B25715"/>
    <w:rsid w:val="00B259AD"/>
    <w:rsid w:val="00B262CA"/>
    <w:rsid w:val="00B26BE5"/>
    <w:rsid w:val="00B27597"/>
    <w:rsid w:val="00B27C50"/>
    <w:rsid w:val="00B27DDC"/>
    <w:rsid w:val="00B3053E"/>
    <w:rsid w:val="00B31012"/>
    <w:rsid w:val="00B31106"/>
    <w:rsid w:val="00B31370"/>
    <w:rsid w:val="00B315E5"/>
    <w:rsid w:val="00B31A7E"/>
    <w:rsid w:val="00B31AF7"/>
    <w:rsid w:val="00B323F6"/>
    <w:rsid w:val="00B32A57"/>
    <w:rsid w:val="00B3413F"/>
    <w:rsid w:val="00B35E3B"/>
    <w:rsid w:val="00B367DD"/>
    <w:rsid w:val="00B36C95"/>
    <w:rsid w:val="00B37704"/>
    <w:rsid w:val="00B41ABE"/>
    <w:rsid w:val="00B41D78"/>
    <w:rsid w:val="00B422AC"/>
    <w:rsid w:val="00B42DBB"/>
    <w:rsid w:val="00B42EB1"/>
    <w:rsid w:val="00B447F4"/>
    <w:rsid w:val="00B4489C"/>
    <w:rsid w:val="00B44C00"/>
    <w:rsid w:val="00B45CDB"/>
    <w:rsid w:val="00B47233"/>
    <w:rsid w:val="00B47475"/>
    <w:rsid w:val="00B47A0D"/>
    <w:rsid w:val="00B503E8"/>
    <w:rsid w:val="00B50926"/>
    <w:rsid w:val="00B511D2"/>
    <w:rsid w:val="00B5256A"/>
    <w:rsid w:val="00B5275C"/>
    <w:rsid w:val="00B52A24"/>
    <w:rsid w:val="00B52B48"/>
    <w:rsid w:val="00B53CF8"/>
    <w:rsid w:val="00B54D32"/>
    <w:rsid w:val="00B566EA"/>
    <w:rsid w:val="00B56B1C"/>
    <w:rsid w:val="00B573ED"/>
    <w:rsid w:val="00B57AAD"/>
    <w:rsid w:val="00B615F5"/>
    <w:rsid w:val="00B6267D"/>
    <w:rsid w:val="00B62CB9"/>
    <w:rsid w:val="00B64248"/>
    <w:rsid w:val="00B64470"/>
    <w:rsid w:val="00B64639"/>
    <w:rsid w:val="00B64688"/>
    <w:rsid w:val="00B64E8C"/>
    <w:rsid w:val="00B65C26"/>
    <w:rsid w:val="00B702AF"/>
    <w:rsid w:val="00B707D3"/>
    <w:rsid w:val="00B70B10"/>
    <w:rsid w:val="00B730E5"/>
    <w:rsid w:val="00B7326D"/>
    <w:rsid w:val="00B735BD"/>
    <w:rsid w:val="00B75141"/>
    <w:rsid w:val="00B756E1"/>
    <w:rsid w:val="00B75EEC"/>
    <w:rsid w:val="00B764E2"/>
    <w:rsid w:val="00B76A5E"/>
    <w:rsid w:val="00B770B8"/>
    <w:rsid w:val="00B77675"/>
    <w:rsid w:val="00B776DA"/>
    <w:rsid w:val="00B77D82"/>
    <w:rsid w:val="00B81325"/>
    <w:rsid w:val="00B81B13"/>
    <w:rsid w:val="00B81DC6"/>
    <w:rsid w:val="00B82D15"/>
    <w:rsid w:val="00B83AFA"/>
    <w:rsid w:val="00B83CFB"/>
    <w:rsid w:val="00B85CA6"/>
    <w:rsid w:val="00B86128"/>
    <w:rsid w:val="00B86D45"/>
    <w:rsid w:val="00B86F32"/>
    <w:rsid w:val="00B878AC"/>
    <w:rsid w:val="00B87927"/>
    <w:rsid w:val="00B87C8C"/>
    <w:rsid w:val="00B90066"/>
    <w:rsid w:val="00B90402"/>
    <w:rsid w:val="00B917F4"/>
    <w:rsid w:val="00B91B0B"/>
    <w:rsid w:val="00B91EA2"/>
    <w:rsid w:val="00B92F20"/>
    <w:rsid w:val="00B93179"/>
    <w:rsid w:val="00B93C3F"/>
    <w:rsid w:val="00B9436C"/>
    <w:rsid w:val="00B94782"/>
    <w:rsid w:val="00B96B0A"/>
    <w:rsid w:val="00B96C10"/>
    <w:rsid w:val="00BA0185"/>
    <w:rsid w:val="00BA1090"/>
    <w:rsid w:val="00BA18A2"/>
    <w:rsid w:val="00BA30AB"/>
    <w:rsid w:val="00BA3142"/>
    <w:rsid w:val="00BA342E"/>
    <w:rsid w:val="00BA62DF"/>
    <w:rsid w:val="00BA67C9"/>
    <w:rsid w:val="00BA6938"/>
    <w:rsid w:val="00BA6C15"/>
    <w:rsid w:val="00BA6D16"/>
    <w:rsid w:val="00BA72B4"/>
    <w:rsid w:val="00BA7F0D"/>
    <w:rsid w:val="00BB068D"/>
    <w:rsid w:val="00BB08C9"/>
    <w:rsid w:val="00BB1B51"/>
    <w:rsid w:val="00BB2366"/>
    <w:rsid w:val="00BB3320"/>
    <w:rsid w:val="00BB3936"/>
    <w:rsid w:val="00BB3CC9"/>
    <w:rsid w:val="00BB4936"/>
    <w:rsid w:val="00BB49FF"/>
    <w:rsid w:val="00BB568B"/>
    <w:rsid w:val="00BB6713"/>
    <w:rsid w:val="00BB6EDF"/>
    <w:rsid w:val="00BB783F"/>
    <w:rsid w:val="00BB7BD1"/>
    <w:rsid w:val="00BC0107"/>
    <w:rsid w:val="00BC0FC7"/>
    <w:rsid w:val="00BC30C3"/>
    <w:rsid w:val="00BC392D"/>
    <w:rsid w:val="00BC57DD"/>
    <w:rsid w:val="00BC628E"/>
    <w:rsid w:val="00BC640D"/>
    <w:rsid w:val="00BC64D0"/>
    <w:rsid w:val="00BC7A76"/>
    <w:rsid w:val="00BD04BD"/>
    <w:rsid w:val="00BD073E"/>
    <w:rsid w:val="00BD27BF"/>
    <w:rsid w:val="00BD2ABB"/>
    <w:rsid w:val="00BD3918"/>
    <w:rsid w:val="00BD3C35"/>
    <w:rsid w:val="00BD4119"/>
    <w:rsid w:val="00BD44A8"/>
    <w:rsid w:val="00BD4989"/>
    <w:rsid w:val="00BD565D"/>
    <w:rsid w:val="00BD5E53"/>
    <w:rsid w:val="00BD62C4"/>
    <w:rsid w:val="00BD6C01"/>
    <w:rsid w:val="00BD6D01"/>
    <w:rsid w:val="00BD747D"/>
    <w:rsid w:val="00BD76A2"/>
    <w:rsid w:val="00BE1066"/>
    <w:rsid w:val="00BE1AB0"/>
    <w:rsid w:val="00BE28D2"/>
    <w:rsid w:val="00BE453C"/>
    <w:rsid w:val="00BE463F"/>
    <w:rsid w:val="00BE5749"/>
    <w:rsid w:val="00BE63B8"/>
    <w:rsid w:val="00BE64E2"/>
    <w:rsid w:val="00BE7D32"/>
    <w:rsid w:val="00BF0080"/>
    <w:rsid w:val="00BF008A"/>
    <w:rsid w:val="00BF0D52"/>
    <w:rsid w:val="00BF11A0"/>
    <w:rsid w:val="00BF1664"/>
    <w:rsid w:val="00BF2F9F"/>
    <w:rsid w:val="00BF3105"/>
    <w:rsid w:val="00BF3822"/>
    <w:rsid w:val="00BF3A62"/>
    <w:rsid w:val="00BF3DC7"/>
    <w:rsid w:val="00BF4729"/>
    <w:rsid w:val="00BF4805"/>
    <w:rsid w:val="00BF5B79"/>
    <w:rsid w:val="00BF6485"/>
    <w:rsid w:val="00BF6B54"/>
    <w:rsid w:val="00C0181E"/>
    <w:rsid w:val="00C01A39"/>
    <w:rsid w:val="00C01CF9"/>
    <w:rsid w:val="00C040B8"/>
    <w:rsid w:val="00C0515B"/>
    <w:rsid w:val="00C05341"/>
    <w:rsid w:val="00C07301"/>
    <w:rsid w:val="00C07E01"/>
    <w:rsid w:val="00C1038B"/>
    <w:rsid w:val="00C10481"/>
    <w:rsid w:val="00C10897"/>
    <w:rsid w:val="00C11A24"/>
    <w:rsid w:val="00C11FCF"/>
    <w:rsid w:val="00C12C08"/>
    <w:rsid w:val="00C13C38"/>
    <w:rsid w:val="00C1520D"/>
    <w:rsid w:val="00C15816"/>
    <w:rsid w:val="00C163C5"/>
    <w:rsid w:val="00C1647E"/>
    <w:rsid w:val="00C166EB"/>
    <w:rsid w:val="00C16A1D"/>
    <w:rsid w:val="00C17B07"/>
    <w:rsid w:val="00C211C7"/>
    <w:rsid w:val="00C2129F"/>
    <w:rsid w:val="00C21C40"/>
    <w:rsid w:val="00C21E6A"/>
    <w:rsid w:val="00C226D7"/>
    <w:rsid w:val="00C2274D"/>
    <w:rsid w:val="00C227A5"/>
    <w:rsid w:val="00C23C56"/>
    <w:rsid w:val="00C23D6D"/>
    <w:rsid w:val="00C248DE"/>
    <w:rsid w:val="00C24F04"/>
    <w:rsid w:val="00C27CE1"/>
    <w:rsid w:val="00C27D8F"/>
    <w:rsid w:val="00C326C8"/>
    <w:rsid w:val="00C342CA"/>
    <w:rsid w:val="00C34356"/>
    <w:rsid w:val="00C344D9"/>
    <w:rsid w:val="00C34779"/>
    <w:rsid w:val="00C348A5"/>
    <w:rsid w:val="00C353FC"/>
    <w:rsid w:val="00C35742"/>
    <w:rsid w:val="00C3616A"/>
    <w:rsid w:val="00C36B9D"/>
    <w:rsid w:val="00C3736E"/>
    <w:rsid w:val="00C3750B"/>
    <w:rsid w:val="00C377F4"/>
    <w:rsid w:val="00C422E7"/>
    <w:rsid w:val="00C42F26"/>
    <w:rsid w:val="00C44494"/>
    <w:rsid w:val="00C44F29"/>
    <w:rsid w:val="00C45347"/>
    <w:rsid w:val="00C4654E"/>
    <w:rsid w:val="00C468F4"/>
    <w:rsid w:val="00C46A13"/>
    <w:rsid w:val="00C474E0"/>
    <w:rsid w:val="00C47671"/>
    <w:rsid w:val="00C500A8"/>
    <w:rsid w:val="00C50D49"/>
    <w:rsid w:val="00C510C3"/>
    <w:rsid w:val="00C5149F"/>
    <w:rsid w:val="00C52376"/>
    <w:rsid w:val="00C52BA7"/>
    <w:rsid w:val="00C53642"/>
    <w:rsid w:val="00C53713"/>
    <w:rsid w:val="00C54E01"/>
    <w:rsid w:val="00C6095F"/>
    <w:rsid w:val="00C60CEB"/>
    <w:rsid w:val="00C6123D"/>
    <w:rsid w:val="00C6318A"/>
    <w:rsid w:val="00C63394"/>
    <w:rsid w:val="00C6356E"/>
    <w:rsid w:val="00C63922"/>
    <w:rsid w:val="00C648F7"/>
    <w:rsid w:val="00C66506"/>
    <w:rsid w:val="00C66A13"/>
    <w:rsid w:val="00C66F6E"/>
    <w:rsid w:val="00C6759B"/>
    <w:rsid w:val="00C724A1"/>
    <w:rsid w:val="00C73C7C"/>
    <w:rsid w:val="00C74813"/>
    <w:rsid w:val="00C748E0"/>
    <w:rsid w:val="00C76779"/>
    <w:rsid w:val="00C77269"/>
    <w:rsid w:val="00C77825"/>
    <w:rsid w:val="00C7784E"/>
    <w:rsid w:val="00C80634"/>
    <w:rsid w:val="00C806D6"/>
    <w:rsid w:val="00C80B37"/>
    <w:rsid w:val="00C8117F"/>
    <w:rsid w:val="00C8184D"/>
    <w:rsid w:val="00C81BFA"/>
    <w:rsid w:val="00C820CB"/>
    <w:rsid w:val="00C831F0"/>
    <w:rsid w:val="00C835AB"/>
    <w:rsid w:val="00C84690"/>
    <w:rsid w:val="00C864BA"/>
    <w:rsid w:val="00C875B8"/>
    <w:rsid w:val="00C87BCB"/>
    <w:rsid w:val="00C87C5B"/>
    <w:rsid w:val="00C9026B"/>
    <w:rsid w:val="00C90C64"/>
    <w:rsid w:val="00C91E1B"/>
    <w:rsid w:val="00C9331B"/>
    <w:rsid w:val="00C94365"/>
    <w:rsid w:val="00C95620"/>
    <w:rsid w:val="00C96194"/>
    <w:rsid w:val="00C968C2"/>
    <w:rsid w:val="00C978B6"/>
    <w:rsid w:val="00C97E9A"/>
    <w:rsid w:val="00C97F14"/>
    <w:rsid w:val="00CA003F"/>
    <w:rsid w:val="00CA2393"/>
    <w:rsid w:val="00CA25AD"/>
    <w:rsid w:val="00CA27F4"/>
    <w:rsid w:val="00CA2DA2"/>
    <w:rsid w:val="00CA4A5C"/>
    <w:rsid w:val="00CA4AD0"/>
    <w:rsid w:val="00CA5967"/>
    <w:rsid w:val="00CA78AD"/>
    <w:rsid w:val="00CB0CB6"/>
    <w:rsid w:val="00CB1056"/>
    <w:rsid w:val="00CB1252"/>
    <w:rsid w:val="00CB1957"/>
    <w:rsid w:val="00CB220A"/>
    <w:rsid w:val="00CB2EE0"/>
    <w:rsid w:val="00CB2F75"/>
    <w:rsid w:val="00CB354F"/>
    <w:rsid w:val="00CB3987"/>
    <w:rsid w:val="00CB3E59"/>
    <w:rsid w:val="00CB429E"/>
    <w:rsid w:val="00CB6FE2"/>
    <w:rsid w:val="00CC00E3"/>
    <w:rsid w:val="00CC00E6"/>
    <w:rsid w:val="00CC011B"/>
    <w:rsid w:val="00CC0289"/>
    <w:rsid w:val="00CC0468"/>
    <w:rsid w:val="00CC0B0E"/>
    <w:rsid w:val="00CC16B7"/>
    <w:rsid w:val="00CC20CC"/>
    <w:rsid w:val="00CC2C0B"/>
    <w:rsid w:val="00CC3846"/>
    <w:rsid w:val="00CC465B"/>
    <w:rsid w:val="00CC4EA4"/>
    <w:rsid w:val="00CC5416"/>
    <w:rsid w:val="00CC546D"/>
    <w:rsid w:val="00CC7BF8"/>
    <w:rsid w:val="00CD0455"/>
    <w:rsid w:val="00CD1B06"/>
    <w:rsid w:val="00CD35C0"/>
    <w:rsid w:val="00CD3684"/>
    <w:rsid w:val="00CD392C"/>
    <w:rsid w:val="00CD4E01"/>
    <w:rsid w:val="00CD4E24"/>
    <w:rsid w:val="00CD5059"/>
    <w:rsid w:val="00CD530E"/>
    <w:rsid w:val="00CD5E5B"/>
    <w:rsid w:val="00CD6624"/>
    <w:rsid w:val="00CD6E08"/>
    <w:rsid w:val="00CD6F1E"/>
    <w:rsid w:val="00CD77FD"/>
    <w:rsid w:val="00CD7E95"/>
    <w:rsid w:val="00CE0AA5"/>
    <w:rsid w:val="00CE1224"/>
    <w:rsid w:val="00CE21FA"/>
    <w:rsid w:val="00CE2795"/>
    <w:rsid w:val="00CE41A7"/>
    <w:rsid w:val="00CE468C"/>
    <w:rsid w:val="00CE4A31"/>
    <w:rsid w:val="00CE61B2"/>
    <w:rsid w:val="00CE650F"/>
    <w:rsid w:val="00CE6B77"/>
    <w:rsid w:val="00CE6FFF"/>
    <w:rsid w:val="00CE728E"/>
    <w:rsid w:val="00CE77FA"/>
    <w:rsid w:val="00CE7C37"/>
    <w:rsid w:val="00CE7CCC"/>
    <w:rsid w:val="00CF0148"/>
    <w:rsid w:val="00CF01EE"/>
    <w:rsid w:val="00CF02A2"/>
    <w:rsid w:val="00CF030E"/>
    <w:rsid w:val="00CF0834"/>
    <w:rsid w:val="00CF186D"/>
    <w:rsid w:val="00CF1B23"/>
    <w:rsid w:val="00CF26D8"/>
    <w:rsid w:val="00CF2EAD"/>
    <w:rsid w:val="00CF348C"/>
    <w:rsid w:val="00CF3C51"/>
    <w:rsid w:val="00CF4F0E"/>
    <w:rsid w:val="00CF53B5"/>
    <w:rsid w:val="00CF5902"/>
    <w:rsid w:val="00CF769A"/>
    <w:rsid w:val="00CF7A3E"/>
    <w:rsid w:val="00D00455"/>
    <w:rsid w:val="00D00F3C"/>
    <w:rsid w:val="00D014D2"/>
    <w:rsid w:val="00D02C01"/>
    <w:rsid w:val="00D02E24"/>
    <w:rsid w:val="00D0302E"/>
    <w:rsid w:val="00D03053"/>
    <w:rsid w:val="00D033E7"/>
    <w:rsid w:val="00D042AF"/>
    <w:rsid w:val="00D04B00"/>
    <w:rsid w:val="00D04CBF"/>
    <w:rsid w:val="00D04F05"/>
    <w:rsid w:val="00D053A4"/>
    <w:rsid w:val="00D0601D"/>
    <w:rsid w:val="00D07535"/>
    <w:rsid w:val="00D07CD8"/>
    <w:rsid w:val="00D10B2A"/>
    <w:rsid w:val="00D10C47"/>
    <w:rsid w:val="00D1157D"/>
    <w:rsid w:val="00D12AFC"/>
    <w:rsid w:val="00D131C7"/>
    <w:rsid w:val="00D145F8"/>
    <w:rsid w:val="00D15EB3"/>
    <w:rsid w:val="00D17D3D"/>
    <w:rsid w:val="00D204B7"/>
    <w:rsid w:val="00D208F1"/>
    <w:rsid w:val="00D21AE2"/>
    <w:rsid w:val="00D21BEE"/>
    <w:rsid w:val="00D2297D"/>
    <w:rsid w:val="00D2396E"/>
    <w:rsid w:val="00D23DD4"/>
    <w:rsid w:val="00D24420"/>
    <w:rsid w:val="00D249C5"/>
    <w:rsid w:val="00D269A3"/>
    <w:rsid w:val="00D272C7"/>
    <w:rsid w:val="00D273EC"/>
    <w:rsid w:val="00D308DE"/>
    <w:rsid w:val="00D309CE"/>
    <w:rsid w:val="00D30EB0"/>
    <w:rsid w:val="00D31AF6"/>
    <w:rsid w:val="00D337A4"/>
    <w:rsid w:val="00D34558"/>
    <w:rsid w:val="00D34BBC"/>
    <w:rsid w:val="00D34EA7"/>
    <w:rsid w:val="00D3571B"/>
    <w:rsid w:val="00D40738"/>
    <w:rsid w:val="00D40A77"/>
    <w:rsid w:val="00D40F6D"/>
    <w:rsid w:val="00D4187D"/>
    <w:rsid w:val="00D4235D"/>
    <w:rsid w:val="00D43BC0"/>
    <w:rsid w:val="00D44615"/>
    <w:rsid w:val="00D4499E"/>
    <w:rsid w:val="00D44F1B"/>
    <w:rsid w:val="00D45CD1"/>
    <w:rsid w:val="00D46770"/>
    <w:rsid w:val="00D469C1"/>
    <w:rsid w:val="00D46BF7"/>
    <w:rsid w:val="00D46DD6"/>
    <w:rsid w:val="00D5305A"/>
    <w:rsid w:val="00D53C56"/>
    <w:rsid w:val="00D54019"/>
    <w:rsid w:val="00D540C0"/>
    <w:rsid w:val="00D55172"/>
    <w:rsid w:val="00D55971"/>
    <w:rsid w:val="00D567A3"/>
    <w:rsid w:val="00D56AD3"/>
    <w:rsid w:val="00D57294"/>
    <w:rsid w:val="00D57653"/>
    <w:rsid w:val="00D57914"/>
    <w:rsid w:val="00D57ECC"/>
    <w:rsid w:val="00D603C1"/>
    <w:rsid w:val="00D604EA"/>
    <w:rsid w:val="00D61126"/>
    <w:rsid w:val="00D62C8F"/>
    <w:rsid w:val="00D6306E"/>
    <w:rsid w:val="00D65EAF"/>
    <w:rsid w:val="00D66740"/>
    <w:rsid w:val="00D67522"/>
    <w:rsid w:val="00D67593"/>
    <w:rsid w:val="00D7159D"/>
    <w:rsid w:val="00D729EA"/>
    <w:rsid w:val="00D7451C"/>
    <w:rsid w:val="00D74CEE"/>
    <w:rsid w:val="00D75CEF"/>
    <w:rsid w:val="00D7611C"/>
    <w:rsid w:val="00D76809"/>
    <w:rsid w:val="00D76861"/>
    <w:rsid w:val="00D8029E"/>
    <w:rsid w:val="00D81581"/>
    <w:rsid w:val="00D83A9B"/>
    <w:rsid w:val="00D84820"/>
    <w:rsid w:val="00D84913"/>
    <w:rsid w:val="00D855AD"/>
    <w:rsid w:val="00D87300"/>
    <w:rsid w:val="00D901ED"/>
    <w:rsid w:val="00D92A1F"/>
    <w:rsid w:val="00D92C06"/>
    <w:rsid w:val="00D931CB"/>
    <w:rsid w:val="00D9369F"/>
    <w:rsid w:val="00D9410B"/>
    <w:rsid w:val="00D94FBD"/>
    <w:rsid w:val="00D9572E"/>
    <w:rsid w:val="00D9577D"/>
    <w:rsid w:val="00D95FE7"/>
    <w:rsid w:val="00D9629D"/>
    <w:rsid w:val="00D96B49"/>
    <w:rsid w:val="00D97EE0"/>
    <w:rsid w:val="00DA00FF"/>
    <w:rsid w:val="00DA03E6"/>
    <w:rsid w:val="00DA08D6"/>
    <w:rsid w:val="00DA0E0A"/>
    <w:rsid w:val="00DA10CA"/>
    <w:rsid w:val="00DA122B"/>
    <w:rsid w:val="00DA1C5A"/>
    <w:rsid w:val="00DA21C3"/>
    <w:rsid w:val="00DA3BB2"/>
    <w:rsid w:val="00DA6BE4"/>
    <w:rsid w:val="00DB08F1"/>
    <w:rsid w:val="00DB0FD7"/>
    <w:rsid w:val="00DB2ACD"/>
    <w:rsid w:val="00DB4F2E"/>
    <w:rsid w:val="00DB6BB1"/>
    <w:rsid w:val="00DB7034"/>
    <w:rsid w:val="00DB70CD"/>
    <w:rsid w:val="00DB775A"/>
    <w:rsid w:val="00DB78D9"/>
    <w:rsid w:val="00DC0894"/>
    <w:rsid w:val="00DC0B10"/>
    <w:rsid w:val="00DC1879"/>
    <w:rsid w:val="00DC1944"/>
    <w:rsid w:val="00DC1B33"/>
    <w:rsid w:val="00DC416B"/>
    <w:rsid w:val="00DC417B"/>
    <w:rsid w:val="00DC5A40"/>
    <w:rsid w:val="00DC5CCB"/>
    <w:rsid w:val="00DC6CF8"/>
    <w:rsid w:val="00DD192D"/>
    <w:rsid w:val="00DD1B3A"/>
    <w:rsid w:val="00DD2549"/>
    <w:rsid w:val="00DD273E"/>
    <w:rsid w:val="00DD2A8D"/>
    <w:rsid w:val="00DD2DEE"/>
    <w:rsid w:val="00DD3AA1"/>
    <w:rsid w:val="00DD3B02"/>
    <w:rsid w:val="00DD4E9D"/>
    <w:rsid w:val="00DD6C94"/>
    <w:rsid w:val="00DD75BB"/>
    <w:rsid w:val="00DE074E"/>
    <w:rsid w:val="00DE0B14"/>
    <w:rsid w:val="00DE0E42"/>
    <w:rsid w:val="00DE1479"/>
    <w:rsid w:val="00DE1679"/>
    <w:rsid w:val="00DE1D53"/>
    <w:rsid w:val="00DE24E3"/>
    <w:rsid w:val="00DE2922"/>
    <w:rsid w:val="00DE2934"/>
    <w:rsid w:val="00DE2C86"/>
    <w:rsid w:val="00DE2EA4"/>
    <w:rsid w:val="00DE40E5"/>
    <w:rsid w:val="00DE5201"/>
    <w:rsid w:val="00DE53AA"/>
    <w:rsid w:val="00DE5B5C"/>
    <w:rsid w:val="00DE6436"/>
    <w:rsid w:val="00DE6CA8"/>
    <w:rsid w:val="00DE71AE"/>
    <w:rsid w:val="00DF0201"/>
    <w:rsid w:val="00DF04F8"/>
    <w:rsid w:val="00DF06A2"/>
    <w:rsid w:val="00DF18BB"/>
    <w:rsid w:val="00DF1905"/>
    <w:rsid w:val="00DF1AA2"/>
    <w:rsid w:val="00DF1F81"/>
    <w:rsid w:val="00DF2457"/>
    <w:rsid w:val="00DF2A77"/>
    <w:rsid w:val="00DF4255"/>
    <w:rsid w:val="00DF4A94"/>
    <w:rsid w:val="00DF4D4E"/>
    <w:rsid w:val="00DF58DC"/>
    <w:rsid w:val="00DF59DE"/>
    <w:rsid w:val="00DF5ED7"/>
    <w:rsid w:val="00DF671B"/>
    <w:rsid w:val="00DF74C4"/>
    <w:rsid w:val="00DF76C6"/>
    <w:rsid w:val="00DF7A19"/>
    <w:rsid w:val="00DF7CBB"/>
    <w:rsid w:val="00E00076"/>
    <w:rsid w:val="00E0089E"/>
    <w:rsid w:val="00E02636"/>
    <w:rsid w:val="00E0297B"/>
    <w:rsid w:val="00E049C0"/>
    <w:rsid w:val="00E0509D"/>
    <w:rsid w:val="00E053D8"/>
    <w:rsid w:val="00E058C5"/>
    <w:rsid w:val="00E05953"/>
    <w:rsid w:val="00E10A9C"/>
    <w:rsid w:val="00E10F5C"/>
    <w:rsid w:val="00E1145B"/>
    <w:rsid w:val="00E12533"/>
    <w:rsid w:val="00E13A7B"/>
    <w:rsid w:val="00E14283"/>
    <w:rsid w:val="00E156C1"/>
    <w:rsid w:val="00E15D04"/>
    <w:rsid w:val="00E15DD1"/>
    <w:rsid w:val="00E16774"/>
    <w:rsid w:val="00E16968"/>
    <w:rsid w:val="00E16D74"/>
    <w:rsid w:val="00E16E2F"/>
    <w:rsid w:val="00E16FA0"/>
    <w:rsid w:val="00E17897"/>
    <w:rsid w:val="00E209EB"/>
    <w:rsid w:val="00E20E49"/>
    <w:rsid w:val="00E21BFE"/>
    <w:rsid w:val="00E21DB0"/>
    <w:rsid w:val="00E21EA0"/>
    <w:rsid w:val="00E224EE"/>
    <w:rsid w:val="00E225AA"/>
    <w:rsid w:val="00E243E0"/>
    <w:rsid w:val="00E24493"/>
    <w:rsid w:val="00E24C02"/>
    <w:rsid w:val="00E25477"/>
    <w:rsid w:val="00E30367"/>
    <w:rsid w:val="00E314E8"/>
    <w:rsid w:val="00E32C86"/>
    <w:rsid w:val="00E33A00"/>
    <w:rsid w:val="00E35CDB"/>
    <w:rsid w:val="00E35F50"/>
    <w:rsid w:val="00E367B8"/>
    <w:rsid w:val="00E378D8"/>
    <w:rsid w:val="00E37A2C"/>
    <w:rsid w:val="00E37C91"/>
    <w:rsid w:val="00E401E6"/>
    <w:rsid w:val="00E407E4"/>
    <w:rsid w:val="00E4080D"/>
    <w:rsid w:val="00E40839"/>
    <w:rsid w:val="00E40982"/>
    <w:rsid w:val="00E41690"/>
    <w:rsid w:val="00E41E74"/>
    <w:rsid w:val="00E42CD4"/>
    <w:rsid w:val="00E43881"/>
    <w:rsid w:val="00E44992"/>
    <w:rsid w:val="00E45844"/>
    <w:rsid w:val="00E466DA"/>
    <w:rsid w:val="00E513A6"/>
    <w:rsid w:val="00E5151F"/>
    <w:rsid w:val="00E51BBF"/>
    <w:rsid w:val="00E51D73"/>
    <w:rsid w:val="00E52806"/>
    <w:rsid w:val="00E52CCB"/>
    <w:rsid w:val="00E52DFF"/>
    <w:rsid w:val="00E52FF5"/>
    <w:rsid w:val="00E539E0"/>
    <w:rsid w:val="00E54427"/>
    <w:rsid w:val="00E5453F"/>
    <w:rsid w:val="00E549E0"/>
    <w:rsid w:val="00E553E7"/>
    <w:rsid w:val="00E554FD"/>
    <w:rsid w:val="00E55690"/>
    <w:rsid w:val="00E5572B"/>
    <w:rsid w:val="00E55B78"/>
    <w:rsid w:val="00E56788"/>
    <w:rsid w:val="00E56A09"/>
    <w:rsid w:val="00E57250"/>
    <w:rsid w:val="00E6011E"/>
    <w:rsid w:val="00E616A4"/>
    <w:rsid w:val="00E616C9"/>
    <w:rsid w:val="00E6192E"/>
    <w:rsid w:val="00E62E91"/>
    <w:rsid w:val="00E63A7A"/>
    <w:rsid w:val="00E63F4E"/>
    <w:rsid w:val="00E64BB1"/>
    <w:rsid w:val="00E65156"/>
    <w:rsid w:val="00E65D1C"/>
    <w:rsid w:val="00E67CE7"/>
    <w:rsid w:val="00E70CD6"/>
    <w:rsid w:val="00E7255C"/>
    <w:rsid w:val="00E72646"/>
    <w:rsid w:val="00E73DE4"/>
    <w:rsid w:val="00E756E5"/>
    <w:rsid w:val="00E75824"/>
    <w:rsid w:val="00E75ACB"/>
    <w:rsid w:val="00E75EC6"/>
    <w:rsid w:val="00E77DA2"/>
    <w:rsid w:val="00E80F9A"/>
    <w:rsid w:val="00E826F7"/>
    <w:rsid w:val="00E82998"/>
    <w:rsid w:val="00E83631"/>
    <w:rsid w:val="00E83E2E"/>
    <w:rsid w:val="00E8618F"/>
    <w:rsid w:val="00E8645A"/>
    <w:rsid w:val="00E8684F"/>
    <w:rsid w:val="00E904D6"/>
    <w:rsid w:val="00E90750"/>
    <w:rsid w:val="00E90CAC"/>
    <w:rsid w:val="00E90CAE"/>
    <w:rsid w:val="00E91220"/>
    <w:rsid w:val="00E9251C"/>
    <w:rsid w:val="00E92818"/>
    <w:rsid w:val="00E92DD3"/>
    <w:rsid w:val="00E942F3"/>
    <w:rsid w:val="00E945EC"/>
    <w:rsid w:val="00E954E4"/>
    <w:rsid w:val="00E95713"/>
    <w:rsid w:val="00E95A5E"/>
    <w:rsid w:val="00E95B78"/>
    <w:rsid w:val="00E97650"/>
    <w:rsid w:val="00E979DE"/>
    <w:rsid w:val="00EA1398"/>
    <w:rsid w:val="00EA1459"/>
    <w:rsid w:val="00EA21ED"/>
    <w:rsid w:val="00EA2EEF"/>
    <w:rsid w:val="00EA31DC"/>
    <w:rsid w:val="00EA3B42"/>
    <w:rsid w:val="00EA47A4"/>
    <w:rsid w:val="00EA4E2C"/>
    <w:rsid w:val="00EA4F09"/>
    <w:rsid w:val="00EA52A0"/>
    <w:rsid w:val="00EA542C"/>
    <w:rsid w:val="00EA5430"/>
    <w:rsid w:val="00EA62F8"/>
    <w:rsid w:val="00EA63CE"/>
    <w:rsid w:val="00EA6728"/>
    <w:rsid w:val="00EA6818"/>
    <w:rsid w:val="00EA6B0B"/>
    <w:rsid w:val="00EA703F"/>
    <w:rsid w:val="00EB14B5"/>
    <w:rsid w:val="00EB2991"/>
    <w:rsid w:val="00EB3702"/>
    <w:rsid w:val="00EB4CDA"/>
    <w:rsid w:val="00EB4D09"/>
    <w:rsid w:val="00EB659F"/>
    <w:rsid w:val="00EB75DA"/>
    <w:rsid w:val="00EBB123"/>
    <w:rsid w:val="00EC029F"/>
    <w:rsid w:val="00EC0E77"/>
    <w:rsid w:val="00EC21C4"/>
    <w:rsid w:val="00EC27BF"/>
    <w:rsid w:val="00EC2D20"/>
    <w:rsid w:val="00EC4B12"/>
    <w:rsid w:val="00EC4E40"/>
    <w:rsid w:val="00EC5407"/>
    <w:rsid w:val="00EC55D8"/>
    <w:rsid w:val="00EC5F5D"/>
    <w:rsid w:val="00EC6730"/>
    <w:rsid w:val="00EC6AFC"/>
    <w:rsid w:val="00EC7275"/>
    <w:rsid w:val="00ED05C0"/>
    <w:rsid w:val="00ED1679"/>
    <w:rsid w:val="00ED1D32"/>
    <w:rsid w:val="00ED1F86"/>
    <w:rsid w:val="00ED24F4"/>
    <w:rsid w:val="00ED4179"/>
    <w:rsid w:val="00ED54E9"/>
    <w:rsid w:val="00ED5502"/>
    <w:rsid w:val="00ED6300"/>
    <w:rsid w:val="00ED6AF4"/>
    <w:rsid w:val="00ED6C88"/>
    <w:rsid w:val="00ED754D"/>
    <w:rsid w:val="00ED7F73"/>
    <w:rsid w:val="00EE077F"/>
    <w:rsid w:val="00EE0846"/>
    <w:rsid w:val="00EE0B00"/>
    <w:rsid w:val="00EE0C42"/>
    <w:rsid w:val="00EE1B14"/>
    <w:rsid w:val="00EE224F"/>
    <w:rsid w:val="00EE27B9"/>
    <w:rsid w:val="00EE2A2C"/>
    <w:rsid w:val="00EE3651"/>
    <w:rsid w:val="00EE372F"/>
    <w:rsid w:val="00EE3C83"/>
    <w:rsid w:val="00EE40F8"/>
    <w:rsid w:val="00EE46B1"/>
    <w:rsid w:val="00EE6AC9"/>
    <w:rsid w:val="00EE76FC"/>
    <w:rsid w:val="00EE7A6A"/>
    <w:rsid w:val="00EF0333"/>
    <w:rsid w:val="00EF164D"/>
    <w:rsid w:val="00EF25F0"/>
    <w:rsid w:val="00EF2D02"/>
    <w:rsid w:val="00EF4E32"/>
    <w:rsid w:val="00EF54DC"/>
    <w:rsid w:val="00EF5973"/>
    <w:rsid w:val="00EF5D43"/>
    <w:rsid w:val="00EF6215"/>
    <w:rsid w:val="00F011E0"/>
    <w:rsid w:val="00F0166B"/>
    <w:rsid w:val="00F01836"/>
    <w:rsid w:val="00F02950"/>
    <w:rsid w:val="00F02AF0"/>
    <w:rsid w:val="00F02C30"/>
    <w:rsid w:val="00F03458"/>
    <w:rsid w:val="00F04A74"/>
    <w:rsid w:val="00F04E16"/>
    <w:rsid w:val="00F050C3"/>
    <w:rsid w:val="00F0517C"/>
    <w:rsid w:val="00F05B98"/>
    <w:rsid w:val="00F05FF6"/>
    <w:rsid w:val="00F062F0"/>
    <w:rsid w:val="00F074B2"/>
    <w:rsid w:val="00F07980"/>
    <w:rsid w:val="00F104FD"/>
    <w:rsid w:val="00F11277"/>
    <w:rsid w:val="00F12FC3"/>
    <w:rsid w:val="00F130C7"/>
    <w:rsid w:val="00F1319F"/>
    <w:rsid w:val="00F13DEC"/>
    <w:rsid w:val="00F14C14"/>
    <w:rsid w:val="00F1611A"/>
    <w:rsid w:val="00F16D21"/>
    <w:rsid w:val="00F20D5F"/>
    <w:rsid w:val="00F20E2C"/>
    <w:rsid w:val="00F23B3C"/>
    <w:rsid w:val="00F241CA"/>
    <w:rsid w:val="00F244B7"/>
    <w:rsid w:val="00F25CD2"/>
    <w:rsid w:val="00F25D3B"/>
    <w:rsid w:val="00F26EBD"/>
    <w:rsid w:val="00F2737C"/>
    <w:rsid w:val="00F2789B"/>
    <w:rsid w:val="00F30181"/>
    <w:rsid w:val="00F31BBA"/>
    <w:rsid w:val="00F31DCF"/>
    <w:rsid w:val="00F32C70"/>
    <w:rsid w:val="00F343ED"/>
    <w:rsid w:val="00F346CF"/>
    <w:rsid w:val="00F34D8B"/>
    <w:rsid w:val="00F3572A"/>
    <w:rsid w:val="00F357CB"/>
    <w:rsid w:val="00F35C7E"/>
    <w:rsid w:val="00F36B2C"/>
    <w:rsid w:val="00F36D4B"/>
    <w:rsid w:val="00F4023F"/>
    <w:rsid w:val="00F40334"/>
    <w:rsid w:val="00F403CD"/>
    <w:rsid w:val="00F41161"/>
    <w:rsid w:val="00F41246"/>
    <w:rsid w:val="00F413FF"/>
    <w:rsid w:val="00F417CC"/>
    <w:rsid w:val="00F41BB5"/>
    <w:rsid w:val="00F427E1"/>
    <w:rsid w:val="00F42FFA"/>
    <w:rsid w:val="00F43397"/>
    <w:rsid w:val="00F43ABF"/>
    <w:rsid w:val="00F43B15"/>
    <w:rsid w:val="00F45763"/>
    <w:rsid w:val="00F457CD"/>
    <w:rsid w:val="00F45B81"/>
    <w:rsid w:val="00F463D9"/>
    <w:rsid w:val="00F46AFA"/>
    <w:rsid w:val="00F4777E"/>
    <w:rsid w:val="00F50094"/>
    <w:rsid w:val="00F518CA"/>
    <w:rsid w:val="00F52A77"/>
    <w:rsid w:val="00F52A78"/>
    <w:rsid w:val="00F5378F"/>
    <w:rsid w:val="00F539EC"/>
    <w:rsid w:val="00F53A22"/>
    <w:rsid w:val="00F53C45"/>
    <w:rsid w:val="00F53DEB"/>
    <w:rsid w:val="00F543FC"/>
    <w:rsid w:val="00F54DA2"/>
    <w:rsid w:val="00F55B07"/>
    <w:rsid w:val="00F55EEE"/>
    <w:rsid w:val="00F561C4"/>
    <w:rsid w:val="00F575F3"/>
    <w:rsid w:val="00F57886"/>
    <w:rsid w:val="00F5791D"/>
    <w:rsid w:val="00F60D0C"/>
    <w:rsid w:val="00F62482"/>
    <w:rsid w:val="00F626F8"/>
    <w:rsid w:val="00F6282D"/>
    <w:rsid w:val="00F62999"/>
    <w:rsid w:val="00F62A97"/>
    <w:rsid w:val="00F62C0B"/>
    <w:rsid w:val="00F62F92"/>
    <w:rsid w:val="00F6425F"/>
    <w:rsid w:val="00F64729"/>
    <w:rsid w:val="00F647B0"/>
    <w:rsid w:val="00F66874"/>
    <w:rsid w:val="00F66BAE"/>
    <w:rsid w:val="00F67AE3"/>
    <w:rsid w:val="00F70FA7"/>
    <w:rsid w:val="00F71646"/>
    <w:rsid w:val="00F71F53"/>
    <w:rsid w:val="00F71FBF"/>
    <w:rsid w:val="00F724AD"/>
    <w:rsid w:val="00F727E2"/>
    <w:rsid w:val="00F72A55"/>
    <w:rsid w:val="00F77222"/>
    <w:rsid w:val="00F80449"/>
    <w:rsid w:val="00F8091C"/>
    <w:rsid w:val="00F80D0A"/>
    <w:rsid w:val="00F8261A"/>
    <w:rsid w:val="00F82B9F"/>
    <w:rsid w:val="00F83524"/>
    <w:rsid w:val="00F83865"/>
    <w:rsid w:val="00F8471F"/>
    <w:rsid w:val="00F84A19"/>
    <w:rsid w:val="00F85080"/>
    <w:rsid w:val="00F85098"/>
    <w:rsid w:val="00F85A25"/>
    <w:rsid w:val="00F86FD9"/>
    <w:rsid w:val="00F87FA2"/>
    <w:rsid w:val="00F90B45"/>
    <w:rsid w:val="00F91072"/>
    <w:rsid w:val="00F91319"/>
    <w:rsid w:val="00F9135E"/>
    <w:rsid w:val="00F91494"/>
    <w:rsid w:val="00F914C2"/>
    <w:rsid w:val="00F91C9A"/>
    <w:rsid w:val="00F92622"/>
    <w:rsid w:val="00F92B8F"/>
    <w:rsid w:val="00F92CFB"/>
    <w:rsid w:val="00F936B5"/>
    <w:rsid w:val="00F93818"/>
    <w:rsid w:val="00F94629"/>
    <w:rsid w:val="00F947A9"/>
    <w:rsid w:val="00F9485D"/>
    <w:rsid w:val="00F94B22"/>
    <w:rsid w:val="00F94C8E"/>
    <w:rsid w:val="00F95854"/>
    <w:rsid w:val="00F9599A"/>
    <w:rsid w:val="00F95AD5"/>
    <w:rsid w:val="00F97125"/>
    <w:rsid w:val="00F975D5"/>
    <w:rsid w:val="00F97B78"/>
    <w:rsid w:val="00FA0515"/>
    <w:rsid w:val="00FA11DF"/>
    <w:rsid w:val="00FA2758"/>
    <w:rsid w:val="00FA3801"/>
    <w:rsid w:val="00FA3CA6"/>
    <w:rsid w:val="00FA3F65"/>
    <w:rsid w:val="00FA3FCE"/>
    <w:rsid w:val="00FA447E"/>
    <w:rsid w:val="00FA6CB9"/>
    <w:rsid w:val="00FA6FAB"/>
    <w:rsid w:val="00FB04A0"/>
    <w:rsid w:val="00FB064A"/>
    <w:rsid w:val="00FB1871"/>
    <w:rsid w:val="00FB30CE"/>
    <w:rsid w:val="00FB3336"/>
    <w:rsid w:val="00FB375F"/>
    <w:rsid w:val="00FB3D30"/>
    <w:rsid w:val="00FB4A59"/>
    <w:rsid w:val="00FB4EC1"/>
    <w:rsid w:val="00FB5516"/>
    <w:rsid w:val="00FB5A31"/>
    <w:rsid w:val="00FB60C7"/>
    <w:rsid w:val="00FB62CE"/>
    <w:rsid w:val="00FC09AA"/>
    <w:rsid w:val="00FC1205"/>
    <w:rsid w:val="00FC17D0"/>
    <w:rsid w:val="00FC2FC8"/>
    <w:rsid w:val="00FC565C"/>
    <w:rsid w:val="00FC5944"/>
    <w:rsid w:val="00FC5ACB"/>
    <w:rsid w:val="00FC60AF"/>
    <w:rsid w:val="00FC6666"/>
    <w:rsid w:val="00FC7755"/>
    <w:rsid w:val="00FD032B"/>
    <w:rsid w:val="00FD0803"/>
    <w:rsid w:val="00FD1107"/>
    <w:rsid w:val="00FD1A68"/>
    <w:rsid w:val="00FD1CE5"/>
    <w:rsid w:val="00FD35CC"/>
    <w:rsid w:val="00FD3874"/>
    <w:rsid w:val="00FD3D22"/>
    <w:rsid w:val="00FD473B"/>
    <w:rsid w:val="00FD47E3"/>
    <w:rsid w:val="00FD47FF"/>
    <w:rsid w:val="00FD6EA0"/>
    <w:rsid w:val="00FE021E"/>
    <w:rsid w:val="00FE08D7"/>
    <w:rsid w:val="00FE1C6A"/>
    <w:rsid w:val="00FE24FF"/>
    <w:rsid w:val="00FE2BC7"/>
    <w:rsid w:val="00FE2FBB"/>
    <w:rsid w:val="00FE3CEC"/>
    <w:rsid w:val="00FE51AE"/>
    <w:rsid w:val="00FE5858"/>
    <w:rsid w:val="00FE58AC"/>
    <w:rsid w:val="00FE7490"/>
    <w:rsid w:val="00FE7B84"/>
    <w:rsid w:val="00FE7F2A"/>
    <w:rsid w:val="00FF0471"/>
    <w:rsid w:val="00FF1DB0"/>
    <w:rsid w:val="00FF522A"/>
    <w:rsid w:val="00FF5BFE"/>
    <w:rsid w:val="00FF6814"/>
    <w:rsid w:val="00FF6FC0"/>
    <w:rsid w:val="00FF7CBD"/>
    <w:rsid w:val="01607EC7"/>
    <w:rsid w:val="01726FFB"/>
    <w:rsid w:val="020BEE07"/>
    <w:rsid w:val="021C731F"/>
    <w:rsid w:val="023683C6"/>
    <w:rsid w:val="026A5908"/>
    <w:rsid w:val="026B0576"/>
    <w:rsid w:val="0283789D"/>
    <w:rsid w:val="0293FCA9"/>
    <w:rsid w:val="02F8D754"/>
    <w:rsid w:val="02FAACD2"/>
    <w:rsid w:val="03043143"/>
    <w:rsid w:val="032FB0F7"/>
    <w:rsid w:val="035993DB"/>
    <w:rsid w:val="03957048"/>
    <w:rsid w:val="039B8C41"/>
    <w:rsid w:val="03EA27D3"/>
    <w:rsid w:val="03FD5BA3"/>
    <w:rsid w:val="03FE89D8"/>
    <w:rsid w:val="04140CA5"/>
    <w:rsid w:val="043ACE0A"/>
    <w:rsid w:val="0493CA3C"/>
    <w:rsid w:val="0499E6A4"/>
    <w:rsid w:val="049F78B8"/>
    <w:rsid w:val="04D15858"/>
    <w:rsid w:val="04D17EED"/>
    <w:rsid w:val="050555DD"/>
    <w:rsid w:val="05342AD0"/>
    <w:rsid w:val="056B6507"/>
    <w:rsid w:val="058D9A7A"/>
    <w:rsid w:val="05924BC5"/>
    <w:rsid w:val="059F0F95"/>
    <w:rsid w:val="05A22C39"/>
    <w:rsid w:val="05E0D4E8"/>
    <w:rsid w:val="05EB3898"/>
    <w:rsid w:val="0682C885"/>
    <w:rsid w:val="069890C3"/>
    <w:rsid w:val="06CE56EA"/>
    <w:rsid w:val="06FE1C7B"/>
    <w:rsid w:val="070A7759"/>
    <w:rsid w:val="0747BA43"/>
    <w:rsid w:val="07F11E5D"/>
    <w:rsid w:val="085E3B97"/>
    <w:rsid w:val="08A8CA6B"/>
    <w:rsid w:val="08C376BC"/>
    <w:rsid w:val="08FC3F18"/>
    <w:rsid w:val="09188090"/>
    <w:rsid w:val="09988014"/>
    <w:rsid w:val="09D225FD"/>
    <w:rsid w:val="09EAAB17"/>
    <w:rsid w:val="09EDDA08"/>
    <w:rsid w:val="09F30895"/>
    <w:rsid w:val="0BB4B804"/>
    <w:rsid w:val="0BDBE66F"/>
    <w:rsid w:val="0C3AF911"/>
    <w:rsid w:val="0C76DF4D"/>
    <w:rsid w:val="0D0AF142"/>
    <w:rsid w:val="0D253F26"/>
    <w:rsid w:val="0D3660A0"/>
    <w:rsid w:val="0D38B225"/>
    <w:rsid w:val="0D42B01B"/>
    <w:rsid w:val="0D5EB198"/>
    <w:rsid w:val="0D7FC9F8"/>
    <w:rsid w:val="0D80D112"/>
    <w:rsid w:val="0DDCBB8A"/>
    <w:rsid w:val="0E50620B"/>
    <w:rsid w:val="0E76205E"/>
    <w:rsid w:val="0E980F20"/>
    <w:rsid w:val="0EE59C36"/>
    <w:rsid w:val="0EFF6FDD"/>
    <w:rsid w:val="0F31C5DC"/>
    <w:rsid w:val="0F55F4F9"/>
    <w:rsid w:val="0F83EE05"/>
    <w:rsid w:val="0F900BE7"/>
    <w:rsid w:val="0FA07FDD"/>
    <w:rsid w:val="0FC431B5"/>
    <w:rsid w:val="0FD28C8E"/>
    <w:rsid w:val="0FE94E4E"/>
    <w:rsid w:val="0FF632B4"/>
    <w:rsid w:val="0FFF25EF"/>
    <w:rsid w:val="10402E44"/>
    <w:rsid w:val="1049D277"/>
    <w:rsid w:val="105412FB"/>
    <w:rsid w:val="105FB5E5"/>
    <w:rsid w:val="107CE03D"/>
    <w:rsid w:val="10B4B441"/>
    <w:rsid w:val="114116CF"/>
    <w:rsid w:val="115F0C17"/>
    <w:rsid w:val="11831554"/>
    <w:rsid w:val="119B0C39"/>
    <w:rsid w:val="11F3F255"/>
    <w:rsid w:val="1208182B"/>
    <w:rsid w:val="1218015D"/>
    <w:rsid w:val="12E46068"/>
    <w:rsid w:val="134B52DD"/>
    <w:rsid w:val="13E15F99"/>
    <w:rsid w:val="13FD8738"/>
    <w:rsid w:val="142AF384"/>
    <w:rsid w:val="1444C919"/>
    <w:rsid w:val="145B6567"/>
    <w:rsid w:val="146BEA9D"/>
    <w:rsid w:val="147146AA"/>
    <w:rsid w:val="14A7F693"/>
    <w:rsid w:val="14B25AFC"/>
    <w:rsid w:val="14EB9537"/>
    <w:rsid w:val="14FE55BC"/>
    <w:rsid w:val="15524E77"/>
    <w:rsid w:val="15C5D787"/>
    <w:rsid w:val="16A59907"/>
    <w:rsid w:val="16A9494A"/>
    <w:rsid w:val="16AD8904"/>
    <w:rsid w:val="16BF6C0B"/>
    <w:rsid w:val="16C2DF2E"/>
    <w:rsid w:val="16C51099"/>
    <w:rsid w:val="16D9EA2F"/>
    <w:rsid w:val="16EA4192"/>
    <w:rsid w:val="172226D2"/>
    <w:rsid w:val="1729E58C"/>
    <w:rsid w:val="174F72F0"/>
    <w:rsid w:val="17AE89BC"/>
    <w:rsid w:val="185B5D72"/>
    <w:rsid w:val="18641159"/>
    <w:rsid w:val="18786E33"/>
    <w:rsid w:val="18870A41"/>
    <w:rsid w:val="19430053"/>
    <w:rsid w:val="1953433E"/>
    <w:rsid w:val="195E8677"/>
    <w:rsid w:val="1A177651"/>
    <w:rsid w:val="1A22E654"/>
    <w:rsid w:val="1A5359C3"/>
    <w:rsid w:val="1ABED29E"/>
    <w:rsid w:val="1AC0EACE"/>
    <w:rsid w:val="1ADF8D77"/>
    <w:rsid w:val="1AE324C0"/>
    <w:rsid w:val="1B5431A4"/>
    <w:rsid w:val="1B7C09BF"/>
    <w:rsid w:val="1BDAE05C"/>
    <w:rsid w:val="1C03B715"/>
    <w:rsid w:val="1C0C8170"/>
    <w:rsid w:val="1C92B243"/>
    <w:rsid w:val="1CCB78F0"/>
    <w:rsid w:val="1CFA7205"/>
    <w:rsid w:val="1D13042C"/>
    <w:rsid w:val="1D5B6FEF"/>
    <w:rsid w:val="1D68E2D1"/>
    <w:rsid w:val="1D92E916"/>
    <w:rsid w:val="1E45FD97"/>
    <w:rsid w:val="1E67C152"/>
    <w:rsid w:val="1E88277A"/>
    <w:rsid w:val="1E97921F"/>
    <w:rsid w:val="1EDD0B88"/>
    <w:rsid w:val="1EE66DD3"/>
    <w:rsid w:val="1EEF9FD2"/>
    <w:rsid w:val="1F00D01F"/>
    <w:rsid w:val="1F064F48"/>
    <w:rsid w:val="1FA14C99"/>
    <w:rsid w:val="1FB5BED7"/>
    <w:rsid w:val="200C83E5"/>
    <w:rsid w:val="200E726F"/>
    <w:rsid w:val="2024FF91"/>
    <w:rsid w:val="20AD6D46"/>
    <w:rsid w:val="20B54020"/>
    <w:rsid w:val="20BD66B0"/>
    <w:rsid w:val="21023D09"/>
    <w:rsid w:val="21113846"/>
    <w:rsid w:val="21171C03"/>
    <w:rsid w:val="212E4DE8"/>
    <w:rsid w:val="216A6DD1"/>
    <w:rsid w:val="21EF146A"/>
    <w:rsid w:val="220F0A8B"/>
    <w:rsid w:val="22D37B8E"/>
    <w:rsid w:val="22EADDA7"/>
    <w:rsid w:val="22F7AE00"/>
    <w:rsid w:val="23AE4E2D"/>
    <w:rsid w:val="23D464F5"/>
    <w:rsid w:val="23DA3453"/>
    <w:rsid w:val="244C6330"/>
    <w:rsid w:val="247D5E77"/>
    <w:rsid w:val="247D70DD"/>
    <w:rsid w:val="24A0A238"/>
    <w:rsid w:val="24A7FCA5"/>
    <w:rsid w:val="24C7101F"/>
    <w:rsid w:val="24D0BAD6"/>
    <w:rsid w:val="24EA690B"/>
    <w:rsid w:val="24F3F064"/>
    <w:rsid w:val="24FF904D"/>
    <w:rsid w:val="25092832"/>
    <w:rsid w:val="25225CE7"/>
    <w:rsid w:val="257704DD"/>
    <w:rsid w:val="25937242"/>
    <w:rsid w:val="259A6623"/>
    <w:rsid w:val="25DF80E5"/>
    <w:rsid w:val="261E194E"/>
    <w:rsid w:val="263A6D72"/>
    <w:rsid w:val="267AF609"/>
    <w:rsid w:val="26D93CBF"/>
    <w:rsid w:val="26DF8D9F"/>
    <w:rsid w:val="271124C1"/>
    <w:rsid w:val="2721FC06"/>
    <w:rsid w:val="274CD8DF"/>
    <w:rsid w:val="2757B4E5"/>
    <w:rsid w:val="2788E0A5"/>
    <w:rsid w:val="278DCBCC"/>
    <w:rsid w:val="27A1E0CA"/>
    <w:rsid w:val="282C3849"/>
    <w:rsid w:val="2847124D"/>
    <w:rsid w:val="28CD080D"/>
    <w:rsid w:val="2959095A"/>
    <w:rsid w:val="2973FCD0"/>
    <w:rsid w:val="29849B09"/>
    <w:rsid w:val="298AD3BB"/>
    <w:rsid w:val="29C01676"/>
    <w:rsid w:val="29D1BCF8"/>
    <w:rsid w:val="29E0043C"/>
    <w:rsid w:val="29F16200"/>
    <w:rsid w:val="2A305BA5"/>
    <w:rsid w:val="2A51F802"/>
    <w:rsid w:val="2AF2C66A"/>
    <w:rsid w:val="2B6F5B8E"/>
    <w:rsid w:val="2B731F70"/>
    <w:rsid w:val="2BDA9B03"/>
    <w:rsid w:val="2C33F9FF"/>
    <w:rsid w:val="2C651C9B"/>
    <w:rsid w:val="2CA67223"/>
    <w:rsid w:val="2CA70C4A"/>
    <w:rsid w:val="2CC04D4D"/>
    <w:rsid w:val="2CE37903"/>
    <w:rsid w:val="2CEFFCF6"/>
    <w:rsid w:val="2D030775"/>
    <w:rsid w:val="2D30BF98"/>
    <w:rsid w:val="2D597B02"/>
    <w:rsid w:val="2D7A916E"/>
    <w:rsid w:val="2D885529"/>
    <w:rsid w:val="2E01CFEB"/>
    <w:rsid w:val="2E06EF6F"/>
    <w:rsid w:val="2E50E82C"/>
    <w:rsid w:val="2E8408EE"/>
    <w:rsid w:val="2E8575E4"/>
    <w:rsid w:val="2EB3FB60"/>
    <w:rsid w:val="2ECDDA51"/>
    <w:rsid w:val="2F03BA0E"/>
    <w:rsid w:val="2F0C067E"/>
    <w:rsid w:val="2F55A796"/>
    <w:rsid w:val="2F6EF6EA"/>
    <w:rsid w:val="2F7BD0E7"/>
    <w:rsid w:val="2F9224FF"/>
    <w:rsid w:val="2FD925FD"/>
    <w:rsid w:val="2FFBE242"/>
    <w:rsid w:val="3003FA3E"/>
    <w:rsid w:val="300B5AD1"/>
    <w:rsid w:val="3012FCA9"/>
    <w:rsid w:val="3089EBFC"/>
    <w:rsid w:val="31B96184"/>
    <w:rsid w:val="31C14742"/>
    <w:rsid w:val="323A7463"/>
    <w:rsid w:val="3249417B"/>
    <w:rsid w:val="32668C62"/>
    <w:rsid w:val="32B6E4CE"/>
    <w:rsid w:val="32E49FB3"/>
    <w:rsid w:val="3390638A"/>
    <w:rsid w:val="33EEFE70"/>
    <w:rsid w:val="340B9204"/>
    <w:rsid w:val="345F3304"/>
    <w:rsid w:val="3497A7A3"/>
    <w:rsid w:val="34C39C86"/>
    <w:rsid w:val="3534CD97"/>
    <w:rsid w:val="353DB571"/>
    <w:rsid w:val="359A8EAC"/>
    <w:rsid w:val="35F28598"/>
    <w:rsid w:val="35F58B3C"/>
    <w:rsid w:val="36620138"/>
    <w:rsid w:val="36AA41F7"/>
    <w:rsid w:val="36BAA846"/>
    <w:rsid w:val="36D47B78"/>
    <w:rsid w:val="36F299A5"/>
    <w:rsid w:val="36FD98AD"/>
    <w:rsid w:val="3702C84F"/>
    <w:rsid w:val="3720787C"/>
    <w:rsid w:val="373B1072"/>
    <w:rsid w:val="37720ABA"/>
    <w:rsid w:val="3775C771"/>
    <w:rsid w:val="37FA278D"/>
    <w:rsid w:val="380D2266"/>
    <w:rsid w:val="384B497F"/>
    <w:rsid w:val="38729F75"/>
    <w:rsid w:val="3877E840"/>
    <w:rsid w:val="38B0B0E2"/>
    <w:rsid w:val="38F3C6EC"/>
    <w:rsid w:val="391981EC"/>
    <w:rsid w:val="398092F8"/>
    <w:rsid w:val="398AEB09"/>
    <w:rsid w:val="3995B2B2"/>
    <w:rsid w:val="3A327249"/>
    <w:rsid w:val="3A3A19B0"/>
    <w:rsid w:val="3A7C0F28"/>
    <w:rsid w:val="3A8D757D"/>
    <w:rsid w:val="3AAC48D5"/>
    <w:rsid w:val="3AAF3ECA"/>
    <w:rsid w:val="3AC1C0A3"/>
    <w:rsid w:val="3AD6102E"/>
    <w:rsid w:val="3ADBDA0C"/>
    <w:rsid w:val="3AF984C0"/>
    <w:rsid w:val="3B4EE5B7"/>
    <w:rsid w:val="3B59BB03"/>
    <w:rsid w:val="3B738D33"/>
    <w:rsid w:val="3BEC584D"/>
    <w:rsid w:val="3BEFFA24"/>
    <w:rsid w:val="3BF52D01"/>
    <w:rsid w:val="3C300E85"/>
    <w:rsid w:val="3C4BF520"/>
    <w:rsid w:val="3C526F62"/>
    <w:rsid w:val="3C74CBD0"/>
    <w:rsid w:val="3C8ACE84"/>
    <w:rsid w:val="3CC357E8"/>
    <w:rsid w:val="3D55CFB5"/>
    <w:rsid w:val="3D644C36"/>
    <w:rsid w:val="3D9B0288"/>
    <w:rsid w:val="3DBB6984"/>
    <w:rsid w:val="3DF6F239"/>
    <w:rsid w:val="3E012FBA"/>
    <w:rsid w:val="3E0D63C0"/>
    <w:rsid w:val="3E5E2DDE"/>
    <w:rsid w:val="3E9F54FD"/>
    <w:rsid w:val="3EC4CDA3"/>
    <w:rsid w:val="3EC62B85"/>
    <w:rsid w:val="3ED16E6A"/>
    <w:rsid w:val="3F12F149"/>
    <w:rsid w:val="3F62F12F"/>
    <w:rsid w:val="3F81BDE3"/>
    <w:rsid w:val="3F96E9FD"/>
    <w:rsid w:val="3FB10306"/>
    <w:rsid w:val="3FCA4AA7"/>
    <w:rsid w:val="401B487D"/>
    <w:rsid w:val="401FC77E"/>
    <w:rsid w:val="40238DC8"/>
    <w:rsid w:val="405A3C04"/>
    <w:rsid w:val="4077572C"/>
    <w:rsid w:val="4091117A"/>
    <w:rsid w:val="40B5403F"/>
    <w:rsid w:val="40C47149"/>
    <w:rsid w:val="40EB40D5"/>
    <w:rsid w:val="40EE46CC"/>
    <w:rsid w:val="4122E14F"/>
    <w:rsid w:val="41235139"/>
    <w:rsid w:val="415C62BB"/>
    <w:rsid w:val="41700F52"/>
    <w:rsid w:val="41BF10F7"/>
    <w:rsid w:val="41C8BE0A"/>
    <w:rsid w:val="41DF24D1"/>
    <w:rsid w:val="41E98EFB"/>
    <w:rsid w:val="41E9CF21"/>
    <w:rsid w:val="41F0AA90"/>
    <w:rsid w:val="4227E534"/>
    <w:rsid w:val="42CCC195"/>
    <w:rsid w:val="431BA88E"/>
    <w:rsid w:val="4328FF54"/>
    <w:rsid w:val="435E5A56"/>
    <w:rsid w:val="43709993"/>
    <w:rsid w:val="43801988"/>
    <w:rsid w:val="44050EEA"/>
    <w:rsid w:val="440BCCA7"/>
    <w:rsid w:val="440FBBC3"/>
    <w:rsid w:val="441B3E58"/>
    <w:rsid w:val="447D6B2D"/>
    <w:rsid w:val="44824F02"/>
    <w:rsid w:val="4483FFFA"/>
    <w:rsid w:val="4500C124"/>
    <w:rsid w:val="45C8EA4D"/>
    <w:rsid w:val="45D4376E"/>
    <w:rsid w:val="45E2ECF3"/>
    <w:rsid w:val="461D7434"/>
    <w:rsid w:val="4665C825"/>
    <w:rsid w:val="46DF8F9A"/>
    <w:rsid w:val="471FBED8"/>
    <w:rsid w:val="4728FE43"/>
    <w:rsid w:val="47327A59"/>
    <w:rsid w:val="47478827"/>
    <w:rsid w:val="47A9DC97"/>
    <w:rsid w:val="47B07713"/>
    <w:rsid w:val="480CDB85"/>
    <w:rsid w:val="480F9320"/>
    <w:rsid w:val="48870B9C"/>
    <w:rsid w:val="48918820"/>
    <w:rsid w:val="48D0BD44"/>
    <w:rsid w:val="48DF8D3A"/>
    <w:rsid w:val="48F15786"/>
    <w:rsid w:val="494BA3BA"/>
    <w:rsid w:val="494FCE0D"/>
    <w:rsid w:val="4950AE28"/>
    <w:rsid w:val="4975F045"/>
    <w:rsid w:val="49A7419C"/>
    <w:rsid w:val="49A86868"/>
    <w:rsid w:val="49B12299"/>
    <w:rsid w:val="49B22313"/>
    <w:rsid w:val="49CBD4F0"/>
    <w:rsid w:val="4A173A63"/>
    <w:rsid w:val="4A3F0684"/>
    <w:rsid w:val="4A5D9548"/>
    <w:rsid w:val="4A74C2C6"/>
    <w:rsid w:val="4A99FEFA"/>
    <w:rsid w:val="4AE4D175"/>
    <w:rsid w:val="4AE62CF7"/>
    <w:rsid w:val="4AFA760B"/>
    <w:rsid w:val="4B080970"/>
    <w:rsid w:val="4B12EA58"/>
    <w:rsid w:val="4B1716B6"/>
    <w:rsid w:val="4B4981D9"/>
    <w:rsid w:val="4B85F375"/>
    <w:rsid w:val="4BC594F9"/>
    <w:rsid w:val="4BE9FD7E"/>
    <w:rsid w:val="4BEFF2FA"/>
    <w:rsid w:val="4C59491B"/>
    <w:rsid w:val="4C81CAA5"/>
    <w:rsid w:val="4C86CCE0"/>
    <w:rsid w:val="4CDEB0D4"/>
    <w:rsid w:val="4D1F0082"/>
    <w:rsid w:val="4D3F0792"/>
    <w:rsid w:val="4D3F1D2C"/>
    <w:rsid w:val="4D581571"/>
    <w:rsid w:val="4D9D0500"/>
    <w:rsid w:val="4DB03FC7"/>
    <w:rsid w:val="4DB83157"/>
    <w:rsid w:val="4DE51F7B"/>
    <w:rsid w:val="4E26D6BE"/>
    <w:rsid w:val="4E50AE0E"/>
    <w:rsid w:val="4E61D08A"/>
    <w:rsid w:val="4E94988F"/>
    <w:rsid w:val="4EFA5EB5"/>
    <w:rsid w:val="4F0937B3"/>
    <w:rsid w:val="4F715948"/>
    <w:rsid w:val="4F88D16F"/>
    <w:rsid w:val="4F9261D2"/>
    <w:rsid w:val="4F93800D"/>
    <w:rsid w:val="4F9C4CC4"/>
    <w:rsid w:val="4FA63684"/>
    <w:rsid w:val="4FB93019"/>
    <w:rsid w:val="50078158"/>
    <w:rsid w:val="500DEE32"/>
    <w:rsid w:val="5052A995"/>
    <w:rsid w:val="50544DD1"/>
    <w:rsid w:val="506B5B77"/>
    <w:rsid w:val="508850A3"/>
    <w:rsid w:val="50A2A2E0"/>
    <w:rsid w:val="510D8255"/>
    <w:rsid w:val="513F5D0D"/>
    <w:rsid w:val="51BD6922"/>
    <w:rsid w:val="51DD70AE"/>
    <w:rsid w:val="52B6624C"/>
    <w:rsid w:val="52EAFE5B"/>
    <w:rsid w:val="53775F29"/>
    <w:rsid w:val="539A3A1B"/>
    <w:rsid w:val="53C409BF"/>
    <w:rsid w:val="53C54554"/>
    <w:rsid w:val="53D2841D"/>
    <w:rsid w:val="541F0CE0"/>
    <w:rsid w:val="54244132"/>
    <w:rsid w:val="54617000"/>
    <w:rsid w:val="54CC5601"/>
    <w:rsid w:val="5514D240"/>
    <w:rsid w:val="551D942B"/>
    <w:rsid w:val="553C9BD9"/>
    <w:rsid w:val="556DEAD3"/>
    <w:rsid w:val="5590B81B"/>
    <w:rsid w:val="55A13209"/>
    <w:rsid w:val="55A96C98"/>
    <w:rsid w:val="55B7C5ED"/>
    <w:rsid w:val="55BAB5F4"/>
    <w:rsid w:val="55C0BD9C"/>
    <w:rsid w:val="55C7E445"/>
    <w:rsid w:val="5633CF4F"/>
    <w:rsid w:val="5698E7A1"/>
    <w:rsid w:val="56D38E99"/>
    <w:rsid w:val="57104C32"/>
    <w:rsid w:val="57350D52"/>
    <w:rsid w:val="574B18D1"/>
    <w:rsid w:val="5791244F"/>
    <w:rsid w:val="57A2FCB2"/>
    <w:rsid w:val="57CC0B02"/>
    <w:rsid w:val="582AE7A4"/>
    <w:rsid w:val="583DAF9B"/>
    <w:rsid w:val="5880AA0E"/>
    <w:rsid w:val="58B39B74"/>
    <w:rsid w:val="58BAB84E"/>
    <w:rsid w:val="5903D965"/>
    <w:rsid w:val="592523E8"/>
    <w:rsid w:val="5930B526"/>
    <w:rsid w:val="59409397"/>
    <w:rsid w:val="59800B43"/>
    <w:rsid w:val="598A93C1"/>
    <w:rsid w:val="59C484EA"/>
    <w:rsid w:val="59F83B63"/>
    <w:rsid w:val="5A033883"/>
    <w:rsid w:val="5A48920F"/>
    <w:rsid w:val="5A58F4BB"/>
    <w:rsid w:val="5AACA0B9"/>
    <w:rsid w:val="5B088040"/>
    <w:rsid w:val="5B28D2EC"/>
    <w:rsid w:val="5B9C3B31"/>
    <w:rsid w:val="5BA939CE"/>
    <w:rsid w:val="5BD36F48"/>
    <w:rsid w:val="5C0B332D"/>
    <w:rsid w:val="5C367EE1"/>
    <w:rsid w:val="5C6E8372"/>
    <w:rsid w:val="5C8B6C05"/>
    <w:rsid w:val="5C9227D0"/>
    <w:rsid w:val="5D6E9AFF"/>
    <w:rsid w:val="5DA636D2"/>
    <w:rsid w:val="5E217A21"/>
    <w:rsid w:val="5E4AADE8"/>
    <w:rsid w:val="5E5A461B"/>
    <w:rsid w:val="5E5C5ACB"/>
    <w:rsid w:val="5E82E6A3"/>
    <w:rsid w:val="5EB18328"/>
    <w:rsid w:val="5EBE5F9E"/>
    <w:rsid w:val="5EC5B4C1"/>
    <w:rsid w:val="5F1A8FFE"/>
    <w:rsid w:val="5F4563B1"/>
    <w:rsid w:val="5F538B6B"/>
    <w:rsid w:val="5F7FDD1E"/>
    <w:rsid w:val="5F93D2CF"/>
    <w:rsid w:val="5FAB74AC"/>
    <w:rsid w:val="5FE57B0F"/>
    <w:rsid w:val="5FF1F3E2"/>
    <w:rsid w:val="601B6D11"/>
    <w:rsid w:val="6036F176"/>
    <w:rsid w:val="6045785B"/>
    <w:rsid w:val="6086BEBA"/>
    <w:rsid w:val="608743EA"/>
    <w:rsid w:val="6088B0A8"/>
    <w:rsid w:val="60959A0C"/>
    <w:rsid w:val="60AD0E60"/>
    <w:rsid w:val="60C57200"/>
    <w:rsid w:val="610EBB90"/>
    <w:rsid w:val="6169E500"/>
    <w:rsid w:val="61B19CE4"/>
    <w:rsid w:val="620D8C22"/>
    <w:rsid w:val="62260D8E"/>
    <w:rsid w:val="6257EE6F"/>
    <w:rsid w:val="6270D783"/>
    <w:rsid w:val="62B5DEDB"/>
    <w:rsid w:val="62E82251"/>
    <w:rsid w:val="62EF70A2"/>
    <w:rsid w:val="633C13BB"/>
    <w:rsid w:val="6341F44A"/>
    <w:rsid w:val="63EB5E04"/>
    <w:rsid w:val="640AD3E4"/>
    <w:rsid w:val="642136A7"/>
    <w:rsid w:val="645FFA8F"/>
    <w:rsid w:val="6462DEF5"/>
    <w:rsid w:val="6465063A"/>
    <w:rsid w:val="64AF556D"/>
    <w:rsid w:val="64B3A95A"/>
    <w:rsid w:val="64E24224"/>
    <w:rsid w:val="65054D7A"/>
    <w:rsid w:val="651E9E0E"/>
    <w:rsid w:val="6591EB3D"/>
    <w:rsid w:val="659278EC"/>
    <w:rsid w:val="660FA909"/>
    <w:rsid w:val="6636B174"/>
    <w:rsid w:val="66375840"/>
    <w:rsid w:val="6669D769"/>
    <w:rsid w:val="6676551A"/>
    <w:rsid w:val="6676E0A5"/>
    <w:rsid w:val="66AC79D0"/>
    <w:rsid w:val="66BE9AC5"/>
    <w:rsid w:val="66C94CA8"/>
    <w:rsid w:val="66E1AC00"/>
    <w:rsid w:val="670F64B0"/>
    <w:rsid w:val="673F4208"/>
    <w:rsid w:val="677C7C53"/>
    <w:rsid w:val="6780A66A"/>
    <w:rsid w:val="678D3ED2"/>
    <w:rsid w:val="679AA4D8"/>
    <w:rsid w:val="6813C174"/>
    <w:rsid w:val="685FEFF0"/>
    <w:rsid w:val="68872959"/>
    <w:rsid w:val="68AD414F"/>
    <w:rsid w:val="68BB82A0"/>
    <w:rsid w:val="6916A74A"/>
    <w:rsid w:val="69799D0F"/>
    <w:rsid w:val="699C5FEE"/>
    <w:rsid w:val="69CDD62A"/>
    <w:rsid w:val="69D15551"/>
    <w:rsid w:val="69DB9E83"/>
    <w:rsid w:val="69DC4BC1"/>
    <w:rsid w:val="6A0FC843"/>
    <w:rsid w:val="6A727AB1"/>
    <w:rsid w:val="6A9A9B58"/>
    <w:rsid w:val="6AAB769C"/>
    <w:rsid w:val="6AB6DE2B"/>
    <w:rsid w:val="6AC3C47C"/>
    <w:rsid w:val="6ADEDD6E"/>
    <w:rsid w:val="6B22255A"/>
    <w:rsid w:val="6B6D53B9"/>
    <w:rsid w:val="6B81F87E"/>
    <w:rsid w:val="6B8D7DE6"/>
    <w:rsid w:val="6B8ED4C0"/>
    <w:rsid w:val="6BC0D610"/>
    <w:rsid w:val="6BD4AA52"/>
    <w:rsid w:val="6C2F93C7"/>
    <w:rsid w:val="6C316DFC"/>
    <w:rsid w:val="6C5319C2"/>
    <w:rsid w:val="6C807378"/>
    <w:rsid w:val="6C9736CF"/>
    <w:rsid w:val="6CBB4BBC"/>
    <w:rsid w:val="6D26D0F4"/>
    <w:rsid w:val="6D64B9DD"/>
    <w:rsid w:val="6D701BC1"/>
    <w:rsid w:val="6D8024BF"/>
    <w:rsid w:val="6D87AD2E"/>
    <w:rsid w:val="6D910062"/>
    <w:rsid w:val="6DB8103F"/>
    <w:rsid w:val="6DF06644"/>
    <w:rsid w:val="6E010E11"/>
    <w:rsid w:val="6E5DF0C7"/>
    <w:rsid w:val="6EDCDCC3"/>
    <w:rsid w:val="6EE2A986"/>
    <w:rsid w:val="6F6D4A81"/>
    <w:rsid w:val="6F7581DB"/>
    <w:rsid w:val="6F79CAAA"/>
    <w:rsid w:val="6F820D90"/>
    <w:rsid w:val="6F963B78"/>
    <w:rsid w:val="6F9D6BCD"/>
    <w:rsid w:val="6FE25FD8"/>
    <w:rsid w:val="701888F7"/>
    <w:rsid w:val="706B5020"/>
    <w:rsid w:val="709FCA80"/>
    <w:rsid w:val="70EB1FDC"/>
    <w:rsid w:val="70EC1379"/>
    <w:rsid w:val="70EFCA7E"/>
    <w:rsid w:val="714B13EA"/>
    <w:rsid w:val="714C99E2"/>
    <w:rsid w:val="71653B71"/>
    <w:rsid w:val="71850FC8"/>
    <w:rsid w:val="7196E11C"/>
    <w:rsid w:val="71BA1702"/>
    <w:rsid w:val="71E7015A"/>
    <w:rsid w:val="71FD14B3"/>
    <w:rsid w:val="7298042F"/>
    <w:rsid w:val="72CDF916"/>
    <w:rsid w:val="73083E0D"/>
    <w:rsid w:val="738BBAF6"/>
    <w:rsid w:val="738F5D44"/>
    <w:rsid w:val="74085BAF"/>
    <w:rsid w:val="741D0C99"/>
    <w:rsid w:val="745DC63E"/>
    <w:rsid w:val="74F41E10"/>
    <w:rsid w:val="75589884"/>
    <w:rsid w:val="758EEF9B"/>
    <w:rsid w:val="761E15BB"/>
    <w:rsid w:val="7620D4FA"/>
    <w:rsid w:val="762CF917"/>
    <w:rsid w:val="766FF1B4"/>
    <w:rsid w:val="76C8279C"/>
    <w:rsid w:val="76CDA616"/>
    <w:rsid w:val="76E59B85"/>
    <w:rsid w:val="76F2D099"/>
    <w:rsid w:val="773163CD"/>
    <w:rsid w:val="77583150"/>
    <w:rsid w:val="77E85337"/>
    <w:rsid w:val="786C0B73"/>
    <w:rsid w:val="78AA546A"/>
    <w:rsid w:val="78CA05CF"/>
    <w:rsid w:val="78D19A0A"/>
    <w:rsid w:val="7919C1DC"/>
    <w:rsid w:val="791C046A"/>
    <w:rsid w:val="7922AC91"/>
    <w:rsid w:val="79268E3E"/>
    <w:rsid w:val="7940555D"/>
    <w:rsid w:val="7967157B"/>
    <w:rsid w:val="796DCD04"/>
    <w:rsid w:val="7A27E0A3"/>
    <w:rsid w:val="7ABCF909"/>
    <w:rsid w:val="7AC85BE7"/>
    <w:rsid w:val="7AD92E6D"/>
    <w:rsid w:val="7B8E13C0"/>
    <w:rsid w:val="7B9BFBFB"/>
    <w:rsid w:val="7BCF7CFE"/>
    <w:rsid w:val="7BE9949F"/>
    <w:rsid w:val="7C48EEA3"/>
    <w:rsid w:val="7C96799A"/>
    <w:rsid w:val="7CB17285"/>
    <w:rsid w:val="7CD5BC15"/>
    <w:rsid w:val="7CE08AB8"/>
    <w:rsid w:val="7CFC4453"/>
    <w:rsid w:val="7D2C70A1"/>
    <w:rsid w:val="7D9BD573"/>
    <w:rsid w:val="7DCC1957"/>
    <w:rsid w:val="7DE264AC"/>
    <w:rsid w:val="7E1445B5"/>
    <w:rsid w:val="7E2C93B5"/>
    <w:rsid w:val="7EAC57EA"/>
    <w:rsid w:val="7EE06324"/>
    <w:rsid w:val="7EFC34E7"/>
    <w:rsid w:val="7EFEC24E"/>
    <w:rsid w:val="7F578E4C"/>
    <w:rsid w:val="7F6222B1"/>
    <w:rsid w:val="7F73CF72"/>
    <w:rsid w:val="7F8E4E45"/>
    <w:rsid w:val="7FAB7480"/>
    <w:rsid w:val="7FC665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70281D"/>
  <w15:docId w15:val="{9E0B436E-4319-4135-8CE6-40B1102F6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qFormat="1"/>
    <w:lsdException w:name="heading 6" w:semiHidden="1" w:qFormat="1"/>
    <w:lsdException w:name="heading 7" w:semiHidden="1" w:qFormat="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nhideWhenUsed="1"/>
    <w:lsdException w:name="Bibliography" w:semiHidden="1" w:unhideWhenUsed="1"/>
    <w:lsdException w:name="TOC Heading"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62CB9"/>
    <w:pPr>
      <w:spacing w:after="0" w:line="240" w:lineRule="auto"/>
    </w:pPr>
    <w:rPr>
      <w:rFonts w:ascii="Arial" w:hAnsi="Arial" w:cs="Arial"/>
      <w:sz w:val="18"/>
      <w:szCs w:val="18"/>
      <w:lang w:val="en-GB"/>
    </w:rPr>
  </w:style>
  <w:style w:type="paragraph" w:styleId="Heading1">
    <w:name w:val="heading 1"/>
    <w:basedOn w:val="Normal"/>
    <w:next w:val="BodyText"/>
    <w:link w:val="Heading1Char"/>
    <w:uiPriority w:val="9"/>
    <w:qFormat/>
    <w:rsid w:val="00BD073E"/>
    <w:pPr>
      <w:keepNext/>
      <w:pageBreakBefore/>
      <w:numPr>
        <w:numId w:val="1"/>
      </w:numPr>
      <w:ind w:left="461" w:hanging="461"/>
      <w:outlineLvl w:val="0"/>
    </w:pPr>
    <w:rPr>
      <w:b/>
      <w:caps/>
      <w:color w:val="0F204B"/>
      <w:sz w:val="26"/>
    </w:rPr>
  </w:style>
  <w:style w:type="paragraph" w:styleId="Heading2">
    <w:name w:val="heading 2"/>
    <w:basedOn w:val="Normal"/>
    <w:next w:val="BodyText"/>
    <w:link w:val="Heading2Char"/>
    <w:uiPriority w:val="9"/>
    <w:qFormat/>
    <w:rsid w:val="00866BDC"/>
    <w:pPr>
      <w:keepNext/>
      <w:numPr>
        <w:ilvl w:val="1"/>
        <w:numId w:val="1"/>
      </w:numPr>
      <w:spacing w:before="280"/>
      <w:outlineLvl w:val="1"/>
    </w:pPr>
    <w:rPr>
      <w:b/>
      <w:color w:val="0F204B"/>
      <w:sz w:val="26"/>
    </w:rPr>
  </w:style>
  <w:style w:type="paragraph" w:styleId="Heading3">
    <w:name w:val="heading 3"/>
    <w:basedOn w:val="Normal"/>
    <w:next w:val="BodyText"/>
    <w:link w:val="Heading3Char"/>
    <w:uiPriority w:val="9"/>
    <w:qFormat/>
    <w:rsid w:val="00512A57"/>
    <w:pPr>
      <w:keepNext/>
      <w:numPr>
        <w:ilvl w:val="2"/>
        <w:numId w:val="1"/>
      </w:numPr>
      <w:spacing w:before="180"/>
      <w:outlineLvl w:val="2"/>
    </w:pPr>
    <w:rPr>
      <w:color w:val="0F204B"/>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F204B"/>
      <w:sz w:val="22"/>
    </w:rPr>
  </w:style>
  <w:style w:type="paragraph" w:styleId="Heading5">
    <w:name w:val="heading 5"/>
    <w:basedOn w:val="Normal"/>
    <w:next w:val="BodyText"/>
    <w:link w:val="Heading5Char"/>
    <w:uiPriority w:val="99"/>
    <w:qFormat/>
    <w:rsid w:val="007319F6"/>
    <w:pPr>
      <w:numPr>
        <w:ilvl w:val="4"/>
        <w:numId w:val="1"/>
      </w:numPr>
      <w:spacing w:before="60" w:after="60"/>
      <w:outlineLvl w:val="4"/>
    </w:pPr>
    <w:rPr>
      <w:color w:val="0F204B" w:themeColor="accent1"/>
      <w:sz w:val="22"/>
    </w:rPr>
  </w:style>
  <w:style w:type="paragraph" w:styleId="Heading6">
    <w:name w:val="heading 6"/>
    <w:basedOn w:val="Heading1"/>
    <w:next w:val="BodyText"/>
    <w:link w:val="Heading6Char"/>
    <w:uiPriority w:val="99"/>
    <w:qFormat/>
    <w:rsid w:val="007319F6"/>
    <w:pPr>
      <w:numPr>
        <w:numId w:val="0"/>
      </w:numPr>
      <w:outlineLvl w:val="5"/>
    </w:pPr>
    <w:rPr>
      <w:i/>
      <w:iCs/>
      <w:caps w:val="0"/>
      <w:sz w:val="20"/>
      <w:szCs w:val="20"/>
    </w:rPr>
  </w:style>
  <w:style w:type="paragraph" w:styleId="Heading7">
    <w:name w:val="heading 7"/>
    <w:basedOn w:val="Appendix"/>
    <w:next w:val="BodyText"/>
    <w:link w:val="Heading7Char"/>
    <w:uiPriority w:val="99"/>
    <w:qFormat/>
    <w:rsid w:val="00805216"/>
    <w:p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073E"/>
    <w:rPr>
      <w:rFonts w:ascii="Arial" w:hAnsi="Arial" w:cs="Arial"/>
      <w:b/>
      <w:caps/>
      <w:color w:val="0F204B"/>
      <w:sz w:val="26"/>
      <w:szCs w:val="18"/>
      <w:lang w:val="en-GB"/>
    </w:rPr>
  </w:style>
  <w:style w:type="character" w:customStyle="1" w:styleId="Heading2Char">
    <w:name w:val="Heading 2 Char"/>
    <w:basedOn w:val="DefaultParagraphFont"/>
    <w:link w:val="Heading2"/>
    <w:uiPriority w:val="9"/>
    <w:rsid w:val="00866BDC"/>
    <w:rPr>
      <w:rFonts w:ascii="Arial" w:hAnsi="Arial" w:cs="Arial"/>
      <w:b/>
      <w:color w:val="0F204B"/>
      <w:sz w:val="26"/>
      <w:szCs w:val="18"/>
      <w:lang w:val="en-GB"/>
    </w:rPr>
  </w:style>
  <w:style w:type="character" w:customStyle="1" w:styleId="Heading3Char">
    <w:name w:val="Heading 3 Char"/>
    <w:basedOn w:val="DefaultParagraphFont"/>
    <w:link w:val="Heading3"/>
    <w:uiPriority w:val="9"/>
    <w:rsid w:val="00512A57"/>
    <w:rPr>
      <w:rFonts w:ascii="Arial" w:hAnsi="Arial" w:cs="Arial"/>
      <w:color w:val="0F204B"/>
      <w:sz w:val="26"/>
      <w:szCs w:val="18"/>
      <w:lang w:val="en-GB"/>
    </w:rPr>
  </w:style>
  <w:style w:type="character" w:customStyle="1" w:styleId="Heading4Char">
    <w:name w:val="Heading 4 Char"/>
    <w:basedOn w:val="DefaultParagraphFont"/>
    <w:link w:val="Heading4"/>
    <w:uiPriority w:val="9"/>
    <w:rsid w:val="00866BDC"/>
    <w:rPr>
      <w:rFonts w:ascii="Arial" w:hAnsi="Arial" w:cs="Arial"/>
      <w:b/>
      <w:color w:val="0F204B"/>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Arial" w:hAnsi="Arial" w:cs="Arial"/>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7319F6"/>
    <w:rPr>
      <w:rFonts w:ascii="Arial" w:hAnsi="Arial" w:cs="Arial"/>
      <w:color w:val="0F204B" w:themeColor="accent1"/>
      <w:szCs w:val="18"/>
      <w:lang w:val="en-GB"/>
    </w:rPr>
  </w:style>
  <w:style w:type="character" w:customStyle="1" w:styleId="Heading6Char">
    <w:name w:val="Heading 6 Char"/>
    <w:basedOn w:val="DefaultParagraphFont"/>
    <w:link w:val="Heading6"/>
    <w:uiPriority w:val="99"/>
    <w:rsid w:val="007319F6"/>
    <w:rPr>
      <w:rFonts w:ascii="Arial" w:hAnsi="Arial" w:cs="Arial"/>
      <w:b/>
      <w:i/>
      <w:iCs/>
      <w:color w:val="0F204B"/>
      <w:sz w:val="20"/>
      <w:szCs w:val="20"/>
      <w:lang w:val="en-GB"/>
    </w:rPr>
  </w:style>
  <w:style w:type="character" w:customStyle="1" w:styleId="Heading7Char">
    <w:name w:val="Heading 7 Char"/>
    <w:basedOn w:val="DefaultParagraphFont"/>
    <w:link w:val="Heading7"/>
    <w:uiPriority w:val="99"/>
    <w:rsid w:val="00866BDC"/>
    <w:rPr>
      <w:rFonts w:ascii="Arial" w:hAnsi="Arial" w:cs="Arial"/>
      <w:b/>
      <w:caps/>
      <w:color w:val="0F204B"/>
      <w:sz w:val="26"/>
      <w:szCs w:val="18"/>
      <w:lang w:val="en-GB"/>
    </w:rPr>
  </w:style>
  <w:style w:type="character" w:customStyle="1" w:styleId="Heading8Char">
    <w:name w:val="Heading 8 Char"/>
    <w:basedOn w:val="DefaultParagraphFont"/>
    <w:link w:val="Heading8"/>
    <w:uiPriority w:val="99"/>
    <w:rsid w:val="00866BDC"/>
    <w:rPr>
      <w:rFonts w:ascii="Arial" w:hAnsi="Arial" w:cs="Arial"/>
      <w:color w:val="0F204B"/>
      <w:sz w:val="26"/>
      <w:szCs w:val="18"/>
      <w:lang w:val="en-GB"/>
    </w:rPr>
  </w:style>
  <w:style w:type="character" w:customStyle="1" w:styleId="Heading9Char">
    <w:name w:val="Heading 9 Char"/>
    <w:basedOn w:val="DefaultParagraphFont"/>
    <w:link w:val="Heading9"/>
    <w:uiPriority w:val="99"/>
    <w:rsid w:val="00866BDC"/>
    <w:rPr>
      <w:rFonts w:ascii="Arial" w:hAnsi="Arial" w:cs="Arial"/>
      <w:b/>
      <w:color w:val="0F204B"/>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Arial" w:hAnsi="Arial" w:cs="Arial"/>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Arial" w:hAnsi="Arial" w:cs="Arial"/>
      <w:noProof/>
      <w:sz w:val="13"/>
      <w:szCs w:val="18"/>
      <w:lang w:val="en-GB"/>
    </w:rPr>
  </w:style>
  <w:style w:type="paragraph" w:styleId="Caption">
    <w:name w:val="caption"/>
    <w:basedOn w:val="Normal"/>
    <w:next w:val="BodyText"/>
    <w:uiPriority w:val="99"/>
    <w:rsid w:val="00866BDC"/>
    <w:rPr>
      <w:b/>
    </w:rPr>
  </w:style>
  <w:style w:type="paragraph" w:styleId="ListBullet">
    <w:name w:val="List Bullet"/>
    <w:basedOn w:val="Normal"/>
    <w:uiPriority w:val="99"/>
    <w:rsid w:val="008575B3"/>
    <w:pPr>
      <w:numPr>
        <w:numId w:val="2"/>
      </w:numPr>
      <w:spacing w:after="140" w:line="280" w:lineRule="atLeast"/>
      <w:contextualSpacing/>
    </w:pPr>
  </w:style>
  <w:style w:type="paragraph" w:styleId="ListNumber">
    <w:name w:val="List Number"/>
    <w:basedOn w:val="Normal"/>
    <w:uiPriority w:val="99"/>
    <w:rsid w:val="006F37FC"/>
    <w:pPr>
      <w:numPr>
        <w:numId w:val="3"/>
      </w:numPr>
      <w:spacing w:after="140" w:line="280" w:lineRule="atLeast"/>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Arial" w:hAnsi="Arial" w:cs="Arial"/>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Arial" w:hAnsi="Arial" w:cs="Arial"/>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F204B"/>
      <w:sz w:val="16"/>
    </w:rPr>
  </w:style>
  <w:style w:type="character" w:customStyle="1" w:styleId="DNVGL-HQDetailsChar">
    <w:name w:val="DNVGL-HQ Details Char"/>
    <w:basedOn w:val="DefaultParagraphFont"/>
    <w:link w:val="DNVGL-HQDetails"/>
    <w:uiPriority w:val="99"/>
    <w:rsid w:val="00866BDC"/>
    <w:rPr>
      <w:rFonts w:ascii="Arial" w:hAnsi="Arial" w:cs="Arial"/>
      <w:noProof/>
      <w:color w:val="0F204B"/>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Arial" w:hAnsi="Arial" w:cs="Arial"/>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Arial" w:hAnsi="Arial" w:cs="Arial"/>
      <w:noProof/>
      <w:sz w:val="18"/>
      <w:szCs w:val="18"/>
      <w:lang w:val="en-GB"/>
    </w:rPr>
  </w:style>
  <w:style w:type="paragraph" w:customStyle="1" w:styleId="DNVGL-Details">
    <w:name w:val="DNVGL-Details"/>
    <w:basedOn w:val="Normal"/>
    <w:link w:val="DNVGL-DetailsChar"/>
    <w:uiPriority w:val="99"/>
    <w:rsid w:val="00221210"/>
    <w:pPr>
      <w:keepLines/>
      <w:spacing w:line="280" w:lineRule="atLeast"/>
    </w:pPr>
  </w:style>
  <w:style w:type="character" w:customStyle="1" w:styleId="DNVGL-DetailsChar">
    <w:name w:val="DNVGL-Details Char"/>
    <w:basedOn w:val="DefaultParagraphFont"/>
    <w:link w:val="DNVGL-Details"/>
    <w:uiPriority w:val="99"/>
    <w:rsid w:val="00221210"/>
    <w:rPr>
      <w:rFonts w:ascii="Arial" w:hAnsi="Arial" w:cs="Arial"/>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Arial" w:hAnsi="Arial" w:cs="Arial"/>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Arial" w:hAnsi="Arial" w:cs="Arial"/>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Arial" w:hAnsi="Arial" w:cs="Arial"/>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Arial" w:hAnsi="Arial" w:cs="Arial"/>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Arial" w:hAnsi="Arial" w:cs="Arial"/>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Arial" w:hAnsi="Arial" w:cs="Arial"/>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Arial" w:hAnsi="Arial" w:cs="Arial"/>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Arial" w:hAnsi="Arial" w:cs="Arial"/>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F204B"/>
    </w:rPr>
  </w:style>
  <w:style w:type="character" w:customStyle="1" w:styleId="DNVGL-AppListingChar">
    <w:name w:val="DNVGL-App Listing Char"/>
    <w:basedOn w:val="DefaultParagraphFont"/>
    <w:link w:val="DNVGL-AppListing"/>
    <w:uiPriority w:val="99"/>
    <w:rsid w:val="00866BDC"/>
    <w:rPr>
      <w:rFonts w:ascii="Arial" w:hAnsi="Arial" w:cs="Arial"/>
      <w:color w:val="0F204B"/>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F204B"/>
      <w:sz w:val="26"/>
    </w:rPr>
  </w:style>
  <w:style w:type="character" w:customStyle="1" w:styleId="DNVGL-AppTextChar">
    <w:name w:val="DNVGL-App Text Char"/>
    <w:basedOn w:val="DefaultParagraphFont"/>
    <w:link w:val="DNVGL-AppText"/>
    <w:uiPriority w:val="99"/>
    <w:rsid w:val="00866BDC"/>
    <w:rPr>
      <w:rFonts w:ascii="Arial" w:hAnsi="Arial" w:cs="Arial"/>
      <w:b/>
      <w:color w:val="0F204B"/>
      <w:sz w:val="26"/>
      <w:szCs w:val="18"/>
      <w:lang w:val="en-GB"/>
    </w:rPr>
  </w:style>
  <w:style w:type="paragraph" w:customStyle="1" w:styleId="DNVGL-Appendix">
    <w:name w:val="DNVGL-Appendix"/>
    <w:basedOn w:val="Normal"/>
    <w:next w:val="BodyText"/>
    <w:link w:val="DNVGL-AppendixChar"/>
    <w:uiPriority w:val="99"/>
    <w:qFormat/>
    <w:rsid w:val="00866BDC"/>
    <w:pPr>
      <w:pBdr>
        <w:bottom w:val="single" w:sz="6" w:space="0" w:color="009FDA"/>
      </w:pBdr>
    </w:pPr>
    <w:rPr>
      <w:b/>
      <w:caps/>
      <w:noProof/>
      <w:color w:val="0F204B"/>
      <w:sz w:val="26"/>
    </w:rPr>
  </w:style>
  <w:style w:type="character" w:customStyle="1" w:styleId="DNVGL-AppendixChar">
    <w:name w:val="DNVGL-Appendix Char"/>
    <w:basedOn w:val="DefaultParagraphFont"/>
    <w:link w:val="DNVGL-Appendix"/>
    <w:uiPriority w:val="99"/>
    <w:rsid w:val="00866BDC"/>
    <w:rPr>
      <w:rFonts w:ascii="Arial" w:hAnsi="Arial" w:cs="Arial"/>
      <w:b/>
      <w:caps/>
      <w:noProof/>
      <w:color w:val="0F204B"/>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F204B"/>
      <w:sz w:val="26"/>
    </w:rPr>
  </w:style>
  <w:style w:type="character" w:customStyle="1" w:styleId="DNVGL-BackcoverTitleChar">
    <w:name w:val="DNVGL-Backcover Title Char"/>
    <w:basedOn w:val="DefaultParagraphFont"/>
    <w:link w:val="DNVGL-BackcoverTitle"/>
    <w:uiPriority w:val="99"/>
    <w:rsid w:val="00866BDC"/>
    <w:rPr>
      <w:rFonts w:ascii="Arial" w:hAnsi="Arial" w:cs="Arial"/>
      <w:b/>
      <w:noProof/>
      <w:color w:val="0F204B"/>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F204B"/>
    </w:rPr>
  </w:style>
  <w:style w:type="character" w:customStyle="1" w:styleId="BodytexthighlightChar">
    <w:name w:val="Body text highlight Char"/>
    <w:basedOn w:val="DefaultParagraphFont"/>
    <w:link w:val="Bodytexthighlight"/>
    <w:uiPriority w:val="99"/>
    <w:rsid w:val="00866BDC"/>
    <w:rPr>
      <w:rFonts w:ascii="Arial" w:hAnsi="Arial" w:cs="Arial"/>
      <w:color w:val="0F204B"/>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Arial" w:hAnsi="Arial" w:cs="Arial"/>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Arial" w:hAnsi="Arial" w:cs="Arial"/>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Arial" w:hAnsi="Arial" w:cs="Arial"/>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Arial" w:hAnsi="Arial" w:cs="Arial"/>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Arial" w:hAnsi="Arial" w:cs="Arial"/>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Arial" w:hAnsi="Arial" w:cs="Arial"/>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Arial" w:hAnsi="Arial" w:cs="Arial"/>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Arial" w:hAnsi="Arial" w:cs="Arial"/>
      <w:sz w:val="26"/>
      <w:szCs w:val="18"/>
      <w:lang w:val="en-GB"/>
    </w:rPr>
  </w:style>
  <w:style w:type="paragraph" w:customStyle="1" w:styleId="DNVGL-Cover-ProjectName">
    <w:name w:val="DNVGL-Cover-ProjectName"/>
    <w:basedOn w:val="Normal"/>
    <w:link w:val="DNVGL-Cover-ProjectNameChar"/>
    <w:uiPriority w:val="99"/>
    <w:rsid w:val="00221210"/>
    <w:pPr>
      <w:keepNext/>
      <w:keepLines/>
      <w:contextualSpacing/>
    </w:pPr>
    <w:rPr>
      <w:b/>
      <w:caps/>
      <w:color w:val="565655"/>
      <w:sz w:val="26"/>
    </w:rPr>
  </w:style>
  <w:style w:type="character" w:customStyle="1" w:styleId="DNVGL-Cover-ProjectNameChar">
    <w:name w:val="DNVGL-Cover-ProjectName Char"/>
    <w:basedOn w:val="DefaultParagraphFont"/>
    <w:link w:val="DNVGL-Cover-ProjectName"/>
    <w:uiPriority w:val="99"/>
    <w:rsid w:val="00221210"/>
    <w:rPr>
      <w:rFonts w:ascii="Arial" w:hAnsi="Arial" w:cs="Arial"/>
      <w:b/>
      <w:caps/>
      <w:color w:val="565655"/>
      <w:sz w:val="26"/>
      <w:szCs w:val="18"/>
      <w:lang w:val="en-GB"/>
    </w:rPr>
  </w:style>
  <w:style w:type="paragraph" w:customStyle="1" w:styleId="DNVGL-Cover-ReportTitle">
    <w:name w:val="DNVGL-Cover-ReportTitle"/>
    <w:basedOn w:val="Normal"/>
    <w:link w:val="DNVGL-Cover-ReportTitleChar"/>
    <w:uiPriority w:val="99"/>
    <w:rsid w:val="00221210"/>
    <w:pPr>
      <w:keepNext/>
      <w:keepLines/>
      <w:spacing w:after="240"/>
      <w:contextualSpacing/>
    </w:pPr>
    <w:rPr>
      <w:b/>
      <w:color w:val="0F204B"/>
      <w:sz w:val="56"/>
    </w:rPr>
  </w:style>
  <w:style w:type="character" w:customStyle="1" w:styleId="DNVGL-Cover-ReportTitleChar">
    <w:name w:val="DNVGL-Cover-ReportTitle Char"/>
    <w:basedOn w:val="DefaultParagraphFont"/>
    <w:link w:val="DNVGL-Cover-ReportTitle"/>
    <w:uiPriority w:val="99"/>
    <w:rsid w:val="00221210"/>
    <w:rPr>
      <w:rFonts w:ascii="Arial" w:hAnsi="Arial" w:cs="Arial"/>
      <w:b/>
      <w:color w:val="0F204B"/>
      <w:sz w:val="56"/>
      <w:szCs w:val="18"/>
      <w:lang w:val="en-GB"/>
    </w:rPr>
  </w:style>
  <w:style w:type="paragraph" w:customStyle="1" w:styleId="DNVGL-Cover-Company">
    <w:name w:val="DNVGL-Cover-Company"/>
    <w:basedOn w:val="Normal"/>
    <w:link w:val="DNVGL-Cover-CompanyChar"/>
    <w:uiPriority w:val="99"/>
    <w:rsid w:val="00221210"/>
    <w:pPr>
      <w:keepNext/>
      <w:keepLines/>
      <w:contextualSpacing/>
    </w:pPr>
    <w:rPr>
      <w:b/>
      <w:color w:val="565655"/>
      <w:sz w:val="28"/>
    </w:rPr>
  </w:style>
  <w:style w:type="character" w:customStyle="1" w:styleId="DNVGL-Cover-CompanyChar">
    <w:name w:val="DNVGL-Cover-Company Char"/>
    <w:basedOn w:val="DefaultParagraphFont"/>
    <w:link w:val="DNVGL-Cover-Company"/>
    <w:uiPriority w:val="99"/>
    <w:rsid w:val="00221210"/>
    <w:rPr>
      <w:rFonts w:ascii="Arial" w:hAnsi="Arial" w:cs="Arial"/>
      <w:b/>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0F204B" w:themeColor="accent1" w:frame="1"/>
        <w:left w:val="single" w:sz="2" w:space="10" w:color="0F204B" w:themeColor="accent1" w:frame="1"/>
        <w:bottom w:val="single" w:sz="2" w:space="10" w:color="0F204B" w:themeColor="accent1" w:frame="1"/>
        <w:right w:val="single" w:sz="2" w:space="10" w:color="0F204B" w:themeColor="accent1" w:frame="1"/>
      </w:pBdr>
      <w:ind w:left="1152" w:right="1152"/>
    </w:pPr>
    <w:rPr>
      <w:rFonts w:asciiTheme="minorHAnsi" w:hAnsiTheme="minorHAnsi" w:cstheme="minorBidi"/>
      <w:i/>
      <w:iCs/>
      <w:color w:val="0F204B"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Arial" w:hAnsi="Arial" w:cs="Arial"/>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Arial" w:hAnsi="Arial" w:cs="Arial"/>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Arial" w:hAnsi="Arial" w:cs="Arial"/>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Arial" w:hAnsi="Arial" w:cs="Arial"/>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Arial" w:hAnsi="Arial" w:cs="Arial"/>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Arial" w:hAnsi="Arial" w:cs="Arial"/>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Arial" w:hAnsi="Arial" w:cs="Arial"/>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Arial" w:hAnsi="Arial" w:cs="Arial"/>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unhideWhenUsed/>
    <w:rsid w:val="00866BDC"/>
    <w:rPr>
      <w:sz w:val="20"/>
      <w:szCs w:val="20"/>
    </w:rPr>
  </w:style>
  <w:style w:type="character" w:customStyle="1" w:styleId="CommentTextChar">
    <w:name w:val="Comment Text Char"/>
    <w:basedOn w:val="DefaultParagraphFont"/>
    <w:link w:val="CommentText"/>
    <w:uiPriority w:val="99"/>
    <w:rsid w:val="00866BDC"/>
    <w:rPr>
      <w:rFonts w:ascii="Arial" w:hAnsi="Arial" w:cs="Arial"/>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Arial" w:hAnsi="Arial" w:cs="Arial"/>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Arial" w:hAnsi="Arial" w:cs="Arial"/>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Arial" w:hAnsi="Arial" w:cs="Arial"/>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Arial" w:hAnsi="Arial" w:cs="Arial"/>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3F9C35"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Arial" w:hAnsi="Arial" w:cs="Arial"/>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Arial"/>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unhideWhenUsed/>
    <w:rsid w:val="00866BDC"/>
    <w:rPr>
      <w:color w:val="009FDA"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0F204B" w:themeColor="accent1"/>
    </w:rPr>
  </w:style>
  <w:style w:type="paragraph" w:styleId="IntenseQuote">
    <w:name w:val="Intense Quote"/>
    <w:basedOn w:val="Normal"/>
    <w:next w:val="Normal"/>
    <w:link w:val="IntenseQuoteChar"/>
    <w:uiPriority w:val="99"/>
    <w:semiHidden/>
    <w:unhideWhenUsed/>
    <w:rsid w:val="00866BDC"/>
    <w:pPr>
      <w:pBdr>
        <w:bottom w:val="single" w:sz="4" w:space="4" w:color="0F204B" w:themeColor="accent1"/>
      </w:pBdr>
      <w:spacing w:before="200" w:after="280"/>
      <w:ind w:left="936" w:right="936"/>
    </w:pPr>
    <w:rPr>
      <w:b/>
      <w:bCs/>
      <w:i/>
      <w:iCs/>
      <w:color w:val="0F204B" w:themeColor="accent1"/>
    </w:rPr>
  </w:style>
  <w:style w:type="character" w:customStyle="1" w:styleId="IntenseQuoteChar">
    <w:name w:val="Intense Quote Char"/>
    <w:basedOn w:val="DefaultParagraphFont"/>
    <w:link w:val="IntenseQuote"/>
    <w:uiPriority w:val="30"/>
    <w:rsid w:val="00866BDC"/>
    <w:rPr>
      <w:rFonts w:ascii="Arial" w:hAnsi="Arial" w:cs="Arial"/>
      <w:b/>
      <w:bCs/>
      <w:i/>
      <w:iCs/>
      <w:color w:val="0F204B"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99D9F0"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unhideWhenUsed/>
    <w:rsid w:val="00540A26"/>
    <w:pPr>
      <w:numPr>
        <w:numId w:val="5"/>
      </w:numPr>
      <w:spacing w:after="140" w:line="280" w:lineRule="atLeast"/>
      <w:ind w:left="648"/>
      <w:contextualSpacing/>
    </w:pPr>
  </w:style>
  <w:style w:type="paragraph" w:styleId="ListBullet3">
    <w:name w:val="List Bullet 3"/>
    <w:basedOn w:val="Normal"/>
    <w:uiPriority w:val="99"/>
    <w:semiHidden/>
    <w:unhideWhenUsed/>
    <w:rsid w:val="00EA3B42"/>
    <w:pPr>
      <w:numPr>
        <w:numId w:val="6"/>
      </w:numPr>
      <w:spacing w:after="140" w:line="280" w:lineRule="atLeast"/>
      <w:ind w:left="922"/>
      <w:contextualSpacing/>
    </w:pPr>
  </w:style>
  <w:style w:type="paragraph" w:styleId="ListBullet4">
    <w:name w:val="List Bullet 4"/>
    <w:basedOn w:val="Normal"/>
    <w:uiPriority w:val="99"/>
    <w:semiHidden/>
    <w:unhideWhenUsed/>
    <w:rsid w:val="00EA3B42"/>
    <w:pPr>
      <w:numPr>
        <w:numId w:val="7"/>
      </w:numPr>
      <w:spacing w:after="140" w:line="280" w:lineRule="atLeast"/>
      <w:ind w:left="1210"/>
      <w:contextualSpacing/>
    </w:pPr>
  </w:style>
  <w:style w:type="paragraph" w:styleId="ListBullet5">
    <w:name w:val="List Bullet 5"/>
    <w:basedOn w:val="Normal"/>
    <w:uiPriority w:val="99"/>
    <w:semiHidden/>
    <w:unhideWhenUsed/>
    <w:rsid w:val="00EA3B42"/>
    <w:pPr>
      <w:numPr>
        <w:numId w:val="8"/>
      </w:numPr>
      <w:spacing w:after="140" w:line="280" w:lineRule="atLeast"/>
      <w:ind w:left="1498"/>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unhideWhenUsed/>
    <w:rsid w:val="00690D3F"/>
    <w:pPr>
      <w:numPr>
        <w:numId w:val="9"/>
      </w:numPr>
      <w:tabs>
        <w:tab w:val="clear" w:pos="720"/>
        <w:tab w:val="num" w:pos="643"/>
      </w:tabs>
      <w:spacing w:after="140" w:line="280" w:lineRule="atLeast"/>
      <w:ind w:left="648"/>
      <w:contextualSpacing/>
    </w:pPr>
  </w:style>
  <w:style w:type="paragraph" w:styleId="ListNumber3">
    <w:name w:val="List Number 3"/>
    <w:basedOn w:val="Normal"/>
    <w:uiPriority w:val="99"/>
    <w:semiHidden/>
    <w:unhideWhenUsed/>
    <w:rsid w:val="00EA3B42"/>
    <w:pPr>
      <w:numPr>
        <w:numId w:val="10"/>
      </w:numPr>
      <w:spacing w:after="140" w:line="280" w:lineRule="atLeast"/>
      <w:ind w:left="922"/>
      <w:contextualSpacing/>
    </w:pPr>
  </w:style>
  <w:style w:type="paragraph" w:styleId="ListNumber4">
    <w:name w:val="List Number 4"/>
    <w:basedOn w:val="Normal"/>
    <w:uiPriority w:val="99"/>
    <w:semiHidden/>
    <w:unhideWhenUsed/>
    <w:rsid w:val="00EA3B42"/>
    <w:pPr>
      <w:numPr>
        <w:numId w:val="11"/>
      </w:numPr>
      <w:spacing w:after="140" w:line="280" w:lineRule="atLeast"/>
      <w:ind w:left="1210"/>
      <w:contextualSpacing/>
    </w:pPr>
  </w:style>
  <w:style w:type="paragraph" w:styleId="ListNumber5">
    <w:name w:val="List Number 5"/>
    <w:basedOn w:val="Normal"/>
    <w:uiPriority w:val="99"/>
    <w:semiHidden/>
    <w:unhideWhenUsed/>
    <w:rsid w:val="00EA3B42"/>
    <w:pPr>
      <w:numPr>
        <w:numId w:val="12"/>
      </w:numPr>
      <w:spacing w:after="140" w:line="280" w:lineRule="atLeast"/>
      <w:ind w:left="1498"/>
      <w:contextualSpacing/>
    </w:pPr>
  </w:style>
  <w:style w:type="paragraph" w:styleId="ListParagraph">
    <w:name w:val="List Paragraph"/>
    <w:basedOn w:val="Normal"/>
    <w:uiPriority w:val="99"/>
    <w:unhideWhenUsed/>
    <w:qFormat/>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Arial"/>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Arial"/>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Arial" w:hAnsi="Arial" w:cs="Arial"/>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styleId="NoteHeading">
    <w:name w:val="Note Heading"/>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
    <w:uiPriority w:val="99"/>
    <w:semiHidden/>
    <w:rsid w:val="00866BDC"/>
    <w:rPr>
      <w:rFonts w:ascii="Arial" w:hAnsi="Arial" w:cs="Arial"/>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Arial"/>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Arial" w:hAnsi="Arial" w:cs="Arial"/>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Arial" w:hAnsi="Arial" w:cs="Arial"/>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Arial" w:hAnsi="Arial" w:cs="Arial"/>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0F204B"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0F204B"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99D9F0"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unhideWhenUsed/>
    <w:rsid w:val="00866BDC"/>
  </w:style>
  <w:style w:type="paragraph" w:styleId="Title">
    <w:name w:val="Title"/>
    <w:basedOn w:val="Normal"/>
    <w:next w:val="Normal"/>
    <w:link w:val="TitleChar"/>
    <w:uiPriority w:val="99"/>
    <w:semiHidden/>
    <w:unhideWhenUsed/>
    <w:rsid w:val="00866BDC"/>
    <w:pPr>
      <w:pBdr>
        <w:bottom w:val="single" w:sz="8" w:space="4" w:color="0F204B" w:themeColor="accent1"/>
      </w:pBdr>
      <w:spacing w:after="300"/>
      <w:contextualSpacing/>
    </w:pPr>
    <w:rPr>
      <w:rFonts w:asciiTheme="majorHAnsi" w:eastAsiaTheme="majorEastAsia" w:hAnsiTheme="majorHAnsi" w:cstheme="majorBidi"/>
      <w:color w:val="0B1738"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0B1738"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0B1738" w:themeColor="accent1" w:themeShade="BF"/>
      <w:sz w:val="28"/>
      <w:szCs w:val="28"/>
    </w:rPr>
  </w:style>
  <w:style w:type="numbering" w:styleId="111111">
    <w:name w:val="Outline List 2"/>
    <w:basedOn w:val="NoList"/>
    <w:uiPriority w:val="99"/>
    <w:semiHidden/>
    <w:unhideWhenUsed/>
    <w:rsid w:val="009D630C"/>
    <w:pPr>
      <w:numPr>
        <w:numId w:val="13"/>
      </w:numPr>
    </w:pPr>
  </w:style>
  <w:style w:type="numbering" w:styleId="1ai">
    <w:name w:val="Outline List 1"/>
    <w:basedOn w:val="NoList"/>
    <w:uiPriority w:val="99"/>
    <w:semiHidden/>
    <w:unhideWhenUsed/>
    <w:rsid w:val="009D630C"/>
    <w:pPr>
      <w:numPr>
        <w:numId w:val="14"/>
      </w:numPr>
    </w:pPr>
  </w:style>
  <w:style w:type="numbering" w:styleId="ArticleSection">
    <w:name w:val="Outline List 3"/>
    <w:basedOn w:val="NoList"/>
    <w:uiPriority w:val="99"/>
    <w:semiHidden/>
    <w:unhideWhenUsed/>
    <w:rsid w:val="009D630C"/>
    <w:pPr>
      <w:numPr>
        <w:numId w:val="15"/>
      </w:numPr>
    </w:pPr>
  </w:style>
  <w:style w:type="table" w:styleId="ColorfulGrid">
    <w:name w:val="Colorful Grid"/>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style>
  <w:style w:type="table" w:styleId="ColorfulGrid-Accent1">
    <w:name w:val="Colorful Grid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B9C8F1" w:themeFill="accent1" w:themeFillTint="33"/>
    </w:tcPr>
    <w:tblStylePr w:type="firstRow">
      <w:rPr>
        <w:b/>
        <w:bCs/>
      </w:rPr>
      <w:tblPr/>
      <w:tcPr>
        <w:shd w:val="clear" w:color="auto" w:fill="7392E3" w:themeFill="accent1" w:themeFillTint="66"/>
      </w:tcPr>
    </w:tblStylePr>
    <w:tblStylePr w:type="lastRow">
      <w:rPr>
        <w:b/>
        <w:bCs/>
        <w:color w:val="000000" w:themeColor="text1"/>
      </w:rPr>
      <w:tblPr/>
      <w:tcPr>
        <w:shd w:val="clear" w:color="auto" w:fill="7392E3" w:themeFill="accent1" w:themeFillTint="66"/>
      </w:tcPr>
    </w:tblStylePr>
    <w:tblStylePr w:type="firstCol">
      <w:rPr>
        <w:color w:val="FFFFFF" w:themeColor="background1"/>
      </w:rPr>
      <w:tblPr/>
      <w:tcPr>
        <w:shd w:val="clear" w:color="auto" w:fill="0B1738" w:themeFill="accent1" w:themeFillShade="BF"/>
      </w:tcPr>
    </w:tblStylePr>
    <w:tblStylePr w:type="lastCol">
      <w:rPr>
        <w:color w:val="FFFFFF" w:themeColor="background1"/>
      </w:rPr>
      <w:tblPr/>
      <w:tcPr>
        <w:shd w:val="clear" w:color="auto" w:fill="0B1738" w:themeFill="accent1" w:themeFillShade="BF"/>
      </w:tcPr>
    </w:tblStylePr>
    <w:tblStylePr w:type="band1Vert">
      <w:tblPr/>
      <w:tcPr>
        <w:shd w:val="clear" w:color="auto" w:fill="5077DC" w:themeFill="accent1" w:themeFillTint="7F"/>
      </w:tcPr>
    </w:tblStylePr>
  </w:style>
  <w:style w:type="table" w:styleId="ColorfulGrid-Accent2">
    <w:name w:val="Colorful Grid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FC" w:themeFill="accent2" w:themeFillTint="33"/>
    </w:tcPr>
    <w:tblStylePr w:type="firstRow">
      <w:rPr>
        <w:b/>
        <w:bCs/>
      </w:rPr>
      <w:tblPr/>
      <w:tcPr>
        <w:shd w:val="clear" w:color="auto" w:fill="D6EFF9" w:themeFill="accent2" w:themeFillTint="66"/>
      </w:tcPr>
    </w:tblStylePr>
    <w:tblStylePr w:type="lastRow">
      <w:rPr>
        <w:b/>
        <w:bCs/>
        <w:color w:val="000000" w:themeColor="text1"/>
      </w:rPr>
      <w:tblPr/>
      <w:tcPr>
        <w:shd w:val="clear" w:color="auto" w:fill="D6EFF9" w:themeFill="accent2" w:themeFillTint="66"/>
      </w:tcPr>
    </w:tblStylePr>
    <w:tblStylePr w:type="firstCol">
      <w:rPr>
        <w:color w:val="FFFFFF" w:themeColor="background1"/>
      </w:rPr>
      <w:tblPr/>
      <w:tcPr>
        <w:shd w:val="clear" w:color="auto" w:fill="43B8E3" w:themeFill="accent2" w:themeFillShade="BF"/>
      </w:tcPr>
    </w:tblStylePr>
    <w:tblStylePr w:type="lastCol">
      <w:rPr>
        <w:color w:val="FFFFFF" w:themeColor="background1"/>
      </w:rPr>
    </w:tblStylePr>
  </w:style>
  <w:style w:type="table" w:styleId="ColorfulGrid-Accent3">
    <w:name w:val="Colorful Grid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B6D0FF" w:themeFill="accent3" w:themeFillTint="33"/>
    </w:tcPr>
    <w:tblStylePr w:type="firstRow">
      <w:rPr>
        <w:b/>
        <w:bCs/>
      </w:rPr>
      <w:tblPr/>
      <w:tcPr>
        <w:shd w:val="clear" w:color="auto" w:fill="6DA2FF" w:themeFill="accent3" w:themeFillTint="66"/>
      </w:tcPr>
    </w:tblStylePr>
    <w:tblStylePr w:type="lastRow">
      <w:rPr>
        <w:b/>
        <w:bCs/>
        <w:color w:val="000000" w:themeColor="text1"/>
      </w:rPr>
      <w:tblPr/>
      <w:tcPr>
        <w:shd w:val="clear" w:color="auto" w:fill="6DA2FF" w:themeFill="accent3" w:themeFillTint="66"/>
      </w:tcPr>
    </w:tblStylePr>
    <w:tblStylePr w:type="firstCol">
      <w:rPr>
        <w:color w:val="FFFFFF" w:themeColor="background1"/>
      </w:rPr>
      <w:tblPr/>
      <w:tcPr>
        <w:shd w:val="clear" w:color="auto" w:fill="00276C" w:themeFill="accent3" w:themeFillShade="BF"/>
      </w:tcPr>
    </w:tblStylePr>
    <w:tblStylePr w:type="lastCol">
      <w:rPr>
        <w:color w:val="FFFFFF" w:themeColor="background1"/>
      </w:rPr>
    </w:tblStylePr>
  </w:style>
  <w:style w:type="table" w:styleId="ColorfulGrid-Accent4">
    <w:name w:val="Colorful Grid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C4EEFF" w:themeFill="accent4" w:themeFillTint="33"/>
    </w:tcPr>
    <w:tblStylePr w:type="firstRow">
      <w:rPr>
        <w:b/>
        <w:bCs/>
      </w:rPr>
      <w:tblPr/>
      <w:tcPr>
        <w:shd w:val="clear" w:color="auto" w:fill="8ADEFF" w:themeFill="accent4" w:themeFillTint="66"/>
      </w:tcPr>
    </w:tblStylePr>
    <w:tblStylePr w:type="lastRow">
      <w:rPr>
        <w:b/>
        <w:bCs/>
        <w:color w:val="000000" w:themeColor="text1"/>
      </w:rPr>
      <w:tblPr/>
      <w:tcPr>
        <w:shd w:val="clear" w:color="auto" w:fill="8ADEFF" w:themeFill="accent4" w:themeFillTint="66"/>
      </w:tcPr>
    </w:tblStylePr>
    <w:tblStylePr w:type="firstCol">
      <w:rPr>
        <w:color w:val="FFFFFF" w:themeColor="background1"/>
      </w:rPr>
      <w:tblPr/>
      <w:tcPr>
        <w:shd w:val="clear" w:color="auto" w:fill="0076A3" w:themeFill="accent4" w:themeFillShade="BF"/>
      </w:tcPr>
    </w:tblStylePr>
    <w:tblStylePr w:type="lastCol">
      <w:rPr>
        <w:color w:val="FFFFFF" w:themeColor="background1"/>
      </w:rPr>
    </w:tblStylePr>
  </w:style>
  <w:style w:type="table" w:styleId="ColorfulGrid-Accent5">
    <w:name w:val="Colorful Grid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9FFEF" w:themeFill="accent5" w:themeFillTint="33"/>
    </w:tcPr>
    <w:tblStylePr w:type="firstRow">
      <w:rPr>
        <w:b/>
        <w:bCs/>
      </w:rPr>
      <w:tblPr/>
      <w:tcPr>
        <w:shd w:val="clear" w:color="auto" w:fill="D3FFE0" w:themeFill="accent5" w:themeFillTint="66"/>
      </w:tcPr>
    </w:tblStylePr>
    <w:tblStylePr w:type="lastRow">
      <w:rPr>
        <w:b/>
        <w:bCs/>
        <w:color w:val="000000" w:themeColor="text1"/>
      </w:rPr>
      <w:tblPr/>
      <w:tcPr>
        <w:shd w:val="clear" w:color="auto" w:fill="D3FFE0" w:themeFill="accent5" w:themeFillTint="66"/>
      </w:tcPr>
    </w:tblStylePr>
    <w:tblStylePr w:type="firstCol">
      <w:rPr>
        <w:color w:val="FFFFFF" w:themeColor="background1"/>
      </w:rPr>
      <w:tblPr/>
      <w:tcPr>
        <w:shd w:val="clear" w:color="auto" w:fill="2CFF6F" w:themeFill="accent5" w:themeFillShade="BF"/>
      </w:tcPr>
    </w:tblStylePr>
    <w:tblStylePr w:type="lastCol">
      <w:rPr>
        <w:color w:val="FFFFFF" w:themeColor="background1"/>
      </w:rPr>
    </w:tblStylePr>
  </w:style>
  <w:style w:type="table" w:styleId="ColorfulGrid-Accent6">
    <w:name w:val="Colorful Grid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4EFD1" w:themeFill="accent6" w:themeFillTint="33"/>
    </w:tcPr>
    <w:tblStylePr w:type="firstRow">
      <w:rPr>
        <w:b/>
        <w:bCs/>
      </w:rPr>
      <w:tblPr/>
      <w:tcPr>
        <w:shd w:val="clear" w:color="auto" w:fill="AAE0A4" w:themeFill="accent6" w:themeFillTint="66"/>
      </w:tcPr>
    </w:tblStylePr>
    <w:tblStylePr w:type="lastRow">
      <w:rPr>
        <w:b/>
        <w:bCs/>
        <w:color w:val="000000" w:themeColor="text1"/>
      </w:rPr>
      <w:tblPr/>
      <w:tcPr>
        <w:shd w:val="clear" w:color="auto" w:fill="AAE0A4" w:themeFill="accent6" w:themeFillTint="66"/>
      </w:tcPr>
    </w:tblStylePr>
    <w:tblStylePr w:type="firstCol">
      <w:rPr>
        <w:color w:val="FFFFFF" w:themeColor="background1"/>
      </w:rPr>
      <w:tblPr/>
      <w:tcPr>
        <w:shd w:val="clear" w:color="auto" w:fill="2E7427" w:themeFill="accent6" w:themeFillShade="BF"/>
      </w:tcPr>
    </w:tblStylePr>
    <w:tblStylePr w:type="lastCol">
      <w:rPr>
        <w:color w:val="FFFFFF" w:themeColor="background1"/>
      </w:rPr>
    </w:tblStylePr>
  </w:style>
  <w:style w:type="table" w:styleId="ColorfulList">
    <w:name w:val="Colorful List"/>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BBED" w:themeFill="accent1" w:themeFillTint="3F"/>
      </w:tcPr>
    </w:tblStylePr>
    <w:tblStylePr w:type="band1Horz">
      <w:tblPr/>
      <w:tcPr>
        <w:shd w:val="clear" w:color="auto" w:fill="B9C8F1" w:themeFill="accent1" w:themeFillTint="33"/>
      </w:tcPr>
    </w:tblStylePr>
  </w:style>
  <w:style w:type="table" w:styleId="ColorfulList-Accent2">
    <w:name w:val="Colorful List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color w:val="FFFFFF" w:themeColor="background1"/>
      </w:rPr>
      <w:tblPr/>
      <w:tcPr>
        <w:tcBorders>
          <w:bottom w:val="single" w:sz="12" w:space="0" w:color="FFFFFF" w:themeColor="background1"/>
        </w:tcBorders>
        <w:shd w:val="clear" w:color="auto" w:fill="54BFE6" w:themeFill="accent2" w:themeFillShade="CC"/>
      </w:tcPr>
    </w:tblStylePr>
    <w:tblStylePr w:type="lastRow">
      <w:rPr>
        <w:b/>
        <w:bCs/>
        <w:color w:val="54BFE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B" w:themeFill="accent2" w:themeFillTint="3F"/>
      </w:tcPr>
    </w:tblStylePr>
    <w:tblStylePr w:type="band1Horz">
      <w:tblPr/>
      <w:tcPr>
        <w:shd w:val="clear" w:color="auto" w:fill="EAF7FC" w:themeFill="accent2" w:themeFillTint="33"/>
      </w:tcPr>
    </w:tblStylePr>
  </w:style>
  <w:style w:type="table" w:styleId="ColorfulList-Accent3">
    <w:name w:val="Colorful List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color w:val="FFFFFF" w:themeColor="background1"/>
      </w:rPr>
      <w:tblPr/>
      <w:tcPr>
        <w:tcBorders>
          <w:bottom w:val="single" w:sz="12" w:space="0" w:color="FFFFFF" w:themeColor="background1"/>
        </w:tcBorders>
        <w:shd w:val="clear" w:color="auto" w:fill="007EAE" w:themeFill="accent4" w:themeFillShade="CC"/>
      </w:tcPr>
    </w:tblStylePr>
    <w:tblStylePr w:type="lastRow">
      <w:rPr>
        <w:b/>
        <w:bCs/>
        <w:color w:val="007EA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C5FF" w:themeFill="accent3" w:themeFillTint="3F"/>
      </w:tcPr>
    </w:tblStylePr>
    <w:tblStylePr w:type="band1Horz">
      <w:tblPr/>
      <w:tcPr>
        <w:shd w:val="clear" w:color="auto" w:fill="B6D0FF" w:themeFill="accent3" w:themeFillTint="33"/>
      </w:tcPr>
    </w:tblStylePr>
  </w:style>
  <w:style w:type="table" w:styleId="ColorfulList-Accent4">
    <w:name w:val="Colorful List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color w:val="FFFFFF" w:themeColor="background1"/>
      </w:rPr>
      <w:tblPr/>
      <w:tcPr>
        <w:tcBorders>
          <w:bottom w:val="single" w:sz="12" w:space="0" w:color="FFFFFF" w:themeColor="background1"/>
        </w:tcBorders>
        <w:shd w:val="clear" w:color="auto" w:fill="002A74" w:themeFill="accent3" w:themeFillShade="CC"/>
      </w:tcPr>
    </w:tblStylePr>
    <w:tblStylePr w:type="lastRow">
      <w:rPr>
        <w:b/>
        <w:bCs/>
        <w:color w:val="002A7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BFF" w:themeFill="accent4" w:themeFillTint="3F"/>
      </w:tcPr>
    </w:tblStylePr>
    <w:tblStylePr w:type="band1Horz">
      <w:tblPr/>
      <w:tcPr>
        <w:shd w:val="clear" w:color="auto" w:fill="C4EEFF" w:themeFill="accent4" w:themeFillTint="33"/>
      </w:tcPr>
    </w:tblStylePr>
  </w:style>
  <w:style w:type="table" w:styleId="ColorfulList-Accent5">
    <w:name w:val="Colorful List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color w:val="FFFFFF" w:themeColor="background1"/>
      </w:rPr>
      <w:tblPr/>
      <w:tcPr>
        <w:tcBorders>
          <w:bottom w:val="single" w:sz="12" w:space="0" w:color="FFFFFF" w:themeColor="background1"/>
        </w:tcBorders>
        <w:shd w:val="clear" w:color="auto" w:fill="327C2A" w:themeFill="accent6" w:themeFillShade="CC"/>
      </w:tcPr>
    </w:tblStylePr>
    <w:tblStylePr w:type="lastRow">
      <w:rPr>
        <w:b/>
        <w:bCs/>
        <w:color w:val="327C2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FEC" w:themeFill="accent5" w:themeFillTint="3F"/>
      </w:tcPr>
    </w:tblStylePr>
    <w:tblStylePr w:type="band1Horz">
      <w:tblPr/>
      <w:tcPr>
        <w:shd w:val="clear" w:color="auto" w:fill="E9FFEF" w:themeFill="accent5" w:themeFillTint="33"/>
      </w:tcPr>
    </w:tblStylePr>
  </w:style>
  <w:style w:type="table" w:styleId="ColorfulList-Accent6">
    <w:name w:val="Colorful List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color w:val="FFFFFF" w:themeColor="background1"/>
      </w:rPr>
      <w:tblPr/>
      <w:tcPr>
        <w:tcBorders>
          <w:bottom w:val="single" w:sz="12" w:space="0" w:color="FFFFFF" w:themeColor="background1"/>
        </w:tcBorders>
        <w:shd w:val="clear" w:color="auto" w:fill="41FF7D" w:themeFill="accent5" w:themeFillShade="CC"/>
      </w:tcPr>
    </w:tblStylePr>
    <w:tblStylePr w:type="lastRow">
      <w:rPr>
        <w:b/>
        <w:bCs/>
        <w:color w:val="41FF7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CC7" w:themeFill="accent6" w:themeFillTint="3F"/>
      </w:tcPr>
    </w:tblStylePr>
    <w:tblStylePr w:type="band1Horz">
      <w:tblPr/>
      <w:tcPr>
        <w:shd w:val="clear" w:color="auto" w:fill="D4EFD1" w:themeFill="accent6" w:themeFillTint="33"/>
      </w:tcPr>
    </w:tblStylePr>
  </w:style>
  <w:style w:type="table" w:styleId="ColorfulShading">
    <w:name w:val="Colorful Shading"/>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CE4F8" w:themeFill="accent1"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132D" w:themeFill="accent1" w:themeFillShade="99"/>
      </w:tcPr>
    </w:tblStylePr>
    <w:tblStylePr w:type="firstCol">
      <w:rPr>
        <w:color w:val="FFFFFF" w:themeColor="background1"/>
      </w:rPr>
      <w:tblPr/>
      <w:tcPr>
        <w:tcBorders>
          <w:top w:val="nil"/>
          <w:left w:val="nil"/>
          <w:bottom w:val="nil"/>
          <w:right w:val="nil"/>
          <w:insideH w:val="single" w:sz="4" w:space="0" w:color="09132D" w:themeColor="accent1" w:themeShade="99"/>
          <w:insideV w:val="nil"/>
        </w:tcBorders>
        <w:shd w:val="clear" w:color="auto" w:fill="09132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132D" w:themeFill="accent1" w:themeFillShade="99"/>
      </w:tcPr>
    </w:tblStylePr>
    <w:tblStylePr w:type="band1Vert">
      <w:tblPr/>
      <w:tcPr>
        <w:shd w:val="clear" w:color="auto" w:fill="7392E3" w:themeFill="accent1" w:themeFillTint="66"/>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BFD" w:themeFill="accent2" w:themeFillTint="19"/>
    </w:tcPr>
    <w:tblStylePr w:type="firstRow">
      <w:rPr>
        <w:b/>
        <w:bCs/>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9ECD" w:themeFill="accent2" w:themeFillShade="99"/>
      </w:tcPr>
    </w:tblStylePr>
    <w:tblStylePr w:type="firstCol">
      <w:rPr>
        <w:color w:val="FFFFFF" w:themeColor="background1"/>
      </w:rPr>
      <w:tblPr/>
      <w:tcPr>
        <w:tcBorders>
          <w:top w:val="nil"/>
          <w:left w:val="nil"/>
          <w:bottom w:val="nil"/>
          <w:right w:val="nil"/>
          <w:insideH w:val="single" w:sz="4" w:space="0" w:color="1E9ECD" w:themeColor="accent2" w:themeShade="99"/>
          <w:insideV w:val="nil"/>
        </w:tcBorders>
        <w:shd w:val="clear" w:color="auto" w:fill="1E9EC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9ECD" w:themeFill="accent2" w:themeFillShade="99"/>
      </w:tcPr>
    </w:tblStylePr>
    <w:tblStylePr w:type="band1Vert">
      <w:tblPr/>
      <w:tcPr>
        <w:shd w:val="clear" w:color="auto" w:fill="D6EFF9" w:themeFill="accent2" w:themeFillTint="66"/>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DBE8FF" w:themeFill="accent3" w:themeFillTint="19"/>
    </w:tcPr>
    <w:tblStylePr w:type="firstRow">
      <w:rPr>
        <w:b/>
        <w:bCs/>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F57" w:themeFill="accent3" w:themeFillShade="99"/>
      </w:tcPr>
    </w:tblStylePr>
    <w:tblStylePr w:type="firstCol">
      <w:rPr>
        <w:color w:val="FFFFFF" w:themeColor="background1"/>
      </w:rPr>
      <w:tblPr/>
      <w:tcPr>
        <w:tcBorders>
          <w:top w:val="nil"/>
          <w:left w:val="nil"/>
          <w:bottom w:val="nil"/>
          <w:right w:val="nil"/>
          <w:insideH w:val="single" w:sz="4" w:space="0" w:color="001F57" w:themeColor="accent3" w:themeShade="99"/>
          <w:insideV w:val="nil"/>
        </w:tcBorders>
        <w:shd w:val="clear" w:color="auto" w:fill="001F5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1F57" w:themeFill="accent3" w:themeFillShade="99"/>
      </w:tcPr>
    </w:tblStylePr>
    <w:tblStylePr w:type="band1Vert">
      <w:tblPr/>
      <w:tcPr>
        <w:shd w:val="clear" w:color="auto" w:fill="6DA2FF" w:themeFill="accent3" w:themeFillTint="66"/>
      </w:tcPr>
    </w:tblStylePr>
  </w:style>
  <w:style w:type="table" w:styleId="ColorfulShading-Accent4">
    <w:name w:val="Colorful Shading Accent 4"/>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2F7FF" w:themeFill="accent4" w:themeFillTint="19"/>
    </w:tcPr>
    <w:tblStylePr w:type="firstRow">
      <w:rPr>
        <w:b/>
        <w:bCs/>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E82" w:themeFill="accent4" w:themeFillShade="99"/>
      </w:tcPr>
    </w:tblStylePr>
    <w:tblStylePr w:type="firstCol">
      <w:rPr>
        <w:color w:val="FFFFFF" w:themeColor="background1"/>
      </w:rPr>
      <w:tblPr/>
      <w:tcPr>
        <w:tcBorders>
          <w:top w:val="nil"/>
          <w:left w:val="nil"/>
          <w:bottom w:val="nil"/>
          <w:right w:val="nil"/>
          <w:insideH w:val="single" w:sz="4" w:space="0" w:color="005E82" w:themeColor="accent4" w:themeShade="99"/>
          <w:insideV w:val="nil"/>
        </w:tcBorders>
        <w:shd w:val="clear" w:color="auto" w:fill="005E8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E82" w:themeFill="accent4" w:themeFillShade="99"/>
      </w:tcPr>
    </w:tblStylePr>
    <w:tblStylePr w:type="band1Vert">
      <w:tblPr/>
      <w:tcPr>
        <w:shd w:val="clear" w:color="auto" w:fill="8ADEFF" w:themeFill="accent4" w:themeFillTint="66"/>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F4FFF7" w:themeFill="accent5" w:themeFillTint="19"/>
    </w:tcPr>
    <w:tblStylePr w:type="firstRow">
      <w:rPr>
        <w:b/>
        <w:bCs/>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F04C" w:themeFill="accent5" w:themeFillShade="99"/>
      </w:tcPr>
    </w:tblStylePr>
    <w:tblStylePr w:type="firstCol">
      <w:rPr>
        <w:color w:val="FFFFFF" w:themeColor="background1"/>
      </w:rPr>
      <w:tblPr/>
      <w:tcPr>
        <w:tcBorders>
          <w:top w:val="nil"/>
          <w:left w:val="nil"/>
          <w:bottom w:val="nil"/>
          <w:right w:val="nil"/>
          <w:insideH w:val="single" w:sz="4" w:space="0" w:color="00F04C" w:themeColor="accent5" w:themeShade="99"/>
          <w:insideV w:val="nil"/>
        </w:tcBorders>
        <w:shd w:val="clear" w:color="auto" w:fill="00F04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F04C" w:themeFill="accent5" w:themeFillShade="99"/>
      </w:tcPr>
    </w:tblStylePr>
    <w:tblStylePr w:type="band1Vert">
      <w:tblPr/>
      <w:tcPr>
        <w:shd w:val="clear" w:color="auto" w:fill="D3FFE0" w:themeFill="accent5" w:themeFillTint="66"/>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unhideWhenUsed/>
    <w:rsid w:val="009D630C"/>
    <w:pPr>
      <w:spacing w:after="0" w:line="240" w:lineRule="auto"/>
    </w:pPr>
    <w:rPr>
      <w:color w:val="000000" w:themeColor="text1"/>
    </w:rPr>
    <w:tblPr>
      <w:tblStyleRowBandSize w:val="1"/>
      <w:tblStyleColBandSize w:val="1"/>
    </w:tblPr>
    <w:tcPr>
      <w:shd w:val="clear" w:color="auto" w:fill="EAF7E8" w:themeFill="accent6" w:themeFillTint="19"/>
    </w:tcPr>
    <w:tblStylePr w:type="firstRow">
      <w:rPr>
        <w:b/>
        <w:bCs/>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1F" w:themeFill="accent6" w:themeFillShade="99"/>
      </w:tcPr>
    </w:tblStylePr>
    <w:tblStylePr w:type="firstCol">
      <w:rPr>
        <w:color w:val="FFFFFF" w:themeColor="background1"/>
      </w:rPr>
      <w:tblPr/>
      <w:tcPr>
        <w:tcBorders>
          <w:top w:val="nil"/>
          <w:left w:val="nil"/>
          <w:bottom w:val="nil"/>
          <w:right w:val="nil"/>
          <w:insideH w:val="single" w:sz="4" w:space="0" w:color="255D1F" w:themeColor="accent6" w:themeShade="99"/>
          <w:insideV w:val="nil"/>
        </w:tcBorders>
        <w:shd w:val="clear" w:color="auto" w:fill="255D1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55D1F" w:themeFill="accent6" w:themeFillShade="99"/>
      </w:tcPr>
    </w:tblStylePr>
    <w:tblStylePr w:type="band1Vert">
      <w:tblPr/>
      <w:tcPr>
        <w:shd w:val="clear" w:color="auto" w:fill="AAE0A4" w:themeFill="accent6" w:themeFillTint="66"/>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style>
  <w:style w:type="table" w:styleId="DarkList-Accent1">
    <w:name w:val="Dark List Accent 1"/>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F20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0F25" w:themeFill="accent1" w:themeFillShade="7F"/>
      </w:tcPr>
    </w:tblStylePr>
  </w:style>
  <w:style w:type="table" w:styleId="DarkList-Accent2">
    <w:name w:val="Dark List Accent 2"/>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99D9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83AA" w:themeFill="accent2" w:themeFillShade="7F"/>
      </w:tcPr>
    </w:tblStylePr>
  </w:style>
  <w:style w:type="table" w:styleId="DarkList-Accent3">
    <w:name w:val="Dark List Accent 3"/>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359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A48" w:themeFill="accent3" w:themeFillShade="7F"/>
      </w:tcPr>
    </w:tblStylePr>
  </w:style>
  <w:style w:type="table" w:styleId="DarkList-Accent4">
    <w:name w:val="Dark List Accent 4"/>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009FDA"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E6C" w:themeFill="accent4" w:themeFillShade="7F"/>
      </w:tcPr>
    </w:tblStylePr>
  </w:style>
  <w:style w:type="table" w:styleId="DarkList-Accent5">
    <w:name w:val="Dark List Accent 5"/>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91FFB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C73F" w:themeFill="accent5" w:themeFillShade="7F"/>
      </w:tcPr>
    </w:tblStylePr>
  </w:style>
  <w:style w:type="table" w:styleId="DarkList-Accent6">
    <w:name w:val="Dark List Accent 6"/>
    <w:basedOn w:val="TableNormal"/>
    <w:uiPriority w:val="99"/>
    <w:semiHidden/>
    <w:unhideWhenUsed/>
    <w:rsid w:val="009D630C"/>
    <w:pPr>
      <w:spacing w:after="0" w:line="240" w:lineRule="auto"/>
    </w:pPr>
    <w:rPr>
      <w:color w:val="FFFFFF" w:themeColor="background1"/>
    </w:rPr>
    <w:tblPr>
      <w:tblStyleRowBandSize w:val="1"/>
      <w:tblStyleColBandSize w:val="1"/>
    </w:tblPr>
    <w:tcPr>
      <w:tcBorders>
        <w:top w:val="nil"/>
        <w:left w:val="nil"/>
        <w:bottom w:val="nil"/>
        <w:right w:val="nil"/>
      </w:tcBorders>
      <w:shd w:val="clear" w:color="auto" w:fill="3F9C3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1A" w:themeFill="accent6" w:themeFillShade="7F"/>
      </w:tcPr>
    </w:tblStylePr>
  </w:style>
  <w:style w:type="table" w:styleId="GridTable1Light">
    <w:name w:val="Grid Table 1 Light"/>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2D5CD5" w:themeColor="accent1" w:themeTint="99"/>
        </w:tcBorders>
      </w:tcPr>
    </w:tblStylePr>
    <w:tblStylePr w:type="lastRow">
      <w:rPr>
        <w:b/>
        <w:bCs/>
      </w:rPr>
      <w:tblPr/>
      <w:tcPr>
        <w:tcBorders>
          <w:top w:val="double" w:sz="2" w:space="0" w:color="2D5CD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C1E8F6" w:themeColor="accent2" w:themeTint="99"/>
        </w:tcBorders>
      </w:tcPr>
    </w:tblStylePr>
    <w:tblStylePr w:type="lastRow">
      <w:rPr>
        <w:b/>
        <w:bCs/>
      </w:rPr>
      <w:tblPr/>
      <w:tcPr>
        <w:tcBorders>
          <w:top w:val="double" w:sz="2" w:space="0" w:color="C1E8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2473FF" w:themeColor="accent3" w:themeTint="99"/>
        </w:tcBorders>
      </w:tcPr>
    </w:tblStylePr>
    <w:tblStylePr w:type="lastRow">
      <w:rPr>
        <w:b/>
        <w:bCs/>
      </w:rPr>
      <w:tblPr/>
      <w:tcPr>
        <w:tcBorders>
          <w:top w:val="double" w:sz="2" w:space="0" w:color="2473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4FCEFF" w:themeColor="accent4" w:themeTint="99"/>
        </w:tcBorders>
      </w:tcPr>
    </w:tblStylePr>
    <w:tblStylePr w:type="lastRow">
      <w:rPr>
        <w:b/>
        <w:bCs/>
      </w:rPr>
      <w:tblPr/>
      <w:tcPr>
        <w:tcBorders>
          <w:top w:val="double" w:sz="2" w:space="0" w:color="4FCE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9D630C"/>
    <w:pPr>
      <w:spacing w:after="0" w:line="240" w:lineRule="auto"/>
    </w:pPr>
    <w:tblPr>
      <w:tblStyleRowBandSize w:val="1"/>
      <w:tblStyleColBandSize w:val="1"/>
    </w:tblPr>
    <w:tblStylePr w:type="firstRow">
      <w:rPr>
        <w:b/>
        <w:bCs/>
      </w:rPr>
      <w:tblPr/>
      <w:tcPr>
        <w:tcBorders>
          <w:bottom w:val="single" w:sz="12" w:space="0" w:color="BDFFD1" w:themeColor="accent5" w:themeTint="99"/>
        </w:tcBorders>
      </w:tcPr>
    </w:tblStylePr>
    <w:tblStylePr w:type="lastRow">
      <w:rPr>
        <w:b/>
        <w:bCs/>
      </w:rPr>
      <w:tblPr/>
      <w:tcPr>
        <w:tcBorders>
          <w:top w:val="double" w:sz="2" w:space="0" w:color="BDFF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9D630C"/>
    <w:pPr>
      <w:spacing w:after="0" w:line="240" w:lineRule="auto"/>
    </w:pPr>
    <w:tblPr>
      <w:tblStyleRowBandSize w:val="1"/>
      <w:tblStyleColBandSize w:val="1"/>
      <w:tblBorders>
        <w:top w:val="single" w:sz="4" w:space="0" w:color="AAE0A4" w:themeColor="accent6" w:themeTint="66"/>
        <w:left w:val="single" w:sz="4" w:space="0" w:color="AAE0A4" w:themeColor="accent6" w:themeTint="66"/>
        <w:bottom w:val="single" w:sz="4" w:space="0" w:color="AAE0A4" w:themeColor="accent6" w:themeTint="66"/>
        <w:right w:val="single" w:sz="4" w:space="0" w:color="AAE0A4" w:themeColor="accent6" w:themeTint="66"/>
        <w:insideH w:val="single" w:sz="4" w:space="0" w:color="AAE0A4" w:themeColor="accent6" w:themeTint="66"/>
        <w:insideV w:val="single" w:sz="4" w:space="0" w:color="AAE0A4" w:themeColor="accent6" w:themeTint="66"/>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2" w:space="0" w:color="80D1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2-Accent1">
    <w:name w:val="Grid Table 2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rPr>
      <w:tblPr/>
      <w:tcPr>
        <w:tcBorders>
          <w:top w:val="nil"/>
          <w:bottom w:val="single" w:sz="12" w:space="0" w:color="2D5CD5" w:themeColor="accent1" w:themeTint="99"/>
          <w:insideH w:val="nil"/>
          <w:insideV w:val="nil"/>
        </w:tcBorders>
        <w:shd w:val="clear" w:color="auto" w:fill="FFFFFF" w:themeFill="background1"/>
      </w:tcPr>
    </w:tblStylePr>
    <w:tblStylePr w:type="lastRow">
      <w:rPr>
        <w:b/>
        <w:bCs/>
      </w:rPr>
      <w:tblPr/>
      <w:tcPr>
        <w:tcBorders>
          <w:top w:val="double" w:sz="2" w:space="0" w:color="2D5CD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GridTable2-Accent2">
    <w:name w:val="Grid Table 2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rPr>
      <w:tblPr/>
      <w:tcPr>
        <w:tcBorders>
          <w:top w:val="nil"/>
          <w:bottom w:val="single" w:sz="12" w:space="0" w:color="C1E8F6" w:themeColor="accent2" w:themeTint="99"/>
          <w:insideH w:val="nil"/>
          <w:insideV w:val="nil"/>
        </w:tcBorders>
        <w:shd w:val="clear" w:color="auto" w:fill="FFFFFF" w:themeFill="background1"/>
      </w:tcPr>
    </w:tblStylePr>
    <w:tblStylePr w:type="lastRow">
      <w:rPr>
        <w:b/>
        <w:bCs/>
      </w:rPr>
      <w:tblPr/>
      <w:tcPr>
        <w:tcBorders>
          <w:top w:val="double" w:sz="2" w:space="0" w:color="C1E8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GridTable2-Accent3">
    <w:name w:val="Grid Table 2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rPr>
      <w:tblPr/>
      <w:tcPr>
        <w:tcBorders>
          <w:top w:val="nil"/>
          <w:bottom w:val="single" w:sz="12" w:space="0" w:color="2473FF" w:themeColor="accent3" w:themeTint="99"/>
          <w:insideH w:val="nil"/>
          <w:insideV w:val="nil"/>
        </w:tcBorders>
        <w:shd w:val="clear" w:color="auto" w:fill="FFFFFF" w:themeFill="background1"/>
      </w:tcPr>
    </w:tblStylePr>
    <w:tblStylePr w:type="lastRow">
      <w:rPr>
        <w:b/>
        <w:bCs/>
      </w:rPr>
      <w:tblPr/>
      <w:tcPr>
        <w:tcBorders>
          <w:top w:val="double" w:sz="2" w:space="0" w:color="2473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GridTable2-Accent4">
    <w:name w:val="Grid Table 2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rPr>
      <w:tblPr/>
      <w:tcPr>
        <w:tcBorders>
          <w:top w:val="nil"/>
          <w:bottom w:val="single" w:sz="12" w:space="0" w:color="4FCEFF" w:themeColor="accent4" w:themeTint="99"/>
          <w:insideH w:val="nil"/>
          <w:insideV w:val="nil"/>
        </w:tcBorders>
        <w:shd w:val="clear" w:color="auto" w:fill="FFFFFF" w:themeFill="background1"/>
      </w:tcPr>
    </w:tblStylePr>
    <w:tblStylePr w:type="lastRow">
      <w:rPr>
        <w:b/>
        <w:bCs/>
      </w:rPr>
      <w:tblPr/>
      <w:tcPr>
        <w:tcBorders>
          <w:top w:val="double" w:sz="2" w:space="0" w:color="4FCE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GridTable2-Accent5">
    <w:name w:val="Grid Table 2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rPr>
      <w:tblPr/>
      <w:tcPr>
        <w:tcBorders>
          <w:top w:val="nil"/>
          <w:bottom w:val="single" w:sz="12" w:space="0" w:color="BDFFD1" w:themeColor="accent5" w:themeTint="99"/>
          <w:insideH w:val="nil"/>
          <w:insideV w:val="nil"/>
        </w:tcBorders>
        <w:shd w:val="clear" w:color="auto" w:fill="FFFFFF" w:themeFill="background1"/>
      </w:tcPr>
    </w:tblStylePr>
    <w:tblStylePr w:type="lastRow">
      <w:rPr>
        <w:b/>
        <w:bCs/>
      </w:rPr>
      <w:tblPr/>
      <w:tcPr>
        <w:tcBorders>
          <w:top w:val="double" w:sz="2" w:space="0" w:color="BDFF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GridTable2-Accent6">
    <w:name w:val="Grid Table 2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rPr>
      <w:tblPr/>
      <w:tcPr>
        <w:tcBorders>
          <w:top w:val="nil"/>
          <w:bottom w:val="single" w:sz="12" w:space="0" w:color="80D178" w:themeColor="accent6" w:themeTint="99"/>
          <w:insideH w:val="nil"/>
          <w:insideV w:val="nil"/>
        </w:tcBorders>
        <w:shd w:val="clear" w:color="auto" w:fill="FFFFFF" w:themeFill="background1"/>
      </w:tcPr>
    </w:tblStylePr>
    <w:tblStylePr w:type="lastRow">
      <w:rPr>
        <w:b/>
        <w:bCs/>
      </w:rPr>
      <w:tblPr/>
      <w:tcPr>
        <w:tcBorders>
          <w:top w:val="double" w:sz="2" w:space="0" w:color="80D1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GridTable3">
    <w:name w:val="Grid Table 3"/>
    <w:basedOn w:val="TableNormal"/>
    <w:uiPriority w:val="99"/>
    <w:rsid w:val="009D630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99"/>
    <w:rsid w:val="009D630C"/>
    <w:pPr>
      <w:spacing w:after="0" w:line="240" w:lineRule="auto"/>
    </w:p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3-Accent2">
    <w:name w:val="Grid Table 3 Accent 2"/>
    <w:basedOn w:val="TableNormal"/>
    <w:uiPriority w:val="99"/>
    <w:rsid w:val="009D630C"/>
    <w:pPr>
      <w:spacing w:after="0" w:line="240" w:lineRule="auto"/>
    </w:p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3-Accent3">
    <w:name w:val="Grid Table 3 Accent 3"/>
    <w:basedOn w:val="TableNormal"/>
    <w:uiPriority w:val="99"/>
    <w:rsid w:val="009D630C"/>
    <w:pPr>
      <w:spacing w:after="0" w:line="240" w:lineRule="auto"/>
    </w:p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3-Accent4">
    <w:name w:val="Grid Table 3 Accent 4"/>
    <w:basedOn w:val="TableNormal"/>
    <w:uiPriority w:val="99"/>
    <w:rsid w:val="009D630C"/>
    <w:pPr>
      <w:spacing w:after="0" w:line="240" w:lineRule="auto"/>
    </w:p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3-Accent5">
    <w:name w:val="Grid Table 3 Accent 5"/>
    <w:basedOn w:val="TableNormal"/>
    <w:uiPriority w:val="99"/>
    <w:rsid w:val="009D630C"/>
    <w:pPr>
      <w:spacing w:after="0" w:line="240" w:lineRule="auto"/>
    </w:p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3-Accent6">
    <w:name w:val="Grid Table 3 Accent 6"/>
    <w:basedOn w:val="TableNormal"/>
    <w:uiPriority w:val="99"/>
    <w:rsid w:val="009D630C"/>
    <w:pPr>
      <w:spacing w:after="0" w:line="240" w:lineRule="auto"/>
    </w:p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table" w:styleId="GridTable4">
    <w:name w:val="Grid Table 4"/>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4-Accent1">
    <w:name w:val="Grid Table 4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insideV w:val="nil"/>
        </w:tcBorders>
        <w:shd w:val="clear" w:color="auto" w:fill="0F204B" w:themeFill="accent1"/>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GridTable4-Accent2">
    <w:name w:val="Grid Table 4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insideV w:val="nil"/>
        </w:tcBorders>
        <w:shd w:val="clear" w:color="auto" w:fill="99D9F0" w:themeFill="accent2"/>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GridTable4-Accent3">
    <w:name w:val="Grid Table 4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insideV w:val="nil"/>
        </w:tcBorders>
        <w:shd w:val="clear" w:color="auto" w:fill="003591" w:themeFill="accent3"/>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GridTable4-Accent4">
    <w:name w:val="Grid Table 4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insideV w:val="nil"/>
        </w:tcBorders>
        <w:shd w:val="clear" w:color="auto" w:fill="009FDA" w:themeFill="accent4"/>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GridTable4-Accent5">
    <w:name w:val="Grid Table 4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insideV w:val="nil"/>
        </w:tcBorders>
        <w:shd w:val="clear" w:color="auto" w:fill="91FFB4" w:themeFill="accent5"/>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GridTable4-Accent6">
    <w:name w:val="Grid Table 4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insideV w:val="nil"/>
        </w:tcBorders>
        <w:shd w:val="clear" w:color="auto" w:fill="3F9C35" w:themeFill="accent6"/>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GridTable5Dark">
    <w:name w:val="Grid Table 5 Dark"/>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style>
  <w:style w:type="table" w:styleId="GridTable5Dark-Accent1">
    <w:name w:val="Grid Table 5 Dark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20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20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20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204B" w:themeFill="accent1"/>
      </w:tcPr>
    </w:tblStylePr>
    <w:tblStylePr w:type="band1Vert">
      <w:tblPr/>
      <w:tcPr>
        <w:shd w:val="clear" w:color="auto" w:fill="7392E3" w:themeFill="accent1" w:themeFillTint="66"/>
      </w:tcPr>
    </w:tblStylePr>
  </w:style>
  <w:style w:type="table" w:styleId="GridTable5Dark-Accent2">
    <w:name w:val="Grid Table 5 Dark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9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9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9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9F0" w:themeFill="accent2"/>
      </w:tcPr>
    </w:tblStylePr>
    <w:tblStylePr w:type="band1Vert">
      <w:tblPr/>
      <w:tcPr>
        <w:shd w:val="clear" w:color="auto" w:fill="D6EFF9" w:themeFill="accent2" w:themeFillTint="66"/>
      </w:tcPr>
    </w:tblStylePr>
  </w:style>
  <w:style w:type="table" w:styleId="GridTable5Dark-Accent3">
    <w:name w:val="Grid Table 5 Dark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59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59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59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591" w:themeFill="accent3"/>
      </w:tcPr>
    </w:tblStylePr>
    <w:tblStylePr w:type="band1Vert">
      <w:tblPr/>
      <w:tcPr>
        <w:shd w:val="clear" w:color="auto" w:fill="6DA2FF" w:themeFill="accent3" w:themeFillTint="66"/>
      </w:tcPr>
    </w:tblStylePr>
  </w:style>
  <w:style w:type="table" w:styleId="GridTable5Dark-Accent4">
    <w:name w:val="Grid Table 5 Dark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D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D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D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DA" w:themeFill="accent4"/>
      </w:tcPr>
    </w:tblStylePr>
    <w:tblStylePr w:type="band1Vert">
      <w:tblPr/>
      <w:tcPr>
        <w:shd w:val="clear" w:color="auto" w:fill="8ADEFF" w:themeFill="accent4" w:themeFillTint="66"/>
      </w:tcPr>
    </w:tblStylePr>
  </w:style>
  <w:style w:type="table" w:styleId="GridTable5Dark-Accent5">
    <w:name w:val="Grid Table 5 Dark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FFB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FFB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FFB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FFB4" w:themeFill="accent5"/>
      </w:tcPr>
    </w:tblStylePr>
    <w:tblStylePr w:type="band1Vert">
      <w:tblPr/>
      <w:tcPr>
        <w:shd w:val="clear" w:color="auto" w:fill="D3FFE0" w:themeFill="accent5" w:themeFillTint="66"/>
      </w:tcPr>
    </w:tblStylePr>
  </w:style>
  <w:style w:type="table" w:styleId="GridTable5Dark-Accent6">
    <w:name w:val="Grid Table 5 Dark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9C3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9C3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9C3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9C35" w:themeFill="accent6"/>
      </w:tcPr>
    </w:tblStylePr>
    <w:tblStylePr w:type="band1Vert">
      <w:tblPr/>
      <w:tcPr>
        <w:shd w:val="clear" w:color="auto" w:fill="AAE0A4" w:themeFill="accent6" w:themeFillTint="66"/>
      </w:tcPr>
    </w:tblStylePr>
  </w:style>
  <w:style w:type="table" w:styleId="GridTable6Colorful">
    <w:name w:val="Grid Table 6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bottom w:val="single" w:sz="12" w:space="0" w:color="2D5CD5" w:themeColor="accent1" w:themeTint="99"/>
        </w:tcBorders>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tblStylePr w:type="band1Horz">
      <w:tblPr/>
      <w:tcPr>
        <w:shd w:val="clear" w:color="auto" w:fill="B9C8F1" w:themeFill="accent1" w:themeFillTint="33"/>
      </w:tcPr>
    </w:tblStylePr>
  </w:style>
  <w:style w:type="table" w:styleId="GridTable6Colorful-Accent2">
    <w:name w:val="Grid Table 6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bottom w:val="single" w:sz="12" w:space="0" w:color="C1E8F6" w:themeColor="accent2" w:themeTint="99"/>
        </w:tcBorders>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tblStylePr w:type="band1Horz">
      <w:tblPr/>
      <w:tcPr>
        <w:shd w:val="clear" w:color="auto" w:fill="EAF7FC" w:themeFill="accent2" w:themeFillTint="33"/>
      </w:tcPr>
    </w:tblStylePr>
  </w:style>
  <w:style w:type="table" w:styleId="GridTable6Colorful-Accent3">
    <w:name w:val="Grid Table 6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bottom w:val="single" w:sz="12" w:space="0" w:color="2473FF" w:themeColor="accent3" w:themeTint="99"/>
        </w:tcBorders>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tblStylePr w:type="band1Horz">
      <w:tblPr/>
      <w:tcPr>
        <w:shd w:val="clear" w:color="auto" w:fill="B6D0FF" w:themeFill="accent3" w:themeFillTint="33"/>
      </w:tcPr>
    </w:tblStylePr>
  </w:style>
  <w:style w:type="table" w:styleId="GridTable6Colorful-Accent4">
    <w:name w:val="Grid Table 6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bottom w:val="single" w:sz="12" w:space="0" w:color="4FCEFF" w:themeColor="accent4" w:themeTint="99"/>
        </w:tcBorders>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tblStylePr w:type="band1Horz">
      <w:tblPr/>
      <w:tcPr>
        <w:shd w:val="clear" w:color="auto" w:fill="C4EEFF" w:themeFill="accent4" w:themeFillTint="33"/>
      </w:tcPr>
    </w:tblStylePr>
  </w:style>
  <w:style w:type="table" w:styleId="GridTable6Colorful-Accent5">
    <w:name w:val="Grid Table 6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bottom w:val="single" w:sz="12" w:space="0" w:color="BDFFD1" w:themeColor="accent5" w:themeTint="99"/>
        </w:tcBorders>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tblStylePr w:type="band1Horz">
      <w:tblPr/>
      <w:tcPr>
        <w:shd w:val="clear" w:color="auto" w:fill="E9FFEF" w:themeFill="accent5" w:themeFillTint="33"/>
      </w:tcPr>
    </w:tblStylePr>
  </w:style>
  <w:style w:type="table" w:styleId="GridTable6Colorful-Accent6">
    <w:name w:val="Grid Table 6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bottom w:val="single" w:sz="12" w:space="0" w:color="80D178" w:themeColor="accent6" w:themeTint="99"/>
        </w:tcBorders>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tblStylePr w:type="band1Horz">
      <w:tblPr/>
      <w:tcPr>
        <w:shd w:val="clear" w:color="auto" w:fill="D4EFD1" w:themeFill="accent6" w:themeFillTint="33"/>
      </w:tcPr>
    </w:tblStylePr>
  </w:style>
  <w:style w:type="table" w:styleId="GridTable7Colorful">
    <w:name w:val="Grid Table 7 Colorful"/>
    <w:basedOn w:val="TableNormal"/>
    <w:uiPriority w:val="99"/>
    <w:rsid w:val="009D630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99"/>
    <w:rsid w:val="009D630C"/>
    <w:pPr>
      <w:spacing w:after="0" w:line="240" w:lineRule="auto"/>
    </w:pPr>
    <w:rPr>
      <w:color w:val="0B1738" w:themeColor="accent1" w:themeShade="BF"/>
    </w:rPr>
    <w:tblPr>
      <w:tblStyleRowBandSize w:val="1"/>
      <w:tblStyleColBandSize w:val="1"/>
      <w:tblBorders>
        <w:top w:val="single" w:sz="4" w:space="0" w:color="2D5CD5" w:themeColor="accent1" w:themeTint="99"/>
        <w:left w:val="single" w:sz="4" w:space="0" w:color="2D5CD5" w:themeColor="accent1" w:themeTint="99"/>
        <w:bottom w:val="single" w:sz="4" w:space="0" w:color="2D5CD5" w:themeColor="accent1" w:themeTint="99"/>
        <w:right w:val="single" w:sz="4" w:space="0" w:color="2D5CD5" w:themeColor="accent1" w:themeTint="99"/>
        <w:insideH w:val="single" w:sz="4" w:space="0" w:color="2D5CD5" w:themeColor="accent1" w:themeTint="99"/>
        <w:insideV w:val="single" w:sz="4" w:space="0" w:color="2D5CD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C8F1" w:themeFill="accent1" w:themeFillTint="33"/>
      </w:tcPr>
    </w:tblStylePr>
    <w:tblStylePr w:type="band1Horz">
      <w:tblPr/>
      <w:tcPr>
        <w:shd w:val="clear" w:color="auto" w:fill="B9C8F1" w:themeFill="accent1" w:themeFillTint="33"/>
      </w:tcPr>
    </w:tblStylePr>
    <w:tblStylePr w:type="neCell">
      <w:tblPr/>
      <w:tcPr>
        <w:tcBorders>
          <w:bottom w:val="single" w:sz="4" w:space="0" w:color="2D5CD5" w:themeColor="accent1" w:themeTint="99"/>
        </w:tcBorders>
      </w:tcPr>
    </w:tblStylePr>
    <w:tblStylePr w:type="nwCell">
      <w:tblPr/>
      <w:tcPr>
        <w:tcBorders>
          <w:bottom w:val="single" w:sz="4" w:space="0" w:color="2D5CD5" w:themeColor="accent1" w:themeTint="99"/>
        </w:tcBorders>
      </w:tcPr>
    </w:tblStylePr>
    <w:tblStylePr w:type="seCell">
      <w:tblPr/>
      <w:tcPr>
        <w:tcBorders>
          <w:top w:val="single" w:sz="4" w:space="0" w:color="2D5CD5" w:themeColor="accent1" w:themeTint="99"/>
        </w:tcBorders>
      </w:tcPr>
    </w:tblStylePr>
    <w:tblStylePr w:type="swCell">
      <w:tblPr/>
      <w:tcPr>
        <w:tcBorders>
          <w:top w:val="single" w:sz="4" w:space="0" w:color="2D5CD5" w:themeColor="accent1" w:themeTint="99"/>
        </w:tcBorders>
      </w:tcPr>
    </w:tblStylePr>
  </w:style>
  <w:style w:type="table" w:styleId="GridTable7Colorful-Accent2">
    <w:name w:val="Grid Table 7 Colorful Accent 2"/>
    <w:basedOn w:val="TableNormal"/>
    <w:uiPriority w:val="99"/>
    <w:rsid w:val="009D630C"/>
    <w:pPr>
      <w:spacing w:after="0" w:line="240" w:lineRule="auto"/>
    </w:pPr>
    <w:rPr>
      <w:color w:val="43B8E3" w:themeColor="accent2" w:themeShade="BF"/>
    </w:rPr>
    <w:tblPr>
      <w:tblStyleRowBandSize w:val="1"/>
      <w:tblStyleColBandSize w:val="1"/>
      <w:tblBorders>
        <w:top w:val="single" w:sz="4" w:space="0" w:color="C1E8F6" w:themeColor="accent2" w:themeTint="99"/>
        <w:left w:val="single" w:sz="4" w:space="0" w:color="C1E8F6" w:themeColor="accent2" w:themeTint="99"/>
        <w:bottom w:val="single" w:sz="4" w:space="0" w:color="C1E8F6" w:themeColor="accent2" w:themeTint="99"/>
        <w:right w:val="single" w:sz="4" w:space="0" w:color="C1E8F6" w:themeColor="accent2" w:themeTint="99"/>
        <w:insideH w:val="single" w:sz="4" w:space="0" w:color="C1E8F6" w:themeColor="accent2" w:themeTint="99"/>
        <w:insideV w:val="single" w:sz="4" w:space="0" w:color="C1E8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C" w:themeFill="accent2" w:themeFillTint="33"/>
      </w:tcPr>
    </w:tblStylePr>
    <w:tblStylePr w:type="band1Horz">
      <w:tblPr/>
      <w:tcPr>
        <w:shd w:val="clear" w:color="auto" w:fill="EAF7FC" w:themeFill="accent2" w:themeFillTint="33"/>
      </w:tcPr>
    </w:tblStylePr>
    <w:tblStylePr w:type="neCell">
      <w:tblPr/>
      <w:tcPr>
        <w:tcBorders>
          <w:bottom w:val="single" w:sz="4" w:space="0" w:color="C1E8F6" w:themeColor="accent2" w:themeTint="99"/>
        </w:tcBorders>
      </w:tcPr>
    </w:tblStylePr>
    <w:tblStylePr w:type="nwCell">
      <w:tblPr/>
      <w:tcPr>
        <w:tcBorders>
          <w:bottom w:val="single" w:sz="4" w:space="0" w:color="C1E8F6" w:themeColor="accent2" w:themeTint="99"/>
        </w:tcBorders>
      </w:tcPr>
    </w:tblStylePr>
    <w:tblStylePr w:type="seCell">
      <w:tblPr/>
      <w:tcPr>
        <w:tcBorders>
          <w:top w:val="single" w:sz="4" w:space="0" w:color="C1E8F6" w:themeColor="accent2" w:themeTint="99"/>
        </w:tcBorders>
      </w:tcPr>
    </w:tblStylePr>
    <w:tblStylePr w:type="swCell">
      <w:tblPr/>
      <w:tcPr>
        <w:tcBorders>
          <w:top w:val="single" w:sz="4" w:space="0" w:color="C1E8F6" w:themeColor="accent2" w:themeTint="99"/>
        </w:tcBorders>
      </w:tcPr>
    </w:tblStylePr>
  </w:style>
  <w:style w:type="table" w:styleId="GridTable7Colorful-Accent3">
    <w:name w:val="Grid Table 7 Colorful Accent 3"/>
    <w:basedOn w:val="TableNormal"/>
    <w:uiPriority w:val="99"/>
    <w:rsid w:val="009D630C"/>
    <w:pPr>
      <w:spacing w:after="0" w:line="240" w:lineRule="auto"/>
    </w:pPr>
    <w:rPr>
      <w:color w:val="00276C" w:themeColor="accent3" w:themeShade="BF"/>
    </w:rPr>
    <w:tblPr>
      <w:tblStyleRowBandSize w:val="1"/>
      <w:tblStyleColBandSize w:val="1"/>
      <w:tblBorders>
        <w:top w:val="single" w:sz="4" w:space="0" w:color="2473FF" w:themeColor="accent3" w:themeTint="99"/>
        <w:left w:val="single" w:sz="4" w:space="0" w:color="2473FF" w:themeColor="accent3" w:themeTint="99"/>
        <w:bottom w:val="single" w:sz="4" w:space="0" w:color="2473FF" w:themeColor="accent3" w:themeTint="99"/>
        <w:right w:val="single" w:sz="4" w:space="0" w:color="2473FF" w:themeColor="accent3" w:themeTint="99"/>
        <w:insideH w:val="single" w:sz="4" w:space="0" w:color="2473FF" w:themeColor="accent3" w:themeTint="99"/>
        <w:insideV w:val="single" w:sz="4" w:space="0" w:color="2473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6D0FF" w:themeFill="accent3" w:themeFillTint="33"/>
      </w:tcPr>
    </w:tblStylePr>
    <w:tblStylePr w:type="band1Horz">
      <w:tblPr/>
      <w:tcPr>
        <w:shd w:val="clear" w:color="auto" w:fill="B6D0FF" w:themeFill="accent3" w:themeFillTint="33"/>
      </w:tcPr>
    </w:tblStylePr>
    <w:tblStylePr w:type="neCell">
      <w:tblPr/>
      <w:tcPr>
        <w:tcBorders>
          <w:bottom w:val="single" w:sz="4" w:space="0" w:color="2473FF" w:themeColor="accent3" w:themeTint="99"/>
        </w:tcBorders>
      </w:tcPr>
    </w:tblStylePr>
    <w:tblStylePr w:type="nwCell">
      <w:tblPr/>
      <w:tcPr>
        <w:tcBorders>
          <w:bottom w:val="single" w:sz="4" w:space="0" w:color="2473FF" w:themeColor="accent3" w:themeTint="99"/>
        </w:tcBorders>
      </w:tcPr>
    </w:tblStylePr>
    <w:tblStylePr w:type="seCell">
      <w:tblPr/>
      <w:tcPr>
        <w:tcBorders>
          <w:top w:val="single" w:sz="4" w:space="0" w:color="2473FF" w:themeColor="accent3" w:themeTint="99"/>
        </w:tcBorders>
      </w:tcPr>
    </w:tblStylePr>
    <w:tblStylePr w:type="swCell">
      <w:tblPr/>
      <w:tcPr>
        <w:tcBorders>
          <w:top w:val="single" w:sz="4" w:space="0" w:color="2473FF" w:themeColor="accent3" w:themeTint="99"/>
        </w:tcBorders>
      </w:tcPr>
    </w:tblStylePr>
  </w:style>
  <w:style w:type="table" w:styleId="GridTable7Colorful-Accent4">
    <w:name w:val="Grid Table 7 Colorful Accent 4"/>
    <w:basedOn w:val="TableNormal"/>
    <w:uiPriority w:val="99"/>
    <w:rsid w:val="009D630C"/>
    <w:pPr>
      <w:spacing w:after="0" w:line="240" w:lineRule="auto"/>
    </w:pPr>
    <w:rPr>
      <w:color w:val="0076A3" w:themeColor="accent4" w:themeShade="BF"/>
    </w:rPr>
    <w:tblPr>
      <w:tblStyleRowBandSize w:val="1"/>
      <w:tblStyleColBandSize w:val="1"/>
      <w:tblBorders>
        <w:top w:val="single" w:sz="4" w:space="0" w:color="4FCEFF" w:themeColor="accent4" w:themeTint="99"/>
        <w:left w:val="single" w:sz="4" w:space="0" w:color="4FCEFF" w:themeColor="accent4" w:themeTint="99"/>
        <w:bottom w:val="single" w:sz="4" w:space="0" w:color="4FCEFF" w:themeColor="accent4" w:themeTint="99"/>
        <w:right w:val="single" w:sz="4" w:space="0" w:color="4FCEFF" w:themeColor="accent4" w:themeTint="99"/>
        <w:insideH w:val="single" w:sz="4" w:space="0" w:color="4FCEFF" w:themeColor="accent4" w:themeTint="99"/>
        <w:insideV w:val="single" w:sz="4" w:space="0" w:color="4FCE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EFF" w:themeFill="accent4" w:themeFillTint="33"/>
      </w:tcPr>
    </w:tblStylePr>
    <w:tblStylePr w:type="band1Horz">
      <w:tblPr/>
      <w:tcPr>
        <w:shd w:val="clear" w:color="auto" w:fill="C4EEFF" w:themeFill="accent4" w:themeFillTint="33"/>
      </w:tcPr>
    </w:tblStylePr>
    <w:tblStylePr w:type="neCell">
      <w:tblPr/>
      <w:tcPr>
        <w:tcBorders>
          <w:bottom w:val="single" w:sz="4" w:space="0" w:color="4FCEFF" w:themeColor="accent4" w:themeTint="99"/>
        </w:tcBorders>
      </w:tcPr>
    </w:tblStylePr>
    <w:tblStylePr w:type="nwCell">
      <w:tblPr/>
      <w:tcPr>
        <w:tcBorders>
          <w:bottom w:val="single" w:sz="4" w:space="0" w:color="4FCEFF" w:themeColor="accent4" w:themeTint="99"/>
        </w:tcBorders>
      </w:tcPr>
    </w:tblStylePr>
    <w:tblStylePr w:type="seCell">
      <w:tblPr/>
      <w:tcPr>
        <w:tcBorders>
          <w:top w:val="single" w:sz="4" w:space="0" w:color="4FCEFF" w:themeColor="accent4" w:themeTint="99"/>
        </w:tcBorders>
      </w:tcPr>
    </w:tblStylePr>
    <w:tblStylePr w:type="swCell">
      <w:tblPr/>
      <w:tcPr>
        <w:tcBorders>
          <w:top w:val="single" w:sz="4" w:space="0" w:color="4FCEFF" w:themeColor="accent4" w:themeTint="99"/>
        </w:tcBorders>
      </w:tcPr>
    </w:tblStylePr>
  </w:style>
  <w:style w:type="table" w:styleId="GridTable7Colorful-Accent5">
    <w:name w:val="Grid Table 7 Colorful Accent 5"/>
    <w:basedOn w:val="TableNormal"/>
    <w:uiPriority w:val="99"/>
    <w:rsid w:val="009D630C"/>
    <w:pPr>
      <w:spacing w:after="0" w:line="240" w:lineRule="auto"/>
    </w:pPr>
    <w:rPr>
      <w:color w:val="2CFF6F" w:themeColor="accent5" w:themeShade="BF"/>
    </w:rPr>
    <w:tblPr>
      <w:tblStyleRowBandSize w:val="1"/>
      <w:tblStyleColBandSize w:val="1"/>
      <w:tblBorders>
        <w:top w:val="single" w:sz="4" w:space="0" w:color="BDFFD1" w:themeColor="accent5" w:themeTint="99"/>
        <w:left w:val="single" w:sz="4" w:space="0" w:color="BDFFD1" w:themeColor="accent5" w:themeTint="99"/>
        <w:bottom w:val="single" w:sz="4" w:space="0" w:color="BDFFD1" w:themeColor="accent5" w:themeTint="99"/>
        <w:right w:val="single" w:sz="4" w:space="0" w:color="BDFFD1" w:themeColor="accent5" w:themeTint="99"/>
        <w:insideH w:val="single" w:sz="4" w:space="0" w:color="BDFFD1" w:themeColor="accent5" w:themeTint="99"/>
        <w:insideV w:val="single" w:sz="4" w:space="0" w:color="BDFF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FEF" w:themeFill="accent5" w:themeFillTint="33"/>
      </w:tcPr>
    </w:tblStylePr>
    <w:tblStylePr w:type="band1Horz">
      <w:tblPr/>
      <w:tcPr>
        <w:shd w:val="clear" w:color="auto" w:fill="E9FFEF" w:themeFill="accent5" w:themeFillTint="33"/>
      </w:tcPr>
    </w:tblStylePr>
    <w:tblStylePr w:type="neCell">
      <w:tblPr/>
      <w:tcPr>
        <w:tcBorders>
          <w:bottom w:val="single" w:sz="4" w:space="0" w:color="BDFFD1" w:themeColor="accent5" w:themeTint="99"/>
        </w:tcBorders>
      </w:tcPr>
    </w:tblStylePr>
    <w:tblStylePr w:type="nwCell">
      <w:tblPr/>
      <w:tcPr>
        <w:tcBorders>
          <w:bottom w:val="single" w:sz="4" w:space="0" w:color="BDFFD1" w:themeColor="accent5" w:themeTint="99"/>
        </w:tcBorders>
      </w:tcPr>
    </w:tblStylePr>
    <w:tblStylePr w:type="seCell">
      <w:tblPr/>
      <w:tcPr>
        <w:tcBorders>
          <w:top w:val="single" w:sz="4" w:space="0" w:color="BDFFD1" w:themeColor="accent5" w:themeTint="99"/>
        </w:tcBorders>
      </w:tcPr>
    </w:tblStylePr>
    <w:tblStylePr w:type="swCell">
      <w:tblPr/>
      <w:tcPr>
        <w:tcBorders>
          <w:top w:val="single" w:sz="4" w:space="0" w:color="BDFFD1" w:themeColor="accent5" w:themeTint="99"/>
        </w:tcBorders>
      </w:tcPr>
    </w:tblStylePr>
  </w:style>
  <w:style w:type="table" w:styleId="GridTable7Colorful-Accent6">
    <w:name w:val="Grid Table 7 Colorful Accent 6"/>
    <w:basedOn w:val="TableNormal"/>
    <w:uiPriority w:val="99"/>
    <w:rsid w:val="009D630C"/>
    <w:pPr>
      <w:spacing w:after="0" w:line="240" w:lineRule="auto"/>
    </w:pPr>
    <w:rPr>
      <w:color w:val="2E7427" w:themeColor="accent6" w:themeShade="BF"/>
    </w:rPr>
    <w:tblPr>
      <w:tblStyleRowBandSize w:val="1"/>
      <w:tblStyleColBandSize w:val="1"/>
      <w:tblBorders>
        <w:top w:val="single" w:sz="4" w:space="0" w:color="80D178" w:themeColor="accent6" w:themeTint="99"/>
        <w:left w:val="single" w:sz="4" w:space="0" w:color="80D178" w:themeColor="accent6" w:themeTint="99"/>
        <w:bottom w:val="single" w:sz="4" w:space="0" w:color="80D178" w:themeColor="accent6" w:themeTint="99"/>
        <w:right w:val="single" w:sz="4" w:space="0" w:color="80D178" w:themeColor="accent6" w:themeTint="99"/>
        <w:insideH w:val="single" w:sz="4" w:space="0" w:color="80D178" w:themeColor="accent6" w:themeTint="99"/>
        <w:insideV w:val="single" w:sz="4" w:space="0" w:color="80D1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FD1" w:themeFill="accent6" w:themeFillTint="33"/>
      </w:tcPr>
    </w:tblStylePr>
    <w:tblStylePr w:type="band1Horz">
      <w:tblPr/>
      <w:tcPr>
        <w:shd w:val="clear" w:color="auto" w:fill="D4EFD1" w:themeFill="accent6" w:themeFillTint="33"/>
      </w:tcPr>
    </w:tblStylePr>
    <w:tblStylePr w:type="neCell">
      <w:tblPr/>
      <w:tcPr>
        <w:tcBorders>
          <w:bottom w:val="single" w:sz="4" w:space="0" w:color="80D178" w:themeColor="accent6" w:themeTint="99"/>
        </w:tcBorders>
      </w:tcPr>
    </w:tblStylePr>
    <w:tblStylePr w:type="nwCell">
      <w:tblPr/>
      <w:tcPr>
        <w:tcBorders>
          <w:bottom w:val="single" w:sz="4" w:space="0" w:color="80D178" w:themeColor="accent6" w:themeTint="99"/>
        </w:tcBorders>
      </w:tcPr>
    </w:tblStylePr>
    <w:tblStylePr w:type="seCell">
      <w:tblPr/>
      <w:tcPr>
        <w:tcBorders>
          <w:top w:val="single" w:sz="4" w:space="0" w:color="80D178" w:themeColor="accent6" w:themeTint="99"/>
        </w:tcBorders>
      </w:tcPr>
    </w:tblStylePr>
    <w:tblStylePr w:type="swCell">
      <w:tblPr/>
      <w:tcPr>
        <w:tcBorders>
          <w:top w:val="single" w:sz="4" w:space="0" w:color="80D178" w:themeColor="accent6" w:themeTint="99"/>
        </w:tcBorders>
      </w:tcPr>
    </w:tblStylePr>
  </w:style>
  <w:style w:type="character" w:styleId="Hashtag">
    <w:name w:val="Hashtag"/>
    <w:basedOn w:val="DefaultParagraphFont"/>
    <w:uiPriority w:val="99"/>
    <w:semiHidden/>
    <w:unhideWhenUsed/>
    <w:rsid w:val="009D630C"/>
    <w:rPr>
      <w:color w:val="2B579A"/>
      <w:shd w:val="clear" w:color="auto" w:fill="E1DFDD"/>
    </w:rPr>
  </w:style>
  <w:style w:type="table" w:styleId="LightGrid">
    <w:name w:val="Light Grid"/>
    <w:basedOn w:val="TableNormal"/>
    <w:uiPriority w:val="99"/>
    <w:semiHidden/>
    <w:unhideWhenUsed/>
    <w:rsid w:val="009D630C"/>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unhideWhenUsed/>
    <w:rsid w:val="009D630C"/>
    <w:pPr>
      <w:spacing w:after="0" w:line="240" w:lineRule="auto"/>
    </w:pPr>
    <w:tblPr>
      <w:tblStyleRowBandSize w:val="1"/>
      <w:tblStyleColBandSize w:val="1"/>
      <w:tblBorders>
        <w:top w:val="single" w:sz="8" w:space="0" w:color="0F204B" w:themeColor="accent1"/>
        <w:left w:val="single" w:sz="8" w:space="0" w:color="0F204B" w:themeColor="accent1"/>
        <w:bottom w:val="single" w:sz="8" w:space="0" w:color="0F204B" w:themeColor="accent1"/>
        <w:right w:val="single" w:sz="8" w:space="0" w:color="0F204B" w:themeColor="accent1"/>
        <w:insideH w:val="single" w:sz="8" w:space="0" w:color="0F204B" w:themeColor="accent1"/>
        <w:insideV w:val="single" w:sz="8" w:space="0" w:color="0F20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18" w:space="0" w:color="0F204B" w:themeColor="accent1"/>
          <w:right w:val="single" w:sz="8" w:space="0" w:color="0F204B" w:themeColor="accent1"/>
          <w:insideH w:val="nil"/>
          <w:insideV w:val="single" w:sz="8" w:space="0" w:color="0F20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insideH w:val="nil"/>
          <w:insideV w:val="single" w:sz="8" w:space="0" w:color="0F20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blStylePr w:type="band1Vert">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shd w:val="clear" w:color="auto" w:fill="A8BBED" w:themeFill="accent1" w:themeFillTint="3F"/>
      </w:tcPr>
    </w:tblStylePr>
    <w:tblStylePr w:type="band1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shd w:val="clear" w:color="auto" w:fill="A8BBED" w:themeFill="accent1" w:themeFillTint="3F"/>
      </w:tcPr>
    </w:tblStylePr>
    <w:tblStylePr w:type="band2Horz">
      <w:tblPr/>
      <w:tcPr>
        <w:tcBorders>
          <w:top w:val="single" w:sz="8" w:space="0" w:color="0F204B" w:themeColor="accent1"/>
          <w:left w:val="single" w:sz="8" w:space="0" w:color="0F204B" w:themeColor="accent1"/>
          <w:bottom w:val="single" w:sz="8" w:space="0" w:color="0F204B" w:themeColor="accent1"/>
          <w:right w:val="single" w:sz="8" w:space="0" w:color="0F204B" w:themeColor="accent1"/>
          <w:insideV w:val="single" w:sz="8" w:space="0" w:color="0F204B" w:themeColor="accent1"/>
        </w:tcBorders>
      </w:tcPr>
    </w:tblStylePr>
  </w:style>
  <w:style w:type="table" w:styleId="LightGrid-Accent2">
    <w:name w:val="Light Grid Accent 2"/>
    <w:basedOn w:val="TableNormal"/>
    <w:uiPriority w:val="99"/>
    <w:semiHidden/>
    <w:unhideWhenUsed/>
    <w:rsid w:val="009D630C"/>
    <w:pPr>
      <w:spacing w:after="0" w:line="240" w:lineRule="auto"/>
    </w:pPr>
    <w:tblPr>
      <w:tblStyleRowBandSize w:val="1"/>
      <w:tblStyleColBandSize w:val="1"/>
      <w:tblBorders>
        <w:top w:val="single" w:sz="8" w:space="0" w:color="99D9F0" w:themeColor="accent2"/>
        <w:left w:val="single" w:sz="8" w:space="0" w:color="99D9F0" w:themeColor="accent2"/>
        <w:bottom w:val="single" w:sz="8" w:space="0" w:color="99D9F0" w:themeColor="accent2"/>
        <w:right w:val="single" w:sz="8" w:space="0" w:color="99D9F0" w:themeColor="accent2"/>
        <w:insideH w:val="single" w:sz="8" w:space="0" w:color="99D9F0" w:themeColor="accent2"/>
        <w:insideV w:val="single" w:sz="8" w:space="0" w:color="99D9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18" w:space="0" w:color="99D9F0" w:themeColor="accent2"/>
          <w:right w:val="single" w:sz="8" w:space="0" w:color="99D9F0" w:themeColor="accent2"/>
          <w:insideH w:val="nil"/>
          <w:insideV w:val="single" w:sz="8" w:space="0" w:color="99D9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insideH w:val="nil"/>
          <w:insideV w:val="single" w:sz="8" w:space="0" w:color="99D9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blStylePr w:type="band1Vert">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shd w:val="clear" w:color="auto" w:fill="E5F5FB" w:themeFill="accent2" w:themeFillTint="3F"/>
      </w:tcPr>
    </w:tblStylePr>
    <w:tblStylePr w:type="band1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shd w:val="clear" w:color="auto" w:fill="E5F5FB" w:themeFill="accent2" w:themeFillTint="3F"/>
      </w:tcPr>
    </w:tblStylePr>
    <w:tblStylePr w:type="band2Horz">
      <w:tblPr/>
      <w:tcPr>
        <w:tcBorders>
          <w:top w:val="single" w:sz="8" w:space="0" w:color="99D9F0" w:themeColor="accent2"/>
          <w:left w:val="single" w:sz="8" w:space="0" w:color="99D9F0" w:themeColor="accent2"/>
          <w:bottom w:val="single" w:sz="8" w:space="0" w:color="99D9F0" w:themeColor="accent2"/>
          <w:right w:val="single" w:sz="8" w:space="0" w:color="99D9F0" w:themeColor="accent2"/>
          <w:insideV w:val="single" w:sz="8" w:space="0" w:color="99D9F0" w:themeColor="accent2"/>
        </w:tcBorders>
      </w:tcPr>
    </w:tblStylePr>
  </w:style>
  <w:style w:type="table" w:styleId="LightGrid-Accent3">
    <w:name w:val="Light Grid Accent 3"/>
    <w:basedOn w:val="TableNormal"/>
    <w:uiPriority w:val="99"/>
    <w:semiHidden/>
    <w:unhideWhenUsed/>
    <w:rsid w:val="009D630C"/>
    <w:pPr>
      <w:spacing w:after="0" w:line="240" w:lineRule="auto"/>
    </w:pPr>
    <w:tblPr>
      <w:tblStyleRowBandSize w:val="1"/>
      <w:tblStyleColBandSize w:val="1"/>
      <w:tblBorders>
        <w:top w:val="single" w:sz="8" w:space="0" w:color="003591" w:themeColor="accent3"/>
        <w:left w:val="single" w:sz="8" w:space="0" w:color="003591" w:themeColor="accent3"/>
        <w:bottom w:val="single" w:sz="8" w:space="0" w:color="003591" w:themeColor="accent3"/>
        <w:right w:val="single" w:sz="8" w:space="0" w:color="003591" w:themeColor="accent3"/>
        <w:insideH w:val="single" w:sz="8" w:space="0" w:color="003591" w:themeColor="accent3"/>
        <w:insideV w:val="single" w:sz="8" w:space="0" w:color="00359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18" w:space="0" w:color="003591" w:themeColor="accent3"/>
          <w:right w:val="single" w:sz="8" w:space="0" w:color="003591" w:themeColor="accent3"/>
          <w:insideH w:val="nil"/>
          <w:insideV w:val="single" w:sz="8" w:space="0" w:color="00359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insideH w:val="nil"/>
          <w:insideV w:val="single" w:sz="8" w:space="0" w:color="00359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blStylePr w:type="band1Vert">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shd w:val="clear" w:color="auto" w:fill="A4C5FF" w:themeFill="accent3" w:themeFillTint="3F"/>
      </w:tcPr>
    </w:tblStylePr>
    <w:tblStylePr w:type="band1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shd w:val="clear" w:color="auto" w:fill="A4C5FF" w:themeFill="accent3" w:themeFillTint="3F"/>
      </w:tcPr>
    </w:tblStylePr>
    <w:tblStylePr w:type="band2Horz">
      <w:tblPr/>
      <w:tcPr>
        <w:tcBorders>
          <w:top w:val="single" w:sz="8" w:space="0" w:color="003591" w:themeColor="accent3"/>
          <w:left w:val="single" w:sz="8" w:space="0" w:color="003591" w:themeColor="accent3"/>
          <w:bottom w:val="single" w:sz="8" w:space="0" w:color="003591" w:themeColor="accent3"/>
          <w:right w:val="single" w:sz="8" w:space="0" w:color="003591" w:themeColor="accent3"/>
          <w:insideV w:val="single" w:sz="8" w:space="0" w:color="003591" w:themeColor="accent3"/>
        </w:tcBorders>
      </w:tcPr>
    </w:tblStylePr>
  </w:style>
  <w:style w:type="table" w:styleId="LightGrid-Accent4">
    <w:name w:val="Light Grid Accent 4"/>
    <w:basedOn w:val="TableNormal"/>
    <w:uiPriority w:val="99"/>
    <w:semiHidden/>
    <w:unhideWhenUsed/>
    <w:rsid w:val="009D630C"/>
    <w:pPr>
      <w:spacing w:after="0" w:line="240" w:lineRule="auto"/>
    </w:pPr>
    <w:tblPr>
      <w:tblStyleRowBandSize w:val="1"/>
      <w:tblStyleColBandSize w:val="1"/>
      <w:tblBorders>
        <w:top w:val="single" w:sz="8" w:space="0" w:color="009FDA" w:themeColor="accent4"/>
        <w:left w:val="single" w:sz="8" w:space="0" w:color="009FDA" w:themeColor="accent4"/>
        <w:bottom w:val="single" w:sz="8" w:space="0" w:color="009FDA" w:themeColor="accent4"/>
        <w:right w:val="single" w:sz="8" w:space="0" w:color="009FDA" w:themeColor="accent4"/>
        <w:insideH w:val="single" w:sz="8" w:space="0" w:color="009FDA" w:themeColor="accent4"/>
        <w:insideV w:val="single" w:sz="8" w:space="0" w:color="009FDA"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18" w:space="0" w:color="009FDA" w:themeColor="accent4"/>
          <w:right w:val="single" w:sz="8" w:space="0" w:color="009FDA" w:themeColor="accent4"/>
          <w:insideH w:val="nil"/>
          <w:insideV w:val="single" w:sz="8" w:space="0" w:color="009FDA"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insideH w:val="nil"/>
          <w:insideV w:val="single" w:sz="8" w:space="0" w:color="009FDA"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blStylePr w:type="band1Vert">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shd w:val="clear" w:color="auto" w:fill="B6EBFF" w:themeFill="accent4" w:themeFillTint="3F"/>
      </w:tcPr>
    </w:tblStylePr>
    <w:tblStylePr w:type="band1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shd w:val="clear" w:color="auto" w:fill="B6EBFF" w:themeFill="accent4" w:themeFillTint="3F"/>
      </w:tcPr>
    </w:tblStylePr>
    <w:tblStylePr w:type="band2Horz">
      <w:tblPr/>
      <w:tcPr>
        <w:tcBorders>
          <w:top w:val="single" w:sz="8" w:space="0" w:color="009FDA" w:themeColor="accent4"/>
          <w:left w:val="single" w:sz="8" w:space="0" w:color="009FDA" w:themeColor="accent4"/>
          <w:bottom w:val="single" w:sz="8" w:space="0" w:color="009FDA" w:themeColor="accent4"/>
          <w:right w:val="single" w:sz="8" w:space="0" w:color="009FDA" w:themeColor="accent4"/>
          <w:insideV w:val="single" w:sz="8" w:space="0" w:color="009FDA" w:themeColor="accent4"/>
        </w:tcBorders>
      </w:tcPr>
    </w:tblStylePr>
  </w:style>
  <w:style w:type="table" w:styleId="LightGrid-Accent5">
    <w:name w:val="Light Grid Accent 5"/>
    <w:basedOn w:val="TableNormal"/>
    <w:uiPriority w:val="99"/>
    <w:semiHidden/>
    <w:unhideWhenUsed/>
    <w:rsid w:val="009D630C"/>
    <w:pPr>
      <w:spacing w:after="0" w:line="240" w:lineRule="auto"/>
    </w:pPr>
    <w:tblPr>
      <w:tblStyleRowBandSize w:val="1"/>
      <w:tblStyleColBandSize w:val="1"/>
      <w:tblBorders>
        <w:top w:val="single" w:sz="8" w:space="0" w:color="91FFB4" w:themeColor="accent5"/>
        <w:left w:val="single" w:sz="8" w:space="0" w:color="91FFB4" w:themeColor="accent5"/>
        <w:bottom w:val="single" w:sz="8" w:space="0" w:color="91FFB4" w:themeColor="accent5"/>
        <w:right w:val="single" w:sz="8" w:space="0" w:color="91FFB4" w:themeColor="accent5"/>
        <w:insideH w:val="single" w:sz="8" w:space="0" w:color="91FFB4" w:themeColor="accent5"/>
        <w:insideV w:val="single" w:sz="8" w:space="0" w:color="91FFB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18" w:space="0" w:color="91FFB4" w:themeColor="accent5"/>
          <w:right w:val="single" w:sz="8" w:space="0" w:color="91FFB4" w:themeColor="accent5"/>
          <w:insideH w:val="nil"/>
          <w:insideV w:val="single" w:sz="8" w:space="0" w:color="91FFB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insideH w:val="nil"/>
          <w:insideV w:val="single" w:sz="8" w:space="0" w:color="91FFB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blStylePr w:type="band1Vert">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shd w:val="clear" w:color="auto" w:fill="E3FFEC" w:themeFill="accent5" w:themeFillTint="3F"/>
      </w:tcPr>
    </w:tblStylePr>
    <w:tblStylePr w:type="band1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shd w:val="clear" w:color="auto" w:fill="E3FFEC" w:themeFill="accent5" w:themeFillTint="3F"/>
      </w:tcPr>
    </w:tblStylePr>
    <w:tblStylePr w:type="band2Horz">
      <w:tblPr/>
      <w:tcPr>
        <w:tcBorders>
          <w:top w:val="single" w:sz="8" w:space="0" w:color="91FFB4" w:themeColor="accent5"/>
          <w:left w:val="single" w:sz="8" w:space="0" w:color="91FFB4" w:themeColor="accent5"/>
          <w:bottom w:val="single" w:sz="8" w:space="0" w:color="91FFB4" w:themeColor="accent5"/>
          <w:right w:val="single" w:sz="8" w:space="0" w:color="91FFB4" w:themeColor="accent5"/>
          <w:insideV w:val="single" w:sz="8" w:space="0" w:color="91FFB4" w:themeColor="accent5"/>
        </w:tcBorders>
      </w:tcPr>
    </w:tblStylePr>
  </w:style>
  <w:style w:type="table" w:styleId="LightGrid-Accent6">
    <w:name w:val="Light Grid Accent 6"/>
    <w:basedOn w:val="TableNormal"/>
    <w:uiPriority w:val="99"/>
    <w:semiHidden/>
    <w:unhideWhenUsed/>
    <w:rsid w:val="009D630C"/>
    <w:pPr>
      <w:spacing w:after="0" w:line="240" w:lineRule="auto"/>
    </w:pPr>
    <w:tblPr>
      <w:tblStyleRowBandSize w:val="1"/>
      <w:tblStyleColBandSize w:val="1"/>
      <w:tblBorders>
        <w:top w:val="single" w:sz="8" w:space="0" w:color="3F9C35" w:themeColor="accent6"/>
        <w:left w:val="single" w:sz="8" w:space="0" w:color="3F9C35" w:themeColor="accent6"/>
        <w:bottom w:val="single" w:sz="8" w:space="0" w:color="3F9C35" w:themeColor="accent6"/>
        <w:right w:val="single" w:sz="8" w:space="0" w:color="3F9C35" w:themeColor="accent6"/>
        <w:insideH w:val="single" w:sz="8" w:space="0" w:color="3F9C35" w:themeColor="accent6"/>
        <w:insideV w:val="single" w:sz="8" w:space="0" w:color="3F9C3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18" w:space="0" w:color="3F9C35" w:themeColor="accent6"/>
          <w:right w:val="single" w:sz="8" w:space="0" w:color="3F9C35" w:themeColor="accent6"/>
          <w:insideH w:val="nil"/>
          <w:insideV w:val="single" w:sz="8" w:space="0" w:color="3F9C3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insideH w:val="nil"/>
          <w:insideV w:val="single" w:sz="8" w:space="0" w:color="3F9C3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blStylePr w:type="band1Vert">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shd w:val="clear" w:color="auto" w:fill="CAECC7" w:themeFill="accent6" w:themeFillTint="3F"/>
      </w:tcPr>
    </w:tblStylePr>
    <w:tblStylePr w:type="band1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shd w:val="clear" w:color="auto" w:fill="CAECC7" w:themeFill="accent6" w:themeFillTint="3F"/>
      </w:tcPr>
    </w:tblStylePr>
    <w:tblStylePr w:type="band2Horz">
      <w:tblPr/>
      <w:tcPr>
        <w:tcBorders>
          <w:top w:val="single" w:sz="8" w:space="0" w:color="3F9C35" w:themeColor="accent6"/>
          <w:left w:val="single" w:sz="8" w:space="0" w:color="3F9C35" w:themeColor="accent6"/>
          <w:bottom w:val="single" w:sz="8" w:space="0" w:color="3F9C35" w:themeColor="accent6"/>
          <w:right w:val="single" w:sz="8" w:space="0" w:color="3F9C35" w:themeColor="accent6"/>
          <w:insideV w:val="single" w:sz="8" w:space="0" w:color="3F9C35" w:themeColor="accent6"/>
        </w:tcBorders>
      </w:tcPr>
    </w:tblStylePr>
  </w:style>
  <w:style w:type="table" w:styleId="LightList">
    <w:name w:val="Light List"/>
    <w:basedOn w:val="TableNormal"/>
    <w:uiPriority w:val="99"/>
    <w:semiHidden/>
    <w:unhideWhenUsed/>
    <w:rsid w:val="009D630C"/>
    <w:pPr>
      <w:spacing w:after="0" w:line="240" w:lineRule="auto"/>
    </w:pPr>
    <w:tblPr>
      <w:tblStyleRowBandSize w:val="1"/>
      <w:tblStyleColBandSize w:val="1"/>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style>
  <w:style w:type="table" w:styleId="LightList-Accent1">
    <w:name w:val="Light List Accent 1"/>
    <w:basedOn w:val="TableNormal"/>
    <w:uiPriority w:val="99"/>
    <w:semiHidden/>
    <w:unhideWhenUsed/>
    <w:rsid w:val="009D630C"/>
    <w:pPr>
      <w:spacing w:after="0" w:line="240" w:lineRule="auto"/>
    </w:pPr>
    <w:tblPr>
      <w:tblStyleRowBandSize w:val="1"/>
      <w:tblStyleColBandSize w:val="1"/>
    </w:tblPr>
    <w:tcPr>
      <w:tcBorders>
        <w:top w:val="single" w:sz="8" w:space="0" w:color="0F204B" w:themeColor="accent1"/>
        <w:left w:val="single" w:sz="8" w:space="0" w:color="0F204B" w:themeColor="accent1"/>
        <w:bottom w:val="single" w:sz="8" w:space="0" w:color="0F204B" w:themeColor="accent1"/>
        <w:right w:val="single" w:sz="8" w:space="0" w:color="0F204B" w:themeColor="accent1"/>
      </w:tcBorders>
    </w:tcPr>
    <w:tblStylePr w:type="firstRow">
      <w:pPr>
        <w:spacing w:before="0" w:after="0" w:line="240" w:lineRule="auto"/>
      </w:pPr>
      <w:rPr>
        <w:b/>
        <w:bCs/>
        <w:color w:val="FFFFFF" w:themeColor="background1"/>
      </w:rPr>
      <w:tblPr/>
      <w:tcPr>
        <w:shd w:val="clear" w:color="auto" w:fill="0F204B" w:themeFill="accent1"/>
      </w:tcPr>
    </w:tblStylePr>
    <w:tblStylePr w:type="lastRow">
      <w:pPr>
        <w:spacing w:before="0" w:after="0" w:line="240" w:lineRule="auto"/>
      </w:pPr>
      <w:rPr>
        <w:b/>
        <w:bCs/>
      </w:rPr>
      <w:tblPr/>
      <w:tcPr>
        <w:tcBorders>
          <w:top w:val="double" w:sz="6" w:space="0" w:color="0F204B" w:themeColor="accent1"/>
          <w:left w:val="single" w:sz="8" w:space="0" w:color="0F204B" w:themeColor="accent1"/>
          <w:bottom w:val="single" w:sz="8" w:space="0" w:color="0F204B" w:themeColor="accent1"/>
          <w:right w:val="single" w:sz="8" w:space="0" w:color="0F204B" w:themeColor="accent1"/>
        </w:tcBorders>
      </w:tcPr>
    </w:tblStylePr>
    <w:tblStylePr w:type="firstCol">
      <w:rPr>
        <w:b/>
        <w:bCs/>
      </w:rPr>
    </w:tblStylePr>
    <w:tblStylePr w:type="lastCol">
      <w:rPr>
        <w:b/>
        <w:bCs/>
      </w:rPr>
    </w:tblStylePr>
  </w:style>
  <w:style w:type="table" w:styleId="LightList-Accent2">
    <w:name w:val="Light List Accent 2"/>
    <w:basedOn w:val="TableNormal"/>
    <w:uiPriority w:val="99"/>
    <w:semiHidden/>
    <w:unhideWhenUsed/>
    <w:rsid w:val="009D630C"/>
    <w:pPr>
      <w:spacing w:after="0" w:line="240" w:lineRule="auto"/>
    </w:pPr>
    <w:tblPr>
      <w:tblStyleRowBandSize w:val="1"/>
      <w:tblStyleColBandSize w:val="1"/>
    </w:tblPr>
    <w:tcPr>
      <w:tcBorders>
        <w:top w:val="single" w:sz="8" w:space="0" w:color="99D9F0" w:themeColor="accent2"/>
        <w:left w:val="single" w:sz="8" w:space="0" w:color="99D9F0" w:themeColor="accent2"/>
        <w:bottom w:val="single" w:sz="8" w:space="0" w:color="99D9F0" w:themeColor="accent2"/>
        <w:right w:val="single" w:sz="8" w:space="0" w:color="99D9F0" w:themeColor="accent2"/>
      </w:tcBorders>
    </w:tcPr>
    <w:tblStylePr w:type="firstRow">
      <w:pPr>
        <w:spacing w:before="0" w:after="0" w:line="240" w:lineRule="auto"/>
      </w:pPr>
      <w:rPr>
        <w:b/>
        <w:bCs/>
        <w:color w:val="FFFFFF" w:themeColor="background1"/>
      </w:rPr>
      <w:tblPr/>
      <w:tcPr>
        <w:shd w:val="clear" w:color="auto" w:fill="99D9F0" w:themeFill="accent2"/>
      </w:tcPr>
    </w:tblStylePr>
    <w:tblStylePr w:type="lastRow">
      <w:pPr>
        <w:spacing w:before="0" w:after="0" w:line="240" w:lineRule="auto"/>
      </w:pPr>
      <w:rPr>
        <w:b/>
        <w:bCs/>
      </w:rPr>
      <w:tblPr/>
      <w:tcPr>
        <w:tcBorders>
          <w:top w:val="double" w:sz="6" w:space="0" w:color="99D9F0" w:themeColor="accent2"/>
          <w:left w:val="single" w:sz="8" w:space="0" w:color="99D9F0" w:themeColor="accent2"/>
          <w:bottom w:val="single" w:sz="8" w:space="0" w:color="99D9F0" w:themeColor="accent2"/>
          <w:right w:val="single" w:sz="8" w:space="0" w:color="99D9F0" w:themeColor="accent2"/>
        </w:tcBorders>
      </w:tcPr>
    </w:tblStylePr>
    <w:tblStylePr w:type="firstCol">
      <w:rPr>
        <w:b/>
        <w:bCs/>
      </w:rPr>
    </w:tblStylePr>
    <w:tblStylePr w:type="lastCol">
      <w:rPr>
        <w:b/>
        <w:bCs/>
      </w:rPr>
    </w:tblStylePr>
  </w:style>
  <w:style w:type="table" w:styleId="LightList-Accent3">
    <w:name w:val="Light List Accent 3"/>
    <w:basedOn w:val="TableNormal"/>
    <w:uiPriority w:val="99"/>
    <w:semiHidden/>
    <w:unhideWhenUsed/>
    <w:rsid w:val="009D630C"/>
    <w:pPr>
      <w:spacing w:after="0" w:line="240" w:lineRule="auto"/>
    </w:pPr>
    <w:tblPr>
      <w:tblStyleRowBandSize w:val="1"/>
      <w:tblStyleColBandSize w:val="1"/>
    </w:tblPr>
    <w:tcPr>
      <w:tcBorders>
        <w:top w:val="single" w:sz="8" w:space="0" w:color="003591" w:themeColor="accent3"/>
        <w:left w:val="single" w:sz="8" w:space="0" w:color="003591" w:themeColor="accent3"/>
        <w:bottom w:val="single" w:sz="8" w:space="0" w:color="003591" w:themeColor="accent3"/>
        <w:right w:val="single" w:sz="8" w:space="0" w:color="003591" w:themeColor="accent3"/>
      </w:tcBorders>
    </w:tcPr>
    <w:tblStylePr w:type="firstRow">
      <w:pPr>
        <w:spacing w:before="0" w:after="0" w:line="240" w:lineRule="auto"/>
      </w:pPr>
      <w:rPr>
        <w:b/>
        <w:bCs/>
        <w:color w:val="FFFFFF" w:themeColor="background1"/>
      </w:rPr>
      <w:tblPr/>
      <w:tcPr>
        <w:shd w:val="clear" w:color="auto" w:fill="003591" w:themeFill="accent3"/>
      </w:tcPr>
    </w:tblStylePr>
    <w:tblStylePr w:type="lastRow">
      <w:pPr>
        <w:spacing w:before="0" w:after="0" w:line="240" w:lineRule="auto"/>
      </w:pPr>
      <w:rPr>
        <w:b/>
        <w:bCs/>
      </w:rPr>
      <w:tblPr/>
      <w:tcPr>
        <w:tcBorders>
          <w:top w:val="double" w:sz="6" w:space="0" w:color="003591" w:themeColor="accent3"/>
          <w:left w:val="single" w:sz="8" w:space="0" w:color="003591" w:themeColor="accent3"/>
          <w:bottom w:val="single" w:sz="8" w:space="0" w:color="003591" w:themeColor="accent3"/>
          <w:right w:val="single" w:sz="8" w:space="0" w:color="003591" w:themeColor="accent3"/>
        </w:tcBorders>
      </w:tcPr>
    </w:tblStylePr>
    <w:tblStylePr w:type="firstCol">
      <w:rPr>
        <w:b/>
        <w:bCs/>
      </w:rPr>
    </w:tblStylePr>
    <w:tblStylePr w:type="lastCol">
      <w:rPr>
        <w:b/>
        <w:bCs/>
      </w:rPr>
    </w:tblStylePr>
  </w:style>
  <w:style w:type="table" w:styleId="LightList-Accent4">
    <w:name w:val="Light List Accent 4"/>
    <w:basedOn w:val="TableNormal"/>
    <w:uiPriority w:val="99"/>
    <w:semiHidden/>
    <w:unhideWhenUsed/>
    <w:rsid w:val="009D630C"/>
    <w:pPr>
      <w:spacing w:after="0" w:line="240" w:lineRule="auto"/>
    </w:pPr>
    <w:tblPr>
      <w:tblStyleRowBandSize w:val="1"/>
      <w:tblStyleColBandSize w:val="1"/>
    </w:tblPr>
    <w:tcPr>
      <w:tcBorders>
        <w:top w:val="single" w:sz="8" w:space="0" w:color="009FDA" w:themeColor="accent4"/>
        <w:left w:val="single" w:sz="8" w:space="0" w:color="009FDA" w:themeColor="accent4"/>
        <w:bottom w:val="single" w:sz="8" w:space="0" w:color="009FDA" w:themeColor="accent4"/>
        <w:right w:val="single" w:sz="8" w:space="0" w:color="009FDA" w:themeColor="accent4"/>
      </w:tcBorders>
    </w:tcPr>
    <w:tblStylePr w:type="firstRow">
      <w:pPr>
        <w:spacing w:before="0" w:after="0" w:line="240" w:lineRule="auto"/>
      </w:pPr>
      <w:rPr>
        <w:b/>
        <w:bCs/>
        <w:color w:val="FFFFFF" w:themeColor="background1"/>
      </w:rPr>
      <w:tblPr/>
      <w:tcPr>
        <w:shd w:val="clear" w:color="auto" w:fill="009FDA" w:themeFill="accent4"/>
      </w:tcPr>
    </w:tblStylePr>
    <w:tblStylePr w:type="lastRow">
      <w:pPr>
        <w:spacing w:before="0" w:after="0" w:line="240" w:lineRule="auto"/>
      </w:pPr>
      <w:rPr>
        <w:b/>
        <w:bCs/>
      </w:rPr>
      <w:tblPr/>
      <w:tcPr>
        <w:tcBorders>
          <w:top w:val="double" w:sz="6" w:space="0" w:color="009FDA" w:themeColor="accent4"/>
          <w:left w:val="single" w:sz="8" w:space="0" w:color="009FDA" w:themeColor="accent4"/>
          <w:bottom w:val="single" w:sz="8" w:space="0" w:color="009FDA" w:themeColor="accent4"/>
          <w:right w:val="single" w:sz="8" w:space="0" w:color="009FDA" w:themeColor="accent4"/>
        </w:tcBorders>
      </w:tcPr>
    </w:tblStylePr>
    <w:tblStylePr w:type="firstCol">
      <w:rPr>
        <w:b/>
        <w:bCs/>
      </w:rPr>
    </w:tblStylePr>
    <w:tblStylePr w:type="lastCol">
      <w:rPr>
        <w:b/>
        <w:bCs/>
      </w:rPr>
    </w:tblStylePr>
  </w:style>
  <w:style w:type="table" w:styleId="LightList-Accent5">
    <w:name w:val="Light List Accent 5"/>
    <w:basedOn w:val="TableNormal"/>
    <w:uiPriority w:val="99"/>
    <w:semiHidden/>
    <w:unhideWhenUsed/>
    <w:rsid w:val="009D630C"/>
    <w:pPr>
      <w:spacing w:after="0" w:line="240" w:lineRule="auto"/>
    </w:pPr>
    <w:tblPr>
      <w:tblStyleRowBandSize w:val="1"/>
      <w:tblStyleColBandSize w:val="1"/>
    </w:tblPr>
    <w:tcPr>
      <w:tcBorders>
        <w:top w:val="single" w:sz="8" w:space="0" w:color="91FFB4" w:themeColor="accent5"/>
        <w:left w:val="single" w:sz="8" w:space="0" w:color="91FFB4" w:themeColor="accent5"/>
        <w:bottom w:val="single" w:sz="8" w:space="0" w:color="91FFB4" w:themeColor="accent5"/>
        <w:right w:val="single" w:sz="8" w:space="0" w:color="91FFB4" w:themeColor="accent5"/>
      </w:tcBorders>
    </w:tcPr>
    <w:tblStylePr w:type="firstRow">
      <w:pPr>
        <w:spacing w:before="0" w:after="0" w:line="240" w:lineRule="auto"/>
      </w:pPr>
      <w:rPr>
        <w:b/>
        <w:bCs/>
        <w:color w:val="FFFFFF" w:themeColor="background1"/>
      </w:rPr>
      <w:tblPr/>
      <w:tcPr>
        <w:shd w:val="clear" w:color="auto" w:fill="91FFB4" w:themeFill="accent5"/>
      </w:tcPr>
    </w:tblStylePr>
    <w:tblStylePr w:type="lastRow">
      <w:pPr>
        <w:spacing w:before="0" w:after="0" w:line="240" w:lineRule="auto"/>
      </w:pPr>
      <w:rPr>
        <w:b/>
        <w:bCs/>
      </w:rPr>
      <w:tblPr/>
      <w:tcPr>
        <w:tcBorders>
          <w:top w:val="double" w:sz="6" w:space="0" w:color="91FFB4" w:themeColor="accent5"/>
          <w:left w:val="single" w:sz="8" w:space="0" w:color="91FFB4" w:themeColor="accent5"/>
          <w:bottom w:val="single" w:sz="8" w:space="0" w:color="91FFB4" w:themeColor="accent5"/>
          <w:right w:val="single" w:sz="8" w:space="0" w:color="91FFB4" w:themeColor="accent5"/>
        </w:tcBorders>
      </w:tcPr>
    </w:tblStylePr>
    <w:tblStylePr w:type="firstCol">
      <w:rPr>
        <w:b/>
        <w:bCs/>
      </w:rPr>
    </w:tblStylePr>
    <w:tblStylePr w:type="lastCol">
      <w:rPr>
        <w:b/>
        <w:bCs/>
      </w:rPr>
    </w:tblStylePr>
  </w:style>
  <w:style w:type="table" w:styleId="LightList-Accent6">
    <w:name w:val="Light List Accent 6"/>
    <w:basedOn w:val="TableNormal"/>
    <w:uiPriority w:val="99"/>
    <w:semiHidden/>
    <w:unhideWhenUsed/>
    <w:rsid w:val="009D630C"/>
    <w:pPr>
      <w:spacing w:after="0" w:line="240" w:lineRule="auto"/>
    </w:pPr>
    <w:tblPr>
      <w:tblStyleRowBandSize w:val="1"/>
      <w:tblStyleColBandSize w:val="1"/>
    </w:tblPr>
    <w:tcPr>
      <w:tcBorders>
        <w:top w:val="single" w:sz="8" w:space="0" w:color="3F9C35" w:themeColor="accent6"/>
        <w:left w:val="single" w:sz="8" w:space="0" w:color="3F9C35" w:themeColor="accent6"/>
        <w:bottom w:val="single" w:sz="8" w:space="0" w:color="3F9C35" w:themeColor="accent6"/>
        <w:right w:val="single" w:sz="8" w:space="0" w:color="3F9C35" w:themeColor="accent6"/>
      </w:tcBorders>
    </w:tcPr>
    <w:tblStylePr w:type="firstRow">
      <w:pPr>
        <w:spacing w:before="0" w:after="0" w:line="240" w:lineRule="auto"/>
      </w:pPr>
      <w:rPr>
        <w:b/>
        <w:bCs/>
        <w:color w:val="FFFFFF" w:themeColor="background1"/>
      </w:rPr>
      <w:tblPr/>
      <w:tcPr>
        <w:shd w:val="clear" w:color="auto" w:fill="3F9C35" w:themeFill="accent6"/>
      </w:tcPr>
    </w:tblStylePr>
    <w:tblStylePr w:type="lastRow">
      <w:pPr>
        <w:spacing w:before="0" w:after="0" w:line="240" w:lineRule="auto"/>
      </w:pPr>
      <w:rPr>
        <w:b/>
        <w:bCs/>
      </w:rPr>
      <w:tblPr/>
      <w:tcPr>
        <w:tcBorders>
          <w:top w:val="double" w:sz="6" w:space="0" w:color="3F9C35" w:themeColor="accent6"/>
          <w:left w:val="single" w:sz="8" w:space="0" w:color="3F9C35" w:themeColor="accent6"/>
          <w:bottom w:val="single" w:sz="8" w:space="0" w:color="3F9C35" w:themeColor="accent6"/>
          <w:right w:val="single" w:sz="8" w:space="0" w:color="3F9C35" w:themeColor="accent6"/>
        </w:tcBorders>
      </w:tcPr>
    </w:tblStylePr>
    <w:tblStylePr w:type="firstCol">
      <w:rPr>
        <w:b/>
        <w:bCs/>
      </w:rPr>
    </w:tblStylePr>
    <w:tblStylePr w:type="lastCol">
      <w:rPr>
        <w:b/>
        <w:bCs/>
      </w:rPr>
    </w:tblStylePr>
  </w:style>
  <w:style w:type="table" w:styleId="LightShading">
    <w:name w:val="Light Shading"/>
    <w:basedOn w:val="TableNormal"/>
    <w:uiPriority w:val="99"/>
    <w:semiHidden/>
    <w:unhideWhenUsed/>
    <w:rsid w:val="009D630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unhideWhenUsed/>
    <w:rsid w:val="009D630C"/>
    <w:pPr>
      <w:spacing w:after="0" w:line="240" w:lineRule="auto"/>
    </w:pPr>
    <w:rPr>
      <w:color w:val="0B1738" w:themeColor="accent1" w:themeShade="BF"/>
    </w:rPr>
    <w:tblPr>
      <w:tblStyleRowBandSize w:val="1"/>
      <w:tblStyleColBandSize w:val="1"/>
      <w:tblBorders>
        <w:top w:val="single" w:sz="8" w:space="0" w:color="0F204B" w:themeColor="accent1"/>
        <w:bottom w:val="single" w:sz="8" w:space="0" w:color="0F204B" w:themeColor="accent1"/>
      </w:tblBorders>
    </w:tblPr>
    <w:tblStylePr w:type="fir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lastRow">
      <w:pPr>
        <w:spacing w:before="0" w:after="0" w:line="240" w:lineRule="auto"/>
      </w:pPr>
      <w:rPr>
        <w:b/>
        <w:bCs/>
      </w:rPr>
      <w:tblPr/>
      <w:tcPr>
        <w:tcBorders>
          <w:top w:val="single" w:sz="8" w:space="0" w:color="0F204B" w:themeColor="accent1"/>
          <w:left w:val="nil"/>
          <w:bottom w:val="single" w:sz="8" w:space="0" w:color="0F20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BBED" w:themeFill="accent1" w:themeFillTint="3F"/>
      </w:tcPr>
    </w:tblStylePr>
    <w:tblStylePr w:type="band1Horz">
      <w:tblPr/>
      <w:tcPr>
        <w:tcBorders>
          <w:left w:val="nil"/>
          <w:right w:val="nil"/>
          <w:insideH w:val="nil"/>
          <w:insideV w:val="nil"/>
        </w:tcBorders>
        <w:shd w:val="clear" w:color="auto" w:fill="A8BBED" w:themeFill="accent1" w:themeFillTint="3F"/>
      </w:tcPr>
    </w:tblStylePr>
  </w:style>
  <w:style w:type="table" w:styleId="LightShading-Accent2">
    <w:name w:val="Light Shading Accent 2"/>
    <w:basedOn w:val="TableNormal"/>
    <w:uiPriority w:val="99"/>
    <w:semiHidden/>
    <w:unhideWhenUsed/>
    <w:rsid w:val="009D630C"/>
    <w:pPr>
      <w:spacing w:after="0" w:line="240" w:lineRule="auto"/>
    </w:pPr>
    <w:rPr>
      <w:color w:val="43B8E3" w:themeColor="accent2" w:themeShade="BF"/>
    </w:rPr>
    <w:tblPr>
      <w:tblStyleRowBandSize w:val="1"/>
      <w:tblStyleColBandSize w:val="1"/>
      <w:tblBorders>
        <w:top w:val="single" w:sz="8" w:space="0" w:color="99D9F0" w:themeColor="accent2"/>
        <w:bottom w:val="single" w:sz="8" w:space="0" w:color="99D9F0" w:themeColor="accent2"/>
      </w:tblBorders>
    </w:tblPr>
    <w:tblStylePr w:type="fir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lastRow">
      <w:pPr>
        <w:spacing w:before="0" w:after="0" w:line="240" w:lineRule="auto"/>
      </w:pPr>
      <w:rPr>
        <w:b/>
        <w:bCs/>
      </w:rPr>
      <w:tblPr/>
      <w:tcPr>
        <w:tcBorders>
          <w:top w:val="single" w:sz="8" w:space="0" w:color="99D9F0" w:themeColor="accent2"/>
          <w:left w:val="nil"/>
          <w:bottom w:val="single" w:sz="8" w:space="0" w:color="99D9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B" w:themeFill="accent2" w:themeFillTint="3F"/>
      </w:tcPr>
    </w:tblStylePr>
    <w:tblStylePr w:type="band1Horz">
      <w:tblPr/>
      <w:tcPr>
        <w:tcBorders>
          <w:left w:val="nil"/>
          <w:right w:val="nil"/>
          <w:insideH w:val="nil"/>
          <w:insideV w:val="nil"/>
        </w:tcBorders>
        <w:shd w:val="clear" w:color="auto" w:fill="E5F5FB" w:themeFill="accent2" w:themeFillTint="3F"/>
      </w:tcPr>
    </w:tblStylePr>
  </w:style>
  <w:style w:type="table" w:styleId="LightShading-Accent3">
    <w:name w:val="Light Shading Accent 3"/>
    <w:basedOn w:val="TableNormal"/>
    <w:uiPriority w:val="99"/>
    <w:semiHidden/>
    <w:unhideWhenUsed/>
    <w:rsid w:val="009D630C"/>
    <w:pPr>
      <w:spacing w:after="0" w:line="240" w:lineRule="auto"/>
    </w:pPr>
    <w:rPr>
      <w:color w:val="00276C" w:themeColor="accent3" w:themeShade="BF"/>
    </w:rPr>
    <w:tblPr>
      <w:tblStyleRowBandSize w:val="1"/>
      <w:tblStyleColBandSize w:val="1"/>
      <w:tblBorders>
        <w:top w:val="single" w:sz="8" w:space="0" w:color="003591" w:themeColor="accent3"/>
        <w:bottom w:val="single" w:sz="8" w:space="0" w:color="003591" w:themeColor="accent3"/>
      </w:tblBorders>
    </w:tblPr>
    <w:tblStylePr w:type="fir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lastRow">
      <w:pPr>
        <w:spacing w:before="0" w:after="0" w:line="240" w:lineRule="auto"/>
      </w:pPr>
      <w:rPr>
        <w:b/>
        <w:bCs/>
      </w:rPr>
      <w:tblPr/>
      <w:tcPr>
        <w:tcBorders>
          <w:top w:val="single" w:sz="8" w:space="0" w:color="003591" w:themeColor="accent3"/>
          <w:left w:val="nil"/>
          <w:bottom w:val="single" w:sz="8" w:space="0" w:color="00359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C5FF" w:themeFill="accent3" w:themeFillTint="3F"/>
      </w:tcPr>
    </w:tblStylePr>
    <w:tblStylePr w:type="band1Horz">
      <w:tblPr/>
      <w:tcPr>
        <w:tcBorders>
          <w:left w:val="nil"/>
          <w:right w:val="nil"/>
          <w:insideH w:val="nil"/>
          <w:insideV w:val="nil"/>
        </w:tcBorders>
        <w:shd w:val="clear" w:color="auto" w:fill="A4C5FF" w:themeFill="accent3" w:themeFillTint="3F"/>
      </w:tcPr>
    </w:tblStylePr>
  </w:style>
  <w:style w:type="table" w:styleId="LightShading-Accent4">
    <w:name w:val="Light Shading Accent 4"/>
    <w:basedOn w:val="TableNormal"/>
    <w:uiPriority w:val="99"/>
    <w:semiHidden/>
    <w:unhideWhenUsed/>
    <w:rsid w:val="009D630C"/>
    <w:pPr>
      <w:spacing w:after="0" w:line="240" w:lineRule="auto"/>
    </w:pPr>
    <w:rPr>
      <w:color w:val="0076A3" w:themeColor="accent4" w:themeShade="BF"/>
    </w:rPr>
    <w:tblPr>
      <w:tblStyleRowBandSize w:val="1"/>
      <w:tblStyleColBandSize w:val="1"/>
      <w:tblBorders>
        <w:top w:val="single" w:sz="8" w:space="0" w:color="009FDA" w:themeColor="accent4"/>
        <w:bottom w:val="single" w:sz="8" w:space="0" w:color="009FDA" w:themeColor="accent4"/>
      </w:tblBorders>
    </w:tblPr>
    <w:tblStylePr w:type="fir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lastRow">
      <w:pPr>
        <w:spacing w:before="0" w:after="0" w:line="240" w:lineRule="auto"/>
      </w:pPr>
      <w:rPr>
        <w:b/>
        <w:bCs/>
      </w:rPr>
      <w:tblPr/>
      <w:tcPr>
        <w:tcBorders>
          <w:top w:val="single" w:sz="8" w:space="0" w:color="009FDA" w:themeColor="accent4"/>
          <w:left w:val="nil"/>
          <w:bottom w:val="single" w:sz="8" w:space="0" w:color="009FDA"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BFF" w:themeFill="accent4" w:themeFillTint="3F"/>
      </w:tcPr>
    </w:tblStylePr>
    <w:tblStylePr w:type="band1Horz">
      <w:tblPr/>
      <w:tcPr>
        <w:tcBorders>
          <w:left w:val="nil"/>
          <w:right w:val="nil"/>
          <w:insideH w:val="nil"/>
          <w:insideV w:val="nil"/>
        </w:tcBorders>
        <w:shd w:val="clear" w:color="auto" w:fill="B6EBFF" w:themeFill="accent4" w:themeFillTint="3F"/>
      </w:tcPr>
    </w:tblStylePr>
  </w:style>
  <w:style w:type="table" w:styleId="LightShading-Accent5">
    <w:name w:val="Light Shading Accent 5"/>
    <w:basedOn w:val="TableNormal"/>
    <w:uiPriority w:val="99"/>
    <w:semiHidden/>
    <w:unhideWhenUsed/>
    <w:rsid w:val="009D630C"/>
    <w:pPr>
      <w:spacing w:after="0" w:line="240" w:lineRule="auto"/>
    </w:pPr>
    <w:rPr>
      <w:color w:val="2CFF6F" w:themeColor="accent5" w:themeShade="BF"/>
    </w:rPr>
    <w:tblPr>
      <w:tblStyleRowBandSize w:val="1"/>
      <w:tblStyleColBandSize w:val="1"/>
      <w:tblBorders>
        <w:top w:val="single" w:sz="8" w:space="0" w:color="91FFB4" w:themeColor="accent5"/>
        <w:bottom w:val="single" w:sz="8" w:space="0" w:color="91FFB4" w:themeColor="accent5"/>
      </w:tblBorders>
    </w:tblPr>
    <w:tblStylePr w:type="fir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lastRow">
      <w:pPr>
        <w:spacing w:before="0" w:after="0" w:line="240" w:lineRule="auto"/>
      </w:pPr>
      <w:rPr>
        <w:b/>
        <w:bCs/>
      </w:rPr>
      <w:tblPr/>
      <w:tcPr>
        <w:tcBorders>
          <w:top w:val="single" w:sz="8" w:space="0" w:color="91FFB4" w:themeColor="accent5"/>
          <w:left w:val="nil"/>
          <w:bottom w:val="single" w:sz="8" w:space="0" w:color="91FFB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FEC" w:themeFill="accent5" w:themeFillTint="3F"/>
      </w:tcPr>
    </w:tblStylePr>
    <w:tblStylePr w:type="band1Horz">
      <w:tblPr/>
      <w:tcPr>
        <w:tcBorders>
          <w:left w:val="nil"/>
          <w:right w:val="nil"/>
          <w:insideH w:val="nil"/>
          <w:insideV w:val="nil"/>
        </w:tcBorders>
        <w:shd w:val="clear" w:color="auto" w:fill="E3FFEC" w:themeFill="accent5" w:themeFillTint="3F"/>
      </w:tcPr>
    </w:tblStylePr>
  </w:style>
  <w:style w:type="table" w:styleId="LightShading-Accent6">
    <w:name w:val="Light Shading Accent 6"/>
    <w:basedOn w:val="TableNormal"/>
    <w:uiPriority w:val="99"/>
    <w:semiHidden/>
    <w:unhideWhenUsed/>
    <w:rsid w:val="009D630C"/>
    <w:pPr>
      <w:spacing w:after="0" w:line="240" w:lineRule="auto"/>
    </w:pPr>
    <w:rPr>
      <w:color w:val="2E7427" w:themeColor="accent6" w:themeShade="BF"/>
    </w:rPr>
    <w:tblPr>
      <w:tblStyleRowBandSize w:val="1"/>
      <w:tblStyleColBandSize w:val="1"/>
    </w:tblPr>
    <w:tcPr>
      <w:tcBorders>
        <w:left w:val="nil"/>
        <w:right w:val="nil"/>
      </w:tcBorders>
      <w:shd w:val="clear" w:color="auto" w:fill="CAECC7" w:themeFill="accent6" w:themeFillTint="3F"/>
    </w:tcPr>
    <w:tblStylePr w:type="fir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lastRow">
      <w:pPr>
        <w:spacing w:before="0" w:after="0" w:line="240" w:lineRule="auto"/>
      </w:pPr>
      <w:rPr>
        <w:b/>
        <w:bCs/>
      </w:rPr>
      <w:tblPr/>
      <w:tcPr>
        <w:tcBorders>
          <w:top w:val="single" w:sz="8" w:space="0" w:color="3F9C35" w:themeColor="accent6"/>
          <w:left w:val="nil"/>
          <w:bottom w:val="single" w:sz="8" w:space="0" w:color="3F9C3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CC7" w:themeFill="accent6" w:themeFillTint="3F"/>
      </w:tcPr>
    </w:tblStylePr>
  </w:style>
  <w:style w:type="table" w:styleId="ListTable1Light">
    <w:name w:val="List Table 1 Light"/>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rPr>
      <w:tblPr/>
      <w:tcPr>
        <w:tcBorders>
          <w:bottom w:val="single" w:sz="4" w:space="0" w:color="2D5CD5" w:themeColor="accent1" w:themeTint="99"/>
        </w:tcBorders>
      </w:tcPr>
    </w:tblStylePr>
    <w:tblStylePr w:type="lastRow">
      <w:rPr>
        <w:b/>
        <w:bCs/>
      </w:rPr>
      <w:tblPr/>
      <w:tcPr>
        <w:tcBorders>
          <w:top w:val="sing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ListTable1Light-Accent2">
    <w:name w:val="List Table 1 Light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rPr>
      <w:tblPr/>
      <w:tcPr>
        <w:tcBorders>
          <w:bottom w:val="single" w:sz="4" w:space="0" w:color="C1E8F6" w:themeColor="accent2" w:themeTint="99"/>
        </w:tcBorders>
      </w:tcPr>
    </w:tblStylePr>
    <w:tblStylePr w:type="lastRow">
      <w:rPr>
        <w:b/>
        <w:bCs/>
      </w:rPr>
      <w:tblPr/>
      <w:tcPr>
        <w:tcBorders>
          <w:top w:val="sing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ListTable1Light-Accent3">
    <w:name w:val="List Table 1 Light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rPr>
      <w:tblPr/>
      <w:tcPr>
        <w:tcBorders>
          <w:bottom w:val="single" w:sz="4" w:space="0" w:color="2473FF" w:themeColor="accent3" w:themeTint="99"/>
        </w:tcBorders>
      </w:tcPr>
    </w:tblStylePr>
    <w:tblStylePr w:type="lastRow">
      <w:rPr>
        <w:b/>
        <w:bCs/>
      </w:rPr>
      <w:tblPr/>
      <w:tcPr>
        <w:tcBorders>
          <w:top w:val="sing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ListTable1Light-Accent4">
    <w:name w:val="List Table 1 Light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rPr>
      <w:tblPr/>
      <w:tcPr>
        <w:tcBorders>
          <w:bottom w:val="single" w:sz="4" w:space="0" w:color="4FCEFF" w:themeColor="accent4" w:themeTint="99"/>
        </w:tcBorders>
      </w:tcPr>
    </w:tblStylePr>
    <w:tblStylePr w:type="lastRow">
      <w:rPr>
        <w:b/>
        <w:bCs/>
      </w:rPr>
      <w:tblPr/>
      <w:tcPr>
        <w:tcBorders>
          <w:top w:val="sing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ListTable1Light-Accent5">
    <w:name w:val="List Table 1 Light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rPr>
      <w:tblPr/>
      <w:tcPr>
        <w:tcBorders>
          <w:bottom w:val="single" w:sz="4" w:space="0" w:color="BDFFD1" w:themeColor="accent5" w:themeTint="99"/>
        </w:tcBorders>
      </w:tcPr>
    </w:tblStylePr>
    <w:tblStylePr w:type="lastRow">
      <w:rPr>
        <w:b/>
        <w:bCs/>
      </w:rPr>
      <w:tblPr/>
      <w:tcPr>
        <w:tcBorders>
          <w:top w:val="sing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ListTable1Light-Accent6">
    <w:name w:val="List Table 1 Light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rPr>
      <w:tblPr/>
      <w:tcPr>
        <w:tcBorders>
          <w:bottom w:val="single" w:sz="4" w:space="0" w:color="80D178" w:themeColor="accent6" w:themeTint="99"/>
        </w:tcBorders>
      </w:tcPr>
    </w:tblStylePr>
    <w:tblStylePr w:type="lastRow">
      <w:rPr>
        <w:b/>
        <w:bCs/>
      </w:rPr>
      <w:tblPr/>
      <w:tcPr>
        <w:tcBorders>
          <w:top w:val="sing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ListTable2">
    <w:name w:val="List Table 2"/>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1">
    <w:name w:val="List Table 2 Accent 1"/>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2">
    <w:name w:val="List Table 2 Accent 2"/>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3">
    <w:name w:val="List Table 2 Accent 3"/>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4">
    <w:name w:val="List Table 2 Accent 4"/>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5">
    <w:name w:val="List Table 2 Accent 5"/>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2-Accent6">
    <w:name w:val="List Table 2 Accent 6"/>
    <w:basedOn w:val="TableNormal"/>
    <w:uiPriority w:val="99"/>
    <w:rsid w:val="009D630C"/>
    <w:pPr>
      <w:spacing w:after="0" w:line="240" w:lineRule="auto"/>
    </w:pPr>
    <w:tblPr>
      <w:tblStyleColBandSize w:val="1"/>
    </w:tblPr>
    <w:tblStylePr w:type="firstRow">
      <w:rPr>
        <w:b/>
        <w:bCs/>
      </w:rPr>
    </w:tblStylePr>
    <w:tblStylePr w:type="lastRow">
      <w:rPr>
        <w:b/>
        <w:bCs/>
      </w:rPr>
    </w:tblStylePr>
    <w:tblStylePr w:type="firstCol">
      <w:rPr>
        <w:b/>
        <w:bCs/>
      </w:rPr>
    </w:tblStylePr>
    <w:tblStylePr w:type="lastCol">
      <w:rPr>
        <w:b/>
        <w:bCs/>
      </w:rPr>
    </w:tblStylePr>
  </w:style>
  <w:style w:type="table" w:styleId="ListTable3">
    <w:name w:val="List Table 3"/>
    <w:basedOn w:val="TableNormal"/>
    <w:uiPriority w:val="99"/>
    <w:rsid w:val="009D630C"/>
    <w:pPr>
      <w:spacing w:after="0" w:line="240" w:lineRule="auto"/>
    </w:pPr>
    <w:tblPr>
      <w:tblStyleRowBandSize w:val="1"/>
      <w:tblStyleColBandSize w:val="1"/>
    </w:tblPr>
    <w:tcPr>
      <w:tcBorders>
        <w:top w:val="single" w:sz="4" w:space="0" w:color="000000" w:themeColor="text1"/>
        <w:bottom w:val="single" w:sz="4" w:space="0" w:color="000000" w:themeColor="text1"/>
      </w:tcBorders>
    </w:tc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99"/>
    <w:rsid w:val="009D630C"/>
    <w:pPr>
      <w:spacing w:after="0" w:line="240" w:lineRule="auto"/>
    </w:pPr>
    <w:tblPr>
      <w:tblStyleRowBandSize w:val="1"/>
      <w:tblStyleColBandSize w:val="1"/>
    </w:tblPr>
    <w:tcPr>
      <w:tcBorders>
        <w:top w:val="single" w:sz="4" w:space="0" w:color="0F204B" w:themeColor="accent1"/>
        <w:bottom w:val="single" w:sz="4" w:space="0" w:color="0F204B" w:themeColor="accent1"/>
      </w:tcBorders>
    </w:tcPr>
    <w:tblStylePr w:type="firstRow">
      <w:rPr>
        <w:b/>
        <w:bCs/>
        <w:color w:val="FFFFFF" w:themeColor="background1"/>
      </w:rPr>
      <w:tblPr/>
      <w:tcPr>
        <w:shd w:val="clear" w:color="auto" w:fill="0F204B" w:themeFill="accent1"/>
      </w:tcPr>
    </w:tblStylePr>
    <w:tblStylePr w:type="lastRow">
      <w:rPr>
        <w:b/>
        <w:bCs/>
      </w:rPr>
      <w:tblPr/>
      <w:tcPr>
        <w:tcBorders>
          <w:top w:val="double" w:sz="4" w:space="0" w:color="0F20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204B" w:themeColor="accent1"/>
          <w:right w:val="single" w:sz="4" w:space="0" w:color="0F204B"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204B" w:themeColor="accent1"/>
          <w:left w:val="nil"/>
        </w:tcBorders>
      </w:tcPr>
    </w:tblStylePr>
    <w:tblStylePr w:type="swCell">
      <w:tblPr/>
      <w:tcPr>
        <w:tcBorders>
          <w:top w:val="double" w:sz="4" w:space="0" w:color="0F204B" w:themeColor="accent1"/>
          <w:right w:val="nil"/>
        </w:tcBorders>
      </w:tcPr>
    </w:tblStylePr>
  </w:style>
  <w:style w:type="table" w:styleId="ListTable3-Accent2">
    <w:name w:val="List Table 3 Accent 2"/>
    <w:basedOn w:val="TableNormal"/>
    <w:uiPriority w:val="99"/>
    <w:rsid w:val="009D630C"/>
    <w:pPr>
      <w:spacing w:after="0" w:line="240" w:lineRule="auto"/>
    </w:pPr>
    <w:tblPr>
      <w:tblStyleRowBandSize w:val="1"/>
      <w:tblStyleColBandSize w:val="1"/>
    </w:tblPr>
    <w:tcPr>
      <w:tcBorders>
        <w:top w:val="single" w:sz="4" w:space="0" w:color="99D9F0" w:themeColor="accent2"/>
        <w:bottom w:val="single" w:sz="4" w:space="0" w:color="99D9F0" w:themeColor="accent2"/>
      </w:tcBorders>
    </w:tcPr>
    <w:tblStylePr w:type="firstRow">
      <w:rPr>
        <w:b/>
        <w:bCs/>
        <w:color w:val="FFFFFF" w:themeColor="background1"/>
      </w:rPr>
      <w:tblPr/>
      <w:tcPr>
        <w:shd w:val="clear" w:color="auto" w:fill="99D9F0" w:themeFill="accent2"/>
      </w:tcPr>
    </w:tblStylePr>
    <w:tblStylePr w:type="lastRow">
      <w:rPr>
        <w:b/>
        <w:bCs/>
      </w:rPr>
      <w:tblPr/>
      <w:tcPr>
        <w:tcBorders>
          <w:top w:val="double" w:sz="4" w:space="0" w:color="99D9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9F0" w:themeColor="accent2"/>
          <w:right w:val="single" w:sz="4" w:space="0" w:color="99D9F0" w:themeColor="accent2"/>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9F0" w:themeColor="accent2"/>
          <w:left w:val="nil"/>
        </w:tcBorders>
      </w:tcPr>
    </w:tblStylePr>
    <w:tblStylePr w:type="swCell">
      <w:tblPr/>
      <w:tcPr>
        <w:tcBorders>
          <w:top w:val="double" w:sz="4" w:space="0" w:color="99D9F0" w:themeColor="accent2"/>
          <w:right w:val="nil"/>
        </w:tcBorders>
      </w:tcPr>
    </w:tblStylePr>
  </w:style>
  <w:style w:type="table" w:styleId="ListTable3-Accent3">
    <w:name w:val="List Table 3 Accent 3"/>
    <w:basedOn w:val="TableNormal"/>
    <w:uiPriority w:val="99"/>
    <w:rsid w:val="009D630C"/>
    <w:pPr>
      <w:spacing w:after="0" w:line="240" w:lineRule="auto"/>
    </w:pPr>
    <w:tblPr>
      <w:tblStyleRowBandSize w:val="1"/>
      <w:tblStyleColBandSize w:val="1"/>
    </w:tblPr>
    <w:tcPr>
      <w:tcBorders>
        <w:top w:val="single" w:sz="4" w:space="0" w:color="003591" w:themeColor="accent3"/>
        <w:bottom w:val="single" w:sz="4" w:space="0" w:color="003591" w:themeColor="accent3"/>
      </w:tcBorders>
    </w:tcPr>
    <w:tblStylePr w:type="firstRow">
      <w:rPr>
        <w:b/>
        <w:bCs/>
        <w:color w:val="FFFFFF" w:themeColor="background1"/>
      </w:rPr>
      <w:tblPr/>
      <w:tcPr>
        <w:shd w:val="clear" w:color="auto" w:fill="003591" w:themeFill="accent3"/>
      </w:tcPr>
    </w:tblStylePr>
    <w:tblStylePr w:type="lastRow">
      <w:rPr>
        <w:b/>
        <w:bCs/>
      </w:rPr>
      <w:tblPr/>
      <w:tcPr>
        <w:tcBorders>
          <w:top w:val="double" w:sz="4" w:space="0" w:color="00359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591" w:themeColor="accent3"/>
          <w:right w:val="single" w:sz="4" w:space="0" w:color="003591" w:themeColor="accent3"/>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591" w:themeColor="accent3"/>
          <w:left w:val="nil"/>
        </w:tcBorders>
      </w:tcPr>
    </w:tblStylePr>
    <w:tblStylePr w:type="swCell">
      <w:tblPr/>
      <w:tcPr>
        <w:tcBorders>
          <w:top w:val="double" w:sz="4" w:space="0" w:color="003591" w:themeColor="accent3"/>
          <w:right w:val="nil"/>
        </w:tcBorders>
      </w:tcPr>
    </w:tblStylePr>
  </w:style>
  <w:style w:type="table" w:styleId="ListTable3-Accent4">
    <w:name w:val="List Table 3 Accent 4"/>
    <w:basedOn w:val="TableNormal"/>
    <w:uiPriority w:val="99"/>
    <w:rsid w:val="009D630C"/>
    <w:pPr>
      <w:spacing w:after="0" w:line="240" w:lineRule="auto"/>
    </w:pPr>
    <w:tblPr>
      <w:tblStyleRowBandSize w:val="1"/>
      <w:tblStyleColBandSize w:val="1"/>
    </w:tblPr>
    <w:tcPr>
      <w:tcBorders>
        <w:top w:val="single" w:sz="4" w:space="0" w:color="009FDA" w:themeColor="accent4"/>
        <w:bottom w:val="single" w:sz="4" w:space="0" w:color="009FDA" w:themeColor="accent4"/>
      </w:tcBorders>
    </w:tcPr>
    <w:tblStylePr w:type="firstRow">
      <w:rPr>
        <w:b/>
        <w:bCs/>
        <w:color w:val="FFFFFF" w:themeColor="background1"/>
      </w:rPr>
      <w:tblPr/>
      <w:tcPr>
        <w:shd w:val="clear" w:color="auto" w:fill="009FDA" w:themeFill="accent4"/>
      </w:tcPr>
    </w:tblStylePr>
    <w:tblStylePr w:type="lastRow">
      <w:rPr>
        <w:b/>
        <w:bCs/>
      </w:rPr>
      <w:tblPr/>
      <w:tcPr>
        <w:tcBorders>
          <w:top w:val="double" w:sz="4" w:space="0" w:color="009FDA"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FDA" w:themeColor="accent4"/>
          <w:right w:val="single" w:sz="4" w:space="0" w:color="009FDA" w:themeColor="accent4"/>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FDA" w:themeColor="accent4"/>
          <w:left w:val="nil"/>
        </w:tcBorders>
      </w:tcPr>
    </w:tblStylePr>
    <w:tblStylePr w:type="swCell">
      <w:tblPr/>
      <w:tcPr>
        <w:tcBorders>
          <w:top w:val="double" w:sz="4" w:space="0" w:color="009FDA" w:themeColor="accent4"/>
          <w:right w:val="nil"/>
        </w:tcBorders>
      </w:tcPr>
    </w:tblStylePr>
  </w:style>
  <w:style w:type="table" w:styleId="ListTable3-Accent5">
    <w:name w:val="List Table 3 Accent 5"/>
    <w:basedOn w:val="TableNormal"/>
    <w:uiPriority w:val="99"/>
    <w:rsid w:val="009D630C"/>
    <w:pPr>
      <w:spacing w:after="0" w:line="240" w:lineRule="auto"/>
    </w:pPr>
    <w:tblPr>
      <w:tblStyleRowBandSize w:val="1"/>
      <w:tblStyleColBandSize w:val="1"/>
    </w:tblPr>
    <w:tcPr>
      <w:tcBorders>
        <w:top w:val="single" w:sz="4" w:space="0" w:color="91FFB4" w:themeColor="accent5"/>
        <w:bottom w:val="single" w:sz="4" w:space="0" w:color="91FFB4" w:themeColor="accent5"/>
      </w:tcBorders>
    </w:tcPr>
    <w:tblStylePr w:type="firstRow">
      <w:rPr>
        <w:b/>
        <w:bCs/>
        <w:color w:val="FFFFFF" w:themeColor="background1"/>
      </w:rPr>
      <w:tblPr/>
      <w:tcPr>
        <w:shd w:val="clear" w:color="auto" w:fill="91FFB4" w:themeFill="accent5"/>
      </w:tcPr>
    </w:tblStylePr>
    <w:tblStylePr w:type="lastRow">
      <w:rPr>
        <w:b/>
        <w:bCs/>
      </w:rPr>
      <w:tblPr/>
      <w:tcPr>
        <w:tcBorders>
          <w:top w:val="double" w:sz="4" w:space="0" w:color="91FFB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FFB4" w:themeColor="accent5"/>
          <w:right w:val="single" w:sz="4" w:space="0" w:color="91FFB4" w:themeColor="accent5"/>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FFB4" w:themeColor="accent5"/>
          <w:left w:val="nil"/>
        </w:tcBorders>
      </w:tcPr>
    </w:tblStylePr>
    <w:tblStylePr w:type="swCell">
      <w:tblPr/>
      <w:tcPr>
        <w:tcBorders>
          <w:top w:val="double" w:sz="4" w:space="0" w:color="91FFB4" w:themeColor="accent5"/>
          <w:right w:val="nil"/>
        </w:tcBorders>
      </w:tcPr>
    </w:tblStylePr>
  </w:style>
  <w:style w:type="table" w:styleId="ListTable3-Accent6">
    <w:name w:val="List Table 3 Accent 6"/>
    <w:basedOn w:val="TableNormal"/>
    <w:uiPriority w:val="99"/>
    <w:rsid w:val="009D630C"/>
    <w:pPr>
      <w:spacing w:after="0" w:line="240" w:lineRule="auto"/>
    </w:pPr>
    <w:tblPr>
      <w:tblStyleRowBandSize w:val="1"/>
      <w:tblStyleColBandSize w:val="1"/>
    </w:tblPr>
    <w:tcPr>
      <w:tcBorders>
        <w:top w:val="single" w:sz="4" w:space="0" w:color="3F9C35" w:themeColor="accent6"/>
        <w:bottom w:val="single" w:sz="4" w:space="0" w:color="3F9C35" w:themeColor="accent6"/>
      </w:tcBorders>
    </w:tcPr>
    <w:tblStylePr w:type="firstRow">
      <w:rPr>
        <w:b/>
        <w:bCs/>
        <w:color w:val="FFFFFF" w:themeColor="background1"/>
      </w:rPr>
      <w:tblPr/>
      <w:tcPr>
        <w:shd w:val="clear" w:color="auto" w:fill="3F9C35" w:themeFill="accent6"/>
      </w:tcPr>
    </w:tblStylePr>
    <w:tblStylePr w:type="lastRow">
      <w:rPr>
        <w:b/>
        <w:bCs/>
      </w:rPr>
      <w:tblPr/>
      <w:tcPr>
        <w:tcBorders>
          <w:top w:val="double" w:sz="4" w:space="0" w:color="3F9C3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9C35" w:themeColor="accent6"/>
          <w:right w:val="single" w:sz="4" w:space="0" w:color="3F9C35" w:themeColor="accent6"/>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9C35" w:themeColor="accent6"/>
          <w:left w:val="nil"/>
        </w:tcBorders>
      </w:tcPr>
    </w:tblStylePr>
    <w:tblStylePr w:type="swCell">
      <w:tblPr/>
      <w:tcPr>
        <w:tcBorders>
          <w:top w:val="double" w:sz="4" w:space="0" w:color="3F9C35" w:themeColor="accent6"/>
          <w:right w:val="nil"/>
        </w:tcBorders>
      </w:tcPr>
    </w:tblStylePr>
  </w:style>
  <w:style w:type="table" w:styleId="ListTable4">
    <w:name w:val="List Table 4"/>
    <w:basedOn w:val="TableNormal"/>
    <w:uiPriority w:val="99"/>
    <w:rsid w:val="009D630C"/>
    <w:pPr>
      <w:spacing w:after="0" w:line="240" w:lineRule="auto"/>
    </w:pPr>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4-Accent1">
    <w:name w:val="List Table 4 Accent 1"/>
    <w:basedOn w:val="TableNormal"/>
    <w:uiPriority w:val="99"/>
    <w:rsid w:val="009D630C"/>
    <w:pPr>
      <w:spacing w:after="0" w:line="240" w:lineRule="auto"/>
    </w:pPr>
    <w:tblPr>
      <w:tblStyleRowBandSize w:val="1"/>
      <w:tblStyleColBandSize w:val="1"/>
    </w:tblPr>
    <w:tcPr>
      <w:shd w:val="clear" w:color="auto" w:fill="B9C8F1" w:themeFill="accent1" w:themeFillTint="33"/>
    </w:tcPr>
    <w:tblStylePr w:type="firstRow">
      <w:rPr>
        <w:b/>
        <w:bCs/>
        <w:color w:val="FFFFFF" w:themeColor="background1"/>
      </w:rPr>
      <w:tblPr/>
      <w:tcPr>
        <w:tcBorders>
          <w:top w:val="single" w:sz="4" w:space="0" w:color="0F204B" w:themeColor="accent1"/>
          <w:left w:val="single" w:sz="4" w:space="0" w:color="0F204B" w:themeColor="accent1"/>
          <w:bottom w:val="single" w:sz="4" w:space="0" w:color="0F204B" w:themeColor="accent1"/>
          <w:right w:val="single" w:sz="4" w:space="0" w:color="0F204B" w:themeColor="accent1"/>
          <w:insideH w:val="nil"/>
        </w:tcBorders>
        <w:shd w:val="clear" w:color="auto" w:fill="0F204B" w:themeFill="accent1"/>
      </w:tcPr>
    </w:tblStylePr>
    <w:tblStylePr w:type="lastRow">
      <w:rPr>
        <w:b/>
        <w:bCs/>
      </w:rPr>
      <w:tblPr/>
      <w:tcPr>
        <w:tcBorders>
          <w:top w:val="double" w:sz="4" w:space="0" w:color="2D5CD5" w:themeColor="accent1" w:themeTint="99"/>
        </w:tcBorders>
      </w:tcPr>
    </w:tblStylePr>
    <w:tblStylePr w:type="firstCol">
      <w:rPr>
        <w:b/>
        <w:bCs/>
      </w:rPr>
    </w:tblStylePr>
    <w:tblStylePr w:type="lastCol">
      <w:rPr>
        <w:b/>
        <w:bCs/>
      </w:rPr>
    </w:tblStylePr>
    <w:tblStylePr w:type="band1Vert">
      <w:tblPr/>
      <w:tcPr>
        <w:shd w:val="clear" w:color="auto" w:fill="B9C8F1" w:themeFill="accent1" w:themeFillTint="33"/>
      </w:tcPr>
    </w:tblStylePr>
  </w:style>
  <w:style w:type="table" w:styleId="ListTable4-Accent2">
    <w:name w:val="List Table 4 Accent 2"/>
    <w:basedOn w:val="TableNormal"/>
    <w:uiPriority w:val="99"/>
    <w:rsid w:val="009D630C"/>
    <w:pPr>
      <w:spacing w:after="0" w:line="240" w:lineRule="auto"/>
    </w:pPr>
    <w:tblPr>
      <w:tblStyleRowBandSize w:val="1"/>
      <w:tblStyleColBandSize w:val="1"/>
    </w:tblPr>
    <w:tcPr>
      <w:shd w:val="clear" w:color="auto" w:fill="EAF7FC" w:themeFill="accent2" w:themeFillTint="33"/>
    </w:tcPr>
    <w:tblStylePr w:type="firstRow">
      <w:rPr>
        <w:b/>
        <w:bCs/>
        <w:color w:val="FFFFFF" w:themeColor="background1"/>
      </w:rPr>
      <w:tblPr/>
      <w:tcPr>
        <w:tcBorders>
          <w:top w:val="single" w:sz="4" w:space="0" w:color="99D9F0" w:themeColor="accent2"/>
          <w:left w:val="single" w:sz="4" w:space="0" w:color="99D9F0" w:themeColor="accent2"/>
          <w:bottom w:val="single" w:sz="4" w:space="0" w:color="99D9F0" w:themeColor="accent2"/>
          <w:right w:val="single" w:sz="4" w:space="0" w:color="99D9F0" w:themeColor="accent2"/>
          <w:insideH w:val="nil"/>
        </w:tcBorders>
        <w:shd w:val="clear" w:color="auto" w:fill="99D9F0" w:themeFill="accent2"/>
      </w:tcPr>
    </w:tblStylePr>
    <w:tblStylePr w:type="lastRow">
      <w:rPr>
        <w:b/>
        <w:bCs/>
      </w:rPr>
      <w:tblPr/>
      <w:tcPr>
        <w:tcBorders>
          <w:top w:val="double" w:sz="4" w:space="0" w:color="C1E8F6" w:themeColor="accent2" w:themeTint="99"/>
        </w:tcBorders>
      </w:tcPr>
    </w:tblStylePr>
    <w:tblStylePr w:type="firstCol">
      <w:rPr>
        <w:b/>
        <w:bCs/>
      </w:rPr>
    </w:tblStylePr>
    <w:tblStylePr w:type="lastCol">
      <w:rPr>
        <w:b/>
        <w:bCs/>
      </w:rPr>
    </w:tblStylePr>
    <w:tblStylePr w:type="band1Vert">
      <w:tblPr/>
      <w:tcPr>
        <w:shd w:val="clear" w:color="auto" w:fill="EAF7FC" w:themeFill="accent2" w:themeFillTint="33"/>
      </w:tcPr>
    </w:tblStylePr>
  </w:style>
  <w:style w:type="table" w:styleId="ListTable4-Accent3">
    <w:name w:val="List Table 4 Accent 3"/>
    <w:basedOn w:val="TableNormal"/>
    <w:uiPriority w:val="99"/>
    <w:rsid w:val="009D630C"/>
    <w:pPr>
      <w:spacing w:after="0" w:line="240" w:lineRule="auto"/>
    </w:pPr>
    <w:tblPr>
      <w:tblStyleRowBandSize w:val="1"/>
      <w:tblStyleColBandSize w:val="1"/>
    </w:tblPr>
    <w:tcPr>
      <w:shd w:val="clear" w:color="auto" w:fill="B6D0FF" w:themeFill="accent3" w:themeFillTint="33"/>
    </w:tcPr>
    <w:tblStylePr w:type="firstRow">
      <w:rPr>
        <w:b/>
        <w:bCs/>
        <w:color w:val="FFFFFF" w:themeColor="background1"/>
      </w:rPr>
      <w:tblPr/>
      <w:tcPr>
        <w:tcBorders>
          <w:top w:val="single" w:sz="4" w:space="0" w:color="003591" w:themeColor="accent3"/>
          <w:left w:val="single" w:sz="4" w:space="0" w:color="003591" w:themeColor="accent3"/>
          <w:bottom w:val="single" w:sz="4" w:space="0" w:color="003591" w:themeColor="accent3"/>
          <w:right w:val="single" w:sz="4" w:space="0" w:color="003591" w:themeColor="accent3"/>
          <w:insideH w:val="nil"/>
        </w:tcBorders>
        <w:shd w:val="clear" w:color="auto" w:fill="003591" w:themeFill="accent3"/>
      </w:tcPr>
    </w:tblStylePr>
    <w:tblStylePr w:type="lastRow">
      <w:rPr>
        <w:b/>
        <w:bCs/>
      </w:rPr>
      <w:tblPr/>
      <w:tcPr>
        <w:tcBorders>
          <w:top w:val="double" w:sz="4" w:space="0" w:color="2473FF" w:themeColor="accent3" w:themeTint="99"/>
        </w:tcBorders>
      </w:tcPr>
    </w:tblStylePr>
    <w:tblStylePr w:type="firstCol">
      <w:rPr>
        <w:b/>
        <w:bCs/>
      </w:rPr>
    </w:tblStylePr>
    <w:tblStylePr w:type="lastCol">
      <w:rPr>
        <w:b/>
        <w:bCs/>
      </w:rPr>
    </w:tblStylePr>
    <w:tblStylePr w:type="band1Vert">
      <w:tblPr/>
      <w:tcPr>
        <w:shd w:val="clear" w:color="auto" w:fill="B6D0FF" w:themeFill="accent3" w:themeFillTint="33"/>
      </w:tcPr>
    </w:tblStylePr>
  </w:style>
  <w:style w:type="table" w:styleId="ListTable4-Accent4">
    <w:name w:val="List Table 4 Accent 4"/>
    <w:basedOn w:val="TableNormal"/>
    <w:uiPriority w:val="99"/>
    <w:rsid w:val="009D630C"/>
    <w:pPr>
      <w:spacing w:after="0" w:line="240" w:lineRule="auto"/>
    </w:pPr>
    <w:tblPr>
      <w:tblStyleRowBandSize w:val="1"/>
      <w:tblStyleColBandSize w:val="1"/>
    </w:tblPr>
    <w:tcPr>
      <w:shd w:val="clear" w:color="auto" w:fill="C4EEFF" w:themeFill="accent4" w:themeFillTint="33"/>
    </w:tcPr>
    <w:tblStylePr w:type="firstRow">
      <w:rPr>
        <w:b/>
        <w:bCs/>
        <w:color w:val="FFFFFF" w:themeColor="background1"/>
      </w:rPr>
      <w:tblPr/>
      <w:tcPr>
        <w:tcBorders>
          <w:top w:val="single" w:sz="4" w:space="0" w:color="009FDA" w:themeColor="accent4"/>
          <w:left w:val="single" w:sz="4" w:space="0" w:color="009FDA" w:themeColor="accent4"/>
          <w:bottom w:val="single" w:sz="4" w:space="0" w:color="009FDA" w:themeColor="accent4"/>
          <w:right w:val="single" w:sz="4" w:space="0" w:color="009FDA" w:themeColor="accent4"/>
          <w:insideH w:val="nil"/>
        </w:tcBorders>
        <w:shd w:val="clear" w:color="auto" w:fill="009FDA" w:themeFill="accent4"/>
      </w:tcPr>
    </w:tblStylePr>
    <w:tblStylePr w:type="lastRow">
      <w:rPr>
        <w:b/>
        <w:bCs/>
      </w:rPr>
      <w:tblPr/>
      <w:tcPr>
        <w:tcBorders>
          <w:top w:val="double" w:sz="4" w:space="0" w:color="4FCEFF" w:themeColor="accent4" w:themeTint="99"/>
        </w:tcBorders>
      </w:tcPr>
    </w:tblStylePr>
    <w:tblStylePr w:type="firstCol">
      <w:rPr>
        <w:b/>
        <w:bCs/>
      </w:rPr>
    </w:tblStylePr>
    <w:tblStylePr w:type="lastCol">
      <w:rPr>
        <w:b/>
        <w:bCs/>
      </w:rPr>
    </w:tblStylePr>
    <w:tblStylePr w:type="band1Vert">
      <w:tblPr/>
      <w:tcPr>
        <w:shd w:val="clear" w:color="auto" w:fill="C4EEFF" w:themeFill="accent4" w:themeFillTint="33"/>
      </w:tcPr>
    </w:tblStylePr>
  </w:style>
  <w:style w:type="table" w:styleId="ListTable4-Accent5">
    <w:name w:val="List Table 4 Accent 5"/>
    <w:basedOn w:val="TableNormal"/>
    <w:uiPriority w:val="99"/>
    <w:rsid w:val="009D630C"/>
    <w:pPr>
      <w:spacing w:after="0" w:line="240" w:lineRule="auto"/>
    </w:pPr>
    <w:tblPr>
      <w:tblStyleRowBandSize w:val="1"/>
      <w:tblStyleColBandSize w:val="1"/>
    </w:tblPr>
    <w:tcPr>
      <w:shd w:val="clear" w:color="auto" w:fill="E9FFEF" w:themeFill="accent5" w:themeFillTint="33"/>
    </w:tcPr>
    <w:tblStylePr w:type="firstRow">
      <w:rPr>
        <w:b/>
        <w:bCs/>
        <w:color w:val="FFFFFF" w:themeColor="background1"/>
      </w:rPr>
      <w:tblPr/>
      <w:tcPr>
        <w:tcBorders>
          <w:top w:val="single" w:sz="4" w:space="0" w:color="91FFB4" w:themeColor="accent5"/>
          <w:left w:val="single" w:sz="4" w:space="0" w:color="91FFB4" w:themeColor="accent5"/>
          <w:bottom w:val="single" w:sz="4" w:space="0" w:color="91FFB4" w:themeColor="accent5"/>
          <w:right w:val="single" w:sz="4" w:space="0" w:color="91FFB4" w:themeColor="accent5"/>
          <w:insideH w:val="nil"/>
        </w:tcBorders>
        <w:shd w:val="clear" w:color="auto" w:fill="91FFB4" w:themeFill="accent5"/>
      </w:tcPr>
    </w:tblStylePr>
    <w:tblStylePr w:type="lastRow">
      <w:rPr>
        <w:b/>
        <w:bCs/>
      </w:rPr>
      <w:tblPr/>
      <w:tcPr>
        <w:tcBorders>
          <w:top w:val="double" w:sz="4" w:space="0" w:color="BDFFD1" w:themeColor="accent5" w:themeTint="99"/>
        </w:tcBorders>
      </w:tcPr>
    </w:tblStylePr>
    <w:tblStylePr w:type="firstCol">
      <w:rPr>
        <w:b/>
        <w:bCs/>
      </w:rPr>
    </w:tblStylePr>
    <w:tblStylePr w:type="lastCol">
      <w:rPr>
        <w:b/>
        <w:bCs/>
      </w:rPr>
    </w:tblStylePr>
    <w:tblStylePr w:type="band1Vert">
      <w:tblPr/>
      <w:tcPr>
        <w:shd w:val="clear" w:color="auto" w:fill="E9FFEF" w:themeFill="accent5" w:themeFillTint="33"/>
      </w:tcPr>
    </w:tblStylePr>
  </w:style>
  <w:style w:type="table" w:styleId="ListTable4-Accent6">
    <w:name w:val="List Table 4 Accent 6"/>
    <w:basedOn w:val="TableNormal"/>
    <w:uiPriority w:val="99"/>
    <w:rsid w:val="009D630C"/>
    <w:pPr>
      <w:spacing w:after="0" w:line="240" w:lineRule="auto"/>
    </w:pPr>
    <w:tblPr>
      <w:tblStyleRowBandSize w:val="1"/>
      <w:tblStyleColBandSize w:val="1"/>
    </w:tblPr>
    <w:tcPr>
      <w:shd w:val="clear" w:color="auto" w:fill="D4EFD1" w:themeFill="accent6" w:themeFillTint="33"/>
    </w:tcPr>
    <w:tblStylePr w:type="firstRow">
      <w:rPr>
        <w:b/>
        <w:bCs/>
        <w:color w:val="FFFFFF" w:themeColor="background1"/>
      </w:rPr>
      <w:tblPr/>
      <w:tcPr>
        <w:tcBorders>
          <w:top w:val="single" w:sz="4" w:space="0" w:color="3F9C35" w:themeColor="accent6"/>
          <w:left w:val="single" w:sz="4" w:space="0" w:color="3F9C35" w:themeColor="accent6"/>
          <w:bottom w:val="single" w:sz="4" w:space="0" w:color="3F9C35" w:themeColor="accent6"/>
          <w:right w:val="single" w:sz="4" w:space="0" w:color="3F9C35" w:themeColor="accent6"/>
          <w:insideH w:val="nil"/>
        </w:tcBorders>
        <w:shd w:val="clear" w:color="auto" w:fill="3F9C35" w:themeFill="accent6"/>
      </w:tcPr>
    </w:tblStylePr>
    <w:tblStylePr w:type="lastRow">
      <w:rPr>
        <w:b/>
        <w:bCs/>
      </w:rPr>
      <w:tblPr/>
      <w:tcPr>
        <w:tcBorders>
          <w:top w:val="double" w:sz="4" w:space="0" w:color="80D178" w:themeColor="accent6" w:themeTint="99"/>
        </w:tcBorders>
      </w:tcPr>
    </w:tblStylePr>
    <w:tblStylePr w:type="firstCol">
      <w:rPr>
        <w:b/>
        <w:bCs/>
      </w:rPr>
    </w:tblStylePr>
    <w:tblStylePr w:type="lastCol">
      <w:rPr>
        <w:b/>
        <w:bCs/>
      </w:rPr>
    </w:tblStylePr>
    <w:tblStylePr w:type="band1Vert">
      <w:tblPr/>
      <w:tcPr>
        <w:shd w:val="clear" w:color="auto" w:fill="D4EFD1" w:themeFill="accent6" w:themeFillTint="33"/>
      </w:tcPr>
    </w:tblStylePr>
  </w:style>
  <w:style w:type="table" w:styleId="ListTable5Dark">
    <w:name w:val="List Table 5 Dark"/>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F20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9D9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59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FD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1FFB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9D630C"/>
    <w:pPr>
      <w:spacing w:after="0" w:line="240" w:lineRule="auto"/>
    </w:pPr>
    <w:rPr>
      <w:color w:val="FFFFFF" w:themeColor="background1"/>
    </w:rPr>
    <w:tblPr>
      <w:tblStyleRowBandSize w:val="1"/>
      <w:tblStyleColBandSize w:val="1"/>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C3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9D630C"/>
    <w:pPr>
      <w:spacing w:after="0" w:line="240" w:lineRule="auto"/>
    </w:pPr>
    <w:rPr>
      <w:color w:val="000000" w:themeColor="text1"/>
    </w:rPr>
    <w:tblPr>
      <w:tblStyleRowBandSize w:val="1"/>
      <w:tblStyleColBandSize w:val="1"/>
    </w:tblPr>
    <w:tcPr>
      <w:shd w:val="clear" w:color="auto" w:fill="CCCCCC" w:themeFill="text1" w:themeFillTint="33"/>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style>
  <w:style w:type="table" w:styleId="ListTable6Colorful-Accent1">
    <w:name w:val="List Table 6 Colorful Accent 1"/>
    <w:basedOn w:val="TableNormal"/>
    <w:uiPriority w:val="99"/>
    <w:rsid w:val="009D630C"/>
    <w:pPr>
      <w:spacing w:after="0" w:line="240" w:lineRule="auto"/>
    </w:pPr>
    <w:rPr>
      <w:color w:val="0B1738" w:themeColor="accent1" w:themeShade="BF"/>
    </w:rPr>
    <w:tblPr>
      <w:tblStyleRowBandSize w:val="1"/>
      <w:tblStyleColBandSize w:val="1"/>
    </w:tblPr>
    <w:tcPr>
      <w:shd w:val="clear" w:color="auto" w:fill="B9C8F1" w:themeFill="accent1" w:themeFillTint="33"/>
    </w:tcPr>
    <w:tblStylePr w:type="firstRow">
      <w:rPr>
        <w:b/>
        <w:bCs/>
      </w:rPr>
      <w:tblPr/>
      <w:tcPr>
        <w:tcBorders>
          <w:bottom w:val="single" w:sz="4" w:space="0" w:color="0F204B" w:themeColor="accent1"/>
        </w:tcBorders>
      </w:tcPr>
    </w:tblStylePr>
    <w:tblStylePr w:type="lastRow">
      <w:rPr>
        <w:b/>
        <w:bCs/>
      </w:rPr>
      <w:tblPr/>
      <w:tcPr>
        <w:tcBorders>
          <w:top w:val="double" w:sz="4" w:space="0" w:color="0F204B" w:themeColor="accent1"/>
        </w:tcBorders>
      </w:tcPr>
    </w:tblStylePr>
    <w:tblStylePr w:type="firstCol">
      <w:rPr>
        <w:b/>
        <w:bCs/>
      </w:rPr>
    </w:tblStylePr>
    <w:tblStylePr w:type="lastCol">
      <w:rPr>
        <w:b/>
        <w:bCs/>
      </w:rPr>
    </w:tblStylePr>
  </w:style>
  <w:style w:type="table" w:styleId="ListTable6Colorful-Accent2">
    <w:name w:val="List Table 6 Colorful Accent 2"/>
    <w:basedOn w:val="TableNormal"/>
    <w:uiPriority w:val="99"/>
    <w:rsid w:val="009D630C"/>
    <w:pPr>
      <w:spacing w:after="0" w:line="240" w:lineRule="auto"/>
    </w:pPr>
    <w:rPr>
      <w:color w:val="43B8E3" w:themeColor="accent2" w:themeShade="BF"/>
    </w:rPr>
    <w:tblPr>
      <w:tblStyleRowBandSize w:val="1"/>
      <w:tblStyleColBandSize w:val="1"/>
    </w:tblPr>
    <w:tcPr>
      <w:shd w:val="clear" w:color="auto" w:fill="EAF7FC" w:themeFill="accent2" w:themeFillTint="33"/>
    </w:tcPr>
    <w:tblStylePr w:type="firstRow">
      <w:rPr>
        <w:b/>
        <w:bCs/>
      </w:rPr>
      <w:tblPr/>
      <w:tcPr>
        <w:tcBorders>
          <w:bottom w:val="single" w:sz="4" w:space="0" w:color="99D9F0" w:themeColor="accent2"/>
        </w:tcBorders>
      </w:tcPr>
    </w:tblStylePr>
    <w:tblStylePr w:type="lastRow">
      <w:rPr>
        <w:b/>
        <w:bCs/>
      </w:rPr>
      <w:tblPr/>
      <w:tcPr>
        <w:tcBorders>
          <w:top w:val="double" w:sz="4" w:space="0" w:color="99D9F0" w:themeColor="accent2"/>
        </w:tcBorders>
      </w:tcPr>
    </w:tblStylePr>
    <w:tblStylePr w:type="firstCol">
      <w:rPr>
        <w:b/>
        <w:bCs/>
      </w:rPr>
    </w:tblStylePr>
    <w:tblStylePr w:type="lastCol">
      <w:rPr>
        <w:b/>
        <w:bCs/>
      </w:rPr>
    </w:tblStylePr>
  </w:style>
  <w:style w:type="table" w:styleId="ListTable6Colorful-Accent3">
    <w:name w:val="List Table 6 Colorful Accent 3"/>
    <w:basedOn w:val="TableNormal"/>
    <w:uiPriority w:val="99"/>
    <w:rsid w:val="009D630C"/>
    <w:pPr>
      <w:spacing w:after="0" w:line="240" w:lineRule="auto"/>
    </w:pPr>
    <w:rPr>
      <w:color w:val="00276C" w:themeColor="accent3" w:themeShade="BF"/>
    </w:rPr>
    <w:tblPr>
      <w:tblStyleRowBandSize w:val="1"/>
      <w:tblStyleColBandSize w:val="1"/>
    </w:tblPr>
    <w:tcPr>
      <w:shd w:val="clear" w:color="auto" w:fill="B6D0FF" w:themeFill="accent3" w:themeFillTint="33"/>
    </w:tcPr>
    <w:tblStylePr w:type="firstRow">
      <w:rPr>
        <w:b/>
        <w:bCs/>
      </w:rPr>
      <w:tblPr/>
      <w:tcPr>
        <w:tcBorders>
          <w:bottom w:val="single" w:sz="4" w:space="0" w:color="003591" w:themeColor="accent3"/>
        </w:tcBorders>
      </w:tcPr>
    </w:tblStylePr>
    <w:tblStylePr w:type="lastRow">
      <w:rPr>
        <w:b/>
        <w:bCs/>
      </w:rPr>
      <w:tblPr/>
      <w:tcPr>
        <w:tcBorders>
          <w:top w:val="double" w:sz="4" w:space="0" w:color="003591" w:themeColor="accent3"/>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99"/>
    <w:rsid w:val="009D630C"/>
    <w:pPr>
      <w:spacing w:after="0" w:line="240" w:lineRule="auto"/>
    </w:pPr>
    <w:rPr>
      <w:color w:val="0076A3" w:themeColor="accent4" w:themeShade="BF"/>
    </w:rPr>
    <w:tblPr>
      <w:tblStyleRowBandSize w:val="1"/>
      <w:tblStyleColBandSize w:val="1"/>
    </w:tblPr>
    <w:tcPr>
      <w:shd w:val="clear" w:color="auto" w:fill="C4EEFF" w:themeFill="accent4" w:themeFillTint="33"/>
    </w:tcPr>
    <w:tblStylePr w:type="firstRow">
      <w:rPr>
        <w:b/>
        <w:bCs/>
      </w:rPr>
      <w:tblPr/>
      <w:tcPr>
        <w:tcBorders>
          <w:bottom w:val="single" w:sz="4" w:space="0" w:color="009FDA" w:themeColor="accent4"/>
        </w:tcBorders>
      </w:tcPr>
    </w:tblStylePr>
    <w:tblStylePr w:type="lastRow">
      <w:rPr>
        <w:b/>
        <w:bCs/>
      </w:rPr>
      <w:tblPr/>
      <w:tcPr>
        <w:tcBorders>
          <w:top w:val="double" w:sz="4" w:space="0" w:color="009FDA" w:themeColor="accent4"/>
        </w:tcBorders>
      </w:tcPr>
    </w:tblStylePr>
    <w:tblStylePr w:type="firstCol">
      <w:rPr>
        <w:b/>
        <w:bCs/>
      </w:rPr>
    </w:tblStylePr>
    <w:tblStylePr w:type="lastCol">
      <w:rPr>
        <w:b/>
        <w:bCs/>
      </w:rPr>
    </w:tblStylePr>
  </w:style>
  <w:style w:type="table" w:styleId="ListTable6Colorful-Accent5">
    <w:name w:val="List Table 6 Colorful Accent 5"/>
    <w:basedOn w:val="TableNormal"/>
    <w:uiPriority w:val="99"/>
    <w:rsid w:val="009D630C"/>
    <w:pPr>
      <w:spacing w:after="0" w:line="240" w:lineRule="auto"/>
    </w:pPr>
    <w:rPr>
      <w:color w:val="2CFF6F" w:themeColor="accent5" w:themeShade="BF"/>
    </w:rPr>
    <w:tblPr>
      <w:tblStyleRowBandSize w:val="1"/>
      <w:tblStyleColBandSize w:val="1"/>
    </w:tblPr>
    <w:tcPr>
      <w:shd w:val="clear" w:color="auto" w:fill="E9FFEF" w:themeFill="accent5" w:themeFillTint="33"/>
    </w:tcPr>
    <w:tblStylePr w:type="firstRow">
      <w:rPr>
        <w:b/>
        <w:bCs/>
      </w:rPr>
      <w:tblPr/>
      <w:tcPr>
        <w:tcBorders>
          <w:bottom w:val="single" w:sz="4" w:space="0" w:color="91FFB4" w:themeColor="accent5"/>
        </w:tcBorders>
      </w:tcPr>
    </w:tblStylePr>
    <w:tblStylePr w:type="lastRow">
      <w:rPr>
        <w:b/>
        <w:bCs/>
      </w:rPr>
      <w:tblPr/>
      <w:tcPr>
        <w:tcBorders>
          <w:top w:val="double" w:sz="4" w:space="0" w:color="91FFB4" w:themeColor="accent5"/>
        </w:tcBorders>
      </w:tcPr>
    </w:tblStylePr>
    <w:tblStylePr w:type="firstCol">
      <w:rPr>
        <w:b/>
        <w:bCs/>
      </w:rPr>
    </w:tblStylePr>
    <w:tblStylePr w:type="lastCol">
      <w:rPr>
        <w:b/>
        <w:bCs/>
      </w:rPr>
    </w:tblStylePr>
  </w:style>
  <w:style w:type="table" w:styleId="ListTable6Colorful-Accent6">
    <w:name w:val="List Table 6 Colorful Accent 6"/>
    <w:basedOn w:val="TableNormal"/>
    <w:uiPriority w:val="99"/>
    <w:rsid w:val="009D630C"/>
    <w:pPr>
      <w:spacing w:after="0" w:line="240" w:lineRule="auto"/>
    </w:pPr>
    <w:rPr>
      <w:color w:val="2E7427" w:themeColor="accent6" w:themeShade="BF"/>
    </w:rPr>
    <w:tblPr>
      <w:tblStyleRowBandSize w:val="1"/>
      <w:tblStyleColBandSize w:val="1"/>
    </w:tblPr>
    <w:tcPr>
      <w:shd w:val="clear" w:color="auto" w:fill="D4EFD1" w:themeFill="accent6" w:themeFillTint="33"/>
    </w:tcPr>
    <w:tblStylePr w:type="firstRow">
      <w:rPr>
        <w:b/>
        <w:bCs/>
      </w:rPr>
      <w:tblPr/>
      <w:tcPr>
        <w:tcBorders>
          <w:bottom w:val="single" w:sz="4" w:space="0" w:color="3F9C35" w:themeColor="accent6"/>
        </w:tcBorders>
      </w:tcPr>
    </w:tblStylePr>
    <w:tblStylePr w:type="lastRow">
      <w:rPr>
        <w:b/>
        <w:bCs/>
      </w:rPr>
      <w:tblPr/>
      <w:tcPr>
        <w:tcBorders>
          <w:top w:val="double" w:sz="4" w:space="0" w:color="3F9C35" w:themeColor="accent6"/>
        </w:tcBorders>
      </w:tcPr>
    </w:tblStylePr>
    <w:tblStylePr w:type="firstCol">
      <w:rPr>
        <w:b/>
        <w:bCs/>
      </w:rPr>
    </w:tblStylePr>
    <w:tblStylePr w:type="lastCol">
      <w:rPr>
        <w:b/>
        <w:bCs/>
      </w:rPr>
    </w:tblStylePr>
  </w:style>
  <w:style w:type="table" w:styleId="ListTable7Colorful">
    <w:name w:val="List Table 7 Colorful"/>
    <w:basedOn w:val="TableNormal"/>
    <w:uiPriority w:val="99"/>
    <w:rsid w:val="009D630C"/>
    <w:pPr>
      <w:spacing w:after="0" w:line="240" w:lineRule="auto"/>
    </w:pPr>
    <w:rPr>
      <w:color w:val="000000" w:themeColor="text1"/>
    </w:rPr>
    <w:tblPr>
      <w:tblStyleRowBandSize w:val="1"/>
      <w:tblStyleColBandSize w:val="1"/>
    </w:tblPr>
    <w:tcPr>
      <w:tcBorders>
        <w:left w:val="single" w:sz="4" w:space="0" w:color="000000" w:themeColor="text1"/>
        <w:right w:val="single" w:sz="4" w:space="0" w:color="000000" w:themeColor="text1"/>
      </w:tcBorders>
      <w:shd w:val="clear" w:color="auto" w:fill="CCCCCC" w:themeFill="text1" w:themeFillTint="33"/>
    </w:tc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9D630C"/>
    <w:pPr>
      <w:spacing w:after="0" w:line="240" w:lineRule="auto"/>
    </w:pPr>
    <w:rPr>
      <w:color w:val="0B1738" w:themeColor="accent1" w:themeShade="BF"/>
    </w:rPr>
    <w:tblPr>
      <w:tblStyleRowBandSize w:val="1"/>
      <w:tblStyleColBandSize w:val="1"/>
    </w:tblPr>
    <w:tcPr>
      <w:tcBorders>
        <w:left w:val="single" w:sz="4" w:space="0" w:color="0F204B" w:themeColor="accent1"/>
        <w:right w:val="single" w:sz="4" w:space="0" w:color="0F204B" w:themeColor="accent1"/>
      </w:tcBorders>
      <w:shd w:val="clear" w:color="auto" w:fill="B9C8F1" w:themeFill="accent1" w:themeFillTint="33"/>
    </w:tcPr>
    <w:tblStylePr w:type="firstRow">
      <w:rPr>
        <w:rFonts w:asciiTheme="majorHAnsi" w:eastAsiaTheme="majorEastAsia" w:hAnsiTheme="majorHAnsi" w:cstheme="majorBidi"/>
        <w:i/>
        <w:iCs/>
        <w:sz w:val="26"/>
      </w:rPr>
      <w:tblPr/>
      <w:tcPr>
        <w:tcBorders>
          <w:bottom w:val="single" w:sz="4" w:space="0" w:color="0F20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20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9D630C"/>
    <w:pPr>
      <w:spacing w:after="0" w:line="240" w:lineRule="auto"/>
    </w:pPr>
    <w:rPr>
      <w:color w:val="43B8E3" w:themeColor="accent2" w:themeShade="BF"/>
    </w:rPr>
    <w:tblPr>
      <w:tblStyleRowBandSize w:val="1"/>
      <w:tblStyleColBandSize w:val="1"/>
    </w:tblPr>
    <w:tcPr>
      <w:tcBorders>
        <w:left w:val="single" w:sz="4" w:space="0" w:color="99D9F0" w:themeColor="accent2"/>
        <w:right w:val="single" w:sz="4" w:space="0" w:color="99D9F0" w:themeColor="accent2"/>
      </w:tcBorders>
      <w:shd w:val="clear" w:color="auto" w:fill="EAF7FC" w:themeFill="accent2" w:themeFillTint="33"/>
    </w:tcPr>
    <w:tblStylePr w:type="firstRow">
      <w:rPr>
        <w:rFonts w:asciiTheme="majorHAnsi" w:eastAsiaTheme="majorEastAsia" w:hAnsiTheme="majorHAnsi" w:cstheme="majorBidi"/>
        <w:i/>
        <w:iCs/>
        <w:sz w:val="26"/>
      </w:rPr>
      <w:tblPr/>
      <w:tcPr>
        <w:tcBorders>
          <w:bottom w:val="single" w:sz="4" w:space="0" w:color="99D9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9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9D630C"/>
    <w:pPr>
      <w:spacing w:after="0" w:line="240" w:lineRule="auto"/>
    </w:pPr>
    <w:rPr>
      <w:color w:val="00276C" w:themeColor="accent3" w:themeShade="BF"/>
    </w:rPr>
    <w:tblPr>
      <w:tblStyleRowBandSize w:val="1"/>
      <w:tblStyleColBandSize w:val="1"/>
    </w:tblPr>
    <w:tcPr>
      <w:tcBorders>
        <w:left w:val="single" w:sz="4" w:space="0" w:color="003591" w:themeColor="accent3"/>
        <w:right w:val="single" w:sz="4" w:space="0" w:color="003591" w:themeColor="accent3"/>
      </w:tcBorders>
      <w:shd w:val="clear" w:color="auto" w:fill="B6D0FF" w:themeFill="accent3" w:themeFillTint="33"/>
    </w:tcPr>
    <w:tblStylePr w:type="firstRow">
      <w:rPr>
        <w:rFonts w:asciiTheme="majorHAnsi" w:eastAsiaTheme="majorEastAsia" w:hAnsiTheme="majorHAnsi" w:cstheme="majorBidi"/>
        <w:i/>
        <w:iCs/>
        <w:sz w:val="26"/>
      </w:rPr>
      <w:tblPr/>
      <w:tcPr>
        <w:tcBorders>
          <w:bottom w:val="single" w:sz="4" w:space="0" w:color="00359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59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9D630C"/>
    <w:pPr>
      <w:spacing w:after="0" w:line="240" w:lineRule="auto"/>
    </w:pPr>
    <w:rPr>
      <w:color w:val="0076A3" w:themeColor="accent4" w:themeShade="BF"/>
    </w:rPr>
    <w:tblPr>
      <w:tblStyleRowBandSize w:val="1"/>
      <w:tblStyleColBandSize w:val="1"/>
    </w:tblPr>
    <w:tcPr>
      <w:tcBorders>
        <w:left w:val="single" w:sz="4" w:space="0" w:color="009FDA" w:themeColor="accent4"/>
        <w:right w:val="single" w:sz="4" w:space="0" w:color="009FDA" w:themeColor="accent4"/>
      </w:tcBorders>
      <w:shd w:val="clear" w:color="auto" w:fill="C4EEFF" w:themeFill="accent4" w:themeFillTint="33"/>
    </w:tcPr>
    <w:tblStylePr w:type="firstRow">
      <w:rPr>
        <w:rFonts w:asciiTheme="majorHAnsi" w:eastAsiaTheme="majorEastAsia" w:hAnsiTheme="majorHAnsi" w:cstheme="majorBidi"/>
        <w:i/>
        <w:iCs/>
        <w:sz w:val="26"/>
      </w:rPr>
      <w:tblPr/>
      <w:tcPr>
        <w:tcBorders>
          <w:bottom w:val="single" w:sz="4" w:space="0" w:color="009FDA"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FDA"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9D630C"/>
    <w:pPr>
      <w:spacing w:after="0" w:line="240" w:lineRule="auto"/>
    </w:pPr>
    <w:rPr>
      <w:color w:val="2CFF6F" w:themeColor="accent5" w:themeShade="BF"/>
    </w:rPr>
    <w:tblPr>
      <w:tblStyleRowBandSize w:val="1"/>
      <w:tblStyleColBandSize w:val="1"/>
    </w:tblPr>
    <w:tcPr>
      <w:tcBorders>
        <w:left w:val="single" w:sz="4" w:space="0" w:color="91FFB4" w:themeColor="accent5"/>
        <w:right w:val="single" w:sz="4" w:space="0" w:color="91FFB4" w:themeColor="accent5"/>
      </w:tcBorders>
      <w:shd w:val="clear" w:color="auto" w:fill="E9FFEF" w:themeFill="accent5" w:themeFillTint="33"/>
    </w:tcPr>
    <w:tblStylePr w:type="firstRow">
      <w:rPr>
        <w:rFonts w:asciiTheme="majorHAnsi" w:eastAsiaTheme="majorEastAsia" w:hAnsiTheme="majorHAnsi" w:cstheme="majorBidi"/>
        <w:i/>
        <w:iCs/>
        <w:sz w:val="26"/>
      </w:rPr>
      <w:tblPr/>
      <w:tcPr>
        <w:tcBorders>
          <w:bottom w:val="single" w:sz="4" w:space="0" w:color="91FFB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FFB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9D630C"/>
    <w:pPr>
      <w:spacing w:after="0" w:line="240" w:lineRule="auto"/>
    </w:pPr>
    <w:rPr>
      <w:color w:val="2E7427" w:themeColor="accent6" w:themeShade="BF"/>
    </w:rPr>
    <w:tblPr>
      <w:tblStyleRowBandSize w:val="1"/>
      <w:tblStyleColBandSize w:val="1"/>
    </w:tblPr>
    <w:tcPr>
      <w:tcBorders>
        <w:left w:val="single" w:sz="4" w:space="0" w:color="3F9C35" w:themeColor="accent6"/>
        <w:right w:val="single" w:sz="4" w:space="0" w:color="3F9C35" w:themeColor="accent6"/>
      </w:tcBorders>
      <w:shd w:val="clear" w:color="auto" w:fill="D4EFD1" w:themeFill="accent6" w:themeFillTint="33"/>
    </w:tcPr>
    <w:tblStylePr w:type="firstRow">
      <w:rPr>
        <w:rFonts w:asciiTheme="majorHAnsi" w:eastAsiaTheme="majorEastAsia" w:hAnsiTheme="majorHAnsi" w:cstheme="majorBidi"/>
        <w:i/>
        <w:iCs/>
        <w:sz w:val="26"/>
      </w:rPr>
      <w:tblPr/>
      <w:tcPr>
        <w:tcBorders>
          <w:bottom w:val="single" w:sz="4" w:space="0" w:color="3F9C3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9C3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99"/>
    <w:semiHidden/>
    <w:unhideWhenUsed/>
    <w:rsid w:val="009D630C"/>
    <w:pPr>
      <w:spacing w:after="0" w:line="240" w:lineRule="auto"/>
    </w:pPr>
    <w:tblPr>
      <w:tblStyleRowBandSize w:val="1"/>
      <w:tblStyleColBandSize w:val="1"/>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style>
  <w:style w:type="table" w:styleId="MediumGrid1-Accent1">
    <w:name w:val="Medium Grid 1 Accent 1"/>
    <w:basedOn w:val="TableNormal"/>
    <w:uiPriority w:val="99"/>
    <w:semiHidden/>
    <w:unhideWhenUsed/>
    <w:rsid w:val="009D630C"/>
    <w:pPr>
      <w:spacing w:after="0" w:line="240" w:lineRule="auto"/>
    </w:pPr>
    <w:tblPr>
      <w:tblStyleRowBandSize w:val="1"/>
      <w:tblStyleColBandSize w:val="1"/>
    </w:tblPr>
    <w:tcPr>
      <w:shd w:val="clear" w:color="auto" w:fill="A8BBED" w:themeFill="accent1" w:themeFillTint="3F"/>
    </w:tcPr>
    <w:tblStylePr w:type="firstRow">
      <w:rPr>
        <w:b/>
        <w:bCs/>
      </w:rPr>
    </w:tblStylePr>
    <w:tblStylePr w:type="lastRow">
      <w:rPr>
        <w:b/>
        <w:bCs/>
      </w:rPr>
      <w:tblPr/>
      <w:tcPr>
        <w:tcBorders>
          <w:top w:val="single" w:sz="18" w:space="0" w:color="2045A2" w:themeColor="accent1" w:themeTint="BF"/>
        </w:tcBorders>
      </w:tcPr>
    </w:tblStylePr>
    <w:tblStylePr w:type="firstCol">
      <w:rPr>
        <w:b/>
        <w:bCs/>
      </w:rPr>
    </w:tblStylePr>
    <w:tblStylePr w:type="lastCol">
      <w:rPr>
        <w:b/>
        <w:bCs/>
      </w:rPr>
    </w:tblStylePr>
  </w:style>
  <w:style w:type="table" w:styleId="MediumGrid1-Accent2">
    <w:name w:val="Medium Grid 1 Accent 2"/>
    <w:basedOn w:val="TableNormal"/>
    <w:uiPriority w:val="99"/>
    <w:semiHidden/>
    <w:unhideWhenUsed/>
    <w:rsid w:val="009D630C"/>
    <w:pPr>
      <w:spacing w:after="0" w:line="240" w:lineRule="auto"/>
    </w:pPr>
    <w:tblPr>
      <w:tblStyleRowBandSize w:val="1"/>
      <w:tblStyleColBandSize w:val="1"/>
    </w:tblPr>
    <w:tcPr>
      <w:shd w:val="clear" w:color="auto" w:fill="E5F5FB" w:themeFill="accent2" w:themeFillTint="3F"/>
    </w:tcPr>
    <w:tblStylePr w:type="firstRow">
      <w:rPr>
        <w:b/>
        <w:bCs/>
      </w:rPr>
    </w:tblStylePr>
    <w:tblStylePr w:type="lastRow">
      <w:rPr>
        <w:b/>
        <w:bCs/>
      </w:rPr>
      <w:tblPr/>
      <w:tcPr>
        <w:tcBorders>
          <w:top w:val="single" w:sz="18" w:space="0" w:color="B2E2F3" w:themeColor="accent2" w:themeTint="BF"/>
        </w:tcBorders>
      </w:tcPr>
    </w:tblStylePr>
    <w:tblStylePr w:type="firstCol">
      <w:rPr>
        <w:b/>
        <w:bCs/>
      </w:rPr>
    </w:tblStylePr>
    <w:tblStylePr w:type="lastCol">
      <w:rPr>
        <w:b/>
        <w:bCs/>
      </w:rPr>
    </w:tblStylePr>
  </w:style>
  <w:style w:type="table" w:styleId="MediumGrid1-Accent3">
    <w:name w:val="Medium Grid 1 Accent 3"/>
    <w:basedOn w:val="TableNormal"/>
    <w:uiPriority w:val="99"/>
    <w:semiHidden/>
    <w:unhideWhenUsed/>
    <w:rsid w:val="009D630C"/>
    <w:pPr>
      <w:spacing w:after="0" w:line="240" w:lineRule="auto"/>
    </w:pPr>
    <w:tblPr>
      <w:tblStyleRowBandSize w:val="1"/>
      <w:tblStyleColBandSize w:val="1"/>
    </w:tblPr>
    <w:tcPr>
      <w:shd w:val="clear" w:color="auto" w:fill="A4C5FF" w:themeFill="accent3" w:themeFillTint="3F"/>
    </w:tcPr>
    <w:tblStylePr w:type="firstRow">
      <w:rPr>
        <w:b/>
        <w:bCs/>
      </w:rPr>
    </w:tblStylePr>
    <w:tblStylePr w:type="lastRow">
      <w:rPr>
        <w:b/>
        <w:bCs/>
      </w:rPr>
      <w:tblPr/>
      <w:tcPr>
        <w:tcBorders>
          <w:top w:val="single" w:sz="18" w:space="0" w:color="0056EC" w:themeColor="accent3" w:themeTint="BF"/>
        </w:tcBorders>
      </w:tcPr>
    </w:tblStylePr>
    <w:tblStylePr w:type="firstCol">
      <w:rPr>
        <w:b/>
        <w:bCs/>
      </w:rPr>
    </w:tblStylePr>
    <w:tblStylePr w:type="lastCol">
      <w:rPr>
        <w:b/>
        <w:bCs/>
      </w:rPr>
    </w:tblStylePr>
  </w:style>
  <w:style w:type="table" w:styleId="MediumGrid1-Accent4">
    <w:name w:val="Medium Grid 1 Accent 4"/>
    <w:basedOn w:val="TableNormal"/>
    <w:uiPriority w:val="99"/>
    <w:semiHidden/>
    <w:unhideWhenUsed/>
    <w:rsid w:val="009D630C"/>
    <w:pPr>
      <w:spacing w:after="0" w:line="240" w:lineRule="auto"/>
    </w:pPr>
    <w:tblPr>
      <w:tblStyleRowBandSize w:val="1"/>
      <w:tblStyleColBandSize w:val="1"/>
    </w:tblPr>
    <w:tcPr>
      <w:shd w:val="clear" w:color="auto" w:fill="B6EBFF" w:themeFill="accent4" w:themeFillTint="3F"/>
    </w:tcPr>
    <w:tblStylePr w:type="firstRow">
      <w:rPr>
        <w:b/>
        <w:bCs/>
      </w:rPr>
    </w:tblStylePr>
    <w:tblStylePr w:type="lastRow">
      <w:rPr>
        <w:b/>
        <w:bCs/>
      </w:rPr>
      <w:tblPr/>
      <w:tcPr>
        <w:tcBorders>
          <w:top w:val="single" w:sz="18" w:space="0" w:color="24C2FF" w:themeColor="accent4" w:themeTint="BF"/>
        </w:tcBorders>
      </w:tcPr>
    </w:tblStylePr>
    <w:tblStylePr w:type="firstCol">
      <w:rPr>
        <w:b/>
        <w:bCs/>
      </w:rPr>
    </w:tblStylePr>
    <w:tblStylePr w:type="lastCol">
      <w:rPr>
        <w:b/>
        <w:bCs/>
      </w:rPr>
    </w:tblStylePr>
  </w:style>
  <w:style w:type="table" w:styleId="MediumGrid1-Accent5">
    <w:name w:val="Medium Grid 1 Accent 5"/>
    <w:basedOn w:val="TableNormal"/>
    <w:uiPriority w:val="99"/>
    <w:semiHidden/>
    <w:unhideWhenUsed/>
    <w:rsid w:val="009D630C"/>
    <w:pPr>
      <w:spacing w:after="0" w:line="240" w:lineRule="auto"/>
    </w:pPr>
    <w:tblPr>
      <w:tblStyleRowBandSize w:val="1"/>
      <w:tblStyleColBandSize w:val="1"/>
    </w:tblPr>
    <w:tcPr>
      <w:shd w:val="clear" w:color="auto" w:fill="E3FFEC" w:themeFill="accent5" w:themeFillTint="3F"/>
    </w:tcPr>
    <w:tblStylePr w:type="firstRow">
      <w:rPr>
        <w:b/>
        <w:bCs/>
      </w:rPr>
    </w:tblStylePr>
    <w:tblStylePr w:type="lastRow">
      <w:rPr>
        <w:b/>
        <w:bCs/>
      </w:rPr>
      <w:tblPr/>
      <w:tcPr>
        <w:tcBorders>
          <w:top w:val="single" w:sz="18" w:space="0" w:color="ACFFC6" w:themeColor="accent5" w:themeTint="BF"/>
        </w:tcBorders>
      </w:tcPr>
    </w:tblStylePr>
    <w:tblStylePr w:type="firstCol">
      <w:rPr>
        <w:b/>
        <w:bCs/>
      </w:rPr>
    </w:tblStylePr>
    <w:tblStylePr w:type="lastCol">
      <w:rPr>
        <w:b/>
        <w:bCs/>
      </w:rPr>
    </w:tblStylePr>
  </w:style>
  <w:style w:type="table" w:styleId="MediumGrid1-Accent6">
    <w:name w:val="Medium Grid 1 Accent 6"/>
    <w:basedOn w:val="TableNormal"/>
    <w:uiPriority w:val="99"/>
    <w:semiHidden/>
    <w:unhideWhenUsed/>
    <w:rsid w:val="009D630C"/>
    <w:pPr>
      <w:spacing w:after="0" w:line="240" w:lineRule="auto"/>
    </w:pPr>
    <w:tblPr>
      <w:tblStyleRowBandSize w:val="1"/>
      <w:tblStyleColBandSize w:val="1"/>
    </w:tblPr>
    <w:tcPr>
      <w:shd w:val="clear" w:color="auto" w:fill="CAECC7" w:themeFill="accent6" w:themeFillTint="3F"/>
    </w:tcPr>
    <w:tblStylePr w:type="firstRow">
      <w:rPr>
        <w:b/>
        <w:bCs/>
      </w:rPr>
    </w:tblStylePr>
    <w:tblStylePr w:type="lastRow">
      <w:rPr>
        <w:b/>
        <w:bCs/>
      </w:rPr>
      <w:tblPr/>
      <w:tcPr>
        <w:tcBorders>
          <w:top w:val="single" w:sz="18" w:space="0" w:color="60C556" w:themeColor="accent6" w:themeTint="BF"/>
        </w:tcBorders>
      </w:tcPr>
    </w:tblStylePr>
    <w:tblStylePr w:type="firstCol">
      <w:rPr>
        <w:b/>
        <w:bCs/>
      </w:rPr>
    </w:tblStylePr>
    <w:tblStylePr w:type="lastCol">
      <w:rPr>
        <w:b/>
        <w:bCs/>
      </w:rPr>
    </w:tblStylePr>
  </w:style>
  <w:style w:type="table" w:styleId="MediumGrid2">
    <w:name w:val="Medium Grid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A8BBED" w:themeFill="accent1" w:themeFillTint="3F"/>
    </w:tcPr>
    <w:tblStylePr w:type="firstRow">
      <w:rPr>
        <w:b/>
        <w:bCs/>
        <w:color w:val="000000" w:themeColor="text1"/>
      </w:rPr>
      <w:tblPr/>
      <w:tcPr>
        <w:shd w:val="clear" w:color="auto" w:fill="DCE4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C8F1" w:themeFill="accent1" w:themeFillTint="33"/>
      </w:tcPr>
    </w:tblStylePr>
    <w:tblStylePr w:type="band1Vert">
      <w:tblPr/>
      <w:tcPr>
        <w:shd w:val="clear" w:color="auto" w:fill="5077D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5F5FB" w:themeFill="accent2" w:themeFillTint="3F"/>
    </w:tcPr>
    <w:tblStylePr w:type="firstRow">
      <w:rPr>
        <w:b/>
        <w:bCs/>
        <w:color w:val="000000" w:themeColor="text1"/>
      </w:rPr>
      <w:tblPr/>
      <w:tcPr>
        <w:shd w:val="clear" w:color="auto" w:fill="F4FB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7FC" w:themeFill="accent2" w:themeFillTint="33"/>
      </w:tcPr>
    </w:tblStylePr>
    <w:tblStylePr w:type="band1Vert">
      <w:tblPr/>
      <w:tcPr>
        <w:shd w:val="clear" w:color="auto" w:fill="CCEC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A4C5FF" w:themeFill="accent3" w:themeFillTint="3F"/>
    </w:tcPr>
    <w:tblStylePr w:type="firstRow">
      <w:rPr>
        <w:b/>
        <w:bCs/>
        <w:color w:val="000000" w:themeColor="text1"/>
      </w:rPr>
      <w:tblPr/>
      <w:tcPr>
        <w:shd w:val="clear" w:color="auto" w:fill="DBE8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6D0FF" w:themeFill="accent3" w:themeFillTint="33"/>
      </w:tcPr>
    </w:tblStylePr>
    <w:tblStylePr w:type="band1Vert">
      <w:tblPr/>
      <w:tcPr>
        <w:shd w:val="clear" w:color="auto" w:fill="498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B6EBFF" w:themeFill="accent4" w:themeFillTint="3F"/>
    </w:tcPr>
    <w:tblStylePr w:type="firstRow">
      <w:rPr>
        <w:b/>
        <w:bCs/>
        <w:color w:val="000000" w:themeColor="text1"/>
      </w:rPr>
      <w:tblPr/>
      <w:tcPr>
        <w:shd w:val="clear" w:color="auto" w:fill="E2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4" w:themeFillTint="33"/>
      </w:tcPr>
    </w:tblStylePr>
    <w:tblStylePr w:type="band1Vert">
      <w:tblPr/>
      <w:tcPr>
        <w:shd w:val="clear" w:color="auto" w:fill="6DD7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E3FFEC" w:themeFill="accent5" w:themeFillTint="3F"/>
    </w:tcPr>
    <w:tblStylePr w:type="firstRow">
      <w:rPr>
        <w:b/>
        <w:bCs/>
        <w:color w:val="000000" w:themeColor="text1"/>
      </w:rPr>
      <w:tblPr/>
      <w:tcPr>
        <w:shd w:val="clear" w:color="auto" w:fill="F4FF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FEF" w:themeFill="accent5" w:themeFillTint="33"/>
      </w:tcPr>
    </w:tblStylePr>
    <w:tblStylePr w:type="band1Vert">
      <w:tblPr/>
      <w:tcPr>
        <w:shd w:val="clear" w:color="auto" w:fill="C8FF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shd w:val="clear" w:color="auto" w:fill="CAECC7" w:themeFill="accent6" w:themeFillTint="3F"/>
    </w:tcPr>
    <w:tblStylePr w:type="firstRow">
      <w:rPr>
        <w:b/>
        <w:bCs/>
        <w:color w:val="000000" w:themeColor="text1"/>
      </w:rPr>
      <w:tblPr/>
      <w:tcPr>
        <w:shd w:val="clear" w:color="auto" w:fill="EAF7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FD1" w:themeFill="accent6" w:themeFillTint="33"/>
      </w:tcPr>
    </w:tblStylePr>
    <w:tblStylePr w:type="band1Vert">
      <w:tblPr/>
      <w:tcPr>
        <w:shd w:val="clear" w:color="auto" w:fill="95D9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style>
  <w:style w:type="table" w:styleId="MediumGrid3-Accent1">
    <w:name w:val="Medium Grid 3 Accent 1"/>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8B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20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20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20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77DC" w:themeFill="accent1" w:themeFillTint="7F"/>
      </w:tcPr>
    </w:tblStylePr>
  </w:style>
  <w:style w:type="table" w:styleId="MediumGrid3-Accent2">
    <w:name w:val="Medium Grid 3 Accent 2"/>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F5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9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9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9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CF7" w:themeFill="accent2" w:themeFillTint="7F"/>
      </w:tcPr>
    </w:tblStylePr>
  </w:style>
  <w:style w:type="table" w:styleId="MediumGrid3-Accent3">
    <w:name w:val="Medium Grid 3 Accent 3"/>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C5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59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59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59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98BFF" w:themeFill="accent3" w:themeFillTint="7F"/>
      </w:tcPr>
    </w:tblStylePr>
  </w:style>
  <w:style w:type="table" w:styleId="MediumGrid3-Accent4">
    <w:name w:val="Medium Grid 3 Accent 4"/>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6EB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FDA"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FDA"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FDA"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7FF" w:themeFill="accent4" w:themeFillTint="7F"/>
      </w:tcPr>
    </w:tblStylePr>
  </w:style>
  <w:style w:type="table" w:styleId="MediumGrid3-Accent5">
    <w:name w:val="Medium Grid 3 Accent 5"/>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3FF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FFB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FFB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FFB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FFD9" w:themeFill="accent5" w:themeFillTint="7F"/>
      </w:tcPr>
    </w:tblStylePr>
  </w:style>
  <w:style w:type="table" w:styleId="MediumGrid3-Accent6">
    <w:name w:val="Medium Grid 3 Accent 6"/>
    <w:basedOn w:val="TableNormal"/>
    <w:uiPriority w:val="99"/>
    <w:semiHidden/>
    <w:unhideWhenUsed/>
    <w:rsid w:val="009D630C"/>
    <w:pPr>
      <w:spacing w:after="0" w:line="240" w:lineRule="auto"/>
    </w:pPr>
    <w:tblPr>
      <w:tblStyleRowBandSize w:val="1"/>
      <w:tblStyleColBandSize w:val="1"/>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AEC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9C3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9C3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9C3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D98F" w:themeFill="accent6" w:themeFillTint="7F"/>
      </w:tcPr>
    </w:tblStylePr>
  </w:style>
  <w:style w:type="table" w:styleId="MediumList1">
    <w:name w:val="Medium List 1"/>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0000" w:themeColor="text1"/>
        <w:bottom w:val="single" w:sz="8" w:space="0" w:color="000000" w:themeColor="text1"/>
      </w:tcBorders>
      <w:shd w:val="clear" w:color="auto" w:fill="C0C0C0" w:themeFill="text1" w:themeFillTint="3F"/>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F204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StylePr>
  </w:style>
  <w:style w:type="table" w:styleId="MediumList1-Accent1">
    <w:name w:val="Medium List 1 Accent 1"/>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F204B" w:themeColor="accent1"/>
        <w:bottom w:val="single" w:sz="8" w:space="0" w:color="0F204B" w:themeColor="accent1"/>
      </w:tcBorders>
      <w:shd w:val="clear" w:color="auto" w:fill="A8BBED" w:themeFill="accent1" w:themeFillTint="3F"/>
    </w:tcPr>
    <w:tblStylePr w:type="firstRow">
      <w:rPr>
        <w:rFonts w:asciiTheme="majorHAnsi" w:eastAsiaTheme="majorEastAsia" w:hAnsiTheme="majorHAnsi" w:cstheme="majorBidi"/>
      </w:rPr>
      <w:tblPr/>
      <w:tcPr>
        <w:tcBorders>
          <w:top w:val="nil"/>
          <w:bottom w:val="single" w:sz="8" w:space="0" w:color="0F204B" w:themeColor="accent1"/>
        </w:tcBorders>
      </w:tcPr>
    </w:tblStylePr>
    <w:tblStylePr w:type="lastRow">
      <w:rPr>
        <w:b/>
        <w:bCs/>
        <w:color w:val="0F204B" w:themeColor="text2"/>
      </w:rPr>
      <w:tblPr/>
      <w:tcPr>
        <w:tcBorders>
          <w:top w:val="single" w:sz="8" w:space="0" w:color="0F204B" w:themeColor="accent1"/>
          <w:bottom w:val="single" w:sz="8" w:space="0" w:color="0F204B" w:themeColor="accent1"/>
        </w:tcBorders>
      </w:tcPr>
    </w:tblStylePr>
    <w:tblStylePr w:type="firstCol">
      <w:rPr>
        <w:b/>
        <w:bCs/>
      </w:rPr>
    </w:tblStylePr>
    <w:tblStylePr w:type="lastCol">
      <w:rPr>
        <w:b/>
        <w:bCs/>
      </w:rPr>
    </w:tblStylePr>
  </w:style>
  <w:style w:type="table" w:styleId="MediumList1-Accent2">
    <w:name w:val="Medium List 1 Accent 2"/>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99D9F0" w:themeColor="accent2"/>
        <w:bottom w:val="single" w:sz="8" w:space="0" w:color="99D9F0" w:themeColor="accent2"/>
      </w:tcBorders>
      <w:shd w:val="clear" w:color="auto" w:fill="E5F5FB" w:themeFill="accent2" w:themeFillTint="3F"/>
    </w:tcPr>
    <w:tblStylePr w:type="firstRow">
      <w:rPr>
        <w:rFonts w:asciiTheme="majorHAnsi" w:eastAsiaTheme="majorEastAsia" w:hAnsiTheme="majorHAnsi" w:cstheme="majorBidi"/>
      </w:rPr>
      <w:tblPr/>
      <w:tcPr>
        <w:tcBorders>
          <w:top w:val="nil"/>
          <w:bottom w:val="single" w:sz="8" w:space="0" w:color="99D9F0" w:themeColor="accent2"/>
        </w:tcBorders>
      </w:tcPr>
    </w:tblStylePr>
    <w:tblStylePr w:type="lastRow">
      <w:rPr>
        <w:b/>
        <w:bCs/>
        <w:color w:val="0F204B" w:themeColor="text2"/>
      </w:rPr>
      <w:tblPr/>
      <w:tcPr>
        <w:tcBorders>
          <w:top w:val="single" w:sz="8" w:space="0" w:color="99D9F0" w:themeColor="accent2"/>
          <w:bottom w:val="single" w:sz="8" w:space="0" w:color="99D9F0" w:themeColor="accent2"/>
        </w:tcBorders>
      </w:tcPr>
    </w:tblStylePr>
    <w:tblStylePr w:type="firstCol">
      <w:rPr>
        <w:b/>
        <w:bCs/>
      </w:rPr>
    </w:tblStylePr>
    <w:tblStylePr w:type="lastCol">
      <w:rPr>
        <w:b/>
        <w:bCs/>
      </w:rPr>
    </w:tblStylePr>
  </w:style>
  <w:style w:type="table" w:styleId="MediumList1-Accent3">
    <w:name w:val="Medium List 1 Accent 3"/>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3591" w:themeColor="accent3"/>
        <w:bottom w:val="single" w:sz="8" w:space="0" w:color="003591" w:themeColor="accent3"/>
      </w:tcBorders>
      <w:shd w:val="clear" w:color="auto" w:fill="A4C5FF" w:themeFill="accent3" w:themeFillTint="3F"/>
    </w:tcPr>
    <w:tblStylePr w:type="firstRow">
      <w:rPr>
        <w:rFonts w:asciiTheme="majorHAnsi" w:eastAsiaTheme="majorEastAsia" w:hAnsiTheme="majorHAnsi" w:cstheme="majorBidi"/>
      </w:rPr>
      <w:tblPr/>
      <w:tcPr>
        <w:tcBorders>
          <w:top w:val="nil"/>
          <w:bottom w:val="single" w:sz="8" w:space="0" w:color="003591" w:themeColor="accent3"/>
        </w:tcBorders>
      </w:tcPr>
    </w:tblStylePr>
    <w:tblStylePr w:type="lastRow">
      <w:rPr>
        <w:b/>
        <w:bCs/>
        <w:color w:val="0F204B" w:themeColor="text2"/>
      </w:rPr>
      <w:tblPr/>
      <w:tcPr>
        <w:tcBorders>
          <w:top w:val="single" w:sz="8" w:space="0" w:color="003591" w:themeColor="accent3"/>
          <w:bottom w:val="single" w:sz="8" w:space="0" w:color="003591" w:themeColor="accent3"/>
        </w:tcBorders>
      </w:tcPr>
    </w:tblStylePr>
    <w:tblStylePr w:type="firstCol">
      <w:rPr>
        <w:b/>
        <w:bCs/>
      </w:rPr>
    </w:tblStylePr>
    <w:tblStylePr w:type="lastCol">
      <w:rPr>
        <w:b/>
        <w:bCs/>
      </w:rPr>
    </w:tblStylePr>
  </w:style>
  <w:style w:type="table" w:styleId="MediumList1-Accent4">
    <w:name w:val="Medium List 1 Accent 4"/>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009FDA" w:themeColor="accent4"/>
        <w:bottom w:val="single" w:sz="8" w:space="0" w:color="009FDA" w:themeColor="accent4"/>
      </w:tcBorders>
      <w:shd w:val="clear" w:color="auto" w:fill="B6EBFF" w:themeFill="accent4" w:themeFillTint="3F"/>
    </w:tcPr>
    <w:tblStylePr w:type="firstRow">
      <w:rPr>
        <w:rFonts w:asciiTheme="majorHAnsi" w:eastAsiaTheme="majorEastAsia" w:hAnsiTheme="majorHAnsi" w:cstheme="majorBidi"/>
      </w:rPr>
      <w:tblPr/>
      <w:tcPr>
        <w:tcBorders>
          <w:top w:val="nil"/>
          <w:bottom w:val="single" w:sz="8" w:space="0" w:color="009FDA" w:themeColor="accent4"/>
        </w:tcBorders>
      </w:tcPr>
    </w:tblStylePr>
    <w:tblStylePr w:type="lastRow">
      <w:rPr>
        <w:b/>
        <w:bCs/>
        <w:color w:val="0F204B" w:themeColor="text2"/>
      </w:rPr>
      <w:tblPr/>
      <w:tcPr>
        <w:tcBorders>
          <w:top w:val="single" w:sz="8" w:space="0" w:color="009FDA" w:themeColor="accent4"/>
          <w:bottom w:val="single" w:sz="8" w:space="0" w:color="009FDA" w:themeColor="accent4"/>
        </w:tcBorders>
      </w:tcPr>
    </w:tblStylePr>
    <w:tblStylePr w:type="firstCol">
      <w:rPr>
        <w:b/>
        <w:bCs/>
      </w:rPr>
    </w:tblStylePr>
    <w:tblStylePr w:type="lastCol">
      <w:rPr>
        <w:b/>
        <w:bCs/>
      </w:rPr>
    </w:tblStylePr>
  </w:style>
  <w:style w:type="table" w:styleId="MediumList1-Accent5">
    <w:name w:val="Medium List 1 Accent 5"/>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91FFB4" w:themeColor="accent5"/>
        <w:bottom w:val="single" w:sz="8" w:space="0" w:color="91FFB4" w:themeColor="accent5"/>
      </w:tcBorders>
      <w:shd w:val="clear" w:color="auto" w:fill="E3FFEC" w:themeFill="accent5" w:themeFillTint="3F"/>
    </w:tcPr>
    <w:tblStylePr w:type="firstRow">
      <w:rPr>
        <w:rFonts w:asciiTheme="majorHAnsi" w:eastAsiaTheme="majorEastAsia" w:hAnsiTheme="majorHAnsi" w:cstheme="majorBidi"/>
      </w:rPr>
      <w:tblPr/>
      <w:tcPr>
        <w:tcBorders>
          <w:top w:val="nil"/>
          <w:bottom w:val="single" w:sz="8" w:space="0" w:color="91FFB4" w:themeColor="accent5"/>
        </w:tcBorders>
      </w:tcPr>
    </w:tblStylePr>
    <w:tblStylePr w:type="lastRow">
      <w:rPr>
        <w:b/>
        <w:bCs/>
        <w:color w:val="0F204B" w:themeColor="text2"/>
      </w:rPr>
      <w:tblPr/>
      <w:tcPr>
        <w:tcBorders>
          <w:top w:val="single" w:sz="8" w:space="0" w:color="91FFB4" w:themeColor="accent5"/>
          <w:bottom w:val="single" w:sz="8" w:space="0" w:color="91FFB4" w:themeColor="accent5"/>
        </w:tcBorders>
      </w:tcPr>
    </w:tblStylePr>
    <w:tblStylePr w:type="firstCol">
      <w:rPr>
        <w:b/>
        <w:bCs/>
      </w:rPr>
    </w:tblStylePr>
    <w:tblStylePr w:type="lastCol">
      <w:rPr>
        <w:b/>
        <w:bCs/>
      </w:rPr>
    </w:tblStylePr>
  </w:style>
  <w:style w:type="table" w:styleId="MediumList1-Accent6">
    <w:name w:val="Medium List 1 Accent 6"/>
    <w:basedOn w:val="TableNormal"/>
    <w:uiPriority w:val="99"/>
    <w:semiHidden/>
    <w:unhideWhenUsed/>
    <w:rsid w:val="009D630C"/>
    <w:pPr>
      <w:spacing w:after="0" w:line="240" w:lineRule="auto"/>
    </w:pPr>
    <w:rPr>
      <w:color w:val="000000" w:themeColor="text1"/>
    </w:rPr>
    <w:tblPr>
      <w:tblStyleRowBandSize w:val="1"/>
      <w:tblStyleColBandSize w:val="1"/>
    </w:tblPr>
    <w:tcPr>
      <w:tcBorders>
        <w:top w:val="single" w:sz="8" w:space="0" w:color="3F9C35" w:themeColor="accent6"/>
        <w:bottom w:val="single" w:sz="8" w:space="0" w:color="3F9C35" w:themeColor="accent6"/>
      </w:tcBorders>
      <w:shd w:val="clear" w:color="auto" w:fill="CAECC7" w:themeFill="accent6" w:themeFillTint="3F"/>
    </w:tcPr>
    <w:tblStylePr w:type="firstRow">
      <w:rPr>
        <w:rFonts w:asciiTheme="majorHAnsi" w:eastAsiaTheme="majorEastAsia" w:hAnsiTheme="majorHAnsi" w:cstheme="majorBidi"/>
      </w:rPr>
      <w:tblPr/>
      <w:tcPr>
        <w:tcBorders>
          <w:top w:val="nil"/>
          <w:bottom w:val="single" w:sz="8" w:space="0" w:color="3F9C35" w:themeColor="accent6"/>
        </w:tcBorders>
      </w:tcPr>
    </w:tblStylePr>
    <w:tblStylePr w:type="lastRow">
      <w:rPr>
        <w:b/>
        <w:bCs/>
        <w:color w:val="0F204B" w:themeColor="text2"/>
      </w:rPr>
      <w:tblPr/>
      <w:tcPr>
        <w:tcBorders>
          <w:top w:val="single" w:sz="8" w:space="0" w:color="3F9C35" w:themeColor="accent6"/>
          <w:bottom w:val="single" w:sz="8" w:space="0" w:color="3F9C35" w:themeColor="accent6"/>
        </w:tcBorders>
      </w:tcPr>
    </w:tblStylePr>
    <w:tblStylePr w:type="firstCol">
      <w:rPr>
        <w:b/>
        <w:bCs/>
      </w:rPr>
    </w:tblStylePr>
    <w:tblStylePr w:type="lastCol">
      <w:rPr>
        <w:b/>
        <w:bCs/>
      </w:rPr>
    </w:tblStylePr>
  </w:style>
  <w:style w:type="table" w:styleId="MediumList2">
    <w:name w:val="Medium Lis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C0C0C0" w:themeFill="text1" w:themeFillTint="3F"/>
    </w:tc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A8BBED" w:themeFill="accent1" w:themeFillTint="3F"/>
    </w:tcPr>
    <w:tblStylePr w:type="firstRow">
      <w:rPr>
        <w:sz w:val="24"/>
        <w:szCs w:val="24"/>
      </w:rPr>
      <w:tblPr/>
      <w:tcPr>
        <w:tcBorders>
          <w:top w:val="nil"/>
          <w:left w:val="nil"/>
          <w:bottom w:val="single" w:sz="24" w:space="0" w:color="0F204B" w:themeColor="accent1"/>
          <w:right w:val="nil"/>
          <w:insideH w:val="nil"/>
          <w:insideV w:val="nil"/>
        </w:tcBorders>
        <w:shd w:val="clear" w:color="auto" w:fill="FFFFFF" w:themeFill="background1"/>
      </w:tcPr>
    </w:tblStylePr>
    <w:tblStylePr w:type="lastRow">
      <w:tblPr/>
      <w:tcPr>
        <w:tcBorders>
          <w:top w:val="single" w:sz="8" w:space="0" w:color="0F20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204B" w:themeColor="accent1"/>
          <w:insideH w:val="nil"/>
          <w:insideV w:val="nil"/>
        </w:tcBorders>
        <w:shd w:val="clear" w:color="auto" w:fill="FFFFFF" w:themeFill="background1"/>
      </w:tcPr>
    </w:tblStylePr>
    <w:tblStylePr w:type="lastCol">
      <w:tblPr/>
      <w:tcPr>
        <w:tcBorders>
          <w:top w:val="nil"/>
          <w:left w:val="single" w:sz="8" w:space="0" w:color="0F20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B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E5F5FB" w:themeFill="accent2" w:themeFillTint="3F"/>
    </w:tcPr>
    <w:tblStylePr w:type="firstRow">
      <w:rPr>
        <w:sz w:val="24"/>
        <w:szCs w:val="24"/>
      </w:rPr>
      <w:tblPr/>
      <w:tcPr>
        <w:tcBorders>
          <w:top w:val="nil"/>
          <w:left w:val="nil"/>
          <w:bottom w:val="single" w:sz="24" w:space="0" w:color="99D9F0" w:themeColor="accent2"/>
          <w:right w:val="nil"/>
          <w:insideH w:val="nil"/>
          <w:insideV w:val="nil"/>
        </w:tcBorders>
        <w:shd w:val="clear" w:color="auto" w:fill="FFFFFF" w:themeFill="background1"/>
      </w:tcPr>
    </w:tblStylePr>
    <w:tblStylePr w:type="lastRow">
      <w:tblPr/>
      <w:tcPr>
        <w:tcBorders>
          <w:top w:val="single" w:sz="8" w:space="0" w:color="99D9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9F0" w:themeColor="accent2"/>
          <w:insideH w:val="nil"/>
          <w:insideV w:val="nil"/>
        </w:tcBorders>
        <w:shd w:val="clear" w:color="auto" w:fill="FFFFFF" w:themeFill="background1"/>
      </w:tcPr>
    </w:tblStylePr>
    <w:tblStylePr w:type="lastCol">
      <w:tblPr/>
      <w:tcPr>
        <w:tcBorders>
          <w:top w:val="nil"/>
          <w:left w:val="single" w:sz="8" w:space="0" w:color="99D9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A4C5FF" w:themeFill="accent3" w:themeFillTint="3F"/>
    </w:tcPr>
    <w:tblStylePr w:type="firstRow">
      <w:rPr>
        <w:sz w:val="24"/>
        <w:szCs w:val="24"/>
      </w:rPr>
      <w:tblPr/>
      <w:tcPr>
        <w:tcBorders>
          <w:top w:val="nil"/>
          <w:left w:val="nil"/>
          <w:bottom w:val="single" w:sz="24" w:space="0" w:color="003591" w:themeColor="accent3"/>
          <w:right w:val="nil"/>
          <w:insideH w:val="nil"/>
          <w:insideV w:val="nil"/>
        </w:tcBorders>
        <w:shd w:val="clear" w:color="auto" w:fill="FFFFFF" w:themeFill="background1"/>
      </w:tcPr>
    </w:tblStylePr>
    <w:tblStylePr w:type="lastRow">
      <w:tblPr/>
      <w:tcPr>
        <w:tcBorders>
          <w:top w:val="single" w:sz="8" w:space="0" w:color="00359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591" w:themeColor="accent3"/>
          <w:insideH w:val="nil"/>
          <w:insideV w:val="nil"/>
        </w:tcBorders>
        <w:shd w:val="clear" w:color="auto" w:fill="FFFFFF" w:themeFill="background1"/>
      </w:tcPr>
    </w:tblStylePr>
    <w:tblStylePr w:type="lastCol">
      <w:tblPr/>
      <w:tcPr>
        <w:tcBorders>
          <w:top w:val="nil"/>
          <w:left w:val="single" w:sz="8" w:space="0" w:color="00359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C5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B6EBFF" w:themeFill="accent4" w:themeFillTint="3F"/>
    </w:tcPr>
    <w:tblStylePr w:type="firstRow">
      <w:rPr>
        <w:sz w:val="24"/>
        <w:szCs w:val="24"/>
      </w:rPr>
      <w:tblPr/>
      <w:tcPr>
        <w:tcBorders>
          <w:top w:val="nil"/>
          <w:left w:val="nil"/>
          <w:bottom w:val="single" w:sz="24" w:space="0" w:color="009FDA" w:themeColor="accent4"/>
          <w:right w:val="nil"/>
          <w:insideH w:val="nil"/>
          <w:insideV w:val="nil"/>
        </w:tcBorders>
        <w:shd w:val="clear" w:color="auto" w:fill="FFFFFF" w:themeFill="background1"/>
      </w:tcPr>
    </w:tblStylePr>
    <w:tblStylePr w:type="lastRow">
      <w:tblPr/>
      <w:tcPr>
        <w:tcBorders>
          <w:top w:val="single" w:sz="8" w:space="0" w:color="009FD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FDA" w:themeColor="accent4"/>
          <w:insideH w:val="nil"/>
          <w:insideV w:val="nil"/>
        </w:tcBorders>
        <w:shd w:val="clear" w:color="auto" w:fill="FFFFFF" w:themeFill="background1"/>
      </w:tcPr>
    </w:tblStylePr>
    <w:tblStylePr w:type="lastCol">
      <w:tblPr/>
      <w:tcPr>
        <w:tcBorders>
          <w:top w:val="nil"/>
          <w:left w:val="single" w:sz="8" w:space="0" w:color="009FD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B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E3FFEC" w:themeFill="accent5" w:themeFillTint="3F"/>
    </w:tcPr>
    <w:tblStylePr w:type="firstRow">
      <w:rPr>
        <w:sz w:val="24"/>
        <w:szCs w:val="24"/>
      </w:rPr>
      <w:tblPr/>
      <w:tcPr>
        <w:tcBorders>
          <w:top w:val="nil"/>
          <w:left w:val="nil"/>
          <w:bottom w:val="single" w:sz="24" w:space="0" w:color="91FFB4" w:themeColor="accent5"/>
          <w:right w:val="nil"/>
          <w:insideH w:val="nil"/>
          <w:insideV w:val="nil"/>
        </w:tcBorders>
        <w:shd w:val="clear" w:color="auto" w:fill="FFFFFF" w:themeFill="background1"/>
      </w:tcPr>
    </w:tblStylePr>
    <w:tblStylePr w:type="lastRow">
      <w:tblPr/>
      <w:tcPr>
        <w:tcBorders>
          <w:top w:val="single" w:sz="8" w:space="0" w:color="91FFB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FFB4" w:themeColor="accent5"/>
          <w:insideH w:val="nil"/>
          <w:insideV w:val="nil"/>
        </w:tcBorders>
        <w:shd w:val="clear" w:color="auto" w:fill="FFFFFF" w:themeFill="background1"/>
      </w:tcPr>
    </w:tblStylePr>
    <w:tblStylePr w:type="lastCol">
      <w:tblPr/>
      <w:tcPr>
        <w:tcBorders>
          <w:top w:val="nil"/>
          <w:left w:val="single" w:sz="8" w:space="0" w:color="91FFB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F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9D630C"/>
    <w:pPr>
      <w:spacing w:after="0" w:line="240" w:lineRule="auto"/>
    </w:pPr>
    <w:rPr>
      <w:rFonts w:asciiTheme="majorHAnsi" w:eastAsiaTheme="majorEastAsia" w:hAnsiTheme="majorHAnsi" w:cstheme="majorBidi"/>
      <w:color w:val="000000" w:themeColor="text1"/>
    </w:rPr>
    <w:tblPr>
      <w:tblStyleRowBandSize w:val="1"/>
      <w:tblStyleColBandSize w:val="1"/>
    </w:tblPr>
    <w:tcPr>
      <w:tcBorders>
        <w:top w:val="nil"/>
        <w:bottom w:val="nil"/>
      </w:tcBorders>
      <w:shd w:val="clear" w:color="auto" w:fill="CAECC7" w:themeFill="accent6" w:themeFillTint="3F"/>
    </w:tcPr>
    <w:tblStylePr w:type="firstRow">
      <w:rPr>
        <w:sz w:val="24"/>
        <w:szCs w:val="24"/>
      </w:rPr>
      <w:tblPr/>
      <w:tcPr>
        <w:tcBorders>
          <w:top w:val="nil"/>
          <w:left w:val="nil"/>
          <w:bottom w:val="single" w:sz="24" w:space="0" w:color="3F9C35" w:themeColor="accent6"/>
          <w:right w:val="nil"/>
          <w:insideH w:val="nil"/>
          <w:insideV w:val="nil"/>
        </w:tcBorders>
        <w:shd w:val="clear" w:color="auto" w:fill="FFFFFF" w:themeFill="background1"/>
      </w:tcPr>
    </w:tblStylePr>
    <w:tblStylePr w:type="lastRow">
      <w:tblPr/>
      <w:tcPr>
        <w:tcBorders>
          <w:top w:val="single" w:sz="8" w:space="0" w:color="3F9C3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9C35" w:themeColor="accent6"/>
          <w:insideH w:val="nil"/>
          <w:insideV w:val="nil"/>
        </w:tcBorders>
        <w:shd w:val="clear" w:color="auto" w:fill="FFFFFF" w:themeFill="background1"/>
      </w:tcPr>
    </w:tblStylePr>
    <w:tblStylePr w:type="lastCol">
      <w:tblPr/>
      <w:tcPr>
        <w:tcBorders>
          <w:top w:val="nil"/>
          <w:left w:val="single" w:sz="8" w:space="0" w:color="3F9C3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C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9D630C"/>
    <w:pPr>
      <w:spacing w:after="0" w:line="240" w:lineRule="auto"/>
    </w:pPr>
    <w:tblPr>
      <w:tblStyleRowBandSize w:val="1"/>
      <w:tblStyleColBandSize w:val="1"/>
    </w:tblPr>
    <w:tcPr>
      <w:shd w:val="clear" w:color="auto" w:fill="C0C0C0" w:themeFill="text1" w:themeFillTint="3F"/>
    </w:tc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style>
  <w:style w:type="table" w:styleId="MediumShading1-Accent1">
    <w:name w:val="Medium Shading 1 Accent 1"/>
    <w:basedOn w:val="TableNormal"/>
    <w:uiPriority w:val="99"/>
    <w:semiHidden/>
    <w:unhideWhenUsed/>
    <w:rsid w:val="009D630C"/>
    <w:pPr>
      <w:spacing w:after="0" w:line="240" w:lineRule="auto"/>
    </w:pPr>
    <w:tblPr>
      <w:tblStyleRowBandSize w:val="1"/>
      <w:tblStyleColBandSize w:val="1"/>
    </w:tblPr>
    <w:tcPr>
      <w:shd w:val="clear" w:color="auto" w:fill="A8BBED" w:themeFill="accent1" w:themeFillTint="3F"/>
    </w:tcPr>
    <w:tblStylePr w:type="firstRow">
      <w:pPr>
        <w:spacing w:before="0" w:after="0" w:line="240" w:lineRule="auto"/>
      </w:pPr>
      <w:rPr>
        <w:b/>
        <w:bCs/>
        <w:color w:val="FFFFFF" w:themeColor="background1"/>
      </w:rPr>
      <w:tblPr/>
      <w:tcPr>
        <w:tcBorders>
          <w:top w:val="single" w:sz="8"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shd w:val="clear" w:color="auto" w:fill="0F204B" w:themeFill="accent1"/>
      </w:tcPr>
    </w:tblStylePr>
    <w:tblStylePr w:type="lastRow">
      <w:pPr>
        <w:spacing w:before="0" w:after="0" w:line="240" w:lineRule="auto"/>
      </w:pPr>
      <w:rPr>
        <w:b/>
        <w:bCs/>
      </w:rPr>
      <w:tblPr/>
      <w:tcPr>
        <w:tcBorders>
          <w:top w:val="double" w:sz="6" w:space="0" w:color="2045A2" w:themeColor="accent1" w:themeTint="BF"/>
          <w:left w:val="single" w:sz="8" w:space="0" w:color="2045A2" w:themeColor="accent1" w:themeTint="BF"/>
          <w:bottom w:val="single" w:sz="8" w:space="0" w:color="2045A2" w:themeColor="accent1" w:themeTint="BF"/>
          <w:right w:val="single" w:sz="8" w:space="0" w:color="2045A2" w:themeColor="accent1" w:themeTint="BF"/>
          <w:insideH w:val="nil"/>
          <w:insideV w:val="nil"/>
        </w:tcBorders>
      </w:tcPr>
    </w:tblStylePr>
    <w:tblStylePr w:type="firstCol">
      <w:rPr>
        <w:b/>
        <w:bCs/>
      </w:rPr>
    </w:tblStylePr>
    <w:tblStylePr w:type="lastCol">
      <w:rPr>
        <w:b/>
        <w:bCs/>
      </w:rPr>
    </w:tblStylePr>
  </w:style>
  <w:style w:type="table" w:styleId="MediumShading1-Accent2">
    <w:name w:val="Medium Shading 1 Accent 2"/>
    <w:basedOn w:val="TableNormal"/>
    <w:uiPriority w:val="99"/>
    <w:semiHidden/>
    <w:unhideWhenUsed/>
    <w:rsid w:val="009D630C"/>
    <w:pPr>
      <w:spacing w:after="0" w:line="240" w:lineRule="auto"/>
    </w:pPr>
    <w:tblPr>
      <w:tblStyleRowBandSize w:val="1"/>
      <w:tblStyleColBandSize w:val="1"/>
    </w:tblPr>
    <w:tcPr>
      <w:shd w:val="clear" w:color="auto" w:fill="E5F5FB" w:themeFill="accent2" w:themeFillTint="3F"/>
    </w:tcPr>
    <w:tblStylePr w:type="firstRow">
      <w:pPr>
        <w:spacing w:before="0" w:after="0" w:line="240" w:lineRule="auto"/>
      </w:pPr>
      <w:rPr>
        <w:b/>
        <w:bCs/>
        <w:color w:val="FFFFFF" w:themeColor="background1"/>
      </w:rPr>
      <w:tblPr/>
      <w:tcPr>
        <w:tcBorders>
          <w:top w:val="single" w:sz="8"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shd w:val="clear" w:color="auto" w:fill="99D9F0" w:themeFill="accent2"/>
      </w:tcPr>
    </w:tblStylePr>
    <w:tblStylePr w:type="lastRow">
      <w:pPr>
        <w:spacing w:before="0" w:after="0" w:line="240" w:lineRule="auto"/>
      </w:pPr>
      <w:rPr>
        <w:b/>
        <w:bCs/>
      </w:rPr>
      <w:tblPr/>
      <w:tcPr>
        <w:tcBorders>
          <w:top w:val="double" w:sz="6" w:space="0" w:color="B2E2F3" w:themeColor="accent2" w:themeTint="BF"/>
          <w:left w:val="single" w:sz="8" w:space="0" w:color="B2E2F3" w:themeColor="accent2" w:themeTint="BF"/>
          <w:bottom w:val="single" w:sz="8" w:space="0" w:color="B2E2F3" w:themeColor="accent2" w:themeTint="BF"/>
          <w:right w:val="single" w:sz="8" w:space="0" w:color="B2E2F3" w:themeColor="accent2" w:themeTint="BF"/>
          <w:insideH w:val="nil"/>
          <w:insideV w:val="nil"/>
        </w:tcBorders>
      </w:tcPr>
    </w:tblStylePr>
    <w:tblStylePr w:type="firstCol">
      <w:rPr>
        <w:b/>
        <w:bCs/>
      </w:rPr>
    </w:tblStylePr>
    <w:tblStylePr w:type="lastCol">
      <w:rPr>
        <w:b/>
        <w:bCs/>
      </w:rPr>
    </w:tblStylePr>
  </w:style>
  <w:style w:type="table" w:styleId="MediumShading1-Accent3">
    <w:name w:val="Medium Shading 1 Accent 3"/>
    <w:basedOn w:val="TableNormal"/>
    <w:uiPriority w:val="99"/>
    <w:semiHidden/>
    <w:unhideWhenUsed/>
    <w:rsid w:val="009D630C"/>
    <w:pPr>
      <w:spacing w:after="0" w:line="240" w:lineRule="auto"/>
    </w:pPr>
    <w:tblPr>
      <w:tblStyleRowBandSize w:val="1"/>
      <w:tblStyleColBandSize w:val="1"/>
    </w:tblPr>
    <w:tcPr>
      <w:shd w:val="clear" w:color="auto" w:fill="A4C5FF" w:themeFill="accent3" w:themeFillTint="3F"/>
    </w:tcPr>
    <w:tblStylePr w:type="firstRow">
      <w:pPr>
        <w:spacing w:before="0" w:after="0" w:line="240" w:lineRule="auto"/>
      </w:pPr>
      <w:rPr>
        <w:b/>
        <w:bCs/>
        <w:color w:val="FFFFFF" w:themeColor="background1"/>
      </w:rPr>
      <w:tblPr/>
      <w:tcPr>
        <w:tcBorders>
          <w:top w:val="single" w:sz="8"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shd w:val="clear" w:color="auto" w:fill="003591" w:themeFill="accent3"/>
      </w:tcPr>
    </w:tblStylePr>
    <w:tblStylePr w:type="lastRow">
      <w:pPr>
        <w:spacing w:before="0" w:after="0" w:line="240" w:lineRule="auto"/>
      </w:pPr>
      <w:rPr>
        <w:b/>
        <w:bCs/>
      </w:rPr>
      <w:tblPr/>
      <w:tcPr>
        <w:tcBorders>
          <w:top w:val="double" w:sz="6" w:space="0" w:color="0056EC" w:themeColor="accent3" w:themeTint="BF"/>
          <w:left w:val="single" w:sz="8" w:space="0" w:color="0056EC" w:themeColor="accent3" w:themeTint="BF"/>
          <w:bottom w:val="single" w:sz="8" w:space="0" w:color="0056EC" w:themeColor="accent3" w:themeTint="BF"/>
          <w:right w:val="single" w:sz="8" w:space="0" w:color="0056EC" w:themeColor="accent3" w:themeTint="BF"/>
          <w:insideH w:val="nil"/>
          <w:insideV w:val="nil"/>
        </w:tcBorders>
      </w:tcPr>
    </w:tblStylePr>
    <w:tblStylePr w:type="firstCol">
      <w:rPr>
        <w:b/>
        <w:bCs/>
      </w:rPr>
    </w:tblStylePr>
    <w:tblStylePr w:type="lastCol">
      <w:rPr>
        <w:b/>
        <w:bCs/>
      </w:rPr>
    </w:tblStylePr>
  </w:style>
  <w:style w:type="table" w:styleId="MediumShading1-Accent4">
    <w:name w:val="Medium Shading 1 Accent 4"/>
    <w:basedOn w:val="TableNormal"/>
    <w:uiPriority w:val="99"/>
    <w:semiHidden/>
    <w:unhideWhenUsed/>
    <w:rsid w:val="009D630C"/>
    <w:pPr>
      <w:spacing w:after="0" w:line="240" w:lineRule="auto"/>
    </w:pPr>
    <w:tblPr>
      <w:tblStyleRowBandSize w:val="1"/>
      <w:tblStyleColBandSize w:val="1"/>
    </w:tblPr>
    <w:tcPr>
      <w:shd w:val="clear" w:color="auto" w:fill="B6EBFF" w:themeFill="accent4" w:themeFillTint="3F"/>
    </w:tcPr>
    <w:tblStylePr w:type="firstRow">
      <w:pPr>
        <w:spacing w:before="0" w:after="0" w:line="240" w:lineRule="auto"/>
      </w:pPr>
      <w:rPr>
        <w:b/>
        <w:bCs/>
        <w:color w:val="FFFFFF" w:themeColor="background1"/>
      </w:rPr>
      <w:tblPr/>
      <w:tcPr>
        <w:tcBorders>
          <w:top w:val="single" w:sz="8"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shd w:val="clear" w:color="auto" w:fill="009FDA" w:themeFill="accent4"/>
      </w:tcPr>
    </w:tblStylePr>
    <w:tblStylePr w:type="lastRow">
      <w:pPr>
        <w:spacing w:before="0" w:after="0" w:line="240" w:lineRule="auto"/>
      </w:pPr>
      <w:rPr>
        <w:b/>
        <w:bCs/>
      </w:rPr>
      <w:tblPr/>
      <w:tcPr>
        <w:tcBorders>
          <w:top w:val="double" w:sz="6" w:space="0" w:color="24C2FF" w:themeColor="accent4" w:themeTint="BF"/>
          <w:left w:val="single" w:sz="8" w:space="0" w:color="24C2FF" w:themeColor="accent4" w:themeTint="BF"/>
          <w:bottom w:val="single" w:sz="8" w:space="0" w:color="24C2FF" w:themeColor="accent4" w:themeTint="BF"/>
          <w:right w:val="single" w:sz="8" w:space="0" w:color="24C2FF" w:themeColor="accent4" w:themeTint="BF"/>
          <w:insideH w:val="nil"/>
          <w:insideV w:val="nil"/>
        </w:tcBorders>
      </w:tcPr>
    </w:tblStylePr>
    <w:tblStylePr w:type="firstCol">
      <w:rPr>
        <w:b/>
        <w:bCs/>
      </w:rPr>
    </w:tblStylePr>
    <w:tblStylePr w:type="lastCol">
      <w:rPr>
        <w:b/>
        <w:bCs/>
      </w:rPr>
    </w:tblStylePr>
  </w:style>
  <w:style w:type="table" w:styleId="MediumShading1-Accent5">
    <w:name w:val="Medium Shading 1 Accent 5"/>
    <w:basedOn w:val="TableNormal"/>
    <w:uiPriority w:val="99"/>
    <w:semiHidden/>
    <w:unhideWhenUsed/>
    <w:rsid w:val="009D630C"/>
    <w:pPr>
      <w:spacing w:after="0" w:line="240" w:lineRule="auto"/>
    </w:pPr>
    <w:tblPr>
      <w:tblStyleRowBandSize w:val="1"/>
      <w:tblStyleColBandSize w:val="1"/>
    </w:tblPr>
    <w:tcPr>
      <w:shd w:val="clear" w:color="auto" w:fill="E3FFEC" w:themeFill="accent5" w:themeFillTint="3F"/>
    </w:tcPr>
    <w:tblStylePr w:type="firstRow">
      <w:pPr>
        <w:spacing w:before="0" w:after="0" w:line="240" w:lineRule="auto"/>
      </w:pPr>
      <w:rPr>
        <w:b/>
        <w:bCs/>
        <w:color w:val="FFFFFF" w:themeColor="background1"/>
      </w:rPr>
      <w:tblPr/>
      <w:tcPr>
        <w:tcBorders>
          <w:top w:val="single" w:sz="8"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shd w:val="clear" w:color="auto" w:fill="91FFB4" w:themeFill="accent5"/>
      </w:tcPr>
    </w:tblStylePr>
    <w:tblStylePr w:type="lastRow">
      <w:pPr>
        <w:spacing w:before="0" w:after="0" w:line="240" w:lineRule="auto"/>
      </w:pPr>
      <w:rPr>
        <w:b/>
        <w:bCs/>
      </w:rPr>
      <w:tblPr/>
      <w:tcPr>
        <w:tcBorders>
          <w:top w:val="double" w:sz="6" w:space="0" w:color="ACFFC6" w:themeColor="accent5" w:themeTint="BF"/>
          <w:left w:val="single" w:sz="8" w:space="0" w:color="ACFFC6" w:themeColor="accent5" w:themeTint="BF"/>
          <w:bottom w:val="single" w:sz="8" w:space="0" w:color="ACFFC6" w:themeColor="accent5" w:themeTint="BF"/>
          <w:right w:val="single" w:sz="8" w:space="0" w:color="ACFFC6" w:themeColor="accent5" w:themeTint="BF"/>
          <w:insideH w:val="nil"/>
          <w:insideV w:val="nil"/>
        </w:tcBorders>
      </w:tcPr>
    </w:tblStylePr>
    <w:tblStylePr w:type="firstCol">
      <w:rPr>
        <w:b/>
        <w:bCs/>
      </w:rPr>
    </w:tblStylePr>
    <w:tblStylePr w:type="lastCol">
      <w:rPr>
        <w:b/>
        <w:bCs/>
      </w:rPr>
    </w:tblStylePr>
  </w:style>
  <w:style w:type="table" w:styleId="MediumShading1-Accent6">
    <w:name w:val="Medium Shading 1 Accent 6"/>
    <w:basedOn w:val="TableNormal"/>
    <w:uiPriority w:val="99"/>
    <w:semiHidden/>
    <w:unhideWhenUsed/>
    <w:rsid w:val="009D630C"/>
    <w:pPr>
      <w:spacing w:after="0" w:line="240" w:lineRule="auto"/>
    </w:pPr>
    <w:tblPr>
      <w:tblStyleRowBandSize w:val="1"/>
      <w:tblStyleColBandSize w:val="1"/>
    </w:tblPr>
    <w:tcPr>
      <w:shd w:val="clear" w:color="auto" w:fill="CAECC7" w:themeFill="accent6" w:themeFillTint="3F"/>
    </w:tcPr>
    <w:tblStylePr w:type="firstRow">
      <w:pPr>
        <w:spacing w:before="0" w:after="0" w:line="240" w:lineRule="auto"/>
      </w:pPr>
      <w:rPr>
        <w:b/>
        <w:bCs/>
        <w:color w:val="FFFFFF" w:themeColor="background1"/>
      </w:rPr>
      <w:tblPr/>
      <w:tcPr>
        <w:tcBorders>
          <w:top w:val="single" w:sz="8"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shd w:val="clear" w:color="auto" w:fill="3F9C35" w:themeFill="accent6"/>
      </w:tcPr>
    </w:tblStylePr>
    <w:tblStylePr w:type="lastRow">
      <w:pPr>
        <w:spacing w:before="0" w:after="0" w:line="240" w:lineRule="auto"/>
      </w:pPr>
      <w:rPr>
        <w:b/>
        <w:bCs/>
      </w:rPr>
      <w:tblPr/>
      <w:tcPr>
        <w:tcBorders>
          <w:top w:val="double" w:sz="6" w:space="0" w:color="60C556" w:themeColor="accent6" w:themeTint="BF"/>
          <w:left w:val="single" w:sz="8" w:space="0" w:color="60C556" w:themeColor="accent6" w:themeTint="BF"/>
          <w:bottom w:val="single" w:sz="8" w:space="0" w:color="60C556" w:themeColor="accent6" w:themeTint="BF"/>
          <w:right w:val="single" w:sz="8" w:space="0" w:color="60C556" w:themeColor="accent6" w:themeTint="BF"/>
          <w:insideH w:val="nil"/>
          <w:insideV w:val="nil"/>
        </w:tcBorders>
      </w:tcPr>
    </w:tblStylePr>
    <w:tblStylePr w:type="firstCol">
      <w:rPr>
        <w:b/>
        <w:bCs/>
      </w:rPr>
    </w:tblStylePr>
    <w:tblStylePr w:type="lastCol">
      <w:rPr>
        <w:b/>
        <w:bCs/>
      </w:rPr>
    </w:tblStylePr>
  </w:style>
  <w:style w:type="table" w:styleId="MediumShading2">
    <w:name w:val="Medium Shading 2"/>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20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204B" w:themeFill="accent1"/>
      </w:tcPr>
    </w:tblStylePr>
    <w:tblStylePr w:type="lastCol">
      <w:rPr>
        <w:b/>
        <w:bCs/>
        <w:color w:val="FFFFFF" w:themeColor="background1"/>
      </w:rPr>
      <w:tblPr/>
      <w:tcPr>
        <w:tcBorders>
          <w:left w:val="nil"/>
          <w:right w:val="nil"/>
          <w:insideH w:val="nil"/>
          <w:insideV w:val="nil"/>
        </w:tcBorders>
        <w:shd w:val="clear" w:color="auto" w:fill="0F204B" w:themeFill="accent1"/>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9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9F0" w:themeFill="accent2"/>
      </w:tcPr>
    </w:tblStylePr>
    <w:tblStylePr w:type="lastCol">
      <w:rPr>
        <w:b/>
        <w:bCs/>
        <w:color w:val="FFFFFF" w:themeColor="background1"/>
      </w:rPr>
      <w:tblPr/>
      <w:tcPr>
        <w:tcBorders>
          <w:left w:val="nil"/>
          <w:right w:val="nil"/>
          <w:insideH w:val="nil"/>
          <w:insideV w:val="nil"/>
        </w:tcBorders>
        <w:shd w:val="clear" w:color="auto" w:fill="99D9F0" w:themeFill="accent2"/>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59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591" w:themeFill="accent3"/>
      </w:tcPr>
    </w:tblStylePr>
    <w:tblStylePr w:type="lastCol">
      <w:rPr>
        <w:b/>
        <w:bCs/>
        <w:color w:val="FFFFFF" w:themeColor="background1"/>
      </w:rPr>
      <w:tblPr/>
      <w:tcPr>
        <w:tcBorders>
          <w:left w:val="nil"/>
          <w:right w:val="nil"/>
          <w:insideH w:val="nil"/>
          <w:insideV w:val="nil"/>
        </w:tcBorders>
        <w:shd w:val="clear" w:color="auto" w:fill="003591" w:themeFill="accent3"/>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FDA"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FDA" w:themeFill="accent4"/>
      </w:tcPr>
    </w:tblStylePr>
    <w:tblStylePr w:type="lastCol">
      <w:rPr>
        <w:b/>
        <w:bCs/>
        <w:color w:val="FFFFFF" w:themeColor="background1"/>
      </w:rPr>
      <w:tblPr/>
      <w:tcPr>
        <w:tcBorders>
          <w:left w:val="nil"/>
          <w:right w:val="nil"/>
          <w:insideH w:val="nil"/>
          <w:insideV w:val="nil"/>
        </w:tcBorders>
        <w:shd w:val="clear" w:color="auto" w:fill="009FDA" w:themeFill="accent4"/>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FFB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FFB4" w:themeFill="accent5"/>
      </w:tcPr>
    </w:tblStylePr>
    <w:tblStylePr w:type="lastCol">
      <w:rPr>
        <w:b/>
        <w:bCs/>
        <w:color w:val="FFFFFF" w:themeColor="background1"/>
      </w:rPr>
      <w:tblPr/>
      <w:tcPr>
        <w:tcBorders>
          <w:left w:val="nil"/>
          <w:right w:val="nil"/>
          <w:insideH w:val="nil"/>
          <w:insideV w:val="nil"/>
        </w:tcBorders>
        <w:shd w:val="clear" w:color="auto" w:fill="91FFB4" w:themeFill="accent5"/>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9D630C"/>
    <w:pPr>
      <w:spacing w:after="0" w:line="240" w:lineRule="auto"/>
    </w:pPr>
    <w:tblPr>
      <w:tblStyleRowBandSize w:val="1"/>
      <w:tblStyleColBandSize w:val="1"/>
    </w:tblPr>
    <w:tcPr>
      <w:shd w:val="clear" w:color="auto" w:fill="D8D8D8" w:themeFill="background1" w:themeFillShade="D8"/>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9C3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9C35" w:themeFill="accent6"/>
      </w:tcPr>
    </w:tblStylePr>
    <w:tblStylePr w:type="lastCol">
      <w:rPr>
        <w:b/>
        <w:bCs/>
        <w:color w:val="FFFFFF" w:themeColor="background1"/>
      </w:rPr>
      <w:tblPr/>
      <w:tcPr>
        <w:tcBorders>
          <w:left w:val="nil"/>
          <w:right w:val="nil"/>
          <w:insideH w:val="nil"/>
          <w:insideV w:val="nil"/>
        </w:tcBorders>
        <w:shd w:val="clear" w:color="auto" w:fill="3F9C35" w:themeFill="accent6"/>
      </w:tcPr>
    </w:tblStylePr>
    <w:tblStylePr w:type="band1Vert">
      <w:tblPr/>
      <w:tcPr>
        <w:tcBorders>
          <w:left w:val="nil"/>
          <w:right w:val="nil"/>
          <w:insideH w:val="nil"/>
          <w:insideV w:val="nil"/>
        </w:tcBorders>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9D630C"/>
    <w:rPr>
      <w:color w:val="2B579A"/>
      <w:shd w:val="clear" w:color="auto" w:fill="E1DFDD"/>
    </w:rPr>
  </w:style>
  <w:style w:type="table" w:styleId="PlainTable1">
    <w:name w:val="Plain Table 1"/>
    <w:basedOn w:val="TableNormal"/>
    <w:uiPriority w:val="99"/>
    <w:rsid w:val="009D630C"/>
    <w:pPr>
      <w:spacing w:after="0" w:line="240" w:lineRule="auto"/>
    </w:pPr>
    <w:tblPr>
      <w:tblStyleRowBandSize w:val="1"/>
      <w:tblStyleColBandSize w:val="1"/>
    </w:tblPr>
    <w:tcPr>
      <w:tcBorders>
        <w:top w:val="double" w:sz="4" w:space="0" w:color="BFBFBF" w:themeColor="background1" w:themeShade="BF"/>
      </w:tcBorders>
      <w:shd w:val="clear" w:color="auto" w:fill="F2F2F2" w:themeFill="background1" w:themeFillShade="F2"/>
    </w:tcPr>
    <w:tblStylePr w:type="firstRow">
      <w:rPr>
        <w:b/>
        <w:bCs/>
      </w:rPr>
    </w:tblStylePr>
    <w:tblStylePr w:type="lastRow">
      <w:rPr>
        <w:b/>
        <w:bCs/>
      </w:rPr>
    </w:tblStylePr>
    <w:tblStylePr w:type="firstCol">
      <w:rPr>
        <w:b/>
        <w:bCs/>
      </w:rPr>
    </w:tblStylePr>
    <w:tblStylePr w:type="lastCol">
      <w:rPr>
        <w:b/>
        <w:bCs/>
      </w:rPr>
    </w:tblStylePr>
  </w:style>
  <w:style w:type="table" w:styleId="PlainTable2">
    <w:name w:val="Plain Table 2"/>
    <w:basedOn w:val="TableNormal"/>
    <w:uiPriority w:val="99"/>
    <w:rsid w:val="009D630C"/>
    <w:pPr>
      <w:spacing w:after="0" w:line="240" w:lineRule="auto"/>
    </w:pPr>
    <w:tblPr>
      <w:tblStyleRowBandSize w:val="1"/>
      <w:tblStyleColBandSize w:val="1"/>
    </w:tblPr>
    <w:tcPr>
      <w:tcBorders>
        <w:top w:val="single" w:sz="4" w:space="0" w:color="7F7F7F" w:themeColor="text1" w:themeTint="80"/>
        <w:bottom w:val="single" w:sz="4" w:space="0" w:color="7F7F7F" w:themeColor="text1" w:themeTint="80"/>
      </w:tcBorders>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style>
  <w:style w:type="table" w:styleId="PlainTable3">
    <w:name w:val="Plain Table 3"/>
    <w:basedOn w:val="TableNormal"/>
    <w:uiPriority w:val="99"/>
    <w:rsid w:val="009D630C"/>
    <w:pPr>
      <w:spacing w:after="0" w:line="240" w:lineRule="auto"/>
    </w:pPr>
    <w:tblPr>
      <w:tblStyleRowBandSize w:val="1"/>
      <w:tblStyleColBandSize w:val="1"/>
    </w:tblPr>
    <w:tcPr>
      <w:tcBorders>
        <w:right w:val="single" w:sz="4" w:space="0" w:color="7F7F7F" w:themeColor="text1" w:themeTint="80"/>
      </w:tcBorders>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9D630C"/>
    <w:pPr>
      <w:spacing w:after="0" w:line="240" w:lineRule="auto"/>
    </w:pPr>
    <w:tblPr/>
    <w:tblStylePr w:type="firstRow">
      <w:rPr>
        <w:b/>
        <w:bCs/>
      </w:rPr>
    </w:tblStylePr>
    <w:tblStylePr w:type="lastRow">
      <w:rPr>
        <w:b/>
        <w:bCs/>
      </w:rPr>
    </w:tblStylePr>
    <w:tblStylePr w:type="firstCol">
      <w:rPr>
        <w:b/>
        <w:bCs/>
      </w:rPr>
    </w:tblStylePr>
    <w:tblStylePr w:type="lastCol">
      <w:rPr>
        <w:b/>
        <w:bCs/>
      </w:rPr>
    </w:tblStylePr>
  </w:style>
  <w:style w:type="table" w:styleId="PlainTable5">
    <w:name w:val="Plain Table 5"/>
    <w:basedOn w:val="TableNormal"/>
    <w:uiPriority w:val="99"/>
    <w:rsid w:val="009D630C"/>
    <w:pPr>
      <w:spacing w:after="0" w:line="240" w:lineRule="auto"/>
    </w:pPr>
    <w:tblPr>
      <w:tblStyleRowBandSize w:val="1"/>
      <w:tblStyleColBandSize w:val="1"/>
    </w:tblPr>
    <w:tcPr>
      <w:tcBorders>
        <w:top w:val="single" w:sz="4" w:space="0" w:color="7F7F7F" w:themeColor="text1" w:themeTint="80"/>
        <w:right w:val="single" w:sz="4" w:space="0" w:color="7F7F7F" w:themeColor="text1" w:themeTint="80"/>
      </w:tcBorders>
      <w:shd w:val="clear" w:color="auto" w:fill="FFFFFF" w:themeFill="background1"/>
    </w:tc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martHyperlink">
    <w:name w:val="Smart Hyperlink"/>
    <w:basedOn w:val="DefaultParagraphFont"/>
    <w:uiPriority w:val="99"/>
    <w:semiHidden/>
    <w:unhideWhenUsed/>
    <w:rsid w:val="009D630C"/>
    <w:rPr>
      <w:u w:val="dotted"/>
    </w:rPr>
  </w:style>
  <w:style w:type="character" w:styleId="SmartLink">
    <w:name w:val="Smart Link"/>
    <w:basedOn w:val="DefaultParagraphFont"/>
    <w:uiPriority w:val="99"/>
    <w:semiHidden/>
    <w:unhideWhenUsed/>
    <w:rsid w:val="009D630C"/>
    <w:rPr>
      <w:color w:val="0000FF"/>
      <w:u w:val="single"/>
      <w:shd w:val="clear" w:color="auto" w:fill="F3F2F1"/>
    </w:rPr>
  </w:style>
  <w:style w:type="table" w:styleId="Table3Deffects1">
    <w:name w:val="Table 3D effects 1"/>
    <w:basedOn w:val="TableNormal"/>
    <w:uiPriority w:val="99"/>
    <w:semiHidden/>
    <w:unhideWhenUsed/>
    <w:rsid w:val="009D630C"/>
    <w:pPr>
      <w:spacing w:after="0" w:line="240" w:lineRule="auto"/>
    </w:pPr>
    <w:tblPr/>
    <w:tcPr>
      <w:tcBorders>
        <w:top w:val="single" w:sz="6" w:space="0" w:color="FFFFFF"/>
        <w:right w:val="single" w:sz="6" w:space="0" w:color="808080"/>
      </w:tcBorders>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firstCol">
      <w:rPr>
        <w:b/>
        <w:bCs/>
      </w:r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D630C"/>
    <w:pPr>
      <w:spacing w:after="0" w:line="240" w:lineRule="auto"/>
    </w:pPr>
    <w:tblPr>
      <w:tblStyleRowBandSize w:val="1"/>
    </w:tblPr>
    <w:tcPr>
      <w:tcBorders>
        <w:bottom w:val="single" w:sz="6" w:space="0" w:color="FFFFFF"/>
        <w:right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D630C"/>
    <w:pPr>
      <w:spacing w:after="0" w:line="240" w:lineRule="auto"/>
    </w:pPr>
    <w:tblPr>
      <w:tblStyleRowBandSize w:val="1"/>
      <w:tblStyleColBandSize w:val="1"/>
    </w:tblPr>
    <w:tcPr>
      <w:tcBorders>
        <w:bottom w:val="single" w:sz="6" w:space="0" w:color="FFFFFF"/>
      </w:tcBorders>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StylePr>
    <w:tblStylePr w:type="band2Vert">
      <w:rPr>
        <w:color w:val="auto"/>
      </w:r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D630C"/>
    <w:pPr>
      <w:spacing w:after="0" w:line="240" w:lineRule="auto"/>
    </w:pPr>
    <w:tblPr/>
    <w:tcPr>
      <w:tcBorders>
        <w:top w:val="single" w:sz="6" w:space="0" w:color="000000"/>
        <w:bottom w:val="single" w:sz="6" w:space="0" w:color="000000"/>
        <w:right w:val="single" w:sz="6" w:space="0" w:color="000000"/>
      </w:tcBorders>
      <w:shd w:val="clear" w:color="auto" w:fill="auto"/>
    </w:tcPr>
    <w:tblStylePr w:type="firstRow">
      <w:rPr>
        <w:i/>
        <w:iCs/>
      </w:rPr>
    </w:tblStylePr>
    <w:tblStylePr w:type="lastRow">
      <w:rPr>
        <w:color w:val="auto"/>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D630C"/>
    <w:pPr>
      <w:spacing w:after="0" w:line="240" w:lineRule="auto"/>
    </w:pP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D630C"/>
    <w:pPr>
      <w:spacing w:after="0" w:line="240" w:lineRule="auto"/>
    </w:pPr>
    <w:rPr>
      <w:color w:val="000080"/>
    </w:rPr>
    <w:tblPr/>
    <w:tcPr>
      <w:tcBorders>
        <w:top w:val="single" w:sz="12" w:space="0" w:color="000000"/>
      </w:tcBorders>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StylePr>
    <w:tblStylePr w:type="firstCol">
      <w:rPr>
        <w:b/>
        <w:bCs/>
        <w:color w:val="000000"/>
      </w:rPr>
    </w:tblStylePr>
  </w:style>
  <w:style w:type="table" w:styleId="TableClassic4">
    <w:name w:val="Table Classic 4"/>
    <w:basedOn w:val="TableNormal"/>
    <w:uiPriority w:val="99"/>
    <w:semiHidden/>
    <w:unhideWhenUsed/>
    <w:rsid w:val="009D630C"/>
    <w:pPr>
      <w:spacing w:after="0" w:line="240" w:lineRule="auto"/>
    </w:pPr>
    <w:tblPr/>
    <w:tcPr>
      <w:tcBorders>
        <w:bottom w:val="single" w:sz="6" w:space="0" w:color="000000"/>
      </w:tcBorders>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StylePr>
    <w:tblStylePr w:type="firstCol">
      <w:rPr>
        <w:b/>
        <w:bCs/>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D630C"/>
    <w:pPr>
      <w:spacing w:after="0" w:line="240" w:lineRule="auto"/>
    </w:pPr>
    <w:rPr>
      <w:color w:val="FFFFFF"/>
    </w:rPr>
    <w:tblPr/>
    <w:tblStylePr w:type="firstRow">
      <w:rPr>
        <w:b/>
        <w:bCs/>
        <w:i/>
        <w:iCs/>
      </w:rPr>
    </w:tblStylePr>
    <w:tblStylePr w:type="firstCol">
      <w:rPr>
        <w:b/>
        <w:bCs/>
        <w:i/>
        <w:iCs/>
      </w:rPr>
    </w:tblStylePr>
    <w:tblStylePr w:type="swCell">
      <w:rPr>
        <w:b/>
        <w:bCs/>
        <w:i w:val="0"/>
        <w:iCs w:val="0"/>
      </w:rPr>
    </w:tblStylePr>
  </w:style>
  <w:style w:type="table" w:styleId="TableColorful2">
    <w:name w:val="Table Colorful 2"/>
    <w:basedOn w:val="TableNormal"/>
    <w:uiPriority w:val="99"/>
    <w:semiHidden/>
    <w:unhideWhenUsed/>
    <w:rsid w:val="009D630C"/>
    <w:pPr>
      <w:spacing w:after="0" w:line="240" w:lineRule="auto"/>
    </w:pP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D630C"/>
    <w:pPr>
      <w:spacing w:after="0" w:line="240" w:lineRule="auto"/>
    </w:pPr>
    <w:tblPr/>
    <w:tblStylePr w:type="nwCell">
      <w:rPr>
        <w:b/>
        <w:bCs/>
        <w:color w:val="FFFFFF"/>
      </w:rPr>
    </w:tblStylePr>
  </w:style>
  <w:style w:type="table" w:styleId="TableColumns1">
    <w:name w:val="Table Columns 1"/>
    <w:basedOn w:val="TableNormal"/>
    <w:uiPriority w:val="99"/>
    <w:semiHidden/>
    <w:unhideWhenUsed/>
    <w:rsid w:val="009D630C"/>
    <w:pPr>
      <w:spacing w:after="0" w:line="240" w:lineRule="auto"/>
    </w:pPr>
    <w:rPr>
      <w:b/>
      <w:bCs/>
    </w:rPr>
    <w:tblPr>
      <w:tblStyleColBandSize w:val="1"/>
    </w:tblPr>
    <w:tcPr>
      <w:shd w:val="pct25" w:color="000000" w:fill="FFFFFF"/>
    </w:tc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D630C"/>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StylePr>
    <w:tblStylePr w:type="lastCol">
      <w:rPr>
        <w:b w:val="0"/>
        <w:bCs w:val="0"/>
      </w:rPr>
    </w:tblStylePr>
    <w:tblStylePr w:type="band1Vert">
      <w:rPr>
        <w:color w:val="auto"/>
      </w:rPr>
    </w:tblStylePr>
    <w:tblStylePr w:type="band2Vert">
      <w:rPr>
        <w:color w:val="auto"/>
      </w:r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D630C"/>
    <w:pPr>
      <w:spacing w:after="0" w:line="24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D630C"/>
    <w:pPr>
      <w:spacing w:after="0" w:line="240" w:lineRule="auto"/>
    </w:pPr>
    <w:tblPr>
      <w:tblStyleColBandSize w:val="1"/>
    </w:tblPr>
    <w:tcPr>
      <w:shd w:val="pct10" w:color="000000" w:fill="FFFFFF"/>
    </w:tcPr>
    <w:tblStylePr w:type="firstRow">
      <w:rPr>
        <w:color w:val="FFFFFF"/>
      </w:rPr>
      <w:tblPr/>
      <w:tcPr>
        <w:tcBorders>
          <w:tl2br w:val="none" w:sz="0" w:space="0" w:color="auto"/>
          <w:tr2bl w:val="none" w:sz="0" w:space="0" w:color="auto"/>
        </w:tcBorders>
        <w:shd w:val="solid" w:color="000000" w:fill="FFFFFF"/>
      </w:tcPr>
    </w:tblStylePr>
    <w:tblStylePr w:type="lastRow">
      <w:rPr>
        <w:b/>
        <w:bCs/>
      </w:rPr>
    </w:tblStylePr>
    <w:tblStylePr w:type="lastCol">
      <w:rPr>
        <w:b/>
        <w:bCs/>
      </w:rPr>
    </w:tblStylePr>
    <w:tblStylePr w:type="band1Vert">
      <w:rPr>
        <w:color w:val="auto"/>
      </w:rPr>
    </w:tblStylePr>
    <w:tblStylePr w:type="band2Vert">
      <w:rPr>
        <w:color w:val="auto"/>
      </w:rPr>
    </w:tblStylePr>
  </w:style>
  <w:style w:type="table" w:styleId="TableColumns5">
    <w:name w:val="Table Columns 5"/>
    <w:basedOn w:val="TableNormal"/>
    <w:uiPriority w:val="99"/>
    <w:semiHidden/>
    <w:unhideWhenUsed/>
    <w:rsid w:val="009D630C"/>
    <w:pPr>
      <w:spacing w:after="0" w:line="240" w:lineRule="auto"/>
    </w:pPr>
    <w:tblPr>
      <w:tblStyleColBandSize w:val="1"/>
    </w:tblPr>
    <w:tcPr>
      <w:shd w:val="solid" w:color="C0C0C0" w:fill="FFFFFF"/>
    </w:tc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StylePr>
    <w:tblStylePr w:type="lastCol">
      <w:rPr>
        <w:b/>
        <w:bCs/>
      </w:rPr>
    </w:tblStylePr>
    <w:tblStylePr w:type="band1Vert">
      <w:rPr>
        <w:color w:val="auto"/>
      </w:rPr>
    </w:tblStylePr>
    <w:tblStylePr w:type="band2Vert">
      <w:rPr>
        <w:color w:val="auto"/>
      </w:rPr>
    </w:tblStylePr>
  </w:style>
  <w:style w:type="table" w:styleId="TableContemporary">
    <w:name w:val="Table Contemporary"/>
    <w:basedOn w:val="TableNormal"/>
    <w:uiPriority w:val="99"/>
    <w:semiHidden/>
    <w:unhideWhenUsed/>
    <w:rsid w:val="009D630C"/>
    <w:pPr>
      <w:spacing w:after="0" w:line="240" w:lineRule="auto"/>
    </w:pPr>
    <w:tblPr>
      <w:tblStyleRowBandSize w:val="1"/>
    </w:tblPr>
    <w:tcPr>
      <w:shd w:val="pct5" w:color="000000" w:fill="FFFFFF"/>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D630C"/>
    <w:pPr>
      <w:spacing w:after="0" w:line="240" w:lineRule="auto"/>
    </w:pPr>
    <w:tblPr/>
    <w:tblStylePr w:type="firstRow">
      <w:rPr>
        <w:caps/>
        <w:color w:val="auto"/>
      </w:rPr>
    </w:tblStylePr>
  </w:style>
  <w:style w:type="table" w:styleId="TableGrid">
    <w:name w:val="Table Grid"/>
    <w:basedOn w:val="TableNormal"/>
    <w:uiPriority w:val="39"/>
    <w:rsid w:val="009D630C"/>
    <w:pPr>
      <w:spacing w:after="0" w:line="240" w:lineRule="auto"/>
    </w:pPr>
    <w:tblPr/>
  </w:style>
  <w:style w:type="table" w:styleId="TableGrid1">
    <w:name w:val="Table Grid 1"/>
    <w:basedOn w:val="TableNormal"/>
    <w:uiPriority w:val="99"/>
    <w:semiHidden/>
    <w:unhideWhenUsed/>
    <w:rsid w:val="009D630C"/>
    <w:pPr>
      <w:spacing w:after="0" w:line="240" w:lineRule="auto"/>
    </w:pPr>
    <w:tblPr/>
    <w:tblStylePr w:type="lastRow">
      <w:rPr>
        <w:i/>
        <w:iCs/>
      </w:rPr>
    </w:tblStylePr>
    <w:tblStylePr w:type="lastCol">
      <w:rPr>
        <w:i/>
        <w:iCs/>
      </w:rPr>
    </w:tblStylePr>
  </w:style>
  <w:style w:type="table" w:styleId="TableGrid2">
    <w:name w:val="Table Grid 2"/>
    <w:basedOn w:val="TableNormal"/>
    <w:uiPriority w:val="99"/>
    <w:semiHidden/>
    <w:unhideWhenUsed/>
    <w:rsid w:val="009D630C"/>
    <w:pPr>
      <w:spacing w:after="0" w:line="240" w:lineRule="auto"/>
    </w:pP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StylePr>
    <w:tblStylePr w:type="lastCol">
      <w:rPr>
        <w:b/>
        <w:bCs/>
      </w:rPr>
    </w:tblStylePr>
  </w:style>
  <w:style w:type="table" w:styleId="TableGrid3">
    <w:name w:val="Table Grid 3"/>
    <w:basedOn w:val="TableNormal"/>
    <w:uiPriority w:val="99"/>
    <w:semiHidden/>
    <w:unhideWhenUsed/>
    <w:rsid w:val="009D630C"/>
    <w:pPr>
      <w:spacing w:after="0" w:line="240" w:lineRule="auto"/>
    </w:pP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StylePr>
    <w:tblStylePr w:type="lastCol">
      <w:rPr>
        <w:b/>
        <w:bCs/>
      </w:rPr>
    </w:tblStylePr>
  </w:style>
  <w:style w:type="table" w:styleId="TableGrid4">
    <w:name w:val="Table Grid 4"/>
    <w:basedOn w:val="TableNormal"/>
    <w:uiPriority w:val="99"/>
    <w:semiHidden/>
    <w:unhideWhenUsed/>
    <w:rsid w:val="009D630C"/>
    <w:pPr>
      <w:spacing w:after="0" w:line="240" w:lineRule="auto"/>
    </w:pPr>
    <w:tblPr/>
    <w:tcPr>
      <w:tcBorders>
        <w:top w:val="single" w:sz="6" w:space="0" w:color="000000"/>
      </w:tcBorders>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StylePr>
    <w:tblStylePr w:type="lastCol">
      <w:rPr>
        <w:b/>
        <w:bCs/>
        <w:color w:val="auto"/>
      </w:rPr>
    </w:tblStylePr>
  </w:style>
  <w:style w:type="table" w:styleId="TableGrid5">
    <w:name w:val="Table Grid 5"/>
    <w:basedOn w:val="TableNormal"/>
    <w:uiPriority w:val="99"/>
    <w:semiHidden/>
    <w:unhideWhenUsed/>
    <w:rsid w:val="009D630C"/>
    <w:pPr>
      <w:spacing w:after="0" w:line="240" w:lineRule="auto"/>
    </w:pP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StylePr>
    <w:tblStylePr w:type="lastCol">
      <w:rPr>
        <w:b/>
        <w:bCs/>
      </w:r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D630C"/>
    <w:pPr>
      <w:spacing w:after="0" w:line="240" w:lineRule="auto"/>
    </w:pP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D630C"/>
    <w:pPr>
      <w:spacing w:after="0" w:line="240" w:lineRule="auto"/>
    </w:pPr>
    <w:rPr>
      <w:b/>
      <w:bCs/>
    </w:rP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StylePr>
    <w:tblStylePr w:type="lastCol">
      <w:rPr>
        <w:b w:val="0"/>
        <w:bCs w:val="0"/>
      </w:r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D630C"/>
    <w:pPr>
      <w:spacing w:after="0" w:line="240" w:lineRule="auto"/>
    </w:p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StylePr>
    <w:tblStylePr w:type="lastCol">
      <w:rPr>
        <w:b/>
        <w:bCs/>
        <w:color w:val="auto"/>
      </w:rPr>
    </w:tblStylePr>
  </w:style>
  <w:style w:type="table" w:styleId="TableGridLight">
    <w:name w:val="Grid Table Light"/>
    <w:basedOn w:val="TableNormal"/>
    <w:uiPriority w:val="99"/>
    <w:rsid w:val="009D630C"/>
    <w:pPr>
      <w:spacing w:after="0" w:line="240" w:lineRule="auto"/>
    </w:pPr>
    <w:tblPr/>
  </w:style>
  <w:style w:type="table" w:styleId="TableList1">
    <w:name w:val="Table List 1"/>
    <w:basedOn w:val="TableNormal"/>
    <w:uiPriority w:val="99"/>
    <w:semiHidden/>
    <w:unhideWhenUsed/>
    <w:rsid w:val="009D630C"/>
    <w:pPr>
      <w:spacing w:after="0" w:line="240" w:lineRule="auto"/>
    </w:pPr>
    <w:tblPr>
      <w:tblStyleRowBandSize w:val="1"/>
    </w:tblPr>
    <w:tcPr>
      <w:shd w:val="solid" w:color="C0C0C0"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D630C"/>
    <w:pPr>
      <w:spacing w:after="0" w:line="240" w:lineRule="auto"/>
    </w:pPr>
    <w:tblPr>
      <w:tblStyleRowBandSize w:val="2"/>
    </w:tblPr>
    <w:tcPr>
      <w:shd w:val="pct20" w:color="00FF00" w:fill="FFFFFF"/>
    </w:tc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D630C"/>
    <w:pPr>
      <w:spacing w:after="0" w:line="240" w:lineRule="auto"/>
    </w:pPr>
    <w:tblPr/>
    <w:tcPr>
      <w:tcBorders>
        <w:top w:val="single" w:sz="12" w:space="0" w:color="000000"/>
      </w:tcBorders>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D630C"/>
    <w:pPr>
      <w:spacing w:after="0" w:line="240" w:lineRule="auto"/>
    </w:pPr>
    <w:tblPr/>
    <w:tblStylePr w:type="firstRow">
      <w:rPr>
        <w:b/>
        <w:bCs/>
        <w:color w:val="FFFFFF"/>
      </w:rPr>
    </w:tblStylePr>
  </w:style>
  <w:style w:type="table" w:styleId="TableList5">
    <w:name w:val="Table List 5"/>
    <w:basedOn w:val="TableNormal"/>
    <w:uiPriority w:val="99"/>
    <w:semiHidden/>
    <w:unhideWhenUsed/>
    <w:rsid w:val="009D630C"/>
    <w:pPr>
      <w:spacing w:after="0" w:line="240" w:lineRule="auto"/>
    </w:pPr>
    <w:tblPr/>
    <w:tcPr>
      <w:tcBorders>
        <w:bottom w:val="single" w:sz="12" w:space="0" w:color="000000"/>
      </w:tcBorders>
      <w:shd w:val="clear" w:color="auto" w:fill="auto"/>
    </w:tcPr>
    <w:tblStylePr w:type="firstRow">
      <w:rPr>
        <w:b/>
        <w:bCs/>
      </w:rPr>
    </w:tblStylePr>
    <w:tblStylePr w:type="firstCol">
      <w:rPr>
        <w:b/>
        <w:bCs/>
      </w:rPr>
    </w:tblStylePr>
  </w:style>
  <w:style w:type="table" w:styleId="TableList6">
    <w:name w:val="Table List 6"/>
    <w:basedOn w:val="TableNormal"/>
    <w:uiPriority w:val="99"/>
    <w:semiHidden/>
    <w:unhideWhenUsed/>
    <w:rsid w:val="009D630C"/>
    <w:pPr>
      <w:spacing w:after="0" w:line="240" w:lineRule="auto"/>
    </w:pPr>
    <w:tblPr>
      <w:tblStyleRowBandSize w:val="1"/>
    </w:tblPr>
    <w:tcPr>
      <w:tcBorders>
        <w:bottom w:val="single" w:sz="12" w:space="0" w:color="000000"/>
        <w:right w:val="single" w:sz="12" w:space="0" w:color="000000"/>
      </w:tcBorders>
      <w:shd w:val="pct50" w:color="000000" w:fill="FFFFFF"/>
    </w:tcPr>
    <w:tblStylePr w:type="firstRow">
      <w:rPr>
        <w:b/>
        <w:bCs/>
      </w:rPr>
    </w:tblStylePr>
    <w:tblStylePr w:type="firstCol">
      <w:rPr>
        <w:b/>
        <w:bCs/>
      </w:rPr>
    </w:tblStylePr>
  </w:style>
  <w:style w:type="table" w:styleId="TableList7">
    <w:name w:val="Table List 7"/>
    <w:basedOn w:val="TableNormal"/>
    <w:uiPriority w:val="99"/>
    <w:semiHidden/>
    <w:unhideWhenUsed/>
    <w:rsid w:val="009D630C"/>
    <w:pPr>
      <w:spacing w:after="0" w:line="240" w:lineRule="auto"/>
    </w:pPr>
    <w:tblPr>
      <w:tblStyleRowBandSize w:val="1"/>
    </w:tblPr>
    <w:tcPr>
      <w:shd w:val="pct20" w:color="000000" w:fill="FFFFFF"/>
    </w:tc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style>
  <w:style w:type="table" w:styleId="TableList8">
    <w:name w:val="Table List 8"/>
    <w:basedOn w:val="TableNormal"/>
    <w:uiPriority w:val="99"/>
    <w:semiHidden/>
    <w:unhideWhenUsed/>
    <w:rsid w:val="009D630C"/>
    <w:pPr>
      <w:spacing w:after="0" w:line="240" w:lineRule="auto"/>
    </w:pPr>
    <w:tblPr>
      <w:tblStyleRowBandSize w:val="1"/>
    </w:tblPr>
    <w:tcPr>
      <w:shd w:val="pct25" w:color="FFFF00" w:fill="FFFFFF"/>
    </w:tc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StylePr>
  </w:style>
  <w:style w:type="table" w:styleId="TableProfessional">
    <w:name w:val="Table Professional"/>
    <w:basedOn w:val="TableNormal"/>
    <w:uiPriority w:val="99"/>
    <w:semiHidden/>
    <w:unhideWhenUsed/>
    <w:rsid w:val="009D630C"/>
    <w:pPr>
      <w:spacing w:after="0" w:line="240" w:lineRule="auto"/>
    </w:pPr>
    <w:tblPr/>
    <w:tblStylePr w:type="firstRow">
      <w:rPr>
        <w:b/>
        <w:bCs/>
        <w:color w:val="auto"/>
      </w:rPr>
    </w:tblStylePr>
  </w:style>
  <w:style w:type="table" w:styleId="TableSimple1">
    <w:name w:val="Table Simple 1"/>
    <w:basedOn w:val="TableNormal"/>
    <w:uiPriority w:val="99"/>
    <w:semiHidden/>
    <w:unhideWhenUsed/>
    <w:rsid w:val="009D630C"/>
    <w:pPr>
      <w:spacing w:after="0" w:line="240" w:lineRule="auto"/>
    </w:pPr>
    <w:tblPr/>
    <w:tcPr>
      <w:tcBorders>
        <w:top w:val="single" w:sz="6" w:space="0" w:color="008000"/>
      </w:tcBorders>
      <w:shd w:val="clear" w:color="auto" w:fill="auto"/>
    </w:tcPr>
    <w:tblStylePr w:type="firstRow">
      <w:tblPr/>
      <w:tcPr>
        <w:tcBorders>
          <w:bottom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D630C"/>
    <w:pPr>
      <w:spacing w:after="0" w:line="24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StylePr>
    <w:tblStylePr w:type="firstCol">
      <w:rPr>
        <w:b/>
        <w:bCs/>
      </w:rPr>
    </w:tblStylePr>
    <w:tblStylePr w:type="lastCol">
      <w:rPr>
        <w:b/>
        <w:bCs/>
      </w:r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D630C"/>
    <w:pPr>
      <w:spacing w:after="0" w:line="240" w:lineRule="auto"/>
    </w:pPr>
    <w:tblPr/>
    <w:tcPr>
      <w:shd w:val="clear" w:color="auto" w:fill="auto"/>
    </w:tcPr>
    <w:tblStylePr w:type="firstRow">
      <w:rPr>
        <w:b/>
        <w:bCs/>
        <w:color w:val="FFFFFF"/>
      </w:rPr>
    </w:tblStylePr>
  </w:style>
  <w:style w:type="table" w:styleId="TableSubtle1">
    <w:name w:val="Table Subtle 1"/>
    <w:basedOn w:val="TableNormal"/>
    <w:uiPriority w:val="99"/>
    <w:semiHidden/>
    <w:unhideWhenUsed/>
    <w:rsid w:val="009D630C"/>
    <w:pPr>
      <w:spacing w:after="0" w:line="240" w:lineRule="auto"/>
    </w:pPr>
    <w:tblPr>
      <w:tblStyleRowBandSize w:val="1"/>
    </w:tblPr>
    <w:tcPr>
      <w:tcBorders>
        <w:left w:val="single" w:sz="12" w:space="0" w:color="000000"/>
        <w:bottom w:val="single" w:sz="6" w:space="0" w:color="000000"/>
      </w:tcBorders>
      <w:shd w:val="pct25" w:color="808000" w:fill="FFFFFF"/>
    </w:tc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D630C"/>
    <w:pPr>
      <w:spacing w:after="0" w:line="240" w:lineRule="auto"/>
    </w:pPr>
    <w:tblPr/>
    <w:tcPr>
      <w:tcBorders>
        <w:left w:val="single" w:sz="12" w:space="0" w:color="000000"/>
        <w:right w:val="single" w:sz="12" w:space="0" w:color="000000"/>
      </w:tcBorders>
      <w:shd w:val="pct25" w:color="808000" w:fill="FFFFFF"/>
    </w:tc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D630C"/>
    <w:pPr>
      <w:spacing w:after="0" w:line="240" w:lineRule="auto"/>
    </w:pPr>
    <w:tblPr/>
  </w:style>
  <w:style w:type="table" w:styleId="TableWeb1">
    <w:name w:val="Table Web 1"/>
    <w:basedOn w:val="TableNormal"/>
    <w:uiPriority w:val="99"/>
    <w:semiHidden/>
    <w:unhideWhenUsed/>
    <w:rsid w:val="009D630C"/>
    <w:pPr>
      <w:spacing w:after="0" w:line="240" w:lineRule="auto"/>
    </w:pPr>
    <w:tblPr/>
    <w:tblStylePr w:type="firstRow">
      <w:rPr>
        <w:color w:val="auto"/>
      </w:rPr>
    </w:tblStylePr>
  </w:style>
  <w:style w:type="table" w:styleId="TableWeb2">
    <w:name w:val="Table Web 2"/>
    <w:basedOn w:val="TableNormal"/>
    <w:uiPriority w:val="99"/>
    <w:semiHidden/>
    <w:unhideWhenUsed/>
    <w:rsid w:val="009D630C"/>
    <w:pPr>
      <w:spacing w:after="0" w:line="240" w:lineRule="auto"/>
    </w:pPr>
    <w:tblPr/>
    <w:tblStylePr w:type="firstRow">
      <w:rPr>
        <w:color w:val="auto"/>
      </w:rPr>
    </w:tblStylePr>
  </w:style>
  <w:style w:type="table" w:styleId="TableWeb3">
    <w:name w:val="Table Web 3"/>
    <w:basedOn w:val="TableNormal"/>
    <w:uiPriority w:val="99"/>
    <w:semiHidden/>
    <w:unhideWhenUsed/>
    <w:rsid w:val="009D630C"/>
    <w:pPr>
      <w:spacing w:after="0" w:line="240" w:lineRule="auto"/>
    </w:pPr>
    <w:tblPr/>
    <w:tblStylePr w:type="firstRow">
      <w:rPr>
        <w:color w:val="auto"/>
      </w:rPr>
    </w:tblStylePr>
  </w:style>
  <w:style w:type="character" w:styleId="UnresolvedMention">
    <w:name w:val="Unresolved Mention"/>
    <w:basedOn w:val="DefaultParagraphFont"/>
    <w:uiPriority w:val="99"/>
    <w:unhideWhenUsed/>
    <w:rsid w:val="009D630C"/>
    <w:rPr>
      <w:color w:val="605E5C"/>
      <w:shd w:val="clear" w:color="auto" w:fill="E1DFDD"/>
    </w:rPr>
  </w:style>
  <w:style w:type="paragraph" w:customStyle="1" w:styleId="Bullet1">
    <w:name w:val="Bullet 1"/>
    <w:basedOn w:val="BodyText"/>
    <w:link w:val="Bullet1Char"/>
    <w:uiPriority w:val="1"/>
    <w:qFormat/>
    <w:rsid w:val="00E63F4E"/>
    <w:pPr>
      <w:numPr>
        <w:numId w:val="16"/>
      </w:numPr>
      <w:spacing w:after="40"/>
    </w:pPr>
  </w:style>
  <w:style w:type="character" w:customStyle="1" w:styleId="Bullet1Char">
    <w:name w:val="Bullet 1 Char"/>
    <w:basedOn w:val="BodyTextChar"/>
    <w:link w:val="Bullet1"/>
    <w:uiPriority w:val="1"/>
    <w:rsid w:val="00E63F4E"/>
    <w:rPr>
      <w:rFonts w:ascii="Arial" w:hAnsi="Arial" w:cs="Arial"/>
      <w:sz w:val="18"/>
      <w:szCs w:val="18"/>
      <w:lang w:val="en-GB"/>
    </w:rPr>
  </w:style>
  <w:style w:type="paragraph" w:customStyle="1" w:styleId="Bullet1Last">
    <w:name w:val="Bullet 1 Last"/>
    <w:basedOn w:val="Bullet1"/>
    <w:link w:val="Bullet1LastChar"/>
    <w:uiPriority w:val="1"/>
    <w:qFormat/>
    <w:rsid w:val="00E63F4E"/>
    <w:pPr>
      <w:spacing w:after="140"/>
    </w:pPr>
  </w:style>
  <w:style w:type="character" w:customStyle="1" w:styleId="Bullet1LastChar">
    <w:name w:val="Bullet 1 Last Char"/>
    <w:basedOn w:val="Bullet1Char"/>
    <w:link w:val="Bullet1Last"/>
    <w:uiPriority w:val="1"/>
    <w:rsid w:val="00E63F4E"/>
    <w:rPr>
      <w:rFonts w:ascii="Arial" w:hAnsi="Arial" w:cs="Arial"/>
      <w:sz w:val="18"/>
      <w:szCs w:val="18"/>
      <w:lang w:val="en-GB"/>
    </w:rPr>
  </w:style>
  <w:style w:type="paragraph" w:styleId="Revision">
    <w:name w:val="Revision"/>
    <w:hidden/>
    <w:uiPriority w:val="99"/>
    <w:semiHidden/>
    <w:rsid w:val="00211064"/>
    <w:pPr>
      <w:spacing w:after="0" w:line="240" w:lineRule="auto"/>
    </w:pPr>
    <w:rPr>
      <w:rFonts w:ascii="Arial" w:hAnsi="Arial" w:cs="Arial"/>
      <w:sz w:val="18"/>
      <w:szCs w:val="18"/>
      <w:lang w:val="en-GB"/>
    </w:rPr>
  </w:style>
  <w:style w:type="table" w:customStyle="1" w:styleId="DNV">
    <w:name w:val="DNV"/>
    <w:basedOn w:val="TableNormal"/>
    <w:uiPriority w:val="99"/>
    <w:rsid w:val="00452F21"/>
    <w:pPr>
      <w:spacing w:after="0" w:line="240" w:lineRule="auto"/>
    </w:pPr>
    <w:tblPr>
      <w:tblStyleRowBandSize w:val="1"/>
    </w:tblPr>
    <w:tcPr>
      <w:shd w:val="clear" w:color="auto" w:fill="F2F2F2" w:themeFill="background1" w:themeFillShade="F2"/>
      <w:vAlign w:val="center"/>
    </w:tcPr>
    <w:tblStylePr w:type="firstRow">
      <w:pPr>
        <w:jc w:val="center"/>
      </w:pPr>
      <w:rPr>
        <w:rFonts w:asciiTheme="minorHAnsi" w:hAnsiTheme="minorHAnsi"/>
        <w:b/>
        <w:sz w:val="18"/>
      </w:rPr>
      <w:tblPr/>
      <w:tcPr>
        <w:shd w:val="clear" w:color="auto" w:fill="0F204B" w:themeFill="accent1"/>
        <w:vAlign w:val="center"/>
      </w:tcPr>
    </w:tblStylePr>
    <w:tblStylePr w:type="band1Horz">
      <w:pPr>
        <w:jc w:val="left"/>
      </w:pPr>
      <w:rPr>
        <w:rFonts w:asciiTheme="minorHAnsi" w:hAnsiTheme="minorHAnsi"/>
        <w:sz w:val="18"/>
      </w:rPr>
    </w:tblStylePr>
    <w:tblStylePr w:type="band2Horz">
      <w:pPr>
        <w:jc w:val="left"/>
      </w:pPr>
      <w:rPr>
        <w:rFonts w:asciiTheme="minorHAnsi" w:hAnsiTheme="minorHAnsi"/>
        <w:sz w:val="18"/>
      </w:rPr>
      <w:tblPr/>
      <w:tcPr>
        <w:vAlign w:val="center"/>
      </w:tcPr>
    </w:tblStylePr>
  </w:style>
  <w:style w:type="paragraph" w:customStyle="1" w:styleId="FigureTitle">
    <w:name w:val="Figure Title"/>
    <w:basedOn w:val="BodyText"/>
    <w:link w:val="FigureTitleChar"/>
    <w:uiPriority w:val="1"/>
    <w:qFormat/>
    <w:rsid w:val="000160B2"/>
    <w:pPr>
      <w:keepNext/>
      <w:keepLines/>
      <w:spacing w:after="120"/>
    </w:pPr>
    <w:rPr>
      <w:b/>
      <w:bCs/>
      <w:color w:val="0F204B" w:themeColor="accent1"/>
    </w:rPr>
  </w:style>
  <w:style w:type="character" w:customStyle="1" w:styleId="FigureTitleChar">
    <w:name w:val="Figure Title Char"/>
    <w:basedOn w:val="BodyTextChar"/>
    <w:link w:val="FigureTitle"/>
    <w:uiPriority w:val="1"/>
    <w:rsid w:val="000160B2"/>
    <w:rPr>
      <w:rFonts w:ascii="Arial" w:hAnsi="Arial" w:cs="Arial"/>
      <w:b/>
      <w:bCs/>
      <w:color w:val="0F204B" w:themeColor="accent1"/>
      <w:sz w:val="18"/>
      <w:szCs w:val="18"/>
      <w:lang w:val="en-GB"/>
    </w:rPr>
  </w:style>
  <w:style w:type="paragraph" w:customStyle="1" w:styleId="TableHeader">
    <w:name w:val="Table Header"/>
    <w:basedOn w:val="BodyText"/>
    <w:link w:val="TableHeaderChar"/>
    <w:uiPriority w:val="1"/>
    <w:qFormat/>
    <w:rsid w:val="00D62C8F"/>
    <w:pPr>
      <w:spacing w:after="40" w:line="240" w:lineRule="auto"/>
      <w:jc w:val="center"/>
    </w:pPr>
    <w:rPr>
      <w:b/>
    </w:rPr>
  </w:style>
  <w:style w:type="character" w:customStyle="1" w:styleId="TableHeaderChar">
    <w:name w:val="Table Header Char"/>
    <w:basedOn w:val="BodyTextChar"/>
    <w:link w:val="TableHeader"/>
    <w:uiPriority w:val="1"/>
    <w:rsid w:val="00D62C8F"/>
    <w:rPr>
      <w:rFonts w:ascii="Arial" w:hAnsi="Arial" w:cs="Arial"/>
      <w:b/>
      <w:sz w:val="18"/>
      <w:szCs w:val="18"/>
      <w:lang w:val="en-GB"/>
    </w:rPr>
  </w:style>
  <w:style w:type="paragraph" w:customStyle="1" w:styleId="TableText">
    <w:name w:val="Table Text"/>
    <w:basedOn w:val="BodyText"/>
    <w:link w:val="TableTextChar"/>
    <w:uiPriority w:val="1"/>
    <w:qFormat/>
    <w:rsid w:val="00D62C8F"/>
    <w:pPr>
      <w:spacing w:after="40" w:line="240" w:lineRule="auto"/>
    </w:pPr>
  </w:style>
  <w:style w:type="character" w:customStyle="1" w:styleId="TableTextChar">
    <w:name w:val="Table Text Char"/>
    <w:basedOn w:val="BodyTextChar"/>
    <w:link w:val="TableText"/>
    <w:uiPriority w:val="1"/>
    <w:rsid w:val="00D62C8F"/>
    <w:rPr>
      <w:rFonts w:ascii="Arial" w:hAnsi="Arial" w:cs="Arial"/>
      <w:sz w:val="18"/>
      <w:szCs w:val="18"/>
      <w:lang w:val="en-GB"/>
    </w:rPr>
  </w:style>
  <w:style w:type="paragraph" w:customStyle="1" w:styleId="Appendix">
    <w:name w:val="Appendix"/>
    <w:basedOn w:val="Heading1"/>
    <w:next w:val="BodyText"/>
    <w:link w:val="AppendixChar"/>
    <w:uiPriority w:val="1"/>
    <w:qFormat/>
    <w:rsid w:val="005E0EFB"/>
    <w:pPr>
      <w:pageBreakBefore w:val="0"/>
      <w:numPr>
        <w:numId w:val="17"/>
      </w:numPr>
      <w:tabs>
        <w:tab w:val="left" w:pos="1800"/>
      </w:tabs>
      <w:ind w:left="0" w:firstLine="0"/>
    </w:pPr>
  </w:style>
  <w:style w:type="character" w:customStyle="1" w:styleId="AppendixChar">
    <w:name w:val="Appendix Char"/>
    <w:basedOn w:val="Heading1Char"/>
    <w:link w:val="Appendix"/>
    <w:uiPriority w:val="1"/>
    <w:rsid w:val="005E0EFB"/>
    <w:rPr>
      <w:rFonts w:ascii="Arial" w:hAnsi="Arial" w:cs="Arial"/>
      <w:b/>
      <w:caps/>
      <w:color w:val="0F204B"/>
      <w:sz w:val="26"/>
      <w:szCs w:val="18"/>
      <w:lang w:val="en-GB"/>
    </w:rPr>
  </w:style>
  <w:style w:type="paragraph" w:customStyle="1" w:styleId="Tablebullet">
    <w:name w:val="Table bullet"/>
    <w:basedOn w:val="TableText"/>
    <w:link w:val="TablebulletChar"/>
    <w:uiPriority w:val="1"/>
    <w:qFormat/>
    <w:rsid w:val="00D540C0"/>
    <w:pPr>
      <w:numPr>
        <w:numId w:val="18"/>
      </w:numPr>
    </w:pPr>
  </w:style>
  <w:style w:type="character" w:customStyle="1" w:styleId="TablebulletChar">
    <w:name w:val="Table bullet Char"/>
    <w:basedOn w:val="TableTextChar"/>
    <w:link w:val="Tablebullet"/>
    <w:uiPriority w:val="1"/>
    <w:rsid w:val="00D540C0"/>
    <w:rPr>
      <w:rFonts w:ascii="Arial" w:hAnsi="Arial" w:cs="Arial"/>
      <w:sz w:val="18"/>
      <w:szCs w:val="18"/>
      <w:lang w:val="en-GB"/>
    </w:rPr>
  </w:style>
  <w:style w:type="paragraph" w:customStyle="1" w:styleId="Heading2-NoNumbers">
    <w:name w:val="Heading 2 - No Numbers"/>
    <w:basedOn w:val="Heading2"/>
    <w:link w:val="Heading2-NoNumbersChar"/>
    <w:uiPriority w:val="1"/>
    <w:qFormat/>
    <w:rsid w:val="002D4798"/>
    <w:pPr>
      <w:numPr>
        <w:ilvl w:val="0"/>
        <w:numId w:val="0"/>
      </w:numPr>
      <w:spacing w:after="120"/>
      <w:ind w:left="680" w:hanging="680"/>
    </w:pPr>
  </w:style>
  <w:style w:type="character" w:customStyle="1" w:styleId="Heading2-NoNumbersChar">
    <w:name w:val="Heading 2 - No Numbers Char"/>
    <w:basedOn w:val="Heading2Char"/>
    <w:link w:val="Heading2-NoNumbers"/>
    <w:uiPriority w:val="1"/>
    <w:rsid w:val="002D4798"/>
    <w:rPr>
      <w:rFonts w:ascii="Arial" w:hAnsi="Arial" w:cs="Arial"/>
      <w:b/>
      <w:color w:val="0F204B"/>
      <w:sz w:val="26"/>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672618">
      <w:bodyDiv w:val="1"/>
      <w:marLeft w:val="0"/>
      <w:marRight w:val="0"/>
      <w:marTop w:val="0"/>
      <w:marBottom w:val="0"/>
      <w:divBdr>
        <w:top w:val="none" w:sz="0" w:space="0" w:color="auto"/>
        <w:left w:val="none" w:sz="0" w:space="0" w:color="auto"/>
        <w:bottom w:val="none" w:sz="0" w:space="0" w:color="auto"/>
        <w:right w:val="none" w:sz="0" w:space="0" w:color="auto"/>
      </w:divBdr>
    </w:div>
    <w:div w:id="240677858">
      <w:bodyDiv w:val="1"/>
      <w:marLeft w:val="0"/>
      <w:marRight w:val="0"/>
      <w:marTop w:val="0"/>
      <w:marBottom w:val="0"/>
      <w:divBdr>
        <w:top w:val="none" w:sz="0" w:space="0" w:color="auto"/>
        <w:left w:val="none" w:sz="0" w:space="0" w:color="auto"/>
        <w:bottom w:val="none" w:sz="0" w:space="0" w:color="auto"/>
        <w:right w:val="none" w:sz="0" w:space="0" w:color="auto"/>
      </w:divBdr>
    </w:div>
    <w:div w:id="614021599">
      <w:bodyDiv w:val="1"/>
      <w:marLeft w:val="0"/>
      <w:marRight w:val="0"/>
      <w:marTop w:val="0"/>
      <w:marBottom w:val="0"/>
      <w:divBdr>
        <w:top w:val="none" w:sz="0" w:space="0" w:color="auto"/>
        <w:left w:val="none" w:sz="0" w:space="0" w:color="auto"/>
        <w:bottom w:val="none" w:sz="0" w:space="0" w:color="auto"/>
        <w:right w:val="none" w:sz="0" w:space="0" w:color="auto"/>
      </w:divBdr>
      <w:divsChild>
        <w:div w:id="670329454">
          <w:marLeft w:val="0"/>
          <w:marRight w:val="0"/>
          <w:marTop w:val="0"/>
          <w:marBottom w:val="0"/>
          <w:divBdr>
            <w:top w:val="none" w:sz="0" w:space="0" w:color="auto"/>
            <w:left w:val="none" w:sz="0" w:space="0" w:color="auto"/>
            <w:bottom w:val="none" w:sz="0" w:space="0" w:color="auto"/>
            <w:right w:val="none" w:sz="0" w:space="0" w:color="auto"/>
          </w:divBdr>
        </w:div>
      </w:divsChild>
    </w:div>
    <w:div w:id="716274364">
      <w:bodyDiv w:val="1"/>
      <w:marLeft w:val="0"/>
      <w:marRight w:val="0"/>
      <w:marTop w:val="0"/>
      <w:marBottom w:val="0"/>
      <w:divBdr>
        <w:top w:val="none" w:sz="0" w:space="0" w:color="auto"/>
        <w:left w:val="none" w:sz="0" w:space="0" w:color="auto"/>
        <w:bottom w:val="none" w:sz="0" w:space="0" w:color="auto"/>
        <w:right w:val="none" w:sz="0" w:space="0" w:color="auto"/>
      </w:divBdr>
    </w:div>
    <w:div w:id="907957251">
      <w:bodyDiv w:val="1"/>
      <w:marLeft w:val="0"/>
      <w:marRight w:val="0"/>
      <w:marTop w:val="0"/>
      <w:marBottom w:val="0"/>
      <w:divBdr>
        <w:top w:val="none" w:sz="0" w:space="0" w:color="auto"/>
        <w:left w:val="none" w:sz="0" w:space="0" w:color="auto"/>
        <w:bottom w:val="none" w:sz="0" w:space="0" w:color="auto"/>
        <w:right w:val="none" w:sz="0" w:space="0" w:color="auto"/>
      </w:divBdr>
    </w:div>
    <w:div w:id="921524555">
      <w:bodyDiv w:val="1"/>
      <w:marLeft w:val="0"/>
      <w:marRight w:val="0"/>
      <w:marTop w:val="0"/>
      <w:marBottom w:val="0"/>
      <w:divBdr>
        <w:top w:val="none" w:sz="0" w:space="0" w:color="auto"/>
        <w:left w:val="none" w:sz="0" w:space="0" w:color="auto"/>
        <w:bottom w:val="none" w:sz="0" w:space="0" w:color="auto"/>
        <w:right w:val="none" w:sz="0" w:space="0" w:color="auto"/>
      </w:divBdr>
    </w:div>
    <w:div w:id="1255213647">
      <w:bodyDiv w:val="1"/>
      <w:marLeft w:val="0"/>
      <w:marRight w:val="0"/>
      <w:marTop w:val="0"/>
      <w:marBottom w:val="0"/>
      <w:divBdr>
        <w:top w:val="none" w:sz="0" w:space="0" w:color="auto"/>
        <w:left w:val="none" w:sz="0" w:space="0" w:color="auto"/>
        <w:bottom w:val="none" w:sz="0" w:space="0" w:color="auto"/>
        <w:right w:val="none" w:sz="0" w:space="0" w:color="auto"/>
      </w:divBdr>
    </w:div>
    <w:div w:id="1422877520">
      <w:bodyDiv w:val="1"/>
      <w:marLeft w:val="0"/>
      <w:marRight w:val="0"/>
      <w:marTop w:val="0"/>
      <w:marBottom w:val="0"/>
      <w:divBdr>
        <w:top w:val="none" w:sz="0" w:space="0" w:color="auto"/>
        <w:left w:val="none" w:sz="0" w:space="0" w:color="auto"/>
        <w:bottom w:val="none" w:sz="0" w:space="0" w:color="auto"/>
        <w:right w:val="none" w:sz="0" w:space="0" w:color="auto"/>
      </w:divBdr>
    </w:div>
    <w:div w:id="1661615391">
      <w:bodyDiv w:val="1"/>
      <w:marLeft w:val="0"/>
      <w:marRight w:val="0"/>
      <w:marTop w:val="0"/>
      <w:marBottom w:val="0"/>
      <w:divBdr>
        <w:top w:val="none" w:sz="0" w:space="0" w:color="auto"/>
        <w:left w:val="none" w:sz="0" w:space="0" w:color="auto"/>
        <w:bottom w:val="none" w:sz="0" w:space="0" w:color="auto"/>
        <w:right w:val="none" w:sz="0" w:space="0" w:color="auto"/>
      </w:divBdr>
    </w:div>
    <w:div w:id="1879387724">
      <w:bodyDiv w:val="1"/>
      <w:marLeft w:val="0"/>
      <w:marRight w:val="0"/>
      <w:marTop w:val="0"/>
      <w:marBottom w:val="0"/>
      <w:divBdr>
        <w:top w:val="none" w:sz="0" w:space="0" w:color="auto"/>
        <w:left w:val="none" w:sz="0" w:space="0" w:color="auto"/>
        <w:bottom w:val="none" w:sz="0" w:space="0" w:color="auto"/>
        <w:right w:val="none" w:sz="0" w:space="0" w:color="auto"/>
      </w:divBdr>
    </w:div>
    <w:div w:id="2042584992">
      <w:bodyDiv w:val="1"/>
      <w:marLeft w:val="0"/>
      <w:marRight w:val="0"/>
      <w:marTop w:val="0"/>
      <w:marBottom w:val="0"/>
      <w:divBdr>
        <w:top w:val="none" w:sz="0" w:space="0" w:color="auto"/>
        <w:left w:val="none" w:sz="0" w:space="0" w:color="auto"/>
        <w:bottom w:val="none" w:sz="0" w:space="0" w:color="auto"/>
        <w:right w:val="none" w:sz="0" w:space="0" w:color="auto"/>
      </w:divBdr>
    </w:div>
    <w:div w:id="2056588299">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diagramData" Target="diagrams/data1.xml"/><Relationship Id="rId42" Type="http://schemas.openxmlformats.org/officeDocument/2006/relationships/footer" Target="footer4.xml"/><Relationship Id="rId47" Type="http://schemas.openxmlformats.org/officeDocument/2006/relationships/header" Target="header8.xml"/><Relationship Id="rId63" Type="http://schemas.openxmlformats.org/officeDocument/2006/relationships/hyperlink" Target="https://ieeexplore.ieee.org/document/7732552" TargetMode="External"/><Relationship Id="rId68" Type="http://schemas.openxmlformats.org/officeDocument/2006/relationships/hyperlink" Target="https://ipu.msu.edu/wp-content/uploads/2018/04/LBNL-Electrification-of-Buildings-2018.pdf" TargetMode="External"/><Relationship Id="rId16" Type="http://schemas.openxmlformats.org/officeDocument/2006/relationships/footer" Target="footer2.xml"/><Relationship Id="rId11" Type="http://schemas.openxmlformats.org/officeDocument/2006/relationships/footnotes" Target="footnotes.xml"/><Relationship Id="rId32" Type="http://schemas.openxmlformats.org/officeDocument/2006/relationships/hyperlink" Target="https://data.nrel.gov/submissions/97" TargetMode="External"/><Relationship Id="rId37" Type="http://schemas.openxmlformats.org/officeDocument/2006/relationships/hyperlink" Target="https://www.eia.gov/consumption/manufacturing/data/2022/pdf/MECS%202022%20Release%201-2%20Results.pdf" TargetMode="External"/><Relationship Id="rId53" Type="http://schemas.openxmlformats.org/officeDocument/2006/relationships/hyperlink" Target="https://caenergywise.com/instant-rebates/" TargetMode="External"/><Relationship Id="rId58" Type="http://schemas.openxmlformats.org/officeDocument/2006/relationships/hyperlink" Target="https://www.sandia.gov/ess-ssl/wp-content/uploads/2018/08/2017_EESAT_Proceeding_Jacobs.pdf" TargetMode="External"/><Relationship Id="rId74" Type="http://schemas.openxmlformats.org/officeDocument/2006/relationships/header" Target="header10.xml"/><Relationship Id="rId79"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hyperlink" Target="https://www1.eere.energy.gov/manufacturing/tech_assistance/pdfs/motor.pdf" TargetMode="External"/><Relationship Id="rId1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hyperlink" Target="http://www.jstor.org/stable/2346830" TargetMode="External"/><Relationship Id="rId30" Type="http://schemas.openxmlformats.org/officeDocument/2006/relationships/hyperlink" Target="https://www.cpuc.ca.gov/-/media/cpuc-website/divisions/energy-division/documents/natural-gas/long-term-gas-planning-oir/rulings/revisedgassystemdataruling09212022.pdf" TargetMode="External"/><Relationship Id="rId35" Type="http://schemas.openxmlformats.org/officeDocument/2006/relationships/hyperlink" Target="https://www.ers.usda.gov/data-products/food-access-research-atlas" TargetMode="External"/><Relationship Id="rId43" Type="http://schemas.openxmlformats.org/officeDocument/2006/relationships/header" Target="header6.xml"/><Relationship Id="rId48" Type="http://schemas.openxmlformats.org/officeDocument/2006/relationships/footer" Target="footer6.xml"/><Relationship Id="rId56" Type="http://schemas.openxmlformats.org/officeDocument/2006/relationships/hyperlink" Target="https://alumni.berkeley.edu/california-magazine/2023-spring-summer/berkeley-goes-all-electric-as-part-of-ambitious-clean-energy-campus-plan/" TargetMode="External"/><Relationship Id="rId64" Type="http://schemas.openxmlformats.org/officeDocument/2006/relationships/hyperlink" Target="https://dof.ca.gov/wp-content/uploads/sites/352/2023/04/ZE-Forklift-SRIA-to-DOF.pdf" TargetMode="External"/><Relationship Id="rId69" Type="http://schemas.openxmlformats.org/officeDocument/2006/relationships/hyperlink" Target="https://betterbuildingssolutioncenter.energy.gov/better-plants/process-cooling-and-hvac" TargetMode="External"/><Relationship Id="rId77" Type="http://schemas.openxmlformats.org/officeDocument/2006/relationships/header" Target="header12.xml"/><Relationship Id="rId8" Type="http://schemas.openxmlformats.org/officeDocument/2006/relationships/styles" Target="styles.xml"/><Relationship Id="rId51" Type="http://schemas.openxmlformats.org/officeDocument/2006/relationships/hyperlink" Target="https://www.energy.ca.gov/publications/2021/demonstration-high-efficiency-commercial-cooking-equipment-and-kitchen" TargetMode="External"/><Relationship Id="rId72" Type="http://schemas.openxmlformats.org/officeDocument/2006/relationships/hyperlink" Target="https://ipu.msu.edu/wp-content/uploads/2018/04/LBNL-Electrification-of-Buildings-2018.pdf" TargetMode="External"/><Relationship Id="rId80" Type="http://schemas.microsoft.com/office/2019/05/relationships/documenttasks" Target="documenttasks/documenttasks1.xml"/><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header" Target="header3.xml"/><Relationship Id="rId25" Type="http://schemas.microsoft.com/office/2007/relationships/diagramDrawing" Target="diagrams/drawing1.xml"/><Relationship Id="rId33" Type="http://schemas.openxmlformats.org/officeDocument/2006/relationships/hyperlink" Target="https://oehha.ca.gov/media/downloads/calenviroscreen/document/calenviroscreen40resultsdatadictionaryf2021.zip" TargetMode="External"/><Relationship Id="rId38" Type="http://schemas.openxmlformats.org/officeDocument/2006/relationships/hyperlink" Target="https://www.epa.gov/ejscreen/download-ejscreen-data" TargetMode="External"/><Relationship Id="rId46" Type="http://schemas.openxmlformats.org/officeDocument/2006/relationships/header" Target="header7.xml"/><Relationship Id="rId59" Type="http://schemas.openxmlformats.org/officeDocument/2006/relationships/hyperlink" Target="https://www.achrnews.com/articles/147247-commercial-hvac-retrofits-can-electrify-the-bottom-line" TargetMode="External"/><Relationship Id="rId67" Type="http://schemas.openxmlformats.org/officeDocument/2006/relationships/hyperlink" Target="https://www2.deloitte.com/cn/en/pages/consumer-industrial-products/articles/electrification-in-industrials.html" TargetMode="External"/><Relationship Id="rId20" Type="http://schemas.openxmlformats.org/officeDocument/2006/relationships/image" Target="media/image3.png"/><Relationship Id="rId41" Type="http://schemas.openxmlformats.org/officeDocument/2006/relationships/header" Target="header5.xml"/><Relationship Id="rId54" Type="http://schemas.openxmlformats.org/officeDocument/2006/relationships/hyperlink" Target="https://www.energy.ca.gov/data-reports/surveys/california-commercial-end-use-survey/2006-california-commercial-end-use-survey" TargetMode="External"/><Relationship Id="rId62" Type="http://schemas.openxmlformats.org/officeDocument/2006/relationships/hyperlink" Target="https://www.eia.gov/todayinenergy/detail.php?id=13431" TargetMode="External"/><Relationship Id="rId70" Type="http://schemas.openxmlformats.org/officeDocument/2006/relationships/hyperlink" Target="https://esource.bizenergyadvisor.com/article/electric-chillers" TargetMode="External"/><Relationship Id="rId75" Type="http://schemas.openxmlformats.org/officeDocument/2006/relationships/header" Target="header11.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diagramQuickStyle" Target="diagrams/quickStyle1.xml"/><Relationship Id="rId28" Type="http://schemas.openxmlformats.org/officeDocument/2006/relationships/hyperlink" Target="https://www.energy.ca.gov/data-reports/surveys/california-commercial-end-use-survey" TargetMode="External"/><Relationship Id="rId36" Type="http://schemas.openxmlformats.org/officeDocument/2006/relationships/hyperlink" Target="https://www.energy.gov/scep/slsc/lead-tool" TargetMode="External"/><Relationship Id="rId49" Type="http://schemas.openxmlformats.org/officeDocument/2006/relationships/header" Target="header9.xml"/><Relationship Id="rId57" Type="http://schemas.openxmlformats.org/officeDocument/2006/relationships/hyperlink" Target="https://www.globalefficiencyintel.com/electrification-of-boilers-in-us-manufacturing" TargetMode="External"/><Relationship Id="rId10" Type="http://schemas.openxmlformats.org/officeDocument/2006/relationships/webSettings" Target="webSettings.xml"/><Relationship Id="rId31" Type="http://schemas.openxmlformats.org/officeDocument/2006/relationships/hyperlink" Target="https://hazards.fema.gov/nri/data-resources" TargetMode="External"/><Relationship Id="rId44" Type="http://schemas.openxmlformats.org/officeDocument/2006/relationships/footer" Target="footer5.xml"/><Relationship Id="rId52" Type="http://schemas.openxmlformats.org/officeDocument/2006/relationships/hyperlink" Target="https://www.energy.ca.gov/publications/2021/demonstration-high-efficiency-commercial-cooking-equipment-and-kitchen" TargetMode="External"/><Relationship Id="rId60" Type="http://schemas.openxmlformats.org/officeDocument/2006/relationships/hyperlink" Target="https://www.energy.gov/eere/ammto/articles/get-your-motor-running-next-generation-electric-machines" TargetMode="External"/><Relationship Id="rId65" Type="http://schemas.openxmlformats.org/officeDocument/2006/relationships/hyperlink" Target="https://dof.ca.gov/wp-content/uploads/sites/352/2023/04/ZE-Forklift-SRIA-to-DOF.pdf" TargetMode="External"/><Relationship Id="rId73" Type="http://schemas.openxmlformats.org/officeDocument/2006/relationships/hyperlink" Target="https://www.sciencedirect.com/science/article/pii/S2211339817300977" TargetMode="External"/><Relationship Id="rId78" Type="http://schemas.openxmlformats.org/officeDocument/2006/relationships/fontTable" Target="fontTable.xml"/><Relationship Id="rId81" Type="http://schemas.microsoft.com/office/2020/10/relationships/intelligence" Target="intelligence2.xml"/><Relationship Id="rId4" Type="http://schemas.openxmlformats.org/officeDocument/2006/relationships/customXml" Target="../customXml/item3.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yperlink" Target="https://www.icpsr.umich.edu/web/ICPSR/studies/38605" TargetMode="External"/><Relationship Id="rId34" Type="http://schemas.openxmlformats.org/officeDocument/2006/relationships/hyperlink" Target="https://data.census.gov/table?g=040XX00US06$1400000&amp;y=2022&amp;d=ACS+5-Year+Estimates+Data+Profiles" TargetMode="External"/><Relationship Id="rId50" Type="http://schemas.openxmlformats.org/officeDocument/2006/relationships/hyperlink" Target="https://opiniondynamics.com/wp-content/uploads/2022/06/OD-CPUC-Heat-Pump-Market-Study-Report-f.pdf" TargetMode="External"/><Relationship Id="rId55" Type="http://schemas.openxmlformats.org/officeDocument/2006/relationships/hyperlink" Target="https://www.energy.ca.gov/data-reports/surveys/california-commercial-end-use-survey/2006-california-commercial-end-use-survey" TargetMode="External"/><Relationship Id="rId76" Type="http://schemas.openxmlformats.org/officeDocument/2006/relationships/footer" Target="footer7.xml"/><Relationship Id="rId7" Type="http://schemas.openxmlformats.org/officeDocument/2006/relationships/numbering" Target="numbering.xml"/><Relationship Id="rId71" Type="http://schemas.openxmlformats.org/officeDocument/2006/relationships/hyperlink" Target="https://www.energy.gov/eere/iedo/decarbonizing-process-heat" TargetMode="External"/><Relationship Id="rId2" Type="http://schemas.openxmlformats.org/officeDocument/2006/relationships/customXml" Target="../customXml/item1.xml"/><Relationship Id="rId29" Type="http://schemas.openxmlformats.org/officeDocument/2006/relationships/hyperlink" Target="https://www.cpuc.ca.gov/industries-and-topics/natural-gas/long-term-gas-planning-rulemaking-closed" TargetMode="External"/><Relationship Id="rId24" Type="http://schemas.openxmlformats.org/officeDocument/2006/relationships/diagramColors" Target="diagrams/colors1.xml"/><Relationship Id="rId40" Type="http://schemas.openxmlformats.org/officeDocument/2006/relationships/header" Target="header4.xml"/><Relationship Id="rId45" Type="http://schemas.openxmlformats.org/officeDocument/2006/relationships/image" Target="media/image5.png"/><Relationship Id="rId66" Type="http://schemas.openxmlformats.org/officeDocument/2006/relationships/hyperlink" Target="https://www.eia.gov/survey/form/eia_846/proposed/2022/form.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puc.ca.gov/-/media/cpuc-website/divisions/energy-division/documents/natural-gas/long-term-gas-planning-oir/rulings/revisedgassystemdataruling09212022.pdf" TargetMode="External"/><Relationship Id="rId7" Type="http://schemas.openxmlformats.org/officeDocument/2006/relationships/hyperlink" Target="https://www.cpuc.ca.gov/-/media/cpuc-website/divisions/energy-division/documents/natural-gas/long-term-gas-planning-oir/rulings/revisedgassystemdataruling09212022.pdf" TargetMode="External"/><Relationship Id="rId2" Type="http://schemas.openxmlformats.org/officeDocument/2006/relationships/hyperlink" Target="https://www.cpuc.ca.gov/industries-and-topics/natural-gas/long-term-gas-planning-rulemaking-closed" TargetMode="External"/><Relationship Id="rId1" Type="http://schemas.openxmlformats.org/officeDocument/2006/relationships/hyperlink" Target="https://www.jstor.org/stable/2346830" TargetMode="External"/><Relationship Id="rId6" Type="http://schemas.openxmlformats.org/officeDocument/2006/relationships/hyperlink" Target="https://www.cpuc.ca.gov/-/media/cpuc-website/divisions/energy-division/documents/natural-gas/long-term-gas-planning-oir/rulings/gassystemdataruling03012022.pdf" TargetMode="External"/><Relationship Id="rId5" Type="http://schemas.openxmlformats.org/officeDocument/2006/relationships/hyperlink" Target="https://www.cpuc.ca.gov/industries-and-topics/natural-gas/long-term-gas-planning-rulemaking-closed" TargetMode="External"/><Relationship Id="rId4" Type="http://schemas.openxmlformats.org/officeDocument/2006/relationships/hyperlink" Target="https://www.epa.gov/superfund/what-superfu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99370C-89F4-4145-A1B3-EF4BCF7B4BAC}"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en-US"/>
        </a:p>
      </dgm:t>
    </dgm:pt>
    <dgm:pt modelId="{37243185-7E15-4D4F-AAA8-8664D90D34D4}">
      <dgm:prSet phldrT="[Text]"/>
      <dgm:spPr/>
      <dgm:t>
        <a:bodyPr/>
        <a:lstStyle/>
        <a:p>
          <a:r>
            <a:rPr lang="en-US"/>
            <a:t>Gas Assets</a:t>
          </a:r>
        </a:p>
      </dgm:t>
    </dgm:pt>
    <dgm:pt modelId="{E92BDE48-34E3-4C39-BAD7-9C667523B5FB}" type="parTrans" cxnId="{97200D42-FA54-4394-8F6B-3EF14671CB42}">
      <dgm:prSet/>
      <dgm:spPr/>
      <dgm:t>
        <a:bodyPr/>
        <a:lstStyle/>
        <a:p>
          <a:endParaRPr lang="en-US"/>
        </a:p>
      </dgm:t>
    </dgm:pt>
    <dgm:pt modelId="{E1F7B5E9-F866-441C-881D-B1D5D8C97D21}" type="sibTrans" cxnId="{97200D42-FA54-4394-8F6B-3EF14671CB42}">
      <dgm:prSet/>
      <dgm:spPr/>
      <dgm:t>
        <a:bodyPr/>
        <a:lstStyle/>
        <a:p>
          <a:endParaRPr lang="en-US"/>
        </a:p>
      </dgm:t>
    </dgm:pt>
    <dgm:pt modelId="{10F30B49-608A-44FA-9511-91EF2A02568C}">
      <dgm:prSet phldrT="[Text]"/>
      <dgm:spPr/>
      <dgm:t>
        <a:bodyPr/>
        <a:lstStyle/>
        <a:p>
          <a:r>
            <a:rPr lang="en-US"/>
            <a:t>Safety</a:t>
          </a:r>
        </a:p>
      </dgm:t>
    </dgm:pt>
    <dgm:pt modelId="{CDED997D-C3E2-410F-83CB-3CA6DCDE5A73}" type="parTrans" cxnId="{08036378-D0F1-4B3B-AE97-EBC6CE044486}">
      <dgm:prSet/>
      <dgm:spPr/>
      <dgm:t>
        <a:bodyPr/>
        <a:lstStyle/>
        <a:p>
          <a:endParaRPr lang="en-US"/>
        </a:p>
      </dgm:t>
    </dgm:pt>
    <dgm:pt modelId="{872BB083-C45C-4322-AC20-A656A99ADCA7}" type="sibTrans" cxnId="{08036378-D0F1-4B3B-AE97-EBC6CE044486}">
      <dgm:prSet/>
      <dgm:spPr/>
      <dgm:t>
        <a:bodyPr/>
        <a:lstStyle/>
        <a:p>
          <a:endParaRPr lang="en-US"/>
        </a:p>
      </dgm:t>
    </dgm:pt>
    <dgm:pt modelId="{356FD91B-11E3-48D8-BF23-21E9C2501614}">
      <dgm:prSet phldrT="[Text]"/>
      <dgm:spPr/>
      <dgm:t>
        <a:bodyPr/>
        <a:lstStyle/>
        <a:p>
          <a:r>
            <a:rPr lang="en-US"/>
            <a:t>Environment</a:t>
          </a:r>
        </a:p>
      </dgm:t>
    </dgm:pt>
    <dgm:pt modelId="{60749B0D-B338-460C-A7D8-A5246F37A6DE}" type="parTrans" cxnId="{043F3303-A4B3-4C6C-BCB1-0673FCAA6898}">
      <dgm:prSet/>
      <dgm:spPr/>
      <dgm:t>
        <a:bodyPr/>
        <a:lstStyle/>
        <a:p>
          <a:endParaRPr lang="en-US"/>
        </a:p>
      </dgm:t>
    </dgm:pt>
    <dgm:pt modelId="{CF939B64-A8C2-4F17-87BF-8315F98225CA}" type="sibTrans" cxnId="{043F3303-A4B3-4C6C-BCB1-0673FCAA6898}">
      <dgm:prSet/>
      <dgm:spPr/>
      <dgm:t>
        <a:bodyPr/>
        <a:lstStyle/>
        <a:p>
          <a:endParaRPr lang="en-US"/>
        </a:p>
      </dgm:t>
    </dgm:pt>
    <dgm:pt modelId="{4D8719DE-618D-4CC0-A1CC-1D313A2A6E5E}">
      <dgm:prSet phldrT="[Text]"/>
      <dgm:spPr/>
      <dgm:t>
        <a:bodyPr/>
        <a:lstStyle/>
        <a:p>
          <a:r>
            <a:rPr lang="en-US"/>
            <a:t>Cost</a:t>
          </a:r>
        </a:p>
      </dgm:t>
    </dgm:pt>
    <dgm:pt modelId="{04580F0A-3520-4DF3-A5FB-F1205F714F82}" type="parTrans" cxnId="{BBF64276-9545-402F-9FC9-E41D22A38126}">
      <dgm:prSet/>
      <dgm:spPr/>
      <dgm:t>
        <a:bodyPr/>
        <a:lstStyle/>
        <a:p>
          <a:endParaRPr lang="en-US"/>
        </a:p>
      </dgm:t>
    </dgm:pt>
    <dgm:pt modelId="{EDCF7AE1-1776-43E9-8C62-C00F32BF426D}" type="sibTrans" cxnId="{BBF64276-9545-402F-9FC9-E41D22A38126}">
      <dgm:prSet/>
      <dgm:spPr/>
      <dgm:t>
        <a:bodyPr/>
        <a:lstStyle/>
        <a:p>
          <a:endParaRPr lang="en-US"/>
        </a:p>
      </dgm:t>
    </dgm:pt>
    <dgm:pt modelId="{D12E4D64-E4FB-4AD4-A458-500D3917BDC9}">
      <dgm:prSet phldrT="[Text]"/>
      <dgm:spPr/>
      <dgm:t>
        <a:bodyPr/>
        <a:lstStyle/>
        <a:p>
          <a:r>
            <a:rPr lang="en-US"/>
            <a:t>Regulatory</a:t>
          </a:r>
        </a:p>
      </dgm:t>
    </dgm:pt>
    <dgm:pt modelId="{DEF488AE-EF44-4382-9739-3823EDC15DD4}" type="parTrans" cxnId="{1F5EE3B6-A442-48F4-B759-400425F473D8}">
      <dgm:prSet/>
      <dgm:spPr/>
      <dgm:t>
        <a:bodyPr/>
        <a:lstStyle/>
        <a:p>
          <a:endParaRPr lang="en-US"/>
        </a:p>
      </dgm:t>
    </dgm:pt>
    <dgm:pt modelId="{81A014BB-293D-494A-89F7-E278A1E3B5C4}" type="sibTrans" cxnId="{1F5EE3B6-A442-48F4-B759-400425F473D8}">
      <dgm:prSet/>
      <dgm:spPr/>
      <dgm:t>
        <a:bodyPr/>
        <a:lstStyle/>
        <a:p>
          <a:endParaRPr lang="en-US"/>
        </a:p>
      </dgm:t>
    </dgm:pt>
    <dgm:pt modelId="{AEDB1692-F45D-4361-9837-3FA32DB7EBE2}">
      <dgm:prSet phldrT="[Text]"/>
      <dgm:spPr/>
      <dgm:t>
        <a:bodyPr/>
        <a:lstStyle/>
        <a:p>
          <a:r>
            <a:rPr lang="en-US"/>
            <a:t>Demand</a:t>
          </a:r>
        </a:p>
      </dgm:t>
    </dgm:pt>
    <dgm:pt modelId="{D5CA79D5-C98F-4278-85B4-AFD25DD89D70}" type="parTrans" cxnId="{70092882-339F-4F60-A77E-753C794AACD6}">
      <dgm:prSet/>
      <dgm:spPr/>
      <dgm:t>
        <a:bodyPr/>
        <a:lstStyle/>
        <a:p>
          <a:endParaRPr lang="en-US"/>
        </a:p>
      </dgm:t>
    </dgm:pt>
    <dgm:pt modelId="{0F289920-FA1D-4492-869C-672277B7AC5B}" type="sibTrans" cxnId="{70092882-339F-4F60-A77E-753C794AACD6}">
      <dgm:prSet/>
      <dgm:spPr/>
      <dgm:t>
        <a:bodyPr/>
        <a:lstStyle/>
        <a:p>
          <a:endParaRPr lang="en-US"/>
        </a:p>
      </dgm:t>
    </dgm:pt>
    <dgm:pt modelId="{A018EC77-785D-4030-B515-16FED81CAA28}">
      <dgm:prSet phldrT="[Text]"/>
      <dgm:spPr/>
      <dgm:t>
        <a:bodyPr/>
        <a:lstStyle/>
        <a:p>
          <a:r>
            <a:rPr lang="en-US"/>
            <a:t>Leaks</a:t>
          </a:r>
        </a:p>
      </dgm:t>
    </dgm:pt>
    <dgm:pt modelId="{090C0C6F-22E7-4A77-99F4-40B7E8DF1C17}" type="parTrans" cxnId="{F9CC15EC-FE4A-4F86-8B87-BD67CD9267EB}">
      <dgm:prSet/>
      <dgm:spPr/>
      <dgm:t>
        <a:bodyPr/>
        <a:lstStyle/>
        <a:p>
          <a:endParaRPr lang="en-US"/>
        </a:p>
      </dgm:t>
    </dgm:pt>
    <dgm:pt modelId="{F33400EC-3FBE-4C69-AD4D-3C959A37BFC1}" type="sibTrans" cxnId="{F9CC15EC-FE4A-4F86-8B87-BD67CD9267EB}">
      <dgm:prSet/>
      <dgm:spPr/>
      <dgm:t>
        <a:bodyPr/>
        <a:lstStyle/>
        <a:p>
          <a:endParaRPr lang="en-US"/>
        </a:p>
      </dgm:t>
    </dgm:pt>
    <dgm:pt modelId="{F904C8E2-780F-48DE-9EFA-D0A94A7617D8}">
      <dgm:prSet phldrT="[Text]"/>
      <dgm:spPr/>
      <dgm:t>
        <a:bodyPr/>
        <a:lstStyle/>
        <a:p>
          <a:r>
            <a:rPr lang="en-US"/>
            <a:t>Safety Risk</a:t>
          </a:r>
        </a:p>
      </dgm:t>
    </dgm:pt>
    <dgm:pt modelId="{28C9AF12-E449-434D-8AF2-9A0ABBDA3C86}" type="parTrans" cxnId="{55671244-C0FA-4961-AD8A-4CE9E10CD806}">
      <dgm:prSet/>
      <dgm:spPr/>
      <dgm:t>
        <a:bodyPr/>
        <a:lstStyle/>
        <a:p>
          <a:endParaRPr lang="en-US"/>
        </a:p>
      </dgm:t>
    </dgm:pt>
    <dgm:pt modelId="{84391AE9-BF47-40AA-8605-1C9BB905E8AC}" type="sibTrans" cxnId="{55671244-C0FA-4961-AD8A-4CE9E10CD806}">
      <dgm:prSet/>
      <dgm:spPr/>
      <dgm:t>
        <a:bodyPr/>
        <a:lstStyle/>
        <a:p>
          <a:endParaRPr lang="en-US"/>
        </a:p>
      </dgm:t>
    </dgm:pt>
    <dgm:pt modelId="{3703496F-F4A6-4BCD-89C4-D2C7D1DD517A}">
      <dgm:prSet phldrT="[Text]"/>
      <dgm:spPr/>
      <dgm:t>
        <a:bodyPr/>
        <a:lstStyle/>
        <a:p>
          <a:r>
            <a:rPr lang="en-US"/>
            <a:t>Pipeline Age</a:t>
          </a:r>
        </a:p>
      </dgm:t>
    </dgm:pt>
    <dgm:pt modelId="{4274B10E-2989-48EC-B78B-08EE4143F0AD}" type="parTrans" cxnId="{E73E942F-38AE-4783-BE92-333F66C3195C}">
      <dgm:prSet/>
      <dgm:spPr/>
      <dgm:t>
        <a:bodyPr/>
        <a:lstStyle/>
        <a:p>
          <a:endParaRPr lang="en-US"/>
        </a:p>
      </dgm:t>
    </dgm:pt>
    <dgm:pt modelId="{42392BD2-6248-47A4-8231-E6EEE14A8210}" type="sibTrans" cxnId="{E73E942F-38AE-4783-BE92-333F66C3195C}">
      <dgm:prSet/>
      <dgm:spPr/>
      <dgm:t>
        <a:bodyPr/>
        <a:lstStyle/>
        <a:p>
          <a:endParaRPr lang="en-US"/>
        </a:p>
      </dgm:t>
    </dgm:pt>
    <dgm:pt modelId="{7914E2CD-6632-4C89-94D6-C6FAED83FF67}">
      <dgm:prSet phldrT="[Text]"/>
      <dgm:spPr/>
      <dgm:t>
        <a:bodyPr/>
        <a:lstStyle/>
        <a:p>
          <a:r>
            <a:rPr lang="en-US"/>
            <a:t>Pipeline Materials</a:t>
          </a:r>
        </a:p>
      </dgm:t>
    </dgm:pt>
    <dgm:pt modelId="{AC77F7DE-791B-43D4-A3F4-B23AD5C42176}" type="parTrans" cxnId="{7C336900-9C08-45F8-ACBC-302F0DBA94F0}">
      <dgm:prSet/>
      <dgm:spPr/>
      <dgm:t>
        <a:bodyPr/>
        <a:lstStyle/>
        <a:p>
          <a:endParaRPr lang="en-US"/>
        </a:p>
      </dgm:t>
    </dgm:pt>
    <dgm:pt modelId="{AA76FA25-CDBC-4033-AF1A-7941B3BB7BEC}" type="sibTrans" cxnId="{7C336900-9C08-45F8-ACBC-302F0DBA94F0}">
      <dgm:prSet/>
      <dgm:spPr/>
      <dgm:t>
        <a:bodyPr/>
        <a:lstStyle/>
        <a:p>
          <a:endParaRPr lang="en-US"/>
        </a:p>
      </dgm:t>
    </dgm:pt>
    <dgm:pt modelId="{246A21FE-0FA9-4799-BF82-B920CF878DF0}">
      <dgm:prSet phldrT="[Text]"/>
      <dgm:spPr/>
      <dgm:t>
        <a:bodyPr/>
        <a:lstStyle/>
        <a:p>
          <a:r>
            <a:rPr lang="en-US"/>
            <a:t>Population Proximity</a:t>
          </a:r>
        </a:p>
      </dgm:t>
    </dgm:pt>
    <dgm:pt modelId="{70BC2BB0-7266-447F-84B0-C71C18CF66C9}" type="parTrans" cxnId="{35AA0CAA-A7A4-4522-9B93-9C8539C6368D}">
      <dgm:prSet/>
      <dgm:spPr/>
      <dgm:t>
        <a:bodyPr/>
        <a:lstStyle/>
        <a:p>
          <a:endParaRPr lang="en-US"/>
        </a:p>
      </dgm:t>
    </dgm:pt>
    <dgm:pt modelId="{052BD63D-5811-47D6-91CD-050F821DBC6D}" type="sibTrans" cxnId="{35AA0CAA-A7A4-4522-9B93-9C8539C6368D}">
      <dgm:prSet/>
      <dgm:spPr/>
      <dgm:t>
        <a:bodyPr/>
        <a:lstStyle/>
        <a:p>
          <a:endParaRPr lang="en-US"/>
        </a:p>
      </dgm:t>
    </dgm:pt>
    <dgm:pt modelId="{4D883A15-F2CE-48A3-BA13-C4D4DCB6087C}">
      <dgm:prSet phldrT="[Text]"/>
      <dgm:spPr/>
      <dgm:t>
        <a:bodyPr/>
        <a:lstStyle/>
        <a:p>
          <a:r>
            <a:rPr lang="en-US"/>
            <a:t>Leaks</a:t>
          </a:r>
        </a:p>
      </dgm:t>
    </dgm:pt>
    <dgm:pt modelId="{8F374A66-BF3E-4A3C-8E54-1D4E4FB4CBFD}" type="parTrans" cxnId="{BE54A404-319A-4865-B62C-43FE931DCA22}">
      <dgm:prSet/>
      <dgm:spPr/>
      <dgm:t>
        <a:bodyPr/>
        <a:lstStyle/>
        <a:p>
          <a:endParaRPr lang="en-US"/>
        </a:p>
      </dgm:t>
    </dgm:pt>
    <dgm:pt modelId="{D329E008-1DE4-44A3-B85F-9E44F458514B}" type="sibTrans" cxnId="{BE54A404-319A-4865-B62C-43FE931DCA22}">
      <dgm:prSet/>
      <dgm:spPr/>
      <dgm:t>
        <a:bodyPr/>
        <a:lstStyle/>
        <a:p>
          <a:endParaRPr lang="en-US"/>
        </a:p>
      </dgm:t>
    </dgm:pt>
    <dgm:pt modelId="{C820E7AF-B626-44E8-B5F6-25A915E2D080}">
      <dgm:prSet phldrT="[Text]"/>
      <dgm:spPr/>
      <dgm:t>
        <a:bodyPr/>
        <a:lstStyle/>
        <a:p>
          <a:r>
            <a:rPr lang="en-US"/>
            <a:t>Environment Risk</a:t>
          </a:r>
        </a:p>
      </dgm:t>
    </dgm:pt>
    <dgm:pt modelId="{153646F6-7AA6-4F65-B52E-D1D85BE1F2F8}" type="parTrans" cxnId="{A5E20113-8F8B-4F1F-80FD-C6251A6B6173}">
      <dgm:prSet/>
      <dgm:spPr/>
      <dgm:t>
        <a:bodyPr/>
        <a:lstStyle/>
        <a:p>
          <a:endParaRPr lang="en-US"/>
        </a:p>
      </dgm:t>
    </dgm:pt>
    <dgm:pt modelId="{D055ABE7-B75D-443E-831A-C5CF1BC4ABA0}" type="sibTrans" cxnId="{A5E20113-8F8B-4F1F-80FD-C6251A6B6173}">
      <dgm:prSet/>
      <dgm:spPr/>
      <dgm:t>
        <a:bodyPr/>
        <a:lstStyle/>
        <a:p>
          <a:endParaRPr lang="en-US"/>
        </a:p>
      </dgm:t>
    </dgm:pt>
    <dgm:pt modelId="{29E4B5FC-14CB-4CF5-8F78-75422ED634CA}">
      <dgm:prSet phldrT="[Text]"/>
      <dgm:spPr/>
      <dgm:t>
        <a:bodyPr/>
        <a:lstStyle/>
        <a:p>
          <a:r>
            <a:rPr lang="en-US"/>
            <a:t>Pipeline Age</a:t>
          </a:r>
        </a:p>
      </dgm:t>
    </dgm:pt>
    <dgm:pt modelId="{1608535F-12BD-4067-8058-FEF18DD12184}" type="parTrans" cxnId="{DEE9B6A6-5A42-494E-845A-E51C04DD6103}">
      <dgm:prSet/>
      <dgm:spPr/>
      <dgm:t>
        <a:bodyPr/>
        <a:lstStyle/>
        <a:p>
          <a:endParaRPr lang="en-US"/>
        </a:p>
      </dgm:t>
    </dgm:pt>
    <dgm:pt modelId="{AF025C0F-5FE2-4E13-AFD2-1AED664AE936}" type="sibTrans" cxnId="{DEE9B6A6-5A42-494E-845A-E51C04DD6103}">
      <dgm:prSet/>
      <dgm:spPr/>
      <dgm:t>
        <a:bodyPr/>
        <a:lstStyle/>
        <a:p>
          <a:endParaRPr lang="en-US"/>
        </a:p>
      </dgm:t>
    </dgm:pt>
    <dgm:pt modelId="{8F866143-6802-48B3-BF06-A46A5B42BABC}">
      <dgm:prSet phldrT="[Text]"/>
      <dgm:spPr/>
      <dgm:t>
        <a:bodyPr/>
        <a:lstStyle/>
        <a:p>
          <a:r>
            <a:rPr lang="en-US"/>
            <a:t>Pipeline Materials</a:t>
          </a:r>
        </a:p>
      </dgm:t>
    </dgm:pt>
    <dgm:pt modelId="{B7A4ACBC-0641-46EC-8E78-608004BD97C9}" type="parTrans" cxnId="{A93185D8-F420-4D79-8EA6-DDF19B7C193E}">
      <dgm:prSet/>
      <dgm:spPr/>
      <dgm:t>
        <a:bodyPr/>
        <a:lstStyle/>
        <a:p>
          <a:endParaRPr lang="en-US"/>
        </a:p>
      </dgm:t>
    </dgm:pt>
    <dgm:pt modelId="{A035C8DE-3D26-43A5-B6B6-2AB46AB9B0E3}" type="sibTrans" cxnId="{A93185D8-F420-4D79-8EA6-DDF19B7C193E}">
      <dgm:prSet/>
      <dgm:spPr/>
      <dgm:t>
        <a:bodyPr/>
        <a:lstStyle/>
        <a:p>
          <a:endParaRPr lang="en-US"/>
        </a:p>
      </dgm:t>
    </dgm:pt>
    <dgm:pt modelId="{0E1CCF4A-EEA1-4A4E-B605-D99B1AAB14B7}">
      <dgm:prSet phldrT="[Text]"/>
      <dgm:spPr/>
      <dgm:t>
        <a:bodyPr/>
        <a:lstStyle/>
        <a:p>
          <a:r>
            <a:rPr lang="en-US"/>
            <a:t>Gas Consumption</a:t>
          </a:r>
        </a:p>
      </dgm:t>
    </dgm:pt>
    <dgm:pt modelId="{D45A3271-AF4B-48CB-A0E4-A16C4E2DC7AE}" type="parTrans" cxnId="{B94B6A6B-741E-4854-B2B0-71717C630216}">
      <dgm:prSet/>
      <dgm:spPr/>
      <dgm:t>
        <a:bodyPr/>
        <a:lstStyle/>
        <a:p>
          <a:endParaRPr lang="en-US"/>
        </a:p>
      </dgm:t>
    </dgm:pt>
    <dgm:pt modelId="{A41A80EC-F32A-4C4A-83A7-E0FD02115414}" type="sibTrans" cxnId="{B94B6A6B-741E-4854-B2B0-71717C630216}">
      <dgm:prSet/>
      <dgm:spPr/>
      <dgm:t>
        <a:bodyPr/>
        <a:lstStyle/>
        <a:p>
          <a:endParaRPr lang="en-US"/>
        </a:p>
      </dgm:t>
    </dgm:pt>
    <dgm:pt modelId="{BE5213A2-C948-4B5A-AC07-1346963F2AFB}">
      <dgm:prSet phldrT="[Text]"/>
      <dgm:spPr/>
      <dgm:t>
        <a:bodyPr/>
        <a:lstStyle/>
        <a:p>
          <a:r>
            <a:rPr lang="en-US"/>
            <a:t>Pipeline Replacement Cost</a:t>
          </a:r>
        </a:p>
      </dgm:t>
    </dgm:pt>
    <dgm:pt modelId="{A80DAD66-D0AD-44AF-99C0-2FCCCB25F081}" type="parTrans" cxnId="{1B779709-B957-4042-AB14-26169B63A2EC}">
      <dgm:prSet/>
      <dgm:spPr/>
      <dgm:t>
        <a:bodyPr/>
        <a:lstStyle/>
        <a:p>
          <a:endParaRPr lang="en-US"/>
        </a:p>
      </dgm:t>
    </dgm:pt>
    <dgm:pt modelId="{6AD14461-382A-4DB6-B367-C916762C51F3}" type="sibTrans" cxnId="{1B779709-B957-4042-AB14-26169B63A2EC}">
      <dgm:prSet/>
      <dgm:spPr/>
      <dgm:t>
        <a:bodyPr/>
        <a:lstStyle/>
        <a:p>
          <a:endParaRPr lang="en-US"/>
        </a:p>
      </dgm:t>
    </dgm:pt>
    <dgm:pt modelId="{00FD653E-91D6-445F-9919-389F76C76EA6}">
      <dgm:prSet phldrT="[Text]"/>
      <dgm:spPr/>
      <dgm:t>
        <a:bodyPr/>
        <a:lstStyle/>
        <a:p>
          <a:r>
            <a:rPr lang="en-US"/>
            <a:t>Pipeline Age</a:t>
          </a:r>
        </a:p>
      </dgm:t>
    </dgm:pt>
    <dgm:pt modelId="{6A84C21F-9083-40DC-BFB5-04EEB898DD60}" type="parTrans" cxnId="{2B4CF0AA-ADFE-480F-8DE7-EF96F48B6C3E}">
      <dgm:prSet/>
      <dgm:spPr/>
      <dgm:t>
        <a:bodyPr/>
        <a:lstStyle/>
        <a:p>
          <a:endParaRPr lang="en-US"/>
        </a:p>
      </dgm:t>
    </dgm:pt>
    <dgm:pt modelId="{FE0F182F-D209-4CF6-8171-F0B30A9B5817}" type="sibTrans" cxnId="{2B4CF0AA-ADFE-480F-8DE7-EF96F48B6C3E}">
      <dgm:prSet/>
      <dgm:spPr/>
      <dgm:t>
        <a:bodyPr/>
        <a:lstStyle/>
        <a:p>
          <a:endParaRPr lang="en-US"/>
        </a:p>
      </dgm:t>
    </dgm:pt>
    <dgm:pt modelId="{5444409A-78AD-4D79-AB91-C025636F95CC}">
      <dgm:prSet phldrT="[Text]"/>
      <dgm:spPr/>
      <dgm:t>
        <a:bodyPr/>
        <a:lstStyle/>
        <a:p>
          <a:r>
            <a:rPr lang="en-US"/>
            <a:t>Pipeline Materials</a:t>
          </a:r>
        </a:p>
      </dgm:t>
    </dgm:pt>
    <dgm:pt modelId="{E0137335-B87F-4FC3-B724-29C8009850A1}" type="parTrans" cxnId="{89253076-9D30-47A6-A724-A04A50332A2C}">
      <dgm:prSet/>
      <dgm:spPr/>
      <dgm:t>
        <a:bodyPr/>
        <a:lstStyle/>
        <a:p>
          <a:endParaRPr lang="en-US"/>
        </a:p>
      </dgm:t>
    </dgm:pt>
    <dgm:pt modelId="{47051170-DD2A-4672-805B-8778CEDEA9F5}" type="sibTrans" cxnId="{89253076-9D30-47A6-A724-A04A50332A2C}">
      <dgm:prSet/>
      <dgm:spPr/>
      <dgm:t>
        <a:bodyPr/>
        <a:lstStyle/>
        <a:p>
          <a:endParaRPr lang="en-US"/>
        </a:p>
      </dgm:t>
    </dgm:pt>
    <dgm:pt modelId="{3A72460B-89F7-498D-89F7-6DA2DF3A88FD}">
      <dgm:prSet phldrT="[Text]"/>
      <dgm:spPr/>
      <dgm:t>
        <a:bodyPr/>
        <a:lstStyle/>
        <a:p>
          <a:r>
            <a:rPr lang="en-US"/>
            <a:t>Customers</a:t>
          </a:r>
        </a:p>
      </dgm:t>
    </dgm:pt>
    <dgm:pt modelId="{56EFEBC0-83C2-4F5F-83A6-B4A5A6BF666B}" type="parTrans" cxnId="{520266EE-A8B5-40E9-9641-9B9E1FA6409F}">
      <dgm:prSet/>
      <dgm:spPr/>
      <dgm:t>
        <a:bodyPr/>
        <a:lstStyle/>
        <a:p>
          <a:endParaRPr lang="en-US"/>
        </a:p>
      </dgm:t>
    </dgm:pt>
    <dgm:pt modelId="{013F72ED-C658-4DED-BE63-AF7970F386B9}" type="sibTrans" cxnId="{520266EE-A8B5-40E9-9641-9B9E1FA6409F}">
      <dgm:prSet/>
      <dgm:spPr/>
      <dgm:t>
        <a:bodyPr/>
        <a:lstStyle/>
        <a:p>
          <a:endParaRPr lang="en-US"/>
        </a:p>
      </dgm:t>
    </dgm:pt>
    <dgm:pt modelId="{95901102-06E5-4331-A8A6-621959A9BB31}">
      <dgm:prSet phldrT="[Text]"/>
      <dgm:spPr/>
      <dgm:t>
        <a:bodyPr/>
        <a:lstStyle/>
        <a:p>
          <a:r>
            <a:rPr lang="en-US"/>
            <a:t>Gas Consumption</a:t>
          </a:r>
        </a:p>
      </dgm:t>
    </dgm:pt>
    <dgm:pt modelId="{BB2A858D-4F26-405E-866A-8CA8AD81EC93}" type="parTrans" cxnId="{94F99D94-5D7B-49D9-B33D-5A65324D0CF5}">
      <dgm:prSet/>
      <dgm:spPr/>
      <dgm:t>
        <a:bodyPr/>
        <a:lstStyle/>
        <a:p>
          <a:endParaRPr lang="en-US"/>
        </a:p>
      </dgm:t>
    </dgm:pt>
    <dgm:pt modelId="{0D2AC580-F744-4653-83AC-D887C071D61A}" type="sibTrans" cxnId="{94F99D94-5D7B-49D9-B33D-5A65324D0CF5}">
      <dgm:prSet/>
      <dgm:spPr/>
      <dgm:t>
        <a:bodyPr/>
        <a:lstStyle/>
        <a:p>
          <a:endParaRPr lang="en-US"/>
        </a:p>
      </dgm:t>
    </dgm:pt>
    <dgm:pt modelId="{285660FB-08BE-4578-BD65-A98B29DA05CE}">
      <dgm:prSet phldrT="[Text]"/>
      <dgm:spPr/>
      <dgm:t>
        <a:bodyPr/>
        <a:lstStyle/>
        <a:p>
          <a:r>
            <a:rPr lang="en-US"/>
            <a:t>Customers per Mile</a:t>
          </a:r>
        </a:p>
      </dgm:t>
    </dgm:pt>
    <dgm:pt modelId="{6F89FDFA-448D-49BF-B322-AB641410737D}" type="parTrans" cxnId="{B5ACF8BB-2A0E-4818-B87D-BC1B42172004}">
      <dgm:prSet/>
      <dgm:spPr/>
      <dgm:t>
        <a:bodyPr/>
        <a:lstStyle/>
        <a:p>
          <a:endParaRPr lang="en-US"/>
        </a:p>
      </dgm:t>
    </dgm:pt>
    <dgm:pt modelId="{78D2CE9D-B407-460E-B0B2-B37A85919B87}" type="sibTrans" cxnId="{B5ACF8BB-2A0E-4818-B87D-BC1B42172004}">
      <dgm:prSet/>
      <dgm:spPr/>
      <dgm:t>
        <a:bodyPr/>
        <a:lstStyle/>
        <a:p>
          <a:endParaRPr lang="en-US"/>
        </a:p>
      </dgm:t>
    </dgm:pt>
    <dgm:pt modelId="{A01E32D5-9708-4CF0-8C5C-F73976B6780A}" type="pres">
      <dgm:prSet presAssocID="{4D99370C-89F4-4145-A1B3-EF4BCF7B4BAC}" presName="hierChild1" presStyleCnt="0">
        <dgm:presLayoutVars>
          <dgm:orgChart val="1"/>
          <dgm:chPref val="1"/>
          <dgm:dir/>
          <dgm:animOne val="branch"/>
          <dgm:animLvl val="lvl"/>
          <dgm:resizeHandles/>
        </dgm:presLayoutVars>
      </dgm:prSet>
      <dgm:spPr/>
    </dgm:pt>
    <dgm:pt modelId="{BECDB974-690D-4278-BD99-B29A609EFBEF}" type="pres">
      <dgm:prSet presAssocID="{37243185-7E15-4D4F-AAA8-8664D90D34D4}" presName="hierRoot1" presStyleCnt="0">
        <dgm:presLayoutVars>
          <dgm:hierBranch val="init"/>
        </dgm:presLayoutVars>
      </dgm:prSet>
      <dgm:spPr/>
    </dgm:pt>
    <dgm:pt modelId="{A6E8A078-C045-429B-BAF9-49CF97434A99}" type="pres">
      <dgm:prSet presAssocID="{37243185-7E15-4D4F-AAA8-8664D90D34D4}" presName="rootComposite1" presStyleCnt="0"/>
      <dgm:spPr/>
    </dgm:pt>
    <dgm:pt modelId="{90C0B587-ABF9-46C2-96CF-3BA4F09434A6}" type="pres">
      <dgm:prSet presAssocID="{37243185-7E15-4D4F-AAA8-8664D90D34D4}" presName="rootText1" presStyleLbl="node0" presStyleIdx="0" presStyleCnt="1">
        <dgm:presLayoutVars>
          <dgm:chPref val="3"/>
        </dgm:presLayoutVars>
      </dgm:prSet>
      <dgm:spPr/>
    </dgm:pt>
    <dgm:pt modelId="{4CECC2DB-F4E0-4BCE-9826-59E38FB98433}" type="pres">
      <dgm:prSet presAssocID="{37243185-7E15-4D4F-AAA8-8664D90D34D4}" presName="rootConnector1" presStyleLbl="node1" presStyleIdx="0" presStyleCnt="0"/>
      <dgm:spPr/>
    </dgm:pt>
    <dgm:pt modelId="{4F55F676-BD8B-41D9-A098-DACE4E118BC9}" type="pres">
      <dgm:prSet presAssocID="{37243185-7E15-4D4F-AAA8-8664D90D34D4}" presName="hierChild2" presStyleCnt="0"/>
      <dgm:spPr/>
    </dgm:pt>
    <dgm:pt modelId="{E5BAC77C-4419-4857-B1C4-3085DAA79D13}" type="pres">
      <dgm:prSet presAssocID="{CDED997D-C3E2-410F-83CB-3CA6DCDE5A73}" presName="Name37" presStyleLbl="parChTrans1D2" presStyleIdx="0" presStyleCnt="5"/>
      <dgm:spPr/>
    </dgm:pt>
    <dgm:pt modelId="{D05A64C0-BBA5-4053-8AF8-96ECC27901C4}" type="pres">
      <dgm:prSet presAssocID="{10F30B49-608A-44FA-9511-91EF2A02568C}" presName="hierRoot2" presStyleCnt="0">
        <dgm:presLayoutVars>
          <dgm:hierBranch val="init"/>
        </dgm:presLayoutVars>
      </dgm:prSet>
      <dgm:spPr/>
    </dgm:pt>
    <dgm:pt modelId="{8AC99CC5-18BF-4153-B061-778FD86B5F89}" type="pres">
      <dgm:prSet presAssocID="{10F30B49-608A-44FA-9511-91EF2A02568C}" presName="rootComposite" presStyleCnt="0"/>
      <dgm:spPr/>
    </dgm:pt>
    <dgm:pt modelId="{2B6419C7-33B5-431F-A546-B940CCAFDA9D}" type="pres">
      <dgm:prSet presAssocID="{10F30B49-608A-44FA-9511-91EF2A02568C}" presName="rootText" presStyleLbl="node2" presStyleIdx="0" presStyleCnt="5">
        <dgm:presLayoutVars>
          <dgm:chPref val="3"/>
        </dgm:presLayoutVars>
      </dgm:prSet>
      <dgm:spPr/>
    </dgm:pt>
    <dgm:pt modelId="{43A761F9-5078-44BB-A275-8534773D75BF}" type="pres">
      <dgm:prSet presAssocID="{10F30B49-608A-44FA-9511-91EF2A02568C}" presName="rootConnector" presStyleLbl="node2" presStyleIdx="0" presStyleCnt="5"/>
      <dgm:spPr/>
    </dgm:pt>
    <dgm:pt modelId="{A2F6BFAD-EE09-4BC3-B4B7-9D9DED16D103}" type="pres">
      <dgm:prSet presAssocID="{10F30B49-608A-44FA-9511-91EF2A02568C}" presName="hierChild4" presStyleCnt="0"/>
      <dgm:spPr/>
    </dgm:pt>
    <dgm:pt modelId="{8EC52201-DB46-4185-BB76-DF053710A1E3}" type="pres">
      <dgm:prSet presAssocID="{090C0C6F-22E7-4A77-99F4-40B7E8DF1C17}" presName="Name37" presStyleLbl="parChTrans1D3" presStyleIdx="0" presStyleCnt="16"/>
      <dgm:spPr/>
    </dgm:pt>
    <dgm:pt modelId="{09157570-0815-4BE6-B365-985C187FBDC8}" type="pres">
      <dgm:prSet presAssocID="{A018EC77-785D-4030-B515-16FED81CAA28}" presName="hierRoot2" presStyleCnt="0">
        <dgm:presLayoutVars>
          <dgm:hierBranch val="init"/>
        </dgm:presLayoutVars>
      </dgm:prSet>
      <dgm:spPr/>
    </dgm:pt>
    <dgm:pt modelId="{D0145DBD-5BA0-4918-BCB4-7518C0849EC7}" type="pres">
      <dgm:prSet presAssocID="{A018EC77-785D-4030-B515-16FED81CAA28}" presName="rootComposite" presStyleCnt="0"/>
      <dgm:spPr/>
    </dgm:pt>
    <dgm:pt modelId="{F3941F6B-0A05-4257-8896-E2E06A06D917}" type="pres">
      <dgm:prSet presAssocID="{A018EC77-785D-4030-B515-16FED81CAA28}" presName="rootText" presStyleLbl="node3" presStyleIdx="0" presStyleCnt="16">
        <dgm:presLayoutVars>
          <dgm:chPref val="3"/>
        </dgm:presLayoutVars>
      </dgm:prSet>
      <dgm:spPr/>
    </dgm:pt>
    <dgm:pt modelId="{03E5BF52-D5BA-4F9C-8EEF-2E6F756AB60C}" type="pres">
      <dgm:prSet presAssocID="{A018EC77-785D-4030-B515-16FED81CAA28}" presName="rootConnector" presStyleLbl="node3" presStyleIdx="0" presStyleCnt="16"/>
      <dgm:spPr/>
    </dgm:pt>
    <dgm:pt modelId="{079533A5-C729-4F43-A419-AF32E87BBA5C}" type="pres">
      <dgm:prSet presAssocID="{A018EC77-785D-4030-B515-16FED81CAA28}" presName="hierChild4" presStyleCnt="0"/>
      <dgm:spPr/>
    </dgm:pt>
    <dgm:pt modelId="{38A16EF8-CCC4-4DA6-891B-9E282F356E69}" type="pres">
      <dgm:prSet presAssocID="{A018EC77-785D-4030-B515-16FED81CAA28}" presName="hierChild5" presStyleCnt="0"/>
      <dgm:spPr/>
    </dgm:pt>
    <dgm:pt modelId="{9C47433E-DE2D-4E9E-86D0-0BC6C33297D9}" type="pres">
      <dgm:prSet presAssocID="{28C9AF12-E449-434D-8AF2-9A0ABBDA3C86}" presName="Name37" presStyleLbl="parChTrans1D3" presStyleIdx="1" presStyleCnt="16"/>
      <dgm:spPr/>
    </dgm:pt>
    <dgm:pt modelId="{583E1C84-90AF-4CEC-B2A4-9464D64A5959}" type="pres">
      <dgm:prSet presAssocID="{F904C8E2-780F-48DE-9EFA-D0A94A7617D8}" presName="hierRoot2" presStyleCnt="0">
        <dgm:presLayoutVars>
          <dgm:hierBranch val="init"/>
        </dgm:presLayoutVars>
      </dgm:prSet>
      <dgm:spPr/>
    </dgm:pt>
    <dgm:pt modelId="{63AEAACE-2885-48B8-9BCC-C8CDF488C964}" type="pres">
      <dgm:prSet presAssocID="{F904C8E2-780F-48DE-9EFA-D0A94A7617D8}" presName="rootComposite" presStyleCnt="0"/>
      <dgm:spPr/>
    </dgm:pt>
    <dgm:pt modelId="{E772DC1C-7228-4B95-BCB9-0D321987EE7B}" type="pres">
      <dgm:prSet presAssocID="{F904C8E2-780F-48DE-9EFA-D0A94A7617D8}" presName="rootText" presStyleLbl="node3" presStyleIdx="1" presStyleCnt="16">
        <dgm:presLayoutVars>
          <dgm:chPref val="3"/>
        </dgm:presLayoutVars>
      </dgm:prSet>
      <dgm:spPr/>
    </dgm:pt>
    <dgm:pt modelId="{2130390E-A518-426D-9AE5-CE33E1405C69}" type="pres">
      <dgm:prSet presAssocID="{F904C8E2-780F-48DE-9EFA-D0A94A7617D8}" presName="rootConnector" presStyleLbl="node3" presStyleIdx="1" presStyleCnt="16"/>
      <dgm:spPr/>
    </dgm:pt>
    <dgm:pt modelId="{B5468E0C-669E-4C5C-8AAF-5136755452DF}" type="pres">
      <dgm:prSet presAssocID="{F904C8E2-780F-48DE-9EFA-D0A94A7617D8}" presName="hierChild4" presStyleCnt="0"/>
      <dgm:spPr/>
    </dgm:pt>
    <dgm:pt modelId="{4E911EFB-4225-425E-BF04-389B96B1F807}" type="pres">
      <dgm:prSet presAssocID="{F904C8E2-780F-48DE-9EFA-D0A94A7617D8}" presName="hierChild5" presStyleCnt="0"/>
      <dgm:spPr/>
    </dgm:pt>
    <dgm:pt modelId="{964A074D-23DF-48E1-913C-D34EA049306B}" type="pres">
      <dgm:prSet presAssocID="{4274B10E-2989-48EC-B78B-08EE4143F0AD}" presName="Name37" presStyleLbl="parChTrans1D3" presStyleIdx="2" presStyleCnt="16"/>
      <dgm:spPr/>
    </dgm:pt>
    <dgm:pt modelId="{53F571A4-0F4A-4515-9DE2-97B2A602D0A3}" type="pres">
      <dgm:prSet presAssocID="{3703496F-F4A6-4BCD-89C4-D2C7D1DD517A}" presName="hierRoot2" presStyleCnt="0">
        <dgm:presLayoutVars>
          <dgm:hierBranch val="init"/>
        </dgm:presLayoutVars>
      </dgm:prSet>
      <dgm:spPr/>
    </dgm:pt>
    <dgm:pt modelId="{C16B2138-0843-47BA-B1D3-E470C824C60C}" type="pres">
      <dgm:prSet presAssocID="{3703496F-F4A6-4BCD-89C4-D2C7D1DD517A}" presName="rootComposite" presStyleCnt="0"/>
      <dgm:spPr/>
    </dgm:pt>
    <dgm:pt modelId="{3A9D3C03-73F3-40AC-9A5F-56430CDA21DD}" type="pres">
      <dgm:prSet presAssocID="{3703496F-F4A6-4BCD-89C4-D2C7D1DD517A}" presName="rootText" presStyleLbl="node3" presStyleIdx="2" presStyleCnt="16">
        <dgm:presLayoutVars>
          <dgm:chPref val="3"/>
        </dgm:presLayoutVars>
      </dgm:prSet>
      <dgm:spPr/>
    </dgm:pt>
    <dgm:pt modelId="{EF1F7672-935C-4996-B275-9EB53F54F361}" type="pres">
      <dgm:prSet presAssocID="{3703496F-F4A6-4BCD-89C4-D2C7D1DD517A}" presName="rootConnector" presStyleLbl="node3" presStyleIdx="2" presStyleCnt="16"/>
      <dgm:spPr/>
    </dgm:pt>
    <dgm:pt modelId="{D07D2D9F-E0CD-430A-9FA7-AA55D942347D}" type="pres">
      <dgm:prSet presAssocID="{3703496F-F4A6-4BCD-89C4-D2C7D1DD517A}" presName="hierChild4" presStyleCnt="0"/>
      <dgm:spPr/>
    </dgm:pt>
    <dgm:pt modelId="{F16186CE-A008-4E3E-854C-52ADD56C7CCE}" type="pres">
      <dgm:prSet presAssocID="{3703496F-F4A6-4BCD-89C4-D2C7D1DD517A}" presName="hierChild5" presStyleCnt="0"/>
      <dgm:spPr/>
    </dgm:pt>
    <dgm:pt modelId="{A62BEE35-534A-4DF0-BA01-D616B798ED25}" type="pres">
      <dgm:prSet presAssocID="{AC77F7DE-791B-43D4-A3F4-B23AD5C42176}" presName="Name37" presStyleLbl="parChTrans1D3" presStyleIdx="3" presStyleCnt="16"/>
      <dgm:spPr/>
    </dgm:pt>
    <dgm:pt modelId="{8399CFF8-2B66-4ACB-BA4B-D0D937B542DB}" type="pres">
      <dgm:prSet presAssocID="{7914E2CD-6632-4C89-94D6-C6FAED83FF67}" presName="hierRoot2" presStyleCnt="0">
        <dgm:presLayoutVars>
          <dgm:hierBranch val="init"/>
        </dgm:presLayoutVars>
      </dgm:prSet>
      <dgm:spPr/>
    </dgm:pt>
    <dgm:pt modelId="{D346F432-F46D-4935-8E9F-1993B9FA5A15}" type="pres">
      <dgm:prSet presAssocID="{7914E2CD-6632-4C89-94D6-C6FAED83FF67}" presName="rootComposite" presStyleCnt="0"/>
      <dgm:spPr/>
    </dgm:pt>
    <dgm:pt modelId="{948694E8-D18F-43DA-A3AA-2C26F0C766FD}" type="pres">
      <dgm:prSet presAssocID="{7914E2CD-6632-4C89-94D6-C6FAED83FF67}" presName="rootText" presStyleLbl="node3" presStyleIdx="3" presStyleCnt="16">
        <dgm:presLayoutVars>
          <dgm:chPref val="3"/>
        </dgm:presLayoutVars>
      </dgm:prSet>
      <dgm:spPr/>
    </dgm:pt>
    <dgm:pt modelId="{0DD2FDB1-8269-4B12-A5ED-B44F2B854102}" type="pres">
      <dgm:prSet presAssocID="{7914E2CD-6632-4C89-94D6-C6FAED83FF67}" presName="rootConnector" presStyleLbl="node3" presStyleIdx="3" presStyleCnt="16"/>
      <dgm:spPr/>
    </dgm:pt>
    <dgm:pt modelId="{1986687F-4080-40C9-9930-E3034FEC9681}" type="pres">
      <dgm:prSet presAssocID="{7914E2CD-6632-4C89-94D6-C6FAED83FF67}" presName="hierChild4" presStyleCnt="0"/>
      <dgm:spPr/>
    </dgm:pt>
    <dgm:pt modelId="{06564996-F584-4AC8-B71E-07C7A6C04E64}" type="pres">
      <dgm:prSet presAssocID="{7914E2CD-6632-4C89-94D6-C6FAED83FF67}" presName="hierChild5" presStyleCnt="0"/>
      <dgm:spPr/>
    </dgm:pt>
    <dgm:pt modelId="{A212B5F0-1585-4490-A4D0-C65068521483}" type="pres">
      <dgm:prSet presAssocID="{70BC2BB0-7266-447F-84B0-C71C18CF66C9}" presName="Name37" presStyleLbl="parChTrans1D3" presStyleIdx="4" presStyleCnt="16"/>
      <dgm:spPr/>
    </dgm:pt>
    <dgm:pt modelId="{5F81C0DD-3123-4F8A-A7D4-487BCB21CCE7}" type="pres">
      <dgm:prSet presAssocID="{246A21FE-0FA9-4799-BF82-B920CF878DF0}" presName="hierRoot2" presStyleCnt="0">
        <dgm:presLayoutVars>
          <dgm:hierBranch val="init"/>
        </dgm:presLayoutVars>
      </dgm:prSet>
      <dgm:spPr/>
    </dgm:pt>
    <dgm:pt modelId="{F52AF47A-D406-4992-8AFB-73FFB03BA65E}" type="pres">
      <dgm:prSet presAssocID="{246A21FE-0FA9-4799-BF82-B920CF878DF0}" presName="rootComposite" presStyleCnt="0"/>
      <dgm:spPr/>
    </dgm:pt>
    <dgm:pt modelId="{5FC66B1D-C27E-44C5-9D29-C4935CA8BF8E}" type="pres">
      <dgm:prSet presAssocID="{246A21FE-0FA9-4799-BF82-B920CF878DF0}" presName="rootText" presStyleLbl="node3" presStyleIdx="4" presStyleCnt="16">
        <dgm:presLayoutVars>
          <dgm:chPref val="3"/>
        </dgm:presLayoutVars>
      </dgm:prSet>
      <dgm:spPr/>
    </dgm:pt>
    <dgm:pt modelId="{FCBE6883-8031-427A-B883-A44A97CB9C5E}" type="pres">
      <dgm:prSet presAssocID="{246A21FE-0FA9-4799-BF82-B920CF878DF0}" presName="rootConnector" presStyleLbl="node3" presStyleIdx="4" presStyleCnt="16"/>
      <dgm:spPr/>
    </dgm:pt>
    <dgm:pt modelId="{B8B11949-DEBC-4885-A498-ECADED054770}" type="pres">
      <dgm:prSet presAssocID="{246A21FE-0FA9-4799-BF82-B920CF878DF0}" presName="hierChild4" presStyleCnt="0"/>
      <dgm:spPr/>
    </dgm:pt>
    <dgm:pt modelId="{2620F5C4-073B-417E-8E4F-B62EE8D2891C}" type="pres">
      <dgm:prSet presAssocID="{246A21FE-0FA9-4799-BF82-B920CF878DF0}" presName="hierChild5" presStyleCnt="0"/>
      <dgm:spPr/>
    </dgm:pt>
    <dgm:pt modelId="{F645516F-0CF7-4662-8AF0-6AD8EC68981D}" type="pres">
      <dgm:prSet presAssocID="{10F30B49-608A-44FA-9511-91EF2A02568C}" presName="hierChild5" presStyleCnt="0"/>
      <dgm:spPr/>
    </dgm:pt>
    <dgm:pt modelId="{EB62A053-11B9-4533-9FA4-F10E3E5754D9}" type="pres">
      <dgm:prSet presAssocID="{60749B0D-B338-460C-A7D8-A5246F37A6DE}" presName="Name37" presStyleLbl="parChTrans1D2" presStyleIdx="1" presStyleCnt="5"/>
      <dgm:spPr/>
    </dgm:pt>
    <dgm:pt modelId="{CC78A949-A9E0-4619-9D60-C5D52F76421E}" type="pres">
      <dgm:prSet presAssocID="{356FD91B-11E3-48D8-BF23-21E9C2501614}" presName="hierRoot2" presStyleCnt="0">
        <dgm:presLayoutVars>
          <dgm:hierBranch val="init"/>
        </dgm:presLayoutVars>
      </dgm:prSet>
      <dgm:spPr/>
    </dgm:pt>
    <dgm:pt modelId="{15987C84-FB57-4D41-A7D2-9199EDF9A775}" type="pres">
      <dgm:prSet presAssocID="{356FD91B-11E3-48D8-BF23-21E9C2501614}" presName="rootComposite" presStyleCnt="0"/>
      <dgm:spPr/>
    </dgm:pt>
    <dgm:pt modelId="{817162A4-6DF5-4105-94E7-F696C9DB7BD3}" type="pres">
      <dgm:prSet presAssocID="{356FD91B-11E3-48D8-BF23-21E9C2501614}" presName="rootText" presStyleLbl="node2" presStyleIdx="1" presStyleCnt="5">
        <dgm:presLayoutVars>
          <dgm:chPref val="3"/>
        </dgm:presLayoutVars>
      </dgm:prSet>
      <dgm:spPr/>
    </dgm:pt>
    <dgm:pt modelId="{4366574E-6FCA-4B94-BAFE-12567A7C0144}" type="pres">
      <dgm:prSet presAssocID="{356FD91B-11E3-48D8-BF23-21E9C2501614}" presName="rootConnector" presStyleLbl="node2" presStyleIdx="1" presStyleCnt="5"/>
      <dgm:spPr/>
    </dgm:pt>
    <dgm:pt modelId="{D2909428-6605-482C-A6DB-81ED7A59A5BB}" type="pres">
      <dgm:prSet presAssocID="{356FD91B-11E3-48D8-BF23-21E9C2501614}" presName="hierChild4" presStyleCnt="0"/>
      <dgm:spPr/>
    </dgm:pt>
    <dgm:pt modelId="{BB5B39B4-33D4-4D7F-876D-F2242D84B406}" type="pres">
      <dgm:prSet presAssocID="{8F374A66-BF3E-4A3C-8E54-1D4E4FB4CBFD}" presName="Name37" presStyleLbl="parChTrans1D3" presStyleIdx="5" presStyleCnt="16"/>
      <dgm:spPr/>
    </dgm:pt>
    <dgm:pt modelId="{45294A2C-F95E-4BCD-AA5D-92E7F80A3D5F}" type="pres">
      <dgm:prSet presAssocID="{4D883A15-F2CE-48A3-BA13-C4D4DCB6087C}" presName="hierRoot2" presStyleCnt="0">
        <dgm:presLayoutVars>
          <dgm:hierBranch val="init"/>
        </dgm:presLayoutVars>
      </dgm:prSet>
      <dgm:spPr/>
    </dgm:pt>
    <dgm:pt modelId="{B36B5583-C2C4-4630-9AD8-53001219D4B6}" type="pres">
      <dgm:prSet presAssocID="{4D883A15-F2CE-48A3-BA13-C4D4DCB6087C}" presName="rootComposite" presStyleCnt="0"/>
      <dgm:spPr/>
    </dgm:pt>
    <dgm:pt modelId="{04A2DBC8-3362-424F-BD48-97C7F098572A}" type="pres">
      <dgm:prSet presAssocID="{4D883A15-F2CE-48A3-BA13-C4D4DCB6087C}" presName="rootText" presStyleLbl="node3" presStyleIdx="5" presStyleCnt="16">
        <dgm:presLayoutVars>
          <dgm:chPref val="3"/>
        </dgm:presLayoutVars>
      </dgm:prSet>
      <dgm:spPr/>
    </dgm:pt>
    <dgm:pt modelId="{BBAB6EC4-EFAF-4D02-B0EB-2A2CCDD1DD12}" type="pres">
      <dgm:prSet presAssocID="{4D883A15-F2CE-48A3-BA13-C4D4DCB6087C}" presName="rootConnector" presStyleLbl="node3" presStyleIdx="5" presStyleCnt="16"/>
      <dgm:spPr/>
    </dgm:pt>
    <dgm:pt modelId="{F779D917-F00A-4605-B3FE-ADBB17DB9645}" type="pres">
      <dgm:prSet presAssocID="{4D883A15-F2CE-48A3-BA13-C4D4DCB6087C}" presName="hierChild4" presStyleCnt="0"/>
      <dgm:spPr/>
    </dgm:pt>
    <dgm:pt modelId="{4F6C2F2F-112B-40B7-8A36-2A30A23914F6}" type="pres">
      <dgm:prSet presAssocID="{4D883A15-F2CE-48A3-BA13-C4D4DCB6087C}" presName="hierChild5" presStyleCnt="0"/>
      <dgm:spPr/>
    </dgm:pt>
    <dgm:pt modelId="{A2AF7B97-B76D-498C-8B32-4F4D319D5BD7}" type="pres">
      <dgm:prSet presAssocID="{153646F6-7AA6-4F65-B52E-D1D85BE1F2F8}" presName="Name37" presStyleLbl="parChTrans1D3" presStyleIdx="6" presStyleCnt="16"/>
      <dgm:spPr/>
    </dgm:pt>
    <dgm:pt modelId="{E7B0E261-46C1-4DBA-AC69-5FC4725ADAC9}" type="pres">
      <dgm:prSet presAssocID="{C820E7AF-B626-44E8-B5F6-25A915E2D080}" presName="hierRoot2" presStyleCnt="0">
        <dgm:presLayoutVars>
          <dgm:hierBranch val="init"/>
        </dgm:presLayoutVars>
      </dgm:prSet>
      <dgm:spPr/>
    </dgm:pt>
    <dgm:pt modelId="{223EE075-821A-4063-A3BA-1110FBD474C8}" type="pres">
      <dgm:prSet presAssocID="{C820E7AF-B626-44E8-B5F6-25A915E2D080}" presName="rootComposite" presStyleCnt="0"/>
      <dgm:spPr/>
    </dgm:pt>
    <dgm:pt modelId="{8076A36F-1C19-4250-9C7E-0AACA4B6E4BC}" type="pres">
      <dgm:prSet presAssocID="{C820E7AF-B626-44E8-B5F6-25A915E2D080}" presName="rootText" presStyleLbl="node3" presStyleIdx="6" presStyleCnt="16">
        <dgm:presLayoutVars>
          <dgm:chPref val="3"/>
        </dgm:presLayoutVars>
      </dgm:prSet>
      <dgm:spPr/>
    </dgm:pt>
    <dgm:pt modelId="{2ED28795-AB7D-4093-8175-51D13A63F4CB}" type="pres">
      <dgm:prSet presAssocID="{C820E7AF-B626-44E8-B5F6-25A915E2D080}" presName="rootConnector" presStyleLbl="node3" presStyleIdx="6" presStyleCnt="16"/>
      <dgm:spPr/>
    </dgm:pt>
    <dgm:pt modelId="{21BE0F6B-152E-459E-9945-28E0122A0F4B}" type="pres">
      <dgm:prSet presAssocID="{C820E7AF-B626-44E8-B5F6-25A915E2D080}" presName="hierChild4" presStyleCnt="0"/>
      <dgm:spPr/>
    </dgm:pt>
    <dgm:pt modelId="{FAB0B997-ACF5-4B9D-8767-8C5DE967A1D0}" type="pres">
      <dgm:prSet presAssocID="{C820E7AF-B626-44E8-B5F6-25A915E2D080}" presName="hierChild5" presStyleCnt="0"/>
      <dgm:spPr/>
    </dgm:pt>
    <dgm:pt modelId="{1747D120-E232-4FC2-8EA9-5097008EED24}" type="pres">
      <dgm:prSet presAssocID="{1608535F-12BD-4067-8058-FEF18DD12184}" presName="Name37" presStyleLbl="parChTrans1D3" presStyleIdx="7" presStyleCnt="16"/>
      <dgm:spPr/>
    </dgm:pt>
    <dgm:pt modelId="{3E5039A7-CA4A-46D7-A297-5DE7D4F3FF56}" type="pres">
      <dgm:prSet presAssocID="{29E4B5FC-14CB-4CF5-8F78-75422ED634CA}" presName="hierRoot2" presStyleCnt="0">
        <dgm:presLayoutVars>
          <dgm:hierBranch val="init"/>
        </dgm:presLayoutVars>
      </dgm:prSet>
      <dgm:spPr/>
    </dgm:pt>
    <dgm:pt modelId="{215AC993-3BCD-44F7-AAE3-9A60EFDD82A9}" type="pres">
      <dgm:prSet presAssocID="{29E4B5FC-14CB-4CF5-8F78-75422ED634CA}" presName="rootComposite" presStyleCnt="0"/>
      <dgm:spPr/>
    </dgm:pt>
    <dgm:pt modelId="{9167D31F-F2CB-4E4E-9BA7-192473A2EE64}" type="pres">
      <dgm:prSet presAssocID="{29E4B5FC-14CB-4CF5-8F78-75422ED634CA}" presName="rootText" presStyleLbl="node3" presStyleIdx="7" presStyleCnt="16">
        <dgm:presLayoutVars>
          <dgm:chPref val="3"/>
        </dgm:presLayoutVars>
      </dgm:prSet>
      <dgm:spPr/>
    </dgm:pt>
    <dgm:pt modelId="{C4F0DB4F-7BD9-4928-9B5F-36A6B733F24B}" type="pres">
      <dgm:prSet presAssocID="{29E4B5FC-14CB-4CF5-8F78-75422ED634CA}" presName="rootConnector" presStyleLbl="node3" presStyleIdx="7" presStyleCnt="16"/>
      <dgm:spPr/>
    </dgm:pt>
    <dgm:pt modelId="{AD855019-2BE8-457D-BF9E-599EF3B4B77E}" type="pres">
      <dgm:prSet presAssocID="{29E4B5FC-14CB-4CF5-8F78-75422ED634CA}" presName="hierChild4" presStyleCnt="0"/>
      <dgm:spPr/>
    </dgm:pt>
    <dgm:pt modelId="{33ECFD19-E972-4202-90C9-72E410D6D1CD}" type="pres">
      <dgm:prSet presAssocID="{29E4B5FC-14CB-4CF5-8F78-75422ED634CA}" presName="hierChild5" presStyleCnt="0"/>
      <dgm:spPr/>
    </dgm:pt>
    <dgm:pt modelId="{5F663312-4B04-48FC-8AAA-E71A526C8567}" type="pres">
      <dgm:prSet presAssocID="{B7A4ACBC-0641-46EC-8E78-608004BD97C9}" presName="Name37" presStyleLbl="parChTrans1D3" presStyleIdx="8" presStyleCnt="16"/>
      <dgm:spPr/>
    </dgm:pt>
    <dgm:pt modelId="{1F2CBC0E-7816-45B7-9C22-0EE2DF2A7BAD}" type="pres">
      <dgm:prSet presAssocID="{8F866143-6802-48B3-BF06-A46A5B42BABC}" presName="hierRoot2" presStyleCnt="0">
        <dgm:presLayoutVars>
          <dgm:hierBranch val="init"/>
        </dgm:presLayoutVars>
      </dgm:prSet>
      <dgm:spPr/>
    </dgm:pt>
    <dgm:pt modelId="{87CDC3A5-7101-4CD5-A702-65BEF9BA41CB}" type="pres">
      <dgm:prSet presAssocID="{8F866143-6802-48B3-BF06-A46A5B42BABC}" presName="rootComposite" presStyleCnt="0"/>
      <dgm:spPr/>
    </dgm:pt>
    <dgm:pt modelId="{0CB92A0B-C8ED-4B6D-88DF-DA3095B2F3BC}" type="pres">
      <dgm:prSet presAssocID="{8F866143-6802-48B3-BF06-A46A5B42BABC}" presName="rootText" presStyleLbl="node3" presStyleIdx="8" presStyleCnt="16">
        <dgm:presLayoutVars>
          <dgm:chPref val="3"/>
        </dgm:presLayoutVars>
      </dgm:prSet>
      <dgm:spPr/>
    </dgm:pt>
    <dgm:pt modelId="{CB7BD377-4500-44A0-B6EF-2090EFD5327C}" type="pres">
      <dgm:prSet presAssocID="{8F866143-6802-48B3-BF06-A46A5B42BABC}" presName="rootConnector" presStyleLbl="node3" presStyleIdx="8" presStyleCnt="16"/>
      <dgm:spPr/>
    </dgm:pt>
    <dgm:pt modelId="{672793D3-92E0-4411-AF37-A3B61D8C5CEA}" type="pres">
      <dgm:prSet presAssocID="{8F866143-6802-48B3-BF06-A46A5B42BABC}" presName="hierChild4" presStyleCnt="0"/>
      <dgm:spPr/>
    </dgm:pt>
    <dgm:pt modelId="{F22D00D1-884A-4F30-852F-280EA38F3EE2}" type="pres">
      <dgm:prSet presAssocID="{8F866143-6802-48B3-BF06-A46A5B42BABC}" presName="hierChild5" presStyleCnt="0"/>
      <dgm:spPr/>
    </dgm:pt>
    <dgm:pt modelId="{DC58C7E7-CFCB-445A-89DB-BE67CF0646B2}" type="pres">
      <dgm:prSet presAssocID="{D45A3271-AF4B-48CB-A0E4-A16C4E2DC7AE}" presName="Name37" presStyleLbl="parChTrans1D3" presStyleIdx="9" presStyleCnt="16"/>
      <dgm:spPr/>
    </dgm:pt>
    <dgm:pt modelId="{73F154CC-92C2-4C2F-B071-9E5B50CB6497}" type="pres">
      <dgm:prSet presAssocID="{0E1CCF4A-EEA1-4A4E-B605-D99B1AAB14B7}" presName="hierRoot2" presStyleCnt="0">
        <dgm:presLayoutVars>
          <dgm:hierBranch val="init"/>
        </dgm:presLayoutVars>
      </dgm:prSet>
      <dgm:spPr/>
    </dgm:pt>
    <dgm:pt modelId="{BA2D34F3-A610-4C3D-8C4C-7DAC0CCB4ED2}" type="pres">
      <dgm:prSet presAssocID="{0E1CCF4A-EEA1-4A4E-B605-D99B1AAB14B7}" presName="rootComposite" presStyleCnt="0"/>
      <dgm:spPr/>
    </dgm:pt>
    <dgm:pt modelId="{9653B567-A656-403C-B844-27E7B90DE42F}" type="pres">
      <dgm:prSet presAssocID="{0E1CCF4A-EEA1-4A4E-B605-D99B1AAB14B7}" presName="rootText" presStyleLbl="node3" presStyleIdx="9" presStyleCnt="16">
        <dgm:presLayoutVars>
          <dgm:chPref val="3"/>
        </dgm:presLayoutVars>
      </dgm:prSet>
      <dgm:spPr/>
    </dgm:pt>
    <dgm:pt modelId="{7CE196D0-B25D-4681-AD13-EAD00FB5D7C6}" type="pres">
      <dgm:prSet presAssocID="{0E1CCF4A-EEA1-4A4E-B605-D99B1AAB14B7}" presName="rootConnector" presStyleLbl="node3" presStyleIdx="9" presStyleCnt="16"/>
      <dgm:spPr/>
    </dgm:pt>
    <dgm:pt modelId="{86F068EA-6566-4355-8369-A5D1A68FC71D}" type="pres">
      <dgm:prSet presAssocID="{0E1CCF4A-EEA1-4A4E-B605-D99B1AAB14B7}" presName="hierChild4" presStyleCnt="0"/>
      <dgm:spPr/>
    </dgm:pt>
    <dgm:pt modelId="{19634E5B-A2B9-4F0C-AFA9-D0D65A9F2A4D}" type="pres">
      <dgm:prSet presAssocID="{0E1CCF4A-EEA1-4A4E-B605-D99B1AAB14B7}" presName="hierChild5" presStyleCnt="0"/>
      <dgm:spPr/>
    </dgm:pt>
    <dgm:pt modelId="{B13759A8-B60E-4ACA-BE46-5F187D22FD89}" type="pres">
      <dgm:prSet presAssocID="{356FD91B-11E3-48D8-BF23-21E9C2501614}" presName="hierChild5" presStyleCnt="0"/>
      <dgm:spPr/>
    </dgm:pt>
    <dgm:pt modelId="{40D58C39-9BB6-44DE-A52F-D1D3BB412B50}" type="pres">
      <dgm:prSet presAssocID="{04580F0A-3520-4DF3-A5FB-F1205F714F82}" presName="Name37" presStyleLbl="parChTrans1D2" presStyleIdx="2" presStyleCnt="5"/>
      <dgm:spPr/>
    </dgm:pt>
    <dgm:pt modelId="{B3604136-36D8-45BF-816C-77F1B68CDE00}" type="pres">
      <dgm:prSet presAssocID="{4D8719DE-618D-4CC0-A1CC-1D313A2A6E5E}" presName="hierRoot2" presStyleCnt="0">
        <dgm:presLayoutVars>
          <dgm:hierBranch val="init"/>
        </dgm:presLayoutVars>
      </dgm:prSet>
      <dgm:spPr/>
    </dgm:pt>
    <dgm:pt modelId="{2B78304A-E04F-43E8-9BA6-5018C14F6F36}" type="pres">
      <dgm:prSet presAssocID="{4D8719DE-618D-4CC0-A1CC-1D313A2A6E5E}" presName="rootComposite" presStyleCnt="0"/>
      <dgm:spPr/>
    </dgm:pt>
    <dgm:pt modelId="{C156799F-8A7C-43F0-8B9F-F95EB46AD3B3}" type="pres">
      <dgm:prSet presAssocID="{4D8719DE-618D-4CC0-A1CC-1D313A2A6E5E}" presName="rootText" presStyleLbl="node2" presStyleIdx="2" presStyleCnt="5">
        <dgm:presLayoutVars>
          <dgm:chPref val="3"/>
        </dgm:presLayoutVars>
      </dgm:prSet>
      <dgm:spPr/>
    </dgm:pt>
    <dgm:pt modelId="{9E965C8F-F01A-4994-A8ED-B099F5385459}" type="pres">
      <dgm:prSet presAssocID="{4D8719DE-618D-4CC0-A1CC-1D313A2A6E5E}" presName="rootConnector" presStyleLbl="node2" presStyleIdx="2" presStyleCnt="5"/>
      <dgm:spPr/>
    </dgm:pt>
    <dgm:pt modelId="{EDB1365E-10D8-4EAB-AE6E-79BDDD8C605E}" type="pres">
      <dgm:prSet presAssocID="{4D8719DE-618D-4CC0-A1CC-1D313A2A6E5E}" presName="hierChild4" presStyleCnt="0"/>
      <dgm:spPr/>
    </dgm:pt>
    <dgm:pt modelId="{A3B9A1D5-164B-4E9D-B2B9-4AA880F9A8BE}" type="pres">
      <dgm:prSet presAssocID="{A80DAD66-D0AD-44AF-99C0-2FCCCB25F081}" presName="Name37" presStyleLbl="parChTrans1D3" presStyleIdx="10" presStyleCnt="16"/>
      <dgm:spPr/>
    </dgm:pt>
    <dgm:pt modelId="{A45FF7C3-D9C2-41E2-BEC7-F1255333355E}" type="pres">
      <dgm:prSet presAssocID="{BE5213A2-C948-4B5A-AC07-1346963F2AFB}" presName="hierRoot2" presStyleCnt="0">
        <dgm:presLayoutVars>
          <dgm:hierBranch val="init"/>
        </dgm:presLayoutVars>
      </dgm:prSet>
      <dgm:spPr/>
    </dgm:pt>
    <dgm:pt modelId="{C701A438-93D8-4263-A657-798A2E34C780}" type="pres">
      <dgm:prSet presAssocID="{BE5213A2-C948-4B5A-AC07-1346963F2AFB}" presName="rootComposite" presStyleCnt="0"/>
      <dgm:spPr/>
    </dgm:pt>
    <dgm:pt modelId="{B0DABC66-699F-4FCF-914E-55769FEB5CEC}" type="pres">
      <dgm:prSet presAssocID="{BE5213A2-C948-4B5A-AC07-1346963F2AFB}" presName="rootText" presStyleLbl="node3" presStyleIdx="10" presStyleCnt="16">
        <dgm:presLayoutVars>
          <dgm:chPref val="3"/>
        </dgm:presLayoutVars>
      </dgm:prSet>
      <dgm:spPr/>
    </dgm:pt>
    <dgm:pt modelId="{32FF7787-0FA3-4589-AA2D-9AB36B8DFF36}" type="pres">
      <dgm:prSet presAssocID="{BE5213A2-C948-4B5A-AC07-1346963F2AFB}" presName="rootConnector" presStyleLbl="node3" presStyleIdx="10" presStyleCnt="16"/>
      <dgm:spPr/>
    </dgm:pt>
    <dgm:pt modelId="{BA7B8EF4-A634-4342-A644-93E4C5C8788A}" type="pres">
      <dgm:prSet presAssocID="{BE5213A2-C948-4B5A-AC07-1346963F2AFB}" presName="hierChild4" presStyleCnt="0"/>
      <dgm:spPr/>
    </dgm:pt>
    <dgm:pt modelId="{9B9DB249-8DD0-4CE1-BE82-4E2C4122DA0C}" type="pres">
      <dgm:prSet presAssocID="{BE5213A2-C948-4B5A-AC07-1346963F2AFB}" presName="hierChild5" presStyleCnt="0"/>
      <dgm:spPr/>
    </dgm:pt>
    <dgm:pt modelId="{8BDA12F6-5568-418D-B1E2-E34964FE7254}" type="pres">
      <dgm:prSet presAssocID="{4D8719DE-618D-4CC0-A1CC-1D313A2A6E5E}" presName="hierChild5" presStyleCnt="0"/>
      <dgm:spPr/>
    </dgm:pt>
    <dgm:pt modelId="{66777CCC-CBA5-458D-9E20-8979A54F2F36}" type="pres">
      <dgm:prSet presAssocID="{DEF488AE-EF44-4382-9739-3823EDC15DD4}" presName="Name37" presStyleLbl="parChTrans1D2" presStyleIdx="3" presStyleCnt="5"/>
      <dgm:spPr/>
    </dgm:pt>
    <dgm:pt modelId="{ABC96EDA-7C9B-4F25-BECD-8F5CEDBBC00D}" type="pres">
      <dgm:prSet presAssocID="{D12E4D64-E4FB-4AD4-A458-500D3917BDC9}" presName="hierRoot2" presStyleCnt="0">
        <dgm:presLayoutVars>
          <dgm:hierBranch val="init"/>
        </dgm:presLayoutVars>
      </dgm:prSet>
      <dgm:spPr/>
    </dgm:pt>
    <dgm:pt modelId="{22E8225D-B945-4BBC-9CD6-56B5D450A4A9}" type="pres">
      <dgm:prSet presAssocID="{D12E4D64-E4FB-4AD4-A458-500D3917BDC9}" presName="rootComposite" presStyleCnt="0"/>
      <dgm:spPr/>
    </dgm:pt>
    <dgm:pt modelId="{48C3AD00-B076-400D-9B30-CD6E214F73CE}" type="pres">
      <dgm:prSet presAssocID="{D12E4D64-E4FB-4AD4-A458-500D3917BDC9}" presName="rootText" presStyleLbl="node2" presStyleIdx="3" presStyleCnt="5">
        <dgm:presLayoutVars>
          <dgm:chPref val="3"/>
        </dgm:presLayoutVars>
      </dgm:prSet>
      <dgm:spPr/>
    </dgm:pt>
    <dgm:pt modelId="{C734B00A-A7D8-4F0E-86AD-00C88A035C45}" type="pres">
      <dgm:prSet presAssocID="{D12E4D64-E4FB-4AD4-A458-500D3917BDC9}" presName="rootConnector" presStyleLbl="node2" presStyleIdx="3" presStyleCnt="5"/>
      <dgm:spPr/>
    </dgm:pt>
    <dgm:pt modelId="{295D6EC7-27F8-4767-877D-56D8DD89A4F7}" type="pres">
      <dgm:prSet presAssocID="{D12E4D64-E4FB-4AD4-A458-500D3917BDC9}" presName="hierChild4" presStyleCnt="0"/>
      <dgm:spPr/>
    </dgm:pt>
    <dgm:pt modelId="{E50CC1D9-3121-417F-8C6D-FF80F5596D9C}" type="pres">
      <dgm:prSet presAssocID="{6A84C21F-9083-40DC-BFB5-04EEB898DD60}" presName="Name37" presStyleLbl="parChTrans1D3" presStyleIdx="11" presStyleCnt="16"/>
      <dgm:spPr/>
    </dgm:pt>
    <dgm:pt modelId="{32946663-1D79-4A9F-A282-1A5420C0BF00}" type="pres">
      <dgm:prSet presAssocID="{00FD653E-91D6-445F-9919-389F76C76EA6}" presName="hierRoot2" presStyleCnt="0">
        <dgm:presLayoutVars>
          <dgm:hierBranch val="init"/>
        </dgm:presLayoutVars>
      </dgm:prSet>
      <dgm:spPr/>
    </dgm:pt>
    <dgm:pt modelId="{9E589DA2-A2A7-4F97-9618-86C3DC49364B}" type="pres">
      <dgm:prSet presAssocID="{00FD653E-91D6-445F-9919-389F76C76EA6}" presName="rootComposite" presStyleCnt="0"/>
      <dgm:spPr/>
    </dgm:pt>
    <dgm:pt modelId="{470D224F-D597-41FC-9A3F-AC941E6B6444}" type="pres">
      <dgm:prSet presAssocID="{00FD653E-91D6-445F-9919-389F76C76EA6}" presName="rootText" presStyleLbl="node3" presStyleIdx="11" presStyleCnt="16">
        <dgm:presLayoutVars>
          <dgm:chPref val="3"/>
        </dgm:presLayoutVars>
      </dgm:prSet>
      <dgm:spPr/>
    </dgm:pt>
    <dgm:pt modelId="{6AF1F597-64FD-4271-A416-708EE0901A3C}" type="pres">
      <dgm:prSet presAssocID="{00FD653E-91D6-445F-9919-389F76C76EA6}" presName="rootConnector" presStyleLbl="node3" presStyleIdx="11" presStyleCnt="16"/>
      <dgm:spPr/>
    </dgm:pt>
    <dgm:pt modelId="{BBBC6600-97FC-4428-8543-AA071C8D0B55}" type="pres">
      <dgm:prSet presAssocID="{00FD653E-91D6-445F-9919-389F76C76EA6}" presName="hierChild4" presStyleCnt="0"/>
      <dgm:spPr/>
    </dgm:pt>
    <dgm:pt modelId="{FEF1E603-AD3D-402F-BB85-377CF2F3EFED}" type="pres">
      <dgm:prSet presAssocID="{00FD653E-91D6-445F-9919-389F76C76EA6}" presName="hierChild5" presStyleCnt="0"/>
      <dgm:spPr/>
    </dgm:pt>
    <dgm:pt modelId="{25AB2D0A-985F-4BE9-982F-24FEA3AD00CF}" type="pres">
      <dgm:prSet presAssocID="{E0137335-B87F-4FC3-B724-29C8009850A1}" presName="Name37" presStyleLbl="parChTrans1D3" presStyleIdx="12" presStyleCnt="16"/>
      <dgm:spPr/>
    </dgm:pt>
    <dgm:pt modelId="{C417C891-F564-478E-93B4-9715EB07B709}" type="pres">
      <dgm:prSet presAssocID="{5444409A-78AD-4D79-AB91-C025636F95CC}" presName="hierRoot2" presStyleCnt="0">
        <dgm:presLayoutVars>
          <dgm:hierBranch val="init"/>
        </dgm:presLayoutVars>
      </dgm:prSet>
      <dgm:spPr/>
    </dgm:pt>
    <dgm:pt modelId="{F741C331-4692-4F7B-9315-3D73EA58C970}" type="pres">
      <dgm:prSet presAssocID="{5444409A-78AD-4D79-AB91-C025636F95CC}" presName="rootComposite" presStyleCnt="0"/>
      <dgm:spPr/>
    </dgm:pt>
    <dgm:pt modelId="{2F2636BE-8BDC-4701-9DDF-680C51F2FDEA}" type="pres">
      <dgm:prSet presAssocID="{5444409A-78AD-4D79-AB91-C025636F95CC}" presName="rootText" presStyleLbl="node3" presStyleIdx="12" presStyleCnt="16">
        <dgm:presLayoutVars>
          <dgm:chPref val="3"/>
        </dgm:presLayoutVars>
      </dgm:prSet>
      <dgm:spPr/>
    </dgm:pt>
    <dgm:pt modelId="{2CD25188-819E-43C0-8EAE-ACEEEFAF2C14}" type="pres">
      <dgm:prSet presAssocID="{5444409A-78AD-4D79-AB91-C025636F95CC}" presName="rootConnector" presStyleLbl="node3" presStyleIdx="12" presStyleCnt="16"/>
      <dgm:spPr/>
    </dgm:pt>
    <dgm:pt modelId="{AEA183DE-BE0D-4277-836E-9C776CBCCA23}" type="pres">
      <dgm:prSet presAssocID="{5444409A-78AD-4D79-AB91-C025636F95CC}" presName="hierChild4" presStyleCnt="0"/>
      <dgm:spPr/>
    </dgm:pt>
    <dgm:pt modelId="{2FEEDC8B-4A66-427E-ABA4-0A82A69FDB11}" type="pres">
      <dgm:prSet presAssocID="{5444409A-78AD-4D79-AB91-C025636F95CC}" presName="hierChild5" presStyleCnt="0"/>
      <dgm:spPr/>
    </dgm:pt>
    <dgm:pt modelId="{E41E547A-CECC-488B-A9ED-006CAAC12618}" type="pres">
      <dgm:prSet presAssocID="{D12E4D64-E4FB-4AD4-A458-500D3917BDC9}" presName="hierChild5" presStyleCnt="0"/>
      <dgm:spPr/>
    </dgm:pt>
    <dgm:pt modelId="{98B37878-996F-47E0-955D-211F11BABF89}" type="pres">
      <dgm:prSet presAssocID="{D5CA79D5-C98F-4278-85B4-AFD25DD89D70}" presName="Name37" presStyleLbl="parChTrans1D2" presStyleIdx="4" presStyleCnt="5"/>
      <dgm:spPr/>
    </dgm:pt>
    <dgm:pt modelId="{24127326-A7FC-4DA0-884C-45A0A0FB7012}" type="pres">
      <dgm:prSet presAssocID="{AEDB1692-F45D-4361-9837-3FA32DB7EBE2}" presName="hierRoot2" presStyleCnt="0">
        <dgm:presLayoutVars>
          <dgm:hierBranch val="init"/>
        </dgm:presLayoutVars>
      </dgm:prSet>
      <dgm:spPr/>
    </dgm:pt>
    <dgm:pt modelId="{27EC6CF2-EBD9-405F-8845-4B0366060E59}" type="pres">
      <dgm:prSet presAssocID="{AEDB1692-F45D-4361-9837-3FA32DB7EBE2}" presName="rootComposite" presStyleCnt="0"/>
      <dgm:spPr/>
    </dgm:pt>
    <dgm:pt modelId="{28065F59-B3DF-45A4-880C-C0AC94799C8B}" type="pres">
      <dgm:prSet presAssocID="{AEDB1692-F45D-4361-9837-3FA32DB7EBE2}" presName="rootText" presStyleLbl="node2" presStyleIdx="4" presStyleCnt="5">
        <dgm:presLayoutVars>
          <dgm:chPref val="3"/>
        </dgm:presLayoutVars>
      </dgm:prSet>
      <dgm:spPr/>
    </dgm:pt>
    <dgm:pt modelId="{6EAC37A2-F39A-45B4-BD81-1038A7225E01}" type="pres">
      <dgm:prSet presAssocID="{AEDB1692-F45D-4361-9837-3FA32DB7EBE2}" presName="rootConnector" presStyleLbl="node2" presStyleIdx="4" presStyleCnt="5"/>
      <dgm:spPr/>
    </dgm:pt>
    <dgm:pt modelId="{01E29291-20D4-45AA-A7E9-A51AFE4A2042}" type="pres">
      <dgm:prSet presAssocID="{AEDB1692-F45D-4361-9837-3FA32DB7EBE2}" presName="hierChild4" presStyleCnt="0"/>
      <dgm:spPr/>
    </dgm:pt>
    <dgm:pt modelId="{3CBE489A-2EDE-4565-8009-4F03EA69CB9D}" type="pres">
      <dgm:prSet presAssocID="{56EFEBC0-83C2-4F5F-83A6-B4A5A6BF666B}" presName="Name37" presStyleLbl="parChTrans1D3" presStyleIdx="13" presStyleCnt="16"/>
      <dgm:spPr/>
    </dgm:pt>
    <dgm:pt modelId="{2F59839A-F9B0-405F-8C76-A22C1C95B753}" type="pres">
      <dgm:prSet presAssocID="{3A72460B-89F7-498D-89F7-6DA2DF3A88FD}" presName="hierRoot2" presStyleCnt="0">
        <dgm:presLayoutVars>
          <dgm:hierBranch val="init"/>
        </dgm:presLayoutVars>
      </dgm:prSet>
      <dgm:spPr/>
    </dgm:pt>
    <dgm:pt modelId="{56C86921-9EBB-4B61-9E4A-164D454AE936}" type="pres">
      <dgm:prSet presAssocID="{3A72460B-89F7-498D-89F7-6DA2DF3A88FD}" presName="rootComposite" presStyleCnt="0"/>
      <dgm:spPr/>
    </dgm:pt>
    <dgm:pt modelId="{D971CE38-BAF5-4063-A398-5CC6A3A6945E}" type="pres">
      <dgm:prSet presAssocID="{3A72460B-89F7-498D-89F7-6DA2DF3A88FD}" presName="rootText" presStyleLbl="node3" presStyleIdx="13" presStyleCnt="16">
        <dgm:presLayoutVars>
          <dgm:chPref val="3"/>
        </dgm:presLayoutVars>
      </dgm:prSet>
      <dgm:spPr/>
    </dgm:pt>
    <dgm:pt modelId="{690B7010-8EFE-42BD-BDA1-4BCBEBC22A62}" type="pres">
      <dgm:prSet presAssocID="{3A72460B-89F7-498D-89F7-6DA2DF3A88FD}" presName="rootConnector" presStyleLbl="node3" presStyleIdx="13" presStyleCnt="16"/>
      <dgm:spPr/>
    </dgm:pt>
    <dgm:pt modelId="{CCBD51BB-EF8D-4D65-9A5B-1D099F626481}" type="pres">
      <dgm:prSet presAssocID="{3A72460B-89F7-498D-89F7-6DA2DF3A88FD}" presName="hierChild4" presStyleCnt="0"/>
      <dgm:spPr/>
    </dgm:pt>
    <dgm:pt modelId="{2942203E-C4F2-480F-B985-00AC8B965D13}" type="pres">
      <dgm:prSet presAssocID="{3A72460B-89F7-498D-89F7-6DA2DF3A88FD}" presName="hierChild5" presStyleCnt="0"/>
      <dgm:spPr/>
    </dgm:pt>
    <dgm:pt modelId="{B2CAE622-8655-4674-BBFB-12BA59956BCC}" type="pres">
      <dgm:prSet presAssocID="{6F89FDFA-448D-49BF-B322-AB641410737D}" presName="Name37" presStyleLbl="parChTrans1D3" presStyleIdx="14" presStyleCnt="16"/>
      <dgm:spPr/>
    </dgm:pt>
    <dgm:pt modelId="{D8795E1E-D55D-45B2-8845-C8BCCC86AAA7}" type="pres">
      <dgm:prSet presAssocID="{285660FB-08BE-4578-BD65-A98B29DA05CE}" presName="hierRoot2" presStyleCnt="0">
        <dgm:presLayoutVars>
          <dgm:hierBranch val="init"/>
        </dgm:presLayoutVars>
      </dgm:prSet>
      <dgm:spPr/>
    </dgm:pt>
    <dgm:pt modelId="{C9DA1BA9-C501-425B-9559-9603474B3DA9}" type="pres">
      <dgm:prSet presAssocID="{285660FB-08BE-4578-BD65-A98B29DA05CE}" presName="rootComposite" presStyleCnt="0"/>
      <dgm:spPr/>
    </dgm:pt>
    <dgm:pt modelId="{4588F67E-3C6D-489F-A0DC-D2B0F74D1892}" type="pres">
      <dgm:prSet presAssocID="{285660FB-08BE-4578-BD65-A98B29DA05CE}" presName="rootText" presStyleLbl="node3" presStyleIdx="14" presStyleCnt="16">
        <dgm:presLayoutVars>
          <dgm:chPref val="3"/>
        </dgm:presLayoutVars>
      </dgm:prSet>
      <dgm:spPr/>
    </dgm:pt>
    <dgm:pt modelId="{31A7322A-D8F9-4C52-A86E-691E2DE77642}" type="pres">
      <dgm:prSet presAssocID="{285660FB-08BE-4578-BD65-A98B29DA05CE}" presName="rootConnector" presStyleLbl="node3" presStyleIdx="14" presStyleCnt="16"/>
      <dgm:spPr/>
    </dgm:pt>
    <dgm:pt modelId="{72510D34-1C6E-442D-9BE8-6D45F3CBF9A7}" type="pres">
      <dgm:prSet presAssocID="{285660FB-08BE-4578-BD65-A98B29DA05CE}" presName="hierChild4" presStyleCnt="0"/>
      <dgm:spPr/>
    </dgm:pt>
    <dgm:pt modelId="{264C543A-A501-411E-9ADC-3AAABD4AD81D}" type="pres">
      <dgm:prSet presAssocID="{285660FB-08BE-4578-BD65-A98B29DA05CE}" presName="hierChild5" presStyleCnt="0"/>
      <dgm:spPr/>
    </dgm:pt>
    <dgm:pt modelId="{82D44704-A5BD-460B-8B29-B7A0893AA783}" type="pres">
      <dgm:prSet presAssocID="{BB2A858D-4F26-405E-866A-8CA8AD81EC93}" presName="Name37" presStyleLbl="parChTrans1D3" presStyleIdx="15" presStyleCnt="16"/>
      <dgm:spPr/>
    </dgm:pt>
    <dgm:pt modelId="{620FC0BE-A78E-4B5D-A2B9-DE58C7DDA474}" type="pres">
      <dgm:prSet presAssocID="{95901102-06E5-4331-A8A6-621959A9BB31}" presName="hierRoot2" presStyleCnt="0">
        <dgm:presLayoutVars>
          <dgm:hierBranch val="init"/>
        </dgm:presLayoutVars>
      </dgm:prSet>
      <dgm:spPr/>
    </dgm:pt>
    <dgm:pt modelId="{FD426D43-9C6D-472D-895B-15C229684EDC}" type="pres">
      <dgm:prSet presAssocID="{95901102-06E5-4331-A8A6-621959A9BB31}" presName="rootComposite" presStyleCnt="0"/>
      <dgm:spPr/>
    </dgm:pt>
    <dgm:pt modelId="{A3703204-B679-4035-91E2-3785CEC09F16}" type="pres">
      <dgm:prSet presAssocID="{95901102-06E5-4331-A8A6-621959A9BB31}" presName="rootText" presStyleLbl="node3" presStyleIdx="15" presStyleCnt="16">
        <dgm:presLayoutVars>
          <dgm:chPref val="3"/>
        </dgm:presLayoutVars>
      </dgm:prSet>
      <dgm:spPr/>
    </dgm:pt>
    <dgm:pt modelId="{6D97F5D7-B080-45DC-9A8C-543FB0A2BAC1}" type="pres">
      <dgm:prSet presAssocID="{95901102-06E5-4331-A8A6-621959A9BB31}" presName="rootConnector" presStyleLbl="node3" presStyleIdx="15" presStyleCnt="16"/>
      <dgm:spPr/>
    </dgm:pt>
    <dgm:pt modelId="{741DD6AA-62C0-4A6B-A799-C334182D529E}" type="pres">
      <dgm:prSet presAssocID="{95901102-06E5-4331-A8A6-621959A9BB31}" presName="hierChild4" presStyleCnt="0"/>
      <dgm:spPr/>
    </dgm:pt>
    <dgm:pt modelId="{0C3E95B4-5AB1-4B7A-9958-E0AD650D4898}" type="pres">
      <dgm:prSet presAssocID="{95901102-06E5-4331-A8A6-621959A9BB31}" presName="hierChild5" presStyleCnt="0"/>
      <dgm:spPr/>
    </dgm:pt>
    <dgm:pt modelId="{DAD2E4CF-9FA2-435A-B5AC-A3CAE95217EC}" type="pres">
      <dgm:prSet presAssocID="{AEDB1692-F45D-4361-9837-3FA32DB7EBE2}" presName="hierChild5" presStyleCnt="0"/>
      <dgm:spPr/>
    </dgm:pt>
    <dgm:pt modelId="{674CFC7F-89C2-415A-9C77-2A0D2285209F}" type="pres">
      <dgm:prSet presAssocID="{37243185-7E15-4D4F-AAA8-8664D90D34D4}" presName="hierChild3" presStyleCnt="0"/>
      <dgm:spPr/>
    </dgm:pt>
  </dgm:ptLst>
  <dgm:cxnLst>
    <dgm:cxn modelId="{7C336900-9C08-45F8-ACBC-302F0DBA94F0}" srcId="{10F30B49-608A-44FA-9511-91EF2A02568C}" destId="{7914E2CD-6632-4C89-94D6-C6FAED83FF67}" srcOrd="3" destOrd="0" parTransId="{AC77F7DE-791B-43D4-A3F4-B23AD5C42176}" sibTransId="{AA76FA25-CDBC-4033-AF1A-7941B3BB7BEC}"/>
    <dgm:cxn modelId="{043F3303-A4B3-4C6C-BCB1-0673FCAA6898}" srcId="{37243185-7E15-4D4F-AAA8-8664D90D34D4}" destId="{356FD91B-11E3-48D8-BF23-21E9C2501614}" srcOrd="1" destOrd="0" parTransId="{60749B0D-B338-460C-A7D8-A5246F37A6DE}" sibTransId="{CF939B64-A8C2-4F17-87BF-8315F98225CA}"/>
    <dgm:cxn modelId="{BE54A404-319A-4865-B62C-43FE931DCA22}" srcId="{356FD91B-11E3-48D8-BF23-21E9C2501614}" destId="{4D883A15-F2CE-48A3-BA13-C4D4DCB6087C}" srcOrd="0" destOrd="0" parTransId="{8F374A66-BF3E-4A3C-8E54-1D4E4FB4CBFD}" sibTransId="{D329E008-1DE4-44A3-B85F-9E44F458514B}"/>
    <dgm:cxn modelId="{13D53E06-5C82-428C-9633-92B8E1AC0979}" type="presOf" srcId="{AEDB1692-F45D-4361-9837-3FA32DB7EBE2}" destId="{28065F59-B3DF-45A4-880C-C0AC94799C8B}" srcOrd="0" destOrd="0" presId="urn:microsoft.com/office/officeart/2005/8/layout/orgChart1"/>
    <dgm:cxn modelId="{1B779709-B957-4042-AB14-26169B63A2EC}" srcId="{4D8719DE-618D-4CC0-A1CC-1D313A2A6E5E}" destId="{BE5213A2-C948-4B5A-AC07-1346963F2AFB}" srcOrd="0" destOrd="0" parTransId="{A80DAD66-D0AD-44AF-99C0-2FCCCB25F081}" sibTransId="{6AD14461-382A-4DB6-B367-C916762C51F3}"/>
    <dgm:cxn modelId="{EBD5D809-46D4-42F0-88FD-6E83040AD087}" type="presOf" srcId="{60749B0D-B338-460C-A7D8-A5246F37A6DE}" destId="{EB62A053-11B9-4533-9FA4-F10E3E5754D9}" srcOrd="0" destOrd="0" presId="urn:microsoft.com/office/officeart/2005/8/layout/orgChart1"/>
    <dgm:cxn modelId="{5B64BC0B-4D6A-4D56-80A9-F7F55DE7743A}" type="presOf" srcId="{BE5213A2-C948-4B5A-AC07-1346963F2AFB}" destId="{32FF7787-0FA3-4589-AA2D-9AB36B8DFF36}" srcOrd="1" destOrd="0" presId="urn:microsoft.com/office/officeart/2005/8/layout/orgChart1"/>
    <dgm:cxn modelId="{F7BB180E-A4B0-42F9-AA32-55393AE9076A}" type="presOf" srcId="{090C0C6F-22E7-4A77-99F4-40B7E8DF1C17}" destId="{8EC52201-DB46-4185-BB76-DF053710A1E3}" srcOrd="0" destOrd="0" presId="urn:microsoft.com/office/officeart/2005/8/layout/orgChart1"/>
    <dgm:cxn modelId="{CB546311-FB03-4F45-95C0-40109FF4E179}" type="presOf" srcId="{4D99370C-89F4-4145-A1B3-EF4BCF7B4BAC}" destId="{A01E32D5-9708-4CF0-8C5C-F73976B6780A}" srcOrd="0" destOrd="0" presId="urn:microsoft.com/office/officeart/2005/8/layout/orgChart1"/>
    <dgm:cxn modelId="{A5E20113-8F8B-4F1F-80FD-C6251A6B6173}" srcId="{356FD91B-11E3-48D8-BF23-21E9C2501614}" destId="{C820E7AF-B626-44E8-B5F6-25A915E2D080}" srcOrd="1" destOrd="0" parTransId="{153646F6-7AA6-4F65-B52E-D1D85BE1F2F8}" sibTransId="{D055ABE7-B75D-443E-831A-C5CF1BC4ABA0}"/>
    <dgm:cxn modelId="{18654D18-3C5D-4407-940B-39F557C07576}" type="presOf" srcId="{3703496F-F4A6-4BCD-89C4-D2C7D1DD517A}" destId="{EF1F7672-935C-4996-B275-9EB53F54F361}" srcOrd="1" destOrd="0" presId="urn:microsoft.com/office/officeart/2005/8/layout/orgChart1"/>
    <dgm:cxn modelId="{28C2B022-FAE2-4377-8554-BC5DB0C7185D}" type="presOf" srcId="{8F374A66-BF3E-4A3C-8E54-1D4E4FB4CBFD}" destId="{BB5B39B4-33D4-4D7F-876D-F2242D84B406}" srcOrd="0" destOrd="0" presId="urn:microsoft.com/office/officeart/2005/8/layout/orgChart1"/>
    <dgm:cxn modelId="{3175B324-D6CA-4B6B-9AAB-E2B5BBF272B0}" type="presOf" srcId="{4D8719DE-618D-4CC0-A1CC-1D313A2A6E5E}" destId="{9E965C8F-F01A-4994-A8ED-B099F5385459}" srcOrd="1" destOrd="0" presId="urn:microsoft.com/office/officeart/2005/8/layout/orgChart1"/>
    <dgm:cxn modelId="{9B6B5C25-F002-41DE-B50E-C7ECA95F021D}" type="presOf" srcId="{10F30B49-608A-44FA-9511-91EF2A02568C}" destId="{2B6419C7-33B5-431F-A546-B940CCAFDA9D}" srcOrd="0" destOrd="0" presId="urn:microsoft.com/office/officeart/2005/8/layout/orgChart1"/>
    <dgm:cxn modelId="{3E2DF325-DF0E-4B0D-89FE-AF7032343FF0}" type="presOf" srcId="{10F30B49-608A-44FA-9511-91EF2A02568C}" destId="{43A761F9-5078-44BB-A275-8534773D75BF}" srcOrd="1" destOrd="0" presId="urn:microsoft.com/office/officeart/2005/8/layout/orgChart1"/>
    <dgm:cxn modelId="{92CD0B29-1C95-4DDA-94E2-29D40563B037}" type="presOf" srcId="{0E1CCF4A-EEA1-4A4E-B605-D99B1AAB14B7}" destId="{7CE196D0-B25D-4681-AD13-EAD00FB5D7C6}" srcOrd="1" destOrd="0" presId="urn:microsoft.com/office/officeart/2005/8/layout/orgChart1"/>
    <dgm:cxn modelId="{C57E7C29-93AC-476E-85BD-B58ABB139588}" type="presOf" srcId="{4D883A15-F2CE-48A3-BA13-C4D4DCB6087C}" destId="{BBAB6EC4-EFAF-4D02-B0EB-2A2CCDD1DD12}" srcOrd="1" destOrd="0" presId="urn:microsoft.com/office/officeart/2005/8/layout/orgChart1"/>
    <dgm:cxn modelId="{EB1F242A-D095-4E7D-8427-33A978974E84}" type="presOf" srcId="{DEF488AE-EF44-4382-9739-3823EDC15DD4}" destId="{66777CCC-CBA5-458D-9E20-8979A54F2F36}" srcOrd="0" destOrd="0" presId="urn:microsoft.com/office/officeart/2005/8/layout/orgChart1"/>
    <dgm:cxn modelId="{94588C2C-6D8B-46F4-8C41-382131D56585}" type="presOf" srcId="{285660FB-08BE-4578-BD65-A98B29DA05CE}" destId="{4588F67E-3C6D-489F-A0DC-D2B0F74D1892}" srcOrd="0" destOrd="0" presId="urn:microsoft.com/office/officeart/2005/8/layout/orgChart1"/>
    <dgm:cxn modelId="{A32CB42C-1BE0-4724-9785-DFB3B0A01494}" type="presOf" srcId="{7914E2CD-6632-4C89-94D6-C6FAED83FF67}" destId="{0DD2FDB1-8269-4B12-A5ED-B44F2B854102}" srcOrd="1" destOrd="0" presId="urn:microsoft.com/office/officeart/2005/8/layout/orgChart1"/>
    <dgm:cxn modelId="{E73E942F-38AE-4783-BE92-333F66C3195C}" srcId="{10F30B49-608A-44FA-9511-91EF2A02568C}" destId="{3703496F-F4A6-4BCD-89C4-D2C7D1DD517A}" srcOrd="2" destOrd="0" parTransId="{4274B10E-2989-48EC-B78B-08EE4143F0AD}" sibTransId="{42392BD2-6248-47A4-8231-E6EEE14A8210}"/>
    <dgm:cxn modelId="{817B5233-9845-4E9E-9960-E6C3211B1BED}" type="presOf" srcId="{A80DAD66-D0AD-44AF-99C0-2FCCCB25F081}" destId="{A3B9A1D5-164B-4E9D-B2B9-4AA880F9A8BE}" srcOrd="0" destOrd="0" presId="urn:microsoft.com/office/officeart/2005/8/layout/orgChart1"/>
    <dgm:cxn modelId="{8E75D337-3EEA-43E6-985E-70CC30735B8D}" type="presOf" srcId="{5444409A-78AD-4D79-AB91-C025636F95CC}" destId="{2CD25188-819E-43C0-8EAE-ACEEEFAF2C14}" srcOrd="1" destOrd="0" presId="urn:microsoft.com/office/officeart/2005/8/layout/orgChart1"/>
    <dgm:cxn modelId="{35592038-DAB4-470D-A83E-4F004A3057A7}" type="presOf" srcId="{B7A4ACBC-0641-46EC-8E78-608004BD97C9}" destId="{5F663312-4B04-48FC-8AAA-E71A526C8567}" srcOrd="0" destOrd="0" presId="urn:microsoft.com/office/officeart/2005/8/layout/orgChart1"/>
    <dgm:cxn modelId="{85C23738-9D48-4DAC-957D-A5ED506EE7A0}" type="presOf" srcId="{4D8719DE-618D-4CC0-A1CC-1D313A2A6E5E}" destId="{C156799F-8A7C-43F0-8B9F-F95EB46AD3B3}" srcOrd="0" destOrd="0" presId="urn:microsoft.com/office/officeart/2005/8/layout/orgChart1"/>
    <dgm:cxn modelId="{014A3D3C-6077-4F31-A071-16D1E4F6E123}" type="presOf" srcId="{F904C8E2-780F-48DE-9EFA-D0A94A7617D8}" destId="{2130390E-A518-426D-9AE5-CE33E1405C69}" srcOrd="1" destOrd="0" presId="urn:microsoft.com/office/officeart/2005/8/layout/orgChart1"/>
    <dgm:cxn modelId="{8B47CA5C-5470-49A7-873A-F456E721C45F}" type="presOf" srcId="{3703496F-F4A6-4BCD-89C4-D2C7D1DD517A}" destId="{3A9D3C03-73F3-40AC-9A5F-56430CDA21DD}" srcOrd="0" destOrd="0" presId="urn:microsoft.com/office/officeart/2005/8/layout/orgChart1"/>
    <dgm:cxn modelId="{1C7C9F5D-B13A-46F9-8C8E-C375AC465D63}" type="presOf" srcId="{356FD91B-11E3-48D8-BF23-21E9C2501614}" destId="{817162A4-6DF5-4105-94E7-F696C9DB7BD3}" srcOrd="0" destOrd="0" presId="urn:microsoft.com/office/officeart/2005/8/layout/orgChart1"/>
    <dgm:cxn modelId="{6CE23E60-11D0-49EC-A531-1612EE1D5635}" type="presOf" srcId="{F904C8E2-780F-48DE-9EFA-D0A94A7617D8}" destId="{E772DC1C-7228-4B95-BCB9-0D321987EE7B}" srcOrd="0" destOrd="0" presId="urn:microsoft.com/office/officeart/2005/8/layout/orgChart1"/>
    <dgm:cxn modelId="{97200D42-FA54-4394-8F6B-3EF14671CB42}" srcId="{4D99370C-89F4-4145-A1B3-EF4BCF7B4BAC}" destId="{37243185-7E15-4D4F-AAA8-8664D90D34D4}" srcOrd="0" destOrd="0" parTransId="{E92BDE48-34E3-4C39-BAD7-9C667523B5FB}" sibTransId="{E1F7B5E9-F866-441C-881D-B1D5D8C97D21}"/>
    <dgm:cxn modelId="{450B8843-19DC-4224-AA10-087E16604847}" type="presOf" srcId="{AC77F7DE-791B-43D4-A3F4-B23AD5C42176}" destId="{A62BEE35-534A-4DF0-BA01-D616B798ED25}" srcOrd="0" destOrd="0" presId="urn:microsoft.com/office/officeart/2005/8/layout/orgChart1"/>
    <dgm:cxn modelId="{55671244-C0FA-4961-AD8A-4CE9E10CD806}" srcId="{10F30B49-608A-44FA-9511-91EF2A02568C}" destId="{F904C8E2-780F-48DE-9EFA-D0A94A7617D8}" srcOrd="1" destOrd="0" parTransId="{28C9AF12-E449-434D-8AF2-9A0ABBDA3C86}" sibTransId="{84391AE9-BF47-40AA-8605-1C9BB905E8AC}"/>
    <dgm:cxn modelId="{47EC2A47-5122-4943-BDEB-F30E148ECAF9}" type="presOf" srcId="{CDED997D-C3E2-410F-83CB-3CA6DCDE5A73}" destId="{E5BAC77C-4419-4857-B1C4-3085DAA79D13}" srcOrd="0" destOrd="0" presId="urn:microsoft.com/office/officeart/2005/8/layout/orgChart1"/>
    <dgm:cxn modelId="{D76C6D4A-C292-4D03-BF4D-426BD0917D0A}" type="presOf" srcId="{246A21FE-0FA9-4799-BF82-B920CF878DF0}" destId="{5FC66B1D-C27E-44C5-9D29-C4935CA8BF8E}" srcOrd="0" destOrd="0" presId="urn:microsoft.com/office/officeart/2005/8/layout/orgChart1"/>
    <dgm:cxn modelId="{B94B6A6B-741E-4854-B2B0-71717C630216}" srcId="{356FD91B-11E3-48D8-BF23-21E9C2501614}" destId="{0E1CCF4A-EEA1-4A4E-B605-D99B1AAB14B7}" srcOrd="4" destOrd="0" parTransId="{D45A3271-AF4B-48CB-A0E4-A16C4E2DC7AE}" sibTransId="{A41A80EC-F32A-4C4A-83A7-E0FD02115414}"/>
    <dgm:cxn modelId="{FC97BD6C-C20B-4251-99CC-93571A43D206}" type="presOf" srcId="{0E1CCF4A-EEA1-4A4E-B605-D99B1AAB14B7}" destId="{9653B567-A656-403C-B844-27E7B90DE42F}" srcOrd="0" destOrd="0" presId="urn:microsoft.com/office/officeart/2005/8/layout/orgChart1"/>
    <dgm:cxn modelId="{CD74094D-BF8C-4E72-92DC-29AFE58E2D3F}" type="presOf" srcId="{A018EC77-785D-4030-B515-16FED81CAA28}" destId="{03E5BF52-D5BA-4F9C-8EEF-2E6F756AB60C}" srcOrd="1" destOrd="0" presId="urn:microsoft.com/office/officeart/2005/8/layout/orgChart1"/>
    <dgm:cxn modelId="{E4A1544D-08F7-44B8-AB66-5EFD10C940AD}" type="presOf" srcId="{3A72460B-89F7-498D-89F7-6DA2DF3A88FD}" destId="{D971CE38-BAF5-4063-A398-5CC6A3A6945E}" srcOrd="0" destOrd="0" presId="urn:microsoft.com/office/officeart/2005/8/layout/orgChart1"/>
    <dgm:cxn modelId="{39AE0D53-EFD0-4FEA-8A64-91AD9B87D330}" type="presOf" srcId="{285660FB-08BE-4578-BD65-A98B29DA05CE}" destId="{31A7322A-D8F9-4C52-A86E-691E2DE77642}" srcOrd="1" destOrd="0" presId="urn:microsoft.com/office/officeart/2005/8/layout/orgChart1"/>
    <dgm:cxn modelId="{781CD673-788C-412A-AF5F-11BBC5256C5D}" type="presOf" srcId="{95901102-06E5-4331-A8A6-621959A9BB31}" destId="{6D97F5D7-B080-45DC-9A8C-543FB0A2BAC1}" srcOrd="1" destOrd="0" presId="urn:microsoft.com/office/officeart/2005/8/layout/orgChart1"/>
    <dgm:cxn modelId="{EEE65275-35F4-4A60-BDFD-38E6FD39AAE5}" type="presOf" srcId="{6F89FDFA-448D-49BF-B322-AB641410737D}" destId="{B2CAE622-8655-4674-BBFB-12BA59956BCC}" srcOrd="0" destOrd="0" presId="urn:microsoft.com/office/officeart/2005/8/layout/orgChart1"/>
    <dgm:cxn modelId="{5BB8B575-6617-4FFB-80F7-422C50A4B062}" type="presOf" srcId="{D45A3271-AF4B-48CB-A0E4-A16C4E2DC7AE}" destId="{DC58C7E7-CFCB-445A-89DB-BE67CF0646B2}" srcOrd="0" destOrd="0" presId="urn:microsoft.com/office/officeart/2005/8/layout/orgChart1"/>
    <dgm:cxn modelId="{89253076-9D30-47A6-A724-A04A50332A2C}" srcId="{D12E4D64-E4FB-4AD4-A458-500D3917BDC9}" destId="{5444409A-78AD-4D79-AB91-C025636F95CC}" srcOrd="1" destOrd="0" parTransId="{E0137335-B87F-4FC3-B724-29C8009850A1}" sibTransId="{47051170-DD2A-4672-805B-8778CEDEA9F5}"/>
    <dgm:cxn modelId="{BBF64276-9545-402F-9FC9-E41D22A38126}" srcId="{37243185-7E15-4D4F-AAA8-8664D90D34D4}" destId="{4D8719DE-618D-4CC0-A1CC-1D313A2A6E5E}" srcOrd="2" destOrd="0" parTransId="{04580F0A-3520-4DF3-A5FB-F1205F714F82}" sibTransId="{EDCF7AE1-1776-43E9-8C62-C00F32BF426D}"/>
    <dgm:cxn modelId="{08036378-D0F1-4B3B-AE97-EBC6CE044486}" srcId="{37243185-7E15-4D4F-AAA8-8664D90D34D4}" destId="{10F30B49-608A-44FA-9511-91EF2A02568C}" srcOrd="0" destOrd="0" parTransId="{CDED997D-C3E2-410F-83CB-3CA6DCDE5A73}" sibTransId="{872BB083-C45C-4322-AC20-A656A99ADCA7}"/>
    <dgm:cxn modelId="{3792A159-9DC2-4DF2-A1EA-393907F612C5}" type="presOf" srcId="{D12E4D64-E4FB-4AD4-A458-500D3917BDC9}" destId="{48C3AD00-B076-400D-9B30-CD6E214F73CE}" srcOrd="0" destOrd="0" presId="urn:microsoft.com/office/officeart/2005/8/layout/orgChart1"/>
    <dgm:cxn modelId="{C619B559-8780-4696-938A-86A9C640FE30}" type="presOf" srcId="{D12E4D64-E4FB-4AD4-A458-500D3917BDC9}" destId="{C734B00A-A7D8-4F0E-86AD-00C88A035C45}" srcOrd="1" destOrd="0" presId="urn:microsoft.com/office/officeart/2005/8/layout/orgChart1"/>
    <dgm:cxn modelId="{8B9EE27D-D7B2-448F-B998-74E7F9636E8F}" type="presOf" srcId="{4274B10E-2989-48EC-B78B-08EE4143F0AD}" destId="{964A074D-23DF-48E1-913C-D34EA049306B}" srcOrd="0" destOrd="0" presId="urn:microsoft.com/office/officeart/2005/8/layout/orgChart1"/>
    <dgm:cxn modelId="{BBC44181-D874-4B83-9660-B11196001E57}" type="presOf" srcId="{7914E2CD-6632-4C89-94D6-C6FAED83FF67}" destId="{948694E8-D18F-43DA-A3AA-2C26F0C766FD}" srcOrd="0" destOrd="0" presId="urn:microsoft.com/office/officeart/2005/8/layout/orgChart1"/>
    <dgm:cxn modelId="{70092882-339F-4F60-A77E-753C794AACD6}" srcId="{37243185-7E15-4D4F-AAA8-8664D90D34D4}" destId="{AEDB1692-F45D-4361-9837-3FA32DB7EBE2}" srcOrd="4" destOrd="0" parTransId="{D5CA79D5-C98F-4278-85B4-AFD25DD89D70}" sibTransId="{0F289920-FA1D-4492-869C-672277B7AC5B}"/>
    <dgm:cxn modelId="{3E342984-AC2E-4458-9AE8-A5EA3767387E}" type="presOf" srcId="{3A72460B-89F7-498D-89F7-6DA2DF3A88FD}" destId="{690B7010-8EFE-42BD-BDA1-4BCBEBC22A62}" srcOrd="1" destOrd="0" presId="urn:microsoft.com/office/officeart/2005/8/layout/orgChart1"/>
    <dgm:cxn modelId="{07AE2A84-8702-4481-AA71-4D4E02CECB91}" type="presOf" srcId="{5444409A-78AD-4D79-AB91-C025636F95CC}" destId="{2F2636BE-8BDC-4701-9DDF-680C51F2FDEA}" srcOrd="0" destOrd="0" presId="urn:microsoft.com/office/officeart/2005/8/layout/orgChart1"/>
    <dgm:cxn modelId="{75C47184-31FB-40A8-ABFD-C3ED3972E549}" type="presOf" srcId="{29E4B5FC-14CB-4CF5-8F78-75422ED634CA}" destId="{C4F0DB4F-7BD9-4928-9B5F-36A6B733F24B}" srcOrd="1" destOrd="0" presId="urn:microsoft.com/office/officeart/2005/8/layout/orgChart1"/>
    <dgm:cxn modelId="{BFE22589-6348-43BF-BCF9-AC7D2CAE4D05}" type="presOf" srcId="{AEDB1692-F45D-4361-9837-3FA32DB7EBE2}" destId="{6EAC37A2-F39A-45B4-BD81-1038A7225E01}" srcOrd="1" destOrd="0" presId="urn:microsoft.com/office/officeart/2005/8/layout/orgChart1"/>
    <dgm:cxn modelId="{8E26C98C-E5C5-4022-B789-90FD74E326F3}" type="presOf" srcId="{8F866143-6802-48B3-BF06-A46A5B42BABC}" destId="{CB7BD377-4500-44A0-B6EF-2090EFD5327C}" srcOrd="1" destOrd="0" presId="urn:microsoft.com/office/officeart/2005/8/layout/orgChart1"/>
    <dgm:cxn modelId="{75193C90-95A7-4DB6-9812-33D9E9D423C3}" type="presOf" srcId="{6A84C21F-9083-40DC-BFB5-04EEB898DD60}" destId="{E50CC1D9-3121-417F-8C6D-FF80F5596D9C}" srcOrd="0" destOrd="0" presId="urn:microsoft.com/office/officeart/2005/8/layout/orgChart1"/>
    <dgm:cxn modelId="{D3464991-46C6-40DF-8647-E0E2D58CBDA9}" type="presOf" srcId="{BB2A858D-4F26-405E-866A-8CA8AD81EC93}" destId="{82D44704-A5BD-460B-8B29-B7A0893AA783}" srcOrd="0" destOrd="0" presId="urn:microsoft.com/office/officeart/2005/8/layout/orgChart1"/>
    <dgm:cxn modelId="{94F99D94-5D7B-49D9-B33D-5A65324D0CF5}" srcId="{AEDB1692-F45D-4361-9837-3FA32DB7EBE2}" destId="{95901102-06E5-4331-A8A6-621959A9BB31}" srcOrd="2" destOrd="0" parTransId="{BB2A858D-4F26-405E-866A-8CA8AD81EC93}" sibTransId="{0D2AC580-F744-4653-83AC-D887C071D61A}"/>
    <dgm:cxn modelId="{A8523197-9A7A-48FD-96B6-3DF6208F2333}" type="presOf" srcId="{E0137335-B87F-4FC3-B724-29C8009850A1}" destId="{25AB2D0A-985F-4BE9-982F-24FEA3AD00CF}" srcOrd="0" destOrd="0" presId="urn:microsoft.com/office/officeart/2005/8/layout/orgChart1"/>
    <dgm:cxn modelId="{67342A98-3805-41C7-B7B1-8DFC76884F07}" type="presOf" srcId="{28C9AF12-E449-434D-8AF2-9A0ABBDA3C86}" destId="{9C47433E-DE2D-4E9E-86D0-0BC6C33297D9}" srcOrd="0" destOrd="0" presId="urn:microsoft.com/office/officeart/2005/8/layout/orgChart1"/>
    <dgm:cxn modelId="{2827A799-0D8A-4B5B-9833-BB15DC908BA8}" type="presOf" srcId="{A018EC77-785D-4030-B515-16FED81CAA28}" destId="{F3941F6B-0A05-4257-8896-E2E06A06D917}" srcOrd="0" destOrd="0" presId="urn:microsoft.com/office/officeart/2005/8/layout/orgChart1"/>
    <dgm:cxn modelId="{DEE9B6A6-5A42-494E-845A-E51C04DD6103}" srcId="{356FD91B-11E3-48D8-BF23-21E9C2501614}" destId="{29E4B5FC-14CB-4CF5-8F78-75422ED634CA}" srcOrd="2" destOrd="0" parTransId="{1608535F-12BD-4067-8058-FEF18DD12184}" sibTransId="{AF025C0F-5FE2-4E13-AFD2-1AED664AE936}"/>
    <dgm:cxn modelId="{9E1049A7-B7C7-4B03-81E0-969A916AEB09}" type="presOf" srcId="{00FD653E-91D6-445F-9919-389F76C76EA6}" destId="{6AF1F597-64FD-4271-A416-708EE0901A3C}" srcOrd="1" destOrd="0" presId="urn:microsoft.com/office/officeart/2005/8/layout/orgChart1"/>
    <dgm:cxn modelId="{35AA0CAA-A7A4-4522-9B93-9C8539C6368D}" srcId="{10F30B49-608A-44FA-9511-91EF2A02568C}" destId="{246A21FE-0FA9-4799-BF82-B920CF878DF0}" srcOrd="4" destOrd="0" parTransId="{70BC2BB0-7266-447F-84B0-C71C18CF66C9}" sibTransId="{052BD63D-5811-47D6-91CD-050F821DBC6D}"/>
    <dgm:cxn modelId="{6D87E8AA-4F4E-48A0-9CAC-4F7EA0A0E317}" type="presOf" srcId="{D5CA79D5-C98F-4278-85B4-AFD25DD89D70}" destId="{98B37878-996F-47E0-955D-211F11BABF89}" srcOrd="0" destOrd="0" presId="urn:microsoft.com/office/officeart/2005/8/layout/orgChart1"/>
    <dgm:cxn modelId="{2B4CF0AA-ADFE-480F-8DE7-EF96F48B6C3E}" srcId="{D12E4D64-E4FB-4AD4-A458-500D3917BDC9}" destId="{00FD653E-91D6-445F-9919-389F76C76EA6}" srcOrd="0" destOrd="0" parTransId="{6A84C21F-9083-40DC-BFB5-04EEB898DD60}" sibTransId="{FE0F182F-D209-4CF6-8171-F0B30A9B5817}"/>
    <dgm:cxn modelId="{1F5EE3B6-A442-48F4-B759-400425F473D8}" srcId="{37243185-7E15-4D4F-AAA8-8664D90D34D4}" destId="{D12E4D64-E4FB-4AD4-A458-500D3917BDC9}" srcOrd="3" destOrd="0" parTransId="{DEF488AE-EF44-4382-9739-3823EDC15DD4}" sibTransId="{81A014BB-293D-494A-89F7-E278A1E3B5C4}"/>
    <dgm:cxn modelId="{B5ACF8BB-2A0E-4818-B87D-BC1B42172004}" srcId="{AEDB1692-F45D-4361-9837-3FA32DB7EBE2}" destId="{285660FB-08BE-4578-BD65-A98B29DA05CE}" srcOrd="1" destOrd="0" parTransId="{6F89FDFA-448D-49BF-B322-AB641410737D}" sibTransId="{78D2CE9D-B407-460E-B0B2-B37A85919B87}"/>
    <dgm:cxn modelId="{F74D21C1-7B5D-4953-8176-D88B73E22D62}" type="presOf" srcId="{C820E7AF-B626-44E8-B5F6-25A915E2D080}" destId="{2ED28795-AB7D-4093-8175-51D13A63F4CB}" srcOrd="1" destOrd="0" presId="urn:microsoft.com/office/officeart/2005/8/layout/orgChart1"/>
    <dgm:cxn modelId="{805D61C3-42AA-4029-B71E-913FC1E4A241}" type="presOf" srcId="{C820E7AF-B626-44E8-B5F6-25A915E2D080}" destId="{8076A36F-1C19-4250-9C7E-0AACA4B6E4BC}" srcOrd="0" destOrd="0" presId="urn:microsoft.com/office/officeart/2005/8/layout/orgChart1"/>
    <dgm:cxn modelId="{62D6E7CA-2C18-48B5-A82C-1A047BDAA9FC}" type="presOf" srcId="{37243185-7E15-4D4F-AAA8-8664D90D34D4}" destId="{90C0B587-ABF9-46C2-96CF-3BA4F09434A6}" srcOrd="0" destOrd="0" presId="urn:microsoft.com/office/officeart/2005/8/layout/orgChart1"/>
    <dgm:cxn modelId="{A786A0CB-C4DE-4B17-9EB4-BB512ED47409}" type="presOf" srcId="{1608535F-12BD-4067-8058-FEF18DD12184}" destId="{1747D120-E232-4FC2-8EA9-5097008EED24}" srcOrd="0" destOrd="0" presId="urn:microsoft.com/office/officeart/2005/8/layout/orgChart1"/>
    <dgm:cxn modelId="{5054F1D2-37C3-41D7-B011-7F751BE2C284}" type="presOf" srcId="{4D883A15-F2CE-48A3-BA13-C4D4DCB6087C}" destId="{04A2DBC8-3362-424F-BD48-97C7F098572A}" srcOrd="0" destOrd="0" presId="urn:microsoft.com/office/officeart/2005/8/layout/orgChart1"/>
    <dgm:cxn modelId="{D5251FD5-6DD0-4F67-ACF6-F08571745F0D}" type="presOf" srcId="{04580F0A-3520-4DF3-A5FB-F1205F714F82}" destId="{40D58C39-9BB6-44DE-A52F-D1D3BB412B50}" srcOrd="0" destOrd="0" presId="urn:microsoft.com/office/officeart/2005/8/layout/orgChart1"/>
    <dgm:cxn modelId="{954BAED7-4ECF-46EC-A0EF-D05886585FF3}" type="presOf" srcId="{8F866143-6802-48B3-BF06-A46A5B42BABC}" destId="{0CB92A0B-C8ED-4B6D-88DF-DA3095B2F3BC}" srcOrd="0" destOrd="0" presId="urn:microsoft.com/office/officeart/2005/8/layout/orgChart1"/>
    <dgm:cxn modelId="{A93185D8-F420-4D79-8EA6-DDF19B7C193E}" srcId="{356FD91B-11E3-48D8-BF23-21E9C2501614}" destId="{8F866143-6802-48B3-BF06-A46A5B42BABC}" srcOrd="3" destOrd="0" parTransId="{B7A4ACBC-0641-46EC-8E78-608004BD97C9}" sibTransId="{A035C8DE-3D26-43A5-B6B6-2AB46AB9B0E3}"/>
    <dgm:cxn modelId="{E24805E1-B759-49E5-9E02-23D28DF428D1}" type="presOf" srcId="{29E4B5FC-14CB-4CF5-8F78-75422ED634CA}" destId="{9167D31F-F2CB-4E4E-9BA7-192473A2EE64}" srcOrd="0" destOrd="0" presId="urn:microsoft.com/office/officeart/2005/8/layout/orgChart1"/>
    <dgm:cxn modelId="{7E5585E3-F226-4F7D-BBE3-61E619D73FA8}" type="presOf" srcId="{246A21FE-0FA9-4799-BF82-B920CF878DF0}" destId="{FCBE6883-8031-427A-B883-A44A97CB9C5E}" srcOrd="1" destOrd="0" presId="urn:microsoft.com/office/officeart/2005/8/layout/orgChart1"/>
    <dgm:cxn modelId="{E783DDE6-5C7B-4350-B000-6E4FFD0AB643}" type="presOf" srcId="{153646F6-7AA6-4F65-B52E-D1D85BE1F2F8}" destId="{A2AF7B97-B76D-498C-8B32-4F4D319D5BD7}" srcOrd="0" destOrd="0" presId="urn:microsoft.com/office/officeart/2005/8/layout/orgChart1"/>
    <dgm:cxn modelId="{53F144E9-56B5-42B9-97A4-411F742B55D5}" type="presOf" srcId="{95901102-06E5-4331-A8A6-621959A9BB31}" destId="{A3703204-B679-4035-91E2-3785CEC09F16}" srcOrd="0" destOrd="0" presId="urn:microsoft.com/office/officeart/2005/8/layout/orgChart1"/>
    <dgm:cxn modelId="{F9CC15EC-FE4A-4F86-8B87-BD67CD9267EB}" srcId="{10F30B49-608A-44FA-9511-91EF2A02568C}" destId="{A018EC77-785D-4030-B515-16FED81CAA28}" srcOrd="0" destOrd="0" parTransId="{090C0C6F-22E7-4A77-99F4-40B7E8DF1C17}" sibTransId="{F33400EC-3FBE-4C69-AD4D-3C959A37BFC1}"/>
    <dgm:cxn modelId="{C95A8BED-C4ED-40FF-897E-0884C55378C7}" type="presOf" srcId="{70BC2BB0-7266-447F-84B0-C71C18CF66C9}" destId="{A212B5F0-1585-4490-A4D0-C65068521483}" srcOrd="0" destOrd="0" presId="urn:microsoft.com/office/officeart/2005/8/layout/orgChart1"/>
    <dgm:cxn modelId="{520266EE-A8B5-40E9-9641-9B9E1FA6409F}" srcId="{AEDB1692-F45D-4361-9837-3FA32DB7EBE2}" destId="{3A72460B-89F7-498D-89F7-6DA2DF3A88FD}" srcOrd="0" destOrd="0" parTransId="{56EFEBC0-83C2-4F5F-83A6-B4A5A6BF666B}" sibTransId="{013F72ED-C658-4DED-BE63-AF7970F386B9}"/>
    <dgm:cxn modelId="{D14A3EF1-A1FF-4323-9467-D87BCAAF186A}" type="presOf" srcId="{BE5213A2-C948-4B5A-AC07-1346963F2AFB}" destId="{B0DABC66-699F-4FCF-914E-55769FEB5CEC}" srcOrd="0" destOrd="0" presId="urn:microsoft.com/office/officeart/2005/8/layout/orgChart1"/>
    <dgm:cxn modelId="{9ABCBBF1-05C1-4738-A6FA-A6424B2D34A7}" type="presOf" srcId="{37243185-7E15-4D4F-AAA8-8664D90D34D4}" destId="{4CECC2DB-F4E0-4BCE-9826-59E38FB98433}" srcOrd="1" destOrd="0" presId="urn:microsoft.com/office/officeart/2005/8/layout/orgChart1"/>
    <dgm:cxn modelId="{912E51F8-732B-49D3-BFD4-BAD03B1003F8}" type="presOf" srcId="{00FD653E-91D6-445F-9919-389F76C76EA6}" destId="{470D224F-D597-41FC-9A3F-AC941E6B6444}" srcOrd="0" destOrd="0" presId="urn:microsoft.com/office/officeart/2005/8/layout/orgChart1"/>
    <dgm:cxn modelId="{0FFF8CF9-9B99-45C8-A3AF-66461DD77DC7}" type="presOf" srcId="{56EFEBC0-83C2-4F5F-83A6-B4A5A6BF666B}" destId="{3CBE489A-2EDE-4565-8009-4F03EA69CB9D}" srcOrd="0" destOrd="0" presId="urn:microsoft.com/office/officeart/2005/8/layout/orgChart1"/>
    <dgm:cxn modelId="{587748FA-EFF1-4674-AEED-C07EF159BB0B}" type="presOf" srcId="{356FD91B-11E3-48D8-BF23-21E9C2501614}" destId="{4366574E-6FCA-4B94-BAFE-12567A7C0144}" srcOrd="1" destOrd="0" presId="urn:microsoft.com/office/officeart/2005/8/layout/orgChart1"/>
    <dgm:cxn modelId="{77AD4F6E-7ED2-41AC-AFC8-350BDD02DFE0}" type="presParOf" srcId="{A01E32D5-9708-4CF0-8C5C-F73976B6780A}" destId="{BECDB974-690D-4278-BD99-B29A609EFBEF}" srcOrd="0" destOrd="0" presId="urn:microsoft.com/office/officeart/2005/8/layout/orgChart1"/>
    <dgm:cxn modelId="{56D3C4DE-F567-4DE3-A1B6-682C325AE2D4}" type="presParOf" srcId="{BECDB974-690D-4278-BD99-B29A609EFBEF}" destId="{A6E8A078-C045-429B-BAF9-49CF97434A99}" srcOrd="0" destOrd="0" presId="urn:microsoft.com/office/officeart/2005/8/layout/orgChart1"/>
    <dgm:cxn modelId="{A83010DD-BF81-4910-A6BF-904457758AE0}" type="presParOf" srcId="{A6E8A078-C045-429B-BAF9-49CF97434A99}" destId="{90C0B587-ABF9-46C2-96CF-3BA4F09434A6}" srcOrd="0" destOrd="0" presId="urn:microsoft.com/office/officeart/2005/8/layout/orgChart1"/>
    <dgm:cxn modelId="{3B283845-706B-4B37-8ACE-A86150E4760F}" type="presParOf" srcId="{A6E8A078-C045-429B-BAF9-49CF97434A99}" destId="{4CECC2DB-F4E0-4BCE-9826-59E38FB98433}" srcOrd="1" destOrd="0" presId="urn:microsoft.com/office/officeart/2005/8/layout/orgChart1"/>
    <dgm:cxn modelId="{D11711CC-6379-42C7-80A7-3EE426346599}" type="presParOf" srcId="{BECDB974-690D-4278-BD99-B29A609EFBEF}" destId="{4F55F676-BD8B-41D9-A098-DACE4E118BC9}" srcOrd="1" destOrd="0" presId="urn:microsoft.com/office/officeart/2005/8/layout/orgChart1"/>
    <dgm:cxn modelId="{0565CF42-49AD-45B8-BFEB-508ACE78284C}" type="presParOf" srcId="{4F55F676-BD8B-41D9-A098-DACE4E118BC9}" destId="{E5BAC77C-4419-4857-B1C4-3085DAA79D13}" srcOrd="0" destOrd="0" presId="urn:microsoft.com/office/officeart/2005/8/layout/orgChart1"/>
    <dgm:cxn modelId="{4DE5959D-EC8A-48D3-8B9F-076E6DCC0A3E}" type="presParOf" srcId="{4F55F676-BD8B-41D9-A098-DACE4E118BC9}" destId="{D05A64C0-BBA5-4053-8AF8-96ECC27901C4}" srcOrd="1" destOrd="0" presId="urn:microsoft.com/office/officeart/2005/8/layout/orgChart1"/>
    <dgm:cxn modelId="{D7B20746-DE93-4CB9-BB5F-424857E133F5}" type="presParOf" srcId="{D05A64C0-BBA5-4053-8AF8-96ECC27901C4}" destId="{8AC99CC5-18BF-4153-B061-778FD86B5F89}" srcOrd="0" destOrd="0" presId="urn:microsoft.com/office/officeart/2005/8/layout/orgChart1"/>
    <dgm:cxn modelId="{76681E30-0772-4ECD-8AC0-B86F4BA1D8D8}" type="presParOf" srcId="{8AC99CC5-18BF-4153-B061-778FD86B5F89}" destId="{2B6419C7-33B5-431F-A546-B940CCAFDA9D}" srcOrd="0" destOrd="0" presId="urn:microsoft.com/office/officeart/2005/8/layout/orgChart1"/>
    <dgm:cxn modelId="{158E6244-791B-40C1-8F23-E53CC006BB8D}" type="presParOf" srcId="{8AC99CC5-18BF-4153-B061-778FD86B5F89}" destId="{43A761F9-5078-44BB-A275-8534773D75BF}" srcOrd="1" destOrd="0" presId="urn:microsoft.com/office/officeart/2005/8/layout/orgChart1"/>
    <dgm:cxn modelId="{A5F519F5-938E-421B-A82F-E49BD039FEBA}" type="presParOf" srcId="{D05A64C0-BBA5-4053-8AF8-96ECC27901C4}" destId="{A2F6BFAD-EE09-4BC3-B4B7-9D9DED16D103}" srcOrd="1" destOrd="0" presId="urn:microsoft.com/office/officeart/2005/8/layout/orgChart1"/>
    <dgm:cxn modelId="{8CB9B155-62AB-495A-A5E3-0CC252C56E14}" type="presParOf" srcId="{A2F6BFAD-EE09-4BC3-B4B7-9D9DED16D103}" destId="{8EC52201-DB46-4185-BB76-DF053710A1E3}" srcOrd="0" destOrd="0" presId="urn:microsoft.com/office/officeart/2005/8/layout/orgChart1"/>
    <dgm:cxn modelId="{55F61794-2BCA-4408-ACE6-CF82D93F9A58}" type="presParOf" srcId="{A2F6BFAD-EE09-4BC3-B4B7-9D9DED16D103}" destId="{09157570-0815-4BE6-B365-985C187FBDC8}" srcOrd="1" destOrd="0" presId="urn:microsoft.com/office/officeart/2005/8/layout/orgChart1"/>
    <dgm:cxn modelId="{1CE37DCC-FFD5-405D-B2A9-EF68CD863B93}" type="presParOf" srcId="{09157570-0815-4BE6-B365-985C187FBDC8}" destId="{D0145DBD-5BA0-4918-BCB4-7518C0849EC7}" srcOrd="0" destOrd="0" presId="urn:microsoft.com/office/officeart/2005/8/layout/orgChart1"/>
    <dgm:cxn modelId="{694E19E7-56F0-49E4-8142-A47ABC5F13AD}" type="presParOf" srcId="{D0145DBD-5BA0-4918-BCB4-7518C0849EC7}" destId="{F3941F6B-0A05-4257-8896-E2E06A06D917}" srcOrd="0" destOrd="0" presId="urn:microsoft.com/office/officeart/2005/8/layout/orgChart1"/>
    <dgm:cxn modelId="{8F5CD8A1-5987-46F3-BD9A-5149C4ECD1BF}" type="presParOf" srcId="{D0145DBD-5BA0-4918-BCB4-7518C0849EC7}" destId="{03E5BF52-D5BA-4F9C-8EEF-2E6F756AB60C}" srcOrd="1" destOrd="0" presId="urn:microsoft.com/office/officeart/2005/8/layout/orgChart1"/>
    <dgm:cxn modelId="{F7D9609B-163D-4DFA-AAE5-BCEF23F29603}" type="presParOf" srcId="{09157570-0815-4BE6-B365-985C187FBDC8}" destId="{079533A5-C729-4F43-A419-AF32E87BBA5C}" srcOrd="1" destOrd="0" presId="urn:microsoft.com/office/officeart/2005/8/layout/orgChart1"/>
    <dgm:cxn modelId="{F6668D3C-3531-4F1E-886A-584195245521}" type="presParOf" srcId="{09157570-0815-4BE6-B365-985C187FBDC8}" destId="{38A16EF8-CCC4-4DA6-891B-9E282F356E69}" srcOrd="2" destOrd="0" presId="urn:microsoft.com/office/officeart/2005/8/layout/orgChart1"/>
    <dgm:cxn modelId="{EE45EF69-5F69-476F-9AE5-255B0101C70E}" type="presParOf" srcId="{A2F6BFAD-EE09-4BC3-B4B7-9D9DED16D103}" destId="{9C47433E-DE2D-4E9E-86D0-0BC6C33297D9}" srcOrd="2" destOrd="0" presId="urn:microsoft.com/office/officeart/2005/8/layout/orgChart1"/>
    <dgm:cxn modelId="{CB365912-2D8B-4A38-B331-0458DD609378}" type="presParOf" srcId="{A2F6BFAD-EE09-4BC3-B4B7-9D9DED16D103}" destId="{583E1C84-90AF-4CEC-B2A4-9464D64A5959}" srcOrd="3" destOrd="0" presId="urn:microsoft.com/office/officeart/2005/8/layout/orgChart1"/>
    <dgm:cxn modelId="{05AA007E-086D-49B8-B35C-48E2D2226791}" type="presParOf" srcId="{583E1C84-90AF-4CEC-B2A4-9464D64A5959}" destId="{63AEAACE-2885-48B8-9BCC-C8CDF488C964}" srcOrd="0" destOrd="0" presId="urn:microsoft.com/office/officeart/2005/8/layout/orgChart1"/>
    <dgm:cxn modelId="{BC1B0B03-95B5-4C81-A93A-C42EC6919DF6}" type="presParOf" srcId="{63AEAACE-2885-48B8-9BCC-C8CDF488C964}" destId="{E772DC1C-7228-4B95-BCB9-0D321987EE7B}" srcOrd="0" destOrd="0" presId="urn:microsoft.com/office/officeart/2005/8/layout/orgChart1"/>
    <dgm:cxn modelId="{AB025929-76CB-4B95-ADC7-10A3B719E64B}" type="presParOf" srcId="{63AEAACE-2885-48B8-9BCC-C8CDF488C964}" destId="{2130390E-A518-426D-9AE5-CE33E1405C69}" srcOrd="1" destOrd="0" presId="urn:microsoft.com/office/officeart/2005/8/layout/orgChart1"/>
    <dgm:cxn modelId="{56A8E303-AF18-4E75-840F-6EC50EB7B929}" type="presParOf" srcId="{583E1C84-90AF-4CEC-B2A4-9464D64A5959}" destId="{B5468E0C-669E-4C5C-8AAF-5136755452DF}" srcOrd="1" destOrd="0" presId="urn:microsoft.com/office/officeart/2005/8/layout/orgChart1"/>
    <dgm:cxn modelId="{931BC80A-B65E-42D3-B3A9-C7229B2D1D30}" type="presParOf" srcId="{583E1C84-90AF-4CEC-B2A4-9464D64A5959}" destId="{4E911EFB-4225-425E-BF04-389B96B1F807}" srcOrd="2" destOrd="0" presId="urn:microsoft.com/office/officeart/2005/8/layout/orgChart1"/>
    <dgm:cxn modelId="{FBA547E7-64F4-40C3-9A74-8E91A0CAFD0B}" type="presParOf" srcId="{A2F6BFAD-EE09-4BC3-B4B7-9D9DED16D103}" destId="{964A074D-23DF-48E1-913C-D34EA049306B}" srcOrd="4" destOrd="0" presId="urn:microsoft.com/office/officeart/2005/8/layout/orgChart1"/>
    <dgm:cxn modelId="{AE3304DB-AA4E-477F-83C9-38ED49C37989}" type="presParOf" srcId="{A2F6BFAD-EE09-4BC3-B4B7-9D9DED16D103}" destId="{53F571A4-0F4A-4515-9DE2-97B2A602D0A3}" srcOrd="5" destOrd="0" presId="urn:microsoft.com/office/officeart/2005/8/layout/orgChart1"/>
    <dgm:cxn modelId="{355AD3E9-080E-4144-8AE6-285DB18D28B6}" type="presParOf" srcId="{53F571A4-0F4A-4515-9DE2-97B2A602D0A3}" destId="{C16B2138-0843-47BA-B1D3-E470C824C60C}" srcOrd="0" destOrd="0" presId="urn:microsoft.com/office/officeart/2005/8/layout/orgChart1"/>
    <dgm:cxn modelId="{DBC6F79E-C527-4E18-92A1-7ADDFB9FBD42}" type="presParOf" srcId="{C16B2138-0843-47BA-B1D3-E470C824C60C}" destId="{3A9D3C03-73F3-40AC-9A5F-56430CDA21DD}" srcOrd="0" destOrd="0" presId="urn:microsoft.com/office/officeart/2005/8/layout/orgChart1"/>
    <dgm:cxn modelId="{D6AF8D32-5B2A-4141-8F93-EA5FC64C2E05}" type="presParOf" srcId="{C16B2138-0843-47BA-B1D3-E470C824C60C}" destId="{EF1F7672-935C-4996-B275-9EB53F54F361}" srcOrd="1" destOrd="0" presId="urn:microsoft.com/office/officeart/2005/8/layout/orgChart1"/>
    <dgm:cxn modelId="{5D423E97-92FE-479F-8F16-7C406EC0FE53}" type="presParOf" srcId="{53F571A4-0F4A-4515-9DE2-97B2A602D0A3}" destId="{D07D2D9F-E0CD-430A-9FA7-AA55D942347D}" srcOrd="1" destOrd="0" presId="urn:microsoft.com/office/officeart/2005/8/layout/orgChart1"/>
    <dgm:cxn modelId="{1DF298AD-608F-4059-B22C-8A4D32E6B905}" type="presParOf" srcId="{53F571A4-0F4A-4515-9DE2-97B2A602D0A3}" destId="{F16186CE-A008-4E3E-854C-52ADD56C7CCE}" srcOrd="2" destOrd="0" presId="urn:microsoft.com/office/officeart/2005/8/layout/orgChart1"/>
    <dgm:cxn modelId="{BE1F1B4C-3004-4C31-8C14-EDF79607D8F6}" type="presParOf" srcId="{A2F6BFAD-EE09-4BC3-B4B7-9D9DED16D103}" destId="{A62BEE35-534A-4DF0-BA01-D616B798ED25}" srcOrd="6" destOrd="0" presId="urn:microsoft.com/office/officeart/2005/8/layout/orgChart1"/>
    <dgm:cxn modelId="{C66F6A88-4782-4838-B0AC-72E2BBBCF470}" type="presParOf" srcId="{A2F6BFAD-EE09-4BC3-B4B7-9D9DED16D103}" destId="{8399CFF8-2B66-4ACB-BA4B-D0D937B542DB}" srcOrd="7" destOrd="0" presId="urn:microsoft.com/office/officeart/2005/8/layout/orgChart1"/>
    <dgm:cxn modelId="{C3738618-5A49-4014-81EA-36C1D5857DDD}" type="presParOf" srcId="{8399CFF8-2B66-4ACB-BA4B-D0D937B542DB}" destId="{D346F432-F46D-4935-8E9F-1993B9FA5A15}" srcOrd="0" destOrd="0" presId="urn:microsoft.com/office/officeart/2005/8/layout/orgChart1"/>
    <dgm:cxn modelId="{FAF28578-3668-48C9-8686-B02E248805EC}" type="presParOf" srcId="{D346F432-F46D-4935-8E9F-1993B9FA5A15}" destId="{948694E8-D18F-43DA-A3AA-2C26F0C766FD}" srcOrd="0" destOrd="0" presId="urn:microsoft.com/office/officeart/2005/8/layout/orgChart1"/>
    <dgm:cxn modelId="{3963100F-6821-45A3-B60D-8C2B5F10627F}" type="presParOf" srcId="{D346F432-F46D-4935-8E9F-1993B9FA5A15}" destId="{0DD2FDB1-8269-4B12-A5ED-B44F2B854102}" srcOrd="1" destOrd="0" presId="urn:microsoft.com/office/officeart/2005/8/layout/orgChart1"/>
    <dgm:cxn modelId="{2D77EA1D-3485-453E-9F00-94B74B1A4654}" type="presParOf" srcId="{8399CFF8-2B66-4ACB-BA4B-D0D937B542DB}" destId="{1986687F-4080-40C9-9930-E3034FEC9681}" srcOrd="1" destOrd="0" presId="urn:microsoft.com/office/officeart/2005/8/layout/orgChart1"/>
    <dgm:cxn modelId="{33A2C845-2064-49E4-8BE5-B2BEA399C7EC}" type="presParOf" srcId="{8399CFF8-2B66-4ACB-BA4B-D0D937B542DB}" destId="{06564996-F584-4AC8-B71E-07C7A6C04E64}" srcOrd="2" destOrd="0" presId="urn:microsoft.com/office/officeart/2005/8/layout/orgChart1"/>
    <dgm:cxn modelId="{E8B100CA-DFB5-4616-8EE3-0EF2D4AF613F}" type="presParOf" srcId="{A2F6BFAD-EE09-4BC3-B4B7-9D9DED16D103}" destId="{A212B5F0-1585-4490-A4D0-C65068521483}" srcOrd="8" destOrd="0" presId="urn:microsoft.com/office/officeart/2005/8/layout/orgChart1"/>
    <dgm:cxn modelId="{F360AA70-DB42-4E8C-AC28-C299B3DB2027}" type="presParOf" srcId="{A2F6BFAD-EE09-4BC3-B4B7-9D9DED16D103}" destId="{5F81C0DD-3123-4F8A-A7D4-487BCB21CCE7}" srcOrd="9" destOrd="0" presId="urn:microsoft.com/office/officeart/2005/8/layout/orgChart1"/>
    <dgm:cxn modelId="{F8306061-F654-4F6E-B80B-4CE154BC408F}" type="presParOf" srcId="{5F81C0DD-3123-4F8A-A7D4-487BCB21CCE7}" destId="{F52AF47A-D406-4992-8AFB-73FFB03BA65E}" srcOrd="0" destOrd="0" presId="urn:microsoft.com/office/officeart/2005/8/layout/orgChart1"/>
    <dgm:cxn modelId="{28482DEF-6952-4576-AAC2-4406A7EA9914}" type="presParOf" srcId="{F52AF47A-D406-4992-8AFB-73FFB03BA65E}" destId="{5FC66B1D-C27E-44C5-9D29-C4935CA8BF8E}" srcOrd="0" destOrd="0" presId="urn:microsoft.com/office/officeart/2005/8/layout/orgChart1"/>
    <dgm:cxn modelId="{E945FB17-2978-46E0-A743-4DA94B34B8E3}" type="presParOf" srcId="{F52AF47A-D406-4992-8AFB-73FFB03BA65E}" destId="{FCBE6883-8031-427A-B883-A44A97CB9C5E}" srcOrd="1" destOrd="0" presId="urn:microsoft.com/office/officeart/2005/8/layout/orgChart1"/>
    <dgm:cxn modelId="{7C36143B-7D10-41A1-AFA9-9FCEE0088597}" type="presParOf" srcId="{5F81C0DD-3123-4F8A-A7D4-487BCB21CCE7}" destId="{B8B11949-DEBC-4885-A498-ECADED054770}" srcOrd="1" destOrd="0" presId="urn:microsoft.com/office/officeart/2005/8/layout/orgChart1"/>
    <dgm:cxn modelId="{B50351E0-4C13-4892-AFB4-5E6A33DA3C49}" type="presParOf" srcId="{5F81C0DD-3123-4F8A-A7D4-487BCB21CCE7}" destId="{2620F5C4-073B-417E-8E4F-B62EE8D2891C}" srcOrd="2" destOrd="0" presId="urn:microsoft.com/office/officeart/2005/8/layout/orgChart1"/>
    <dgm:cxn modelId="{782EF171-DCE9-400D-A4B8-81780294F269}" type="presParOf" srcId="{D05A64C0-BBA5-4053-8AF8-96ECC27901C4}" destId="{F645516F-0CF7-4662-8AF0-6AD8EC68981D}" srcOrd="2" destOrd="0" presId="urn:microsoft.com/office/officeart/2005/8/layout/orgChart1"/>
    <dgm:cxn modelId="{E18698D6-0D18-4C8C-8D55-1B2DF894BCDA}" type="presParOf" srcId="{4F55F676-BD8B-41D9-A098-DACE4E118BC9}" destId="{EB62A053-11B9-4533-9FA4-F10E3E5754D9}" srcOrd="2" destOrd="0" presId="urn:microsoft.com/office/officeart/2005/8/layout/orgChart1"/>
    <dgm:cxn modelId="{001163FA-10EE-4D63-A5F5-674C521A0EFD}" type="presParOf" srcId="{4F55F676-BD8B-41D9-A098-DACE4E118BC9}" destId="{CC78A949-A9E0-4619-9D60-C5D52F76421E}" srcOrd="3" destOrd="0" presId="urn:microsoft.com/office/officeart/2005/8/layout/orgChart1"/>
    <dgm:cxn modelId="{BDBD1EAA-7A61-47F8-A7F4-C82AA440E36F}" type="presParOf" srcId="{CC78A949-A9E0-4619-9D60-C5D52F76421E}" destId="{15987C84-FB57-4D41-A7D2-9199EDF9A775}" srcOrd="0" destOrd="0" presId="urn:microsoft.com/office/officeart/2005/8/layout/orgChart1"/>
    <dgm:cxn modelId="{43344088-C2BF-4CBC-9A57-5F6F4123E698}" type="presParOf" srcId="{15987C84-FB57-4D41-A7D2-9199EDF9A775}" destId="{817162A4-6DF5-4105-94E7-F696C9DB7BD3}" srcOrd="0" destOrd="0" presId="urn:microsoft.com/office/officeart/2005/8/layout/orgChart1"/>
    <dgm:cxn modelId="{7AC96AC4-BE45-41E0-B748-8FA40404E530}" type="presParOf" srcId="{15987C84-FB57-4D41-A7D2-9199EDF9A775}" destId="{4366574E-6FCA-4B94-BAFE-12567A7C0144}" srcOrd="1" destOrd="0" presId="urn:microsoft.com/office/officeart/2005/8/layout/orgChart1"/>
    <dgm:cxn modelId="{C352C40E-0D41-47E4-9A22-A99554A3B770}" type="presParOf" srcId="{CC78A949-A9E0-4619-9D60-C5D52F76421E}" destId="{D2909428-6605-482C-A6DB-81ED7A59A5BB}" srcOrd="1" destOrd="0" presId="urn:microsoft.com/office/officeart/2005/8/layout/orgChart1"/>
    <dgm:cxn modelId="{4C1429EE-F527-4DFB-8B1A-2F31ABD2430C}" type="presParOf" srcId="{D2909428-6605-482C-A6DB-81ED7A59A5BB}" destId="{BB5B39B4-33D4-4D7F-876D-F2242D84B406}" srcOrd="0" destOrd="0" presId="urn:microsoft.com/office/officeart/2005/8/layout/orgChart1"/>
    <dgm:cxn modelId="{6444FD55-F57C-4D5C-9A53-43610DC4F15A}" type="presParOf" srcId="{D2909428-6605-482C-A6DB-81ED7A59A5BB}" destId="{45294A2C-F95E-4BCD-AA5D-92E7F80A3D5F}" srcOrd="1" destOrd="0" presId="urn:microsoft.com/office/officeart/2005/8/layout/orgChart1"/>
    <dgm:cxn modelId="{4C28C05B-66E6-4711-AFC0-A5E9CA9A369D}" type="presParOf" srcId="{45294A2C-F95E-4BCD-AA5D-92E7F80A3D5F}" destId="{B36B5583-C2C4-4630-9AD8-53001219D4B6}" srcOrd="0" destOrd="0" presId="urn:microsoft.com/office/officeart/2005/8/layout/orgChart1"/>
    <dgm:cxn modelId="{C399AFFC-B0CD-4A81-9386-5071C449B9D7}" type="presParOf" srcId="{B36B5583-C2C4-4630-9AD8-53001219D4B6}" destId="{04A2DBC8-3362-424F-BD48-97C7F098572A}" srcOrd="0" destOrd="0" presId="urn:microsoft.com/office/officeart/2005/8/layout/orgChart1"/>
    <dgm:cxn modelId="{F922CC89-4B95-4776-9EF2-AB14078A9D97}" type="presParOf" srcId="{B36B5583-C2C4-4630-9AD8-53001219D4B6}" destId="{BBAB6EC4-EFAF-4D02-B0EB-2A2CCDD1DD12}" srcOrd="1" destOrd="0" presId="urn:microsoft.com/office/officeart/2005/8/layout/orgChart1"/>
    <dgm:cxn modelId="{89BC4EE6-0AA1-48E7-B104-47AE0A1E706F}" type="presParOf" srcId="{45294A2C-F95E-4BCD-AA5D-92E7F80A3D5F}" destId="{F779D917-F00A-4605-B3FE-ADBB17DB9645}" srcOrd="1" destOrd="0" presId="urn:microsoft.com/office/officeart/2005/8/layout/orgChart1"/>
    <dgm:cxn modelId="{2AFEA2D9-F848-46C0-B15A-BA0428AC82D1}" type="presParOf" srcId="{45294A2C-F95E-4BCD-AA5D-92E7F80A3D5F}" destId="{4F6C2F2F-112B-40B7-8A36-2A30A23914F6}" srcOrd="2" destOrd="0" presId="urn:microsoft.com/office/officeart/2005/8/layout/orgChart1"/>
    <dgm:cxn modelId="{EF503356-71C8-416B-98CF-A438D83DF95A}" type="presParOf" srcId="{D2909428-6605-482C-A6DB-81ED7A59A5BB}" destId="{A2AF7B97-B76D-498C-8B32-4F4D319D5BD7}" srcOrd="2" destOrd="0" presId="urn:microsoft.com/office/officeart/2005/8/layout/orgChart1"/>
    <dgm:cxn modelId="{C9E787ED-CB06-4748-A055-788EFEA7B6E0}" type="presParOf" srcId="{D2909428-6605-482C-A6DB-81ED7A59A5BB}" destId="{E7B0E261-46C1-4DBA-AC69-5FC4725ADAC9}" srcOrd="3" destOrd="0" presId="urn:microsoft.com/office/officeart/2005/8/layout/orgChart1"/>
    <dgm:cxn modelId="{652E319F-C444-4887-91E8-80F7E880A37A}" type="presParOf" srcId="{E7B0E261-46C1-4DBA-AC69-5FC4725ADAC9}" destId="{223EE075-821A-4063-A3BA-1110FBD474C8}" srcOrd="0" destOrd="0" presId="urn:microsoft.com/office/officeart/2005/8/layout/orgChart1"/>
    <dgm:cxn modelId="{8B5584A7-C2A5-4DB0-9D15-F4E30EEFB714}" type="presParOf" srcId="{223EE075-821A-4063-A3BA-1110FBD474C8}" destId="{8076A36F-1C19-4250-9C7E-0AACA4B6E4BC}" srcOrd="0" destOrd="0" presId="urn:microsoft.com/office/officeart/2005/8/layout/orgChart1"/>
    <dgm:cxn modelId="{DFE780F6-9CF4-4AED-BCEC-BDD617473F47}" type="presParOf" srcId="{223EE075-821A-4063-A3BA-1110FBD474C8}" destId="{2ED28795-AB7D-4093-8175-51D13A63F4CB}" srcOrd="1" destOrd="0" presId="urn:microsoft.com/office/officeart/2005/8/layout/orgChart1"/>
    <dgm:cxn modelId="{E6875910-95F1-42B4-A840-81318122A66C}" type="presParOf" srcId="{E7B0E261-46C1-4DBA-AC69-5FC4725ADAC9}" destId="{21BE0F6B-152E-459E-9945-28E0122A0F4B}" srcOrd="1" destOrd="0" presId="urn:microsoft.com/office/officeart/2005/8/layout/orgChart1"/>
    <dgm:cxn modelId="{D3D3E22A-D5F8-44CD-A1B1-2F488E6FA745}" type="presParOf" srcId="{E7B0E261-46C1-4DBA-AC69-5FC4725ADAC9}" destId="{FAB0B997-ACF5-4B9D-8767-8C5DE967A1D0}" srcOrd="2" destOrd="0" presId="urn:microsoft.com/office/officeart/2005/8/layout/orgChart1"/>
    <dgm:cxn modelId="{CCDF658F-E8F2-4531-AF1D-97299F48F1C0}" type="presParOf" srcId="{D2909428-6605-482C-A6DB-81ED7A59A5BB}" destId="{1747D120-E232-4FC2-8EA9-5097008EED24}" srcOrd="4" destOrd="0" presId="urn:microsoft.com/office/officeart/2005/8/layout/orgChart1"/>
    <dgm:cxn modelId="{57CC4FA3-13FD-49EF-858A-C590C9AFBF9E}" type="presParOf" srcId="{D2909428-6605-482C-A6DB-81ED7A59A5BB}" destId="{3E5039A7-CA4A-46D7-A297-5DE7D4F3FF56}" srcOrd="5" destOrd="0" presId="urn:microsoft.com/office/officeart/2005/8/layout/orgChart1"/>
    <dgm:cxn modelId="{FFE1FAB8-2764-4E99-9927-D04CD0365C1D}" type="presParOf" srcId="{3E5039A7-CA4A-46D7-A297-5DE7D4F3FF56}" destId="{215AC993-3BCD-44F7-AAE3-9A60EFDD82A9}" srcOrd="0" destOrd="0" presId="urn:microsoft.com/office/officeart/2005/8/layout/orgChart1"/>
    <dgm:cxn modelId="{7E4146F4-52FD-4ADC-98F1-5A0069856617}" type="presParOf" srcId="{215AC993-3BCD-44F7-AAE3-9A60EFDD82A9}" destId="{9167D31F-F2CB-4E4E-9BA7-192473A2EE64}" srcOrd="0" destOrd="0" presId="urn:microsoft.com/office/officeart/2005/8/layout/orgChart1"/>
    <dgm:cxn modelId="{B531F078-5C55-4ECD-803E-EB145EAB869A}" type="presParOf" srcId="{215AC993-3BCD-44F7-AAE3-9A60EFDD82A9}" destId="{C4F0DB4F-7BD9-4928-9B5F-36A6B733F24B}" srcOrd="1" destOrd="0" presId="urn:microsoft.com/office/officeart/2005/8/layout/orgChart1"/>
    <dgm:cxn modelId="{CA26CB4D-6717-4412-846D-7FE568B0F57A}" type="presParOf" srcId="{3E5039A7-CA4A-46D7-A297-5DE7D4F3FF56}" destId="{AD855019-2BE8-457D-BF9E-599EF3B4B77E}" srcOrd="1" destOrd="0" presId="urn:microsoft.com/office/officeart/2005/8/layout/orgChart1"/>
    <dgm:cxn modelId="{AB8CD020-16BB-4679-9621-D43BC3034B4B}" type="presParOf" srcId="{3E5039A7-CA4A-46D7-A297-5DE7D4F3FF56}" destId="{33ECFD19-E972-4202-90C9-72E410D6D1CD}" srcOrd="2" destOrd="0" presId="urn:microsoft.com/office/officeart/2005/8/layout/orgChart1"/>
    <dgm:cxn modelId="{3C078A96-6936-4942-AD6A-19EB0F5552E2}" type="presParOf" srcId="{D2909428-6605-482C-A6DB-81ED7A59A5BB}" destId="{5F663312-4B04-48FC-8AAA-E71A526C8567}" srcOrd="6" destOrd="0" presId="urn:microsoft.com/office/officeart/2005/8/layout/orgChart1"/>
    <dgm:cxn modelId="{F3D81E70-E148-46A2-9FAC-50CA70A9593D}" type="presParOf" srcId="{D2909428-6605-482C-A6DB-81ED7A59A5BB}" destId="{1F2CBC0E-7816-45B7-9C22-0EE2DF2A7BAD}" srcOrd="7" destOrd="0" presId="urn:microsoft.com/office/officeart/2005/8/layout/orgChart1"/>
    <dgm:cxn modelId="{1F9ABDBB-E657-44E4-AC9C-49329E0FF860}" type="presParOf" srcId="{1F2CBC0E-7816-45B7-9C22-0EE2DF2A7BAD}" destId="{87CDC3A5-7101-4CD5-A702-65BEF9BA41CB}" srcOrd="0" destOrd="0" presId="urn:microsoft.com/office/officeart/2005/8/layout/orgChart1"/>
    <dgm:cxn modelId="{E21352BA-D2F1-42E6-A13B-4596FE8DA883}" type="presParOf" srcId="{87CDC3A5-7101-4CD5-A702-65BEF9BA41CB}" destId="{0CB92A0B-C8ED-4B6D-88DF-DA3095B2F3BC}" srcOrd="0" destOrd="0" presId="urn:microsoft.com/office/officeart/2005/8/layout/orgChart1"/>
    <dgm:cxn modelId="{12FAD8BF-C7C5-4811-87EC-B58A8F2CC95B}" type="presParOf" srcId="{87CDC3A5-7101-4CD5-A702-65BEF9BA41CB}" destId="{CB7BD377-4500-44A0-B6EF-2090EFD5327C}" srcOrd="1" destOrd="0" presId="urn:microsoft.com/office/officeart/2005/8/layout/orgChart1"/>
    <dgm:cxn modelId="{5CA3C5CB-C8F5-4035-807D-650AC74BAEF0}" type="presParOf" srcId="{1F2CBC0E-7816-45B7-9C22-0EE2DF2A7BAD}" destId="{672793D3-92E0-4411-AF37-A3B61D8C5CEA}" srcOrd="1" destOrd="0" presId="urn:microsoft.com/office/officeart/2005/8/layout/orgChart1"/>
    <dgm:cxn modelId="{8A5A7656-E323-4BE7-86D2-7AD09A9054A0}" type="presParOf" srcId="{1F2CBC0E-7816-45B7-9C22-0EE2DF2A7BAD}" destId="{F22D00D1-884A-4F30-852F-280EA38F3EE2}" srcOrd="2" destOrd="0" presId="urn:microsoft.com/office/officeart/2005/8/layout/orgChart1"/>
    <dgm:cxn modelId="{A8530853-1D4B-4267-BA13-A80C34959C1D}" type="presParOf" srcId="{D2909428-6605-482C-A6DB-81ED7A59A5BB}" destId="{DC58C7E7-CFCB-445A-89DB-BE67CF0646B2}" srcOrd="8" destOrd="0" presId="urn:microsoft.com/office/officeart/2005/8/layout/orgChart1"/>
    <dgm:cxn modelId="{13F60927-41EA-464B-87FA-8A414E75B037}" type="presParOf" srcId="{D2909428-6605-482C-A6DB-81ED7A59A5BB}" destId="{73F154CC-92C2-4C2F-B071-9E5B50CB6497}" srcOrd="9" destOrd="0" presId="urn:microsoft.com/office/officeart/2005/8/layout/orgChart1"/>
    <dgm:cxn modelId="{F8172A93-F814-4EEA-A9EC-A8FD6A64CE31}" type="presParOf" srcId="{73F154CC-92C2-4C2F-B071-9E5B50CB6497}" destId="{BA2D34F3-A610-4C3D-8C4C-7DAC0CCB4ED2}" srcOrd="0" destOrd="0" presId="urn:microsoft.com/office/officeart/2005/8/layout/orgChart1"/>
    <dgm:cxn modelId="{FD8164E3-DB0C-4395-AF1D-316B365D2F65}" type="presParOf" srcId="{BA2D34F3-A610-4C3D-8C4C-7DAC0CCB4ED2}" destId="{9653B567-A656-403C-B844-27E7B90DE42F}" srcOrd="0" destOrd="0" presId="urn:microsoft.com/office/officeart/2005/8/layout/orgChart1"/>
    <dgm:cxn modelId="{9826572F-435E-4DB1-B7FA-EDA3DA12F447}" type="presParOf" srcId="{BA2D34F3-A610-4C3D-8C4C-7DAC0CCB4ED2}" destId="{7CE196D0-B25D-4681-AD13-EAD00FB5D7C6}" srcOrd="1" destOrd="0" presId="urn:microsoft.com/office/officeart/2005/8/layout/orgChart1"/>
    <dgm:cxn modelId="{93D8F941-E57A-4D98-9108-18D1D03A1B5B}" type="presParOf" srcId="{73F154CC-92C2-4C2F-B071-9E5B50CB6497}" destId="{86F068EA-6566-4355-8369-A5D1A68FC71D}" srcOrd="1" destOrd="0" presId="urn:microsoft.com/office/officeart/2005/8/layout/orgChart1"/>
    <dgm:cxn modelId="{96A5B90D-46A9-4BC5-B576-D0C06E6CBB69}" type="presParOf" srcId="{73F154CC-92C2-4C2F-B071-9E5B50CB6497}" destId="{19634E5B-A2B9-4F0C-AFA9-D0D65A9F2A4D}" srcOrd="2" destOrd="0" presId="urn:microsoft.com/office/officeart/2005/8/layout/orgChart1"/>
    <dgm:cxn modelId="{9A229315-8E74-49B9-A061-99701AC694BB}" type="presParOf" srcId="{CC78A949-A9E0-4619-9D60-C5D52F76421E}" destId="{B13759A8-B60E-4ACA-BE46-5F187D22FD89}" srcOrd="2" destOrd="0" presId="urn:microsoft.com/office/officeart/2005/8/layout/orgChart1"/>
    <dgm:cxn modelId="{7D3DA3F4-0790-4CFA-BB57-803D2D95D2FE}" type="presParOf" srcId="{4F55F676-BD8B-41D9-A098-DACE4E118BC9}" destId="{40D58C39-9BB6-44DE-A52F-D1D3BB412B50}" srcOrd="4" destOrd="0" presId="urn:microsoft.com/office/officeart/2005/8/layout/orgChart1"/>
    <dgm:cxn modelId="{FFFB4DA2-12FF-48CE-88ED-17EA103A607E}" type="presParOf" srcId="{4F55F676-BD8B-41D9-A098-DACE4E118BC9}" destId="{B3604136-36D8-45BF-816C-77F1B68CDE00}" srcOrd="5" destOrd="0" presId="urn:microsoft.com/office/officeart/2005/8/layout/orgChart1"/>
    <dgm:cxn modelId="{CCE9F6F9-AF63-489D-B1FC-8F6639A9CE0F}" type="presParOf" srcId="{B3604136-36D8-45BF-816C-77F1B68CDE00}" destId="{2B78304A-E04F-43E8-9BA6-5018C14F6F36}" srcOrd="0" destOrd="0" presId="urn:microsoft.com/office/officeart/2005/8/layout/orgChart1"/>
    <dgm:cxn modelId="{3B6A4C71-D95E-4427-A40D-D854AA6D7C61}" type="presParOf" srcId="{2B78304A-E04F-43E8-9BA6-5018C14F6F36}" destId="{C156799F-8A7C-43F0-8B9F-F95EB46AD3B3}" srcOrd="0" destOrd="0" presId="urn:microsoft.com/office/officeart/2005/8/layout/orgChart1"/>
    <dgm:cxn modelId="{D0206BC7-CA6A-49EF-8BE1-7933004372C5}" type="presParOf" srcId="{2B78304A-E04F-43E8-9BA6-5018C14F6F36}" destId="{9E965C8F-F01A-4994-A8ED-B099F5385459}" srcOrd="1" destOrd="0" presId="urn:microsoft.com/office/officeart/2005/8/layout/orgChart1"/>
    <dgm:cxn modelId="{57CA7A33-7D72-41FD-A5A0-3B0AD2AE2329}" type="presParOf" srcId="{B3604136-36D8-45BF-816C-77F1B68CDE00}" destId="{EDB1365E-10D8-4EAB-AE6E-79BDDD8C605E}" srcOrd="1" destOrd="0" presId="urn:microsoft.com/office/officeart/2005/8/layout/orgChart1"/>
    <dgm:cxn modelId="{7F4B72C6-4C27-460C-9A28-69DA850B36E6}" type="presParOf" srcId="{EDB1365E-10D8-4EAB-AE6E-79BDDD8C605E}" destId="{A3B9A1D5-164B-4E9D-B2B9-4AA880F9A8BE}" srcOrd="0" destOrd="0" presId="urn:microsoft.com/office/officeart/2005/8/layout/orgChart1"/>
    <dgm:cxn modelId="{90626882-D055-404B-A77F-5EC791F7B6F6}" type="presParOf" srcId="{EDB1365E-10D8-4EAB-AE6E-79BDDD8C605E}" destId="{A45FF7C3-D9C2-41E2-BEC7-F1255333355E}" srcOrd="1" destOrd="0" presId="urn:microsoft.com/office/officeart/2005/8/layout/orgChart1"/>
    <dgm:cxn modelId="{90CB14E8-4BDC-4026-9861-C8905A42FC5F}" type="presParOf" srcId="{A45FF7C3-D9C2-41E2-BEC7-F1255333355E}" destId="{C701A438-93D8-4263-A657-798A2E34C780}" srcOrd="0" destOrd="0" presId="urn:microsoft.com/office/officeart/2005/8/layout/orgChart1"/>
    <dgm:cxn modelId="{D82DA72B-97F2-467D-A3F7-28323B886140}" type="presParOf" srcId="{C701A438-93D8-4263-A657-798A2E34C780}" destId="{B0DABC66-699F-4FCF-914E-55769FEB5CEC}" srcOrd="0" destOrd="0" presId="urn:microsoft.com/office/officeart/2005/8/layout/orgChart1"/>
    <dgm:cxn modelId="{23F86CE5-01ED-4FE1-B341-22D86B6622B9}" type="presParOf" srcId="{C701A438-93D8-4263-A657-798A2E34C780}" destId="{32FF7787-0FA3-4589-AA2D-9AB36B8DFF36}" srcOrd="1" destOrd="0" presId="urn:microsoft.com/office/officeart/2005/8/layout/orgChart1"/>
    <dgm:cxn modelId="{E655B235-E924-4ADE-AB36-87F278FA70CE}" type="presParOf" srcId="{A45FF7C3-D9C2-41E2-BEC7-F1255333355E}" destId="{BA7B8EF4-A634-4342-A644-93E4C5C8788A}" srcOrd="1" destOrd="0" presId="urn:microsoft.com/office/officeart/2005/8/layout/orgChart1"/>
    <dgm:cxn modelId="{03E97055-C18F-403F-B6FB-D79D36345B99}" type="presParOf" srcId="{A45FF7C3-D9C2-41E2-BEC7-F1255333355E}" destId="{9B9DB249-8DD0-4CE1-BE82-4E2C4122DA0C}" srcOrd="2" destOrd="0" presId="urn:microsoft.com/office/officeart/2005/8/layout/orgChart1"/>
    <dgm:cxn modelId="{DADB9718-A778-4BE5-831B-B2A9996CC416}" type="presParOf" srcId="{B3604136-36D8-45BF-816C-77F1B68CDE00}" destId="{8BDA12F6-5568-418D-B1E2-E34964FE7254}" srcOrd="2" destOrd="0" presId="urn:microsoft.com/office/officeart/2005/8/layout/orgChart1"/>
    <dgm:cxn modelId="{B52D85F2-1094-4CE7-A345-2E82F350142B}" type="presParOf" srcId="{4F55F676-BD8B-41D9-A098-DACE4E118BC9}" destId="{66777CCC-CBA5-458D-9E20-8979A54F2F36}" srcOrd="6" destOrd="0" presId="urn:microsoft.com/office/officeart/2005/8/layout/orgChart1"/>
    <dgm:cxn modelId="{53910B5D-24C0-4C00-94B0-BD9F1BBFAE8D}" type="presParOf" srcId="{4F55F676-BD8B-41D9-A098-DACE4E118BC9}" destId="{ABC96EDA-7C9B-4F25-BECD-8F5CEDBBC00D}" srcOrd="7" destOrd="0" presId="urn:microsoft.com/office/officeart/2005/8/layout/orgChart1"/>
    <dgm:cxn modelId="{863DA239-2EE8-4849-8912-581E347D5E5B}" type="presParOf" srcId="{ABC96EDA-7C9B-4F25-BECD-8F5CEDBBC00D}" destId="{22E8225D-B945-4BBC-9CD6-56B5D450A4A9}" srcOrd="0" destOrd="0" presId="urn:microsoft.com/office/officeart/2005/8/layout/orgChart1"/>
    <dgm:cxn modelId="{33E03E69-5DB3-459B-B7B0-9E4ABE601081}" type="presParOf" srcId="{22E8225D-B945-4BBC-9CD6-56B5D450A4A9}" destId="{48C3AD00-B076-400D-9B30-CD6E214F73CE}" srcOrd="0" destOrd="0" presId="urn:microsoft.com/office/officeart/2005/8/layout/orgChart1"/>
    <dgm:cxn modelId="{90A98D06-42B2-49E8-81AE-F291050FB5EE}" type="presParOf" srcId="{22E8225D-B945-4BBC-9CD6-56B5D450A4A9}" destId="{C734B00A-A7D8-4F0E-86AD-00C88A035C45}" srcOrd="1" destOrd="0" presId="urn:microsoft.com/office/officeart/2005/8/layout/orgChart1"/>
    <dgm:cxn modelId="{2D5D605D-DF00-4506-9F32-7DC3C6AAAF8A}" type="presParOf" srcId="{ABC96EDA-7C9B-4F25-BECD-8F5CEDBBC00D}" destId="{295D6EC7-27F8-4767-877D-56D8DD89A4F7}" srcOrd="1" destOrd="0" presId="urn:microsoft.com/office/officeart/2005/8/layout/orgChart1"/>
    <dgm:cxn modelId="{ED903D3C-8E56-402E-908D-0D80F2F5EE69}" type="presParOf" srcId="{295D6EC7-27F8-4767-877D-56D8DD89A4F7}" destId="{E50CC1D9-3121-417F-8C6D-FF80F5596D9C}" srcOrd="0" destOrd="0" presId="urn:microsoft.com/office/officeart/2005/8/layout/orgChart1"/>
    <dgm:cxn modelId="{62C28BB4-3CE2-4171-B857-A4AEBD2D5EDC}" type="presParOf" srcId="{295D6EC7-27F8-4767-877D-56D8DD89A4F7}" destId="{32946663-1D79-4A9F-A282-1A5420C0BF00}" srcOrd="1" destOrd="0" presId="urn:microsoft.com/office/officeart/2005/8/layout/orgChart1"/>
    <dgm:cxn modelId="{3C4A9989-57FB-41C0-ADF2-1E3608FC99B4}" type="presParOf" srcId="{32946663-1D79-4A9F-A282-1A5420C0BF00}" destId="{9E589DA2-A2A7-4F97-9618-86C3DC49364B}" srcOrd="0" destOrd="0" presId="urn:microsoft.com/office/officeart/2005/8/layout/orgChart1"/>
    <dgm:cxn modelId="{CD0315B8-DD20-4A37-BF4C-D3F7D3450546}" type="presParOf" srcId="{9E589DA2-A2A7-4F97-9618-86C3DC49364B}" destId="{470D224F-D597-41FC-9A3F-AC941E6B6444}" srcOrd="0" destOrd="0" presId="urn:microsoft.com/office/officeart/2005/8/layout/orgChart1"/>
    <dgm:cxn modelId="{BEF8152E-BADA-4053-B3D7-48952410C762}" type="presParOf" srcId="{9E589DA2-A2A7-4F97-9618-86C3DC49364B}" destId="{6AF1F597-64FD-4271-A416-708EE0901A3C}" srcOrd="1" destOrd="0" presId="urn:microsoft.com/office/officeart/2005/8/layout/orgChart1"/>
    <dgm:cxn modelId="{2C1173F0-AC4A-4FBA-B98D-0FA5BA557920}" type="presParOf" srcId="{32946663-1D79-4A9F-A282-1A5420C0BF00}" destId="{BBBC6600-97FC-4428-8543-AA071C8D0B55}" srcOrd="1" destOrd="0" presId="urn:microsoft.com/office/officeart/2005/8/layout/orgChart1"/>
    <dgm:cxn modelId="{E0C18C7D-292D-4AD9-85E9-042E47B25BAA}" type="presParOf" srcId="{32946663-1D79-4A9F-A282-1A5420C0BF00}" destId="{FEF1E603-AD3D-402F-BB85-377CF2F3EFED}" srcOrd="2" destOrd="0" presId="urn:microsoft.com/office/officeart/2005/8/layout/orgChart1"/>
    <dgm:cxn modelId="{C457EEF1-E229-4DF5-8458-34FF19C59417}" type="presParOf" srcId="{295D6EC7-27F8-4767-877D-56D8DD89A4F7}" destId="{25AB2D0A-985F-4BE9-982F-24FEA3AD00CF}" srcOrd="2" destOrd="0" presId="urn:microsoft.com/office/officeart/2005/8/layout/orgChart1"/>
    <dgm:cxn modelId="{22948929-3C34-4998-A2CE-0B26B964C732}" type="presParOf" srcId="{295D6EC7-27F8-4767-877D-56D8DD89A4F7}" destId="{C417C891-F564-478E-93B4-9715EB07B709}" srcOrd="3" destOrd="0" presId="urn:microsoft.com/office/officeart/2005/8/layout/orgChart1"/>
    <dgm:cxn modelId="{C8C86659-9FB3-48CB-804B-88D835F2BB81}" type="presParOf" srcId="{C417C891-F564-478E-93B4-9715EB07B709}" destId="{F741C331-4692-4F7B-9315-3D73EA58C970}" srcOrd="0" destOrd="0" presId="urn:microsoft.com/office/officeart/2005/8/layout/orgChart1"/>
    <dgm:cxn modelId="{AB53E3E7-F7F1-4A7C-9904-DA364CA8465A}" type="presParOf" srcId="{F741C331-4692-4F7B-9315-3D73EA58C970}" destId="{2F2636BE-8BDC-4701-9DDF-680C51F2FDEA}" srcOrd="0" destOrd="0" presId="urn:microsoft.com/office/officeart/2005/8/layout/orgChart1"/>
    <dgm:cxn modelId="{8F1692EB-904A-43CB-A855-41E4240B2DE7}" type="presParOf" srcId="{F741C331-4692-4F7B-9315-3D73EA58C970}" destId="{2CD25188-819E-43C0-8EAE-ACEEEFAF2C14}" srcOrd="1" destOrd="0" presId="urn:microsoft.com/office/officeart/2005/8/layout/orgChart1"/>
    <dgm:cxn modelId="{7DBEB4FC-BBD0-44B4-B5A1-8F9B58189B80}" type="presParOf" srcId="{C417C891-F564-478E-93B4-9715EB07B709}" destId="{AEA183DE-BE0D-4277-836E-9C776CBCCA23}" srcOrd="1" destOrd="0" presId="urn:microsoft.com/office/officeart/2005/8/layout/orgChart1"/>
    <dgm:cxn modelId="{36206B84-25B1-4314-93EC-879D9B1CC0C6}" type="presParOf" srcId="{C417C891-F564-478E-93B4-9715EB07B709}" destId="{2FEEDC8B-4A66-427E-ABA4-0A82A69FDB11}" srcOrd="2" destOrd="0" presId="urn:microsoft.com/office/officeart/2005/8/layout/orgChart1"/>
    <dgm:cxn modelId="{B4EEF279-4C7E-4CA2-AE09-549D09C17400}" type="presParOf" srcId="{ABC96EDA-7C9B-4F25-BECD-8F5CEDBBC00D}" destId="{E41E547A-CECC-488B-A9ED-006CAAC12618}" srcOrd="2" destOrd="0" presId="urn:microsoft.com/office/officeart/2005/8/layout/orgChart1"/>
    <dgm:cxn modelId="{5C83105A-468E-4AF1-9AFC-D4880D01FB6B}" type="presParOf" srcId="{4F55F676-BD8B-41D9-A098-DACE4E118BC9}" destId="{98B37878-996F-47E0-955D-211F11BABF89}" srcOrd="8" destOrd="0" presId="urn:microsoft.com/office/officeart/2005/8/layout/orgChart1"/>
    <dgm:cxn modelId="{1271FB6B-AAAF-4E3C-9CEB-97937BA0361B}" type="presParOf" srcId="{4F55F676-BD8B-41D9-A098-DACE4E118BC9}" destId="{24127326-A7FC-4DA0-884C-45A0A0FB7012}" srcOrd="9" destOrd="0" presId="urn:microsoft.com/office/officeart/2005/8/layout/orgChart1"/>
    <dgm:cxn modelId="{B74E031B-3CAC-4ED0-B525-7E9458A9B7DA}" type="presParOf" srcId="{24127326-A7FC-4DA0-884C-45A0A0FB7012}" destId="{27EC6CF2-EBD9-405F-8845-4B0366060E59}" srcOrd="0" destOrd="0" presId="urn:microsoft.com/office/officeart/2005/8/layout/orgChart1"/>
    <dgm:cxn modelId="{FE8DC04E-0811-48D3-82C5-F7198A7E80C7}" type="presParOf" srcId="{27EC6CF2-EBD9-405F-8845-4B0366060E59}" destId="{28065F59-B3DF-45A4-880C-C0AC94799C8B}" srcOrd="0" destOrd="0" presId="urn:microsoft.com/office/officeart/2005/8/layout/orgChart1"/>
    <dgm:cxn modelId="{4C7345C1-3D6D-4F8B-9207-C8516256B82E}" type="presParOf" srcId="{27EC6CF2-EBD9-405F-8845-4B0366060E59}" destId="{6EAC37A2-F39A-45B4-BD81-1038A7225E01}" srcOrd="1" destOrd="0" presId="urn:microsoft.com/office/officeart/2005/8/layout/orgChart1"/>
    <dgm:cxn modelId="{29AE8F9B-7E1F-4BDA-8549-74CEA4B4E6CA}" type="presParOf" srcId="{24127326-A7FC-4DA0-884C-45A0A0FB7012}" destId="{01E29291-20D4-45AA-A7E9-A51AFE4A2042}" srcOrd="1" destOrd="0" presId="urn:microsoft.com/office/officeart/2005/8/layout/orgChart1"/>
    <dgm:cxn modelId="{A848F67D-E34A-4D1D-90D3-94E13DBE832C}" type="presParOf" srcId="{01E29291-20D4-45AA-A7E9-A51AFE4A2042}" destId="{3CBE489A-2EDE-4565-8009-4F03EA69CB9D}" srcOrd="0" destOrd="0" presId="urn:microsoft.com/office/officeart/2005/8/layout/orgChart1"/>
    <dgm:cxn modelId="{F0B12410-9D3A-4B15-AF27-88696267E259}" type="presParOf" srcId="{01E29291-20D4-45AA-A7E9-A51AFE4A2042}" destId="{2F59839A-F9B0-405F-8C76-A22C1C95B753}" srcOrd="1" destOrd="0" presId="urn:microsoft.com/office/officeart/2005/8/layout/orgChart1"/>
    <dgm:cxn modelId="{EE2B9654-660C-4E25-B584-D16F5906BF5B}" type="presParOf" srcId="{2F59839A-F9B0-405F-8C76-A22C1C95B753}" destId="{56C86921-9EBB-4B61-9E4A-164D454AE936}" srcOrd="0" destOrd="0" presId="urn:microsoft.com/office/officeart/2005/8/layout/orgChart1"/>
    <dgm:cxn modelId="{059443C5-30E7-4337-B22B-FCC96AAB12B3}" type="presParOf" srcId="{56C86921-9EBB-4B61-9E4A-164D454AE936}" destId="{D971CE38-BAF5-4063-A398-5CC6A3A6945E}" srcOrd="0" destOrd="0" presId="urn:microsoft.com/office/officeart/2005/8/layout/orgChart1"/>
    <dgm:cxn modelId="{7C8670EE-BA5E-49F9-A6A1-D13B42C599B4}" type="presParOf" srcId="{56C86921-9EBB-4B61-9E4A-164D454AE936}" destId="{690B7010-8EFE-42BD-BDA1-4BCBEBC22A62}" srcOrd="1" destOrd="0" presId="urn:microsoft.com/office/officeart/2005/8/layout/orgChart1"/>
    <dgm:cxn modelId="{2E3424C6-3074-448A-B47A-F2FADEE9C0FE}" type="presParOf" srcId="{2F59839A-F9B0-405F-8C76-A22C1C95B753}" destId="{CCBD51BB-EF8D-4D65-9A5B-1D099F626481}" srcOrd="1" destOrd="0" presId="urn:microsoft.com/office/officeart/2005/8/layout/orgChart1"/>
    <dgm:cxn modelId="{2622D53A-693C-44D0-9403-D819F97204D8}" type="presParOf" srcId="{2F59839A-F9B0-405F-8C76-A22C1C95B753}" destId="{2942203E-C4F2-480F-B985-00AC8B965D13}" srcOrd="2" destOrd="0" presId="urn:microsoft.com/office/officeart/2005/8/layout/orgChart1"/>
    <dgm:cxn modelId="{5B216198-829F-4025-A4AF-15199A01D242}" type="presParOf" srcId="{01E29291-20D4-45AA-A7E9-A51AFE4A2042}" destId="{B2CAE622-8655-4674-BBFB-12BA59956BCC}" srcOrd="2" destOrd="0" presId="urn:microsoft.com/office/officeart/2005/8/layout/orgChart1"/>
    <dgm:cxn modelId="{6FD7D13E-1165-42F5-85F0-D8FFD442D493}" type="presParOf" srcId="{01E29291-20D4-45AA-A7E9-A51AFE4A2042}" destId="{D8795E1E-D55D-45B2-8845-C8BCCC86AAA7}" srcOrd="3" destOrd="0" presId="urn:microsoft.com/office/officeart/2005/8/layout/orgChart1"/>
    <dgm:cxn modelId="{F711BF19-A7AE-47F7-B4A1-091BF62CAC8C}" type="presParOf" srcId="{D8795E1E-D55D-45B2-8845-C8BCCC86AAA7}" destId="{C9DA1BA9-C501-425B-9559-9603474B3DA9}" srcOrd="0" destOrd="0" presId="urn:microsoft.com/office/officeart/2005/8/layout/orgChart1"/>
    <dgm:cxn modelId="{F56B04E2-482C-4C4E-AE7D-F876C60155E0}" type="presParOf" srcId="{C9DA1BA9-C501-425B-9559-9603474B3DA9}" destId="{4588F67E-3C6D-489F-A0DC-D2B0F74D1892}" srcOrd="0" destOrd="0" presId="urn:microsoft.com/office/officeart/2005/8/layout/orgChart1"/>
    <dgm:cxn modelId="{781CB733-DBEC-41EC-9EE5-6668FC96690F}" type="presParOf" srcId="{C9DA1BA9-C501-425B-9559-9603474B3DA9}" destId="{31A7322A-D8F9-4C52-A86E-691E2DE77642}" srcOrd="1" destOrd="0" presId="urn:microsoft.com/office/officeart/2005/8/layout/orgChart1"/>
    <dgm:cxn modelId="{BE9C4367-FBD0-443D-ACAF-637F3B3E0223}" type="presParOf" srcId="{D8795E1E-D55D-45B2-8845-C8BCCC86AAA7}" destId="{72510D34-1C6E-442D-9BE8-6D45F3CBF9A7}" srcOrd="1" destOrd="0" presId="urn:microsoft.com/office/officeart/2005/8/layout/orgChart1"/>
    <dgm:cxn modelId="{6CD02253-739D-4DD0-867B-4B79030B360D}" type="presParOf" srcId="{D8795E1E-D55D-45B2-8845-C8BCCC86AAA7}" destId="{264C543A-A501-411E-9ADC-3AAABD4AD81D}" srcOrd="2" destOrd="0" presId="urn:microsoft.com/office/officeart/2005/8/layout/orgChart1"/>
    <dgm:cxn modelId="{2F325C27-2E79-4113-B48E-E2C2526AECC9}" type="presParOf" srcId="{01E29291-20D4-45AA-A7E9-A51AFE4A2042}" destId="{82D44704-A5BD-460B-8B29-B7A0893AA783}" srcOrd="4" destOrd="0" presId="urn:microsoft.com/office/officeart/2005/8/layout/orgChart1"/>
    <dgm:cxn modelId="{D00B147E-E2DE-4D41-89F9-6A7F59739704}" type="presParOf" srcId="{01E29291-20D4-45AA-A7E9-A51AFE4A2042}" destId="{620FC0BE-A78E-4B5D-A2B9-DE58C7DDA474}" srcOrd="5" destOrd="0" presId="urn:microsoft.com/office/officeart/2005/8/layout/orgChart1"/>
    <dgm:cxn modelId="{B71CA8D8-A6E9-493F-9956-CDFDB553F5B8}" type="presParOf" srcId="{620FC0BE-A78E-4B5D-A2B9-DE58C7DDA474}" destId="{FD426D43-9C6D-472D-895B-15C229684EDC}" srcOrd="0" destOrd="0" presId="urn:microsoft.com/office/officeart/2005/8/layout/orgChart1"/>
    <dgm:cxn modelId="{DDB4813E-4054-437C-B895-3F0E4A8893EF}" type="presParOf" srcId="{FD426D43-9C6D-472D-895B-15C229684EDC}" destId="{A3703204-B679-4035-91E2-3785CEC09F16}" srcOrd="0" destOrd="0" presId="urn:microsoft.com/office/officeart/2005/8/layout/orgChart1"/>
    <dgm:cxn modelId="{AA709BEF-7B03-4F0F-8EC2-1EC15787C9AC}" type="presParOf" srcId="{FD426D43-9C6D-472D-895B-15C229684EDC}" destId="{6D97F5D7-B080-45DC-9A8C-543FB0A2BAC1}" srcOrd="1" destOrd="0" presId="urn:microsoft.com/office/officeart/2005/8/layout/orgChart1"/>
    <dgm:cxn modelId="{CF822A88-BCC9-4FA4-9E35-C4EFD3F7D4CF}" type="presParOf" srcId="{620FC0BE-A78E-4B5D-A2B9-DE58C7DDA474}" destId="{741DD6AA-62C0-4A6B-A799-C334182D529E}" srcOrd="1" destOrd="0" presId="urn:microsoft.com/office/officeart/2005/8/layout/orgChart1"/>
    <dgm:cxn modelId="{B6EBB4F1-1F8A-4A4E-B8C7-B09881DC3220}" type="presParOf" srcId="{620FC0BE-A78E-4B5D-A2B9-DE58C7DDA474}" destId="{0C3E95B4-5AB1-4B7A-9958-E0AD650D4898}" srcOrd="2" destOrd="0" presId="urn:microsoft.com/office/officeart/2005/8/layout/orgChart1"/>
    <dgm:cxn modelId="{68EC7C5A-E002-46F4-A32B-16B221047D45}" type="presParOf" srcId="{24127326-A7FC-4DA0-884C-45A0A0FB7012}" destId="{DAD2E4CF-9FA2-435A-B5AC-A3CAE95217EC}" srcOrd="2" destOrd="0" presId="urn:microsoft.com/office/officeart/2005/8/layout/orgChart1"/>
    <dgm:cxn modelId="{74758BD6-86AE-4784-B90B-AE44A9F18B6E}" type="presParOf" srcId="{BECDB974-690D-4278-BD99-B29A609EFBEF}" destId="{674CFC7F-89C2-415A-9C77-2A0D2285209F}"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44704-A5BD-460B-8B29-B7A0893AA783}">
      <dsp:nvSpPr>
        <dsp:cNvPr id="0" name=""/>
        <dsp:cNvSpPr/>
      </dsp:nvSpPr>
      <dsp:spPr>
        <a:xfrm>
          <a:off x="4017091"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CAE622-8655-4674-BBFB-12BA59956BCC}">
      <dsp:nvSpPr>
        <dsp:cNvPr id="0" name=""/>
        <dsp:cNvSpPr/>
      </dsp:nvSpPr>
      <dsp:spPr>
        <a:xfrm>
          <a:off x="4017091"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BE489A-2EDE-4565-8009-4F03EA69CB9D}">
      <dsp:nvSpPr>
        <dsp:cNvPr id="0" name=""/>
        <dsp:cNvSpPr/>
      </dsp:nvSpPr>
      <dsp:spPr>
        <a:xfrm>
          <a:off x="4017091"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B37878-996F-47E0-955D-211F11BABF89}">
      <dsp:nvSpPr>
        <dsp:cNvPr id="0" name=""/>
        <dsp:cNvSpPr/>
      </dsp:nvSpPr>
      <dsp:spPr>
        <a:xfrm>
          <a:off x="2659170" y="336392"/>
          <a:ext cx="1626816" cy="141169"/>
        </a:xfrm>
        <a:custGeom>
          <a:avLst/>
          <a:gdLst/>
          <a:ahLst/>
          <a:cxnLst/>
          <a:rect l="0" t="0" r="0" b="0"/>
          <a:pathLst>
            <a:path>
              <a:moveTo>
                <a:pt x="0" y="0"/>
              </a:moveTo>
              <a:lnTo>
                <a:pt x="0" y="70584"/>
              </a:lnTo>
              <a:lnTo>
                <a:pt x="1626816" y="70584"/>
              </a:lnTo>
              <a:lnTo>
                <a:pt x="1626816" y="1411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5AB2D0A-985F-4BE9-982F-24FEA3AD00CF}">
      <dsp:nvSpPr>
        <dsp:cNvPr id="0" name=""/>
        <dsp:cNvSpPr/>
      </dsp:nvSpPr>
      <dsp:spPr>
        <a:xfrm>
          <a:off x="3203683"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0CC1D9-3121-417F-8C6D-FF80F5596D9C}">
      <dsp:nvSpPr>
        <dsp:cNvPr id="0" name=""/>
        <dsp:cNvSpPr/>
      </dsp:nvSpPr>
      <dsp:spPr>
        <a:xfrm>
          <a:off x="3203683"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777CCC-CBA5-458D-9E20-8979A54F2F36}">
      <dsp:nvSpPr>
        <dsp:cNvPr id="0" name=""/>
        <dsp:cNvSpPr/>
      </dsp:nvSpPr>
      <dsp:spPr>
        <a:xfrm>
          <a:off x="2659170" y="336392"/>
          <a:ext cx="813408" cy="141169"/>
        </a:xfrm>
        <a:custGeom>
          <a:avLst/>
          <a:gdLst/>
          <a:ahLst/>
          <a:cxnLst/>
          <a:rect l="0" t="0" r="0" b="0"/>
          <a:pathLst>
            <a:path>
              <a:moveTo>
                <a:pt x="0" y="0"/>
              </a:moveTo>
              <a:lnTo>
                <a:pt x="0" y="70584"/>
              </a:lnTo>
              <a:lnTo>
                <a:pt x="813408" y="70584"/>
              </a:lnTo>
              <a:lnTo>
                <a:pt x="813408" y="1411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B9A1D5-164B-4E9D-B2B9-4AA880F9A8BE}">
      <dsp:nvSpPr>
        <dsp:cNvPr id="0" name=""/>
        <dsp:cNvSpPr/>
      </dsp:nvSpPr>
      <dsp:spPr>
        <a:xfrm>
          <a:off x="2390275"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D58C39-9BB6-44DE-A52F-D1D3BB412B50}">
      <dsp:nvSpPr>
        <dsp:cNvPr id="0" name=""/>
        <dsp:cNvSpPr/>
      </dsp:nvSpPr>
      <dsp:spPr>
        <a:xfrm>
          <a:off x="2613450" y="336392"/>
          <a:ext cx="91440" cy="141169"/>
        </a:xfrm>
        <a:custGeom>
          <a:avLst/>
          <a:gdLst/>
          <a:ahLst/>
          <a:cxnLst/>
          <a:rect l="0" t="0" r="0" b="0"/>
          <a:pathLst>
            <a:path>
              <a:moveTo>
                <a:pt x="45720" y="0"/>
              </a:moveTo>
              <a:lnTo>
                <a:pt x="45720" y="1411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58C7E7-CFCB-445A-89DB-BE67CF0646B2}">
      <dsp:nvSpPr>
        <dsp:cNvPr id="0" name=""/>
        <dsp:cNvSpPr/>
      </dsp:nvSpPr>
      <dsp:spPr>
        <a:xfrm>
          <a:off x="1576867" y="813681"/>
          <a:ext cx="100835" cy="2218385"/>
        </a:xfrm>
        <a:custGeom>
          <a:avLst/>
          <a:gdLst/>
          <a:ahLst/>
          <a:cxnLst/>
          <a:rect l="0" t="0" r="0" b="0"/>
          <a:pathLst>
            <a:path>
              <a:moveTo>
                <a:pt x="0" y="0"/>
              </a:moveTo>
              <a:lnTo>
                <a:pt x="0" y="2218385"/>
              </a:lnTo>
              <a:lnTo>
                <a:pt x="100835" y="221838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663312-4B04-48FC-8AAA-E71A526C8567}">
      <dsp:nvSpPr>
        <dsp:cNvPr id="0" name=""/>
        <dsp:cNvSpPr/>
      </dsp:nvSpPr>
      <dsp:spPr>
        <a:xfrm>
          <a:off x="1576867"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7D120-E232-4FC2-8EA9-5097008EED24}">
      <dsp:nvSpPr>
        <dsp:cNvPr id="0" name=""/>
        <dsp:cNvSpPr/>
      </dsp:nvSpPr>
      <dsp:spPr>
        <a:xfrm>
          <a:off x="1576867"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AF7B97-B76D-498C-8B32-4F4D319D5BD7}">
      <dsp:nvSpPr>
        <dsp:cNvPr id="0" name=""/>
        <dsp:cNvSpPr/>
      </dsp:nvSpPr>
      <dsp:spPr>
        <a:xfrm>
          <a:off x="1576867"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5B39B4-33D4-4D7F-876D-F2242D84B406}">
      <dsp:nvSpPr>
        <dsp:cNvPr id="0" name=""/>
        <dsp:cNvSpPr/>
      </dsp:nvSpPr>
      <dsp:spPr>
        <a:xfrm>
          <a:off x="1576867"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62A053-11B9-4533-9FA4-F10E3E5754D9}">
      <dsp:nvSpPr>
        <dsp:cNvPr id="0" name=""/>
        <dsp:cNvSpPr/>
      </dsp:nvSpPr>
      <dsp:spPr>
        <a:xfrm>
          <a:off x="1845762" y="336392"/>
          <a:ext cx="813408" cy="141169"/>
        </a:xfrm>
        <a:custGeom>
          <a:avLst/>
          <a:gdLst/>
          <a:ahLst/>
          <a:cxnLst/>
          <a:rect l="0" t="0" r="0" b="0"/>
          <a:pathLst>
            <a:path>
              <a:moveTo>
                <a:pt x="813408" y="0"/>
              </a:moveTo>
              <a:lnTo>
                <a:pt x="813408" y="70584"/>
              </a:lnTo>
              <a:lnTo>
                <a:pt x="0" y="70584"/>
              </a:lnTo>
              <a:lnTo>
                <a:pt x="0" y="1411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2B5F0-1585-4490-A4D0-C65068521483}">
      <dsp:nvSpPr>
        <dsp:cNvPr id="0" name=""/>
        <dsp:cNvSpPr/>
      </dsp:nvSpPr>
      <dsp:spPr>
        <a:xfrm>
          <a:off x="763458" y="813681"/>
          <a:ext cx="100835" cy="2218385"/>
        </a:xfrm>
        <a:custGeom>
          <a:avLst/>
          <a:gdLst/>
          <a:ahLst/>
          <a:cxnLst/>
          <a:rect l="0" t="0" r="0" b="0"/>
          <a:pathLst>
            <a:path>
              <a:moveTo>
                <a:pt x="0" y="0"/>
              </a:moveTo>
              <a:lnTo>
                <a:pt x="0" y="2218385"/>
              </a:lnTo>
              <a:lnTo>
                <a:pt x="100835" y="2218385"/>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2BEE35-534A-4DF0-BA01-D616B798ED25}">
      <dsp:nvSpPr>
        <dsp:cNvPr id="0" name=""/>
        <dsp:cNvSpPr/>
      </dsp:nvSpPr>
      <dsp:spPr>
        <a:xfrm>
          <a:off x="763458" y="813681"/>
          <a:ext cx="100835" cy="1741096"/>
        </a:xfrm>
        <a:custGeom>
          <a:avLst/>
          <a:gdLst/>
          <a:ahLst/>
          <a:cxnLst/>
          <a:rect l="0" t="0" r="0" b="0"/>
          <a:pathLst>
            <a:path>
              <a:moveTo>
                <a:pt x="0" y="0"/>
              </a:moveTo>
              <a:lnTo>
                <a:pt x="0" y="1741096"/>
              </a:lnTo>
              <a:lnTo>
                <a:pt x="100835" y="1741096"/>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4A074D-23DF-48E1-913C-D34EA049306B}">
      <dsp:nvSpPr>
        <dsp:cNvPr id="0" name=""/>
        <dsp:cNvSpPr/>
      </dsp:nvSpPr>
      <dsp:spPr>
        <a:xfrm>
          <a:off x="763458" y="813681"/>
          <a:ext cx="100835" cy="1263807"/>
        </a:xfrm>
        <a:custGeom>
          <a:avLst/>
          <a:gdLst/>
          <a:ahLst/>
          <a:cxnLst/>
          <a:rect l="0" t="0" r="0" b="0"/>
          <a:pathLst>
            <a:path>
              <a:moveTo>
                <a:pt x="0" y="0"/>
              </a:moveTo>
              <a:lnTo>
                <a:pt x="0" y="1263807"/>
              </a:lnTo>
              <a:lnTo>
                <a:pt x="100835" y="126380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47433E-DE2D-4E9E-86D0-0BC6C33297D9}">
      <dsp:nvSpPr>
        <dsp:cNvPr id="0" name=""/>
        <dsp:cNvSpPr/>
      </dsp:nvSpPr>
      <dsp:spPr>
        <a:xfrm>
          <a:off x="763458" y="813681"/>
          <a:ext cx="100835" cy="786518"/>
        </a:xfrm>
        <a:custGeom>
          <a:avLst/>
          <a:gdLst/>
          <a:ahLst/>
          <a:cxnLst/>
          <a:rect l="0" t="0" r="0" b="0"/>
          <a:pathLst>
            <a:path>
              <a:moveTo>
                <a:pt x="0" y="0"/>
              </a:moveTo>
              <a:lnTo>
                <a:pt x="0" y="786518"/>
              </a:lnTo>
              <a:lnTo>
                <a:pt x="100835" y="78651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C52201-DB46-4185-BB76-DF053710A1E3}">
      <dsp:nvSpPr>
        <dsp:cNvPr id="0" name=""/>
        <dsp:cNvSpPr/>
      </dsp:nvSpPr>
      <dsp:spPr>
        <a:xfrm>
          <a:off x="763458" y="813681"/>
          <a:ext cx="100835" cy="309229"/>
        </a:xfrm>
        <a:custGeom>
          <a:avLst/>
          <a:gdLst/>
          <a:ahLst/>
          <a:cxnLst/>
          <a:rect l="0" t="0" r="0" b="0"/>
          <a:pathLst>
            <a:path>
              <a:moveTo>
                <a:pt x="0" y="0"/>
              </a:moveTo>
              <a:lnTo>
                <a:pt x="0" y="309229"/>
              </a:lnTo>
              <a:lnTo>
                <a:pt x="100835" y="309229"/>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BAC77C-4419-4857-B1C4-3085DAA79D13}">
      <dsp:nvSpPr>
        <dsp:cNvPr id="0" name=""/>
        <dsp:cNvSpPr/>
      </dsp:nvSpPr>
      <dsp:spPr>
        <a:xfrm>
          <a:off x="1032354" y="336392"/>
          <a:ext cx="1626816" cy="141169"/>
        </a:xfrm>
        <a:custGeom>
          <a:avLst/>
          <a:gdLst/>
          <a:ahLst/>
          <a:cxnLst/>
          <a:rect l="0" t="0" r="0" b="0"/>
          <a:pathLst>
            <a:path>
              <a:moveTo>
                <a:pt x="1626816" y="0"/>
              </a:moveTo>
              <a:lnTo>
                <a:pt x="1626816" y="70584"/>
              </a:lnTo>
              <a:lnTo>
                <a:pt x="0" y="70584"/>
              </a:lnTo>
              <a:lnTo>
                <a:pt x="0" y="14116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C0B587-ABF9-46C2-96CF-3BA4F09434A6}">
      <dsp:nvSpPr>
        <dsp:cNvPr id="0" name=""/>
        <dsp:cNvSpPr/>
      </dsp:nvSpPr>
      <dsp:spPr>
        <a:xfrm>
          <a:off x="2323051" y="273"/>
          <a:ext cx="672238" cy="336119"/>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Assets</a:t>
          </a:r>
        </a:p>
      </dsp:txBody>
      <dsp:txXfrm>
        <a:off x="2323051" y="273"/>
        <a:ext cx="672238" cy="336119"/>
      </dsp:txXfrm>
    </dsp:sp>
    <dsp:sp modelId="{2B6419C7-33B5-431F-A546-B940CCAFDA9D}">
      <dsp:nvSpPr>
        <dsp:cNvPr id="0" name=""/>
        <dsp:cNvSpPr/>
      </dsp:nvSpPr>
      <dsp:spPr>
        <a:xfrm>
          <a:off x="696235" y="477562"/>
          <a:ext cx="672238" cy="33611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Safety</a:t>
          </a:r>
        </a:p>
      </dsp:txBody>
      <dsp:txXfrm>
        <a:off x="696235" y="477562"/>
        <a:ext cx="672238" cy="336119"/>
      </dsp:txXfrm>
    </dsp:sp>
    <dsp:sp modelId="{F3941F6B-0A05-4257-8896-E2E06A06D917}">
      <dsp:nvSpPr>
        <dsp:cNvPr id="0" name=""/>
        <dsp:cNvSpPr/>
      </dsp:nvSpPr>
      <dsp:spPr>
        <a:xfrm>
          <a:off x="864294"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Leaks</a:t>
          </a:r>
        </a:p>
      </dsp:txBody>
      <dsp:txXfrm>
        <a:off x="864294" y="954851"/>
        <a:ext cx="672238" cy="336119"/>
      </dsp:txXfrm>
    </dsp:sp>
    <dsp:sp modelId="{E772DC1C-7228-4B95-BCB9-0D321987EE7B}">
      <dsp:nvSpPr>
        <dsp:cNvPr id="0" name=""/>
        <dsp:cNvSpPr/>
      </dsp:nvSpPr>
      <dsp:spPr>
        <a:xfrm>
          <a:off x="864294"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Safety Risk</a:t>
          </a:r>
        </a:p>
      </dsp:txBody>
      <dsp:txXfrm>
        <a:off x="864294" y="1432140"/>
        <a:ext cx="672238" cy="336119"/>
      </dsp:txXfrm>
    </dsp:sp>
    <dsp:sp modelId="{3A9D3C03-73F3-40AC-9A5F-56430CDA21DD}">
      <dsp:nvSpPr>
        <dsp:cNvPr id="0" name=""/>
        <dsp:cNvSpPr/>
      </dsp:nvSpPr>
      <dsp:spPr>
        <a:xfrm>
          <a:off x="864294"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864294" y="1909429"/>
        <a:ext cx="672238" cy="336119"/>
      </dsp:txXfrm>
    </dsp:sp>
    <dsp:sp modelId="{948694E8-D18F-43DA-A3AA-2C26F0C766FD}">
      <dsp:nvSpPr>
        <dsp:cNvPr id="0" name=""/>
        <dsp:cNvSpPr/>
      </dsp:nvSpPr>
      <dsp:spPr>
        <a:xfrm>
          <a:off x="864294"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Materials</a:t>
          </a:r>
        </a:p>
      </dsp:txBody>
      <dsp:txXfrm>
        <a:off x="864294" y="2386718"/>
        <a:ext cx="672238" cy="336119"/>
      </dsp:txXfrm>
    </dsp:sp>
    <dsp:sp modelId="{5FC66B1D-C27E-44C5-9D29-C4935CA8BF8E}">
      <dsp:nvSpPr>
        <dsp:cNvPr id="0" name=""/>
        <dsp:cNvSpPr/>
      </dsp:nvSpPr>
      <dsp:spPr>
        <a:xfrm>
          <a:off x="864294" y="2864007"/>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Population Proximity</a:t>
          </a:r>
        </a:p>
      </dsp:txBody>
      <dsp:txXfrm>
        <a:off x="864294" y="2864007"/>
        <a:ext cx="672238" cy="336119"/>
      </dsp:txXfrm>
    </dsp:sp>
    <dsp:sp modelId="{817162A4-6DF5-4105-94E7-F696C9DB7BD3}">
      <dsp:nvSpPr>
        <dsp:cNvPr id="0" name=""/>
        <dsp:cNvSpPr/>
      </dsp:nvSpPr>
      <dsp:spPr>
        <a:xfrm>
          <a:off x="1509643" y="477562"/>
          <a:ext cx="672238" cy="33611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Environment</a:t>
          </a:r>
        </a:p>
      </dsp:txBody>
      <dsp:txXfrm>
        <a:off x="1509643" y="477562"/>
        <a:ext cx="672238" cy="336119"/>
      </dsp:txXfrm>
    </dsp:sp>
    <dsp:sp modelId="{04A2DBC8-3362-424F-BD48-97C7F098572A}">
      <dsp:nvSpPr>
        <dsp:cNvPr id="0" name=""/>
        <dsp:cNvSpPr/>
      </dsp:nvSpPr>
      <dsp:spPr>
        <a:xfrm>
          <a:off x="1677702"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Leaks</a:t>
          </a:r>
        </a:p>
      </dsp:txBody>
      <dsp:txXfrm>
        <a:off x="1677702" y="954851"/>
        <a:ext cx="672238" cy="336119"/>
      </dsp:txXfrm>
    </dsp:sp>
    <dsp:sp modelId="{8076A36F-1C19-4250-9C7E-0AACA4B6E4BC}">
      <dsp:nvSpPr>
        <dsp:cNvPr id="0" name=""/>
        <dsp:cNvSpPr/>
      </dsp:nvSpPr>
      <dsp:spPr>
        <a:xfrm>
          <a:off x="1677702"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Environment Risk</a:t>
          </a:r>
        </a:p>
      </dsp:txBody>
      <dsp:txXfrm>
        <a:off x="1677702" y="1432140"/>
        <a:ext cx="672238" cy="336119"/>
      </dsp:txXfrm>
    </dsp:sp>
    <dsp:sp modelId="{9167D31F-F2CB-4E4E-9BA7-192473A2EE64}">
      <dsp:nvSpPr>
        <dsp:cNvPr id="0" name=""/>
        <dsp:cNvSpPr/>
      </dsp:nvSpPr>
      <dsp:spPr>
        <a:xfrm>
          <a:off x="1677702"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1677702" y="1909429"/>
        <a:ext cx="672238" cy="336119"/>
      </dsp:txXfrm>
    </dsp:sp>
    <dsp:sp modelId="{0CB92A0B-C8ED-4B6D-88DF-DA3095B2F3BC}">
      <dsp:nvSpPr>
        <dsp:cNvPr id="0" name=""/>
        <dsp:cNvSpPr/>
      </dsp:nvSpPr>
      <dsp:spPr>
        <a:xfrm>
          <a:off x="1677702" y="2386718"/>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Materials</a:t>
          </a:r>
        </a:p>
      </dsp:txBody>
      <dsp:txXfrm>
        <a:off x="1677702" y="2386718"/>
        <a:ext cx="672238" cy="336119"/>
      </dsp:txXfrm>
    </dsp:sp>
    <dsp:sp modelId="{9653B567-A656-403C-B844-27E7B90DE42F}">
      <dsp:nvSpPr>
        <dsp:cNvPr id="0" name=""/>
        <dsp:cNvSpPr/>
      </dsp:nvSpPr>
      <dsp:spPr>
        <a:xfrm>
          <a:off x="1677702" y="2864007"/>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Consumption</a:t>
          </a:r>
        </a:p>
      </dsp:txBody>
      <dsp:txXfrm>
        <a:off x="1677702" y="2864007"/>
        <a:ext cx="672238" cy="336119"/>
      </dsp:txXfrm>
    </dsp:sp>
    <dsp:sp modelId="{C156799F-8A7C-43F0-8B9F-F95EB46AD3B3}">
      <dsp:nvSpPr>
        <dsp:cNvPr id="0" name=""/>
        <dsp:cNvSpPr/>
      </dsp:nvSpPr>
      <dsp:spPr>
        <a:xfrm>
          <a:off x="2323051" y="477562"/>
          <a:ext cx="672238" cy="33611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Cost</a:t>
          </a:r>
        </a:p>
      </dsp:txBody>
      <dsp:txXfrm>
        <a:off x="2323051" y="477562"/>
        <a:ext cx="672238" cy="336119"/>
      </dsp:txXfrm>
    </dsp:sp>
    <dsp:sp modelId="{B0DABC66-699F-4FCF-914E-55769FEB5CEC}">
      <dsp:nvSpPr>
        <dsp:cNvPr id="0" name=""/>
        <dsp:cNvSpPr/>
      </dsp:nvSpPr>
      <dsp:spPr>
        <a:xfrm>
          <a:off x="2491110"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Replacement Cost</a:t>
          </a:r>
        </a:p>
      </dsp:txBody>
      <dsp:txXfrm>
        <a:off x="2491110" y="954851"/>
        <a:ext cx="672238" cy="336119"/>
      </dsp:txXfrm>
    </dsp:sp>
    <dsp:sp modelId="{48C3AD00-B076-400D-9B30-CD6E214F73CE}">
      <dsp:nvSpPr>
        <dsp:cNvPr id="0" name=""/>
        <dsp:cNvSpPr/>
      </dsp:nvSpPr>
      <dsp:spPr>
        <a:xfrm>
          <a:off x="3136459" y="477562"/>
          <a:ext cx="672238" cy="33611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Regulatory</a:t>
          </a:r>
        </a:p>
      </dsp:txBody>
      <dsp:txXfrm>
        <a:off x="3136459" y="477562"/>
        <a:ext cx="672238" cy="336119"/>
      </dsp:txXfrm>
    </dsp:sp>
    <dsp:sp modelId="{470D224F-D597-41FC-9A3F-AC941E6B6444}">
      <dsp:nvSpPr>
        <dsp:cNvPr id="0" name=""/>
        <dsp:cNvSpPr/>
      </dsp:nvSpPr>
      <dsp:spPr>
        <a:xfrm>
          <a:off x="3304518"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Age</a:t>
          </a:r>
        </a:p>
      </dsp:txBody>
      <dsp:txXfrm>
        <a:off x="3304518" y="954851"/>
        <a:ext cx="672238" cy="336119"/>
      </dsp:txXfrm>
    </dsp:sp>
    <dsp:sp modelId="{2F2636BE-8BDC-4701-9DDF-680C51F2FDEA}">
      <dsp:nvSpPr>
        <dsp:cNvPr id="0" name=""/>
        <dsp:cNvSpPr/>
      </dsp:nvSpPr>
      <dsp:spPr>
        <a:xfrm>
          <a:off x="3304518"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Pipeline Materials</a:t>
          </a:r>
        </a:p>
      </dsp:txBody>
      <dsp:txXfrm>
        <a:off x="3304518" y="1432140"/>
        <a:ext cx="672238" cy="336119"/>
      </dsp:txXfrm>
    </dsp:sp>
    <dsp:sp modelId="{28065F59-B3DF-45A4-880C-C0AC94799C8B}">
      <dsp:nvSpPr>
        <dsp:cNvPr id="0" name=""/>
        <dsp:cNvSpPr/>
      </dsp:nvSpPr>
      <dsp:spPr>
        <a:xfrm>
          <a:off x="3949867" y="477562"/>
          <a:ext cx="672238" cy="336119"/>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Demand</a:t>
          </a:r>
        </a:p>
      </dsp:txBody>
      <dsp:txXfrm>
        <a:off x="3949867" y="477562"/>
        <a:ext cx="672238" cy="336119"/>
      </dsp:txXfrm>
    </dsp:sp>
    <dsp:sp modelId="{D971CE38-BAF5-4063-A398-5CC6A3A6945E}">
      <dsp:nvSpPr>
        <dsp:cNvPr id="0" name=""/>
        <dsp:cNvSpPr/>
      </dsp:nvSpPr>
      <dsp:spPr>
        <a:xfrm>
          <a:off x="4117926" y="954851"/>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Customers</a:t>
          </a:r>
        </a:p>
      </dsp:txBody>
      <dsp:txXfrm>
        <a:off x="4117926" y="954851"/>
        <a:ext cx="672238" cy="336119"/>
      </dsp:txXfrm>
    </dsp:sp>
    <dsp:sp modelId="{4588F67E-3C6D-489F-A0DC-D2B0F74D1892}">
      <dsp:nvSpPr>
        <dsp:cNvPr id="0" name=""/>
        <dsp:cNvSpPr/>
      </dsp:nvSpPr>
      <dsp:spPr>
        <a:xfrm>
          <a:off x="4117926" y="1432140"/>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Customers per Mile</a:t>
          </a:r>
        </a:p>
      </dsp:txBody>
      <dsp:txXfrm>
        <a:off x="4117926" y="1432140"/>
        <a:ext cx="672238" cy="336119"/>
      </dsp:txXfrm>
    </dsp:sp>
    <dsp:sp modelId="{A3703204-B679-4035-91E2-3785CEC09F16}">
      <dsp:nvSpPr>
        <dsp:cNvPr id="0" name=""/>
        <dsp:cNvSpPr/>
      </dsp:nvSpPr>
      <dsp:spPr>
        <a:xfrm>
          <a:off x="4117926" y="1909429"/>
          <a:ext cx="672238" cy="33611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Gas Consumption</a:t>
          </a:r>
        </a:p>
      </dsp:txBody>
      <dsp:txXfrm>
        <a:off x="4117926" y="1909429"/>
        <a:ext cx="672238" cy="3361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92A07310-ED38-4615-86DB-25FD5F6BB2D1}">
    <t:Anchor>
      <t:Comment id="438146351"/>
    </t:Anchor>
    <t:History>
      <t:Event id="{B233A2AD-34A9-4E92-A988-59E703ECFE9D}" time="2025-05-28T17:49:04.84Z">
        <t:Attribution userId="S::Valerie.Nibler@dnv.com::d003d532-b6d2-4302-bbf1-7a22cec0d496" userProvider="AD" userName="Nibler, Valerie"/>
        <t:Anchor>
          <t:Comment id="438146351"/>
        </t:Anchor>
        <t:Create/>
      </t:Event>
      <t:Event id="{120268AC-E370-4871-9AD5-A84CAA972B58}" time="2025-05-28T17:49:04.84Z">
        <t:Attribution userId="S::Valerie.Nibler@dnv.com::d003d532-b6d2-4302-bbf1-7a22cec0d496" userProvider="AD" userName="Nibler, Valerie"/>
        <t:Anchor>
          <t:Comment id="438146351"/>
        </t:Anchor>
        <t:Assign userId="S::Jacob.Moul@dnv.com::4c337974-1d49-4328-8c4f-ab716c945646" userProvider="AD" userName="Moul, Jacob"/>
      </t:Event>
      <t:Event id="{4065F327-2E3A-4B13-948C-51B115CD377E}" time="2025-05-28T17:49:04.84Z">
        <t:Attribution userId="S::Valerie.Nibler@dnv.com::d003d532-b6d2-4302-bbf1-7a22cec0d496" userProvider="AD" userName="Nibler, Valerie"/>
        <t:Anchor>
          <t:Comment id="438146351"/>
        </t:Anchor>
        <t:SetTitle title="@Moul, Jacob "/>
      </t:Event>
    </t:History>
  </t:Task>
</t:Tasks>
</file>

<file path=word/theme/theme1.xml><?xml version="1.0" encoding="utf-8"?>
<a:theme xmlns:a="http://schemas.openxmlformats.org/drawingml/2006/main" name="DNV Theme">
  <a:themeElements>
    <a:clrScheme name="DNV PP">
      <a:dk1>
        <a:srgbClr val="000000"/>
      </a:dk1>
      <a:lt1>
        <a:srgbClr val="FFFFFF"/>
      </a:lt1>
      <a:dk2>
        <a:srgbClr val="0F204B"/>
      </a:dk2>
      <a:lt2>
        <a:srgbClr val="F4F3EF"/>
      </a:lt2>
      <a:accent1>
        <a:srgbClr val="0F204B"/>
      </a:accent1>
      <a:accent2>
        <a:srgbClr val="99D9F0"/>
      </a:accent2>
      <a:accent3>
        <a:srgbClr val="003591"/>
      </a:accent3>
      <a:accent4>
        <a:srgbClr val="009FDA"/>
      </a:accent4>
      <a:accent5>
        <a:srgbClr val="91FFB4"/>
      </a:accent5>
      <a:accent6>
        <a:srgbClr val="3F9C35"/>
      </a:accent6>
      <a:hlink>
        <a:srgbClr val="009FDA"/>
      </a:hlink>
      <a:folHlink>
        <a:srgbClr val="3F9C35"/>
      </a:folHlink>
    </a:clrScheme>
    <a:fontScheme name="DNV">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7ea962-132b-493e-bfa2-5110a4092c56">
      <Terms xmlns="http://schemas.microsoft.com/office/infopath/2007/PartnerControls"/>
    </lcf76f155ced4ddcb4097134ff3c332f>
    <Funding xmlns="a17ea962-132b-493e-bfa2-5110a4092c56">EPIC</Funding>
    <Recipient xmlns="a17ea962-132b-493e-bfa2-5110a4092c56" xsi:nil="true"/>
    <Agreement_x0023_ xmlns="a17ea962-132b-493e-bfa2-5110a4092c56" xsi:nil="true"/>
    <TaxCatchAll xmlns="5067c814-4b34-462c-a21d-c185ff6548d2" xsi:nil="true"/>
    <AgreementStatus xmlns="a17ea962-132b-493e-bfa2-5110a4092c56">Active</AgreementStatus>
    <KeyTerms xmlns="a17ea962-132b-493e-bfa2-5110a4092c56">
      <Value>Air Quality</Value>
    </KeyTerms>
    <ProjectTitle xmlns="a17ea962-132b-493e-bfa2-5110a4092c56" xsi:nil="true"/>
    <CAM xmlns="a17ea962-132b-493e-bfa2-5110a4092c56">
      <UserInfo>
        <DisplayName/>
        <AccountId xsi:nil="true"/>
        <AccountType/>
      </UserInfo>
    </CAM>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08811F69A18B94C9690D43217B04F68" ma:contentTypeVersion="24" ma:contentTypeDescription="Create a new document." ma:contentTypeScope="" ma:versionID="1d139123b10c79fddbc6c9dd7f770663">
  <xsd:schema xmlns:xsd="http://www.w3.org/2001/XMLSchema" xmlns:xs="http://www.w3.org/2001/XMLSchema" xmlns:p="http://schemas.microsoft.com/office/2006/metadata/properties" xmlns:ns2="a17ea962-132b-493e-bfa2-5110a4092c56" xmlns:ns3="5067c814-4b34-462c-a21d-c185ff6548d2" targetNamespace="http://schemas.microsoft.com/office/2006/metadata/properties" ma:root="true" ma:fieldsID="d8eae98444654300018bdf2a17a50833" ns2:_="" ns3:_="">
    <xsd:import namespace="a17ea962-132b-493e-bfa2-5110a4092c56"/>
    <xsd:import namespace="5067c814-4b34-462c-a21d-c185ff6548d2"/>
    <xsd:element name="properties">
      <xsd:complexType>
        <xsd:sequence>
          <xsd:element name="documentManagement">
            <xsd:complexType>
              <xsd:all>
                <xsd:element ref="ns2:ProjectTitle" minOccurs="0"/>
                <xsd:element ref="ns2:Recipient" minOccurs="0"/>
                <xsd:element ref="ns2:CAM" minOccurs="0"/>
                <xsd:element ref="ns2:Agreement_x0023_" minOccurs="0"/>
                <xsd:element ref="ns2:Funding" minOccurs="0"/>
                <xsd:element ref="ns2:AgreementStatus" minOccurs="0"/>
                <xsd:element ref="ns2:KeyTerm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7ea962-132b-493e-bfa2-5110a4092c56" elementFormDefault="qualified">
    <xsd:import namespace="http://schemas.microsoft.com/office/2006/documentManagement/types"/>
    <xsd:import namespace="http://schemas.microsoft.com/office/infopath/2007/PartnerControls"/>
    <xsd:element name="ProjectTitle" ma:index="8" nillable="true" ma:displayName="Project Title" ma:internalName="ProjectTitle">
      <xsd:simpleType>
        <xsd:restriction base="dms:Note">
          <xsd:maxLength value="255"/>
        </xsd:restriction>
      </xsd:simpleType>
    </xsd:element>
    <xsd:element name="Recipient" ma:index="9" nillable="true" ma:displayName="Recipient" ma:internalName="Recipient">
      <xsd:simpleType>
        <xsd:restriction base="dms:Text">
          <xsd:maxLength value="255"/>
        </xsd:restriction>
      </xsd:simpleType>
    </xsd:element>
    <xsd:element name="CAM" ma:index="10" nillable="true" ma:displayName="CAM" ma:list="UserInfo" ma:SharePointGroup="0" ma:internalName="CAM"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greement_x0023_" ma:index="11" nillable="true" ma:displayName="Agreement #" ma:internalName="Agreement_x0023_">
      <xsd:simpleType>
        <xsd:restriction base="dms:Text">
          <xsd:maxLength value="255"/>
        </xsd:restriction>
      </xsd:simpleType>
    </xsd:element>
    <xsd:element name="Funding" ma:index="12" nillable="true" ma:displayName="Funding" ma:default="EPIC" ma:format="Dropdown" ma:internalName="Funding">
      <xsd:simpleType>
        <xsd:union memberTypes="dms:Text">
          <xsd:simpleType>
            <xsd:restriction base="dms:Choice">
              <xsd:enumeration value="EPIC"/>
              <xsd:enumeration value="NG"/>
              <xsd:enumeration value="FPIP"/>
              <xsd:enumeration value="ERPA"/>
              <xsd:enumeration value="PVEA"/>
            </xsd:restriction>
          </xsd:simpleType>
        </xsd:union>
      </xsd:simpleType>
    </xsd:element>
    <xsd:element name="AgreementStatus" ma:index="13" nillable="true" ma:displayName="Agreement Status" ma:default="Active" ma:format="Dropdown" ma:internalName="AgreementStatus">
      <xsd:simpleType>
        <xsd:restriction base="dms:Choice">
          <xsd:enumeration value="Active"/>
          <xsd:enumeration value="Completed"/>
          <xsd:enumeration value="Terminated"/>
          <xsd:enumeration value="Cancelled"/>
          <xsd:enumeration value="Development"/>
          <xsd:enumeration value="Hide"/>
        </xsd:restriction>
      </xsd:simpleType>
    </xsd:element>
    <xsd:element name="KeyTerms" ma:index="14" nillable="true" ma:displayName="Key Terms" ma:default="Air Quality" ma:format="Dropdown" ma:internalName="KeyTerms">
      <xsd:complexType>
        <xsd:complexContent>
          <xsd:extension base="dms:MultiChoiceFillIn">
            <xsd:sequence>
              <xsd:element name="Value" maxOccurs="unbounded" minOccurs="0" nillable="true">
                <xsd:simpleType>
                  <xsd:union memberTypes="dms:Text">
                    <xsd:simpleType>
                      <xsd:restriction base="dms:Choice">
                        <xsd:enumeration value="Air Quality"/>
                      </xsd:restriction>
                    </xsd:simpleType>
                  </xsd:union>
                </xsd:simpleType>
              </xsd:element>
            </xsd:sequence>
          </xsd:extension>
        </xsd:complexContent>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ternalName="MediaServiceDateTake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Location" ma:index="28" nillable="true" ma:displayName="Location" ma:internalName="MediaServiceLocation" ma:readOnly="true">
      <xsd:simpleType>
        <xsd:restriction base="dms:Text"/>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752bcb9-f337-4c4d-ab40-c128a420f593}"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root>
  <Tag name="dgCompanyName01"/>
  <Tag name="DpProjName01"/>
  <Tag name="DgReportTitle01"/>
  <Tag name="DgCustomer01"/>
  <Tag name="DgDnvReportNo01">23-xxxx</Tag>
  <Tag name="DgRevNo01"/>
  <Tag name="DgDNVDocNo01"/>
  <Tag name="DgDocDate01"/>
  <Tag name="DgDnvDivision01">Energy Systems</Tag>
  <Tag name="DgDnvSubDivLong01">DNV Netherlands B.V.</Tag>
  <Tag name="DgDnvOfficePost01">Utrechtseweg 310-B50
6812 AR Arnhem
The Netherlands
</Tag>
  <Tag name="DgDnvTelephone01">+31 26 356 9111</Tag>
  <Tag name="DgDnvEnterpriseNo01">Registered Arnhem 09006404</Tag>
  <Tag name="DgCustomerAddress01"/>
  <Tag name="DgContactPerson01"/>
  <Tag name="DpProjNo01"/>
  <Tag name="DgDnvSubDivShort01"/>
  <Tag name="DgAuthorName01"/>
  <Tag name="DgAuthorTitle01"/>
  <Tag name="DgVerifier01"/>
  <Tag name="DgVerifierTitle01"/>
  <Tag name="DgApprovedBy01"/>
  <Tag name="DgApprovedByTitle01"/>
  <Tag name="DnvglDistrConSpec">--</Tag>
</root>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FA645C-8A00-4FCA-8084-5937DC531C9F}">
  <ds:schemaRefs>
    <ds:schemaRef ds:uri="http://schemas.microsoft.com/office/2006/metadata/properties"/>
    <ds:schemaRef ds:uri="http://schemas.microsoft.com/office/infopath/2007/PartnerControls"/>
    <ds:schemaRef ds:uri="a17ea962-132b-493e-bfa2-5110a4092c56"/>
    <ds:schemaRef ds:uri="5067c814-4b34-462c-a21d-c185ff6548d2"/>
  </ds:schemaRefs>
</ds:datastoreItem>
</file>

<file path=customXml/itemProps2.xml><?xml version="1.0" encoding="utf-8"?>
<ds:datastoreItem xmlns:ds="http://schemas.openxmlformats.org/officeDocument/2006/customXml" ds:itemID="{3C71B98C-5CA4-4EA0-9954-942E258512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7ea962-132b-493e-bfa2-5110a4092c56"/>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1003BF-19B7-4107-98A8-80AAF970BD98}">
  <ds:schemaRefs>
    <ds:schemaRef ds:uri="http://schemas.openxmlformats.org/officeDocument/2006/bibliography"/>
  </ds:schemaRefs>
</ds:datastoreItem>
</file>

<file path=customXml/itemProps4.xml><?xml version="1.0" encoding="utf-8"?>
<ds:datastoreItem xmlns:ds="http://schemas.openxmlformats.org/officeDocument/2006/customXml" ds:itemID="{5CA4A4C5-54AF-4604-9925-3D577EA5FC6C}">
  <ds:schemaRefs/>
</ds:datastoreItem>
</file>

<file path=customXml/itemProps5.xml><?xml version="1.0" encoding="utf-8"?>
<ds:datastoreItem xmlns:ds="http://schemas.openxmlformats.org/officeDocument/2006/customXml" ds:itemID="{EF1FBFD9-254B-4211-BDD1-9E9C244D9C81}">
  <ds:schemaRefs>
    <ds:schemaRef ds:uri="http://schemas.microsoft.com/sharepoint/v3/contenttype/forms"/>
  </ds:schemaRefs>
</ds:datastoreItem>
</file>

<file path=docMetadata/LabelInfo.xml><?xml version="1.0" encoding="utf-8"?>
<clbl:labelList xmlns:clbl="http://schemas.microsoft.com/office/2020/mipLabelMetadata">
  <clbl:label id="{7340d318-f867-4a4c-9861-eaaff4d93030}" enabled="1" method="Privileged" siteId="{adf10e2b-b6e9-41d6-be2f-c12bb566019c}" removed="0"/>
</clbl:labelList>
</file>

<file path=docProps/app.xml><?xml version="1.0" encoding="utf-8"?>
<Properties xmlns="http://schemas.openxmlformats.org/officeDocument/2006/extended-properties" xmlns:vt="http://schemas.openxmlformats.org/officeDocument/2006/docPropsVTypes">
  <Template>Normal.dotm</Template>
  <TotalTime>321</TotalTime>
  <Pages>1</Pages>
  <Words>13710</Words>
  <Characters>78148</Characters>
  <Application>Microsoft Office Word</Application>
  <DocSecurity>4</DocSecurity>
  <Lines>651</Lines>
  <Paragraphs>183</Paragraphs>
  <ScaleCrop>false</ScaleCrop>
  <HeadingPairs>
    <vt:vector size="2" baseType="variant">
      <vt:variant>
        <vt:lpstr>Title</vt:lpstr>
      </vt:variant>
      <vt:variant>
        <vt:i4>1</vt:i4>
      </vt:variant>
    </vt:vector>
  </HeadingPairs>
  <TitlesOfParts>
    <vt:vector size="1" baseType="lpstr">
      <vt:lpstr>DNV Report Template ES NE English</vt:lpstr>
    </vt:vector>
  </TitlesOfParts>
  <Company/>
  <LinksUpToDate>false</LinksUpToDate>
  <CharactersWithSpaces>91675</CharactersWithSpaces>
  <SharedDoc>false</SharedDoc>
  <HLinks>
    <vt:vector size="492" baseType="variant">
      <vt:variant>
        <vt:i4>7209081</vt:i4>
      </vt:variant>
      <vt:variant>
        <vt:i4>489</vt:i4>
      </vt:variant>
      <vt:variant>
        <vt:i4>0</vt:i4>
      </vt:variant>
      <vt:variant>
        <vt:i4>5</vt:i4>
      </vt:variant>
      <vt:variant>
        <vt:lpwstr>https://www.sciencedirect.com/science/article/pii/S2211339817300977</vt:lpwstr>
      </vt:variant>
      <vt:variant>
        <vt:lpwstr/>
      </vt:variant>
      <vt:variant>
        <vt:i4>1703947</vt:i4>
      </vt:variant>
      <vt:variant>
        <vt:i4>486</vt:i4>
      </vt:variant>
      <vt:variant>
        <vt:i4>0</vt:i4>
      </vt:variant>
      <vt:variant>
        <vt:i4>5</vt:i4>
      </vt:variant>
      <vt:variant>
        <vt:lpwstr>https://ipu.msu.edu/wp-content/uploads/2018/04/LBNL-Electrification-of-Buildings-2018.pdf</vt:lpwstr>
      </vt:variant>
      <vt:variant>
        <vt:lpwstr/>
      </vt:variant>
      <vt:variant>
        <vt:i4>7536752</vt:i4>
      </vt:variant>
      <vt:variant>
        <vt:i4>483</vt:i4>
      </vt:variant>
      <vt:variant>
        <vt:i4>0</vt:i4>
      </vt:variant>
      <vt:variant>
        <vt:i4>5</vt:i4>
      </vt:variant>
      <vt:variant>
        <vt:lpwstr>https://www.energy.gov/eere/iedo/decarbonizing-process-heat</vt:lpwstr>
      </vt:variant>
      <vt:variant>
        <vt:lpwstr/>
      </vt:variant>
      <vt:variant>
        <vt:i4>8192126</vt:i4>
      </vt:variant>
      <vt:variant>
        <vt:i4>480</vt:i4>
      </vt:variant>
      <vt:variant>
        <vt:i4>0</vt:i4>
      </vt:variant>
      <vt:variant>
        <vt:i4>5</vt:i4>
      </vt:variant>
      <vt:variant>
        <vt:lpwstr>https://esource.bizenergyadvisor.com/article/electric-chillers</vt:lpwstr>
      </vt:variant>
      <vt:variant>
        <vt:lpwstr/>
      </vt:variant>
      <vt:variant>
        <vt:i4>8060965</vt:i4>
      </vt:variant>
      <vt:variant>
        <vt:i4>477</vt:i4>
      </vt:variant>
      <vt:variant>
        <vt:i4>0</vt:i4>
      </vt:variant>
      <vt:variant>
        <vt:i4>5</vt:i4>
      </vt:variant>
      <vt:variant>
        <vt:lpwstr>https://betterbuildingssolutioncenter.energy.gov/better-plants/process-cooling-and-hvac</vt:lpwstr>
      </vt:variant>
      <vt:variant>
        <vt:lpwstr/>
      </vt:variant>
      <vt:variant>
        <vt:i4>1703947</vt:i4>
      </vt:variant>
      <vt:variant>
        <vt:i4>474</vt:i4>
      </vt:variant>
      <vt:variant>
        <vt:i4>0</vt:i4>
      </vt:variant>
      <vt:variant>
        <vt:i4>5</vt:i4>
      </vt:variant>
      <vt:variant>
        <vt:lpwstr>https://ipu.msu.edu/wp-content/uploads/2018/04/LBNL-Electrification-of-Buildings-2018.pdf</vt:lpwstr>
      </vt:variant>
      <vt:variant>
        <vt:lpwstr/>
      </vt:variant>
      <vt:variant>
        <vt:i4>6422580</vt:i4>
      </vt:variant>
      <vt:variant>
        <vt:i4>471</vt:i4>
      </vt:variant>
      <vt:variant>
        <vt:i4>0</vt:i4>
      </vt:variant>
      <vt:variant>
        <vt:i4>5</vt:i4>
      </vt:variant>
      <vt:variant>
        <vt:lpwstr>https://www2.deloitte.com/cn/en/pages/consumer-industrial-products/articles/electrification-in-industrials.html</vt:lpwstr>
      </vt:variant>
      <vt:variant>
        <vt:lpwstr/>
      </vt:variant>
      <vt:variant>
        <vt:i4>852080</vt:i4>
      </vt:variant>
      <vt:variant>
        <vt:i4>468</vt:i4>
      </vt:variant>
      <vt:variant>
        <vt:i4>0</vt:i4>
      </vt:variant>
      <vt:variant>
        <vt:i4>5</vt:i4>
      </vt:variant>
      <vt:variant>
        <vt:lpwstr>https://www.eia.gov/survey/form/eia_846/proposed/2022/form.pdf</vt:lpwstr>
      </vt:variant>
      <vt:variant>
        <vt:lpwstr/>
      </vt:variant>
      <vt:variant>
        <vt:i4>6815778</vt:i4>
      </vt:variant>
      <vt:variant>
        <vt:i4>465</vt:i4>
      </vt:variant>
      <vt:variant>
        <vt:i4>0</vt:i4>
      </vt:variant>
      <vt:variant>
        <vt:i4>5</vt:i4>
      </vt:variant>
      <vt:variant>
        <vt:lpwstr>https://dof.ca.gov/wp-content/uploads/sites/352/2023/04/ZE-Forklift-SRIA-to-DOF.pdf</vt:lpwstr>
      </vt:variant>
      <vt:variant>
        <vt:lpwstr/>
      </vt:variant>
      <vt:variant>
        <vt:i4>6815778</vt:i4>
      </vt:variant>
      <vt:variant>
        <vt:i4>462</vt:i4>
      </vt:variant>
      <vt:variant>
        <vt:i4>0</vt:i4>
      </vt:variant>
      <vt:variant>
        <vt:i4>5</vt:i4>
      </vt:variant>
      <vt:variant>
        <vt:lpwstr>https://dof.ca.gov/wp-content/uploads/sites/352/2023/04/ZE-Forklift-SRIA-to-DOF.pdf</vt:lpwstr>
      </vt:variant>
      <vt:variant>
        <vt:lpwstr/>
      </vt:variant>
      <vt:variant>
        <vt:i4>1835031</vt:i4>
      </vt:variant>
      <vt:variant>
        <vt:i4>459</vt:i4>
      </vt:variant>
      <vt:variant>
        <vt:i4>0</vt:i4>
      </vt:variant>
      <vt:variant>
        <vt:i4>5</vt:i4>
      </vt:variant>
      <vt:variant>
        <vt:lpwstr>https://ieeexplore.ieee.org/document/7732552</vt:lpwstr>
      </vt:variant>
      <vt:variant>
        <vt:lpwstr/>
      </vt:variant>
      <vt:variant>
        <vt:i4>6029398</vt:i4>
      </vt:variant>
      <vt:variant>
        <vt:i4>456</vt:i4>
      </vt:variant>
      <vt:variant>
        <vt:i4>0</vt:i4>
      </vt:variant>
      <vt:variant>
        <vt:i4>5</vt:i4>
      </vt:variant>
      <vt:variant>
        <vt:lpwstr>https://www.eia.gov/todayinenergy/detail.php?id=13431</vt:lpwstr>
      </vt:variant>
      <vt:variant>
        <vt:lpwstr/>
      </vt:variant>
      <vt:variant>
        <vt:i4>3735576</vt:i4>
      </vt:variant>
      <vt:variant>
        <vt:i4>453</vt:i4>
      </vt:variant>
      <vt:variant>
        <vt:i4>0</vt:i4>
      </vt:variant>
      <vt:variant>
        <vt:i4>5</vt:i4>
      </vt:variant>
      <vt:variant>
        <vt:lpwstr>https://www1.eere.energy.gov/manufacturing/tech_assistance/pdfs/motor.pdf</vt:lpwstr>
      </vt:variant>
      <vt:variant>
        <vt:lpwstr/>
      </vt:variant>
      <vt:variant>
        <vt:i4>3211312</vt:i4>
      </vt:variant>
      <vt:variant>
        <vt:i4>450</vt:i4>
      </vt:variant>
      <vt:variant>
        <vt:i4>0</vt:i4>
      </vt:variant>
      <vt:variant>
        <vt:i4>5</vt:i4>
      </vt:variant>
      <vt:variant>
        <vt:lpwstr>https://www.energy.gov/eere/ammto/articles/get-your-motor-running-next-generation-electric-machines</vt:lpwstr>
      </vt:variant>
      <vt:variant>
        <vt:lpwstr/>
      </vt:variant>
      <vt:variant>
        <vt:i4>5111831</vt:i4>
      </vt:variant>
      <vt:variant>
        <vt:i4>447</vt:i4>
      </vt:variant>
      <vt:variant>
        <vt:i4>0</vt:i4>
      </vt:variant>
      <vt:variant>
        <vt:i4>5</vt:i4>
      </vt:variant>
      <vt:variant>
        <vt:lpwstr>https://www.achrnews.com/articles/147247-commercial-hvac-retrofits-can-electrify-the-bottom-line</vt:lpwstr>
      </vt:variant>
      <vt:variant>
        <vt:lpwstr/>
      </vt:variant>
      <vt:variant>
        <vt:i4>5636215</vt:i4>
      </vt:variant>
      <vt:variant>
        <vt:i4>444</vt:i4>
      </vt:variant>
      <vt:variant>
        <vt:i4>0</vt:i4>
      </vt:variant>
      <vt:variant>
        <vt:i4>5</vt:i4>
      </vt:variant>
      <vt:variant>
        <vt:lpwstr>https://www.sandia.gov/ess-ssl/wp-content/uploads/2018/08/2017_EESAT_Proceeding_Jacobs.pdf</vt:lpwstr>
      </vt:variant>
      <vt:variant>
        <vt:lpwstr/>
      </vt:variant>
      <vt:variant>
        <vt:i4>4259863</vt:i4>
      </vt:variant>
      <vt:variant>
        <vt:i4>441</vt:i4>
      </vt:variant>
      <vt:variant>
        <vt:i4>0</vt:i4>
      </vt:variant>
      <vt:variant>
        <vt:i4>5</vt:i4>
      </vt:variant>
      <vt:variant>
        <vt:lpwstr>https://www.globalefficiencyintel.com/electrification-of-boilers-in-us-manufacturing</vt:lpwstr>
      </vt:variant>
      <vt:variant>
        <vt:lpwstr/>
      </vt:variant>
      <vt:variant>
        <vt:i4>5046303</vt:i4>
      </vt:variant>
      <vt:variant>
        <vt:i4>438</vt:i4>
      </vt:variant>
      <vt:variant>
        <vt:i4>0</vt:i4>
      </vt:variant>
      <vt:variant>
        <vt:i4>5</vt:i4>
      </vt:variant>
      <vt:variant>
        <vt:lpwstr>https://alumni.berkeley.edu/california-magazine/2023-spring-summer/berkeley-goes-all-electric-as-part-of-ambitious-clean-energy-campus-plan/</vt:lpwstr>
      </vt:variant>
      <vt:variant>
        <vt:lpwstr/>
      </vt:variant>
      <vt:variant>
        <vt:i4>1900566</vt:i4>
      </vt:variant>
      <vt:variant>
        <vt:i4>435</vt:i4>
      </vt:variant>
      <vt:variant>
        <vt:i4>0</vt:i4>
      </vt:variant>
      <vt:variant>
        <vt:i4>5</vt:i4>
      </vt:variant>
      <vt:variant>
        <vt:lpwstr>https://www.energy.ca.gov/data-reports/surveys/california-commercial-end-use-survey/2006-california-commercial-end-use-survey</vt:lpwstr>
      </vt:variant>
      <vt:variant>
        <vt:lpwstr/>
      </vt:variant>
      <vt:variant>
        <vt:i4>1900566</vt:i4>
      </vt:variant>
      <vt:variant>
        <vt:i4>432</vt:i4>
      </vt:variant>
      <vt:variant>
        <vt:i4>0</vt:i4>
      </vt:variant>
      <vt:variant>
        <vt:i4>5</vt:i4>
      </vt:variant>
      <vt:variant>
        <vt:lpwstr>https://www.energy.ca.gov/data-reports/surveys/california-commercial-end-use-survey/2006-california-commercial-end-use-survey</vt:lpwstr>
      </vt:variant>
      <vt:variant>
        <vt:lpwstr/>
      </vt:variant>
      <vt:variant>
        <vt:i4>983062</vt:i4>
      </vt:variant>
      <vt:variant>
        <vt:i4>429</vt:i4>
      </vt:variant>
      <vt:variant>
        <vt:i4>0</vt:i4>
      </vt:variant>
      <vt:variant>
        <vt:i4>5</vt:i4>
      </vt:variant>
      <vt:variant>
        <vt:lpwstr>https://caenergywise.com/instant-rebates/</vt:lpwstr>
      </vt:variant>
      <vt:variant>
        <vt:lpwstr/>
      </vt:variant>
      <vt:variant>
        <vt:i4>7340149</vt:i4>
      </vt:variant>
      <vt:variant>
        <vt:i4>426</vt:i4>
      </vt:variant>
      <vt:variant>
        <vt:i4>0</vt:i4>
      </vt:variant>
      <vt:variant>
        <vt:i4>5</vt:i4>
      </vt:variant>
      <vt:variant>
        <vt:lpwstr>https://www.energy.ca.gov/publications/2021/demonstration-high-efficiency-commercial-cooking-equipment-and-kitchen</vt:lpwstr>
      </vt:variant>
      <vt:variant>
        <vt:lpwstr/>
      </vt:variant>
      <vt:variant>
        <vt:i4>7340149</vt:i4>
      </vt:variant>
      <vt:variant>
        <vt:i4>423</vt:i4>
      </vt:variant>
      <vt:variant>
        <vt:i4>0</vt:i4>
      </vt:variant>
      <vt:variant>
        <vt:i4>5</vt:i4>
      </vt:variant>
      <vt:variant>
        <vt:lpwstr>https://www.energy.ca.gov/publications/2021/demonstration-high-efficiency-commercial-cooking-equipment-and-kitchen</vt:lpwstr>
      </vt:variant>
      <vt:variant>
        <vt:lpwstr/>
      </vt:variant>
      <vt:variant>
        <vt:i4>6291564</vt:i4>
      </vt:variant>
      <vt:variant>
        <vt:i4>420</vt:i4>
      </vt:variant>
      <vt:variant>
        <vt:i4>0</vt:i4>
      </vt:variant>
      <vt:variant>
        <vt:i4>5</vt:i4>
      </vt:variant>
      <vt:variant>
        <vt:lpwstr>https://opiniondynamics.com/wp-content/uploads/2022/06/OD-CPUC-Heat-Pump-Market-Study-Report-f.pdf</vt:lpwstr>
      </vt:variant>
      <vt:variant>
        <vt:lpwstr/>
      </vt:variant>
      <vt:variant>
        <vt:i4>3801128</vt:i4>
      </vt:variant>
      <vt:variant>
        <vt:i4>417</vt:i4>
      </vt:variant>
      <vt:variant>
        <vt:i4>0</vt:i4>
      </vt:variant>
      <vt:variant>
        <vt:i4>5</vt:i4>
      </vt:variant>
      <vt:variant>
        <vt:lpwstr>https://www.icpsr.umich.edu/web/ICPSR/studies/38605</vt:lpwstr>
      </vt:variant>
      <vt:variant>
        <vt:lpwstr/>
      </vt:variant>
      <vt:variant>
        <vt:i4>7667772</vt:i4>
      </vt:variant>
      <vt:variant>
        <vt:i4>414</vt:i4>
      </vt:variant>
      <vt:variant>
        <vt:i4>0</vt:i4>
      </vt:variant>
      <vt:variant>
        <vt:i4>5</vt:i4>
      </vt:variant>
      <vt:variant>
        <vt:lpwstr>https://www.epa.gov/ejscreen/download-ejscreen-data</vt:lpwstr>
      </vt:variant>
      <vt:variant>
        <vt:lpwstr/>
      </vt:variant>
      <vt:variant>
        <vt:i4>1704023</vt:i4>
      </vt:variant>
      <vt:variant>
        <vt:i4>411</vt:i4>
      </vt:variant>
      <vt:variant>
        <vt:i4>0</vt:i4>
      </vt:variant>
      <vt:variant>
        <vt:i4>5</vt:i4>
      </vt:variant>
      <vt:variant>
        <vt:lpwstr>https://www.eia.gov/consumption/manufacturing/data/2022/pdf/MECS 2022 Release 1-2 Results.pdf</vt:lpwstr>
      </vt:variant>
      <vt:variant>
        <vt:lpwstr/>
      </vt:variant>
      <vt:variant>
        <vt:i4>2687087</vt:i4>
      </vt:variant>
      <vt:variant>
        <vt:i4>408</vt:i4>
      </vt:variant>
      <vt:variant>
        <vt:i4>0</vt:i4>
      </vt:variant>
      <vt:variant>
        <vt:i4>5</vt:i4>
      </vt:variant>
      <vt:variant>
        <vt:lpwstr>https://www.energy.gov/scep/slsc/lead-tool</vt:lpwstr>
      </vt:variant>
      <vt:variant>
        <vt:lpwstr/>
      </vt:variant>
      <vt:variant>
        <vt:i4>4587608</vt:i4>
      </vt:variant>
      <vt:variant>
        <vt:i4>405</vt:i4>
      </vt:variant>
      <vt:variant>
        <vt:i4>0</vt:i4>
      </vt:variant>
      <vt:variant>
        <vt:i4>5</vt:i4>
      </vt:variant>
      <vt:variant>
        <vt:lpwstr>https://www.ers.usda.gov/data-products/food-access-research-atlas</vt:lpwstr>
      </vt:variant>
      <vt:variant>
        <vt:lpwstr/>
      </vt:variant>
      <vt:variant>
        <vt:i4>7209018</vt:i4>
      </vt:variant>
      <vt:variant>
        <vt:i4>402</vt:i4>
      </vt:variant>
      <vt:variant>
        <vt:i4>0</vt:i4>
      </vt:variant>
      <vt:variant>
        <vt:i4>5</vt:i4>
      </vt:variant>
      <vt:variant>
        <vt:lpwstr>https://data.census.gov/table?g=040XX00US06$1400000&amp;y=2022&amp;d=ACS+5-Year+Estimates+Data+Profiles</vt:lpwstr>
      </vt:variant>
      <vt:variant>
        <vt:lpwstr/>
      </vt:variant>
      <vt:variant>
        <vt:i4>73</vt:i4>
      </vt:variant>
      <vt:variant>
        <vt:i4>399</vt:i4>
      </vt:variant>
      <vt:variant>
        <vt:i4>0</vt:i4>
      </vt:variant>
      <vt:variant>
        <vt:i4>5</vt:i4>
      </vt:variant>
      <vt:variant>
        <vt:lpwstr>https://oehha.ca.gov/media/downloads/calenviroscreen/document/calenviroscreen40resultsdatadictionaryf2021.zip</vt:lpwstr>
      </vt:variant>
      <vt:variant>
        <vt:lpwstr/>
      </vt:variant>
      <vt:variant>
        <vt:i4>95</vt:i4>
      </vt:variant>
      <vt:variant>
        <vt:i4>396</vt:i4>
      </vt:variant>
      <vt:variant>
        <vt:i4>0</vt:i4>
      </vt:variant>
      <vt:variant>
        <vt:i4>5</vt:i4>
      </vt:variant>
      <vt:variant>
        <vt:lpwstr>https://data.nrel.gov/submissions/97</vt:lpwstr>
      </vt:variant>
      <vt:variant>
        <vt:lpwstr/>
      </vt:variant>
      <vt:variant>
        <vt:i4>6881404</vt:i4>
      </vt:variant>
      <vt:variant>
        <vt:i4>393</vt:i4>
      </vt:variant>
      <vt:variant>
        <vt:i4>0</vt:i4>
      </vt:variant>
      <vt:variant>
        <vt:i4>5</vt:i4>
      </vt:variant>
      <vt:variant>
        <vt:lpwstr>https://hazards.fema.gov/nri/data-resources</vt:lpwstr>
      </vt:variant>
      <vt:variant>
        <vt:lpwstr/>
      </vt:variant>
      <vt:variant>
        <vt:i4>6291495</vt:i4>
      </vt:variant>
      <vt:variant>
        <vt:i4>390</vt:i4>
      </vt:variant>
      <vt:variant>
        <vt:i4>0</vt:i4>
      </vt:variant>
      <vt:variant>
        <vt:i4>5</vt:i4>
      </vt:variant>
      <vt:variant>
        <vt:lpwstr>https://www.cpuc.ca.gov/-/media/cpuc-website/divisions/energy-division/documents/natural-gas/long-term-gas-planning-oir/rulings/revisedgassystemdataruling09212022.pdf</vt:lpwstr>
      </vt:variant>
      <vt:variant>
        <vt:lpwstr/>
      </vt:variant>
      <vt:variant>
        <vt:i4>3866739</vt:i4>
      </vt:variant>
      <vt:variant>
        <vt:i4>387</vt:i4>
      </vt:variant>
      <vt:variant>
        <vt:i4>0</vt:i4>
      </vt:variant>
      <vt:variant>
        <vt:i4>5</vt:i4>
      </vt:variant>
      <vt:variant>
        <vt:lpwstr>https://www.cpuc.ca.gov/industries-and-topics/natural-gas/long-term-gas-planning-rulemaking-closed</vt:lpwstr>
      </vt:variant>
      <vt:variant>
        <vt:lpwstr/>
      </vt:variant>
      <vt:variant>
        <vt:i4>7012466</vt:i4>
      </vt:variant>
      <vt:variant>
        <vt:i4>384</vt:i4>
      </vt:variant>
      <vt:variant>
        <vt:i4>0</vt:i4>
      </vt:variant>
      <vt:variant>
        <vt:i4>5</vt:i4>
      </vt:variant>
      <vt:variant>
        <vt:lpwstr>https://www.energy.ca.gov/data-reports/surveys/california-commercial-end-use-survey</vt:lpwstr>
      </vt:variant>
      <vt:variant>
        <vt:lpwstr/>
      </vt:variant>
      <vt:variant>
        <vt:i4>2621554</vt:i4>
      </vt:variant>
      <vt:variant>
        <vt:i4>381</vt:i4>
      </vt:variant>
      <vt:variant>
        <vt:i4>0</vt:i4>
      </vt:variant>
      <vt:variant>
        <vt:i4>5</vt:i4>
      </vt:variant>
      <vt:variant>
        <vt:lpwstr>http://www.jstor.org/stable/2346830</vt:lpwstr>
      </vt:variant>
      <vt:variant>
        <vt:lpwstr/>
      </vt:variant>
      <vt:variant>
        <vt:i4>1966139</vt:i4>
      </vt:variant>
      <vt:variant>
        <vt:i4>230</vt:i4>
      </vt:variant>
      <vt:variant>
        <vt:i4>0</vt:i4>
      </vt:variant>
      <vt:variant>
        <vt:i4>5</vt:i4>
      </vt:variant>
      <vt:variant>
        <vt:lpwstr/>
      </vt:variant>
      <vt:variant>
        <vt:lpwstr>_Toc213837972</vt:lpwstr>
      </vt:variant>
      <vt:variant>
        <vt:i4>1966139</vt:i4>
      </vt:variant>
      <vt:variant>
        <vt:i4>224</vt:i4>
      </vt:variant>
      <vt:variant>
        <vt:i4>0</vt:i4>
      </vt:variant>
      <vt:variant>
        <vt:i4>5</vt:i4>
      </vt:variant>
      <vt:variant>
        <vt:lpwstr/>
      </vt:variant>
      <vt:variant>
        <vt:lpwstr>_Toc213837971</vt:lpwstr>
      </vt:variant>
      <vt:variant>
        <vt:i4>1966139</vt:i4>
      </vt:variant>
      <vt:variant>
        <vt:i4>218</vt:i4>
      </vt:variant>
      <vt:variant>
        <vt:i4>0</vt:i4>
      </vt:variant>
      <vt:variant>
        <vt:i4>5</vt:i4>
      </vt:variant>
      <vt:variant>
        <vt:lpwstr/>
      </vt:variant>
      <vt:variant>
        <vt:lpwstr>_Toc213837970</vt:lpwstr>
      </vt:variant>
      <vt:variant>
        <vt:i4>2031675</vt:i4>
      </vt:variant>
      <vt:variant>
        <vt:i4>212</vt:i4>
      </vt:variant>
      <vt:variant>
        <vt:i4>0</vt:i4>
      </vt:variant>
      <vt:variant>
        <vt:i4>5</vt:i4>
      </vt:variant>
      <vt:variant>
        <vt:lpwstr/>
      </vt:variant>
      <vt:variant>
        <vt:lpwstr>_Toc213837969</vt:lpwstr>
      </vt:variant>
      <vt:variant>
        <vt:i4>2031675</vt:i4>
      </vt:variant>
      <vt:variant>
        <vt:i4>203</vt:i4>
      </vt:variant>
      <vt:variant>
        <vt:i4>0</vt:i4>
      </vt:variant>
      <vt:variant>
        <vt:i4>5</vt:i4>
      </vt:variant>
      <vt:variant>
        <vt:lpwstr/>
      </vt:variant>
      <vt:variant>
        <vt:lpwstr>_Toc213837968</vt:lpwstr>
      </vt:variant>
      <vt:variant>
        <vt:i4>2031675</vt:i4>
      </vt:variant>
      <vt:variant>
        <vt:i4>197</vt:i4>
      </vt:variant>
      <vt:variant>
        <vt:i4>0</vt:i4>
      </vt:variant>
      <vt:variant>
        <vt:i4>5</vt:i4>
      </vt:variant>
      <vt:variant>
        <vt:lpwstr/>
      </vt:variant>
      <vt:variant>
        <vt:lpwstr>_Toc213837967</vt:lpwstr>
      </vt:variant>
      <vt:variant>
        <vt:i4>2031675</vt:i4>
      </vt:variant>
      <vt:variant>
        <vt:i4>191</vt:i4>
      </vt:variant>
      <vt:variant>
        <vt:i4>0</vt:i4>
      </vt:variant>
      <vt:variant>
        <vt:i4>5</vt:i4>
      </vt:variant>
      <vt:variant>
        <vt:lpwstr/>
      </vt:variant>
      <vt:variant>
        <vt:lpwstr>_Toc213837966</vt:lpwstr>
      </vt:variant>
      <vt:variant>
        <vt:i4>2031675</vt:i4>
      </vt:variant>
      <vt:variant>
        <vt:i4>185</vt:i4>
      </vt:variant>
      <vt:variant>
        <vt:i4>0</vt:i4>
      </vt:variant>
      <vt:variant>
        <vt:i4>5</vt:i4>
      </vt:variant>
      <vt:variant>
        <vt:lpwstr/>
      </vt:variant>
      <vt:variant>
        <vt:lpwstr>_Toc213837965</vt:lpwstr>
      </vt:variant>
      <vt:variant>
        <vt:i4>2031675</vt:i4>
      </vt:variant>
      <vt:variant>
        <vt:i4>176</vt:i4>
      </vt:variant>
      <vt:variant>
        <vt:i4>0</vt:i4>
      </vt:variant>
      <vt:variant>
        <vt:i4>5</vt:i4>
      </vt:variant>
      <vt:variant>
        <vt:lpwstr/>
      </vt:variant>
      <vt:variant>
        <vt:lpwstr>_Toc213837964</vt:lpwstr>
      </vt:variant>
      <vt:variant>
        <vt:i4>2031675</vt:i4>
      </vt:variant>
      <vt:variant>
        <vt:i4>170</vt:i4>
      </vt:variant>
      <vt:variant>
        <vt:i4>0</vt:i4>
      </vt:variant>
      <vt:variant>
        <vt:i4>5</vt:i4>
      </vt:variant>
      <vt:variant>
        <vt:lpwstr/>
      </vt:variant>
      <vt:variant>
        <vt:lpwstr>_Toc213837963</vt:lpwstr>
      </vt:variant>
      <vt:variant>
        <vt:i4>2031675</vt:i4>
      </vt:variant>
      <vt:variant>
        <vt:i4>164</vt:i4>
      </vt:variant>
      <vt:variant>
        <vt:i4>0</vt:i4>
      </vt:variant>
      <vt:variant>
        <vt:i4>5</vt:i4>
      </vt:variant>
      <vt:variant>
        <vt:lpwstr/>
      </vt:variant>
      <vt:variant>
        <vt:lpwstr>_Toc213837962</vt:lpwstr>
      </vt:variant>
      <vt:variant>
        <vt:i4>2031675</vt:i4>
      </vt:variant>
      <vt:variant>
        <vt:i4>158</vt:i4>
      </vt:variant>
      <vt:variant>
        <vt:i4>0</vt:i4>
      </vt:variant>
      <vt:variant>
        <vt:i4>5</vt:i4>
      </vt:variant>
      <vt:variant>
        <vt:lpwstr/>
      </vt:variant>
      <vt:variant>
        <vt:lpwstr>_Toc213837961</vt:lpwstr>
      </vt:variant>
      <vt:variant>
        <vt:i4>2031675</vt:i4>
      </vt:variant>
      <vt:variant>
        <vt:i4>152</vt:i4>
      </vt:variant>
      <vt:variant>
        <vt:i4>0</vt:i4>
      </vt:variant>
      <vt:variant>
        <vt:i4>5</vt:i4>
      </vt:variant>
      <vt:variant>
        <vt:lpwstr/>
      </vt:variant>
      <vt:variant>
        <vt:lpwstr>_Toc213837960</vt:lpwstr>
      </vt:variant>
      <vt:variant>
        <vt:i4>1835067</vt:i4>
      </vt:variant>
      <vt:variant>
        <vt:i4>146</vt:i4>
      </vt:variant>
      <vt:variant>
        <vt:i4>0</vt:i4>
      </vt:variant>
      <vt:variant>
        <vt:i4>5</vt:i4>
      </vt:variant>
      <vt:variant>
        <vt:lpwstr/>
      </vt:variant>
      <vt:variant>
        <vt:lpwstr>_Toc213837959</vt:lpwstr>
      </vt:variant>
      <vt:variant>
        <vt:i4>1835067</vt:i4>
      </vt:variant>
      <vt:variant>
        <vt:i4>140</vt:i4>
      </vt:variant>
      <vt:variant>
        <vt:i4>0</vt:i4>
      </vt:variant>
      <vt:variant>
        <vt:i4>5</vt:i4>
      </vt:variant>
      <vt:variant>
        <vt:lpwstr/>
      </vt:variant>
      <vt:variant>
        <vt:lpwstr>_Toc213837958</vt:lpwstr>
      </vt:variant>
      <vt:variant>
        <vt:i4>1835067</vt:i4>
      </vt:variant>
      <vt:variant>
        <vt:i4>134</vt:i4>
      </vt:variant>
      <vt:variant>
        <vt:i4>0</vt:i4>
      </vt:variant>
      <vt:variant>
        <vt:i4>5</vt:i4>
      </vt:variant>
      <vt:variant>
        <vt:lpwstr/>
      </vt:variant>
      <vt:variant>
        <vt:lpwstr>_Toc213837957</vt:lpwstr>
      </vt:variant>
      <vt:variant>
        <vt:i4>1835067</vt:i4>
      </vt:variant>
      <vt:variant>
        <vt:i4>128</vt:i4>
      </vt:variant>
      <vt:variant>
        <vt:i4>0</vt:i4>
      </vt:variant>
      <vt:variant>
        <vt:i4>5</vt:i4>
      </vt:variant>
      <vt:variant>
        <vt:lpwstr/>
      </vt:variant>
      <vt:variant>
        <vt:lpwstr>_Toc213837956</vt:lpwstr>
      </vt:variant>
      <vt:variant>
        <vt:i4>1835067</vt:i4>
      </vt:variant>
      <vt:variant>
        <vt:i4>122</vt:i4>
      </vt:variant>
      <vt:variant>
        <vt:i4>0</vt:i4>
      </vt:variant>
      <vt:variant>
        <vt:i4>5</vt:i4>
      </vt:variant>
      <vt:variant>
        <vt:lpwstr/>
      </vt:variant>
      <vt:variant>
        <vt:lpwstr>_Toc213837955</vt:lpwstr>
      </vt:variant>
      <vt:variant>
        <vt:i4>1835067</vt:i4>
      </vt:variant>
      <vt:variant>
        <vt:i4>116</vt:i4>
      </vt:variant>
      <vt:variant>
        <vt:i4>0</vt:i4>
      </vt:variant>
      <vt:variant>
        <vt:i4>5</vt:i4>
      </vt:variant>
      <vt:variant>
        <vt:lpwstr/>
      </vt:variant>
      <vt:variant>
        <vt:lpwstr>_Toc213837954</vt:lpwstr>
      </vt:variant>
      <vt:variant>
        <vt:i4>1835067</vt:i4>
      </vt:variant>
      <vt:variant>
        <vt:i4>110</vt:i4>
      </vt:variant>
      <vt:variant>
        <vt:i4>0</vt:i4>
      </vt:variant>
      <vt:variant>
        <vt:i4>5</vt:i4>
      </vt:variant>
      <vt:variant>
        <vt:lpwstr/>
      </vt:variant>
      <vt:variant>
        <vt:lpwstr>_Toc213837953</vt:lpwstr>
      </vt:variant>
      <vt:variant>
        <vt:i4>1835067</vt:i4>
      </vt:variant>
      <vt:variant>
        <vt:i4>104</vt:i4>
      </vt:variant>
      <vt:variant>
        <vt:i4>0</vt:i4>
      </vt:variant>
      <vt:variant>
        <vt:i4>5</vt:i4>
      </vt:variant>
      <vt:variant>
        <vt:lpwstr/>
      </vt:variant>
      <vt:variant>
        <vt:lpwstr>_Toc213837952</vt:lpwstr>
      </vt:variant>
      <vt:variant>
        <vt:i4>1835067</vt:i4>
      </vt:variant>
      <vt:variant>
        <vt:i4>98</vt:i4>
      </vt:variant>
      <vt:variant>
        <vt:i4>0</vt:i4>
      </vt:variant>
      <vt:variant>
        <vt:i4>5</vt:i4>
      </vt:variant>
      <vt:variant>
        <vt:lpwstr/>
      </vt:variant>
      <vt:variant>
        <vt:lpwstr>_Toc213837951</vt:lpwstr>
      </vt:variant>
      <vt:variant>
        <vt:i4>1835067</vt:i4>
      </vt:variant>
      <vt:variant>
        <vt:i4>92</vt:i4>
      </vt:variant>
      <vt:variant>
        <vt:i4>0</vt:i4>
      </vt:variant>
      <vt:variant>
        <vt:i4>5</vt:i4>
      </vt:variant>
      <vt:variant>
        <vt:lpwstr/>
      </vt:variant>
      <vt:variant>
        <vt:lpwstr>_Toc213837950</vt:lpwstr>
      </vt:variant>
      <vt:variant>
        <vt:i4>1900603</vt:i4>
      </vt:variant>
      <vt:variant>
        <vt:i4>86</vt:i4>
      </vt:variant>
      <vt:variant>
        <vt:i4>0</vt:i4>
      </vt:variant>
      <vt:variant>
        <vt:i4>5</vt:i4>
      </vt:variant>
      <vt:variant>
        <vt:lpwstr/>
      </vt:variant>
      <vt:variant>
        <vt:lpwstr>_Toc213837949</vt:lpwstr>
      </vt:variant>
      <vt:variant>
        <vt:i4>1900603</vt:i4>
      </vt:variant>
      <vt:variant>
        <vt:i4>80</vt:i4>
      </vt:variant>
      <vt:variant>
        <vt:i4>0</vt:i4>
      </vt:variant>
      <vt:variant>
        <vt:i4>5</vt:i4>
      </vt:variant>
      <vt:variant>
        <vt:lpwstr/>
      </vt:variant>
      <vt:variant>
        <vt:lpwstr>_Toc213837948</vt:lpwstr>
      </vt:variant>
      <vt:variant>
        <vt:i4>1900603</vt:i4>
      </vt:variant>
      <vt:variant>
        <vt:i4>74</vt:i4>
      </vt:variant>
      <vt:variant>
        <vt:i4>0</vt:i4>
      </vt:variant>
      <vt:variant>
        <vt:i4>5</vt:i4>
      </vt:variant>
      <vt:variant>
        <vt:lpwstr/>
      </vt:variant>
      <vt:variant>
        <vt:lpwstr>_Toc213837947</vt:lpwstr>
      </vt:variant>
      <vt:variant>
        <vt:i4>1900603</vt:i4>
      </vt:variant>
      <vt:variant>
        <vt:i4>68</vt:i4>
      </vt:variant>
      <vt:variant>
        <vt:i4>0</vt:i4>
      </vt:variant>
      <vt:variant>
        <vt:i4>5</vt:i4>
      </vt:variant>
      <vt:variant>
        <vt:lpwstr/>
      </vt:variant>
      <vt:variant>
        <vt:lpwstr>_Toc213837946</vt:lpwstr>
      </vt:variant>
      <vt:variant>
        <vt:i4>1900603</vt:i4>
      </vt:variant>
      <vt:variant>
        <vt:i4>62</vt:i4>
      </vt:variant>
      <vt:variant>
        <vt:i4>0</vt:i4>
      </vt:variant>
      <vt:variant>
        <vt:i4>5</vt:i4>
      </vt:variant>
      <vt:variant>
        <vt:lpwstr/>
      </vt:variant>
      <vt:variant>
        <vt:lpwstr>_Toc213837945</vt:lpwstr>
      </vt:variant>
      <vt:variant>
        <vt:i4>1900603</vt:i4>
      </vt:variant>
      <vt:variant>
        <vt:i4>56</vt:i4>
      </vt:variant>
      <vt:variant>
        <vt:i4>0</vt:i4>
      </vt:variant>
      <vt:variant>
        <vt:i4>5</vt:i4>
      </vt:variant>
      <vt:variant>
        <vt:lpwstr/>
      </vt:variant>
      <vt:variant>
        <vt:lpwstr>_Toc213837944</vt:lpwstr>
      </vt:variant>
      <vt:variant>
        <vt:i4>1900603</vt:i4>
      </vt:variant>
      <vt:variant>
        <vt:i4>50</vt:i4>
      </vt:variant>
      <vt:variant>
        <vt:i4>0</vt:i4>
      </vt:variant>
      <vt:variant>
        <vt:i4>5</vt:i4>
      </vt:variant>
      <vt:variant>
        <vt:lpwstr/>
      </vt:variant>
      <vt:variant>
        <vt:lpwstr>_Toc213837943</vt:lpwstr>
      </vt:variant>
      <vt:variant>
        <vt:i4>1900603</vt:i4>
      </vt:variant>
      <vt:variant>
        <vt:i4>44</vt:i4>
      </vt:variant>
      <vt:variant>
        <vt:i4>0</vt:i4>
      </vt:variant>
      <vt:variant>
        <vt:i4>5</vt:i4>
      </vt:variant>
      <vt:variant>
        <vt:lpwstr/>
      </vt:variant>
      <vt:variant>
        <vt:lpwstr>_Toc213837942</vt:lpwstr>
      </vt:variant>
      <vt:variant>
        <vt:i4>1900603</vt:i4>
      </vt:variant>
      <vt:variant>
        <vt:i4>38</vt:i4>
      </vt:variant>
      <vt:variant>
        <vt:i4>0</vt:i4>
      </vt:variant>
      <vt:variant>
        <vt:i4>5</vt:i4>
      </vt:variant>
      <vt:variant>
        <vt:lpwstr/>
      </vt:variant>
      <vt:variant>
        <vt:lpwstr>_Toc213837941</vt:lpwstr>
      </vt:variant>
      <vt:variant>
        <vt:i4>1900603</vt:i4>
      </vt:variant>
      <vt:variant>
        <vt:i4>32</vt:i4>
      </vt:variant>
      <vt:variant>
        <vt:i4>0</vt:i4>
      </vt:variant>
      <vt:variant>
        <vt:i4>5</vt:i4>
      </vt:variant>
      <vt:variant>
        <vt:lpwstr/>
      </vt:variant>
      <vt:variant>
        <vt:lpwstr>_Toc213837940</vt:lpwstr>
      </vt:variant>
      <vt:variant>
        <vt:i4>1703995</vt:i4>
      </vt:variant>
      <vt:variant>
        <vt:i4>26</vt:i4>
      </vt:variant>
      <vt:variant>
        <vt:i4>0</vt:i4>
      </vt:variant>
      <vt:variant>
        <vt:i4>5</vt:i4>
      </vt:variant>
      <vt:variant>
        <vt:lpwstr/>
      </vt:variant>
      <vt:variant>
        <vt:lpwstr>_Toc213837939</vt:lpwstr>
      </vt:variant>
      <vt:variant>
        <vt:i4>1703995</vt:i4>
      </vt:variant>
      <vt:variant>
        <vt:i4>20</vt:i4>
      </vt:variant>
      <vt:variant>
        <vt:i4>0</vt:i4>
      </vt:variant>
      <vt:variant>
        <vt:i4>5</vt:i4>
      </vt:variant>
      <vt:variant>
        <vt:lpwstr/>
      </vt:variant>
      <vt:variant>
        <vt:lpwstr>_Toc213837938</vt:lpwstr>
      </vt:variant>
      <vt:variant>
        <vt:i4>1703995</vt:i4>
      </vt:variant>
      <vt:variant>
        <vt:i4>14</vt:i4>
      </vt:variant>
      <vt:variant>
        <vt:i4>0</vt:i4>
      </vt:variant>
      <vt:variant>
        <vt:i4>5</vt:i4>
      </vt:variant>
      <vt:variant>
        <vt:lpwstr/>
      </vt:variant>
      <vt:variant>
        <vt:lpwstr>_Toc213837937</vt:lpwstr>
      </vt:variant>
      <vt:variant>
        <vt:i4>1703995</vt:i4>
      </vt:variant>
      <vt:variant>
        <vt:i4>8</vt:i4>
      </vt:variant>
      <vt:variant>
        <vt:i4>0</vt:i4>
      </vt:variant>
      <vt:variant>
        <vt:i4>5</vt:i4>
      </vt:variant>
      <vt:variant>
        <vt:lpwstr/>
      </vt:variant>
      <vt:variant>
        <vt:lpwstr>_Toc213837936</vt:lpwstr>
      </vt:variant>
      <vt:variant>
        <vt:i4>1703995</vt:i4>
      </vt:variant>
      <vt:variant>
        <vt:i4>2</vt:i4>
      </vt:variant>
      <vt:variant>
        <vt:i4>0</vt:i4>
      </vt:variant>
      <vt:variant>
        <vt:i4>5</vt:i4>
      </vt:variant>
      <vt:variant>
        <vt:lpwstr/>
      </vt:variant>
      <vt:variant>
        <vt:lpwstr>_Toc213837935</vt:lpwstr>
      </vt:variant>
      <vt:variant>
        <vt:i4>6291495</vt:i4>
      </vt:variant>
      <vt:variant>
        <vt:i4>18</vt:i4>
      </vt:variant>
      <vt:variant>
        <vt:i4>0</vt:i4>
      </vt:variant>
      <vt:variant>
        <vt:i4>5</vt:i4>
      </vt:variant>
      <vt:variant>
        <vt:lpwstr>https://www.cpuc.ca.gov/-/media/cpuc-website/divisions/energy-division/documents/natural-gas/long-term-gas-planning-oir/rulings/revisedgassystemdataruling09212022.pdf</vt:lpwstr>
      </vt:variant>
      <vt:variant>
        <vt:lpwstr/>
      </vt:variant>
      <vt:variant>
        <vt:i4>3407975</vt:i4>
      </vt:variant>
      <vt:variant>
        <vt:i4>15</vt:i4>
      </vt:variant>
      <vt:variant>
        <vt:i4>0</vt:i4>
      </vt:variant>
      <vt:variant>
        <vt:i4>5</vt:i4>
      </vt:variant>
      <vt:variant>
        <vt:lpwstr>https://www.cpuc.ca.gov/-/media/cpuc-website/divisions/energy-division/documents/natural-gas/long-term-gas-planning-oir/rulings/gassystemdataruling03012022.pdf</vt:lpwstr>
      </vt:variant>
      <vt:variant>
        <vt:lpwstr/>
      </vt:variant>
      <vt:variant>
        <vt:i4>3866739</vt:i4>
      </vt:variant>
      <vt:variant>
        <vt:i4>12</vt:i4>
      </vt:variant>
      <vt:variant>
        <vt:i4>0</vt:i4>
      </vt:variant>
      <vt:variant>
        <vt:i4>5</vt:i4>
      </vt:variant>
      <vt:variant>
        <vt:lpwstr>https://www.cpuc.ca.gov/industries-and-topics/natural-gas/long-term-gas-planning-rulemaking-closed</vt:lpwstr>
      </vt:variant>
      <vt:variant>
        <vt:lpwstr/>
      </vt:variant>
      <vt:variant>
        <vt:i4>1900566</vt:i4>
      </vt:variant>
      <vt:variant>
        <vt:i4>9</vt:i4>
      </vt:variant>
      <vt:variant>
        <vt:i4>0</vt:i4>
      </vt:variant>
      <vt:variant>
        <vt:i4>5</vt:i4>
      </vt:variant>
      <vt:variant>
        <vt:lpwstr>https://www.epa.gov/superfund/what-superfund</vt:lpwstr>
      </vt:variant>
      <vt:variant>
        <vt:lpwstr/>
      </vt:variant>
      <vt:variant>
        <vt:i4>6291495</vt:i4>
      </vt:variant>
      <vt:variant>
        <vt:i4>6</vt:i4>
      </vt:variant>
      <vt:variant>
        <vt:i4>0</vt:i4>
      </vt:variant>
      <vt:variant>
        <vt:i4>5</vt:i4>
      </vt:variant>
      <vt:variant>
        <vt:lpwstr>https://www.cpuc.ca.gov/-/media/cpuc-website/divisions/energy-division/documents/natural-gas/long-term-gas-planning-oir/rulings/revisedgassystemdataruling09212022.pdf</vt:lpwstr>
      </vt:variant>
      <vt:variant>
        <vt:lpwstr/>
      </vt:variant>
      <vt:variant>
        <vt:i4>3866739</vt:i4>
      </vt:variant>
      <vt:variant>
        <vt:i4>3</vt:i4>
      </vt:variant>
      <vt:variant>
        <vt:i4>0</vt:i4>
      </vt:variant>
      <vt:variant>
        <vt:i4>5</vt:i4>
      </vt:variant>
      <vt:variant>
        <vt:lpwstr>https://www.cpuc.ca.gov/industries-and-topics/natural-gas/long-term-gas-planning-rulemaking-closed</vt:lpwstr>
      </vt:variant>
      <vt:variant>
        <vt:lpwstr/>
      </vt:variant>
      <vt:variant>
        <vt:i4>5898307</vt:i4>
      </vt:variant>
      <vt:variant>
        <vt:i4>0</vt:i4>
      </vt:variant>
      <vt:variant>
        <vt:i4>0</vt:i4>
      </vt:variant>
      <vt:variant>
        <vt:i4>5</vt:i4>
      </vt:variant>
      <vt:variant>
        <vt:lpwstr>https://www.jstor.org/stable/2346830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DNV Report Template ES NE English</dc:title>
  <dc:subject/>
  <dc:creator>Ree, Monique van</dc:creator>
  <cp:keywords/>
  <cp:lastModifiedBy>Schmidt-Poolman, Martine@Energy</cp:lastModifiedBy>
  <cp:revision>64</cp:revision>
  <dcterms:created xsi:type="dcterms:W3CDTF">2025-11-19T18:21:00Z</dcterms:created>
  <dcterms:modified xsi:type="dcterms:W3CDTF">2025-12-18T01:01:00Z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20210216 124511</vt:lpwstr>
  </property>
  <property fmtid="{D5CDD505-2E9C-101B-9397-08002B2CF9AE}" pid="3" name="TB name">
    <vt:lpwstr>COR 006</vt:lpwstr>
  </property>
  <property fmtid="{D5CDD505-2E9C-101B-9397-08002B2CF9AE}" pid="4" name="TB id">
    <vt:lpwstr>7262</vt:lpwstr>
  </property>
  <property fmtid="{D5CDD505-2E9C-101B-9397-08002B2CF9AE}" pid="5" name="TB filename">
    <vt:lpwstr>COR006.dotx</vt:lpwstr>
  </property>
  <property fmtid="{D5CDD505-2E9C-101B-9397-08002B2CF9AE}" pid="6" name="MSIP_Label_22fbb032-08bf-4f1e-af46-2528cd3f96ca_Enabled">
    <vt:lpwstr>true</vt:lpwstr>
  </property>
  <property fmtid="{D5CDD505-2E9C-101B-9397-08002B2CF9AE}" pid="7" name="MSIP_Label_22fbb032-08bf-4f1e-af46-2528cd3f96ca_SetDate">
    <vt:lpwstr>2021-04-13T07:44:50Z</vt:lpwstr>
  </property>
  <property fmtid="{D5CDD505-2E9C-101B-9397-08002B2CF9AE}" pid="8" name="MSIP_Label_22fbb032-08bf-4f1e-af46-2528cd3f96ca_Method">
    <vt:lpwstr>Privileged</vt:lpwstr>
  </property>
  <property fmtid="{D5CDD505-2E9C-101B-9397-08002B2CF9AE}" pid="9" name="MSIP_Label_22fbb032-08bf-4f1e-af46-2528cd3f96ca_Name">
    <vt:lpwstr>22fbb032-08bf-4f1e-af46-2528cd3f96ca</vt:lpwstr>
  </property>
  <property fmtid="{D5CDD505-2E9C-101B-9397-08002B2CF9AE}" pid="10" name="MSIP_Label_22fbb032-08bf-4f1e-af46-2528cd3f96ca_SiteId">
    <vt:lpwstr>adf10e2b-b6e9-41d6-be2f-c12bb566019c</vt:lpwstr>
  </property>
  <property fmtid="{D5CDD505-2E9C-101B-9397-08002B2CF9AE}" pid="11" name="MSIP_Label_22fbb032-08bf-4f1e-af46-2528cd3f96ca_ActionId">
    <vt:lpwstr>d52e2608-a863-4095-875d-2ce940aef69b</vt:lpwstr>
  </property>
  <property fmtid="{D5CDD505-2E9C-101B-9397-08002B2CF9AE}" pid="12" name="MSIP_Label_22fbb032-08bf-4f1e-af46-2528cd3f96ca_ContentBits">
    <vt:lpwstr>0</vt:lpwstr>
  </property>
  <property fmtid="{D5CDD505-2E9C-101B-9397-08002B2CF9AE}" pid="13" name="MSIP_Label_7340d318-f867-4a4c-9861-eaaff4d93030_Enabled">
    <vt:lpwstr>true</vt:lpwstr>
  </property>
  <property fmtid="{D5CDD505-2E9C-101B-9397-08002B2CF9AE}" pid="14" name="MSIP_Label_7340d318-f867-4a4c-9861-eaaff4d93030_Name">
    <vt:lpwstr>7340d318-f867-4a4c-9861-eaaff4d93030</vt:lpwstr>
  </property>
  <property fmtid="{D5CDD505-2E9C-101B-9397-08002B2CF9AE}" pid="15" name="MSIP_Label_7340d318-f867-4a4c-9861-eaaff4d93030_SetDate">
    <vt:lpwstr>2021-05-10T12:17:41Z</vt:lpwstr>
  </property>
  <property fmtid="{D5CDD505-2E9C-101B-9397-08002B2CF9AE}" pid="16" name="MSIP_Label_7340d318-f867-4a4c-9861-eaaff4d93030_SiteId">
    <vt:lpwstr>adf10e2b-b6e9-41d6-be2f-c12bb566019c</vt:lpwstr>
  </property>
  <property fmtid="{D5CDD505-2E9C-101B-9397-08002B2CF9AE}" pid="17" name="MSIP_Label_7340d318-f867-4a4c-9861-eaaff4d93030_ActionId">
    <vt:lpwstr>98576c42-fe8c-47ef-b006-6c408b1c1289</vt:lpwstr>
  </property>
  <property fmtid="{D5CDD505-2E9C-101B-9397-08002B2CF9AE}" pid="18" name="MSIP_Label_7340d318-f867-4a4c-9861-eaaff4d93030_ContentBits">
    <vt:lpwstr>0</vt:lpwstr>
  </property>
  <property fmtid="{D5CDD505-2E9C-101B-9397-08002B2CF9AE}" pid="19" name="MSIP_Label_7340d318-f867-4a4c-9861-eaaff4d93030_Method">
    <vt:lpwstr>Privileged</vt:lpwstr>
  </property>
  <property fmtid="{D5CDD505-2E9C-101B-9397-08002B2CF9AE}" pid="20" name="ContentTypeId">
    <vt:lpwstr>0x010100108811F69A18B94C9690D43217B04F68</vt:lpwstr>
  </property>
  <property fmtid="{D5CDD505-2E9C-101B-9397-08002B2CF9AE}" pid="21" name="MediaServiceImageTags">
    <vt:lpwstr/>
  </property>
  <property fmtid="{D5CDD505-2E9C-101B-9397-08002B2CF9AE}" pid="22" name="docLang">
    <vt:lpwstr>en</vt:lpwstr>
  </property>
</Properties>
</file>