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9B18" w14:textId="77777777" w:rsidR="008A6C56" w:rsidRDefault="008A6C56">
      <w:pPr>
        <w:rPr>
          <w:b/>
          <w:bCs/>
          <w:sz w:val="36"/>
          <w:szCs w:val="36"/>
        </w:rPr>
      </w:pPr>
    </w:p>
    <w:p w14:paraId="7868A307" w14:textId="77777777" w:rsidR="008A6C56" w:rsidRDefault="008A6C56">
      <w:pPr>
        <w:rPr>
          <w:b/>
          <w:bCs/>
          <w:sz w:val="36"/>
          <w:szCs w:val="36"/>
        </w:rPr>
      </w:pPr>
    </w:p>
    <w:p w14:paraId="1F2F5628" w14:textId="78D5A196" w:rsidR="00957F60" w:rsidRPr="00955D50" w:rsidRDefault="009F3B53" w:rsidP="00957F60">
      <w:pPr>
        <w:rPr>
          <w:b/>
          <w:bCs/>
          <w:sz w:val="48"/>
          <w:szCs w:val="48"/>
          <w:lang w:val="en-US"/>
        </w:rPr>
      </w:pPr>
      <w:r>
        <w:rPr>
          <w:b/>
          <w:bCs/>
          <w:sz w:val="48"/>
          <w:szCs w:val="48"/>
          <w:lang w:val="en-US"/>
        </w:rPr>
        <w:t xml:space="preserve">Community Resources </w:t>
      </w:r>
      <w:r w:rsidR="00E0635A">
        <w:rPr>
          <w:b/>
          <w:bCs/>
          <w:sz w:val="48"/>
          <w:szCs w:val="48"/>
          <w:lang w:val="en-US"/>
        </w:rPr>
        <w:t>and Equity</w:t>
      </w:r>
      <w:r w:rsidR="00D177B2">
        <w:rPr>
          <w:b/>
          <w:bCs/>
          <w:sz w:val="48"/>
          <w:szCs w:val="48"/>
          <w:lang w:val="en-US"/>
        </w:rPr>
        <w:t xml:space="preserve"> Index – Engagement Assessment and Design</w:t>
      </w:r>
      <w:r w:rsidR="00957F60" w:rsidRPr="00697B89">
        <w:rPr>
          <w:b/>
          <w:bCs/>
          <w:sz w:val="48"/>
          <w:szCs w:val="48"/>
          <w:lang w:val="en-US"/>
        </w:rPr>
        <w:t xml:space="preserve"> </w:t>
      </w:r>
      <w:r w:rsidR="00957F60">
        <w:rPr>
          <w:b/>
          <w:bCs/>
          <w:sz w:val="48"/>
          <w:szCs w:val="48"/>
          <w:lang w:val="en-US"/>
        </w:rPr>
        <w:t>Memorandum</w:t>
      </w:r>
    </w:p>
    <w:p w14:paraId="760909DB" w14:textId="77777777" w:rsidR="00957F60" w:rsidRPr="00BA3142" w:rsidRDefault="00957F60" w:rsidP="00957F60">
      <w:pPr>
        <w:rPr>
          <w:rFonts w:asciiTheme="minorHAnsi" w:hAnsiTheme="minorHAnsi" w:cstheme="minorHAnsi"/>
          <w:sz w:val="24"/>
          <w:szCs w:val="24"/>
        </w:rPr>
      </w:pPr>
    </w:p>
    <w:p w14:paraId="53CC01C8" w14:textId="77777777" w:rsidR="00957F60" w:rsidRPr="00BA3142" w:rsidRDefault="00957F60" w:rsidP="00957F60">
      <w:pPr>
        <w:rPr>
          <w:rFonts w:asciiTheme="minorHAnsi" w:hAnsiTheme="minorHAnsi" w:cstheme="minorHAnsi"/>
          <w:sz w:val="24"/>
          <w:szCs w:val="24"/>
        </w:rPr>
      </w:pPr>
      <w:r w:rsidRPr="00BA3142">
        <w:rPr>
          <w:rFonts w:asciiTheme="minorHAnsi" w:hAnsiTheme="minorHAnsi" w:cstheme="minorHAnsi"/>
          <w:sz w:val="24"/>
          <w:szCs w:val="24"/>
        </w:rPr>
        <w:t>December 2025</w:t>
      </w:r>
    </w:p>
    <w:p w14:paraId="546D2CCC" w14:textId="77777777" w:rsidR="00957F60" w:rsidRPr="00BA3142" w:rsidRDefault="00957F60" w:rsidP="00957F60">
      <w:pPr>
        <w:rPr>
          <w:rFonts w:asciiTheme="minorHAnsi" w:hAnsiTheme="minorHAnsi" w:cstheme="minorHAnsi"/>
          <w:sz w:val="24"/>
          <w:szCs w:val="24"/>
        </w:rPr>
      </w:pPr>
    </w:p>
    <w:p w14:paraId="7B5C7176" w14:textId="77777777" w:rsidR="00957F60" w:rsidRPr="00BA3142" w:rsidRDefault="00957F60" w:rsidP="00957F60">
      <w:pPr>
        <w:rPr>
          <w:rFonts w:asciiTheme="minorHAnsi" w:hAnsiTheme="minorHAnsi" w:cstheme="minorHAnsi"/>
          <w:sz w:val="24"/>
          <w:szCs w:val="24"/>
        </w:rPr>
      </w:pPr>
    </w:p>
    <w:p w14:paraId="2479B687" w14:textId="77777777" w:rsidR="00957F60" w:rsidRPr="00BA3142" w:rsidRDefault="00957F60" w:rsidP="00957F60">
      <w:pPr>
        <w:rPr>
          <w:rFonts w:asciiTheme="minorHAnsi" w:hAnsiTheme="minorHAnsi" w:cstheme="minorHAnsi"/>
          <w:sz w:val="24"/>
          <w:szCs w:val="24"/>
        </w:rPr>
      </w:pPr>
    </w:p>
    <w:p w14:paraId="6C5C19DB" w14:textId="77777777" w:rsidR="00957F60" w:rsidRPr="00BA3142" w:rsidRDefault="00957F60" w:rsidP="00957F60">
      <w:pPr>
        <w:rPr>
          <w:rFonts w:asciiTheme="minorHAnsi" w:hAnsiTheme="minorHAnsi" w:cstheme="minorHAnsi"/>
          <w:sz w:val="24"/>
          <w:szCs w:val="24"/>
        </w:rPr>
      </w:pPr>
    </w:p>
    <w:p w14:paraId="2458C4F8" w14:textId="77777777" w:rsidR="00957F60" w:rsidRPr="00BA3142" w:rsidRDefault="00957F60" w:rsidP="00957F60">
      <w:pPr>
        <w:rPr>
          <w:rFonts w:asciiTheme="minorHAnsi" w:hAnsiTheme="minorHAnsi" w:cstheme="minorHAnsi"/>
          <w:sz w:val="24"/>
          <w:szCs w:val="24"/>
        </w:rPr>
      </w:pPr>
    </w:p>
    <w:p w14:paraId="7C8932D6" w14:textId="77777777" w:rsidR="00957F60" w:rsidRPr="00BA3142" w:rsidRDefault="00957F60" w:rsidP="00957F60">
      <w:pPr>
        <w:rPr>
          <w:rFonts w:asciiTheme="minorHAnsi" w:hAnsiTheme="minorHAnsi" w:cstheme="minorHAnsi"/>
          <w:sz w:val="24"/>
          <w:szCs w:val="24"/>
        </w:rPr>
      </w:pPr>
    </w:p>
    <w:p w14:paraId="3670264B" w14:textId="77777777" w:rsidR="00957F60" w:rsidRPr="00BA3142" w:rsidRDefault="00957F60" w:rsidP="00957F60">
      <w:pPr>
        <w:rPr>
          <w:rFonts w:asciiTheme="minorHAnsi" w:hAnsiTheme="minorHAnsi" w:cstheme="minorHAnsi"/>
          <w:sz w:val="24"/>
          <w:szCs w:val="24"/>
        </w:rPr>
      </w:pPr>
    </w:p>
    <w:p w14:paraId="0779CA1D" w14:textId="77777777" w:rsidR="00957F60" w:rsidRPr="00BA3142" w:rsidRDefault="00957F60" w:rsidP="00957F60">
      <w:pPr>
        <w:rPr>
          <w:rFonts w:asciiTheme="minorHAnsi" w:hAnsiTheme="minorHAnsi" w:cstheme="minorHAnsi"/>
          <w:sz w:val="24"/>
          <w:szCs w:val="24"/>
        </w:rPr>
      </w:pPr>
    </w:p>
    <w:p w14:paraId="664B7D38" w14:textId="77777777" w:rsidR="00957F60" w:rsidRPr="00BA3142" w:rsidRDefault="00957F60" w:rsidP="00957F60">
      <w:pPr>
        <w:rPr>
          <w:rFonts w:asciiTheme="minorHAnsi" w:hAnsiTheme="minorHAnsi" w:cstheme="minorHAnsi"/>
          <w:sz w:val="24"/>
          <w:szCs w:val="24"/>
        </w:rPr>
      </w:pPr>
    </w:p>
    <w:p w14:paraId="790FC081" w14:textId="77777777" w:rsidR="00957F60" w:rsidRPr="00BA3142" w:rsidRDefault="00957F60" w:rsidP="00957F60">
      <w:pPr>
        <w:rPr>
          <w:rFonts w:asciiTheme="minorHAnsi" w:hAnsiTheme="minorHAnsi" w:cstheme="minorHAnsi"/>
          <w:sz w:val="24"/>
          <w:szCs w:val="24"/>
        </w:rPr>
      </w:pPr>
    </w:p>
    <w:p w14:paraId="05DCFFCA" w14:textId="77777777" w:rsidR="00957F60" w:rsidRPr="00BA3142" w:rsidRDefault="00957F60" w:rsidP="00957F60">
      <w:pPr>
        <w:rPr>
          <w:rFonts w:asciiTheme="minorHAnsi" w:hAnsiTheme="minorHAnsi" w:cstheme="minorHAnsi"/>
          <w:sz w:val="24"/>
          <w:szCs w:val="24"/>
        </w:rPr>
      </w:pPr>
    </w:p>
    <w:p w14:paraId="0A4D9040" w14:textId="77777777" w:rsidR="00957F60" w:rsidRPr="00BA3142" w:rsidRDefault="00957F60" w:rsidP="00957F60">
      <w:pPr>
        <w:rPr>
          <w:rFonts w:asciiTheme="minorHAnsi" w:hAnsiTheme="minorHAnsi" w:cstheme="minorHAnsi"/>
          <w:sz w:val="24"/>
          <w:szCs w:val="24"/>
        </w:rPr>
      </w:pPr>
    </w:p>
    <w:p w14:paraId="5CA38CA3" w14:textId="77777777" w:rsidR="00957F60" w:rsidRPr="00BA3142" w:rsidRDefault="00957F60" w:rsidP="00957F60">
      <w:pPr>
        <w:rPr>
          <w:rFonts w:asciiTheme="minorHAnsi" w:hAnsiTheme="minorHAnsi" w:cstheme="minorHAnsi"/>
          <w:sz w:val="24"/>
          <w:szCs w:val="24"/>
        </w:rPr>
      </w:pPr>
    </w:p>
    <w:p w14:paraId="09573B8F" w14:textId="77777777" w:rsidR="00957F60" w:rsidRPr="00BA3142" w:rsidRDefault="00957F60" w:rsidP="00957F60">
      <w:pPr>
        <w:rPr>
          <w:rFonts w:asciiTheme="minorHAnsi" w:hAnsiTheme="minorHAnsi" w:cstheme="minorHAnsi"/>
          <w:sz w:val="24"/>
          <w:szCs w:val="24"/>
        </w:rPr>
      </w:pPr>
    </w:p>
    <w:p w14:paraId="72949777" w14:textId="77777777" w:rsidR="00957F60" w:rsidRPr="00BA3142" w:rsidRDefault="00957F60" w:rsidP="00957F60">
      <w:pPr>
        <w:rPr>
          <w:rFonts w:asciiTheme="minorHAnsi" w:hAnsiTheme="minorHAnsi" w:cstheme="minorHAnsi"/>
          <w:sz w:val="24"/>
          <w:szCs w:val="24"/>
        </w:rPr>
      </w:pPr>
    </w:p>
    <w:p w14:paraId="4983AB1D" w14:textId="77777777" w:rsidR="00957F60" w:rsidRPr="00BA3142" w:rsidRDefault="00957F60" w:rsidP="00957F60">
      <w:pPr>
        <w:rPr>
          <w:rFonts w:asciiTheme="minorHAnsi" w:hAnsiTheme="minorHAnsi" w:cstheme="minorHAnsi"/>
          <w:sz w:val="24"/>
          <w:szCs w:val="24"/>
        </w:rPr>
      </w:pPr>
    </w:p>
    <w:p w14:paraId="5B484D2D" w14:textId="001BBE4B" w:rsidR="00AB6E56" w:rsidRPr="00955D50" w:rsidRDefault="00AB6E56" w:rsidP="00AB6E56">
      <w:pPr>
        <w:numPr>
          <w:ilvl w:val="0"/>
          <w:numId w:val="24"/>
        </w:numPr>
        <w:rPr>
          <w:rFonts w:asciiTheme="minorHAnsi" w:hAnsiTheme="minorHAnsi" w:cstheme="minorHAnsi"/>
          <w:sz w:val="24"/>
          <w:szCs w:val="24"/>
        </w:rPr>
      </w:pPr>
      <w:r w:rsidRPr="00955D50">
        <w:rPr>
          <w:rFonts w:asciiTheme="minorHAnsi" w:hAnsiTheme="minorHAnsi" w:cstheme="minorHAnsi"/>
          <w:sz w:val="24"/>
          <w:szCs w:val="24"/>
        </w:rPr>
        <w:t xml:space="preserve">This research is funded by the California Energy Commission (CEC) through </w:t>
      </w:r>
      <w:r>
        <w:rPr>
          <w:rFonts w:asciiTheme="minorHAnsi" w:hAnsiTheme="minorHAnsi" w:cstheme="minorHAnsi"/>
          <w:sz w:val="24"/>
          <w:szCs w:val="24"/>
        </w:rPr>
        <w:t>the</w:t>
      </w:r>
      <w:r w:rsidRPr="00955D50">
        <w:rPr>
          <w:rFonts w:asciiTheme="minorHAnsi" w:hAnsiTheme="minorHAnsi" w:cstheme="minorHAnsi"/>
          <w:sz w:val="24"/>
          <w:szCs w:val="24"/>
        </w:rPr>
        <w:t xml:space="preserve"> Gas Research and Development Program, which invests in innovations to support the gas sector transition and cost-effective achievement of the state’s clean energy and climate goals.</w:t>
      </w:r>
    </w:p>
    <w:p w14:paraId="07C1F37E" w14:textId="77777777" w:rsidR="00AB6E56" w:rsidRPr="00607668" w:rsidRDefault="00AB6E56" w:rsidP="00AB6E56">
      <w:pPr>
        <w:numPr>
          <w:ilvl w:val="0"/>
          <w:numId w:val="24"/>
        </w:numPr>
        <w:rPr>
          <w:rFonts w:asciiTheme="minorHAnsi" w:hAnsiTheme="minorHAnsi" w:cstheme="minorHAnsi"/>
          <w:sz w:val="24"/>
          <w:szCs w:val="24"/>
        </w:rPr>
      </w:pPr>
      <w:r w:rsidRPr="00955D50">
        <w:rPr>
          <w:rFonts w:asciiTheme="minorHAnsi" w:hAnsiTheme="minorHAnsi" w:cstheme="minorHAnsi"/>
          <w:sz w:val="24"/>
          <w:szCs w:val="24"/>
        </w:rPr>
        <w:t xml:space="preserve">The research project, PIR-22-002, aims to provide state agencies, local governments, investor-owned utilities (IOUs), and other stakeholders with </w:t>
      </w:r>
      <w:r w:rsidRPr="00607668">
        <w:rPr>
          <w:rFonts w:asciiTheme="minorHAnsi" w:hAnsiTheme="minorHAnsi" w:cstheme="minorHAnsi"/>
          <w:sz w:val="24"/>
          <w:szCs w:val="24"/>
        </w:rPr>
        <w:t>a data-driven approach to screen for promising sites for decommissioning</w:t>
      </w:r>
      <w:r>
        <w:rPr>
          <w:rFonts w:asciiTheme="minorHAnsi" w:hAnsiTheme="minorHAnsi" w:cstheme="minorHAnsi"/>
          <w:sz w:val="24"/>
          <w:szCs w:val="24"/>
        </w:rPr>
        <w:t xml:space="preserve"> specific segments of California’s gas system </w:t>
      </w:r>
      <w:r w:rsidRPr="00607668">
        <w:rPr>
          <w:rFonts w:asciiTheme="minorHAnsi" w:hAnsiTheme="minorHAnsi" w:cstheme="minorHAnsi"/>
          <w:sz w:val="24"/>
          <w:szCs w:val="24"/>
        </w:rPr>
        <w:t>through a map-based tool that leverages gas system data and publicly available community data</w:t>
      </w:r>
      <w:r>
        <w:rPr>
          <w:rFonts w:asciiTheme="minorHAnsi" w:hAnsiTheme="minorHAnsi" w:cstheme="minorHAnsi"/>
          <w:sz w:val="24"/>
          <w:szCs w:val="24"/>
        </w:rPr>
        <w:t>.</w:t>
      </w:r>
    </w:p>
    <w:p w14:paraId="36A6E8FD" w14:textId="285687AA" w:rsidR="00AB6E56" w:rsidRPr="00955D50" w:rsidRDefault="00AB6E56" w:rsidP="00AB6E56">
      <w:pPr>
        <w:numPr>
          <w:ilvl w:val="0"/>
          <w:numId w:val="24"/>
        </w:numPr>
        <w:rPr>
          <w:rFonts w:asciiTheme="minorHAnsi" w:hAnsiTheme="minorHAnsi" w:cstheme="minorHAnsi"/>
          <w:sz w:val="24"/>
          <w:szCs w:val="24"/>
        </w:rPr>
      </w:pPr>
      <w:r w:rsidRPr="00955D50">
        <w:rPr>
          <w:rFonts w:asciiTheme="minorHAnsi" w:hAnsiTheme="minorHAnsi" w:cstheme="minorHAnsi"/>
          <w:sz w:val="24"/>
          <w:szCs w:val="24"/>
        </w:rPr>
        <w:t xml:space="preserve">This </w:t>
      </w:r>
      <w:r w:rsidR="00E32D3F">
        <w:rPr>
          <w:rFonts w:asciiTheme="minorHAnsi" w:hAnsiTheme="minorHAnsi" w:cstheme="minorHAnsi"/>
          <w:sz w:val="24"/>
          <w:szCs w:val="24"/>
        </w:rPr>
        <w:t>interim deliverable</w:t>
      </w:r>
      <w:r w:rsidRPr="00955D50">
        <w:rPr>
          <w:rFonts w:asciiTheme="minorHAnsi" w:hAnsiTheme="minorHAnsi" w:cstheme="minorHAnsi"/>
          <w:sz w:val="24"/>
          <w:szCs w:val="24"/>
        </w:rPr>
        <w:t xml:space="preserve"> and data here within are being shared to support transparent and timely consideration of interim deliverables that are relevant for energy stakeholders and all those interested in California’s</w:t>
      </w:r>
      <w:r>
        <w:rPr>
          <w:rFonts w:asciiTheme="minorHAnsi" w:hAnsiTheme="minorHAnsi" w:cstheme="minorHAnsi"/>
          <w:sz w:val="24"/>
          <w:szCs w:val="24"/>
        </w:rPr>
        <w:t xml:space="preserve"> public interest</w:t>
      </w:r>
      <w:r w:rsidRPr="00955D50">
        <w:rPr>
          <w:rFonts w:asciiTheme="minorHAnsi" w:hAnsiTheme="minorHAnsi" w:cstheme="minorHAnsi"/>
          <w:sz w:val="24"/>
          <w:szCs w:val="24"/>
        </w:rPr>
        <w:t xml:space="preserve"> gas decommissioning research.</w:t>
      </w:r>
    </w:p>
    <w:p w14:paraId="77984731" w14:textId="77777777" w:rsidR="00957F60" w:rsidRPr="00955D50" w:rsidRDefault="00957F60" w:rsidP="00957F60">
      <w:pPr>
        <w:rPr>
          <w:rFonts w:asciiTheme="minorHAnsi" w:hAnsiTheme="minorHAnsi" w:cstheme="minorHAnsi"/>
          <w:sz w:val="24"/>
          <w:szCs w:val="24"/>
          <w:lang w:val="en-US"/>
        </w:rPr>
      </w:pPr>
    </w:p>
    <w:p w14:paraId="3D95167D" w14:textId="3AE02757" w:rsidR="00E27332" w:rsidRPr="007267A7" w:rsidRDefault="00957F60" w:rsidP="007267A7">
      <w:pPr>
        <w:rPr>
          <w:rFonts w:asciiTheme="minorHAnsi" w:hAnsiTheme="minorHAnsi" w:cstheme="minorHAnsi"/>
          <w:sz w:val="24"/>
          <w:szCs w:val="24"/>
          <w:lang w:val="en-US"/>
        </w:rPr>
      </w:pPr>
      <w:r w:rsidRPr="00955D50">
        <w:rPr>
          <w:rFonts w:asciiTheme="minorHAnsi" w:hAnsiTheme="minorHAnsi" w:cstheme="minorHAnsi"/>
          <w:sz w:val="24"/>
          <w:szCs w:val="24"/>
          <w:lang w:val="en-US"/>
        </w:rPr>
        <w:t xml:space="preserve">This memorandum is submitted to the CEC by DNV GL USA, Inc. The </w:t>
      </w:r>
      <w:r w:rsidR="001B565E">
        <w:rPr>
          <w:rFonts w:asciiTheme="minorHAnsi" w:hAnsiTheme="minorHAnsi" w:cstheme="minorHAnsi"/>
          <w:sz w:val="24"/>
          <w:szCs w:val="24"/>
          <w:lang w:val="en-US"/>
        </w:rPr>
        <w:t xml:space="preserve">memo </w:t>
      </w:r>
      <w:r w:rsidRPr="00955D50">
        <w:rPr>
          <w:rFonts w:asciiTheme="minorHAnsi" w:hAnsiTheme="minorHAnsi" w:cstheme="minorHAnsi"/>
          <w:sz w:val="24"/>
          <w:szCs w:val="24"/>
          <w:lang w:val="en-US"/>
        </w:rPr>
        <w:t xml:space="preserve">meets deliverable requirements under Task </w:t>
      </w:r>
      <w:r w:rsidR="00AB6339">
        <w:rPr>
          <w:rFonts w:asciiTheme="minorHAnsi" w:hAnsiTheme="minorHAnsi" w:cstheme="minorHAnsi"/>
          <w:sz w:val="24"/>
          <w:szCs w:val="24"/>
          <w:lang w:val="en-US"/>
        </w:rPr>
        <w:t>4</w:t>
      </w:r>
      <w:r w:rsidRPr="00955D50">
        <w:rPr>
          <w:rFonts w:asciiTheme="minorHAnsi" w:hAnsiTheme="minorHAnsi" w:cstheme="minorHAnsi"/>
          <w:sz w:val="24"/>
          <w:szCs w:val="24"/>
          <w:lang w:val="en-US"/>
        </w:rPr>
        <w:t xml:space="preserve"> of the California Energy Commission’s Project PIR-22-002: </w:t>
      </w:r>
      <w:r w:rsidR="003A7F25">
        <w:rPr>
          <w:rFonts w:asciiTheme="minorHAnsi" w:hAnsiTheme="minorHAnsi" w:cstheme="minorHAnsi"/>
          <w:sz w:val="24"/>
          <w:szCs w:val="24"/>
          <w:lang w:val="en-US"/>
        </w:rPr>
        <w:t>Mindful Decommissioning</w:t>
      </w:r>
      <w:r w:rsidR="00017347">
        <w:rPr>
          <w:rFonts w:asciiTheme="minorHAnsi" w:hAnsiTheme="minorHAnsi" w:cstheme="minorHAnsi"/>
          <w:sz w:val="24"/>
          <w:szCs w:val="24"/>
          <w:lang w:val="en-US"/>
        </w:rPr>
        <w:t xml:space="preserve"> </w:t>
      </w:r>
      <w:r w:rsidR="003A7F25">
        <w:rPr>
          <w:rFonts w:asciiTheme="minorHAnsi" w:hAnsiTheme="minorHAnsi" w:cstheme="minorHAnsi"/>
          <w:sz w:val="24"/>
          <w:szCs w:val="24"/>
          <w:lang w:val="en-US"/>
        </w:rPr>
        <w:t>-</w:t>
      </w:r>
      <w:r w:rsidR="00017347">
        <w:rPr>
          <w:rFonts w:asciiTheme="minorHAnsi" w:hAnsiTheme="minorHAnsi" w:cstheme="minorHAnsi"/>
          <w:sz w:val="24"/>
          <w:szCs w:val="24"/>
          <w:lang w:val="en-US"/>
        </w:rPr>
        <w:t xml:space="preserve"> </w:t>
      </w:r>
      <w:r w:rsidR="00AE2B2B">
        <w:rPr>
          <w:rFonts w:asciiTheme="minorHAnsi" w:hAnsiTheme="minorHAnsi" w:cstheme="minorHAnsi"/>
          <w:sz w:val="24"/>
          <w:szCs w:val="24"/>
          <w:lang w:val="en-US"/>
        </w:rPr>
        <w:t>Development of a</w:t>
      </w:r>
      <w:r w:rsidRPr="00955D50">
        <w:rPr>
          <w:rFonts w:asciiTheme="minorHAnsi" w:hAnsiTheme="minorHAnsi" w:cstheme="minorHAnsi"/>
          <w:sz w:val="24"/>
          <w:szCs w:val="24"/>
          <w:lang w:val="en-US"/>
        </w:rPr>
        <w:t xml:space="preserve"> Data-Driven Tool to Support Strategic and Equitable Decommissioning of Gas Infrastructure.</w:t>
      </w:r>
      <w:r>
        <w:br w:type="page"/>
      </w:r>
    </w:p>
    <w:p w14:paraId="6DE6D896" w14:textId="0152E51B" w:rsidR="009D630C" w:rsidRPr="009D630C" w:rsidRDefault="009D630C" w:rsidP="0080520C">
      <w:pPr>
        <w:pStyle w:val="DNVGL-Hidden"/>
        <w:rPr>
          <w:sz w:val="2"/>
        </w:rPr>
      </w:pPr>
    </w:p>
    <w:p w14:paraId="17CBEA4C" w14:textId="6FCE44DA" w:rsidR="00461BBB" w:rsidRDefault="00461BBB">
      <w:pPr>
        <w:spacing w:after="200" w:line="276" w:lineRule="auto"/>
        <w:rPr>
          <w:noProof/>
        </w:rPr>
      </w:pPr>
    </w:p>
    <w:p w14:paraId="52FFA680" w14:textId="1A3836D7" w:rsidR="007025B0" w:rsidRDefault="001206F2" w:rsidP="001206F2">
      <w:pPr>
        <w:pStyle w:val="TOCHeading"/>
      </w:pPr>
      <w:r>
        <w:t>Table of Contents</w:t>
      </w:r>
    </w:p>
    <w:p w14:paraId="0EBF7D01" w14:textId="0A00F5EE" w:rsidR="00CD78A9" w:rsidRDefault="008817E4">
      <w:pPr>
        <w:pStyle w:val="TOC1"/>
        <w:rPr>
          <w:rFonts w:asciiTheme="minorHAnsi" w:hAnsiTheme="minorHAnsi" w:cstheme="minorBidi"/>
          <w:caps w:val="0"/>
          <w:kern w:val="2"/>
          <w:sz w:val="24"/>
          <w:szCs w:val="24"/>
          <w:lang w:val="en-US" w:eastAsia="en-US"/>
          <w14:ligatures w14:val="standardContextual"/>
        </w:rPr>
      </w:pPr>
      <w:r>
        <w:rPr>
          <w:caps w:val="0"/>
        </w:rPr>
        <w:fldChar w:fldCharType="begin"/>
      </w:r>
      <w:r>
        <w:rPr>
          <w:caps w:val="0"/>
        </w:rPr>
        <w:instrText xml:space="preserve"> TOC \o "1-2" \h \z \t "Heading 7,1" </w:instrText>
      </w:r>
      <w:r>
        <w:rPr>
          <w:caps w:val="0"/>
        </w:rPr>
        <w:fldChar w:fldCharType="separate"/>
      </w:r>
      <w:hyperlink w:anchor="_Toc214535392" w:history="1">
        <w:r w:rsidR="00CD78A9" w:rsidRPr="005921FC">
          <w:rPr>
            <w:rStyle w:val="Hyperlink"/>
          </w:rPr>
          <w:t>1</w:t>
        </w:r>
        <w:r w:rsidR="00CD78A9">
          <w:rPr>
            <w:rFonts w:asciiTheme="minorHAnsi" w:hAnsiTheme="minorHAnsi" w:cstheme="minorBidi"/>
            <w:caps w:val="0"/>
            <w:kern w:val="2"/>
            <w:sz w:val="24"/>
            <w:szCs w:val="24"/>
            <w:lang w:val="en-US" w:eastAsia="en-US"/>
            <w14:ligatures w14:val="standardContextual"/>
          </w:rPr>
          <w:tab/>
        </w:r>
        <w:r w:rsidR="00CD78A9" w:rsidRPr="005921FC">
          <w:rPr>
            <w:rStyle w:val="Hyperlink"/>
          </w:rPr>
          <w:t>Introduction</w:t>
        </w:r>
        <w:r w:rsidR="00CD78A9">
          <w:rPr>
            <w:webHidden/>
          </w:rPr>
          <w:tab/>
        </w:r>
        <w:r w:rsidR="00CD78A9">
          <w:rPr>
            <w:webHidden/>
          </w:rPr>
          <w:fldChar w:fldCharType="begin"/>
        </w:r>
        <w:r w:rsidR="00CD78A9">
          <w:rPr>
            <w:webHidden/>
          </w:rPr>
          <w:instrText xml:space="preserve"> PAGEREF _Toc214535392 \h </w:instrText>
        </w:r>
        <w:r w:rsidR="00CD78A9">
          <w:rPr>
            <w:webHidden/>
          </w:rPr>
        </w:r>
        <w:r w:rsidR="00CD78A9">
          <w:rPr>
            <w:webHidden/>
          </w:rPr>
          <w:fldChar w:fldCharType="separate"/>
        </w:r>
        <w:r w:rsidR="00CD78A9">
          <w:rPr>
            <w:webHidden/>
          </w:rPr>
          <w:t>1</w:t>
        </w:r>
        <w:r w:rsidR="00CD78A9">
          <w:rPr>
            <w:webHidden/>
          </w:rPr>
          <w:fldChar w:fldCharType="end"/>
        </w:r>
      </w:hyperlink>
    </w:p>
    <w:p w14:paraId="632B4FBA" w14:textId="041AEFE6" w:rsidR="00CD78A9" w:rsidRDefault="00CD78A9">
      <w:pPr>
        <w:pStyle w:val="TOC2"/>
        <w:rPr>
          <w:rFonts w:asciiTheme="minorHAnsi" w:hAnsiTheme="minorHAnsi" w:cstheme="minorBidi"/>
          <w:kern w:val="2"/>
          <w:sz w:val="24"/>
          <w:szCs w:val="24"/>
          <w:lang w:val="en-US" w:eastAsia="en-US"/>
          <w14:ligatures w14:val="standardContextual"/>
        </w:rPr>
      </w:pPr>
      <w:hyperlink w:anchor="_Toc214535393" w:history="1">
        <w:r w:rsidRPr="005921FC">
          <w:rPr>
            <w:rStyle w:val="Hyperlink"/>
          </w:rPr>
          <w:t>1.1</w:t>
        </w:r>
        <w:r>
          <w:rPr>
            <w:rFonts w:asciiTheme="minorHAnsi" w:hAnsiTheme="minorHAnsi" w:cstheme="minorBidi"/>
            <w:kern w:val="2"/>
            <w:sz w:val="24"/>
            <w:szCs w:val="24"/>
            <w:lang w:val="en-US" w:eastAsia="en-US"/>
            <w14:ligatures w14:val="standardContextual"/>
          </w:rPr>
          <w:tab/>
        </w:r>
        <w:r w:rsidRPr="005921FC">
          <w:rPr>
            <w:rStyle w:val="Hyperlink"/>
          </w:rPr>
          <w:t>Purpose of Tool</w:t>
        </w:r>
        <w:r>
          <w:rPr>
            <w:webHidden/>
          </w:rPr>
          <w:tab/>
        </w:r>
        <w:r>
          <w:rPr>
            <w:webHidden/>
          </w:rPr>
          <w:fldChar w:fldCharType="begin"/>
        </w:r>
        <w:r>
          <w:rPr>
            <w:webHidden/>
          </w:rPr>
          <w:instrText xml:space="preserve"> PAGEREF _Toc214535393 \h </w:instrText>
        </w:r>
        <w:r>
          <w:rPr>
            <w:webHidden/>
          </w:rPr>
        </w:r>
        <w:r>
          <w:rPr>
            <w:webHidden/>
          </w:rPr>
          <w:fldChar w:fldCharType="separate"/>
        </w:r>
        <w:r>
          <w:rPr>
            <w:webHidden/>
          </w:rPr>
          <w:t>2</w:t>
        </w:r>
        <w:r>
          <w:rPr>
            <w:webHidden/>
          </w:rPr>
          <w:fldChar w:fldCharType="end"/>
        </w:r>
      </w:hyperlink>
    </w:p>
    <w:p w14:paraId="0F9E6D89" w14:textId="674B14AA" w:rsidR="00CD78A9" w:rsidRDefault="00CD78A9">
      <w:pPr>
        <w:pStyle w:val="TOC1"/>
        <w:rPr>
          <w:rFonts w:asciiTheme="minorHAnsi" w:hAnsiTheme="minorHAnsi" w:cstheme="minorBidi"/>
          <w:caps w:val="0"/>
          <w:kern w:val="2"/>
          <w:sz w:val="24"/>
          <w:szCs w:val="24"/>
          <w:lang w:val="en-US" w:eastAsia="en-US"/>
          <w14:ligatures w14:val="standardContextual"/>
        </w:rPr>
      </w:pPr>
      <w:hyperlink w:anchor="_Toc214535394" w:history="1">
        <w:r w:rsidRPr="005921FC">
          <w:rPr>
            <w:rStyle w:val="Hyperlink"/>
          </w:rPr>
          <w:t>2</w:t>
        </w:r>
        <w:r>
          <w:rPr>
            <w:rFonts w:asciiTheme="minorHAnsi" w:hAnsiTheme="minorHAnsi" w:cstheme="minorBidi"/>
            <w:caps w:val="0"/>
            <w:kern w:val="2"/>
            <w:sz w:val="24"/>
            <w:szCs w:val="24"/>
            <w:lang w:val="en-US" w:eastAsia="en-US"/>
            <w14:ligatures w14:val="standardContextual"/>
          </w:rPr>
          <w:tab/>
        </w:r>
        <w:r w:rsidRPr="005921FC">
          <w:rPr>
            <w:rStyle w:val="Hyperlink"/>
          </w:rPr>
          <w:t>Approach to Community, Stakeholder, and Case Study Engagement</w:t>
        </w:r>
        <w:r>
          <w:rPr>
            <w:webHidden/>
          </w:rPr>
          <w:tab/>
        </w:r>
        <w:r>
          <w:rPr>
            <w:webHidden/>
          </w:rPr>
          <w:fldChar w:fldCharType="begin"/>
        </w:r>
        <w:r>
          <w:rPr>
            <w:webHidden/>
          </w:rPr>
          <w:instrText xml:space="preserve"> PAGEREF _Toc214535394 \h </w:instrText>
        </w:r>
        <w:r>
          <w:rPr>
            <w:webHidden/>
          </w:rPr>
        </w:r>
        <w:r>
          <w:rPr>
            <w:webHidden/>
          </w:rPr>
          <w:fldChar w:fldCharType="separate"/>
        </w:r>
        <w:r>
          <w:rPr>
            <w:webHidden/>
          </w:rPr>
          <w:t>4</w:t>
        </w:r>
        <w:r>
          <w:rPr>
            <w:webHidden/>
          </w:rPr>
          <w:fldChar w:fldCharType="end"/>
        </w:r>
      </w:hyperlink>
    </w:p>
    <w:p w14:paraId="4BDCE7E0" w14:textId="1E3501F1" w:rsidR="00CD78A9" w:rsidRDefault="00CD78A9">
      <w:pPr>
        <w:pStyle w:val="TOC2"/>
        <w:rPr>
          <w:rFonts w:asciiTheme="minorHAnsi" w:hAnsiTheme="minorHAnsi" w:cstheme="minorBidi"/>
          <w:kern w:val="2"/>
          <w:sz w:val="24"/>
          <w:szCs w:val="24"/>
          <w:lang w:val="en-US" w:eastAsia="en-US"/>
          <w14:ligatures w14:val="standardContextual"/>
        </w:rPr>
      </w:pPr>
      <w:hyperlink w:anchor="_Toc214535395" w:history="1">
        <w:r w:rsidRPr="005921FC">
          <w:rPr>
            <w:rStyle w:val="Hyperlink"/>
          </w:rPr>
          <w:t>2.1</w:t>
        </w:r>
        <w:r>
          <w:rPr>
            <w:rFonts w:asciiTheme="minorHAnsi" w:hAnsiTheme="minorHAnsi" w:cstheme="minorBidi"/>
            <w:kern w:val="2"/>
            <w:sz w:val="24"/>
            <w:szCs w:val="24"/>
            <w:lang w:val="en-US" w:eastAsia="en-US"/>
            <w14:ligatures w14:val="standardContextual"/>
          </w:rPr>
          <w:tab/>
        </w:r>
        <w:r w:rsidRPr="005921FC">
          <w:rPr>
            <w:rStyle w:val="Hyperlink"/>
          </w:rPr>
          <w:t>Community Landscape Assessment and Direct Engagement</w:t>
        </w:r>
        <w:r>
          <w:rPr>
            <w:webHidden/>
          </w:rPr>
          <w:tab/>
        </w:r>
        <w:r>
          <w:rPr>
            <w:webHidden/>
          </w:rPr>
          <w:fldChar w:fldCharType="begin"/>
        </w:r>
        <w:r>
          <w:rPr>
            <w:webHidden/>
          </w:rPr>
          <w:instrText xml:space="preserve"> PAGEREF _Toc214535395 \h </w:instrText>
        </w:r>
        <w:r>
          <w:rPr>
            <w:webHidden/>
          </w:rPr>
        </w:r>
        <w:r>
          <w:rPr>
            <w:webHidden/>
          </w:rPr>
          <w:fldChar w:fldCharType="separate"/>
        </w:r>
        <w:r>
          <w:rPr>
            <w:webHidden/>
          </w:rPr>
          <w:t>4</w:t>
        </w:r>
        <w:r>
          <w:rPr>
            <w:webHidden/>
          </w:rPr>
          <w:fldChar w:fldCharType="end"/>
        </w:r>
      </w:hyperlink>
    </w:p>
    <w:p w14:paraId="74B864AC" w14:textId="57B99FB5" w:rsidR="00CD78A9" w:rsidRDefault="00CD78A9">
      <w:pPr>
        <w:pStyle w:val="TOC2"/>
        <w:rPr>
          <w:rFonts w:asciiTheme="minorHAnsi" w:hAnsiTheme="minorHAnsi" w:cstheme="minorBidi"/>
          <w:kern w:val="2"/>
          <w:sz w:val="24"/>
          <w:szCs w:val="24"/>
          <w:lang w:val="en-US" w:eastAsia="en-US"/>
          <w14:ligatures w14:val="standardContextual"/>
        </w:rPr>
      </w:pPr>
      <w:hyperlink w:anchor="_Toc214535396" w:history="1">
        <w:r w:rsidRPr="005921FC">
          <w:rPr>
            <w:rStyle w:val="Hyperlink"/>
            <w:bCs/>
          </w:rPr>
          <w:t>2.2</w:t>
        </w:r>
        <w:r>
          <w:rPr>
            <w:rFonts w:asciiTheme="minorHAnsi" w:hAnsiTheme="minorHAnsi" w:cstheme="minorBidi"/>
            <w:kern w:val="2"/>
            <w:sz w:val="24"/>
            <w:szCs w:val="24"/>
            <w:lang w:val="en-US" w:eastAsia="en-US"/>
            <w14:ligatures w14:val="standardContextual"/>
          </w:rPr>
          <w:tab/>
        </w:r>
        <w:r w:rsidRPr="005921FC">
          <w:rPr>
            <w:rStyle w:val="Hyperlink"/>
          </w:rPr>
          <w:t>Direct Engagement, Briefings, and Technical Advisory Committee</w:t>
        </w:r>
        <w:r>
          <w:rPr>
            <w:webHidden/>
          </w:rPr>
          <w:tab/>
        </w:r>
        <w:r>
          <w:rPr>
            <w:webHidden/>
          </w:rPr>
          <w:fldChar w:fldCharType="begin"/>
        </w:r>
        <w:r>
          <w:rPr>
            <w:webHidden/>
          </w:rPr>
          <w:instrText xml:space="preserve"> PAGEREF _Toc214535396 \h </w:instrText>
        </w:r>
        <w:r>
          <w:rPr>
            <w:webHidden/>
          </w:rPr>
        </w:r>
        <w:r>
          <w:rPr>
            <w:webHidden/>
          </w:rPr>
          <w:fldChar w:fldCharType="separate"/>
        </w:r>
        <w:r>
          <w:rPr>
            <w:webHidden/>
          </w:rPr>
          <w:t>4</w:t>
        </w:r>
        <w:r>
          <w:rPr>
            <w:webHidden/>
          </w:rPr>
          <w:fldChar w:fldCharType="end"/>
        </w:r>
      </w:hyperlink>
    </w:p>
    <w:p w14:paraId="60FB14B1" w14:textId="75E7CC0F" w:rsidR="00CD78A9" w:rsidRDefault="00CD78A9">
      <w:pPr>
        <w:pStyle w:val="TOC2"/>
        <w:rPr>
          <w:rFonts w:asciiTheme="minorHAnsi" w:hAnsiTheme="minorHAnsi" w:cstheme="minorBidi"/>
          <w:kern w:val="2"/>
          <w:sz w:val="24"/>
          <w:szCs w:val="24"/>
          <w:lang w:val="en-US" w:eastAsia="en-US"/>
          <w14:ligatures w14:val="standardContextual"/>
        </w:rPr>
      </w:pPr>
      <w:hyperlink w:anchor="_Toc214535397" w:history="1">
        <w:r w:rsidRPr="005921FC">
          <w:rPr>
            <w:rStyle w:val="Hyperlink"/>
            <w:bCs/>
          </w:rPr>
          <w:t>2.3</w:t>
        </w:r>
        <w:r>
          <w:rPr>
            <w:rFonts w:asciiTheme="minorHAnsi" w:hAnsiTheme="minorHAnsi" w:cstheme="minorBidi"/>
            <w:kern w:val="2"/>
            <w:sz w:val="24"/>
            <w:szCs w:val="24"/>
            <w:lang w:val="en-US" w:eastAsia="en-US"/>
            <w14:ligatures w14:val="standardContextual"/>
          </w:rPr>
          <w:tab/>
        </w:r>
        <w:r w:rsidRPr="005921FC">
          <w:rPr>
            <w:rStyle w:val="Hyperlink"/>
          </w:rPr>
          <w:t>Community Resource Hub</w:t>
        </w:r>
        <w:r>
          <w:rPr>
            <w:webHidden/>
          </w:rPr>
          <w:tab/>
        </w:r>
        <w:r>
          <w:rPr>
            <w:webHidden/>
          </w:rPr>
          <w:fldChar w:fldCharType="begin"/>
        </w:r>
        <w:r>
          <w:rPr>
            <w:webHidden/>
          </w:rPr>
          <w:instrText xml:space="preserve"> PAGEREF _Toc214535397 \h </w:instrText>
        </w:r>
        <w:r>
          <w:rPr>
            <w:webHidden/>
          </w:rPr>
        </w:r>
        <w:r>
          <w:rPr>
            <w:webHidden/>
          </w:rPr>
          <w:fldChar w:fldCharType="separate"/>
        </w:r>
        <w:r>
          <w:rPr>
            <w:webHidden/>
          </w:rPr>
          <w:t>5</w:t>
        </w:r>
        <w:r>
          <w:rPr>
            <w:webHidden/>
          </w:rPr>
          <w:fldChar w:fldCharType="end"/>
        </w:r>
      </w:hyperlink>
    </w:p>
    <w:p w14:paraId="1B55AE08" w14:textId="17FBD194" w:rsidR="00CD78A9" w:rsidRDefault="00CD78A9">
      <w:pPr>
        <w:pStyle w:val="TOC2"/>
        <w:rPr>
          <w:rFonts w:asciiTheme="minorHAnsi" w:hAnsiTheme="minorHAnsi" w:cstheme="minorBidi"/>
          <w:kern w:val="2"/>
          <w:sz w:val="24"/>
          <w:szCs w:val="24"/>
          <w:lang w:val="en-US" w:eastAsia="en-US"/>
          <w14:ligatures w14:val="standardContextual"/>
        </w:rPr>
      </w:pPr>
      <w:hyperlink w:anchor="_Toc214535398" w:history="1">
        <w:r w:rsidRPr="005921FC">
          <w:rPr>
            <w:rStyle w:val="Hyperlink"/>
            <w:bCs/>
          </w:rPr>
          <w:t>2.4</w:t>
        </w:r>
        <w:r>
          <w:rPr>
            <w:rFonts w:asciiTheme="minorHAnsi" w:hAnsiTheme="minorHAnsi" w:cstheme="minorBidi"/>
            <w:kern w:val="2"/>
            <w:sz w:val="24"/>
            <w:szCs w:val="24"/>
            <w:lang w:val="en-US" w:eastAsia="en-US"/>
            <w14:ligatures w14:val="standardContextual"/>
          </w:rPr>
          <w:tab/>
        </w:r>
        <w:r w:rsidRPr="005921FC">
          <w:rPr>
            <w:rStyle w:val="Hyperlink"/>
          </w:rPr>
          <w:t>Community Workshops and Public Webinar</w:t>
        </w:r>
        <w:r>
          <w:rPr>
            <w:webHidden/>
          </w:rPr>
          <w:tab/>
        </w:r>
        <w:r>
          <w:rPr>
            <w:webHidden/>
          </w:rPr>
          <w:fldChar w:fldCharType="begin"/>
        </w:r>
        <w:r>
          <w:rPr>
            <w:webHidden/>
          </w:rPr>
          <w:instrText xml:space="preserve"> PAGEREF _Toc214535398 \h </w:instrText>
        </w:r>
        <w:r>
          <w:rPr>
            <w:webHidden/>
          </w:rPr>
        </w:r>
        <w:r>
          <w:rPr>
            <w:webHidden/>
          </w:rPr>
          <w:fldChar w:fldCharType="separate"/>
        </w:r>
        <w:r>
          <w:rPr>
            <w:webHidden/>
          </w:rPr>
          <w:t>5</w:t>
        </w:r>
        <w:r>
          <w:rPr>
            <w:webHidden/>
          </w:rPr>
          <w:fldChar w:fldCharType="end"/>
        </w:r>
      </w:hyperlink>
    </w:p>
    <w:p w14:paraId="410239AE" w14:textId="5242C5A6" w:rsidR="00CD78A9" w:rsidRDefault="00CD78A9">
      <w:pPr>
        <w:pStyle w:val="TOC2"/>
        <w:rPr>
          <w:rFonts w:asciiTheme="minorHAnsi" w:hAnsiTheme="minorHAnsi" w:cstheme="minorBidi"/>
          <w:kern w:val="2"/>
          <w:sz w:val="24"/>
          <w:szCs w:val="24"/>
          <w:lang w:val="en-US" w:eastAsia="en-US"/>
          <w14:ligatures w14:val="standardContextual"/>
        </w:rPr>
      </w:pPr>
      <w:hyperlink w:anchor="_Toc214535399" w:history="1">
        <w:r w:rsidRPr="005921FC">
          <w:rPr>
            <w:rStyle w:val="Hyperlink"/>
          </w:rPr>
          <w:t>2.5</w:t>
        </w:r>
        <w:r>
          <w:rPr>
            <w:rFonts w:asciiTheme="minorHAnsi" w:hAnsiTheme="minorHAnsi" w:cstheme="minorBidi"/>
            <w:kern w:val="2"/>
            <w:sz w:val="24"/>
            <w:szCs w:val="24"/>
            <w:lang w:val="en-US" w:eastAsia="en-US"/>
            <w14:ligatures w14:val="standardContextual"/>
          </w:rPr>
          <w:tab/>
        </w:r>
        <w:r w:rsidRPr="005921FC">
          <w:rPr>
            <w:rStyle w:val="Hyperlink"/>
          </w:rPr>
          <w:t>Case Study Engagement</w:t>
        </w:r>
        <w:r>
          <w:rPr>
            <w:webHidden/>
          </w:rPr>
          <w:tab/>
        </w:r>
        <w:r>
          <w:rPr>
            <w:webHidden/>
          </w:rPr>
          <w:fldChar w:fldCharType="begin"/>
        </w:r>
        <w:r>
          <w:rPr>
            <w:webHidden/>
          </w:rPr>
          <w:instrText xml:space="preserve"> PAGEREF _Toc214535399 \h </w:instrText>
        </w:r>
        <w:r>
          <w:rPr>
            <w:webHidden/>
          </w:rPr>
        </w:r>
        <w:r>
          <w:rPr>
            <w:webHidden/>
          </w:rPr>
          <w:fldChar w:fldCharType="separate"/>
        </w:r>
        <w:r>
          <w:rPr>
            <w:webHidden/>
          </w:rPr>
          <w:t>8</w:t>
        </w:r>
        <w:r>
          <w:rPr>
            <w:webHidden/>
          </w:rPr>
          <w:fldChar w:fldCharType="end"/>
        </w:r>
      </w:hyperlink>
    </w:p>
    <w:p w14:paraId="0D6B9AB6" w14:textId="7185167A" w:rsidR="00CD78A9" w:rsidRDefault="00CD78A9">
      <w:pPr>
        <w:pStyle w:val="TOC2"/>
        <w:rPr>
          <w:rFonts w:asciiTheme="minorHAnsi" w:hAnsiTheme="minorHAnsi" w:cstheme="minorBidi"/>
          <w:kern w:val="2"/>
          <w:sz w:val="24"/>
          <w:szCs w:val="24"/>
          <w:lang w:val="en-US" w:eastAsia="en-US"/>
          <w14:ligatures w14:val="standardContextual"/>
        </w:rPr>
      </w:pPr>
      <w:hyperlink w:anchor="_Toc214535400" w:history="1">
        <w:r w:rsidRPr="005921FC">
          <w:rPr>
            <w:rStyle w:val="Hyperlink"/>
          </w:rPr>
          <w:t>2.6</w:t>
        </w:r>
        <w:r>
          <w:rPr>
            <w:rFonts w:asciiTheme="minorHAnsi" w:hAnsiTheme="minorHAnsi" w:cstheme="minorBidi"/>
            <w:kern w:val="2"/>
            <w:sz w:val="24"/>
            <w:szCs w:val="24"/>
            <w:lang w:val="en-US" w:eastAsia="en-US"/>
            <w14:ligatures w14:val="standardContextual"/>
          </w:rPr>
          <w:tab/>
        </w:r>
        <w:r w:rsidRPr="005921FC">
          <w:rPr>
            <w:rStyle w:val="Hyperlink"/>
          </w:rPr>
          <w:t>Case Study Findings and Importance for Future Research</w:t>
        </w:r>
        <w:r>
          <w:rPr>
            <w:webHidden/>
          </w:rPr>
          <w:tab/>
        </w:r>
        <w:r>
          <w:rPr>
            <w:webHidden/>
          </w:rPr>
          <w:fldChar w:fldCharType="begin"/>
        </w:r>
        <w:r>
          <w:rPr>
            <w:webHidden/>
          </w:rPr>
          <w:instrText xml:space="preserve"> PAGEREF _Toc214535400 \h </w:instrText>
        </w:r>
        <w:r>
          <w:rPr>
            <w:webHidden/>
          </w:rPr>
        </w:r>
        <w:r>
          <w:rPr>
            <w:webHidden/>
          </w:rPr>
          <w:fldChar w:fldCharType="separate"/>
        </w:r>
        <w:r>
          <w:rPr>
            <w:webHidden/>
          </w:rPr>
          <w:t>10</w:t>
        </w:r>
        <w:r>
          <w:rPr>
            <w:webHidden/>
          </w:rPr>
          <w:fldChar w:fldCharType="end"/>
        </w:r>
      </w:hyperlink>
    </w:p>
    <w:p w14:paraId="741AEB11" w14:textId="655AC653" w:rsidR="00CD78A9" w:rsidRDefault="00CD78A9">
      <w:pPr>
        <w:pStyle w:val="TOC2"/>
        <w:rPr>
          <w:rFonts w:asciiTheme="minorHAnsi" w:hAnsiTheme="minorHAnsi" w:cstheme="minorBidi"/>
          <w:kern w:val="2"/>
          <w:sz w:val="24"/>
          <w:szCs w:val="24"/>
          <w:lang w:val="en-US" w:eastAsia="en-US"/>
          <w14:ligatures w14:val="standardContextual"/>
        </w:rPr>
      </w:pPr>
      <w:hyperlink w:anchor="_Toc214535401" w:history="1">
        <w:r w:rsidRPr="005921FC">
          <w:rPr>
            <w:rStyle w:val="Hyperlink"/>
          </w:rPr>
          <w:t>2.7</w:t>
        </w:r>
        <w:r>
          <w:rPr>
            <w:rFonts w:asciiTheme="minorHAnsi" w:hAnsiTheme="minorHAnsi" w:cstheme="minorBidi"/>
            <w:kern w:val="2"/>
            <w:sz w:val="24"/>
            <w:szCs w:val="24"/>
            <w:lang w:val="en-US" w:eastAsia="en-US"/>
            <w14:ligatures w14:val="standardContextual"/>
          </w:rPr>
          <w:tab/>
        </w:r>
        <w:r w:rsidRPr="005921FC">
          <w:rPr>
            <w:rStyle w:val="Hyperlink"/>
          </w:rPr>
          <w:t>Identification of Metrics of Relevance, Variables, Spatial and Temporal Scales, and Other Defining Attributes</w:t>
        </w:r>
        <w:r>
          <w:rPr>
            <w:webHidden/>
          </w:rPr>
          <w:tab/>
        </w:r>
        <w:r>
          <w:rPr>
            <w:webHidden/>
          </w:rPr>
          <w:fldChar w:fldCharType="begin"/>
        </w:r>
        <w:r>
          <w:rPr>
            <w:webHidden/>
          </w:rPr>
          <w:instrText xml:space="preserve"> PAGEREF _Toc214535401 \h </w:instrText>
        </w:r>
        <w:r>
          <w:rPr>
            <w:webHidden/>
          </w:rPr>
        </w:r>
        <w:r>
          <w:rPr>
            <w:webHidden/>
          </w:rPr>
          <w:fldChar w:fldCharType="separate"/>
        </w:r>
        <w:r>
          <w:rPr>
            <w:webHidden/>
          </w:rPr>
          <w:t>16</w:t>
        </w:r>
        <w:r>
          <w:rPr>
            <w:webHidden/>
          </w:rPr>
          <w:fldChar w:fldCharType="end"/>
        </w:r>
      </w:hyperlink>
    </w:p>
    <w:p w14:paraId="47B8D8CC" w14:textId="0BF5C009" w:rsidR="00CD78A9" w:rsidRDefault="00CD78A9">
      <w:pPr>
        <w:pStyle w:val="TOC2"/>
        <w:rPr>
          <w:rFonts w:asciiTheme="minorHAnsi" w:hAnsiTheme="minorHAnsi" w:cstheme="minorBidi"/>
          <w:kern w:val="2"/>
          <w:sz w:val="24"/>
          <w:szCs w:val="24"/>
          <w:lang w:val="en-US" w:eastAsia="en-US"/>
          <w14:ligatures w14:val="standardContextual"/>
        </w:rPr>
      </w:pPr>
      <w:hyperlink w:anchor="_Toc214535402" w:history="1">
        <w:r w:rsidRPr="005921FC">
          <w:rPr>
            <w:rStyle w:val="Hyperlink"/>
          </w:rPr>
          <w:t>2.8</w:t>
        </w:r>
        <w:r>
          <w:rPr>
            <w:rFonts w:asciiTheme="minorHAnsi" w:hAnsiTheme="minorHAnsi" w:cstheme="minorBidi"/>
            <w:kern w:val="2"/>
            <w:sz w:val="24"/>
            <w:szCs w:val="24"/>
            <w:lang w:val="en-US" w:eastAsia="en-US"/>
            <w14:ligatures w14:val="standardContextual"/>
          </w:rPr>
          <w:tab/>
        </w:r>
        <w:r w:rsidRPr="005921FC">
          <w:rPr>
            <w:rStyle w:val="Hyperlink"/>
          </w:rPr>
          <w:t>How Metrics Relate to Actual Decisions or Other Use Cases</w:t>
        </w:r>
        <w:r>
          <w:rPr>
            <w:webHidden/>
          </w:rPr>
          <w:tab/>
        </w:r>
        <w:r>
          <w:rPr>
            <w:webHidden/>
          </w:rPr>
          <w:fldChar w:fldCharType="begin"/>
        </w:r>
        <w:r>
          <w:rPr>
            <w:webHidden/>
          </w:rPr>
          <w:instrText xml:space="preserve"> PAGEREF _Toc214535402 \h </w:instrText>
        </w:r>
        <w:r>
          <w:rPr>
            <w:webHidden/>
          </w:rPr>
        </w:r>
        <w:r>
          <w:rPr>
            <w:webHidden/>
          </w:rPr>
          <w:fldChar w:fldCharType="separate"/>
        </w:r>
        <w:r>
          <w:rPr>
            <w:webHidden/>
          </w:rPr>
          <w:t>18</w:t>
        </w:r>
        <w:r>
          <w:rPr>
            <w:webHidden/>
          </w:rPr>
          <w:fldChar w:fldCharType="end"/>
        </w:r>
      </w:hyperlink>
    </w:p>
    <w:p w14:paraId="1961DA0F" w14:textId="1A015311" w:rsidR="00CD78A9" w:rsidRDefault="00CD78A9">
      <w:pPr>
        <w:pStyle w:val="TOC2"/>
        <w:rPr>
          <w:rFonts w:asciiTheme="minorHAnsi" w:hAnsiTheme="minorHAnsi" w:cstheme="minorBidi"/>
          <w:kern w:val="2"/>
          <w:sz w:val="24"/>
          <w:szCs w:val="24"/>
          <w:lang w:val="en-US" w:eastAsia="en-US"/>
          <w14:ligatures w14:val="standardContextual"/>
        </w:rPr>
      </w:pPr>
      <w:hyperlink w:anchor="_Toc214535403" w:history="1">
        <w:r w:rsidRPr="005921FC">
          <w:rPr>
            <w:rStyle w:val="Hyperlink"/>
          </w:rPr>
          <w:t>2.9</w:t>
        </w:r>
        <w:r>
          <w:rPr>
            <w:rFonts w:asciiTheme="minorHAnsi" w:hAnsiTheme="minorHAnsi" w:cstheme="minorBidi"/>
            <w:kern w:val="2"/>
            <w:sz w:val="24"/>
            <w:szCs w:val="24"/>
            <w:lang w:val="en-US" w:eastAsia="en-US"/>
            <w14:ligatures w14:val="standardContextual"/>
          </w:rPr>
          <w:tab/>
        </w:r>
        <w:r w:rsidRPr="005921FC">
          <w:rPr>
            <w:rStyle w:val="Hyperlink"/>
          </w:rPr>
          <w:t>Key Stakeholder Input</w:t>
        </w:r>
        <w:r>
          <w:rPr>
            <w:webHidden/>
          </w:rPr>
          <w:tab/>
        </w:r>
        <w:r>
          <w:rPr>
            <w:webHidden/>
          </w:rPr>
          <w:fldChar w:fldCharType="begin"/>
        </w:r>
        <w:r>
          <w:rPr>
            <w:webHidden/>
          </w:rPr>
          <w:instrText xml:space="preserve"> PAGEREF _Toc214535403 \h </w:instrText>
        </w:r>
        <w:r>
          <w:rPr>
            <w:webHidden/>
          </w:rPr>
        </w:r>
        <w:r>
          <w:rPr>
            <w:webHidden/>
          </w:rPr>
          <w:fldChar w:fldCharType="separate"/>
        </w:r>
        <w:r>
          <w:rPr>
            <w:webHidden/>
          </w:rPr>
          <w:t>19</w:t>
        </w:r>
        <w:r>
          <w:rPr>
            <w:webHidden/>
          </w:rPr>
          <w:fldChar w:fldCharType="end"/>
        </w:r>
      </w:hyperlink>
    </w:p>
    <w:p w14:paraId="59F74405" w14:textId="07A54BF6" w:rsidR="00CD78A9" w:rsidRDefault="00CD78A9">
      <w:pPr>
        <w:pStyle w:val="TOC1"/>
        <w:rPr>
          <w:rFonts w:asciiTheme="minorHAnsi" w:hAnsiTheme="minorHAnsi" w:cstheme="minorBidi"/>
          <w:caps w:val="0"/>
          <w:kern w:val="2"/>
          <w:sz w:val="24"/>
          <w:szCs w:val="24"/>
          <w:lang w:val="en-US" w:eastAsia="en-US"/>
          <w14:ligatures w14:val="standardContextual"/>
        </w:rPr>
      </w:pPr>
      <w:hyperlink w:anchor="_Toc214535404" w:history="1">
        <w:r w:rsidRPr="005921FC">
          <w:rPr>
            <w:rStyle w:val="Hyperlink"/>
          </w:rPr>
          <w:t>3</w:t>
        </w:r>
        <w:r>
          <w:rPr>
            <w:rFonts w:asciiTheme="minorHAnsi" w:hAnsiTheme="minorHAnsi" w:cstheme="minorBidi"/>
            <w:caps w:val="0"/>
            <w:kern w:val="2"/>
            <w:sz w:val="24"/>
            <w:szCs w:val="24"/>
            <w:lang w:val="en-US" w:eastAsia="en-US"/>
            <w14:ligatures w14:val="standardContextual"/>
          </w:rPr>
          <w:tab/>
        </w:r>
        <w:r w:rsidRPr="005921FC">
          <w:rPr>
            <w:rStyle w:val="Hyperlink"/>
          </w:rPr>
          <w:t>Engagement Materials</w:t>
        </w:r>
        <w:r>
          <w:rPr>
            <w:webHidden/>
          </w:rPr>
          <w:tab/>
        </w:r>
        <w:r>
          <w:rPr>
            <w:webHidden/>
          </w:rPr>
          <w:fldChar w:fldCharType="begin"/>
        </w:r>
        <w:r>
          <w:rPr>
            <w:webHidden/>
          </w:rPr>
          <w:instrText xml:space="preserve"> PAGEREF _Toc214535404 \h </w:instrText>
        </w:r>
        <w:r>
          <w:rPr>
            <w:webHidden/>
          </w:rPr>
        </w:r>
        <w:r>
          <w:rPr>
            <w:webHidden/>
          </w:rPr>
          <w:fldChar w:fldCharType="separate"/>
        </w:r>
        <w:r>
          <w:rPr>
            <w:webHidden/>
          </w:rPr>
          <w:t>22</w:t>
        </w:r>
        <w:r>
          <w:rPr>
            <w:webHidden/>
          </w:rPr>
          <w:fldChar w:fldCharType="end"/>
        </w:r>
      </w:hyperlink>
    </w:p>
    <w:p w14:paraId="7DF95419" w14:textId="56229E3A" w:rsidR="00CD78A9" w:rsidRDefault="00CD78A9">
      <w:pPr>
        <w:pStyle w:val="TOC2"/>
        <w:rPr>
          <w:rFonts w:asciiTheme="minorHAnsi" w:hAnsiTheme="minorHAnsi" w:cstheme="minorBidi"/>
          <w:kern w:val="2"/>
          <w:sz w:val="24"/>
          <w:szCs w:val="24"/>
          <w:lang w:val="en-US" w:eastAsia="en-US"/>
          <w14:ligatures w14:val="standardContextual"/>
        </w:rPr>
      </w:pPr>
      <w:hyperlink w:anchor="_Toc214535405" w:history="1">
        <w:r w:rsidRPr="005921FC">
          <w:rPr>
            <w:rStyle w:val="Hyperlink"/>
            <w:lang w:val="en-US"/>
          </w:rPr>
          <w:t>3.1</w:t>
        </w:r>
        <w:r>
          <w:rPr>
            <w:rFonts w:asciiTheme="minorHAnsi" w:hAnsiTheme="minorHAnsi" w:cstheme="minorBidi"/>
            <w:kern w:val="2"/>
            <w:sz w:val="24"/>
            <w:szCs w:val="24"/>
            <w:lang w:val="en-US" w:eastAsia="en-US"/>
            <w14:ligatures w14:val="standardContextual"/>
          </w:rPr>
          <w:tab/>
        </w:r>
        <w:r w:rsidRPr="005921FC">
          <w:rPr>
            <w:rStyle w:val="Hyperlink"/>
            <w:lang w:val="en-US"/>
          </w:rPr>
          <w:t>Introductory</w:t>
        </w:r>
        <w:r>
          <w:rPr>
            <w:webHidden/>
          </w:rPr>
          <w:tab/>
        </w:r>
        <w:r>
          <w:rPr>
            <w:webHidden/>
          </w:rPr>
          <w:fldChar w:fldCharType="begin"/>
        </w:r>
        <w:r>
          <w:rPr>
            <w:webHidden/>
          </w:rPr>
          <w:instrText xml:space="preserve"> PAGEREF _Toc214535405 \h </w:instrText>
        </w:r>
        <w:r>
          <w:rPr>
            <w:webHidden/>
          </w:rPr>
        </w:r>
        <w:r>
          <w:rPr>
            <w:webHidden/>
          </w:rPr>
          <w:fldChar w:fldCharType="separate"/>
        </w:r>
        <w:r>
          <w:rPr>
            <w:webHidden/>
          </w:rPr>
          <w:t>22</w:t>
        </w:r>
        <w:r>
          <w:rPr>
            <w:webHidden/>
          </w:rPr>
          <w:fldChar w:fldCharType="end"/>
        </w:r>
      </w:hyperlink>
    </w:p>
    <w:p w14:paraId="611C2C94" w14:textId="35C8F286" w:rsidR="00CD78A9" w:rsidRDefault="00CD78A9">
      <w:pPr>
        <w:pStyle w:val="TOC2"/>
        <w:rPr>
          <w:rFonts w:asciiTheme="minorHAnsi" w:hAnsiTheme="minorHAnsi" w:cstheme="minorBidi"/>
          <w:kern w:val="2"/>
          <w:sz w:val="24"/>
          <w:szCs w:val="24"/>
          <w:lang w:val="en-US" w:eastAsia="en-US"/>
          <w14:ligatures w14:val="standardContextual"/>
        </w:rPr>
      </w:pPr>
      <w:hyperlink w:anchor="_Toc214535406" w:history="1">
        <w:r w:rsidRPr="005921FC">
          <w:rPr>
            <w:rStyle w:val="Hyperlink"/>
            <w:lang w:val="en-US"/>
          </w:rPr>
          <w:t>3.2</w:t>
        </w:r>
        <w:r>
          <w:rPr>
            <w:rFonts w:asciiTheme="minorHAnsi" w:hAnsiTheme="minorHAnsi" w:cstheme="minorBidi"/>
            <w:kern w:val="2"/>
            <w:sz w:val="24"/>
            <w:szCs w:val="24"/>
            <w:lang w:val="en-US" w:eastAsia="en-US"/>
            <w14:ligatures w14:val="standardContextual"/>
          </w:rPr>
          <w:tab/>
        </w:r>
        <w:r w:rsidRPr="005921FC">
          <w:rPr>
            <w:rStyle w:val="Hyperlink"/>
            <w:lang w:val="en-US"/>
          </w:rPr>
          <w:t>Community Workshops, Webinar and Resource Hub</w:t>
        </w:r>
        <w:r>
          <w:rPr>
            <w:webHidden/>
          </w:rPr>
          <w:tab/>
        </w:r>
        <w:r>
          <w:rPr>
            <w:webHidden/>
          </w:rPr>
          <w:fldChar w:fldCharType="begin"/>
        </w:r>
        <w:r>
          <w:rPr>
            <w:webHidden/>
          </w:rPr>
          <w:instrText xml:space="preserve"> PAGEREF _Toc214535406 \h </w:instrText>
        </w:r>
        <w:r>
          <w:rPr>
            <w:webHidden/>
          </w:rPr>
        </w:r>
        <w:r>
          <w:rPr>
            <w:webHidden/>
          </w:rPr>
          <w:fldChar w:fldCharType="separate"/>
        </w:r>
        <w:r>
          <w:rPr>
            <w:webHidden/>
          </w:rPr>
          <w:t>22</w:t>
        </w:r>
        <w:r>
          <w:rPr>
            <w:webHidden/>
          </w:rPr>
          <w:fldChar w:fldCharType="end"/>
        </w:r>
      </w:hyperlink>
    </w:p>
    <w:p w14:paraId="10E72061" w14:textId="7DAFEE6A" w:rsidR="00CD78A9" w:rsidRDefault="00CD78A9">
      <w:pPr>
        <w:pStyle w:val="TOC2"/>
        <w:rPr>
          <w:rFonts w:asciiTheme="minorHAnsi" w:hAnsiTheme="minorHAnsi" w:cstheme="minorBidi"/>
          <w:kern w:val="2"/>
          <w:sz w:val="24"/>
          <w:szCs w:val="24"/>
          <w:lang w:val="en-US" w:eastAsia="en-US"/>
          <w14:ligatures w14:val="standardContextual"/>
        </w:rPr>
      </w:pPr>
      <w:hyperlink w:anchor="_Toc214535407" w:history="1">
        <w:r w:rsidRPr="005921FC">
          <w:rPr>
            <w:rStyle w:val="Hyperlink"/>
            <w:lang w:val="en-US"/>
          </w:rPr>
          <w:t>3.3</w:t>
        </w:r>
        <w:r>
          <w:rPr>
            <w:rFonts w:asciiTheme="minorHAnsi" w:hAnsiTheme="minorHAnsi" w:cstheme="minorBidi"/>
            <w:kern w:val="2"/>
            <w:sz w:val="24"/>
            <w:szCs w:val="24"/>
            <w:lang w:val="en-US" w:eastAsia="en-US"/>
            <w14:ligatures w14:val="standardContextual"/>
          </w:rPr>
          <w:tab/>
        </w:r>
        <w:r w:rsidRPr="005921FC">
          <w:rPr>
            <w:rStyle w:val="Hyperlink"/>
            <w:lang w:val="en-US"/>
          </w:rPr>
          <w:t>Technical Advisory Committee</w:t>
        </w:r>
        <w:r>
          <w:rPr>
            <w:webHidden/>
          </w:rPr>
          <w:tab/>
        </w:r>
        <w:r>
          <w:rPr>
            <w:webHidden/>
          </w:rPr>
          <w:fldChar w:fldCharType="begin"/>
        </w:r>
        <w:r>
          <w:rPr>
            <w:webHidden/>
          </w:rPr>
          <w:instrText xml:space="preserve"> PAGEREF _Toc214535407 \h </w:instrText>
        </w:r>
        <w:r>
          <w:rPr>
            <w:webHidden/>
          </w:rPr>
        </w:r>
        <w:r>
          <w:rPr>
            <w:webHidden/>
          </w:rPr>
          <w:fldChar w:fldCharType="separate"/>
        </w:r>
        <w:r>
          <w:rPr>
            <w:webHidden/>
          </w:rPr>
          <w:t>22</w:t>
        </w:r>
        <w:r>
          <w:rPr>
            <w:webHidden/>
          </w:rPr>
          <w:fldChar w:fldCharType="end"/>
        </w:r>
      </w:hyperlink>
    </w:p>
    <w:p w14:paraId="0DD1F153" w14:textId="62438D47" w:rsidR="00CD78A9" w:rsidRDefault="00CD78A9">
      <w:pPr>
        <w:pStyle w:val="TOC2"/>
        <w:rPr>
          <w:rFonts w:asciiTheme="minorHAnsi" w:hAnsiTheme="minorHAnsi" w:cstheme="minorBidi"/>
          <w:kern w:val="2"/>
          <w:sz w:val="24"/>
          <w:szCs w:val="24"/>
          <w:lang w:val="en-US" w:eastAsia="en-US"/>
          <w14:ligatures w14:val="standardContextual"/>
        </w:rPr>
      </w:pPr>
      <w:hyperlink w:anchor="_Toc214535408" w:history="1">
        <w:r w:rsidRPr="005921FC">
          <w:rPr>
            <w:rStyle w:val="Hyperlink"/>
            <w:lang w:val="en-US"/>
          </w:rPr>
          <w:t>3.4</w:t>
        </w:r>
        <w:r>
          <w:rPr>
            <w:rFonts w:asciiTheme="minorHAnsi" w:hAnsiTheme="minorHAnsi" w:cstheme="minorBidi"/>
            <w:kern w:val="2"/>
            <w:sz w:val="24"/>
            <w:szCs w:val="24"/>
            <w:lang w:val="en-US" w:eastAsia="en-US"/>
            <w14:ligatures w14:val="standardContextual"/>
          </w:rPr>
          <w:tab/>
        </w:r>
        <w:r w:rsidRPr="005921FC">
          <w:rPr>
            <w:rStyle w:val="Hyperlink"/>
            <w:lang w:val="en-US"/>
          </w:rPr>
          <w:t>Case Study Partnerships</w:t>
        </w:r>
        <w:r>
          <w:rPr>
            <w:webHidden/>
          </w:rPr>
          <w:tab/>
        </w:r>
        <w:r>
          <w:rPr>
            <w:webHidden/>
          </w:rPr>
          <w:fldChar w:fldCharType="begin"/>
        </w:r>
        <w:r>
          <w:rPr>
            <w:webHidden/>
          </w:rPr>
          <w:instrText xml:space="preserve"> PAGEREF _Toc214535408 \h </w:instrText>
        </w:r>
        <w:r>
          <w:rPr>
            <w:webHidden/>
          </w:rPr>
        </w:r>
        <w:r>
          <w:rPr>
            <w:webHidden/>
          </w:rPr>
          <w:fldChar w:fldCharType="separate"/>
        </w:r>
        <w:r>
          <w:rPr>
            <w:webHidden/>
          </w:rPr>
          <w:t>22</w:t>
        </w:r>
        <w:r>
          <w:rPr>
            <w:webHidden/>
          </w:rPr>
          <w:fldChar w:fldCharType="end"/>
        </w:r>
      </w:hyperlink>
    </w:p>
    <w:p w14:paraId="4A23A696" w14:textId="287DD51A" w:rsidR="00CD78A9" w:rsidRDefault="00CD78A9">
      <w:pPr>
        <w:pStyle w:val="TOC1"/>
        <w:rPr>
          <w:rFonts w:asciiTheme="minorHAnsi" w:hAnsiTheme="minorHAnsi" w:cstheme="minorBidi"/>
          <w:caps w:val="0"/>
          <w:kern w:val="2"/>
          <w:sz w:val="24"/>
          <w:szCs w:val="24"/>
          <w:lang w:val="en-US" w:eastAsia="en-US"/>
          <w14:ligatures w14:val="standardContextual"/>
        </w:rPr>
      </w:pPr>
      <w:hyperlink w:anchor="_Toc214535409" w:history="1">
        <w:r w:rsidRPr="005921FC">
          <w:rPr>
            <w:rStyle w:val="Hyperlink"/>
          </w:rPr>
          <w:t>4</w:t>
        </w:r>
        <w:r>
          <w:rPr>
            <w:rFonts w:asciiTheme="minorHAnsi" w:hAnsiTheme="minorHAnsi" w:cstheme="minorBidi"/>
            <w:caps w:val="0"/>
            <w:kern w:val="2"/>
            <w:sz w:val="24"/>
            <w:szCs w:val="24"/>
            <w:lang w:val="en-US" w:eastAsia="en-US"/>
            <w14:ligatures w14:val="standardContextual"/>
          </w:rPr>
          <w:tab/>
        </w:r>
        <w:r w:rsidRPr="005921FC">
          <w:rPr>
            <w:rStyle w:val="Hyperlink"/>
          </w:rPr>
          <w:t>Results, Lessons Learned, and Logistical Concerns</w:t>
        </w:r>
        <w:r>
          <w:rPr>
            <w:webHidden/>
          </w:rPr>
          <w:tab/>
        </w:r>
        <w:r>
          <w:rPr>
            <w:webHidden/>
          </w:rPr>
          <w:fldChar w:fldCharType="begin"/>
        </w:r>
        <w:r>
          <w:rPr>
            <w:webHidden/>
          </w:rPr>
          <w:instrText xml:space="preserve"> PAGEREF _Toc214535409 \h </w:instrText>
        </w:r>
        <w:r>
          <w:rPr>
            <w:webHidden/>
          </w:rPr>
        </w:r>
        <w:r>
          <w:rPr>
            <w:webHidden/>
          </w:rPr>
          <w:fldChar w:fldCharType="separate"/>
        </w:r>
        <w:r>
          <w:rPr>
            <w:webHidden/>
          </w:rPr>
          <w:t>23</w:t>
        </w:r>
        <w:r>
          <w:rPr>
            <w:webHidden/>
          </w:rPr>
          <w:fldChar w:fldCharType="end"/>
        </w:r>
      </w:hyperlink>
    </w:p>
    <w:p w14:paraId="54BAB37D" w14:textId="0777CF00" w:rsidR="00CD78A9" w:rsidRDefault="00CD78A9">
      <w:pPr>
        <w:pStyle w:val="TOC2"/>
        <w:rPr>
          <w:rFonts w:asciiTheme="minorHAnsi" w:hAnsiTheme="minorHAnsi" w:cstheme="minorBidi"/>
          <w:kern w:val="2"/>
          <w:sz w:val="24"/>
          <w:szCs w:val="24"/>
          <w:lang w:val="en-US" w:eastAsia="en-US"/>
          <w14:ligatures w14:val="standardContextual"/>
        </w:rPr>
      </w:pPr>
      <w:hyperlink w:anchor="_Toc214535410" w:history="1">
        <w:r w:rsidRPr="005921FC">
          <w:rPr>
            <w:rStyle w:val="Hyperlink"/>
          </w:rPr>
          <w:t>4.1</w:t>
        </w:r>
        <w:r>
          <w:rPr>
            <w:rFonts w:asciiTheme="minorHAnsi" w:hAnsiTheme="minorHAnsi" w:cstheme="minorBidi"/>
            <w:kern w:val="2"/>
            <w:sz w:val="24"/>
            <w:szCs w:val="24"/>
            <w:lang w:val="en-US" w:eastAsia="en-US"/>
            <w14:ligatures w14:val="standardContextual"/>
          </w:rPr>
          <w:tab/>
        </w:r>
        <w:r w:rsidRPr="005921FC">
          <w:rPr>
            <w:rStyle w:val="Hyperlink"/>
          </w:rPr>
          <w:t>Results</w:t>
        </w:r>
        <w:r>
          <w:rPr>
            <w:webHidden/>
          </w:rPr>
          <w:tab/>
        </w:r>
        <w:r>
          <w:rPr>
            <w:webHidden/>
          </w:rPr>
          <w:fldChar w:fldCharType="begin"/>
        </w:r>
        <w:r>
          <w:rPr>
            <w:webHidden/>
          </w:rPr>
          <w:instrText xml:space="preserve"> PAGEREF _Toc214535410 \h </w:instrText>
        </w:r>
        <w:r>
          <w:rPr>
            <w:webHidden/>
          </w:rPr>
        </w:r>
        <w:r>
          <w:rPr>
            <w:webHidden/>
          </w:rPr>
          <w:fldChar w:fldCharType="separate"/>
        </w:r>
        <w:r>
          <w:rPr>
            <w:webHidden/>
          </w:rPr>
          <w:t>23</w:t>
        </w:r>
        <w:r>
          <w:rPr>
            <w:webHidden/>
          </w:rPr>
          <w:fldChar w:fldCharType="end"/>
        </w:r>
      </w:hyperlink>
    </w:p>
    <w:p w14:paraId="1984AAF0" w14:textId="110AC0D3" w:rsidR="00CD78A9" w:rsidRDefault="00CD78A9">
      <w:pPr>
        <w:pStyle w:val="TOC2"/>
        <w:rPr>
          <w:rFonts w:asciiTheme="minorHAnsi" w:hAnsiTheme="minorHAnsi" w:cstheme="minorBidi"/>
          <w:kern w:val="2"/>
          <w:sz w:val="24"/>
          <w:szCs w:val="24"/>
          <w:lang w:val="en-US" w:eastAsia="en-US"/>
          <w14:ligatures w14:val="standardContextual"/>
        </w:rPr>
      </w:pPr>
      <w:hyperlink w:anchor="_Toc214535411" w:history="1">
        <w:r w:rsidRPr="005921FC">
          <w:rPr>
            <w:rStyle w:val="Hyperlink"/>
          </w:rPr>
          <w:t>4.2</w:t>
        </w:r>
        <w:r>
          <w:rPr>
            <w:rFonts w:asciiTheme="minorHAnsi" w:hAnsiTheme="minorHAnsi" w:cstheme="minorBidi"/>
            <w:kern w:val="2"/>
            <w:sz w:val="24"/>
            <w:szCs w:val="24"/>
            <w:lang w:val="en-US" w:eastAsia="en-US"/>
            <w14:ligatures w14:val="standardContextual"/>
          </w:rPr>
          <w:tab/>
        </w:r>
        <w:r w:rsidRPr="005921FC">
          <w:rPr>
            <w:rStyle w:val="Hyperlink"/>
          </w:rPr>
          <w:t>Lessons Learned</w:t>
        </w:r>
        <w:r>
          <w:rPr>
            <w:webHidden/>
          </w:rPr>
          <w:tab/>
        </w:r>
        <w:r>
          <w:rPr>
            <w:webHidden/>
          </w:rPr>
          <w:fldChar w:fldCharType="begin"/>
        </w:r>
        <w:r>
          <w:rPr>
            <w:webHidden/>
          </w:rPr>
          <w:instrText xml:space="preserve"> PAGEREF _Toc214535411 \h </w:instrText>
        </w:r>
        <w:r>
          <w:rPr>
            <w:webHidden/>
          </w:rPr>
        </w:r>
        <w:r>
          <w:rPr>
            <w:webHidden/>
          </w:rPr>
          <w:fldChar w:fldCharType="separate"/>
        </w:r>
        <w:r>
          <w:rPr>
            <w:webHidden/>
          </w:rPr>
          <w:t>24</w:t>
        </w:r>
        <w:r>
          <w:rPr>
            <w:webHidden/>
          </w:rPr>
          <w:fldChar w:fldCharType="end"/>
        </w:r>
      </w:hyperlink>
    </w:p>
    <w:p w14:paraId="119E7B94" w14:textId="230EE50E" w:rsidR="00CD78A9" w:rsidRDefault="00CD78A9">
      <w:pPr>
        <w:pStyle w:val="TOC2"/>
        <w:rPr>
          <w:rFonts w:asciiTheme="minorHAnsi" w:hAnsiTheme="minorHAnsi" w:cstheme="minorBidi"/>
          <w:kern w:val="2"/>
          <w:sz w:val="24"/>
          <w:szCs w:val="24"/>
          <w:lang w:val="en-US" w:eastAsia="en-US"/>
          <w14:ligatures w14:val="standardContextual"/>
        </w:rPr>
      </w:pPr>
      <w:hyperlink w:anchor="_Toc214535412" w:history="1">
        <w:r w:rsidRPr="005921FC">
          <w:rPr>
            <w:rStyle w:val="Hyperlink"/>
          </w:rPr>
          <w:t>4.3</w:t>
        </w:r>
        <w:r>
          <w:rPr>
            <w:rFonts w:asciiTheme="minorHAnsi" w:hAnsiTheme="minorHAnsi" w:cstheme="minorBidi"/>
            <w:kern w:val="2"/>
            <w:sz w:val="24"/>
            <w:szCs w:val="24"/>
            <w:lang w:val="en-US" w:eastAsia="en-US"/>
            <w14:ligatures w14:val="standardContextual"/>
          </w:rPr>
          <w:tab/>
        </w:r>
        <w:r w:rsidRPr="005921FC">
          <w:rPr>
            <w:rStyle w:val="Hyperlink"/>
          </w:rPr>
          <w:t>Logistical Concerns</w:t>
        </w:r>
        <w:r>
          <w:rPr>
            <w:webHidden/>
          </w:rPr>
          <w:tab/>
        </w:r>
        <w:r>
          <w:rPr>
            <w:webHidden/>
          </w:rPr>
          <w:fldChar w:fldCharType="begin"/>
        </w:r>
        <w:r>
          <w:rPr>
            <w:webHidden/>
          </w:rPr>
          <w:instrText xml:space="preserve"> PAGEREF _Toc214535412 \h </w:instrText>
        </w:r>
        <w:r>
          <w:rPr>
            <w:webHidden/>
          </w:rPr>
        </w:r>
        <w:r>
          <w:rPr>
            <w:webHidden/>
          </w:rPr>
          <w:fldChar w:fldCharType="separate"/>
        </w:r>
        <w:r>
          <w:rPr>
            <w:webHidden/>
          </w:rPr>
          <w:t>28</w:t>
        </w:r>
        <w:r>
          <w:rPr>
            <w:webHidden/>
          </w:rPr>
          <w:fldChar w:fldCharType="end"/>
        </w:r>
      </w:hyperlink>
    </w:p>
    <w:p w14:paraId="07F78DB3" w14:textId="0408BDEB" w:rsidR="00CD78A9" w:rsidRDefault="00CD78A9">
      <w:pPr>
        <w:pStyle w:val="TOC1"/>
        <w:tabs>
          <w:tab w:val="left" w:pos="1417"/>
        </w:tabs>
        <w:rPr>
          <w:rFonts w:asciiTheme="minorHAnsi" w:hAnsiTheme="minorHAnsi" w:cstheme="minorBidi"/>
          <w:caps w:val="0"/>
          <w:kern w:val="2"/>
          <w:sz w:val="24"/>
          <w:szCs w:val="24"/>
          <w:lang w:val="en-US" w:eastAsia="en-US"/>
          <w14:ligatures w14:val="standardContextual"/>
        </w:rPr>
      </w:pPr>
      <w:hyperlink w:anchor="_Toc214535413" w:history="1">
        <w:r w:rsidRPr="005921FC">
          <w:rPr>
            <w:rStyle w:val="Hyperlink"/>
          </w:rPr>
          <w:t>Appendix A.</w:t>
        </w:r>
        <w:r>
          <w:rPr>
            <w:rFonts w:asciiTheme="minorHAnsi" w:hAnsiTheme="minorHAnsi" w:cstheme="minorBidi"/>
            <w:caps w:val="0"/>
            <w:kern w:val="2"/>
            <w:sz w:val="24"/>
            <w:szCs w:val="24"/>
            <w:lang w:val="en-US" w:eastAsia="en-US"/>
            <w14:ligatures w14:val="standardContextual"/>
          </w:rPr>
          <w:tab/>
        </w:r>
        <w:r w:rsidRPr="005921FC">
          <w:rPr>
            <w:rStyle w:val="Hyperlink"/>
          </w:rPr>
          <w:t>Stakeholder Attendee Lists</w:t>
        </w:r>
        <w:r>
          <w:rPr>
            <w:webHidden/>
          </w:rPr>
          <w:tab/>
        </w:r>
        <w:r>
          <w:rPr>
            <w:webHidden/>
          </w:rPr>
          <w:fldChar w:fldCharType="begin"/>
        </w:r>
        <w:r>
          <w:rPr>
            <w:webHidden/>
          </w:rPr>
          <w:instrText xml:space="preserve"> PAGEREF _Toc214535413 \h </w:instrText>
        </w:r>
        <w:r>
          <w:rPr>
            <w:webHidden/>
          </w:rPr>
        </w:r>
        <w:r>
          <w:rPr>
            <w:webHidden/>
          </w:rPr>
          <w:fldChar w:fldCharType="separate"/>
        </w:r>
        <w:r>
          <w:rPr>
            <w:webHidden/>
          </w:rPr>
          <w:t>A-1</w:t>
        </w:r>
        <w:r>
          <w:rPr>
            <w:webHidden/>
          </w:rPr>
          <w:fldChar w:fldCharType="end"/>
        </w:r>
      </w:hyperlink>
    </w:p>
    <w:p w14:paraId="3F03B098" w14:textId="389D0A2E" w:rsidR="00CD78A9" w:rsidRDefault="00CD78A9">
      <w:pPr>
        <w:pStyle w:val="TOC2"/>
        <w:rPr>
          <w:rFonts w:asciiTheme="minorHAnsi" w:hAnsiTheme="minorHAnsi" w:cstheme="minorBidi"/>
          <w:kern w:val="2"/>
          <w:sz w:val="24"/>
          <w:szCs w:val="24"/>
          <w:lang w:val="en-US" w:eastAsia="en-US"/>
          <w14:ligatures w14:val="standardContextual"/>
        </w:rPr>
      </w:pPr>
      <w:hyperlink w:anchor="_Toc214535414" w:history="1">
        <w:r w:rsidRPr="005921FC">
          <w:rPr>
            <w:rStyle w:val="Hyperlink"/>
          </w:rPr>
          <w:t>Workshop One – October 20, 2023</w:t>
        </w:r>
        <w:r>
          <w:rPr>
            <w:webHidden/>
          </w:rPr>
          <w:tab/>
        </w:r>
        <w:r>
          <w:rPr>
            <w:webHidden/>
          </w:rPr>
          <w:fldChar w:fldCharType="begin"/>
        </w:r>
        <w:r>
          <w:rPr>
            <w:webHidden/>
          </w:rPr>
          <w:instrText xml:space="preserve"> PAGEREF _Toc214535414 \h </w:instrText>
        </w:r>
        <w:r>
          <w:rPr>
            <w:webHidden/>
          </w:rPr>
        </w:r>
        <w:r>
          <w:rPr>
            <w:webHidden/>
          </w:rPr>
          <w:fldChar w:fldCharType="separate"/>
        </w:r>
        <w:r>
          <w:rPr>
            <w:webHidden/>
          </w:rPr>
          <w:t>A-1</w:t>
        </w:r>
        <w:r>
          <w:rPr>
            <w:webHidden/>
          </w:rPr>
          <w:fldChar w:fldCharType="end"/>
        </w:r>
      </w:hyperlink>
    </w:p>
    <w:p w14:paraId="0B9A8346" w14:textId="3667F2F8" w:rsidR="00CD78A9" w:rsidRDefault="00CD78A9">
      <w:pPr>
        <w:pStyle w:val="TOC2"/>
        <w:rPr>
          <w:rFonts w:asciiTheme="minorHAnsi" w:hAnsiTheme="minorHAnsi" w:cstheme="minorBidi"/>
          <w:kern w:val="2"/>
          <w:sz w:val="24"/>
          <w:szCs w:val="24"/>
          <w:lang w:val="en-US" w:eastAsia="en-US"/>
          <w14:ligatures w14:val="standardContextual"/>
        </w:rPr>
      </w:pPr>
      <w:hyperlink w:anchor="_Toc214535415" w:history="1">
        <w:r w:rsidRPr="005921FC">
          <w:rPr>
            <w:rStyle w:val="Hyperlink"/>
          </w:rPr>
          <w:t>Workshop Two – October 2, 2024</w:t>
        </w:r>
        <w:r>
          <w:rPr>
            <w:webHidden/>
          </w:rPr>
          <w:tab/>
        </w:r>
        <w:r>
          <w:rPr>
            <w:webHidden/>
          </w:rPr>
          <w:fldChar w:fldCharType="begin"/>
        </w:r>
        <w:r>
          <w:rPr>
            <w:webHidden/>
          </w:rPr>
          <w:instrText xml:space="preserve"> PAGEREF _Toc214535415 \h </w:instrText>
        </w:r>
        <w:r>
          <w:rPr>
            <w:webHidden/>
          </w:rPr>
        </w:r>
        <w:r>
          <w:rPr>
            <w:webHidden/>
          </w:rPr>
          <w:fldChar w:fldCharType="separate"/>
        </w:r>
        <w:r>
          <w:rPr>
            <w:webHidden/>
          </w:rPr>
          <w:t>A-2</w:t>
        </w:r>
        <w:r>
          <w:rPr>
            <w:webHidden/>
          </w:rPr>
          <w:fldChar w:fldCharType="end"/>
        </w:r>
      </w:hyperlink>
    </w:p>
    <w:p w14:paraId="41AAD5EB" w14:textId="69F853CF" w:rsidR="00CD78A9" w:rsidRDefault="00CD78A9">
      <w:pPr>
        <w:pStyle w:val="TOC2"/>
        <w:rPr>
          <w:rFonts w:asciiTheme="minorHAnsi" w:hAnsiTheme="minorHAnsi" w:cstheme="minorBidi"/>
          <w:kern w:val="2"/>
          <w:sz w:val="24"/>
          <w:szCs w:val="24"/>
          <w:lang w:val="en-US" w:eastAsia="en-US"/>
          <w14:ligatures w14:val="standardContextual"/>
        </w:rPr>
      </w:pPr>
      <w:hyperlink w:anchor="_Toc214535416" w:history="1">
        <w:r w:rsidRPr="005921FC">
          <w:rPr>
            <w:rStyle w:val="Hyperlink"/>
          </w:rPr>
          <w:t>Public Webinar – October 8, 2025</w:t>
        </w:r>
        <w:r>
          <w:rPr>
            <w:webHidden/>
          </w:rPr>
          <w:tab/>
        </w:r>
        <w:r>
          <w:rPr>
            <w:webHidden/>
          </w:rPr>
          <w:fldChar w:fldCharType="begin"/>
        </w:r>
        <w:r>
          <w:rPr>
            <w:webHidden/>
          </w:rPr>
          <w:instrText xml:space="preserve"> PAGEREF _Toc214535416 \h </w:instrText>
        </w:r>
        <w:r>
          <w:rPr>
            <w:webHidden/>
          </w:rPr>
        </w:r>
        <w:r>
          <w:rPr>
            <w:webHidden/>
          </w:rPr>
          <w:fldChar w:fldCharType="separate"/>
        </w:r>
        <w:r>
          <w:rPr>
            <w:webHidden/>
          </w:rPr>
          <w:t>A-2</w:t>
        </w:r>
        <w:r>
          <w:rPr>
            <w:webHidden/>
          </w:rPr>
          <w:fldChar w:fldCharType="end"/>
        </w:r>
      </w:hyperlink>
    </w:p>
    <w:p w14:paraId="51DD68C5" w14:textId="7466B325" w:rsidR="00CD78A9" w:rsidRDefault="00CD78A9">
      <w:pPr>
        <w:pStyle w:val="TOC1"/>
        <w:tabs>
          <w:tab w:val="left" w:pos="1417"/>
        </w:tabs>
        <w:rPr>
          <w:rFonts w:asciiTheme="minorHAnsi" w:hAnsiTheme="minorHAnsi" w:cstheme="minorBidi"/>
          <w:caps w:val="0"/>
          <w:kern w:val="2"/>
          <w:sz w:val="24"/>
          <w:szCs w:val="24"/>
          <w:lang w:val="en-US" w:eastAsia="en-US"/>
          <w14:ligatures w14:val="standardContextual"/>
        </w:rPr>
      </w:pPr>
      <w:hyperlink w:anchor="_Toc214535417" w:history="1">
        <w:r w:rsidRPr="005921FC">
          <w:rPr>
            <w:rStyle w:val="Hyperlink"/>
          </w:rPr>
          <w:t>Appendix B.</w:t>
        </w:r>
        <w:r>
          <w:rPr>
            <w:rFonts w:asciiTheme="minorHAnsi" w:hAnsiTheme="minorHAnsi" w:cstheme="minorBidi"/>
            <w:caps w:val="0"/>
            <w:kern w:val="2"/>
            <w:sz w:val="24"/>
            <w:szCs w:val="24"/>
            <w:lang w:val="en-US" w:eastAsia="en-US"/>
            <w14:ligatures w14:val="standardContextual"/>
          </w:rPr>
          <w:tab/>
        </w:r>
        <w:r w:rsidRPr="005921FC">
          <w:rPr>
            <w:rStyle w:val="Hyperlink"/>
          </w:rPr>
          <w:t>Case Studies</w:t>
        </w:r>
        <w:r>
          <w:rPr>
            <w:webHidden/>
          </w:rPr>
          <w:tab/>
        </w:r>
        <w:r>
          <w:rPr>
            <w:webHidden/>
          </w:rPr>
          <w:fldChar w:fldCharType="begin"/>
        </w:r>
        <w:r>
          <w:rPr>
            <w:webHidden/>
          </w:rPr>
          <w:instrText xml:space="preserve"> PAGEREF _Toc214535417 \h </w:instrText>
        </w:r>
        <w:r>
          <w:rPr>
            <w:webHidden/>
          </w:rPr>
        </w:r>
        <w:r>
          <w:rPr>
            <w:webHidden/>
          </w:rPr>
          <w:fldChar w:fldCharType="separate"/>
        </w:r>
        <w:r>
          <w:rPr>
            <w:webHidden/>
          </w:rPr>
          <w:t>B-1</w:t>
        </w:r>
        <w:r>
          <w:rPr>
            <w:webHidden/>
          </w:rPr>
          <w:fldChar w:fldCharType="end"/>
        </w:r>
      </w:hyperlink>
    </w:p>
    <w:p w14:paraId="2BA26C46" w14:textId="36092396" w:rsidR="002700D8" w:rsidRDefault="008817E4" w:rsidP="002700D8">
      <w:pPr>
        <w:pStyle w:val="TOC1"/>
        <w:tabs>
          <w:tab w:val="left" w:pos="1417"/>
        </w:tabs>
      </w:pPr>
      <w:r>
        <w:fldChar w:fldCharType="end"/>
      </w:r>
      <w:bookmarkStart w:id="0" w:name="_Toc424137668"/>
    </w:p>
    <w:p w14:paraId="5B31400F" w14:textId="068807DD" w:rsidR="00947522" w:rsidRPr="009D630C" w:rsidRDefault="00947522" w:rsidP="002700D8">
      <w:pPr>
        <w:pStyle w:val="TOCHeading"/>
      </w:pPr>
      <w:r w:rsidRPr="002700D8">
        <w:t>Figures</w:t>
      </w:r>
      <w:bookmarkEnd w:id="0"/>
    </w:p>
    <w:p w14:paraId="48540ADB" w14:textId="77777777" w:rsidR="00947522" w:rsidRDefault="00947522">
      <w:pPr>
        <w:pStyle w:val="TableofFigures"/>
        <w:tabs>
          <w:tab w:val="right" w:leader="dot" w:pos="9572"/>
        </w:tabs>
      </w:pPr>
    </w:p>
    <w:p w14:paraId="1FB40264" w14:textId="4FAB1083" w:rsidR="00CD78A9" w:rsidRDefault="00947522">
      <w:pPr>
        <w:pStyle w:val="TableofFigures"/>
        <w:tabs>
          <w:tab w:val="right" w:leader="dot" w:pos="9572"/>
        </w:tabs>
        <w:rPr>
          <w:rFonts w:asciiTheme="minorHAnsi" w:hAnsiTheme="minorHAnsi" w:cstheme="minorBidi"/>
          <w:noProof/>
          <w:kern w:val="2"/>
          <w:sz w:val="24"/>
          <w:szCs w:val="24"/>
          <w:lang w:val="en-US" w:eastAsia="en-US"/>
          <w14:ligatures w14:val="standardContextual"/>
        </w:rPr>
      </w:pPr>
      <w:r>
        <w:fldChar w:fldCharType="begin"/>
      </w:r>
      <w:r>
        <w:instrText xml:space="preserve"> TOC \h \z \c "Figure" </w:instrText>
      </w:r>
      <w:r>
        <w:fldChar w:fldCharType="separate"/>
      </w:r>
      <w:hyperlink w:anchor="_Toc214535418" w:history="1">
        <w:r w:rsidR="00CD78A9" w:rsidRPr="00F03E94">
          <w:rPr>
            <w:rStyle w:val="Hyperlink"/>
            <w:noProof/>
          </w:rPr>
          <w:t>Figure 2</w:t>
        </w:r>
        <w:r w:rsidR="00CD78A9" w:rsidRPr="00F03E94">
          <w:rPr>
            <w:rStyle w:val="Hyperlink"/>
            <w:noProof/>
          </w:rPr>
          <w:noBreakHyphen/>
          <w:t>1. Community Engagement and Feedback Process</w:t>
        </w:r>
        <w:r w:rsidR="00CD78A9">
          <w:rPr>
            <w:noProof/>
            <w:webHidden/>
          </w:rPr>
          <w:tab/>
        </w:r>
        <w:r w:rsidR="00CD78A9">
          <w:rPr>
            <w:noProof/>
            <w:webHidden/>
          </w:rPr>
          <w:fldChar w:fldCharType="begin"/>
        </w:r>
        <w:r w:rsidR="00CD78A9">
          <w:rPr>
            <w:noProof/>
            <w:webHidden/>
          </w:rPr>
          <w:instrText xml:space="preserve"> PAGEREF _Toc214535418 \h </w:instrText>
        </w:r>
        <w:r w:rsidR="00CD78A9">
          <w:rPr>
            <w:noProof/>
            <w:webHidden/>
          </w:rPr>
        </w:r>
        <w:r w:rsidR="00CD78A9">
          <w:rPr>
            <w:noProof/>
            <w:webHidden/>
          </w:rPr>
          <w:fldChar w:fldCharType="separate"/>
        </w:r>
        <w:r w:rsidR="00CD78A9">
          <w:rPr>
            <w:noProof/>
            <w:webHidden/>
          </w:rPr>
          <w:t>4</w:t>
        </w:r>
        <w:r w:rsidR="00CD78A9">
          <w:rPr>
            <w:noProof/>
            <w:webHidden/>
          </w:rPr>
          <w:fldChar w:fldCharType="end"/>
        </w:r>
      </w:hyperlink>
    </w:p>
    <w:p w14:paraId="57CC8B85" w14:textId="114E40FF" w:rsidR="00CD78A9" w:rsidRDefault="00CD78A9">
      <w:pPr>
        <w:pStyle w:val="TableofFigures"/>
        <w:tabs>
          <w:tab w:val="right" w:leader="dot" w:pos="9572"/>
        </w:tabs>
        <w:rPr>
          <w:rFonts w:asciiTheme="minorHAnsi" w:hAnsiTheme="minorHAnsi" w:cstheme="minorBidi"/>
          <w:noProof/>
          <w:kern w:val="2"/>
          <w:sz w:val="24"/>
          <w:szCs w:val="24"/>
          <w:lang w:val="en-US" w:eastAsia="en-US"/>
          <w14:ligatures w14:val="standardContextual"/>
        </w:rPr>
      </w:pPr>
      <w:hyperlink w:anchor="_Toc214535419" w:history="1">
        <w:r w:rsidRPr="00F03E94">
          <w:rPr>
            <w:rStyle w:val="Hyperlink"/>
            <w:noProof/>
          </w:rPr>
          <w:t>Figure 2</w:t>
        </w:r>
        <w:r w:rsidRPr="00F03E94">
          <w:rPr>
            <w:rStyle w:val="Hyperlink"/>
            <w:noProof/>
          </w:rPr>
          <w:noBreakHyphen/>
          <w:t>2. Project Timeline and Scheduled Events</w:t>
        </w:r>
        <w:r>
          <w:rPr>
            <w:noProof/>
            <w:webHidden/>
          </w:rPr>
          <w:tab/>
        </w:r>
        <w:r>
          <w:rPr>
            <w:noProof/>
            <w:webHidden/>
          </w:rPr>
          <w:fldChar w:fldCharType="begin"/>
        </w:r>
        <w:r>
          <w:rPr>
            <w:noProof/>
            <w:webHidden/>
          </w:rPr>
          <w:instrText xml:space="preserve"> PAGEREF _Toc214535419 \h </w:instrText>
        </w:r>
        <w:r>
          <w:rPr>
            <w:noProof/>
            <w:webHidden/>
          </w:rPr>
        </w:r>
        <w:r>
          <w:rPr>
            <w:noProof/>
            <w:webHidden/>
          </w:rPr>
          <w:fldChar w:fldCharType="separate"/>
        </w:r>
        <w:r>
          <w:rPr>
            <w:noProof/>
            <w:webHidden/>
          </w:rPr>
          <w:t>5</w:t>
        </w:r>
        <w:r>
          <w:rPr>
            <w:noProof/>
            <w:webHidden/>
          </w:rPr>
          <w:fldChar w:fldCharType="end"/>
        </w:r>
      </w:hyperlink>
    </w:p>
    <w:p w14:paraId="5D115B4F" w14:textId="28D3D700" w:rsidR="00CD78A9" w:rsidRDefault="00CD78A9">
      <w:pPr>
        <w:pStyle w:val="TableofFigures"/>
        <w:tabs>
          <w:tab w:val="right" w:leader="dot" w:pos="9572"/>
        </w:tabs>
        <w:rPr>
          <w:rFonts w:asciiTheme="minorHAnsi" w:hAnsiTheme="minorHAnsi" w:cstheme="minorBidi"/>
          <w:noProof/>
          <w:kern w:val="2"/>
          <w:sz w:val="24"/>
          <w:szCs w:val="24"/>
          <w:lang w:val="en-US" w:eastAsia="en-US"/>
          <w14:ligatures w14:val="standardContextual"/>
        </w:rPr>
      </w:pPr>
      <w:hyperlink w:anchor="_Toc214535420" w:history="1">
        <w:r w:rsidRPr="00F03E94">
          <w:rPr>
            <w:rStyle w:val="Hyperlink"/>
            <w:noProof/>
          </w:rPr>
          <w:t>Figure 2</w:t>
        </w:r>
        <w:r w:rsidRPr="00F03E94">
          <w:rPr>
            <w:rStyle w:val="Hyperlink"/>
            <w:noProof/>
          </w:rPr>
          <w:noBreakHyphen/>
          <w:t>3</w:t>
        </w:r>
        <w:r w:rsidRPr="00F03E94">
          <w:rPr>
            <w:rStyle w:val="Hyperlink"/>
            <w:noProof/>
            <w:lang w:val="en-US"/>
          </w:rPr>
          <w:t xml:space="preserve">. Approach to Developing Case </w:t>
        </w:r>
        <w:r w:rsidRPr="00F03E94">
          <w:rPr>
            <w:rStyle w:val="Hyperlink"/>
            <w:noProof/>
          </w:rPr>
          <w:t>Studies</w:t>
        </w:r>
        <w:r>
          <w:rPr>
            <w:noProof/>
            <w:webHidden/>
          </w:rPr>
          <w:tab/>
        </w:r>
        <w:r>
          <w:rPr>
            <w:noProof/>
            <w:webHidden/>
          </w:rPr>
          <w:fldChar w:fldCharType="begin"/>
        </w:r>
        <w:r>
          <w:rPr>
            <w:noProof/>
            <w:webHidden/>
          </w:rPr>
          <w:instrText xml:space="preserve"> PAGEREF _Toc214535420 \h </w:instrText>
        </w:r>
        <w:r>
          <w:rPr>
            <w:noProof/>
            <w:webHidden/>
          </w:rPr>
        </w:r>
        <w:r>
          <w:rPr>
            <w:noProof/>
            <w:webHidden/>
          </w:rPr>
          <w:fldChar w:fldCharType="separate"/>
        </w:r>
        <w:r>
          <w:rPr>
            <w:noProof/>
            <w:webHidden/>
          </w:rPr>
          <w:t>9</w:t>
        </w:r>
        <w:r>
          <w:rPr>
            <w:noProof/>
            <w:webHidden/>
          </w:rPr>
          <w:fldChar w:fldCharType="end"/>
        </w:r>
      </w:hyperlink>
    </w:p>
    <w:p w14:paraId="7DE8D869" w14:textId="307F2E6D" w:rsidR="00CD78A9" w:rsidRDefault="00CD78A9">
      <w:pPr>
        <w:pStyle w:val="TableofFigures"/>
        <w:tabs>
          <w:tab w:val="right" w:leader="dot" w:pos="9572"/>
        </w:tabs>
        <w:rPr>
          <w:rFonts w:asciiTheme="minorHAnsi" w:hAnsiTheme="minorHAnsi" w:cstheme="minorBidi"/>
          <w:noProof/>
          <w:kern w:val="2"/>
          <w:sz w:val="24"/>
          <w:szCs w:val="24"/>
          <w:lang w:val="en-US" w:eastAsia="en-US"/>
          <w14:ligatures w14:val="standardContextual"/>
        </w:rPr>
      </w:pPr>
      <w:hyperlink w:anchor="_Toc214535421" w:history="1">
        <w:r w:rsidRPr="00F03E94">
          <w:rPr>
            <w:rStyle w:val="Hyperlink"/>
            <w:noProof/>
          </w:rPr>
          <w:t>Figure 2</w:t>
        </w:r>
        <w:r w:rsidRPr="00F03E94">
          <w:rPr>
            <w:rStyle w:val="Hyperlink"/>
            <w:noProof/>
          </w:rPr>
          <w:noBreakHyphen/>
          <w:t>4. Case Study Locations</w:t>
        </w:r>
        <w:r>
          <w:rPr>
            <w:noProof/>
            <w:webHidden/>
          </w:rPr>
          <w:tab/>
        </w:r>
        <w:r>
          <w:rPr>
            <w:noProof/>
            <w:webHidden/>
          </w:rPr>
          <w:fldChar w:fldCharType="begin"/>
        </w:r>
        <w:r>
          <w:rPr>
            <w:noProof/>
            <w:webHidden/>
          </w:rPr>
          <w:instrText xml:space="preserve"> PAGEREF _Toc214535421 \h </w:instrText>
        </w:r>
        <w:r>
          <w:rPr>
            <w:noProof/>
            <w:webHidden/>
          </w:rPr>
        </w:r>
        <w:r>
          <w:rPr>
            <w:noProof/>
            <w:webHidden/>
          </w:rPr>
          <w:fldChar w:fldCharType="separate"/>
        </w:r>
        <w:r>
          <w:rPr>
            <w:noProof/>
            <w:webHidden/>
          </w:rPr>
          <w:t>9</w:t>
        </w:r>
        <w:r>
          <w:rPr>
            <w:noProof/>
            <w:webHidden/>
          </w:rPr>
          <w:fldChar w:fldCharType="end"/>
        </w:r>
      </w:hyperlink>
    </w:p>
    <w:p w14:paraId="68C337DE" w14:textId="10BA16F2" w:rsidR="00CD78A9" w:rsidRDefault="00CD78A9">
      <w:pPr>
        <w:pStyle w:val="TableofFigures"/>
        <w:tabs>
          <w:tab w:val="right" w:leader="dot" w:pos="9572"/>
        </w:tabs>
        <w:rPr>
          <w:rFonts w:asciiTheme="minorHAnsi" w:hAnsiTheme="minorHAnsi" w:cstheme="minorBidi"/>
          <w:noProof/>
          <w:kern w:val="2"/>
          <w:sz w:val="24"/>
          <w:szCs w:val="24"/>
          <w:lang w:val="en-US" w:eastAsia="en-US"/>
          <w14:ligatures w14:val="standardContextual"/>
        </w:rPr>
      </w:pPr>
      <w:hyperlink w:anchor="_Toc214535422" w:history="1">
        <w:r w:rsidRPr="00F03E94">
          <w:rPr>
            <w:rStyle w:val="Hyperlink"/>
            <w:noProof/>
          </w:rPr>
          <w:t>Figure 2</w:t>
        </w:r>
        <w:r w:rsidRPr="00F03E94">
          <w:rPr>
            <w:rStyle w:val="Hyperlink"/>
            <w:noProof/>
          </w:rPr>
          <w:noBreakHyphen/>
          <w:t>5. Equity Index: Metrics that Potentially Represent Community Impacts to Gas Decommissioning</w:t>
        </w:r>
        <w:r>
          <w:rPr>
            <w:noProof/>
            <w:webHidden/>
          </w:rPr>
          <w:tab/>
        </w:r>
        <w:r>
          <w:rPr>
            <w:noProof/>
            <w:webHidden/>
          </w:rPr>
          <w:fldChar w:fldCharType="begin"/>
        </w:r>
        <w:r>
          <w:rPr>
            <w:noProof/>
            <w:webHidden/>
          </w:rPr>
          <w:instrText xml:space="preserve"> PAGEREF _Toc214535422 \h </w:instrText>
        </w:r>
        <w:r>
          <w:rPr>
            <w:noProof/>
            <w:webHidden/>
          </w:rPr>
        </w:r>
        <w:r>
          <w:rPr>
            <w:noProof/>
            <w:webHidden/>
          </w:rPr>
          <w:fldChar w:fldCharType="separate"/>
        </w:r>
        <w:r>
          <w:rPr>
            <w:noProof/>
            <w:webHidden/>
          </w:rPr>
          <w:t>17</w:t>
        </w:r>
        <w:r>
          <w:rPr>
            <w:noProof/>
            <w:webHidden/>
          </w:rPr>
          <w:fldChar w:fldCharType="end"/>
        </w:r>
      </w:hyperlink>
    </w:p>
    <w:p w14:paraId="66A62CC5" w14:textId="24432614" w:rsidR="000426A6" w:rsidRPr="009D630C" w:rsidRDefault="00947522">
      <w:pPr>
        <w:sectPr w:rsidR="000426A6" w:rsidRPr="009D630C" w:rsidSect="000426A6">
          <w:headerReference w:type="even" r:id="rId13"/>
          <w:headerReference w:type="default" r:id="rId14"/>
          <w:footerReference w:type="even" r:id="rId15"/>
          <w:footerReference w:type="default" r:id="rId16"/>
          <w:headerReference w:type="first" r:id="rId17"/>
          <w:footerReference w:type="first" r:id="rId18"/>
          <w:pgSz w:w="11907" w:h="16839"/>
          <w:pgMar w:top="1757" w:right="1134" w:bottom="1361" w:left="1191" w:header="774" w:footer="567" w:gutter="0"/>
          <w:pgNumType w:fmt="lowerRoman" w:start="1"/>
          <w:cols w:space="708"/>
          <w:docGrid w:linePitch="360"/>
        </w:sectPr>
      </w:pPr>
      <w:r>
        <w:fldChar w:fldCharType="end"/>
      </w:r>
    </w:p>
    <w:p w14:paraId="63E7B8E4" w14:textId="2982D31A" w:rsidR="009D630C" w:rsidRDefault="00240D84" w:rsidP="0080520C">
      <w:pPr>
        <w:pStyle w:val="Heading1"/>
      </w:pPr>
      <w:bookmarkStart w:id="1" w:name="_Toc214535392"/>
      <w:r>
        <w:lastRenderedPageBreak/>
        <w:t>Introduction</w:t>
      </w:r>
      <w:bookmarkEnd w:id="1"/>
    </w:p>
    <w:p w14:paraId="3DBD32F0" w14:textId="11461C35" w:rsidR="004D616A" w:rsidRPr="00D26DBC" w:rsidRDefault="004D616A" w:rsidP="00D26DBC">
      <w:pPr>
        <w:pStyle w:val="BodyText"/>
        <w:rPr>
          <w:lang w:val="en-US" w:eastAsia="en-US"/>
        </w:rPr>
      </w:pPr>
      <w:r w:rsidRPr="00D26DBC">
        <w:rPr>
          <w:lang w:val="en-US" w:eastAsia="en-US"/>
        </w:rPr>
        <w:t xml:space="preserve">This </w:t>
      </w:r>
      <w:r w:rsidR="00091219" w:rsidRPr="00D26DBC">
        <w:rPr>
          <w:lang w:val="en-US" w:eastAsia="en-US"/>
        </w:rPr>
        <w:t>memorandum</w:t>
      </w:r>
      <w:r w:rsidR="009E6F8A" w:rsidRPr="00D26DBC">
        <w:rPr>
          <w:lang w:val="en-US" w:eastAsia="en-US"/>
        </w:rPr>
        <w:t xml:space="preserve"> on</w:t>
      </w:r>
      <w:r w:rsidR="00091219" w:rsidRPr="00D26DBC">
        <w:rPr>
          <w:lang w:val="en-US" w:eastAsia="en-US"/>
        </w:rPr>
        <w:t xml:space="preserve"> Community Resources and Equity Index – Engagement Assessment and Design</w:t>
      </w:r>
      <w:r w:rsidR="009E6F8A" w:rsidRPr="00D26DBC">
        <w:rPr>
          <w:lang w:val="en-US" w:eastAsia="en-US"/>
        </w:rPr>
        <w:t>,</w:t>
      </w:r>
      <w:r w:rsidR="00D26DBC" w:rsidRPr="00D26DBC">
        <w:rPr>
          <w:lang w:val="en-US" w:eastAsia="en-US"/>
        </w:rPr>
        <w:t xml:space="preserve"> (also referred to as </w:t>
      </w:r>
      <w:r w:rsidRPr="00D26DBC">
        <w:rPr>
          <w:lang w:val="en-US" w:eastAsia="en-US"/>
        </w:rPr>
        <w:t xml:space="preserve">Community Resources and Equitability </w:t>
      </w:r>
      <w:r w:rsidR="006A46AE" w:rsidRPr="00D26DBC">
        <w:rPr>
          <w:lang w:val="en-US" w:eastAsia="en-US"/>
        </w:rPr>
        <w:t xml:space="preserve">Assessment (CREA) </w:t>
      </w:r>
      <w:r w:rsidRPr="00D26DBC">
        <w:rPr>
          <w:lang w:val="en-US" w:eastAsia="en-US"/>
        </w:rPr>
        <w:t>Report</w:t>
      </w:r>
      <w:r w:rsidR="00D26DBC" w:rsidRPr="00D26DBC">
        <w:rPr>
          <w:lang w:val="en-US" w:eastAsia="en-US"/>
        </w:rPr>
        <w:t xml:space="preserve">) </w:t>
      </w:r>
      <w:r w:rsidRPr="00D26DBC">
        <w:rPr>
          <w:lang w:val="en-US" w:eastAsia="en-US"/>
        </w:rPr>
        <w:t xml:space="preserve">presents the findings of the Mindful Gas Decommissioning project, funded by the California Energy Commission (CEC) and led by DNV in partnership with </w:t>
      </w:r>
      <w:r w:rsidR="003775CC" w:rsidRPr="00D26DBC">
        <w:rPr>
          <w:lang w:val="en-US" w:eastAsia="en-US"/>
        </w:rPr>
        <w:t>the</w:t>
      </w:r>
      <w:r w:rsidR="006160B5" w:rsidRPr="00D26DBC">
        <w:rPr>
          <w:lang w:val="en-US" w:eastAsia="en-US"/>
        </w:rPr>
        <w:t xml:space="preserve"> University of California at Los Angeles (</w:t>
      </w:r>
      <w:r w:rsidRPr="00D26DBC">
        <w:rPr>
          <w:lang w:val="en-US" w:eastAsia="en-US"/>
        </w:rPr>
        <w:t>UCLA</w:t>
      </w:r>
      <w:r w:rsidR="006160B5" w:rsidRPr="00D26DBC">
        <w:rPr>
          <w:lang w:val="en-US" w:eastAsia="en-US"/>
        </w:rPr>
        <w:t>)</w:t>
      </w:r>
      <w:r w:rsidRPr="00D26DBC">
        <w:rPr>
          <w:lang w:val="en-US" w:eastAsia="en-US"/>
        </w:rPr>
        <w:t xml:space="preserve"> California Center for Sustainable Communities (CCSC). This research effort developed a geospatial, data-driven screening tool to identify promising sites for future gas distribution system decommissioning across California. The</w:t>
      </w:r>
      <w:r w:rsidR="002264D9">
        <w:rPr>
          <w:lang w:val="en-US" w:eastAsia="en-US"/>
        </w:rPr>
        <w:t xml:space="preserve"> resulting</w:t>
      </w:r>
      <w:r w:rsidRPr="00D26DBC">
        <w:rPr>
          <w:lang w:val="en-US" w:eastAsia="en-US"/>
        </w:rPr>
        <w:t xml:space="preserve"> </w:t>
      </w:r>
      <w:r w:rsidR="002C170A" w:rsidRPr="00E22DD2">
        <w:rPr>
          <w:i/>
          <w:iCs/>
          <w:lang w:val="en-US" w:eastAsia="en-US"/>
        </w:rPr>
        <w:t xml:space="preserve">Gas Distribution System Decommissioning Screening Tool </w:t>
      </w:r>
      <w:r w:rsidR="002C170A" w:rsidRPr="00AD3068">
        <w:rPr>
          <w:lang w:val="en-US" w:eastAsia="en-US"/>
        </w:rPr>
        <w:t xml:space="preserve">(the Tool) </w:t>
      </w:r>
      <w:r w:rsidR="002264D9">
        <w:rPr>
          <w:lang w:val="en-US" w:eastAsia="en-US"/>
        </w:rPr>
        <w:t xml:space="preserve">aims to </w:t>
      </w:r>
      <w:r w:rsidRPr="00D26DBC">
        <w:rPr>
          <w:lang w:val="en-US" w:eastAsia="en-US"/>
        </w:rPr>
        <w:t xml:space="preserve">support the </w:t>
      </w:r>
      <w:r w:rsidR="004A1CB8" w:rsidRPr="00D26DBC">
        <w:rPr>
          <w:lang w:val="en-US" w:eastAsia="en-US"/>
        </w:rPr>
        <w:t>S</w:t>
      </w:r>
      <w:r w:rsidRPr="00D26DBC">
        <w:rPr>
          <w:lang w:val="en-US" w:eastAsia="en-US"/>
        </w:rPr>
        <w:t xml:space="preserve">tate’s goal of </w:t>
      </w:r>
      <w:r w:rsidR="00971A55" w:rsidRPr="00D26DBC">
        <w:rPr>
          <w:lang w:val="en-US" w:eastAsia="en-US"/>
        </w:rPr>
        <w:t>its</w:t>
      </w:r>
      <w:r w:rsidRPr="00D26DBC">
        <w:rPr>
          <w:lang w:val="en-US" w:eastAsia="en-US"/>
        </w:rPr>
        <w:t xml:space="preserve"> energy system decarbonization by 2045 and places community resources and equitability at the center of planning</w:t>
      </w:r>
      <w:r w:rsidR="00883F3C" w:rsidRPr="00D26DBC">
        <w:rPr>
          <w:lang w:val="en-US" w:eastAsia="en-US"/>
        </w:rPr>
        <w:t xml:space="preserve"> and</w:t>
      </w:r>
      <w:r w:rsidR="000465FE" w:rsidRPr="00D26DBC">
        <w:rPr>
          <w:lang w:val="en-US" w:eastAsia="en-US"/>
        </w:rPr>
        <w:t xml:space="preserve"> implementation </w:t>
      </w:r>
      <w:r w:rsidRPr="00D26DBC">
        <w:rPr>
          <w:lang w:val="en-US" w:eastAsia="en-US"/>
        </w:rPr>
        <w:t>efforts.</w:t>
      </w:r>
    </w:p>
    <w:p w14:paraId="562C228E" w14:textId="2B88359E" w:rsidR="00CD59DF" w:rsidRPr="00AD3068" w:rsidRDefault="00CD59DF" w:rsidP="00AD3068">
      <w:pPr>
        <w:pStyle w:val="BodyText"/>
        <w:rPr>
          <w:lang w:val="en-US" w:eastAsia="en-US"/>
        </w:rPr>
      </w:pPr>
      <w:r w:rsidRPr="00AD3068">
        <w:rPr>
          <w:lang w:val="en-US" w:eastAsia="en-US"/>
        </w:rPr>
        <w:t xml:space="preserve">California’s natural gas infrastructure currently spans </w:t>
      </w:r>
      <w:r w:rsidR="00E85035">
        <w:rPr>
          <w:lang w:val="en-US" w:eastAsia="en-US"/>
        </w:rPr>
        <w:t>more than</w:t>
      </w:r>
      <w:r w:rsidRPr="00AD3068">
        <w:rPr>
          <w:lang w:val="en-US" w:eastAsia="en-US"/>
        </w:rPr>
        <w:t xml:space="preserve"> 100,000 miles and serves more than 11 million meters. Decommissioning this vast network must be safe, intentional, environmentally just, and cost-effective. To guide this process, DNV and UCLA co-developed the Too</w:t>
      </w:r>
      <w:r w:rsidR="002C170A">
        <w:rPr>
          <w:lang w:val="en-US" w:eastAsia="en-US"/>
        </w:rPr>
        <w:t>l</w:t>
      </w:r>
      <w:r w:rsidRPr="00AD3068">
        <w:rPr>
          <w:lang w:val="en-US" w:eastAsia="en-US"/>
        </w:rPr>
        <w:t>, which evaluates three key dimensions:</w:t>
      </w:r>
    </w:p>
    <w:p w14:paraId="03A91F74" w14:textId="1297FE89" w:rsidR="00CD59DF" w:rsidRPr="00AD3068" w:rsidRDefault="00CD59DF" w:rsidP="00DD14A5">
      <w:pPr>
        <w:pStyle w:val="NumberList"/>
        <w:rPr>
          <w:lang w:val="en-US" w:eastAsia="en-US"/>
        </w:rPr>
      </w:pPr>
      <w:r w:rsidRPr="00AD3068">
        <w:rPr>
          <w:b/>
          <w:bCs/>
          <w:lang w:val="en-US" w:eastAsia="en-US"/>
        </w:rPr>
        <w:t>Gas Assets</w:t>
      </w:r>
      <w:r w:rsidRPr="00AD3068">
        <w:rPr>
          <w:lang w:val="en-US" w:eastAsia="en-US"/>
        </w:rPr>
        <w:t xml:space="preserve"> – Infrastructure condition, safety, age, </w:t>
      </w:r>
      <w:r w:rsidR="00C562BA">
        <w:rPr>
          <w:lang w:val="en-US" w:eastAsia="en-US"/>
        </w:rPr>
        <w:t>greenhouse gas (</w:t>
      </w:r>
      <w:r w:rsidRPr="00AD3068">
        <w:rPr>
          <w:lang w:val="en-US" w:eastAsia="en-US"/>
        </w:rPr>
        <w:t>GHG</w:t>
      </w:r>
      <w:r w:rsidR="00C562BA">
        <w:rPr>
          <w:lang w:val="en-US" w:eastAsia="en-US"/>
        </w:rPr>
        <w:t>)</w:t>
      </w:r>
      <w:r w:rsidRPr="00AD3068">
        <w:rPr>
          <w:lang w:val="en-US" w:eastAsia="en-US"/>
        </w:rPr>
        <w:t xml:space="preserve"> emissions, regulatory drivers, demand, and ratepayer costs.</w:t>
      </w:r>
    </w:p>
    <w:p w14:paraId="0A2868BB" w14:textId="77777777" w:rsidR="00CD59DF" w:rsidRPr="00AD3068" w:rsidRDefault="00CD59DF" w:rsidP="00DD14A5">
      <w:pPr>
        <w:pStyle w:val="NumberList"/>
        <w:rPr>
          <w:lang w:val="en-US" w:eastAsia="en-US"/>
        </w:rPr>
      </w:pPr>
      <w:r w:rsidRPr="00AD3068">
        <w:rPr>
          <w:b/>
          <w:bCs/>
          <w:lang w:val="en-US" w:eastAsia="en-US"/>
        </w:rPr>
        <w:t>Decommissioning Readiness</w:t>
      </w:r>
      <w:r w:rsidRPr="00AD3068">
        <w:rPr>
          <w:lang w:val="en-US" w:eastAsia="en-US"/>
        </w:rPr>
        <w:t xml:space="preserve"> – Preparedness of residential and non-residential buildings to transition to clean energy alternatives like heat pumps.</w:t>
      </w:r>
    </w:p>
    <w:p w14:paraId="4B467B44" w14:textId="77777777" w:rsidR="00CD59DF" w:rsidRPr="00AD3068" w:rsidRDefault="00CD59DF" w:rsidP="00C562BA">
      <w:pPr>
        <w:pStyle w:val="NumberList"/>
        <w:spacing w:after="120"/>
        <w:rPr>
          <w:lang w:val="en-US" w:eastAsia="en-US"/>
        </w:rPr>
      </w:pPr>
      <w:r w:rsidRPr="00AD3068">
        <w:rPr>
          <w:b/>
          <w:bCs/>
          <w:lang w:val="en-US" w:eastAsia="en-US"/>
        </w:rPr>
        <w:t>Equity and Community Impacts</w:t>
      </w:r>
      <w:r w:rsidRPr="00AD3068">
        <w:rPr>
          <w:lang w:val="en-US" w:eastAsia="en-US"/>
        </w:rPr>
        <w:t xml:space="preserve"> – Socioeconomic vulnerability, pollution burden, climate and environmental risks, energy burden, and access to critical services.</w:t>
      </w:r>
    </w:p>
    <w:p w14:paraId="69F3B56B" w14:textId="77777777" w:rsidR="00CD59DF" w:rsidRPr="00AD3068" w:rsidRDefault="00CD59DF" w:rsidP="00C562BA">
      <w:pPr>
        <w:pStyle w:val="BodyText"/>
        <w:rPr>
          <w:lang w:val="en-US" w:eastAsia="en-US"/>
        </w:rPr>
      </w:pPr>
      <w:r w:rsidRPr="00AD3068">
        <w:rPr>
          <w:lang w:val="en-US" w:eastAsia="en-US"/>
        </w:rPr>
        <w:t>These dimensions are represented through four sub-indices:</w:t>
      </w:r>
    </w:p>
    <w:p w14:paraId="4583C248" w14:textId="77777777" w:rsidR="00CD59DF" w:rsidRPr="00AD3068" w:rsidRDefault="00CD59DF" w:rsidP="00C562BA">
      <w:pPr>
        <w:pStyle w:val="Bullet1"/>
        <w:rPr>
          <w:lang w:val="en-US" w:eastAsia="en-US"/>
        </w:rPr>
      </w:pPr>
      <w:r w:rsidRPr="00AD3068">
        <w:rPr>
          <w:lang w:val="en-US" w:eastAsia="en-US"/>
        </w:rPr>
        <w:t>Gas Assets Index</w:t>
      </w:r>
    </w:p>
    <w:p w14:paraId="6AC11A06" w14:textId="77777777" w:rsidR="00CD59DF" w:rsidRPr="00AD3068" w:rsidRDefault="00CD59DF" w:rsidP="00C562BA">
      <w:pPr>
        <w:pStyle w:val="Bullet1"/>
        <w:rPr>
          <w:lang w:val="en-US" w:eastAsia="en-US"/>
        </w:rPr>
      </w:pPr>
      <w:r w:rsidRPr="00AD3068">
        <w:rPr>
          <w:lang w:val="en-US" w:eastAsia="en-US"/>
        </w:rPr>
        <w:t>Residential Decommissioning Readiness Index</w:t>
      </w:r>
    </w:p>
    <w:p w14:paraId="0D10382B" w14:textId="77777777" w:rsidR="00CD59DF" w:rsidRPr="00AD3068" w:rsidRDefault="00CD59DF" w:rsidP="00C562BA">
      <w:pPr>
        <w:pStyle w:val="Bullet1"/>
        <w:rPr>
          <w:lang w:val="en-US" w:eastAsia="en-US"/>
        </w:rPr>
      </w:pPr>
      <w:r w:rsidRPr="00AD3068">
        <w:rPr>
          <w:lang w:val="en-US" w:eastAsia="en-US"/>
        </w:rPr>
        <w:t>Non-Residential Decommissioning Readiness Index</w:t>
      </w:r>
    </w:p>
    <w:p w14:paraId="424770E2" w14:textId="77777777" w:rsidR="00CD59DF" w:rsidRPr="00AD3068" w:rsidRDefault="00CD59DF" w:rsidP="00C562BA">
      <w:pPr>
        <w:pStyle w:val="Bullet1Last"/>
        <w:rPr>
          <w:lang w:val="en-US" w:eastAsia="en-US"/>
        </w:rPr>
      </w:pPr>
      <w:r w:rsidRPr="00AD3068">
        <w:rPr>
          <w:lang w:val="en-US" w:eastAsia="en-US"/>
        </w:rPr>
        <w:t>Equity Index</w:t>
      </w:r>
    </w:p>
    <w:p w14:paraId="19C9EB83" w14:textId="1FABC5E0" w:rsidR="00FE3E58" w:rsidRPr="0006025C" w:rsidRDefault="00FE3E58" w:rsidP="00C562BA">
      <w:pPr>
        <w:pStyle w:val="BodyText"/>
      </w:pPr>
      <w:r w:rsidRPr="0006025C">
        <w:t>T</w:t>
      </w:r>
      <w:r w:rsidR="00AF599F">
        <w:t>his memorandum covers t</w:t>
      </w:r>
      <w:r w:rsidRPr="0006025C">
        <w:t xml:space="preserve">he </w:t>
      </w:r>
      <w:r w:rsidRPr="0006025C">
        <w:rPr>
          <w:b/>
          <w:bCs/>
        </w:rPr>
        <w:t>Equity Index</w:t>
      </w:r>
      <w:r w:rsidRPr="0006025C">
        <w:t xml:space="preserve">, developed in </w:t>
      </w:r>
      <w:r w:rsidR="00ED367B">
        <w:t>alongside the gas</w:t>
      </w:r>
      <w:r w:rsidRPr="0006025C">
        <w:t xml:space="preserve"> asset and readiness indicators, </w:t>
      </w:r>
      <w:r w:rsidR="00AF599F">
        <w:t xml:space="preserve">which </w:t>
      </w:r>
      <w:r w:rsidRPr="0006025C">
        <w:t>was central to th</w:t>
      </w:r>
      <w:r w:rsidR="003B034F">
        <w:t>is project’s</w:t>
      </w:r>
      <w:r w:rsidRPr="0006025C">
        <w:t xml:space="preserve"> Community Resources and Equitability Assessment. </w:t>
      </w:r>
      <w:r w:rsidR="003B034F">
        <w:t>The index</w:t>
      </w:r>
      <w:r w:rsidRPr="0006025C">
        <w:t xml:space="preserve"> integrates quantitative data and </w:t>
      </w:r>
      <w:proofErr w:type="gramStart"/>
      <w:r w:rsidRPr="0006025C">
        <w:t>lived</w:t>
      </w:r>
      <w:proofErr w:type="gramEnd"/>
      <w:r w:rsidRPr="0006025C">
        <w:t xml:space="preserve"> experience to evaluate community readiness and support for gas decommissioning.</w:t>
      </w:r>
    </w:p>
    <w:p w14:paraId="4D13D89E" w14:textId="194719F0" w:rsidR="00A47812" w:rsidRPr="0006025C" w:rsidRDefault="00FE3E58" w:rsidP="00C562BA">
      <w:pPr>
        <w:pStyle w:val="BodyText"/>
      </w:pPr>
      <w:r>
        <w:t>To ensure the Tool reflects real-world conditions and community priorities</w:t>
      </w:r>
      <w:r w:rsidR="005A6A95">
        <w:t>, resources and equitability</w:t>
      </w:r>
      <w:r w:rsidR="003C7D84">
        <w:t xml:space="preserve"> as much as possible</w:t>
      </w:r>
      <w:r>
        <w:t xml:space="preserve">, the team implemented a statewide, multi-layered engagement strategy involving </w:t>
      </w:r>
      <w:r w:rsidR="004A1CB8">
        <w:t>S</w:t>
      </w:r>
      <w:r>
        <w:t>tate agencies,</w:t>
      </w:r>
      <w:r w:rsidR="004A1CB8">
        <w:t xml:space="preserve"> investor-owned utilities (</w:t>
      </w:r>
      <w:r>
        <w:t>IOUs</w:t>
      </w:r>
      <w:r w:rsidR="004A1CB8">
        <w:t>)</w:t>
      </w:r>
      <w:r>
        <w:t>, municipalities, community organizations, and other stakeholders (see Appendix A). This inclusive approach validated data, surfaced critical factors, and incorporated diverse perspectives on costs, risks, benefits, and community impacts—especially through case studies co-developed with local partners.</w:t>
      </w:r>
      <w:r w:rsidR="00B5626F">
        <w:t xml:space="preserve"> </w:t>
      </w:r>
      <w:r w:rsidR="00A47812">
        <w:t xml:space="preserve">Through this deliberate and inclusive approach, the research team </w:t>
      </w:r>
      <w:r w:rsidR="002D4F6C">
        <w:t xml:space="preserve">also </w:t>
      </w:r>
      <w:r w:rsidR="00A47812">
        <w:t>gained insights from municipalities and organizations</w:t>
      </w:r>
      <w:r w:rsidR="002D4F6C">
        <w:t xml:space="preserve"> directly</w:t>
      </w:r>
      <w:r w:rsidR="00A47812">
        <w:t xml:space="preserve"> familiar with other</w:t>
      </w:r>
      <w:r w:rsidR="00327E16">
        <w:t xml:space="preserve"> similar</w:t>
      </w:r>
      <w:r w:rsidR="00A47812">
        <w:t xml:space="preserve"> tools—confirming that our Equity Index stands apart as one of the most comprehensive frameworks available. </w:t>
      </w:r>
      <w:r w:rsidR="767FAE88">
        <w:t>Based on these insights, the research team believe</w:t>
      </w:r>
      <w:r w:rsidR="50C781FD">
        <w:t>s</w:t>
      </w:r>
      <w:r w:rsidR="767FAE88">
        <w:t xml:space="preserve"> that u</w:t>
      </w:r>
      <w:r w:rsidR="00A47812">
        <w:t xml:space="preserve">nlike </w:t>
      </w:r>
      <w:r w:rsidR="00C24346">
        <w:t>other</w:t>
      </w:r>
      <w:r w:rsidR="00A47812">
        <w:t xml:space="preserve"> models, </w:t>
      </w:r>
      <w:r w:rsidR="6BB05BE6">
        <w:t>the Equity Index</w:t>
      </w:r>
      <w:r w:rsidR="00A47812">
        <w:t xml:space="preserve"> captures the nuanced needs, priorities, and challenges California communities face in the context of gas decommissioning</w:t>
      </w:r>
      <w:r w:rsidR="691E4024">
        <w:t>. This</w:t>
      </w:r>
      <w:r w:rsidR="00A47812">
        <w:t xml:space="preserve"> mak</w:t>
      </w:r>
      <w:r w:rsidR="77E1517D">
        <w:t>es</w:t>
      </w:r>
      <w:r w:rsidR="00A47812">
        <w:t xml:space="preserve"> </w:t>
      </w:r>
      <w:r w:rsidR="00F408FB">
        <w:t>the Tool</w:t>
      </w:r>
      <w:r w:rsidR="00A47812">
        <w:t xml:space="preserve"> uniquely equipped to drive</w:t>
      </w:r>
      <w:r w:rsidR="00B40841">
        <w:t xml:space="preserve"> more</w:t>
      </w:r>
      <w:r w:rsidR="00A47812">
        <w:t xml:space="preserve"> equitable outcomes</w:t>
      </w:r>
      <w:r w:rsidR="00993ECB">
        <w:t xml:space="preserve"> and benefits</w:t>
      </w:r>
      <w:r w:rsidR="17094F0B">
        <w:t xml:space="preserve"> as the State moves forward with decommissioning efforts. </w:t>
      </w:r>
    </w:p>
    <w:p w14:paraId="6B4C2CA3" w14:textId="1BA63B68" w:rsidR="00FE3E58" w:rsidRPr="00BA6EB6" w:rsidRDefault="00FE3E58" w:rsidP="00C562BA">
      <w:pPr>
        <w:pStyle w:val="BodyText"/>
      </w:pPr>
      <w:r w:rsidRPr="00AD3068">
        <w:t>The case study work</w:t>
      </w:r>
      <w:r w:rsidR="001D5EC5">
        <w:t xml:space="preserve"> that</w:t>
      </w:r>
      <w:r w:rsidRPr="00AD3068">
        <w:t xml:space="preserve"> </w:t>
      </w:r>
      <w:r w:rsidR="006008CB">
        <w:t>the research team</w:t>
      </w:r>
      <w:r w:rsidRPr="00AD3068">
        <w:t xml:space="preserve"> embarked on for this project espouses, at its core, a framework that validates data with community lived experience, enriching data-driven analysis. While census tract-level datasets offer a useful starting point, they often lack the granularity needed to reflect </w:t>
      </w:r>
      <w:proofErr w:type="spellStart"/>
      <w:r w:rsidRPr="00AD3068">
        <w:t>neighborhood</w:t>
      </w:r>
      <w:proofErr w:type="spellEnd"/>
      <w:r w:rsidRPr="00AD3068">
        <w:t>-specific realities—such as infrastructure conditions, cultural priorities, and emerging land-use patterns.</w:t>
      </w:r>
    </w:p>
    <w:p w14:paraId="64595170" w14:textId="68C094EC" w:rsidR="00FE3E58" w:rsidRPr="0006025C" w:rsidRDefault="00FE3E58" w:rsidP="00C562BA">
      <w:pPr>
        <w:pStyle w:val="BodyText"/>
      </w:pPr>
      <w:r w:rsidRPr="0006025C">
        <w:t xml:space="preserve">Case studies revealed where screened results aligned—or diverged—from local realities. For example, a large agricultural census tract in Visalia (presented at the October 8, </w:t>
      </w:r>
      <w:r w:rsidR="00C562BA" w:rsidRPr="0006025C">
        <w:t>2025,</w:t>
      </w:r>
      <w:r w:rsidRPr="0006025C">
        <w:t xml:space="preserve"> Public Webinar) scored high for decommissioning readiness but also showed high energy burden and socioeconomic vulnerability. While aging infrastructure and safety </w:t>
      </w:r>
      <w:r w:rsidRPr="0006025C">
        <w:lastRenderedPageBreak/>
        <w:t>risks make it a strong candidate for early decommissioning, equity considerations—such as protections for renters and small businesses—must remain central.</w:t>
      </w:r>
    </w:p>
    <w:p w14:paraId="51962900" w14:textId="77777777" w:rsidR="00FE3E58" w:rsidRDefault="00FE3E58" w:rsidP="00C562BA">
      <w:pPr>
        <w:pStyle w:val="BodyText"/>
      </w:pPr>
      <w:r w:rsidRPr="0006025C">
        <w:t>Ultimately, the Tool’s integrated analysis of gas assets, readiness, and equity provides nuanced insights to inform future decommissioning planning. Geographic diversity was prioritized in case study selection, including urban, rural, suburban, tribal, and historically excluded communities. Dedicated feedback loops ensured community input was documented and integrated throughout the process, elevating voices often left out of energy planning and identifying potential unintended consequences to enable proactive policymaking.</w:t>
      </w:r>
    </w:p>
    <w:p w14:paraId="08AFD3BF" w14:textId="011AAF57" w:rsidR="00FE3E58" w:rsidRPr="0006025C" w:rsidRDefault="00FE3E58" w:rsidP="006509D4">
      <w:pPr>
        <w:pStyle w:val="BodyText"/>
      </w:pPr>
      <w:r w:rsidRPr="0006025C">
        <w:t>This</w:t>
      </w:r>
      <w:r w:rsidR="003209C1">
        <w:t xml:space="preserve"> memorandum</w:t>
      </w:r>
      <w:r w:rsidRPr="0006025C">
        <w:t xml:space="preserve"> summarizes engagement activities, key findings, lessons learned</w:t>
      </w:r>
      <w:r w:rsidR="00196556">
        <w:t xml:space="preserve">, future uses and recommendations </w:t>
      </w:r>
      <w:r w:rsidRPr="0006025C">
        <w:t>(Sections</w:t>
      </w:r>
      <w:r w:rsidR="002F5B13">
        <w:t xml:space="preserve"> </w:t>
      </w:r>
      <w:r w:rsidR="002F5B13">
        <w:fldChar w:fldCharType="begin"/>
      </w:r>
      <w:r w:rsidR="002F5B13">
        <w:instrText xml:space="preserve"> REF _Ref212213583 \r \h </w:instrText>
      </w:r>
      <w:r w:rsidR="002F5B13">
        <w:fldChar w:fldCharType="separate"/>
      </w:r>
      <w:r w:rsidR="00FA7042">
        <w:t>2</w:t>
      </w:r>
      <w:r w:rsidR="002F5B13">
        <w:fldChar w:fldCharType="end"/>
      </w:r>
      <w:r w:rsidR="00183E97">
        <w:t xml:space="preserve">, </w:t>
      </w:r>
      <w:r w:rsidR="002F5B13">
        <w:fldChar w:fldCharType="begin"/>
      </w:r>
      <w:r w:rsidR="002F5B13">
        <w:instrText xml:space="preserve"> REF _Ref212213591 \r \h </w:instrText>
      </w:r>
      <w:r w:rsidR="002F5B13">
        <w:fldChar w:fldCharType="separate"/>
      </w:r>
      <w:r w:rsidR="00FA7042">
        <w:t>3</w:t>
      </w:r>
      <w:r w:rsidR="002F5B13">
        <w:fldChar w:fldCharType="end"/>
      </w:r>
      <w:r w:rsidR="00183E97">
        <w:t xml:space="preserve">, and </w:t>
      </w:r>
      <w:r w:rsidR="002F5B13">
        <w:fldChar w:fldCharType="begin"/>
      </w:r>
      <w:r w:rsidR="002F5B13">
        <w:instrText xml:space="preserve"> REF _Ref212191970 \r \h </w:instrText>
      </w:r>
      <w:r w:rsidR="002F5B13">
        <w:fldChar w:fldCharType="separate"/>
      </w:r>
      <w:r w:rsidR="00FA7042">
        <w:t>4</w:t>
      </w:r>
      <w:r w:rsidR="002F5B13">
        <w:fldChar w:fldCharType="end"/>
      </w:r>
      <w:r w:rsidRPr="0006025C">
        <w:t>), and details the methodology for identifying and refining metrics of community impact and opportunity (Sections</w:t>
      </w:r>
      <w:r w:rsidR="009C1B44">
        <w:t xml:space="preserve"> </w:t>
      </w:r>
      <w:r w:rsidR="009C1B44">
        <w:fldChar w:fldCharType="begin"/>
      </w:r>
      <w:r w:rsidR="009C1B44">
        <w:instrText xml:space="preserve"> REF _Ref212206983 \r \h </w:instrText>
      </w:r>
      <w:r w:rsidR="009C1B44">
        <w:fldChar w:fldCharType="separate"/>
      </w:r>
      <w:r w:rsidR="00FA7042">
        <w:t>2.8</w:t>
      </w:r>
      <w:r w:rsidR="009C1B44">
        <w:fldChar w:fldCharType="end"/>
      </w:r>
      <w:r w:rsidR="009C1B44">
        <w:t xml:space="preserve"> and </w:t>
      </w:r>
      <w:r w:rsidR="009C1B44">
        <w:fldChar w:fldCharType="begin"/>
      </w:r>
      <w:r w:rsidR="009C1B44">
        <w:instrText xml:space="preserve"> REF _Ref212213691 \r \h </w:instrText>
      </w:r>
      <w:r w:rsidR="009C1B44">
        <w:fldChar w:fldCharType="separate"/>
      </w:r>
      <w:r w:rsidR="00FA7042">
        <w:t>2.9</w:t>
      </w:r>
      <w:r w:rsidR="009C1B44">
        <w:fldChar w:fldCharType="end"/>
      </w:r>
      <w:r w:rsidRPr="0006025C">
        <w:t xml:space="preserve">). These metrics—socioeconomic vulnerability, energy burden, pollution burden, environmental risk, sensitive populations, access to critical services, and climate risk—form the Equity Index, introduced in Section 1 and elaborated in </w:t>
      </w:r>
      <w:r w:rsidR="000E1B7E" w:rsidRPr="0006025C">
        <w:t>Section</w:t>
      </w:r>
      <w:r w:rsidR="000E1B7E">
        <w:t xml:space="preserve"> </w:t>
      </w:r>
      <w:r w:rsidR="000E1B7E">
        <w:fldChar w:fldCharType="begin"/>
      </w:r>
      <w:r w:rsidR="000E1B7E">
        <w:instrText xml:space="preserve"> REF _Ref212206983 \r \h </w:instrText>
      </w:r>
      <w:r w:rsidR="000E1B7E">
        <w:fldChar w:fldCharType="separate"/>
      </w:r>
      <w:r w:rsidR="00FA7042">
        <w:t>2.8</w:t>
      </w:r>
      <w:r w:rsidR="000E1B7E">
        <w:fldChar w:fldCharType="end"/>
      </w:r>
      <w:r w:rsidRPr="0006025C">
        <w:t>. The Index evolved through continuous feedback from workshops, webinars, and case study engagements (Sections</w:t>
      </w:r>
      <w:r w:rsidR="000E1B7E">
        <w:t xml:space="preserve"> </w:t>
      </w:r>
      <w:r w:rsidR="000E1B7E">
        <w:fldChar w:fldCharType="begin"/>
      </w:r>
      <w:r w:rsidR="000E1B7E">
        <w:instrText xml:space="preserve"> REF _Ref212213728 \r \h </w:instrText>
      </w:r>
      <w:r w:rsidR="000E1B7E">
        <w:fldChar w:fldCharType="separate"/>
      </w:r>
      <w:r w:rsidR="00FA7042">
        <w:t>2.1</w:t>
      </w:r>
      <w:r w:rsidR="000E1B7E">
        <w:fldChar w:fldCharType="end"/>
      </w:r>
      <w:r w:rsidR="000E1B7E">
        <w:t xml:space="preserve">, </w:t>
      </w:r>
      <w:r w:rsidR="000E1B7E">
        <w:fldChar w:fldCharType="begin"/>
      </w:r>
      <w:r w:rsidR="000E1B7E">
        <w:instrText xml:space="preserve"> REF _Ref212213729 \r \h </w:instrText>
      </w:r>
      <w:r w:rsidR="000E1B7E">
        <w:fldChar w:fldCharType="separate"/>
      </w:r>
      <w:r w:rsidR="00FA7042">
        <w:t>2.2</w:t>
      </w:r>
      <w:r w:rsidR="000E1B7E">
        <w:fldChar w:fldCharType="end"/>
      </w:r>
      <w:r w:rsidR="000E1B7E">
        <w:t xml:space="preserve">, </w:t>
      </w:r>
      <w:r w:rsidR="000E1B7E">
        <w:fldChar w:fldCharType="begin"/>
      </w:r>
      <w:r w:rsidR="000E1B7E">
        <w:instrText xml:space="preserve"> REF _Ref212213731 \r \h </w:instrText>
      </w:r>
      <w:r w:rsidR="000E1B7E">
        <w:fldChar w:fldCharType="separate"/>
      </w:r>
      <w:r w:rsidR="00FA7042">
        <w:t>2.3</w:t>
      </w:r>
      <w:r w:rsidR="000E1B7E">
        <w:fldChar w:fldCharType="end"/>
      </w:r>
      <w:r w:rsidR="000E1B7E">
        <w:t xml:space="preserve">, </w:t>
      </w:r>
      <w:r w:rsidR="000E1B7E">
        <w:fldChar w:fldCharType="begin"/>
      </w:r>
      <w:r w:rsidR="000E1B7E">
        <w:instrText xml:space="preserve"> REF _Ref212213733 \r \h </w:instrText>
      </w:r>
      <w:r w:rsidR="000E1B7E">
        <w:fldChar w:fldCharType="separate"/>
      </w:r>
      <w:r w:rsidR="00FA7042">
        <w:t>2.4</w:t>
      </w:r>
      <w:r w:rsidR="000E1B7E">
        <w:fldChar w:fldCharType="end"/>
      </w:r>
      <w:r w:rsidR="000E1B7E">
        <w:t xml:space="preserve">, </w:t>
      </w:r>
      <w:r w:rsidR="000E1B7E">
        <w:fldChar w:fldCharType="begin"/>
      </w:r>
      <w:r w:rsidR="000E1B7E">
        <w:instrText xml:space="preserve"> REF _Ref212213737 \r \h </w:instrText>
      </w:r>
      <w:r w:rsidR="000E1B7E">
        <w:fldChar w:fldCharType="separate"/>
      </w:r>
      <w:r w:rsidR="00FA7042">
        <w:t>2.5</w:t>
      </w:r>
      <w:r w:rsidR="000E1B7E">
        <w:fldChar w:fldCharType="end"/>
      </w:r>
      <w:r w:rsidR="000E1B7E">
        <w:t xml:space="preserve">, </w:t>
      </w:r>
      <w:r w:rsidR="000E1B7E">
        <w:fldChar w:fldCharType="begin"/>
      </w:r>
      <w:r w:rsidR="000E1B7E">
        <w:instrText xml:space="preserve"> REF _Ref212213740 \r \h </w:instrText>
      </w:r>
      <w:r w:rsidR="000E1B7E">
        <w:fldChar w:fldCharType="separate"/>
      </w:r>
      <w:r w:rsidR="00FA7042">
        <w:t>2.6</w:t>
      </w:r>
      <w:r w:rsidR="000E1B7E">
        <w:fldChar w:fldCharType="end"/>
      </w:r>
      <w:r w:rsidR="000E1B7E">
        <w:t xml:space="preserve">, </w:t>
      </w:r>
      <w:r w:rsidR="000E1B7E">
        <w:fldChar w:fldCharType="begin"/>
      </w:r>
      <w:r w:rsidR="000E1B7E">
        <w:instrText xml:space="preserve"> REF _Ref212213744 \r \h </w:instrText>
      </w:r>
      <w:r w:rsidR="000E1B7E">
        <w:fldChar w:fldCharType="separate"/>
      </w:r>
      <w:r w:rsidR="00FA7042">
        <w:t>2.7</w:t>
      </w:r>
      <w:r w:rsidR="000E1B7E">
        <w:fldChar w:fldCharType="end"/>
      </w:r>
      <w:r w:rsidRPr="0006025C">
        <w:t>;</w:t>
      </w:r>
      <w:r w:rsidR="000E1B7E">
        <w:t xml:space="preserve"> </w:t>
      </w:r>
      <w:r w:rsidR="000E1B7E">
        <w:fldChar w:fldCharType="begin"/>
      </w:r>
      <w:r w:rsidR="000E1B7E">
        <w:instrText xml:space="preserve"> REF _Ref207115346 \r \h </w:instrText>
      </w:r>
      <w:r w:rsidR="000E1B7E">
        <w:fldChar w:fldCharType="separate"/>
      </w:r>
      <w:r w:rsidR="00FA7042">
        <w:t>Appendix A</w:t>
      </w:r>
      <w:r w:rsidR="000E1B7E">
        <w:fldChar w:fldCharType="end"/>
      </w:r>
      <w:r w:rsidR="000E1B7E">
        <w:t xml:space="preserve"> and </w:t>
      </w:r>
      <w:r w:rsidR="000E1B7E">
        <w:fldChar w:fldCharType="begin"/>
      </w:r>
      <w:r w:rsidR="000E1B7E">
        <w:instrText xml:space="preserve"> REF _Ref209178354 \r \h </w:instrText>
      </w:r>
      <w:r w:rsidR="000E1B7E">
        <w:fldChar w:fldCharType="separate"/>
      </w:r>
      <w:r w:rsidR="00FA7042">
        <w:t>Appendix B</w:t>
      </w:r>
      <w:r w:rsidR="000E1B7E">
        <w:fldChar w:fldCharType="end"/>
      </w:r>
      <w:r w:rsidRPr="0006025C">
        <w:t>).</w:t>
      </w:r>
    </w:p>
    <w:p w14:paraId="5C5B0BB2" w14:textId="080B3C1B" w:rsidR="00FE3E58" w:rsidRPr="0006025C" w:rsidRDefault="00FE3E58" w:rsidP="006509D4">
      <w:pPr>
        <w:pStyle w:val="BodyText"/>
      </w:pPr>
      <w:r>
        <w:t>Substantively, c</w:t>
      </w:r>
      <w:r w:rsidRPr="0006025C">
        <w:t>ommunity and stakeholder engagement was foundational to the project’s success, yielding critical outcomes</w:t>
      </w:r>
      <w:r w:rsidR="00366390">
        <w:t xml:space="preserve"> that informs the community resources and equitability assessment</w:t>
      </w:r>
      <w:r w:rsidR="003336A1">
        <w:t xml:space="preserve"> in the following ways</w:t>
      </w:r>
      <w:r w:rsidR="00366390">
        <w:t>,</w:t>
      </w:r>
      <w:r w:rsidR="008C7C9E">
        <w:t xml:space="preserve"> as</w:t>
      </w:r>
      <w:r w:rsidRPr="0006025C">
        <w:t xml:space="preserve"> discussed in</w:t>
      </w:r>
      <w:r w:rsidR="003336A1">
        <w:t xml:space="preserve"> more detail in</w:t>
      </w:r>
      <w:r w:rsidRPr="0006025C">
        <w:t xml:space="preserve"> Section </w:t>
      </w:r>
      <w:r w:rsidR="009D34E0">
        <w:fldChar w:fldCharType="begin"/>
      </w:r>
      <w:r w:rsidR="009D34E0">
        <w:instrText xml:space="preserve"> REF _Ref212191970 \r \h </w:instrText>
      </w:r>
      <w:r w:rsidR="009D34E0">
        <w:fldChar w:fldCharType="separate"/>
      </w:r>
      <w:r w:rsidR="00FA7042">
        <w:t>4</w:t>
      </w:r>
      <w:r w:rsidR="009D34E0">
        <w:fldChar w:fldCharType="end"/>
      </w:r>
      <w:r w:rsidRPr="0006025C">
        <w:t>:</w:t>
      </w:r>
    </w:p>
    <w:p w14:paraId="50A0DFA6" w14:textId="77777777" w:rsidR="00FE3E58" w:rsidRDefault="00FE3E58" w:rsidP="009D34E0">
      <w:pPr>
        <w:pStyle w:val="Bullet1"/>
      </w:pPr>
      <w:r w:rsidRPr="0006025C">
        <w:t>Validated the Equity Index through direct community engagement</w:t>
      </w:r>
    </w:p>
    <w:p w14:paraId="46B0D379" w14:textId="77777777" w:rsidR="00FE3E58" w:rsidRPr="0006025C" w:rsidRDefault="00FE3E58" w:rsidP="009D34E0">
      <w:pPr>
        <w:pStyle w:val="Bullet1"/>
      </w:pPr>
      <w:r w:rsidRPr="0006025C">
        <w:t>Expanded Tool capabilities by integrating new context layers and metrics</w:t>
      </w:r>
    </w:p>
    <w:p w14:paraId="08AD9F94" w14:textId="77777777" w:rsidR="00FE3E58" w:rsidRPr="0006025C" w:rsidRDefault="00FE3E58" w:rsidP="009D34E0">
      <w:pPr>
        <w:pStyle w:val="Bullet1"/>
      </w:pPr>
      <w:r w:rsidRPr="0006025C">
        <w:t>Generated deeper insights into barriers and benefits of decommissioning through case studies</w:t>
      </w:r>
    </w:p>
    <w:p w14:paraId="07CFA359" w14:textId="77777777" w:rsidR="00FE3E58" w:rsidRPr="0006025C" w:rsidRDefault="00FE3E58" w:rsidP="009D34E0">
      <w:pPr>
        <w:pStyle w:val="Bullet1"/>
      </w:pPr>
      <w:r w:rsidRPr="0006025C">
        <w:t>Developed the Residential Readiness Index in response to community feedback</w:t>
      </w:r>
    </w:p>
    <w:p w14:paraId="5566F585" w14:textId="77777777" w:rsidR="00FE3E58" w:rsidRPr="0006025C" w:rsidRDefault="00FE3E58" w:rsidP="009D34E0">
      <w:pPr>
        <w:pStyle w:val="Bullet1"/>
      </w:pPr>
      <w:r w:rsidRPr="0006025C">
        <w:t>Enabled equitable site identification by balancing cost-efficiency with equity considerations</w:t>
      </w:r>
    </w:p>
    <w:p w14:paraId="4DCAA985" w14:textId="4507C03E" w:rsidR="00FE3E58" w:rsidRPr="0006025C" w:rsidRDefault="00FE3E58" w:rsidP="009D34E0">
      <w:pPr>
        <w:pStyle w:val="Bullet1Last"/>
      </w:pPr>
      <w:r w:rsidRPr="0006025C">
        <w:t>Established a replicable engagement framework to guide future implementation</w:t>
      </w:r>
    </w:p>
    <w:p w14:paraId="21682792" w14:textId="60AA00F7" w:rsidR="003F47E5" w:rsidRDefault="003F47E5" w:rsidP="003F47E5">
      <w:pPr>
        <w:pStyle w:val="Heading2"/>
      </w:pPr>
      <w:bookmarkStart w:id="2" w:name="_Toc458110045"/>
      <w:bookmarkStart w:id="3" w:name="_Toc214535393"/>
      <w:r>
        <w:t>Purpose</w:t>
      </w:r>
      <w:r w:rsidR="00DA76A7">
        <w:t xml:space="preserve"> of Tool</w:t>
      </w:r>
      <w:bookmarkEnd w:id="2"/>
      <w:bookmarkEnd w:id="3"/>
    </w:p>
    <w:p w14:paraId="23859FC3" w14:textId="1E6BD8B5" w:rsidR="002F6EF2" w:rsidRPr="009D34E0" w:rsidRDefault="00DC1A0F" w:rsidP="009D34E0">
      <w:pPr>
        <w:pStyle w:val="BodyText"/>
      </w:pPr>
      <w:r>
        <w:t xml:space="preserve">The team </w:t>
      </w:r>
      <w:r w:rsidR="5CD4E344">
        <w:t>designed</w:t>
      </w:r>
      <w:r w:rsidR="00EE2856">
        <w:t xml:space="preserve"> </w:t>
      </w:r>
      <w:r w:rsidR="00F83ABF">
        <w:t>the Tool as an interactive website with a “map first” interface to show how spatial data resources can dynamically interact</w:t>
      </w:r>
      <w:r w:rsidR="00542E44">
        <w:t xml:space="preserve"> to produce such screening outcomes. As such, the</w:t>
      </w:r>
      <w:r w:rsidR="00766EB5">
        <w:t xml:space="preserve"> </w:t>
      </w:r>
      <w:r w:rsidR="00EE2856">
        <w:t>purpose</w:t>
      </w:r>
      <w:r w:rsidR="5CD4E344">
        <w:t xml:space="preserve"> </w:t>
      </w:r>
      <w:r w:rsidR="00EE2856">
        <w:t>of</w:t>
      </w:r>
      <w:r w:rsidR="5CD4E344">
        <w:t xml:space="preserve"> </w:t>
      </w:r>
      <w:r w:rsidR="00766EB5">
        <w:t xml:space="preserve">the Tool and its interface is to </w:t>
      </w:r>
      <w:r w:rsidR="003C1E13">
        <w:t xml:space="preserve">provide decision-makers with a statewide view of areas </w:t>
      </w:r>
      <w:r w:rsidR="00720F94">
        <w:t xml:space="preserve">where </w:t>
      </w:r>
      <w:r w:rsidR="003C1E13">
        <w:t xml:space="preserve">gas decommissioning </w:t>
      </w:r>
      <w:r w:rsidR="00F11642">
        <w:t xml:space="preserve">is </w:t>
      </w:r>
      <w:r w:rsidR="009C0CA8">
        <w:t>likely feasible and/or beneficial</w:t>
      </w:r>
      <w:r w:rsidR="00542E44">
        <w:t>. In</w:t>
      </w:r>
      <w:r w:rsidR="004473A5">
        <w:t xml:space="preserve"> this vein,</w:t>
      </w:r>
      <w:r w:rsidR="00542E44">
        <w:t xml:space="preserve"> the Tool </w:t>
      </w:r>
      <w:r w:rsidR="005A07E4">
        <w:t xml:space="preserve">would </w:t>
      </w:r>
      <w:r w:rsidR="5D412190">
        <w:t>support</w:t>
      </w:r>
      <w:r w:rsidR="5CD4E344">
        <w:t xml:space="preserve"> </w:t>
      </w:r>
      <w:r w:rsidR="00766EB5">
        <w:t>in</w:t>
      </w:r>
      <w:r w:rsidR="5CD4E344">
        <w:t xml:space="preserve"> </w:t>
      </w:r>
      <w:r w:rsidR="001658AE">
        <w:t xml:space="preserve">screening for </w:t>
      </w:r>
      <w:r w:rsidR="5CD4E344">
        <w:t xml:space="preserve">promising </w:t>
      </w:r>
      <w:r w:rsidR="00766EB5">
        <w:t xml:space="preserve">candidate sites </w:t>
      </w:r>
      <w:r w:rsidR="00F2178C">
        <w:t xml:space="preserve">for </w:t>
      </w:r>
      <w:r w:rsidR="00D86D46">
        <w:t xml:space="preserve">gas </w:t>
      </w:r>
      <w:r w:rsidR="00F2178C">
        <w:t>decommissioning</w:t>
      </w:r>
      <w:r w:rsidR="000B0D61">
        <w:t xml:space="preserve"> considering</w:t>
      </w:r>
      <w:r w:rsidR="00F07C12">
        <w:t xml:space="preserve"> </w:t>
      </w:r>
      <w:r w:rsidR="000B0D61">
        <w:t>safety</w:t>
      </w:r>
      <w:r w:rsidR="00F07C12">
        <w:t xml:space="preserve">, </w:t>
      </w:r>
      <w:r w:rsidR="00BF21CB">
        <w:t>equity</w:t>
      </w:r>
      <w:r w:rsidR="00F07C12">
        <w:t xml:space="preserve">, </w:t>
      </w:r>
      <w:r w:rsidR="00512A9C">
        <w:t>readiness</w:t>
      </w:r>
      <w:r w:rsidR="003762BA">
        <w:t>,</w:t>
      </w:r>
      <w:r w:rsidR="00512A9C">
        <w:t xml:space="preserve"> </w:t>
      </w:r>
      <w:r w:rsidR="00F07C12">
        <w:t>and cost-</w:t>
      </w:r>
      <w:r w:rsidR="00BF21CB">
        <w:t>effectiveness</w:t>
      </w:r>
      <w:r w:rsidR="00F07C12">
        <w:t>.</w:t>
      </w:r>
      <w:r w:rsidR="00542E44">
        <w:t xml:space="preserve"> </w:t>
      </w:r>
      <w:r w:rsidR="0033080A">
        <w:t>The team deems it</w:t>
      </w:r>
      <w:r w:rsidR="00993D51">
        <w:t xml:space="preserve"> critical</w:t>
      </w:r>
      <w:r w:rsidR="00F269D2">
        <w:t xml:space="preserve"> </w:t>
      </w:r>
      <w:r w:rsidR="00542E44">
        <w:t xml:space="preserve">to equitability that </w:t>
      </w:r>
      <w:r w:rsidR="00F269D2">
        <w:t xml:space="preserve">the Tool </w:t>
      </w:r>
      <w:r w:rsidR="002950B7">
        <w:t xml:space="preserve">is used </w:t>
      </w:r>
      <w:r w:rsidR="00F269D2">
        <w:t>to enable</w:t>
      </w:r>
      <w:r w:rsidR="002F6EF2">
        <w:t xml:space="preserve"> prioritization of California communities identified as disadvantaged, underserved, at-risk, and most vulnerable</w:t>
      </w:r>
      <w:r w:rsidR="009B3A4D">
        <w:t>. These groups face the greatest</w:t>
      </w:r>
      <w:r w:rsidR="002F6EF2">
        <w:t xml:space="preserve"> costs, burdens</w:t>
      </w:r>
      <w:r w:rsidR="005C6550">
        <w:t>,</w:t>
      </w:r>
      <w:r w:rsidR="002F6EF2">
        <w:t xml:space="preserve"> and cumulative energy and health inequities associated with early gas decommissioning. </w:t>
      </w:r>
    </w:p>
    <w:p w14:paraId="2B4A9A01" w14:textId="12B4249E" w:rsidR="003F47E5" w:rsidRPr="009D34E0" w:rsidRDefault="7334D6DC" w:rsidP="009D34E0">
      <w:pPr>
        <w:pStyle w:val="BodyText"/>
      </w:pPr>
      <w:r w:rsidRPr="009D34E0">
        <w:t xml:space="preserve">While the </w:t>
      </w:r>
      <w:r w:rsidR="004A1CB8">
        <w:t>S</w:t>
      </w:r>
      <w:r w:rsidRPr="009D34E0">
        <w:t>tate has yet to determine how to retire gas pipelines,</w:t>
      </w:r>
      <w:r w:rsidR="0033080A">
        <w:t xml:space="preserve"> the team feels that</w:t>
      </w:r>
      <w:r w:rsidRPr="009D34E0">
        <w:t xml:space="preserve"> </w:t>
      </w:r>
      <w:r w:rsidR="0022408A" w:rsidRPr="009D34E0">
        <w:t xml:space="preserve">using the Tool </w:t>
      </w:r>
      <w:r w:rsidR="00340D39" w:rsidRPr="009D34E0">
        <w:t>to show</w:t>
      </w:r>
      <w:r w:rsidR="00C23069" w:rsidRPr="009D34E0">
        <w:t xml:space="preserve"> how </w:t>
      </w:r>
      <w:r w:rsidRPr="009D34E0">
        <w:t xml:space="preserve">gas decommissioning can directly impact communities </w:t>
      </w:r>
      <w:r w:rsidR="00C23069" w:rsidRPr="009D34E0">
        <w:t xml:space="preserve">can aid the </w:t>
      </w:r>
      <w:r w:rsidR="004A1CB8">
        <w:t>S</w:t>
      </w:r>
      <w:r w:rsidR="00C23069" w:rsidRPr="009D34E0">
        <w:t xml:space="preserve">tate in </w:t>
      </w:r>
      <w:r w:rsidR="001A43DA" w:rsidRPr="009D34E0">
        <w:t xml:space="preserve">decisions related to </w:t>
      </w:r>
      <w:r w:rsidR="00EA2848" w:rsidRPr="009D34E0">
        <w:t>outcomes of implementation</w:t>
      </w:r>
      <w:r w:rsidRPr="009D34E0">
        <w:t xml:space="preserve">: </w:t>
      </w:r>
    </w:p>
    <w:p w14:paraId="5372C235" w14:textId="35371DA4" w:rsidR="003F47E5" w:rsidRPr="00A21BA1" w:rsidRDefault="37427857" w:rsidP="005E6182">
      <w:pPr>
        <w:pStyle w:val="Bullet1"/>
        <w:rPr>
          <w:rFonts w:ascii="Calibri" w:hAnsi="Calibri"/>
          <w:color w:val="000000" w:themeColor="text1"/>
          <w:sz w:val="24"/>
          <w:szCs w:val="24"/>
          <w:lang w:val="en-US"/>
        </w:rPr>
      </w:pPr>
      <w:r w:rsidRPr="184CD720">
        <w:rPr>
          <w:lang w:val="en-US"/>
        </w:rPr>
        <w:t>Switching gas-powered appliances (e.g</w:t>
      </w:r>
      <w:r w:rsidR="00CA287D" w:rsidRPr="184CD720">
        <w:rPr>
          <w:lang w:val="en-US"/>
        </w:rPr>
        <w:t>.,</w:t>
      </w:r>
      <w:r w:rsidRPr="184CD720">
        <w:rPr>
          <w:lang w:val="en-US"/>
        </w:rPr>
        <w:t xml:space="preserve"> stoves, furnaces) to alternative energy-powered appliances (e.g.</w:t>
      </w:r>
      <w:r w:rsidR="00065AAC">
        <w:rPr>
          <w:lang w:val="en-US"/>
        </w:rPr>
        <w:t>,</w:t>
      </w:r>
      <w:r w:rsidRPr="184CD720">
        <w:rPr>
          <w:lang w:val="en-US"/>
        </w:rPr>
        <w:t xml:space="preserve"> induction stoves, heat pumps)</w:t>
      </w:r>
    </w:p>
    <w:p w14:paraId="49B94854" w14:textId="4BF4C5B1" w:rsidR="003F47E5" w:rsidRPr="00A21BA1" w:rsidRDefault="7334D6DC" w:rsidP="005E6182">
      <w:pPr>
        <w:pStyle w:val="Bullet1"/>
        <w:rPr>
          <w:rFonts w:ascii="Calibri" w:hAnsi="Calibri"/>
          <w:color w:val="000000" w:themeColor="text1"/>
          <w:sz w:val="24"/>
        </w:rPr>
      </w:pPr>
      <w:r w:rsidRPr="005A0B3A">
        <w:t>Improvement of comfort and indoor air quality</w:t>
      </w:r>
    </w:p>
    <w:p w14:paraId="30BC0F3B" w14:textId="34935254" w:rsidR="003F47E5" w:rsidRPr="00A21BA1" w:rsidRDefault="7334D6DC" w:rsidP="005E6182">
      <w:pPr>
        <w:pStyle w:val="Bullet1"/>
        <w:rPr>
          <w:rFonts w:ascii="Calibri" w:hAnsi="Calibri"/>
          <w:color w:val="000000" w:themeColor="text1"/>
          <w:sz w:val="24"/>
        </w:rPr>
      </w:pPr>
      <w:r w:rsidRPr="005A0B3A">
        <w:t>Potential</w:t>
      </w:r>
      <w:r w:rsidR="22337160" w:rsidRPr="005A0B3A">
        <w:t xml:space="preserve"> reduction of</w:t>
      </w:r>
      <w:r w:rsidRPr="005A0B3A">
        <w:t xml:space="preserve"> energy bills (e.g., energy efficiency measures</w:t>
      </w:r>
      <w:r w:rsidR="00542E44">
        <w:t>)</w:t>
      </w:r>
    </w:p>
    <w:p w14:paraId="23F7071A" w14:textId="31ADE9C7" w:rsidR="003F47E5" w:rsidRPr="00FC1B78" w:rsidRDefault="0F2EC515" w:rsidP="005E6182">
      <w:pPr>
        <w:pStyle w:val="Bullet1"/>
        <w:rPr>
          <w:rFonts w:ascii="Calibri" w:hAnsi="Calibri"/>
          <w:color w:val="000000" w:themeColor="text1"/>
          <w:sz w:val="24"/>
        </w:rPr>
      </w:pPr>
      <w:r w:rsidRPr="005A0B3A">
        <w:t xml:space="preserve">Ability to </w:t>
      </w:r>
      <w:r w:rsidR="613E2235" w:rsidRPr="005A0B3A">
        <w:t>reduce</w:t>
      </w:r>
      <w:r w:rsidR="7334D6DC" w:rsidRPr="005A0B3A">
        <w:t xml:space="preserve"> dependency on fossil fuels</w:t>
      </w:r>
    </w:p>
    <w:p w14:paraId="4D8B3928" w14:textId="3DA9111C" w:rsidR="00FC1B78" w:rsidRPr="003B37DE" w:rsidRDefault="001A085F" w:rsidP="005E6182">
      <w:pPr>
        <w:pStyle w:val="Bullet1"/>
        <w:rPr>
          <w:rFonts w:ascii="Calibri" w:hAnsi="Calibri"/>
          <w:color w:val="000000" w:themeColor="text1"/>
          <w:sz w:val="24"/>
        </w:rPr>
      </w:pPr>
      <w:r>
        <w:t>Avoidance of stranded asset costs</w:t>
      </w:r>
    </w:p>
    <w:p w14:paraId="67DB9DEF" w14:textId="59A597E4" w:rsidR="00DB0041" w:rsidRPr="00A21BA1" w:rsidRDefault="00823B1E" w:rsidP="00980803">
      <w:pPr>
        <w:pStyle w:val="Bullet1Last"/>
        <w:rPr>
          <w:rFonts w:ascii="Calibri" w:hAnsi="Calibri"/>
          <w:sz w:val="24"/>
        </w:rPr>
      </w:pPr>
      <w:r>
        <w:t>Comprehensive consideration of community impacts</w:t>
      </w:r>
    </w:p>
    <w:p w14:paraId="192B4FC6" w14:textId="56A0CF15" w:rsidR="00B871FE" w:rsidRDefault="002936E3" w:rsidP="0027242D">
      <w:pPr>
        <w:pStyle w:val="BodyText"/>
      </w:pPr>
      <w:r>
        <w:t>Throughout this pro</w:t>
      </w:r>
      <w:r w:rsidR="0033080A">
        <w:t>ject</w:t>
      </w:r>
      <w:r>
        <w:t>, the research team worked closely with CEC and California Public Utilities Commission (CPUC)</w:t>
      </w:r>
      <w:r w:rsidR="0033080A">
        <w:t xml:space="preserve"> staff</w:t>
      </w:r>
      <w:r>
        <w:t xml:space="preserve"> to ensure that the Tool was tailored to meet changing gas planning and transition policy and regulatory objectives</w:t>
      </w:r>
      <w:r w:rsidR="0033080A">
        <w:t xml:space="preserve"> as </w:t>
      </w:r>
      <w:r w:rsidR="0033080A">
        <w:lastRenderedPageBreak/>
        <w:t>much as possible</w:t>
      </w:r>
      <w:r>
        <w:t xml:space="preserve">. For </w:t>
      </w:r>
      <w:r w:rsidR="00B871FE">
        <w:t xml:space="preserve">example, the team </w:t>
      </w:r>
      <w:r w:rsidR="0037255A">
        <w:t>considers</w:t>
      </w:r>
      <w:r w:rsidR="00B871FE">
        <w:t xml:space="preserve"> that the Tool</w:t>
      </w:r>
      <w:r w:rsidR="0027242D">
        <w:t>, given its purpose and capabilities supported by the case study analysis framework,</w:t>
      </w:r>
      <w:r w:rsidR="00B871FE">
        <w:t xml:space="preserve"> is well</w:t>
      </w:r>
      <w:r w:rsidR="00B871FE" w:rsidDel="00231F44">
        <w:t xml:space="preserve"> </w:t>
      </w:r>
      <w:r w:rsidR="00B871FE">
        <w:t>suited to support the screening of sites for the pilot projects</w:t>
      </w:r>
      <w:r w:rsidR="0027242D">
        <w:t xml:space="preserve"> as mandated in </w:t>
      </w:r>
      <w:r>
        <w:t>California Senate Bill 1221</w:t>
      </w:r>
      <w:r w:rsidR="00B75DF6">
        <w:t xml:space="preserve"> (SB 1221)</w:t>
      </w:r>
      <w:r w:rsidR="00D53E65">
        <w:rPr>
          <w:rStyle w:val="FootnoteReference"/>
        </w:rPr>
        <w:footnoteReference w:id="2"/>
      </w:r>
      <w:r w:rsidR="0027242D">
        <w:t>. SB 1221</w:t>
      </w:r>
      <w:r>
        <w:t xml:space="preserve"> mandates the CPUC to establish a program to facilitate the </w:t>
      </w:r>
      <w:r w:rsidRPr="00AD3068">
        <w:t>decommissioning of portions of the natural gas distribution system</w:t>
      </w:r>
      <w:r w:rsidRPr="00DE36DA">
        <w:t xml:space="preserve"> and transition customers to </w:t>
      </w:r>
      <w:r w:rsidRPr="00AD3068">
        <w:t>zero-emission alternatives</w:t>
      </w:r>
      <w:r w:rsidRPr="00DE36DA">
        <w:t>,</w:t>
      </w:r>
      <w:r>
        <w:t xml:space="preserve"> in alignment with California’s 2045 decarbonization targets. </w:t>
      </w:r>
      <w:r w:rsidR="00B75DF6">
        <w:t>SB 1221</w:t>
      </w:r>
      <w:r w:rsidDel="00913CFD">
        <w:t xml:space="preserve"> </w:t>
      </w:r>
      <w:r>
        <w:t>establishes provisions for priority inclusion of disadvantaged communities and tribal areas within the 30 pilot projects gas utilities are to implement</w:t>
      </w:r>
      <w:r w:rsidR="00913CFD">
        <w:t xml:space="preserve">. </w:t>
      </w:r>
      <w:r w:rsidR="00231F44">
        <w:t>It also calls for</w:t>
      </w:r>
      <w:r w:rsidDel="00231F44">
        <w:t xml:space="preserve"> </w:t>
      </w:r>
      <w:r>
        <w:t xml:space="preserve">consideration of environmental justice, energy </w:t>
      </w:r>
      <w:r w:rsidR="001902D9">
        <w:t>burden,</w:t>
      </w:r>
      <w:r>
        <w:t xml:space="preserve"> and community readiness factors. </w:t>
      </w:r>
    </w:p>
    <w:p w14:paraId="3B7ECADC" w14:textId="7646E77B" w:rsidR="002936E3" w:rsidRDefault="00922649" w:rsidP="002936E3">
      <w:pPr>
        <w:pStyle w:val="BodyText"/>
      </w:pPr>
      <w:r w:rsidRPr="00922649">
        <w:t xml:space="preserve">Importantly, the Tool operates at the census tract level, offering a statewide view of equity and readiness indicators; however, more granular </w:t>
      </w:r>
      <w:proofErr w:type="spellStart"/>
      <w:r w:rsidRPr="00922649">
        <w:t>neighborhood</w:t>
      </w:r>
      <w:proofErr w:type="spellEnd"/>
      <w:r w:rsidRPr="00922649">
        <w:t xml:space="preserve">-level and gas asset-specific data will need to be provided by </w:t>
      </w:r>
      <w:r w:rsidR="00857303">
        <w:t>gas utilities</w:t>
      </w:r>
      <w:r w:rsidRPr="00922649">
        <w:t xml:space="preserve"> to inform final site selection and implementation planning.</w:t>
      </w:r>
    </w:p>
    <w:p w14:paraId="612409FE" w14:textId="0E19804E" w:rsidR="00510D95" w:rsidRPr="002C2A0F" w:rsidRDefault="0095230C" w:rsidP="002F1935">
      <w:pPr>
        <w:pStyle w:val="BodyText"/>
      </w:pPr>
      <w:r w:rsidRPr="0095230C">
        <w:t xml:space="preserve">Drawing on </w:t>
      </w:r>
      <w:proofErr w:type="gramStart"/>
      <w:r w:rsidR="002A78BA">
        <w:t xml:space="preserve">past </w:t>
      </w:r>
      <w:r w:rsidRPr="0095230C">
        <w:t>experience</w:t>
      </w:r>
      <w:proofErr w:type="gramEnd"/>
      <w:r w:rsidRPr="0095230C">
        <w:t xml:space="preserve"> connecting data with community insights and observing best practices in community-focused research, </w:t>
      </w:r>
      <w:r w:rsidR="006008CB">
        <w:t>the team</w:t>
      </w:r>
      <w:r w:rsidRPr="0095230C">
        <w:t xml:space="preserve"> </w:t>
      </w:r>
      <w:r>
        <w:t>approach</w:t>
      </w:r>
      <w:r w:rsidR="09FD9044">
        <w:t>ed</w:t>
      </w:r>
      <w:r w:rsidRPr="0095230C">
        <w:t xml:space="preserve"> </w:t>
      </w:r>
      <w:r w:rsidR="00834768">
        <w:t>the screening of promising sites for decommissioning</w:t>
      </w:r>
      <w:r w:rsidRPr="0095230C">
        <w:t xml:space="preserve"> with care. The </w:t>
      </w:r>
      <w:r w:rsidR="00834768">
        <w:t xml:space="preserve">research </w:t>
      </w:r>
      <w:r w:rsidRPr="0095230C">
        <w:t xml:space="preserve">process </w:t>
      </w:r>
      <w:r>
        <w:t>include</w:t>
      </w:r>
      <w:r w:rsidR="00E1D8D7">
        <w:t>d</w:t>
      </w:r>
      <w:r w:rsidRPr="0095230C">
        <w:t xml:space="preserve"> iterative engagement with communities and stakeholders to validate any technical evaluations</w:t>
      </w:r>
      <w:r w:rsidR="00C831CC">
        <w:t xml:space="preserve"> that were incorporated into to the Tool</w:t>
      </w:r>
      <w:r w:rsidRPr="0095230C">
        <w:t>.</w:t>
      </w:r>
      <w:r>
        <w:t xml:space="preserve"> </w:t>
      </w:r>
      <w:r w:rsidR="00640C64">
        <w:t xml:space="preserve">Currently, the Tool is designed to initiate this process from the “top down” using publicly available data sources. </w:t>
      </w:r>
      <w:r w:rsidR="00E55CFE">
        <w:t>Future versions of the Tool</w:t>
      </w:r>
      <w:r w:rsidR="00E55CFE" w:rsidRPr="00E55CFE">
        <w:t xml:space="preserve"> could alternatively be designed to work from the</w:t>
      </w:r>
      <w:r w:rsidR="002936E3">
        <w:t xml:space="preserve"> </w:t>
      </w:r>
      <w:r w:rsidR="00E55CFE" w:rsidRPr="00E55CFE">
        <w:t>"bottom up," by identifying</w:t>
      </w:r>
      <w:r w:rsidR="002936E3">
        <w:t xml:space="preserve"> </w:t>
      </w:r>
      <w:r w:rsidR="00E55CFE" w:rsidRPr="00E55CFE">
        <w:t>specific infrastructure assets to potentially decommission and moving outward to assess community</w:t>
      </w:r>
      <w:r w:rsidR="00515F85">
        <w:t>-</w:t>
      </w:r>
      <w:r w:rsidR="00E55CFE" w:rsidRPr="00E55CFE">
        <w:t>scale benefits.</w:t>
      </w:r>
    </w:p>
    <w:p w14:paraId="550F0844" w14:textId="5E7DE73E" w:rsidR="003F47E5" w:rsidRDefault="003F47E5" w:rsidP="003F47E5">
      <w:pPr>
        <w:pStyle w:val="BodyText"/>
      </w:pPr>
    </w:p>
    <w:p w14:paraId="7A8ACDF4" w14:textId="5ABE22FA" w:rsidR="003F47E5" w:rsidRDefault="007507CF" w:rsidP="003F47E5">
      <w:pPr>
        <w:pStyle w:val="Heading1"/>
      </w:pPr>
      <w:bookmarkStart w:id="4" w:name="_Ref212213583"/>
      <w:bookmarkStart w:id="5" w:name="_Toc214535394"/>
      <w:r>
        <w:lastRenderedPageBreak/>
        <w:t>Approach</w:t>
      </w:r>
      <w:r w:rsidR="007E1C5A">
        <w:t xml:space="preserve"> </w:t>
      </w:r>
      <w:r w:rsidR="003F6514">
        <w:t xml:space="preserve">to </w:t>
      </w:r>
      <w:r w:rsidR="00467AEC">
        <w:t xml:space="preserve">Community, </w:t>
      </w:r>
      <w:r w:rsidR="003F6514">
        <w:t>Sta</w:t>
      </w:r>
      <w:r w:rsidR="00791DF1">
        <w:t>keholder</w:t>
      </w:r>
      <w:r w:rsidR="000C05D5">
        <w:t>, and Case Study</w:t>
      </w:r>
      <w:r w:rsidR="00791DF1">
        <w:t xml:space="preserve"> Engagement</w:t>
      </w:r>
      <w:bookmarkEnd w:id="4"/>
      <w:bookmarkEnd w:id="5"/>
    </w:p>
    <w:p w14:paraId="1FB84A35" w14:textId="5D713E3C" w:rsidR="000C4AF2" w:rsidRDefault="00564C88" w:rsidP="00B14800">
      <w:pPr>
        <w:pStyle w:val="BodyText"/>
      </w:pPr>
      <w:r w:rsidRPr="00515F85">
        <w:t xml:space="preserve">Given the nascency and complexity of gas decommissioning, </w:t>
      </w:r>
      <w:r w:rsidR="002A0BA2">
        <w:t>the research</w:t>
      </w:r>
      <w:r w:rsidRPr="00515F85">
        <w:t xml:space="preserve"> team developed a robust methodology to build the Tool, grounded in statewide, multi-pronged engagement. Designed to reflect both project and community capacities, this approach ensured that data collection and analysis were informed by diverse stakeholder input. A key objective of the Tool is to equitably </w:t>
      </w:r>
      <w:r w:rsidR="00592952">
        <w:t>screen for promising</w:t>
      </w:r>
      <w:r w:rsidRPr="00515F85">
        <w:t xml:space="preserve"> candidate </w:t>
      </w:r>
      <w:r w:rsidR="00266DF1">
        <w:t>sites (</w:t>
      </w:r>
      <w:r w:rsidRPr="00515F85">
        <w:t>pipeline segments or locations</w:t>
      </w:r>
      <w:r w:rsidR="00266DF1">
        <w:t>)</w:t>
      </w:r>
      <w:r w:rsidRPr="00515F85">
        <w:t xml:space="preserve"> for decommissioning across California. To achieve this, relevant data and metrics were validated through community-</w:t>
      </w:r>
      <w:proofErr w:type="spellStart"/>
      <w:r w:rsidRPr="00515F85">
        <w:t>centered</w:t>
      </w:r>
      <w:proofErr w:type="spellEnd"/>
      <w:r w:rsidRPr="00515F85">
        <w:t xml:space="preserve"> forums—including workshops, a public webinar, case study meetings, briefings with affinity groups, an online Resource Hub, and, where feasible, the Technical Advisory Committee (TAC). These engagement pathways, depicted in </w:t>
      </w:r>
      <w:r w:rsidR="00515F85">
        <w:fldChar w:fldCharType="begin"/>
      </w:r>
      <w:r w:rsidR="00515F85">
        <w:instrText xml:space="preserve"> REF _Ref207111950 \h </w:instrText>
      </w:r>
      <w:r w:rsidR="00515F85">
        <w:fldChar w:fldCharType="separate"/>
      </w:r>
      <w:r w:rsidR="00FA7042">
        <w:t xml:space="preserve">Figure </w:t>
      </w:r>
      <w:r w:rsidR="00FA7042">
        <w:rPr>
          <w:noProof/>
        </w:rPr>
        <w:t>2</w:t>
      </w:r>
      <w:r w:rsidR="00FA7042">
        <w:noBreakHyphen/>
      </w:r>
      <w:r w:rsidR="00FA7042">
        <w:rPr>
          <w:noProof/>
        </w:rPr>
        <w:t>1</w:t>
      </w:r>
      <w:r w:rsidR="00515F85">
        <w:fldChar w:fldCharType="end"/>
      </w:r>
      <w:r w:rsidR="00515F85">
        <w:t xml:space="preserve"> </w:t>
      </w:r>
      <w:r w:rsidRPr="00515F85">
        <w:t>and detailed below, were instrumental in shaping the Tool’s development and ensuring it reflects real-world conditions and community priorities.</w:t>
      </w:r>
      <w:r w:rsidR="00496F3C">
        <w:t xml:space="preserve"> </w:t>
      </w:r>
    </w:p>
    <w:p w14:paraId="7569DADF" w14:textId="18CE4F0F" w:rsidR="004749CE" w:rsidRDefault="004749CE" w:rsidP="00B33006">
      <w:pPr>
        <w:pStyle w:val="FigureTitle"/>
        <w:keepNext w:val="0"/>
        <w:keepLines w:val="0"/>
        <w:widowControl w:val="0"/>
      </w:pPr>
      <w:bookmarkStart w:id="6" w:name="_Ref207111950"/>
      <w:bookmarkStart w:id="7" w:name="_Ref207178714"/>
      <w:bookmarkStart w:id="8" w:name="_Toc214535418"/>
      <w:r>
        <w:t xml:space="preserve">Figure </w:t>
      </w:r>
      <w:r w:rsidR="00817506">
        <w:fldChar w:fldCharType="begin"/>
      </w:r>
      <w:r w:rsidR="00817506">
        <w:instrText xml:space="preserve"> STYLEREF 1 \s </w:instrText>
      </w:r>
      <w:r w:rsidR="00817506">
        <w:fldChar w:fldCharType="separate"/>
      </w:r>
      <w:r w:rsidR="00FA7042">
        <w:rPr>
          <w:noProof/>
        </w:rPr>
        <w:t>2</w:t>
      </w:r>
      <w:r w:rsidR="00817506">
        <w:fldChar w:fldCharType="end"/>
      </w:r>
      <w:r w:rsidR="00817506">
        <w:noBreakHyphen/>
      </w:r>
      <w:r w:rsidR="00817506">
        <w:fldChar w:fldCharType="begin"/>
      </w:r>
      <w:r w:rsidR="00817506">
        <w:instrText xml:space="preserve"> SEQ Figure \* ARABIC \s 1 </w:instrText>
      </w:r>
      <w:r w:rsidR="00817506">
        <w:fldChar w:fldCharType="separate"/>
      </w:r>
      <w:r w:rsidR="00FA7042">
        <w:rPr>
          <w:noProof/>
        </w:rPr>
        <w:t>1</w:t>
      </w:r>
      <w:r w:rsidR="00817506">
        <w:fldChar w:fldCharType="end"/>
      </w:r>
      <w:bookmarkEnd w:id="6"/>
      <w:bookmarkEnd w:id="7"/>
      <w:r>
        <w:t xml:space="preserve">. </w:t>
      </w:r>
      <w:r w:rsidR="000201C0">
        <w:t>Commun</w:t>
      </w:r>
      <w:r w:rsidR="00E34977">
        <w:t>ity Engagement and Feedback</w:t>
      </w:r>
      <w:r w:rsidR="00AD15BE">
        <w:t xml:space="preserve"> Process</w:t>
      </w:r>
      <w:bookmarkEnd w:id="8"/>
    </w:p>
    <w:p w14:paraId="271F0ECF" w14:textId="236369A2" w:rsidR="00AC4CB4" w:rsidRDefault="00AC4CB4" w:rsidP="00B33006">
      <w:pPr>
        <w:pStyle w:val="FigureTitle"/>
        <w:keepNext w:val="0"/>
        <w:keepLines w:val="0"/>
        <w:widowControl w:val="0"/>
      </w:pPr>
      <w:r w:rsidRPr="00AC4CB4">
        <w:rPr>
          <w:noProof/>
        </w:rPr>
        <w:drawing>
          <wp:inline distT="0" distB="0" distL="0" distR="0" wp14:anchorId="37D833DC" wp14:editId="40EF36E5">
            <wp:extent cx="5924550" cy="1760857"/>
            <wp:effectExtent l="0" t="0" r="0" b="0"/>
            <wp:docPr id="1658894494" name="Picture 1" descr="Image that shows the three steps to community engagement and feedback process from thi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94494" name="Picture 1" descr="Image that shows the three steps to community engagement and feedback process from this project."/>
                    <pic:cNvPicPr/>
                  </pic:nvPicPr>
                  <pic:blipFill>
                    <a:blip r:embed="rId19"/>
                    <a:stretch>
                      <a:fillRect/>
                    </a:stretch>
                  </pic:blipFill>
                  <pic:spPr>
                    <a:xfrm>
                      <a:off x="0" y="0"/>
                      <a:ext cx="5941931" cy="1766023"/>
                    </a:xfrm>
                    <a:prstGeom prst="rect">
                      <a:avLst/>
                    </a:prstGeom>
                  </pic:spPr>
                </pic:pic>
              </a:graphicData>
            </a:graphic>
          </wp:inline>
        </w:drawing>
      </w:r>
    </w:p>
    <w:p w14:paraId="213708A2" w14:textId="6F0EB213" w:rsidR="0090544E" w:rsidRDefault="004928CE" w:rsidP="00D116A4">
      <w:pPr>
        <w:pStyle w:val="Heading2"/>
      </w:pPr>
      <w:bookmarkStart w:id="9" w:name="_Ref212213728"/>
      <w:bookmarkStart w:id="10" w:name="_Toc214535395"/>
      <w:r w:rsidRPr="004928CE">
        <w:t>Community Landscape Assessment and Direct Engagement</w:t>
      </w:r>
      <w:bookmarkEnd w:id="9"/>
      <w:bookmarkEnd w:id="10"/>
    </w:p>
    <w:p w14:paraId="7C8CCCEF" w14:textId="510E1D8E" w:rsidR="004B6D8F" w:rsidRPr="004B6D8F" w:rsidRDefault="103A3A90" w:rsidP="004B6D8F">
      <w:pPr>
        <w:pStyle w:val="BodyText"/>
        <w:rPr>
          <w:lang w:val="en-US"/>
        </w:rPr>
      </w:pPr>
      <w:r>
        <w:t>The research team</w:t>
      </w:r>
      <w:r w:rsidR="6482988D" w:rsidRPr="00412A76">
        <w:t xml:space="preserve"> initiated </w:t>
      </w:r>
      <w:r w:rsidR="0768B3DB">
        <w:t>the</w:t>
      </w:r>
      <w:r w:rsidR="6482988D" w:rsidRPr="00412A76">
        <w:t xml:space="preserve"> engagement by conducting a preliminary community landscape assessment with almost a dozen community-serving groups</w:t>
      </w:r>
      <w:r w:rsidR="00E955DB">
        <w:rPr>
          <w:rStyle w:val="FootnoteReference"/>
          <w:b/>
          <w:bCs/>
        </w:rPr>
        <w:footnoteReference w:id="3"/>
      </w:r>
      <w:r w:rsidR="6482988D" w:rsidRPr="00412A76">
        <w:rPr>
          <w:b/>
          <w:bCs/>
        </w:rPr>
        <w:t xml:space="preserve"> </w:t>
      </w:r>
      <w:r w:rsidR="6482988D" w:rsidRPr="00A7439F">
        <w:t>throughout the state</w:t>
      </w:r>
      <w:r w:rsidR="126882B6">
        <w:t xml:space="preserve"> who</w:t>
      </w:r>
      <w:r w:rsidR="300F6EA3">
        <w:t xml:space="preserve"> represented California communities’ interests</w:t>
      </w:r>
      <w:r w:rsidR="763A8949">
        <w:t xml:space="preserve"> and</w:t>
      </w:r>
      <w:r w:rsidR="31A7959A">
        <w:t xml:space="preserve"> </w:t>
      </w:r>
      <w:r w:rsidR="763A8949">
        <w:t>were</w:t>
      </w:r>
      <w:r w:rsidR="31A7959A">
        <w:t xml:space="preserve"> </w:t>
      </w:r>
      <w:r w:rsidR="244B9954">
        <w:t>receptive to engagement</w:t>
      </w:r>
      <w:r w:rsidR="31A7959A">
        <w:t xml:space="preserve"> in </w:t>
      </w:r>
      <w:r w:rsidR="249A0D6E">
        <w:t xml:space="preserve">past </w:t>
      </w:r>
      <w:r w:rsidR="31A7959A">
        <w:t xml:space="preserve">California </w:t>
      </w:r>
      <w:r w:rsidR="26C8FEA7">
        <w:t xml:space="preserve">energy </w:t>
      </w:r>
      <w:r w:rsidR="31A7959A">
        <w:t>infrastructure</w:t>
      </w:r>
      <w:r w:rsidR="155AD2BB">
        <w:t>, offshore wind, renewable, air and water quality</w:t>
      </w:r>
      <w:r w:rsidR="31A7959A">
        <w:t xml:space="preserve"> projects</w:t>
      </w:r>
      <w:r w:rsidR="6C0891A6">
        <w:t xml:space="preserve"> </w:t>
      </w:r>
      <w:r w:rsidR="00CD705B">
        <w:t xml:space="preserve">that team had been involved in, </w:t>
      </w:r>
      <w:r w:rsidR="040D3048">
        <w:t xml:space="preserve">such as the California High-Speed Rail project, California Natural Resource Agency’s 30x30 initiative </w:t>
      </w:r>
      <w:r w:rsidR="6482988D" w:rsidRPr="00A7439F">
        <w:t>(</w:t>
      </w:r>
      <w:r w:rsidR="42834771" w:rsidRPr="00A7439F">
        <w:t>see the list</w:t>
      </w:r>
      <w:r w:rsidR="6482988D" w:rsidRPr="00A7439F">
        <w:t xml:space="preserve"> provided in</w:t>
      </w:r>
      <w:r w:rsidR="42834771" w:rsidRPr="00A7439F">
        <w:t xml:space="preserve"> </w:t>
      </w:r>
      <w:r w:rsidR="00D21CEE" w:rsidRPr="00A7439F">
        <w:fldChar w:fldCharType="begin"/>
      </w:r>
      <w:r w:rsidR="00D21CEE" w:rsidRPr="00A7439F">
        <w:instrText xml:space="preserve"> REF _Ref207115346 \r \h </w:instrText>
      </w:r>
      <w:r w:rsidR="00FF0C56">
        <w:instrText xml:space="preserve"> \* MERGEFORMAT </w:instrText>
      </w:r>
      <w:r w:rsidR="00D21CEE" w:rsidRPr="00A7439F">
        <w:fldChar w:fldCharType="separate"/>
      </w:r>
      <w:r w:rsidR="00FA7042">
        <w:t>Appendix A</w:t>
      </w:r>
      <w:r w:rsidR="00D21CEE" w:rsidRPr="00A7439F">
        <w:fldChar w:fldCharType="end"/>
      </w:r>
      <w:r w:rsidR="6482988D" w:rsidRPr="00A7439F">
        <w:t>)</w:t>
      </w:r>
      <w:r w:rsidR="6482988D" w:rsidRPr="00412A76">
        <w:rPr>
          <w:b/>
          <w:bCs/>
        </w:rPr>
        <w:t>.</w:t>
      </w:r>
      <w:r w:rsidR="2D2F5D3D">
        <w:rPr>
          <w:b/>
          <w:bCs/>
        </w:rPr>
        <w:t xml:space="preserve"> </w:t>
      </w:r>
      <w:r w:rsidR="3C0FFD75" w:rsidRPr="004B6D8F">
        <w:rPr>
          <w:lang w:val="en-US"/>
        </w:rPr>
        <w:t xml:space="preserve">Their service areas </w:t>
      </w:r>
      <w:r w:rsidR="324FEF0F" w:rsidRPr="004B6D8F">
        <w:rPr>
          <w:lang w:val="en-US"/>
        </w:rPr>
        <w:t>span</w:t>
      </w:r>
      <w:r w:rsidR="3C0FFD75" w:rsidRPr="004B6D8F">
        <w:rPr>
          <w:lang w:val="en-US"/>
        </w:rPr>
        <w:t xml:space="preserve"> diverse geographies and community </w:t>
      </w:r>
      <w:r w:rsidR="501E7380">
        <w:rPr>
          <w:lang w:val="en-US"/>
        </w:rPr>
        <w:t>characteristics</w:t>
      </w:r>
      <w:r w:rsidR="3C0FFD75" w:rsidRPr="004B6D8F">
        <w:rPr>
          <w:lang w:val="en-US"/>
        </w:rPr>
        <w:t xml:space="preserve">, including urban, rural, tribal, suburban, and industrial regions across Northern, Central, and Southern California. As part of the assessment, </w:t>
      </w:r>
      <w:r w:rsidR="76F114CC">
        <w:rPr>
          <w:lang w:val="en-US"/>
        </w:rPr>
        <w:t>the research team</w:t>
      </w:r>
      <w:r w:rsidR="3C0FFD75" w:rsidRPr="004B6D8F">
        <w:rPr>
          <w:lang w:val="en-US"/>
        </w:rPr>
        <w:t xml:space="preserve"> invited organizations to serve on technical and policy advisory committees or as case study partners. While interest in gas decommissioning was high, many community-based organizations (CBOs) faced limited capacity to engage due to competing priorities. Despite offers of financial support and </w:t>
      </w:r>
      <w:bookmarkStart w:id="11" w:name="_Int_dGLLkTk1"/>
      <w:proofErr w:type="gramStart"/>
      <w:r w:rsidR="3C0FFD75" w:rsidRPr="004B6D8F">
        <w:rPr>
          <w:lang w:val="en-US"/>
        </w:rPr>
        <w:t>accommodations</w:t>
      </w:r>
      <w:bookmarkEnd w:id="11"/>
      <w:proofErr w:type="gramEnd"/>
      <w:r w:rsidR="3C0FFD75" w:rsidRPr="004B6D8F">
        <w:rPr>
          <w:lang w:val="en-US"/>
        </w:rPr>
        <w:t xml:space="preserve">, </w:t>
      </w:r>
      <w:r w:rsidR="4A2C0D49" w:rsidRPr="004B6D8F">
        <w:rPr>
          <w:lang w:val="en-US"/>
        </w:rPr>
        <w:t xml:space="preserve">this meant that </w:t>
      </w:r>
      <w:r w:rsidR="3C0FFD75" w:rsidRPr="004B6D8F">
        <w:rPr>
          <w:lang w:val="en-US"/>
        </w:rPr>
        <w:t>m</w:t>
      </w:r>
      <w:r w:rsidR="4A6EDE57" w:rsidRPr="004B6D8F">
        <w:rPr>
          <w:lang w:val="en-US"/>
        </w:rPr>
        <w:t xml:space="preserve">any </w:t>
      </w:r>
      <w:r w:rsidR="77EAA8E3" w:rsidRPr="004B6D8F">
        <w:rPr>
          <w:lang w:val="en-US"/>
        </w:rPr>
        <w:t>of the organizations contacted</w:t>
      </w:r>
      <w:r w:rsidR="3C0FFD75" w:rsidRPr="004B6D8F">
        <w:rPr>
          <w:lang w:val="en-US"/>
        </w:rPr>
        <w:t xml:space="preserve"> </w:t>
      </w:r>
      <w:r w:rsidR="3D6E5904" w:rsidRPr="004B6D8F">
        <w:rPr>
          <w:lang w:val="en-US"/>
        </w:rPr>
        <w:t xml:space="preserve">during initial outreach </w:t>
      </w:r>
      <w:r w:rsidR="3C0FFD75" w:rsidRPr="004B6D8F">
        <w:rPr>
          <w:lang w:val="en-US"/>
        </w:rPr>
        <w:t>were unable to formally commit a</w:t>
      </w:r>
      <w:r w:rsidR="34A0399B" w:rsidRPr="004B6D8F">
        <w:rPr>
          <w:lang w:val="en-US"/>
        </w:rPr>
        <w:t>s case study partners</w:t>
      </w:r>
      <w:r w:rsidR="3C0FFD75" w:rsidRPr="004B6D8F">
        <w:rPr>
          <w:lang w:val="en-US"/>
        </w:rPr>
        <w:t>.</w:t>
      </w:r>
    </w:p>
    <w:p w14:paraId="6F3FDF43" w14:textId="6AD7DB42" w:rsidR="00412A76" w:rsidRPr="00AD3068" w:rsidRDefault="3C0FFD75" w:rsidP="00B33006">
      <w:pPr>
        <w:pStyle w:val="BodyText"/>
        <w:rPr>
          <w:lang w:val="en-US"/>
        </w:rPr>
      </w:pPr>
      <w:r w:rsidRPr="530D6781">
        <w:rPr>
          <w:lang w:val="en-US"/>
        </w:rPr>
        <w:t>This</w:t>
      </w:r>
      <w:r w:rsidR="6D4CD618" w:rsidRPr="530D6781">
        <w:rPr>
          <w:lang w:val="en-US"/>
        </w:rPr>
        <w:t xml:space="preserve"> </w:t>
      </w:r>
      <w:r w:rsidR="09B43A89" w:rsidRPr="530D6781">
        <w:rPr>
          <w:lang w:val="en-US"/>
        </w:rPr>
        <w:t>initial</w:t>
      </w:r>
      <w:r w:rsidRPr="530D6781">
        <w:rPr>
          <w:lang w:val="en-US"/>
        </w:rPr>
        <w:t xml:space="preserve"> </w:t>
      </w:r>
      <w:r w:rsidR="00702E26">
        <w:rPr>
          <w:lang w:val="en-US"/>
        </w:rPr>
        <w:t xml:space="preserve">community landscape </w:t>
      </w:r>
      <w:r w:rsidRPr="530D6781">
        <w:rPr>
          <w:lang w:val="en-US"/>
        </w:rPr>
        <w:t xml:space="preserve">assessment </w:t>
      </w:r>
      <w:r w:rsidR="2CD31ABD" w:rsidRPr="530D6781">
        <w:rPr>
          <w:lang w:val="en-US"/>
        </w:rPr>
        <w:t xml:space="preserve">and outreach </w:t>
      </w:r>
      <w:r w:rsidRPr="530D6781">
        <w:rPr>
          <w:lang w:val="en-US"/>
        </w:rPr>
        <w:t xml:space="preserve">helped shape </w:t>
      </w:r>
      <w:r w:rsidR="76F114CC" w:rsidRPr="530D6781">
        <w:rPr>
          <w:lang w:val="en-US"/>
        </w:rPr>
        <w:t>the</w:t>
      </w:r>
      <w:r w:rsidRPr="530D6781">
        <w:rPr>
          <w:lang w:val="en-US"/>
        </w:rPr>
        <w:t xml:space="preserve"> </w:t>
      </w:r>
      <w:r w:rsidR="00702E26">
        <w:rPr>
          <w:lang w:val="en-US"/>
        </w:rPr>
        <w:t xml:space="preserve">project’s </w:t>
      </w:r>
      <w:r w:rsidRPr="530D6781">
        <w:rPr>
          <w:lang w:val="en-US"/>
        </w:rPr>
        <w:t>engagement strategy and clarified the need for flexible, resource-sensitive approaches to community collaboration. The engagement pathways that informed Tool development—including workshops, a public webinar, case study meetings, affinity group briefings, the online Resource Hub, and the TAC—are described in detail below</w:t>
      </w:r>
      <w:r w:rsidR="6482988D">
        <w:t xml:space="preserve">. </w:t>
      </w:r>
    </w:p>
    <w:p w14:paraId="7CF88966" w14:textId="1DF4CD37" w:rsidR="00412A76" w:rsidRDefault="00412A76" w:rsidP="00412A76">
      <w:pPr>
        <w:pStyle w:val="Heading2"/>
        <w:rPr>
          <w:bCs/>
        </w:rPr>
      </w:pPr>
      <w:bookmarkStart w:id="12" w:name="_Ref212213729"/>
      <w:bookmarkStart w:id="13" w:name="_Toc214535396"/>
      <w:r w:rsidRPr="00412A76">
        <w:t>Direct Engagement, Briefings</w:t>
      </w:r>
      <w:r w:rsidR="006A5F4F">
        <w:t>,</w:t>
      </w:r>
      <w:r w:rsidRPr="00412A76">
        <w:t xml:space="preserve"> and Technical Advisory</w:t>
      </w:r>
      <w:r>
        <w:t xml:space="preserve"> Committee</w:t>
      </w:r>
      <w:bookmarkEnd w:id="12"/>
      <w:bookmarkEnd w:id="13"/>
    </w:p>
    <w:p w14:paraId="0888A655" w14:textId="7A655879" w:rsidR="00412A76" w:rsidRPr="00AD3068" w:rsidRDefault="6482988D" w:rsidP="530D6781">
      <w:pPr>
        <w:pStyle w:val="BodyText"/>
      </w:pPr>
      <w:r w:rsidRPr="00412A76">
        <w:t>Th</w:t>
      </w:r>
      <w:r w:rsidR="1B847A88">
        <w:t>e initial</w:t>
      </w:r>
      <w:r w:rsidRPr="00412A76">
        <w:t xml:space="preserve"> lack of committed </w:t>
      </w:r>
      <w:r w:rsidR="088F286E">
        <w:t xml:space="preserve">CBO </w:t>
      </w:r>
      <w:r w:rsidRPr="00412A76">
        <w:t>partners</w:t>
      </w:r>
      <w:r w:rsidR="00A268E2">
        <w:t xml:space="preserve"> for this project</w:t>
      </w:r>
      <w:r w:rsidRPr="00412A76">
        <w:t xml:space="preserve"> necessitated continued and extended outreach and direct engagement (termed “snowball” engagement), leveraging multiple pathways, to accomplish the</w:t>
      </w:r>
      <w:r w:rsidR="00B45547">
        <w:t xml:space="preserve"> project’s engagement</w:t>
      </w:r>
      <w:r w:rsidRPr="00412A76">
        <w:t xml:space="preserve"> goals. Th</w:t>
      </w:r>
      <w:r w:rsidR="00B45547">
        <w:t>e</w:t>
      </w:r>
      <w:r w:rsidRPr="00412A76">
        <w:t xml:space="preserve"> extended engagement included </w:t>
      </w:r>
      <w:r w:rsidR="6B271C99">
        <w:t>more than</w:t>
      </w:r>
      <w:r w:rsidRPr="00412A76">
        <w:t xml:space="preserve"> 200 briefings and touchpoints with gas </w:t>
      </w:r>
      <w:r w:rsidR="3175A6DA">
        <w:t xml:space="preserve">investor-owned </w:t>
      </w:r>
      <w:r w:rsidRPr="00412A76">
        <w:t xml:space="preserve">utilities </w:t>
      </w:r>
      <w:r w:rsidRPr="00412A76">
        <w:lastRenderedPageBreak/>
        <w:t xml:space="preserve">(e.g., PG&amp;E, SoCal Gas, SDG&amp;E), additional tribal groups </w:t>
      </w:r>
      <w:r w:rsidRPr="00D21CEE">
        <w:t xml:space="preserve">and </w:t>
      </w:r>
      <w:r w:rsidR="767F8B01">
        <w:t>regional energy networks (</w:t>
      </w:r>
      <w:r w:rsidRPr="00D21CEE">
        <w:t>RENs</w:t>
      </w:r>
      <w:r w:rsidR="767F8B01">
        <w:t>)</w:t>
      </w:r>
      <w:r w:rsidRPr="00D21CEE">
        <w:t>, Lawrence Berkeley National Lab</w:t>
      </w:r>
      <w:r w:rsidR="767F8B01">
        <w:t>,</w:t>
      </w:r>
      <w:r w:rsidRPr="00D21CEE">
        <w:t xml:space="preserve"> and other community groups and leaders </w:t>
      </w:r>
      <w:r w:rsidR="4EFE2ED5">
        <w:t>that</w:t>
      </w:r>
      <w:r w:rsidRPr="00D21CEE">
        <w:t xml:space="preserve"> are listed in</w:t>
      </w:r>
      <w:r w:rsidR="42834771" w:rsidRPr="00D21CEE">
        <w:t xml:space="preserve"> </w:t>
      </w:r>
      <w:r w:rsidR="00D21CEE" w:rsidRPr="530D6781">
        <w:rPr>
          <w:b/>
          <w:bCs/>
        </w:rPr>
        <w:fldChar w:fldCharType="begin"/>
      </w:r>
      <w:r w:rsidR="00D21CEE" w:rsidRPr="00D21CEE">
        <w:instrText xml:space="preserve"> REF _Ref207115346 \r \h </w:instrText>
      </w:r>
      <w:r w:rsidR="00D21CEE">
        <w:instrText xml:space="preserve"> \* MERGEFORMAT </w:instrText>
      </w:r>
      <w:r w:rsidR="00D21CEE" w:rsidRPr="530D6781">
        <w:rPr>
          <w:b/>
          <w:bCs/>
        </w:rPr>
      </w:r>
      <w:r w:rsidR="00D21CEE" w:rsidRPr="530D6781">
        <w:rPr>
          <w:b/>
          <w:bCs/>
        </w:rPr>
        <w:fldChar w:fldCharType="separate"/>
      </w:r>
      <w:r w:rsidR="00FA7042">
        <w:t>Appendix A</w:t>
      </w:r>
      <w:r w:rsidR="00D21CEE" w:rsidRPr="530D6781">
        <w:rPr>
          <w:b/>
          <w:bCs/>
        </w:rPr>
        <w:fldChar w:fldCharType="end"/>
      </w:r>
      <w:r w:rsidRPr="00D21CEE">
        <w:rPr>
          <w:b/>
          <w:bCs/>
        </w:rPr>
        <w:t>.</w:t>
      </w:r>
      <w:r w:rsidR="4877B40C">
        <w:rPr>
          <w:b/>
          <w:bCs/>
        </w:rPr>
        <w:t xml:space="preserve"> </w:t>
      </w:r>
      <w:r w:rsidR="3BBAF340">
        <w:t>The team</w:t>
      </w:r>
      <w:r w:rsidR="77B71BD0" w:rsidRPr="00AD3068">
        <w:t xml:space="preserve"> coordinated and managed </w:t>
      </w:r>
      <w:r w:rsidRPr="00AD3068">
        <w:t>outreach, recruitment</w:t>
      </w:r>
      <w:r w:rsidR="05D13B2D" w:rsidRPr="00AD3068">
        <w:t>,</w:t>
      </w:r>
      <w:r w:rsidRPr="00AD3068">
        <w:t xml:space="preserve"> and follow up with the TAC within </w:t>
      </w:r>
      <w:r w:rsidR="510B84FB">
        <w:t>the</w:t>
      </w:r>
      <w:r w:rsidRPr="00AD3068">
        <w:t xml:space="preserve"> direct engagement process. Five members representing regulators</w:t>
      </w:r>
      <w:r w:rsidR="70E11A25" w:rsidRPr="00AD3068">
        <w:t>, community choice aggregators (</w:t>
      </w:r>
      <w:r w:rsidRPr="00AD3068">
        <w:t>CCAs</w:t>
      </w:r>
      <w:r w:rsidR="70E11A25" w:rsidRPr="00AD3068">
        <w:t>)</w:t>
      </w:r>
      <w:r w:rsidRPr="00AD3068">
        <w:t>, academia, researchers</w:t>
      </w:r>
      <w:r w:rsidR="77B71BD0" w:rsidRPr="00AD3068">
        <w:t>,</w:t>
      </w:r>
      <w:r w:rsidRPr="00AD3068">
        <w:t xml:space="preserve"> and policy advocacy </w:t>
      </w:r>
      <w:r w:rsidR="0E4AE88A" w:rsidRPr="00AD3068">
        <w:t>served</w:t>
      </w:r>
      <w:r w:rsidRPr="00AD3068">
        <w:t xml:space="preserve"> as the project TAC with the objective of advising on relevant types of data that should be collected, sources of data</w:t>
      </w:r>
      <w:r w:rsidR="0E4AE88A" w:rsidRPr="00AD3068">
        <w:t xml:space="preserve">, </w:t>
      </w:r>
      <w:r w:rsidRPr="00AD3068">
        <w:t xml:space="preserve">and how to </w:t>
      </w:r>
      <w:proofErr w:type="spellStart"/>
      <w:r w:rsidRPr="00AD3068">
        <w:t>analyze</w:t>
      </w:r>
      <w:proofErr w:type="spellEnd"/>
      <w:r w:rsidRPr="00AD3068">
        <w:t xml:space="preserve"> such data.</w:t>
      </w:r>
      <w:r w:rsidR="00CC74E1" w:rsidRPr="00AD3068">
        <w:rPr>
          <w:rStyle w:val="FootnoteReference"/>
        </w:rPr>
        <w:footnoteReference w:id="4"/>
      </w:r>
      <w:r w:rsidRPr="00AD3068">
        <w:t xml:space="preserve"> </w:t>
      </w:r>
    </w:p>
    <w:p w14:paraId="4B7BA4B0" w14:textId="31C55993" w:rsidR="003B28DC" w:rsidRDefault="00412A76" w:rsidP="003B28DC">
      <w:pPr>
        <w:pStyle w:val="Heading2"/>
        <w:rPr>
          <w:bCs/>
        </w:rPr>
      </w:pPr>
      <w:bookmarkStart w:id="14" w:name="_Ref212213731"/>
      <w:bookmarkStart w:id="15" w:name="_Toc214535397"/>
      <w:r w:rsidRPr="00412A76">
        <w:t>Community Resource Hub</w:t>
      </w:r>
      <w:bookmarkEnd w:id="14"/>
      <w:bookmarkEnd w:id="15"/>
    </w:p>
    <w:p w14:paraId="5B817749" w14:textId="2E2B1869" w:rsidR="00412A76" w:rsidRPr="00412A76" w:rsidRDefault="00975292" w:rsidP="00B33006">
      <w:pPr>
        <w:pStyle w:val="BodyText"/>
        <w:rPr>
          <w:b/>
          <w:bCs/>
        </w:rPr>
      </w:pPr>
      <w:r>
        <w:t>The team</w:t>
      </w:r>
      <w:r w:rsidR="00ED171F" w:rsidRPr="00412A76">
        <w:t xml:space="preserve"> </w:t>
      </w:r>
      <w:r w:rsidR="00412A76" w:rsidRPr="00412A76">
        <w:t>developed an online Community Resource Hub</w:t>
      </w:r>
      <w:r w:rsidR="008D7253">
        <w:rPr>
          <w:rStyle w:val="FootnoteReference"/>
        </w:rPr>
        <w:footnoteReference w:id="5"/>
      </w:r>
      <w:r w:rsidR="00412A76" w:rsidRPr="00412A76">
        <w:t xml:space="preserve"> </w:t>
      </w:r>
      <w:r w:rsidR="005B6182">
        <w:t>to serve as a</w:t>
      </w:r>
      <w:r w:rsidR="00412A76" w:rsidRPr="00412A76">
        <w:t xml:space="preserve"> critical information infrastructure to raise awareness and understanding of, solicit feedback on</w:t>
      </w:r>
      <w:r w:rsidR="004D6EA0">
        <w:t>,</w:t>
      </w:r>
      <w:r w:rsidR="00412A76" w:rsidRPr="00412A76">
        <w:t xml:space="preserve"> and bring communities along with the complexities of decommissioning</w:t>
      </w:r>
      <w:r w:rsidR="00B52859">
        <w:t xml:space="preserve">, within the context of </w:t>
      </w:r>
      <w:r w:rsidR="00845667">
        <w:t>this</w:t>
      </w:r>
      <w:r w:rsidR="00B52859">
        <w:t xml:space="preserve"> project</w:t>
      </w:r>
      <w:r w:rsidR="00412A76" w:rsidRPr="00412A76">
        <w:t>. All project materials and collateral were distributed to stakeholders, communities</w:t>
      </w:r>
      <w:r w:rsidR="001D60D6">
        <w:t>,</w:t>
      </w:r>
      <w:r w:rsidR="00412A76" w:rsidRPr="00412A76">
        <w:t xml:space="preserve"> and the public</w:t>
      </w:r>
      <w:r w:rsidR="003F45A2">
        <w:t>,</w:t>
      </w:r>
      <w:r w:rsidR="00412A76" w:rsidRPr="00412A76">
        <w:t xml:space="preserve"> </w:t>
      </w:r>
      <w:r w:rsidR="003F45A2">
        <w:t>and</w:t>
      </w:r>
      <w:r w:rsidR="00412A76" w:rsidRPr="00412A76">
        <w:t xml:space="preserve"> uploaded to this site. Materials were compliant with Section 508 for web accessibility and translated in relevant languages. To accommodate communities with technology and broadband challenges, access to the </w:t>
      </w:r>
      <w:r w:rsidR="00845667">
        <w:t xml:space="preserve">Resource </w:t>
      </w:r>
      <w:r w:rsidR="00412A76" w:rsidRPr="00412A76">
        <w:t xml:space="preserve">Hub was coordinated through </w:t>
      </w:r>
      <w:r w:rsidR="00845667">
        <w:t>the</w:t>
      </w:r>
      <w:r w:rsidR="00412A76" w:rsidRPr="00412A76">
        <w:t xml:space="preserve"> community partners and disseminated through ongoing outreach engagement. Where needed and requested, a comparable suite of materials </w:t>
      </w:r>
      <w:r w:rsidR="002D55CA">
        <w:t>was</w:t>
      </w:r>
      <w:r w:rsidR="00EA7735">
        <w:t xml:space="preserve"> and </w:t>
      </w:r>
      <w:r w:rsidR="00412A76" w:rsidRPr="00412A76">
        <w:t xml:space="preserve">can be provided in hard copy. </w:t>
      </w:r>
    </w:p>
    <w:p w14:paraId="258DF95C" w14:textId="3EE3D088" w:rsidR="00175FFA" w:rsidRDefault="00412A76" w:rsidP="00175FFA">
      <w:pPr>
        <w:pStyle w:val="Heading2"/>
        <w:rPr>
          <w:bCs/>
        </w:rPr>
      </w:pPr>
      <w:bookmarkStart w:id="16" w:name="_Ref212213733"/>
      <w:bookmarkStart w:id="17" w:name="_Toc214535398"/>
      <w:r w:rsidRPr="00412A76">
        <w:t>Community Workshops and Public Webinar</w:t>
      </w:r>
      <w:bookmarkEnd w:id="16"/>
      <w:bookmarkEnd w:id="17"/>
    </w:p>
    <w:p w14:paraId="693040F5" w14:textId="61079930" w:rsidR="00412A76" w:rsidRPr="00412A76" w:rsidRDefault="007861BF" w:rsidP="00B33006">
      <w:pPr>
        <w:pStyle w:val="BodyText"/>
        <w:rPr>
          <w:b/>
          <w:bCs/>
        </w:rPr>
      </w:pPr>
      <w:r w:rsidRPr="007861BF">
        <w:t>The research team led two community workshops to introduce the research and its objectives</w:t>
      </w:r>
      <w:r w:rsidR="002573FE">
        <w:t xml:space="preserve"> and to </w:t>
      </w:r>
      <w:r w:rsidRPr="007861BF">
        <w:t>demonstrate the Tool in both its conceptual and beta stages. The workshops also served to exchange ideas and build a shared understanding of the benefits, impacts, risks, and costs of gas pipeline decommissioning. Additionally, the team gathered informed community feedback on the Equity Index and case study work, while showcasing the Tool’s innovation and future applications.</w:t>
      </w:r>
      <w:r>
        <w:t xml:space="preserve"> </w:t>
      </w:r>
      <w:r w:rsidR="00412A76" w:rsidRPr="00412A76">
        <w:t xml:space="preserve">A public webinar </w:t>
      </w:r>
      <w:r w:rsidR="00567B74">
        <w:t xml:space="preserve">was held on October 25, </w:t>
      </w:r>
      <w:r w:rsidR="00FB0140">
        <w:t>2025,</w:t>
      </w:r>
      <w:r w:rsidR="00412A76" w:rsidRPr="00412A76">
        <w:t xml:space="preserve"> to showcase the Tool’s innovation and development, provide a live analysis of a case study location applying the Tool, connect research to gas planning and transition policy, discuss future uses of the Tool</w:t>
      </w:r>
      <w:r w:rsidR="001B7728">
        <w:rPr>
          <w:b/>
          <w:bCs/>
        </w:rPr>
        <w:t>,</w:t>
      </w:r>
      <w:r w:rsidR="00412A76" w:rsidRPr="00412A76">
        <w:rPr>
          <w:b/>
          <w:bCs/>
        </w:rPr>
        <w:t xml:space="preserve"> </w:t>
      </w:r>
      <w:r w:rsidR="00412A76" w:rsidRPr="00AD3068">
        <w:t>and conduct a final feedback effort emphasizing feedback from community partners,</w:t>
      </w:r>
      <w:r w:rsidR="00EA39B7">
        <w:t xml:space="preserve"> and</w:t>
      </w:r>
      <w:r w:rsidR="00412A76" w:rsidRPr="00AD3068">
        <w:t xml:space="preserve"> individuals in the </w:t>
      </w:r>
      <w:r w:rsidR="008A3C0D">
        <w:t>technical advisory</w:t>
      </w:r>
      <w:r w:rsidR="00412A76" w:rsidRPr="00AD3068">
        <w:t xml:space="preserve"> capacities</w:t>
      </w:r>
      <w:r w:rsidR="00412A76" w:rsidRPr="00412A76">
        <w:rPr>
          <w:b/>
          <w:bCs/>
        </w:rPr>
        <w:t>.</w:t>
      </w:r>
    </w:p>
    <w:p w14:paraId="66CC27B6" w14:textId="16807AE9" w:rsidR="00F954CF" w:rsidRDefault="008D7253" w:rsidP="008D7253">
      <w:pPr>
        <w:pStyle w:val="BodyText"/>
        <w:rPr>
          <w:b/>
          <w:bCs/>
        </w:rPr>
      </w:pPr>
      <w:r>
        <w:rPr>
          <w:b/>
          <w:bCs/>
        </w:rPr>
        <w:fldChar w:fldCharType="begin"/>
      </w:r>
      <w:r>
        <w:rPr>
          <w:b/>
          <w:bCs/>
        </w:rPr>
        <w:instrText xml:space="preserve"> REF _Ref207180822 \h </w:instrText>
      </w:r>
      <w:r w:rsidR="00B33006">
        <w:rPr>
          <w:b/>
          <w:bCs/>
        </w:rPr>
        <w:instrText xml:space="preserve"> \* MERGEFORMAT </w:instrText>
      </w:r>
      <w:r>
        <w:rPr>
          <w:b/>
          <w:bCs/>
        </w:rPr>
      </w:r>
      <w:r>
        <w:rPr>
          <w:b/>
          <w:bCs/>
        </w:rPr>
        <w:fldChar w:fldCharType="separate"/>
      </w:r>
      <w:r w:rsidR="00FA7042">
        <w:t xml:space="preserve">Figure </w:t>
      </w:r>
      <w:r w:rsidR="00FA7042">
        <w:rPr>
          <w:noProof/>
        </w:rPr>
        <w:t>2</w:t>
      </w:r>
      <w:r w:rsidR="00FA7042">
        <w:rPr>
          <w:noProof/>
        </w:rPr>
        <w:noBreakHyphen/>
        <w:t>2</w:t>
      </w:r>
      <w:r>
        <w:rPr>
          <w:b/>
          <w:bCs/>
        </w:rPr>
        <w:fldChar w:fldCharType="end"/>
      </w:r>
      <w:r>
        <w:rPr>
          <w:b/>
          <w:bCs/>
        </w:rPr>
        <w:t xml:space="preserve"> </w:t>
      </w:r>
      <w:r w:rsidR="00412A76" w:rsidRPr="00412A76">
        <w:t xml:space="preserve">below reflects the full scope of the project’s engagement activities, milestones, and deliverables. Of note, </w:t>
      </w:r>
      <w:r w:rsidR="00793510">
        <w:t>the team</w:t>
      </w:r>
      <w:r w:rsidR="00793510" w:rsidRPr="00412A76">
        <w:t xml:space="preserve"> </w:t>
      </w:r>
      <w:r w:rsidR="00412A76" w:rsidRPr="00412A76">
        <w:t xml:space="preserve">included statewide gas planning milestones shown </w:t>
      </w:r>
      <w:r w:rsidR="7EFA536A" w:rsidRPr="00412A76">
        <w:t>as green icons</w:t>
      </w:r>
      <w:r w:rsidR="00412A76" w:rsidRPr="00412A76">
        <w:t xml:space="preserve"> to contextualize how policy and regulatory developments have coincided with </w:t>
      </w:r>
      <w:r w:rsidR="00F8352A">
        <w:t>the</w:t>
      </w:r>
      <w:r w:rsidR="00412A76" w:rsidRPr="00412A76">
        <w:t xml:space="preserve"> work. Over the course of the project, the team has strategically aligned research activities with these broader efforts to ensure relevance and timely input.</w:t>
      </w:r>
    </w:p>
    <w:p w14:paraId="020509D7" w14:textId="2844EB2C" w:rsidR="008D7253" w:rsidRDefault="008D7253" w:rsidP="008D7253">
      <w:pPr>
        <w:pStyle w:val="FigureTitle"/>
      </w:pPr>
      <w:bookmarkStart w:id="18" w:name="_Ref207180822"/>
      <w:bookmarkStart w:id="19" w:name="_Toc214535419"/>
      <w:r>
        <w:t xml:space="preserve">Figure </w:t>
      </w:r>
      <w:r w:rsidR="003A586C">
        <w:fldChar w:fldCharType="begin"/>
      </w:r>
      <w:r w:rsidR="003A586C">
        <w:instrText xml:space="preserve"> STYLEREF 1 \s </w:instrText>
      </w:r>
      <w:r w:rsidR="003A586C">
        <w:fldChar w:fldCharType="separate"/>
      </w:r>
      <w:r w:rsidR="00FA7042">
        <w:rPr>
          <w:noProof/>
        </w:rPr>
        <w:t>2</w:t>
      </w:r>
      <w:r w:rsidR="003A586C">
        <w:fldChar w:fldCharType="end"/>
      </w:r>
      <w:r w:rsidR="003A586C">
        <w:noBreakHyphen/>
      </w:r>
      <w:r w:rsidR="003A586C">
        <w:fldChar w:fldCharType="begin"/>
      </w:r>
      <w:r w:rsidR="003A586C">
        <w:instrText xml:space="preserve"> SEQ Figure \* ARABIC \s 1 </w:instrText>
      </w:r>
      <w:r w:rsidR="003A586C">
        <w:fldChar w:fldCharType="separate"/>
      </w:r>
      <w:r w:rsidR="00FA7042">
        <w:rPr>
          <w:noProof/>
        </w:rPr>
        <w:t>2</w:t>
      </w:r>
      <w:r w:rsidR="003A586C">
        <w:fldChar w:fldCharType="end"/>
      </w:r>
      <w:bookmarkEnd w:id="18"/>
      <w:r>
        <w:t>. Project Timeline and Scheduled Events</w:t>
      </w:r>
      <w:bookmarkEnd w:id="19"/>
    </w:p>
    <w:p w14:paraId="1657312F" w14:textId="62CDE501" w:rsidR="008D7253" w:rsidRDefault="00D91ECD" w:rsidP="008D7253">
      <w:pPr>
        <w:pStyle w:val="BodyText"/>
      </w:pPr>
      <w:r>
        <w:rPr>
          <w:noProof/>
        </w:rPr>
        <w:drawing>
          <wp:inline distT="0" distB="0" distL="0" distR="0" wp14:anchorId="0C1643A8" wp14:editId="28AB35AB">
            <wp:extent cx="6122035" cy="2409825"/>
            <wp:effectExtent l="0" t="0" r="0" b="9525"/>
            <wp:docPr id="209189929" name="Picture 1" descr="Image of the timeline of project and scheduled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9929" name="Picture 1" descr="Image of the timeline of project and scheduled even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49322" cy="2420566"/>
                    </a:xfrm>
                    <a:prstGeom prst="rect">
                      <a:avLst/>
                    </a:prstGeom>
                    <a:noFill/>
                  </pic:spPr>
                </pic:pic>
              </a:graphicData>
            </a:graphic>
          </wp:inline>
        </w:drawing>
      </w:r>
    </w:p>
    <w:p w14:paraId="07E662FC" w14:textId="01969936" w:rsidR="00DD7AD0" w:rsidRPr="00DD7AD0" w:rsidRDefault="00DD7AD0" w:rsidP="00DD7AD0">
      <w:pPr>
        <w:pStyle w:val="BodyText"/>
      </w:pPr>
      <w:r w:rsidRPr="00DD7AD0">
        <w:lastRenderedPageBreak/>
        <w:t xml:space="preserve">Key objectives and highlights for the two community workshops are included below. Workshop materials, including the agendas, presentations, participant lists, and workshop summaries are provided in </w:t>
      </w:r>
      <w:r w:rsidR="2B6A05B6">
        <w:t xml:space="preserve">the online </w:t>
      </w:r>
      <w:hyperlink r:id="rId21">
        <w:r w:rsidR="2B6A05B6" w:rsidRPr="01E95E51">
          <w:rPr>
            <w:rStyle w:val="Hyperlink"/>
          </w:rPr>
          <w:t>Resource Hub</w:t>
        </w:r>
      </w:hyperlink>
      <w:r w:rsidR="2B6A05B6">
        <w:t xml:space="preserve">. </w:t>
      </w:r>
    </w:p>
    <w:p w14:paraId="619D6C9C" w14:textId="3C8527BC" w:rsidR="00DD7AD0" w:rsidRPr="00DD7AD0" w:rsidRDefault="4C3E4934" w:rsidP="00AE0EFB">
      <w:pPr>
        <w:pStyle w:val="Heading3"/>
      </w:pPr>
      <w:bookmarkStart w:id="20" w:name="_Toc384439744"/>
      <w:bookmarkStart w:id="21" w:name="_Hlk208948066"/>
      <w:r>
        <w:t>Community Workshop One – October 20, 2023</w:t>
      </w:r>
      <w:bookmarkEnd w:id="20"/>
    </w:p>
    <w:p w14:paraId="05B9BFFA" w14:textId="1DB86CDD" w:rsidR="47F9A70F" w:rsidRDefault="47F9A70F" w:rsidP="530D6781">
      <w:pPr>
        <w:pStyle w:val="Heading4"/>
      </w:pPr>
      <w:r>
        <w:t xml:space="preserve">Objectives </w:t>
      </w:r>
    </w:p>
    <w:p w14:paraId="6B7336F5" w14:textId="77777777" w:rsidR="47F9A70F" w:rsidRDefault="47F9A70F" w:rsidP="530D6781">
      <w:pPr>
        <w:pStyle w:val="BodyText"/>
      </w:pPr>
      <w:r>
        <w:t>Based on the community landscape assessment (discussed above), objectives of Workshop One included the following:</w:t>
      </w:r>
    </w:p>
    <w:p w14:paraId="39024840" w14:textId="77777777" w:rsidR="47F9A70F" w:rsidRDefault="47F9A70F" w:rsidP="530D6781">
      <w:pPr>
        <w:pStyle w:val="Bullet1"/>
      </w:pPr>
      <w:r>
        <w:t>Hear introduction to project scope, objectives, and expected outcomes. </w:t>
      </w:r>
    </w:p>
    <w:p w14:paraId="2C2C4CA6" w14:textId="77777777" w:rsidR="47F9A70F" w:rsidRDefault="47F9A70F" w:rsidP="530D6781">
      <w:pPr>
        <w:pStyle w:val="Bullet1"/>
      </w:pPr>
      <w:r>
        <w:t>Learn about gas decommissioning and potential impacts on local communities.</w:t>
      </w:r>
    </w:p>
    <w:p w14:paraId="0D0E9E66" w14:textId="4E925682" w:rsidR="47F9A70F" w:rsidRDefault="47F9A70F" w:rsidP="00410F84">
      <w:pPr>
        <w:pStyle w:val="Bullet1Last"/>
      </w:pPr>
      <w:r>
        <w:t>Engage with community-based organizations and other stakeholders to understand the impacts of decommissioning on environmental justice and energy equity to inform metrics being considered for identifying priority locations for equitable, safe, intentional, and cost-effective gas decommissioning.</w:t>
      </w:r>
    </w:p>
    <w:p w14:paraId="180B51C7" w14:textId="6F30328F" w:rsidR="47F9A70F" w:rsidRDefault="47F9A70F" w:rsidP="530D6781">
      <w:pPr>
        <w:pStyle w:val="Bullet1Last"/>
        <w:numPr>
          <w:ilvl w:val="0"/>
          <w:numId w:val="0"/>
        </w:numPr>
      </w:pPr>
      <w:r>
        <w:t>Discuss gas decommissioning in different contexts and provide feedback.</w:t>
      </w:r>
    </w:p>
    <w:p w14:paraId="2F966C22" w14:textId="252FAC1B" w:rsidR="00DD7AD0" w:rsidRPr="00AD3068" w:rsidRDefault="00DD7AD0" w:rsidP="00AD3068">
      <w:pPr>
        <w:pStyle w:val="Heading4"/>
        <w:spacing w:line="280" w:lineRule="atLeast"/>
        <w:rPr>
          <w:rFonts w:asciiTheme="minorHAnsi" w:hAnsiTheme="minorHAnsi" w:cstheme="minorBidi"/>
          <w:sz w:val="18"/>
        </w:rPr>
      </w:pPr>
      <w:bookmarkStart w:id="22" w:name="_Toc1616670663"/>
      <w:r w:rsidRPr="704EC2DB">
        <w:rPr>
          <w:rFonts w:asciiTheme="minorHAnsi" w:hAnsiTheme="minorHAnsi" w:cstheme="minorBidi"/>
          <w:sz w:val="18"/>
        </w:rPr>
        <w:t>Highlights</w:t>
      </w:r>
      <w:r w:rsidR="00343453" w:rsidRPr="704EC2DB">
        <w:rPr>
          <w:rFonts w:asciiTheme="minorHAnsi" w:hAnsiTheme="minorHAnsi" w:cstheme="minorBidi"/>
          <w:sz w:val="18"/>
        </w:rPr>
        <w:t xml:space="preserve"> and Results</w:t>
      </w:r>
      <w:bookmarkEnd w:id="22"/>
    </w:p>
    <w:p w14:paraId="293CAA33" w14:textId="77777777" w:rsidR="000037E2" w:rsidRPr="00AD3068" w:rsidRDefault="000037E2" w:rsidP="00AF1835">
      <w:pPr>
        <w:pStyle w:val="BodyText"/>
        <w:rPr>
          <w:lang w:val="en-US" w:eastAsia="en-US"/>
        </w:rPr>
      </w:pPr>
      <w:r w:rsidRPr="00AD3068">
        <w:rPr>
          <w:lang w:val="en-US" w:eastAsia="en-US"/>
        </w:rPr>
        <w:t>Workshop One provided a foundational opportunity to introduce the project and gather early insights from a diverse group of stakeholders. To meet the workshop objectives, the research team facilitated small group discussions across four self-selected topics:</w:t>
      </w:r>
    </w:p>
    <w:p w14:paraId="175A265E" w14:textId="77777777" w:rsidR="000037E2" w:rsidRPr="00AD3068" w:rsidRDefault="000037E2" w:rsidP="00AF1835">
      <w:pPr>
        <w:pStyle w:val="Bullet1"/>
        <w:rPr>
          <w:lang w:val="en-US" w:eastAsia="en-US"/>
        </w:rPr>
      </w:pPr>
      <w:r w:rsidRPr="00AD3068">
        <w:rPr>
          <w:lang w:val="en-US" w:eastAsia="en-US"/>
        </w:rPr>
        <w:t>Group 1: Informational Session on Gas Decommissioning</w:t>
      </w:r>
    </w:p>
    <w:p w14:paraId="787EB4B1" w14:textId="77777777" w:rsidR="000037E2" w:rsidRPr="00AD3068" w:rsidRDefault="000037E2" w:rsidP="00AF1835">
      <w:pPr>
        <w:pStyle w:val="Bullet1"/>
        <w:rPr>
          <w:lang w:val="en-US" w:eastAsia="en-US"/>
        </w:rPr>
      </w:pPr>
      <w:r w:rsidRPr="00AD3068">
        <w:rPr>
          <w:lang w:val="en-US" w:eastAsia="en-US"/>
        </w:rPr>
        <w:t>Group 2: Community Impacts and Equity Metrics</w:t>
      </w:r>
    </w:p>
    <w:p w14:paraId="2FE6F49F" w14:textId="77777777" w:rsidR="000037E2" w:rsidRPr="00AD3068" w:rsidRDefault="000037E2" w:rsidP="00AF1835">
      <w:pPr>
        <w:pStyle w:val="Bullet1"/>
        <w:rPr>
          <w:lang w:val="en-US" w:eastAsia="en-US"/>
        </w:rPr>
      </w:pPr>
      <w:r w:rsidRPr="00AD3068">
        <w:rPr>
          <w:lang w:val="en-US" w:eastAsia="en-US"/>
        </w:rPr>
        <w:t>Group 3: Developing a Data-Driven Tool</w:t>
      </w:r>
    </w:p>
    <w:p w14:paraId="4A43373A" w14:textId="29DB78AA" w:rsidR="000037E2" w:rsidRPr="00AD3068" w:rsidRDefault="000037E2" w:rsidP="00AF1835">
      <w:pPr>
        <w:pStyle w:val="Bullet1Last"/>
        <w:rPr>
          <w:lang w:val="en-US" w:eastAsia="en-US"/>
        </w:rPr>
      </w:pPr>
      <w:r w:rsidRPr="00AD3068">
        <w:rPr>
          <w:lang w:val="en-US" w:eastAsia="en-US"/>
        </w:rPr>
        <w:t>Group 4: Spanish Language Discussion on Topics 1</w:t>
      </w:r>
      <w:r w:rsidR="00D91ECD">
        <w:rPr>
          <w:lang w:val="en-US" w:eastAsia="en-US"/>
        </w:rPr>
        <w:t>-</w:t>
      </w:r>
      <w:r w:rsidRPr="00AD3068">
        <w:rPr>
          <w:lang w:val="en-US" w:eastAsia="en-US"/>
        </w:rPr>
        <w:t>3</w:t>
      </w:r>
    </w:p>
    <w:p w14:paraId="0FAA8025" w14:textId="6CBDD1F1" w:rsidR="000037E2" w:rsidRPr="00AD3068" w:rsidRDefault="000037E2" w:rsidP="00FB2524">
      <w:pPr>
        <w:pStyle w:val="BodyText"/>
        <w:spacing w:after="0"/>
        <w:rPr>
          <w:lang w:val="en-US" w:eastAsia="en-US"/>
        </w:rPr>
      </w:pPr>
      <w:r w:rsidRPr="00AD3068">
        <w:rPr>
          <w:lang w:val="en-US" w:eastAsia="en-US"/>
        </w:rPr>
        <w:t xml:space="preserve">Key </w:t>
      </w:r>
      <w:r w:rsidR="00941A42">
        <w:rPr>
          <w:lang w:val="en-US" w:eastAsia="en-US"/>
        </w:rPr>
        <w:t>r</w:t>
      </w:r>
      <w:r w:rsidRPr="00AD3068">
        <w:rPr>
          <w:lang w:val="en-US" w:eastAsia="en-US"/>
        </w:rPr>
        <w:t>esults</w:t>
      </w:r>
      <w:r w:rsidR="006B4C51">
        <w:rPr>
          <w:lang w:val="en-US" w:eastAsia="en-US"/>
        </w:rPr>
        <w:t xml:space="preserve"> from Workshop One included:</w:t>
      </w:r>
    </w:p>
    <w:p w14:paraId="1B02B747" w14:textId="77777777" w:rsidR="000037E2" w:rsidRPr="00AD3068" w:rsidRDefault="000037E2" w:rsidP="006B4C51">
      <w:pPr>
        <w:pStyle w:val="Bullet1"/>
        <w:rPr>
          <w:lang w:val="en-US" w:eastAsia="en-US"/>
        </w:rPr>
      </w:pPr>
      <w:r w:rsidRPr="00AD3068">
        <w:rPr>
          <w:b/>
          <w:bCs/>
          <w:lang w:val="en-US" w:eastAsia="en-US"/>
        </w:rPr>
        <w:t>Group 1</w:t>
      </w:r>
      <w:r w:rsidRPr="00AD3068">
        <w:rPr>
          <w:lang w:val="en-US" w:eastAsia="en-US"/>
        </w:rPr>
        <w:t xml:space="preserve"> participants demonstrated a strong understanding of gas decommissioning and raised concerns about the coordination challenges and potential unintended consequences of electrification.</w:t>
      </w:r>
    </w:p>
    <w:p w14:paraId="523DDC3C" w14:textId="471BF4A7" w:rsidR="000037E2" w:rsidRPr="00AD3068" w:rsidRDefault="46661DFA" w:rsidP="006B4C51">
      <w:pPr>
        <w:pStyle w:val="Bullet1"/>
        <w:rPr>
          <w:lang w:val="en-US" w:eastAsia="en-US"/>
        </w:rPr>
      </w:pPr>
      <w:r w:rsidRPr="530D6781">
        <w:rPr>
          <w:b/>
          <w:bCs/>
          <w:lang w:val="en-US" w:eastAsia="en-US"/>
        </w:rPr>
        <w:t>Group 2</w:t>
      </w:r>
      <w:r w:rsidRPr="530D6781">
        <w:rPr>
          <w:lang w:val="en-US" w:eastAsia="en-US"/>
        </w:rPr>
        <w:t xml:space="preserve"> participants ranked equity metrics by importance to their communities</w:t>
      </w:r>
      <w:r w:rsidR="1A70C4BC" w:rsidRPr="530D6781">
        <w:rPr>
          <w:lang w:val="en-US" w:eastAsia="en-US"/>
        </w:rPr>
        <w:t xml:space="preserve">; </w:t>
      </w:r>
      <w:r w:rsidR="4BC3603E" w:rsidRPr="530D6781">
        <w:rPr>
          <w:lang w:val="en-US" w:eastAsia="en-US"/>
        </w:rPr>
        <w:t xml:space="preserve">in order of ranking, </w:t>
      </w:r>
      <w:r w:rsidRPr="530D6781">
        <w:rPr>
          <w:lang w:val="en-US" w:eastAsia="en-US"/>
        </w:rPr>
        <w:t xml:space="preserve">top priorities </w:t>
      </w:r>
      <w:r w:rsidR="1A70C4BC" w:rsidRPr="530D6781">
        <w:rPr>
          <w:lang w:val="en-US" w:eastAsia="en-US"/>
        </w:rPr>
        <w:t>included</w:t>
      </w:r>
      <w:r w:rsidRPr="530D6781">
        <w:rPr>
          <w:lang w:val="en-US" w:eastAsia="en-US"/>
        </w:rPr>
        <w:t>:</w:t>
      </w:r>
    </w:p>
    <w:p w14:paraId="2A36C18A" w14:textId="45A772A0" w:rsidR="000037E2" w:rsidRPr="00AD3068" w:rsidRDefault="46661DFA" w:rsidP="006B4C51">
      <w:pPr>
        <w:pStyle w:val="Bullet2"/>
        <w:rPr>
          <w:lang w:val="en-US" w:eastAsia="en-US"/>
        </w:rPr>
      </w:pPr>
      <w:r w:rsidRPr="530D6781">
        <w:rPr>
          <w:lang w:val="en-US" w:eastAsia="en-US"/>
        </w:rPr>
        <w:t>Socioeconomic vulnerability</w:t>
      </w:r>
    </w:p>
    <w:p w14:paraId="11AB9983" w14:textId="3602552A" w:rsidR="000037E2" w:rsidRPr="00AD3068" w:rsidRDefault="46661DFA" w:rsidP="006B4C51">
      <w:pPr>
        <w:pStyle w:val="Bullet2"/>
        <w:rPr>
          <w:lang w:val="en-US" w:eastAsia="en-US"/>
        </w:rPr>
      </w:pPr>
      <w:r w:rsidRPr="530D6781">
        <w:rPr>
          <w:lang w:val="en-US" w:eastAsia="en-US"/>
        </w:rPr>
        <w:t>Climate risk</w:t>
      </w:r>
    </w:p>
    <w:p w14:paraId="7F2CE9EA" w14:textId="084F1AF8" w:rsidR="000037E2" w:rsidRPr="00AD3068" w:rsidRDefault="46661DFA" w:rsidP="006B4C51">
      <w:pPr>
        <w:pStyle w:val="Bullet2"/>
        <w:rPr>
          <w:lang w:val="en-US" w:eastAsia="en-US"/>
        </w:rPr>
      </w:pPr>
      <w:r w:rsidRPr="530D6781">
        <w:rPr>
          <w:lang w:val="en-US" w:eastAsia="en-US"/>
        </w:rPr>
        <w:t>Sensitive populations</w:t>
      </w:r>
    </w:p>
    <w:p w14:paraId="7916A01A" w14:textId="3CEE4D05" w:rsidR="000037E2" w:rsidRPr="00AD3068" w:rsidRDefault="46661DFA" w:rsidP="006B4C51">
      <w:pPr>
        <w:pStyle w:val="Bullet2"/>
        <w:rPr>
          <w:lang w:val="en-US" w:eastAsia="en-US"/>
        </w:rPr>
      </w:pPr>
      <w:r w:rsidRPr="530D6781">
        <w:rPr>
          <w:lang w:val="en-US" w:eastAsia="en-US"/>
        </w:rPr>
        <w:t>Pollution burden</w:t>
      </w:r>
    </w:p>
    <w:p w14:paraId="74090D70" w14:textId="3CED3611" w:rsidR="000037E2" w:rsidRPr="00AD3068" w:rsidRDefault="46661DFA" w:rsidP="006B4C51">
      <w:pPr>
        <w:pStyle w:val="Bullet2"/>
        <w:rPr>
          <w:lang w:val="en-US" w:eastAsia="en-US"/>
        </w:rPr>
      </w:pPr>
      <w:r w:rsidRPr="530D6781">
        <w:rPr>
          <w:lang w:val="en-US" w:eastAsia="en-US"/>
        </w:rPr>
        <w:t>Energy burden</w:t>
      </w:r>
    </w:p>
    <w:p w14:paraId="1A55759B" w14:textId="268E9D4D" w:rsidR="000037E2" w:rsidRPr="00AD3068" w:rsidRDefault="46661DFA" w:rsidP="006B4C51">
      <w:pPr>
        <w:pStyle w:val="Bullet2"/>
        <w:rPr>
          <w:lang w:val="en-US" w:eastAsia="en-US"/>
        </w:rPr>
      </w:pPr>
      <w:r w:rsidRPr="530D6781">
        <w:rPr>
          <w:lang w:val="en-US" w:eastAsia="en-US"/>
        </w:rPr>
        <w:t>Environmental risk</w:t>
      </w:r>
    </w:p>
    <w:p w14:paraId="5B8D6EC8" w14:textId="37D4315B" w:rsidR="000037E2" w:rsidRPr="00AD3068" w:rsidRDefault="46661DFA" w:rsidP="00941A42">
      <w:pPr>
        <w:pStyle w:val="Bullet2"/>
        <w:spacing w:after="120"/>
        <w:rPr>
          <w:lang w:val="en-US" w:eastAsia="en-US"/>
        </w:rPr>
      </w:pPr>
      <w:r w:rsidRPr="530D6781">
        <w:rPr>
          <w:lang w:val="en-US" w:eastAsia="en-US"/>
        </w:rPr>
        <w:t>Access to critical services</w:t>
      </w:r>
    </w:p>
    <w:p w14:paraId="5BDFE6B1" w14:textId="5ED064FD" w:rsidR="000037E2" w:rsidRPr="00AD3068" w:rsidRDefault="000037E2" w:rsidP="006B4C51">
      <w:pPr>
        <w:pStyle w:val="Bullet1Last"/>
        <w:rPr>
          <w:lang w:val="en-US" w:eastAsia="en-US"/>
        </w:rPr>
      </w:pPr>
      <w:r w:rsidRPr="00AD3068">
        <w:rPr>
          <w:b/>
          <w:bCs/>
          <w:lang w:val="en-US" w:eastAsia="en-US"/>
        </w:rPr>
        <w:t>Group 3</w:t>
      </w:r>
      <w:r w:rsidRPr="00AD3068">
        <w:rPr>
          <w:lang w:val="en-US" w:eastAsia="en-US"/>
        </w:rPr>
        <w:t xml:space="preserve"> participants evaluated the</w:t>
      </w:r>
      <w:r w:rsidR="00EA25DE">
        <w:rPr>
          <w:lang w:val="en-US" w:eastAsia="en-US"/>
        </w:rPr>
        <w:t xml:space="preserve"> presented</w:t>
      </w:r>
      <w:r w:rsidRPr="00AD3068">
        <w:rPr>
          <w:lang w:val="en-US" w:eastAsia="en-US"/>
        </w:rPr>
        <w:t xml:space="preserve"> Gas Assets Index metrics, identifying cost as the most pressing concern, followed by safety, environmental impact, regulatory compliance, and demand.</w:t>
      </w:r>
    </w:p>
    <w:p w14:paraId="37A1EDB1" w14:textId="27090528" w:rsidR="000037E2" w:rsidRPr="00AD3068" w:rsidRDefault="46661DFA" w:rsidP="00941A42">
      <w:pPr>
        <w:pStyle w:val="BodyText"/>
        <w:rPr>
          <w:lang w:val="en-US" w:eastAsia="en-US"/>
        </w:rPr>
      </w:pPr>
      <w:r w:rsidRPr="530D6781">
        <w:rPr>
          <w:lang w:val="en-US" w:eastAsia="en-US"/>
        </w:rPr>
        <w:t xml:space="preserve">These discussions </w:t>
      </w:r>
      <w:r w:rsidR="00361E5F">
        <w:rPr>
          <w:lang w:val="en-US" w:eastAsia="en-US"/>
        </w:rPr>
        <w:t xml:space="preserve">also </w:t>
      </w:r>
      <w:r w:rsidRPr="530D6781">
        <w:rPr>
          <w:lang w:val="en-US" w:eastAsia="en-US"/>
        </w:rPr>
        <w:t xml:space="preserve">provided early validation of the Tool's equity metrics and helped shape </w:t>
      </w:r>
      <w:r w:rsidR="00361E5F">
        <w:rPr>
          <w:lang w:val="en-US" w:eastAsia="en-US"/>
        </w:rPr>
        <w:t>the Tool’s</w:t>
      </w:r>
      <w:r w:rsidRPr="530D6781">
        <w:rPr>
          <w:lang w:val="en-US" w:eastAsia="en-US"/>
        </w:rPr>
        <w:t xml:space="preserve"> development to better reflect community priorities and concerns. The</w:t>
      </w:r>
      <w:r w:rsidR="00361E5F">
        <w:rPr>
          <w:lang w:val="en-US" w:eastAsia="en-US"/>
        </w:rPr>
        <w:t xml:space="preserve"> </w:t>
      </w:r>
      <w:proofErr w:type="gramStart"/>
      <w:r w:rsidR="00361E5F">
        <w:rPr>
          <w:lang w:val="en-US" w:eastAsia="en-US"/>
        </w:rPr>
        <w:t>received</w:t>
      </w:r>
      <w:r w:rsidRPr="530D6781">
        <w:rPr>
          <w:lang w:val="en-US" w:eastAsia="en-US"/>
        </w:rPr>
        <w:t xml:space="preserve"> feedback</w:t>
      </w:r>
      <w:proofErr w:type="gramEnd"/>
      <w:r w:rsidRPr="530D6781">
        <w:rPr>
          <w:lang w:val="en-US" w:eastAsia="en-US"/>
        </w:rPr>
        <w:t xml:space="preserve"> also underscored the need for clear communication, localized data, and inclusive planning to ensure equitable outcomes in future gas decommissioning efforts.</w:t>
      </w:r>
    </w:p>
    <w:p w14:paraId="7B1AF8FB" w14:textId="4B96BA3C" w:rsidR="00DD7AD0" w:rsidRPr="00DD7AD0" w:rsidRDefault="00DD7AD0" w:rsidP="001D5EC5">
      <w:pPr>
        <w:pStyle w:val="Heading4"/>
        <w:keepLines/>
      </w:pPr>
      <w:bookmarkStart w:id="23" w:name="_Toc1232563677"/>
      <w:r w:rsidRPr="00DD7AD0">
        <w:lastRenderedPageBreak/>
        <w:t>Materials and Participant List</w:t>
      </w:r>
      <w:bookmarkEnd w:id="23"/>
    </w:p>
    <w:p w14:paraId="157E3EAB" w14:textId="77777777" w:rsidR="008456A3" w:rsidRPr="00941A42" w:rsidRDefault="008456A3" w:rsidP="001D5EC5">
      <w:pPr>
        <w:pStyle w:val="BodyText"/>
        <w:keepNext/>
        <w:keepLines/>
      </w:pPr>
      <w:r w:rsidRPr="00941A42">
        <w:t>A total of 35 participants were present at the virtual workshop representing CBOs, advocacy groups, nonprofits, RENs, tribal representatives, municipalities, school districts, and regulators from across the state. Various CBOs gathered community members in person at a satellite location to participate in the virtual workshop as a group. Spanish interpretation was requested and was provided during the workshop.</w:t>
      </w:r>
    </w:p>
    <w:p w14:paraId="2A0FF676" w14:textId="7F3A332B" w:rsidR="008D7253" w:rsidRPr="00941A42" w:rsidRDefault="68A67D49" w:rsidP="00941A42">
      <w:pPr>
        <w:pStyle w:val="BodyText"/>
      </w:pPr>
      <w:r w:rsidRPr="235370B7">
        <w:t xml:space="preserve">The materials for the Webinar including the </w:t>
      </w:r>
      <w:hyperlink r:id="rId22">
        <w:r w:rsidRPr="24F6F920">
          <w:rPr>
            <w:rStyle w:val="Hyperlink"/>
          </w:rPr>
          <w:t>presentation slides</w:t>
        </w:r>
      </w:hyperlink>
      <w:r w:rsidRPr="2BBF9DC2">
        <w:t xml:space="preserve"> and</w:t>
      </w:r>
      <w:r w:rsidRPr="235370B7">
        <w:t xml:space="preserve"> </w:t>
      </w:r>
      <w:hyperlink r:id="rId23">
        <w:r w:rsidRPr="235370B7">
          <w:rPr>
            <w:rStyle w:val="Hyperlink"/>
          </w:rPr>
          <w:t>recording</w:t>
        </w:r>
      </w:hyperlink>
      <w:r w:rsidRPr="235370B7">
        <w:t xml:space="preserve">, as well as </w:t>
      </w:r>
      <w:hyperlink r:id="rId24">
        <w:r w:rsidRPr="24F6F920">
          <w:rPr>
            <w:rStyle w:val="Hyperlink"/>
          </w:rPr>
          <w:t>summary</w:t>
        </w:r>
      </w:hyperlink>
      <w:r w:rsidRPr="235370B7">
        <w:t xml:space="preserve"> are included on the online </w:t>
      </w:r>
      <w:hyperlink r:id="rId25">
        <w:r w:rsidRPr="5484DBA5">
          <w:rPr>
            <w:rStyle w:val="Hyperlink"/>
          </w:rPr>
          <w:t>Resource Hub</w:t>
        </w:r>
      </w:hyperlink>
      <w:r>
        <w:t>.</w:t>
      </w:r>
      <w:r w:rsidRPr="235370B7">
        <w:t xml:space="preserve"> A detailed participant list is included in Appendix A.</w:t>
      </w:r>
    </w:p>
    <w:p w14:paraId="40EE131A" w14:textId="77D81FC1" w:rsidR="002454D4" w:rsidRDefault="73F3F7F1" w:rsidP="00AE0EFB">
      <w:pPr>
        <w:pStyle w:val="Heading3"/>
      </w:pPr>
      <w:bookmarkStart w:id="24" w:name="_Toc289315908"/>
      <w:r>
        <w:t>Community Workshop Two – October 2, 2024</w:t>
      </w:r>
      <w:bookmarkEnd w:id="24"/>
    </w:p>
    <w:p w14:paraId="4289D42B" w14:textId="25CB7968" w:rsidR="5237D75F" w:rsidRDefault="5237D75F" w:rsidP="530D6781">
      <w:pPr>
        <w:pStyle w:val="Heading4"/>
        <w:keepLines/>
      </w:pPr>
      <w:r>
        <w:t>Objectives</w:t>
      </w:r>
    </w:p>
    <w:p w14:paraId="6086F488" w14:textId="77777777" w:rsidR="5237D75F" w:rsidRDefault="5237D75F" w:rsidP="530D6781">
      <w:pPr>
        <w:pStyle w:val="BodyText"/>
        <w:keepNext/>
        <w:keepLines/>
      </w:pPr>
      <w:r>
        <w:t>Based on feedback from ongoing community engagement and feedback, objectives for Workshop Two included:</w:t>
      </w:r>
    </w:p>
    <w:p w14:paraId="0467FDC4" w14:textId="77777777" w:rsidR="5237D75F" w:rsidRDefault="5237D75F" w:rsidP="530D6781">
      <w:pPr>
        <w:pStyle w:val="Bullet1"/>
        <w:keepNext/>
        <w:keepLines/>
      </w:pPr>
      <w:r>
        <w:t>Reporting back on how community feedback has been incorporated into the Beta Tool</w:t>
      </w:r>
    </w:p>
    <w:p w14:paraId="55DE3C27" w14:textId="77777777" w:rsidR="5237D75F" w:rsidRDefault="5237D75F" w:rsidP="00410F84">
      <w:pPr>
        <w:pStyle w:val="Bullet1Last"/>
      </w:pPr>
      <w:r>
        <w:t>Providing project updates</w:t>
      </w:r>
    </w:p>
    <w:p w14:paraId="4839C3EF" w14:textId="3B52649E" w:rsidR="5237D75F" w:rsidRDefault="5237D75F" w:rsidP="530D6781">
      <w:pPr>
        <w:pStyle w:val="Bullet1Last"/>
        <w:keepNext/>
        <w:keepLines/>
        <w:numPr>
          <w:ilvl w:val="0"/>
          <w:numId w:val="0"/>
        </w:numPr>
      </w:pPr>
      <w:r>
        <w:t>Hearing more feedback and questions as the team applied the Tool to a place-based case study</w:t>
      </w:r>
    </w:p>
    <w:p w14:paraId="5F80AA55" w14:textId="236E7661" w:rsidR="003A34D3" w:rsidRDefault="003A34D3" w:rsidP="00BB3399">
      <w:pPr>
        <w:pStyle w:val="Heading4"/>
      </w:pPr>
      <w:bookmarkStart w:id="25" w:name="_Toc420712"/>
      <w:r>
        <w:t>Highlights</w:t>
      </w:r>
      <w:r w:rsidR="00BB0405">
        <w:t xml:space="preserve"> and Results</w:t>
      </w:r>
      <w:bookmarkEnd w:id="25"/>
    </w:p>
    <w:p w14:paraId="7F466590" w14:textId="4F9D8812" w:rsidR="00BA63CE" w:rsidRPr="00AD3068" w:rsidRDefault="00BA63CE" w:rsidP="00941A42">
      <w:pPr>
        <w:pStyle w:val="BodyText"/>
        <w:rPr>
          <w:lang w:val="en-US" w:eastAsia="en-US"/>
        </w:rPr>
      </w:pPr>
      <w:r w:rsidRPr="00AD3068">
        <w:rPr>
          <w:lang w:val="en-US" w:eastAsia="en-US"/>
        </w:rPr>
        <w:t>Workshop Two showcased how community and stakeholder feedback directly shaped the development and application of the Tool. Through a live demonstration using the Oxnard case study—co-presented with local partner Climate First: Replacing Oil &amp; Gas (CFROG)—participants engaged in an interactive exercise and responded to key research questions that revealed both shared priorities and localized concerns.</w:t>
      </w:r>
    </w:p>
    <w:p w14:paraId="21DC22CB" w14:textId="4ACB9D00" w:rsidR="00941A42" w:rsidRPr="00AD3068" w:rsidRDefault="61D7DB59" w:rsidP="00941A42">
      <w:pPr>
        <w:pStyle w:val="BodyText"/>
        <w:rPr>
          <w:lang w:val="en-US" w:eastAsia="en-US"/>
        </w:rPr>
      </w:pPr>
      <w:r w:rsidRPr="530D6781">
        <w:rPr>
          <w:lang w:val="en-US" w:eastAsia="en-US"/>
        </w:rPr>
        <w:t>Key results from Workshop Two included</w:t>
      </w:r>
      <w:r w:rsidR="4427F8AD" w:rsidRPr="530D6781">
        <w:rPr>
          <w:lang w:val="en-US" w:eastAsia="en-US"/>
        </w:rPr>
        <w:t xml:space="preserve"> identification of the following themes</w:t>
      </w:r>
      <w:r w:rsidRPr="530D6781">
        <w:rPr>
          <w:lang w:val="en-US" w:eastAsia="en-US"/>
        </w:rPr>
        <w:t>:</w:t>
      </w:r>
    </w:p>
    <w:p w14:paraId="57682E30" w14:textId="28618707" w:rsidR="00BA63CE" w:rsidRPr="00AD3068" w:rsidRDefault="00BA63CE" w:rsidP="00941A42">
      <w:pPr>
        <w:pStyle w:val="Bullet1"/>
        <w:rPr>
          <w:lang w:val="en-US" w:eastAsia="en-US"/>
        </w:rPr>
      </w:pPr>
      <w:r w:rsidRPr="00AD3068">
        <w:rPr>
          <w:b/>
          <w:lang w:val="en-US" w:eastAsia="en-US"/>
        </w:rPr>
        <w:t xml:space="preserve">Infrastructure </w:t>
      </w:r>
      <w:r w:rsidR="00E55A08">
        <w:rPr>
          <w:b/>
          <w:lang w:val="en-US" w:eastAsia="en-US"/>
        </w:rPr>
        <w:t>r</w:t>
      </w:r>
      <w:r w:rsidRPr="00AD3068">
        <w:rPr>
          <w:b/>
          <w:lang w:val="en-US" w:eastAsia="en-US"/>
        </w:rPr>
        <w:t>emoval:</w:t>
      </w:r>
      <w:r w:rsidRPr="00AD3068">
        <w:rPr>
          <w:lang w:val="en-US" w:eastAsia="en-US"/>
        </w:rPr>
        <w:t xml:space="preserve"> Participants emphasized the need to dismantle pipelines and equipment to ensure public safety and environmental protection.</w:t>
      </w:r>
    </w:p>
    <w:p w14:paraId="52C0D595" w14:textId="6D958DC1" w:rsidR="00BA63CE" w:rsidRPr="00AD3068" w:rsidRDefault="00BA63CE" w:rsidP="00941A42">
      <w:pPr>
        <w:pStyle w:val="Bullet1"/>
        <w:rPr>
          <w:lang w:val="en-US" w:eastAsia="en-US"/>
        </w:rPr>
      </w:pPr>
      <w:r w:rsidRPr="00AD3068">
        <w:rPr>
          <w:b/>
          <w:lang w:val="en-US" w:eastAsia="en-US"/>
        </w:rPr>
        <w:t xml:space="preserve">Environmental </w:t>
      </w:r>
      <w:r w:rsidR="00E55A08">
        <w:rPr>
          <w:b/>
          <w:lang w:val="en-US" w:eastAsia="en-US"/>
        </w:rPr>
        <w:t>c</w:t>
      </w:r>
      <w:r w:rsidRPr="00AD3068">
        <w:rPr>
          <w:b/>
          <w:lang w:val="en-US" w:eastAsia="en-US"/>
        </w:rPr>
        <w:t>onsiderations:</w:t>
      </w:r>
      <w:r w:rsidRPr="00AD3068">
        <w:rPr>
          <w:lang w:val="en-US" w:eastAsia="en-US"/>
        </w:rPr>
        <w:t xml:space="preserve"> Proper handling of residual gases and contaminated materials was highlighted to prevent pollution and mitigate risks.</w:t>
      </w:r>
    </w:p>
    <w:p w14:paraId="4ACE8F6B" w14:textId="5656C366" w:rsidR="00BA63CE" w:rsidRPr="00AD3068" w:rsidRDefault="00BA63CE" w:rsidP="00941A42">
      <w:pPr>
        <w:pStyle w:val="Bullet1"/>
        <w:rPr>
          <w:lang w:val="en-US" w:eastAsia="en-US"/>
        </w:rPr>
      </w:pPr>
      <w:r w:rsidRPr="00AD3068">
        <w:rPr>
          <w:b/>
          <w:lang w:val="en-US" w:eastAsia="en-US"/>
        </w:rPr>
        <w:t xml:space="preserve">Community </w:t>
      </w:r>
      <w:r w:rsidR="00E55A08">
        <w:rPr>
          <w:b/>
          <w:lang w:val="en-US" w:eastAsia="en-US"/>
        </w:rPr>
        <w:t>e</w:t>
      </w:r>
      <w:r w:rsidRPr="00AD3068">
        <w:rPr>
          <w:b/>
          <w:lang w:val="en-US" w:eastAsia="en-US"/>
        </w:rPr>
        <w:t>ngagement:</w:t>
      </w:r>
      <w:r w:rsidRPr="00AD3068">
        <w:rPr>
          <w:lang w:val="en-US" w:eastAsia="en-US"/>
        </w:rPr>
        <w:t xml:space="preserve"> Transparent communication and inclusive decision-making were seen as essential to avoid disproportionate impacts on vulnerable populations.</w:t>
      </w:r>
    </w:p>
    <w:p w14:paraId="7160D0FD" w14:textId="791BDA3F" w:rsidR="00BA63CE" w:rsidRPr="00AD3068" w:rsidRDefault="00BA63CE" w:rsidP="00410F84">
      <w:pPr>
        <w:pStyle w:val="Bullet1Last"/>
        <w:rPr>
          <w:lang w:val="en-US" w:eastAsia="en-US"/>
        </w:rPr>
      </w:pPr>
      <w:r w:rsidRPr="00AD3068">
        <w:rPr>
          <w:b/>
          <w:lang w:val="en-US" w:eastAsia="en-US"/>
        </w:rPr>
        <w:t xml:space="preserve">Opportunities </w:t>
      </w:r>
      <w:r w:rsidR="00E55A08">
        <w:rPr>
          <w:b/>
          <w:lang w:val="en-US" w:eastAsia="en-US"/>
        </w:rPr>
        <w:t>i</w:t>
      </w:r>
      <w:r w:rsidRPr="00AD3068">
        <w:rPr>
          <w:b/>
          <w:lang w:val="en-US" w:eastAsia="en-US"/>
        </w:rPr>
        <w:t>dentified:</w:t>
      </w:r>
      <w:r w:rsidRPr="00AD3068">
        <w:rPr>
          <w:lang w:val="en-US" w:eastAsia="en-US"/>
        </w:rPr>
        <w:t xml:space="preserve"> Participants saw potential benefits in reducing fossil fuel reliance, improving air quality, and creating healthier communities.</w:t>
      </w:r>
    </w:p>
    <w:p w14:paraId="2A3E60F0" w14:textId="23CD088B" w:rsidR="00BA63CE" w:rsidRPr="00AD3068" w:rsidRDefault="30C75A46" w:rsidP="530D6781">
      <w:pPr>
        <w:pStyle w:val="Bullet1Last"/>
        <w:numPr>
          <w:ilvl w:val="0"/>
          <w:numId w:val="0"/>
        </w:numPr>
        <w:rPr>
          <w:lang w:val="en-US" w:eastAsia="en-US"/>
        </w:rPr>
      </w:pPr>
      <w:r w:rsidRPr="530D6781">
        <w:rPr>
          <w:b/>
          <w:bCs/>
          <w:lang w:val="en-US" w:eastAsia="en-US"/>
        </w:rPr>
        <w:t xml:space="preserve">Concerns </w:t>
      </w:r>
      <w:r w:rsidR="06458F0B" w:rsidRPr="530D6781">
        <w:rPr>
          <w:b/>
          <w:bCs/>
          <w:lang w:val="en-US" w:eastAsia="en-US"/>
        </w:rPr>
        <w:t>r</w:t>
      </w:r>
      <w:r w:rsidRPr="530D6781">
        <w:rPr>
          <w:b/>
          <w:bCs/>
          <w:lang w:val="en-US" w:eastAsia="en-US"/>
        </w:rPr>
        <w:t>aised:</w:t>
      </w:r>
      <w:r w:rsidRPr="530D6781">
        <w:rPr>
          <w:lang w:val="en-US" w:eastAsia="en-US"/>
        </w:rPr>
        <w:t xml:space="preserve"> Financial burdens and inequitable transition management were flagged as risks that must be addressed</w:t>
      </w:r>
      <w:r w:rsidR="5AEF652F" w:rsidRPr="530D6781">
        <w:rPr>
          <w:lang w:val="en-US" w:eastAsia="en-US"/>
        </w:rPr>
        <w:t xml:space="preserve"> in parallel with decommissioning efforts</w:t>
      </w:r>
      <w:r w:rsidRPr="530D6781">
        <w:rPr>
          <w:lang w:val="en-US" w:eastAsia="en-US"/>
        </w:rPr>
        <w:t>.</w:t>
      </w:r>
    </w:p>
    <w:p w14:paraId="3619A7BD" w14:textId="1F3C5551" w:rsidR="00BA63CE" w:rsidRPr="00AD3068" w:rsidRDefault="30C75A46" w:rsidP="00E55A08">
      <w:pPr>
        <w:pStyle w:val="BodyText"/>
        <w:rPr>
          <w:lang w:val="en-US" w:eastAsia="en-US"/>
        </w:rPr>
      </w:pPr>
      <w:r w:rsidRPr="530D6781">
        <w:rPr>
          <w:lang w:val="en-US" w:eastAsia="en-US"/>
        </w:rPr>
        <w:t>This feedback reinforced the importance of grounding technical tools in lived experience and informed refinements to both the Tool and future engagement strategies.</w:t>
      </w:r>
    </w:p>
    <w:p w14:paraId="21AA1E15" w14:textId="0912DF4C" w:rsidR="00DA6E53" w:rsidRDefault="003A34D3" w:rsidP="00DA6E53">
      <w:pPr>
        <w:pStyle w:val="Heading4"/>
      </w:pPr>
      <w:bookmarkStart w:id="26" w:name="_Toc322715226"/>
      <w:r>
        <w:t xml:space="preserve">Materials and </w:t>
      </w:r>
      <w:r w:rsidRPr="00BB3399">
        <w:t>Participants</w:t>
      </w:r>
      <w:bookmarkEnd w:id="26"/>
    </w:p>
    <w:p w14:paraId="18F81DA9" w14:textId="447BE277" w:rsidR="005600A8" w:rsidRDefault="005600A8" w:rsidP="005600A8">
      <w:pPr>
        <w:pStyle w:val="BodyText"/>
      </w:pPr>
      <w:r>
        <w:t xml:space="preserve">A total of 42 participants were present at the virtual workshop representing CBOs, advocacy groups, nonprofits, </w:t>
      </w:r>
      <w:proofErr w:type="spellStart"/>
      <w:r>
        <w:t>neighborhood</w:t>
      </w:r>
      <w:proofErr w:type="spellEnd"/>
      <w:r>
        <w:t xml:space="preserve"> groups, RENs, tribal representatives, municipalities, school </w:t>
      </w:r>
      <w:r w:rsidR="001902D9">
        <w:t>districts,</w:t>
      </w:r>
      <w:r>
        <w:t xml:space="preserve"> and regulators from across the state. Various CBOs gathered community members in person at a satellite location to participate in the virtual workshop as a group. Spanish interpretation was requested and was provided during the workshop.</w:t>
      </w:r>
      <w:r w:rsidR="00A10492">
        <w:t xml:space="preserve"> </w:t>
      </w:r>
    </w:p>
    <w:p w14:paraId="654678C5" w14:textId="6A462F4B" w:rsidR="005600A8" w:rsidRDefault="7D148462" w:rsidP="005600A8">
      <w:pPr>
        <w:pStyle w:val="BodyText"/>
      </w:pPr>
      <w:r>
        <w:t xml:space="preserve">The materials for the Webinar including the presentation slides </w:t>
      </w:r>
      <w:r w:rsidR="2A3817BE">
        <w:t xml:space="preserve">in </w:t>
      </w:r>
      <w:hyperlink r:id="rId26">
        <w:r w:rsidR="2A3817BE" w:rsidRPr="03F09154">
          <w:rPr>
            <w:rStyle w:val="Hyperlink"/>
          </w:rPr>
          <w:t>English</w:t>
        </w:r>
      </w:hyperlink>
      <w:r w:rsidR="2A3817BE">
        <w:t xml:space="preserve"> and </w:t>
      </w:r>
      <w:hyperlink r:id="rId27">
        <w:r w:rsidR="2A3817BE" w:rsidRPr="100EF544">
          <w:rPr>
            <w:rStyle w:val="Hyperlink"/>
          </w:rPr>
          <w:t>Spanish</w:t>
        </w:r>
      </w:hyperlink>
      <w:r w:rsidR="2A3817BE">
        <w:t xml:space="preserve">, </w:t>
      </w:r>
      <w:r>
        <w:t xml:space="preserve">and </w:t>
      </w:r>
      <w:hyperlink r:id="rId28">
        <w:r w:rsidRPr="1904C436">
          <w:rPr>
            <w:rStyle w:val="Hyperlink"/>
          </w:rPr>
          <w:t>recording</w:t>
        </w:r>
      </w:hyperlink>
      <w:r>
        <w:t xml:space="preserve">, as well as </w:t>
      </w:r>
      <w:hyperlink r:id="rId29">
        <w:r w:rsidR="3184CC22" w:rsidRPr="6A2792B9">
          <w:rPr>
            <w:rStyle w:val="Hyperlink"/>
          </w:rPr>
          <w:t>workshop</w:t>
        </w:r>
        <w:r w:rsidRPr="6A2792B9">
          <w:rPr>
            <w:rStyle w:val="Hyperlink"/>
          </w:rPr>
          <w:t xml:space="preserve"> </w:t>
        </w:r>
        <w:r w:rsidRPr="64FCB25F">
          <w:rPr>
            <w:rStyle w:val="Hyperlink"/>
          </w:rPr>
          <w:t>summary</w:t>
        </w:r>
      </w:hyperlink>
      <w:r>
        <w:t xml:space="preserve"> are included on the online </w:t>
      </w:r>
      <w:hyperlink r:id="rId30">
        <w:r w:rsidRPr="1ED9F153">
          <w:rPr>
            <w:rStyle w:val="Hyperlink"/>
          </w:rPr>
          <w:t>Resource Hub</w:t>
        </w:r>
      </w:hyperlink>
      <w:r>
        <w:t>. A detailed participant list is included in Appendix A.</w:t>
      </w:r>
    </w:p>
    <w:p w14:paraId="2BDE9FE7" w14:textId="58911BB0" w:rsidR="00210A90" w:rsidRDefault="58EB721E" w:rsidP="00210A90">
      <w:pPr>
        <w:pStyle w:val="Heading3"/>
      </w:pPr>
      <w:bookmarkStart w:id="27" w:name="_Toc635383130"/>
      <w:bookmarkEnd w:id="21"/>
      <w:r>
        <w:lastRenderedPageBreak/>
        <w:t>Public Webinar</w:t>
      </w:r>
      <w:r w:rsidR="5CEB5C69">
        <w:t xml:space="preserve"> – October </w:t>
      </w:r>
      <w:r>
        <w:t>8</w:t>
      </w:r>
      <w:r w:rsidR="5CEB5C69">
        <w:t>, 202</w:t>
      </w:r>
      <w:r>
        <w:t>5</w:t>
      </w:r>
      <w:bookmarkEnd w:id="27"/>
    </w:p>
    <w:p w14:paraId="536FEFF5" w14:textId="77777777" w:rsidR="5EA8D4F0" w:rsidRDefault="5EA8D4F0" w:rsidP="530D6781">
      <w:pPr>
        <w:pStyle w:val="Heading4"/>
        <w:rPr>
          <w:bCs/>
        </w:rPr>
      </w:pPr>
      <w:r>
        <w:t xml:space="preserve">Objectives </w:t>
      </w:r>
    </w:p>
    <w:p w14:paraId="62414127" w14:textId="4EE03028" w:rsidR="5EA8D4F0" w:rsidRDefault="5EA8D4F0" w:rsidP="530D6781">
      <w:pPr>
        <w:pStyle w:val="BodyText"/>
      </w:pPr>
      <w:r>
        <w:t>Objectives of the public webinar included the following:</w:t>
      </w:r>
    </w:p>
    <w:p w14:paraId="68629B31" w14:textId="4B4C7C95" w:rsidR="5EA8D4F0" w:rsidRDefault="5EA8D4F0" w:rsidP="530D6781">
      <w:pPr>
        <w:pStyle w:val="Bullet1"/>
      </w:pPr>
      <w:r w:rsidRPr="530D6781">
        <w:rPr>
          <w:b/>
          <w:bCs/>
        </w:rPr>
        <w:t>Showcasing innovation in action:</w:t>
      </w:r>
      <w:r>
        <w:t xml:space="preserve"> Exploring the journey behind the Tool—including data collection, community engagement, and beta testing. </w:t>
      </w:r>
    </w:p>
    <w:p w14:paraId="0D711F9A" w14:textId="5DB14C16" w:rsidR="5EA8D4F0" w:rsidRDefault="5EA8D4F0" w:rsidP="00410F84">
      <w:pPr>
        <w:pStyle w:val="Bullet1Last"/>
      </w:pPr>
      <w:r w:rsidRPr="530D6781">
        <w:rPr>
          <w:b/>
          <w:bCs/>
        </w:rPr>
        <w:t>Bridging research and real-world impact:</w:t>
      </w:r>
      <w:r>
        <w:t xml:space="preserve"> Learning how the research questions align directly to California’s gas planning and decarbonization goals.</w:t>
      </w:r>
    </w:p>
    <w:p w14:paraId="6F004FD0" w14:textId="78CE5B16" w:rsidR="5EA8D4F0" w:rsidRDefault="5EA8D4F0" w:rsidP="530D6781">
      <w:pPr>
        <w:pStyle w:val="Bullet1Last"/>
        <w:numPr>
          <w:ilvl w:val="0"/>
          <w:numId w:val="0"/>
        </w:numPr>
      </w:pPr>
      <w:r w:rsidRPr="530D6781">
        <w:rPr>
          <w:b/>
          <w:bCs/>
        </w:rPr>
        <w:t>Shaping what’s next:</w:t>
      </w:r>
      <w:r>
        <w:t xml:space="preserve"> Discovering the future of the Tool and its potential applications across sectors.</w:t>
      </w:r>
    </w:p>
    <w:p w14:paraId="0F7D7B3D" w14:textId="709000C9" w:rsidR="00DA6E53" w:rsidRPr="001A6F19" w:rsidRDefault="5CEB5C69" w:rsidP="530D6781">
      <w:pPr>
        <w:pStyle w:val="Heading4"/>
        <w:rPr>
          <w:bCs/>
        </w:rPr>
      </w:pPr>
      <w:r>
        <w:t>Highlights</w:t>
      </w:r>
      <w:r w:rsidR="64B92BE0">
        <w:t xml:space="preserve"> and Results</w:t>
      </w:r>
    </w:p>
    <w:p w14:paraId="0F4DB1A9" w14:textId="2D990CEA" w:rsidR="00DA6E53" w:rsidRDefault="621A034A" w:rsidP="00124EC2">
      <w:pPr>
        <w:pStyle w:val="BodyText"/>
      </w:pPr>
      <w:r>
        <w:t xml:space="preserve">DNV and UCLA hosted a public webinar </w:t>
      </w:r>
      <w:r w:rsidR="266D09D8">
        <w:t>on</w:t>
      </w:r>
      <w:r>
        <w:t xml:space="preserve"> October </w:t>
      </w:r>
      <w:r w:rsidR="4AE50A3D">
        <w:t xml:space="preserve">8, </w:t>
      </w:r>
      <w:r>
        <w:t>2025</w:t>
      </w:r>
      <w:r w:rsidR="00410F84">
        <w:t>,</w:t>
      </w:r>
      <w:r>
        <w:t xml:space="preserve"> to highlight the innovative development of the Tool and its </w:t>
      </w:r>
      <w:r w:rsidR="00134651">
        <w:t xml:space="preserve">potential </w:t>
      </w:r>
      <w:r>
        <w:t xml:space="preserve">role in supporting equitable gas decommissioning across California. The event provided a live demonstration of the Tool, including an in-depth analysis of a case study location in partnership with community organizations, to illustrate how local insights and lived experience can inform statewide strategies. By connecting research findings to gas planning and transition policy, the webinar emphasized the importance of </w:t>
      </w:r>
      <w:proofErr w:type="spellStart"/>
      <w:r>
        <w:t>centering</w:t>
      </w:r>
      <w:proofErr w:type="spellEnd"/>
      <w:r>
        <w:t xml:space="preserve"> community needs, surfacing trade-offs, and fostering transparent, accountable decision-making. The session also invited feedback from community partners</w:t>
      </w:r>
      <w:r w:rsidR="54707BDA">
        <w:t xml:space="preserve"> and</w:t>
      </w:r>
      <w:r>
        <w:t xml:space="preserve"> TAC members, ensuring that the Tool’s future applications are shaped by diverse voices and grounded in real-world conditions. This collaborative approach strengthens trust, builds capacity for responsive engagement, and positions the Tool as a platform for ongoing dialogue and partnership in California’s energy transition. </w:t>
      </w:r>
    </w:p>
    <w:p w14:paraId="1378FCB9" w14:textId="75A9A36F" w:rsidR="00180471" w:rsidRDefault="7938400F" w:rsidP="00180471">
      <w:pPr>
        <w:pStyle w:val="BodyText"/>
      </w:pPr>
      <w:r>
        <w:t>Feedback received</w:t>
      </w:r>
      <w:r w:rsidR="649585FE">
        <w:t xml:space="preserve"> from webinar participants</w:t>
      </w:r>
      <w:r w:rsidR="54707BDA">
        <w:t xml:space="preserve"> reveal several key insights</w:t>
      </w:r>
      <w:r w:rsidR="1BC20BDD">
        <w:t>, including the following</w:t>
      </w:r>
      <w:r w:rsidR="54707BDA">
        <w:t>:</w:t>
      </w:r>
    </w:p>
    <w:p w14:paraId="18A60639" w14:textId="3335DA97" w:rsidR="00180471" w:rsidRDefault="00180471" w:rsidP="005A7ACF">
      <w:pPr>
        <w:pStyle w:val="Bullet1"/>
      </w:pPr>
      <w:r>
        <w:t xml:space="preserve">Participants consistently valued the </w:t>
      </w:r>
      <w:r w:rsidR="00866CE3">
        <w:t>T</w:t>
      </w:r>
      <w:r>
        <w:t>ool's overall design, its balanced and factual development approach, and the strong connection to community needs. Comments highlighted the importance of stakeholder feedback and the intuitive platform.</w:t>
      </w:r>
    </w:p>
    <w:p w14:paraId="34497DCB" w14:textId="1A21C33D" w:rsidR="00180471" w:rsidRDefault="00180471" w:rsidP="00410F84">
      <w:pPr>
        <w:pStyle w:val="Bullet1Last"/>
      </w:pPr>
      <w:r>
        <w:t xml:space="preserve">Several responses indicated a desire for enhanced functionality, such as the ability to add custom data layers, access an API, and improve accessibility beyond </w:t>
      </w:r>
      <w:r w:rsidR="004A1CB8">
        <w:t>S</w:t>
      </w:r>
      <w:r>
        <w:t>tate agency staff. Suggestions also included tracking future updates and integrating financial estimates for community transitions.</w:t>
      </w:r>
    </w:p>
    <w:p w14:paraId="305F9C92" w14:textId="49D58C5F" w:rsidR="00106170" w:rsidRDefault="54707BDA" w:rsidP="530D6781">
      <w:pPr>
        <w:pStyle w:val="Bullet1Last"/>
        <w:numPr>
          <w:ilvl w:val="0"/>
          <w:numId w:val="0"/>
        </w:numPr>
      </w:pPr>
      <w:r>
        <w:t>Feedback emphasized the need for continued research, especially around equity metrics and understanding the impacts of gas decommissioning on vulnerable communities. There was interest in further engagement through workshops and briefing sessions to deepen community connections and inform long-term</w:t>
      </w:r>
      <w:r w:rsidR="00940AAC">
        <w:t xml:space="preserve"> gas</w:t>
      </w:r>
      <w:r>
        <w:t xml:space="preserve"> planning.</w:t>
      </w:r>
    </w:p>
    <w:p w14:paraId="32A55CB7" w14:textId="4FB6E0B0" w:rsidR="00DA6E53" w:rsidRPr="00DA6E53" w:rsidRDefault="5CEB5C69" w:rsidP="530D6781">
      <w:pPr>
        <w:pStyle w:val="Heading4"/>
        <w:rPr>
          <w:b w:val="0"/>
        </w:rPr>
      </w:pPr>
      <w:bookmarkStart w:id="28" w:name="_Toc1951866029"/>
      <w:r>
        <w:t>Materials and Participant List</w:t>
      </w:r>
      <w:bookmarkEnd w:id="28"/>
    </w:p>
    <w:p w14:paraId="0CE2946D" w14:textId="7A108A9E" w:rsidR="00DA6E53" w:rsidRDefault="00A57262" w:rsidP="00DA6E53">
      <w:pPr>
        <w:pStyle w:val="BodyText"/>
      </w:pPr>
      <w:r w:rsidRPr="00DA6E53">
        <w:t xml:space="preserve">A total of </w:t>
      </w:r>
      <w:r>
        <w:t>36</w:t>
      </w:r>
      <w:r w:rsidRPr="00DA6E53">
        <w:t xml:space="preserve"> participants were present at the </w:t>
      </w:r>
      <w:r>
        <w:t>webinar</w:t>
      </w:r>
      <w:r w:rsidRPr="00DA6E53">
        <w:t xml:space="preserve"> representing CBOs, advocacy groups, nonprofits, RENs, tribal representatives, municipalities,</w:t>
      </w:r>
      <w:r>
        <w:t xml:space="preserve"> utilities,</w:t>
      </w:r>
      <w:r w:rsidRPr="00DA6E53">
        <w:t xml:space="preserve"> and regulators from across the state.</w:t>
      </w:r>
      <w:r w:rsidR="00410F84">
        <w:t xml:space="preserve"> </w:t>
      </w:r>
      <w:r w:rsidR="4EF51F4C">
        <w:t xml:space="preserve">The materials for the Webinar including the </w:t>
      </w:r>
      <w:hyperlink r:id="rId31">
        <w:r w:rsidR="4EF51F4C" w:rsidRPr="55656D22">
          <w:rPr>
            <w:rStyle w:val="Hyperlink"/>
          </w:rPr>
          <w:t>presentation slides</w:t>
        </w:r>
      </w:hyperlink>
      <w:r w:rsidR="4EF51F4C">
        <w:t xml:space="preserve"> and </w:t>
      </w:r>
      <w:hyperlink r:id="rId32">
        <w:r w:rsidR="4EF51F4C" w:rsidRPr="55656D22">
          <w:rPr>
            <w:rStyle w:val="Hyperlink"/>
          </w:rPr>
          <w:t>recording</w:t>
        </w:r>
      </w:hyperlink>
      <w:r w:rsidR="4EF51F4C">
        <w:t>,</w:t>
      </w:r>
      <w:r w:rsidR="00163A3E">
        <w:t xml:space="preserve"> </w:t>
      </w:r>
      <w:r w:rsidR="4EF51F4C">
        <w:t xml:space="preserve">are included on the online </w:t>
      </w:r>
      <w:hyperlink r:id="rId33">
        <w:r w:rsidR="4EF51F4C" w:rsidRPr="55656D22">
          <w:rPr>
            <w:rStyle w:val="Hyperlink"/>
          </w:rPr>
          <w:t>Resource Hub</w:t>
        </w:r>
      </w:hyperlink>
      <w:r w:rsidR="4EF51F4C">
        <w:t>. A detailed participant list is included in Appendix A.</w:t>
      </w:r>
      <w:r w:rsidR="1B784791">
        <w:t xml:space="preserve"> </w:t>
      </w:r>
    </w:p>
    <w:p w14:paraId="0D8AD845" w14:textId="6E37F93A" w:rsidR="00ED4E3C" w:rsidRDefault="00ED4E3C" w:rsidP="00ED4E3C">
      <w:pPr>
        <w:pStyle w:val="Heading2"/>
      </w:pPr>
      <w:bookmarkStart w:id="29" w:name="_Ref212213737"/>
      <w:bookmarkStart w:id="30" w:name="_Toc214535399"/>
      <w:r>
        <w:t>Case Study Engagement</w:t>
      </w:r>
      <w:bookmarkEnd w:id="29"/>
      <w:bookmarkEnd w:id="30"/>
    </w:p>
    <w:p w14:paraId="16036753" w14:textId="21C48EDE" w:rsidR="00ED4E3C" w:rsidRDefault="0048262C" w:rsidP="00ED4E3C">
      <w:pPr>
        <w:pStyle w:val="BodyText"/>
      </w:pPr>
      <w:r>
        <w:t xml:space="preserve">As shown in </w:t>
      </w:r>
      <w:r>
        <w:fldChar w:fldCharType="begin"/>
      </w:r>
      <w:r>
        <w:instrText xml:space="preserve"> REF _Ref207184263 \h </w:instrText>
      </w:r>
      <w:r>
        <w:fldChar w:fldCharType="separate"/>
      </w:r>
      <w:r w:rsidR="00FA7042">
        <w:t xml:space="preserve">Figure </w:t>
      </w:r>
      <w:r w:rsidR="00FA7042">
        <w:rPr>
          <w:noProof/>
        </w:rPr>
        <w:t>2</w:t>
      </w:r>
      <w:r w:rsidR="00FA7042">
        <w:noBreakHyphen/>
      </w:r>
      <w:r w:rsidR="00FA7042">
        <w:rPr>
          <w:noProof/>
        </w:rPr>
        <w:t>3</w:t>
      </w:r>
      <w:r>
        <w:fldChar w:fldCharType="end"/>
      </w:r>
      <w:r>
        <w:t xml:space="preserve">, </w:t>
      </w:r>
      <w:r w:rsidR="00CD5EBB">
        <w:t>the</w:t>
      </w:r>
      <w:r w:rsidR="00C95018" w:rsidRPr="00C95018">
        <w:t xml:space="preserve"> case study engagement approach focused on co-developing narratives and analysis of specific locations with community partners who either reside and/or serve communities in those areas. This case study engagement process enables better understanding of community needs and interests beyond statistical data, through community knowledge and lived experience; uplifts community participation and feedback in the gas decommissioning decision-making process; assesses the strengths and limitations of the Tool; and informs the </w:t>
      </w:r>
      <w:r w:rsidR="004A1CB8">
        <w:t>S</w:t>
      </w:r>
      <w:r w:rsidR="00C95018" w:rsidRPr="00C95018">
        <w:t>tate of potential unintended consequences or secondary impacts that would not be visible through quantitative data analysis alone.</w:t>
      </w:r>
    </w:p>
    <w:p w14:paraId="3E5A6684" w14:textId="79BDF033" w:rsidR="00544B9A" w:rsidRDefault="00544B9A" w:rsidP="00862875">
      <w:pPr>
        <w:pStyle w:val="FigureTitle"/>
        <w:rPr>
          <w:lang w:val="en-US"/>
        </w:rPr>
      </w:pPr>
      <w:bookmarkStart w:id="31" w:name="_Ref207184263"/>
      <w:bookmarkStart w:id="32" w:name="_Toc214535420"/>
      <w:r>
        <w:lastRenderedPageBreak/>
        <w:t xml:space="preserve">Figure </w:t>
      </w:r>
      <w:r w:rsidR="003A586C">
        <w:fldChar w:fldCharType="begin"/>
      </w:r>
      <w:r w:rsidR="003A586C">
        <w:instrText xml:space="preserve"> STYLEREF 1 \s </w:instrText>
      </w:r>
      <w:r w:rsidR="003A586C">
        <w:fldChar w:fldCharType="separate"/>
      </w:r>
      <w:r w:rsidR="00FA7042">
        <w:rPr>
          <w:noProof/>
        </w:rPr>
        <w:t>2</w:t>
      </w:r>
      <w:r w:rsidR="003A586C">
        <w:fldChar w:fldCharType="end"/>
      </w:r>
      <w:r w:rsidR="003A586C">
        <w:noBreakHyphen/>
      </w:r>
      <w:r w:rsidR="003A586C">
        <w:fldChar w:fldCharType="begin"/>
      </w:r>
      <w:r w:rsidR="003A586C">
        <w:instrText xml:space="preserve"> SEQ Figure \* ARABIC \s 1 </w:instrText>
      </w:r>
      <w:r w:rsidR="003A586C">
        <w:fldChar w:fldCharType="separate"/>
      </w:r>
      <w:r w:rsidR="00FA7042">
        <w:rPr>
          <w:noProof/>
        </w:rPr>
        <w:t>3</w:t>
      </w:r>
      <w:r w:rsidR="003A586C">
        <w:fldChar w:fldCharType="end"/>
      </w:r>
      <w:bookmarkEnd w:id="31"/>
      <w:r>
        <w:rPr>
          <w:lang w:val="en-US"/>
        </w:rPr>
        <w:t xml:space="preserve">. Approach to Developing Case </w:t>
      </w:r>
      <w:r w:rsidRPr="004749CE">
        <w:t>Studies</w:t>
      </w:r>
      <w:bookmarkEnd w:id="32"/>
    </w:p>
    <w:tbl>
      <w:tblPr>
        <w:tblStyle w:val="TableGrid"/>
        <w:tblW w:w="0" w:type="auto"/>
        <w:tblBorders>
          <w:insideV w:val="single" w:sz="36" w:space="0" w:color="FFFFFF" w:themeColor="background1"/>
        </w:tblBorders>
        <w:tblLook w:val="04A0" w:firstRow="1" w:lastRow="0" w:firstColumn="1" w:lastColumn="0" w:noHBand="0" w:noVBand="1"/>
      </w:tblPr>
      <w:tblGrid>
        <w:gridCol w:w="3190"/>
        <w:gridCol w:w="3191"/>
        <w:gridCol w:w="3191"/>
      </w:tblGrid>
      <w:tr w:rsidR="00544B9A" w14:paraId="4D50138F" w14:textId="77777777" w:rsidTr="00376D5B">
        <w:trPr>
          <w:trHeight w:val="358"/>
        </w:trPr>
        <w:tc>
          <w:tcPr>
            <w:tcW w:w="3190" w:type="dxa"/>
            <w:shd w:val="clear" w:color="auto" w:fill="009FDA" w:themeFill="accent4"/>
            <w:vAlign w:val="center"/>
          </w:tcPr>
          <w:p w14:paraId="2D1BAA40" w14:textId="77777777" w:rsidR="00544B9A" w:rsidRPr="00DA406E" w:rsidRDefault="00544B9A" w:rsidP="00862875">
            <w:pPr>
              <w:pStyle w:val="TableHeading"/>
            </w:pPr>
            <w:r w:rsidRPr="00DA406E">
              <w:rPr>
                <w:i/>
                <w:iCs/>
              </w:rPr>
              <w:t>What</w:t>
            </w:r>
            <w:r w:rsidRPr="00DA406E">
              <w:t xml:space="preserve"> are they?</w:t>
            </w:r>
          </w:p>
        </w:tc>
        <w:tc>
          <w:tcPr>
            <w:tcW w:w="3191" w:type="dxa"/>
            <w:shd w:val="clear" w:color="auto" w:fill="3F9C35" w:themeFill="accent6"/>
            <w:vAlign w:val="center"/>
          </w:tcPr>
          <w:p w14:paraId="195F19FE" w14:textId="77777777" w:rsidR="00544B9A" w:rsidRPr="00DA406E" w:rsidRDefault="00544B9A" w:rsidP="00862875">
            <w:pPr>
              <w:pStyle w:val="TableHeading"/>
            </w:pPr>
            <w:r w:rsidRPr="00DA406E">
              <w:rPr>
                <w:i/>
                <w:iCs/>
              </w:rPr>
              <w:t>Why</w:t>
            </w:r>
            <w:r w:rsidRPr="00DA406E">
              <w:t xml:space="preserve"> Develop Them?</w:t>
            </w:r>
          </w:p>
        </w:tc>
        <w:tc>
          <w:tcPr>
            <w:tcW w:w="3191" w:type="dxa"/>
            <w:shd w:val="clear" w:color="auto" w:fill="0F204B" w:themeFill="accent1"/>
            <w:vAlign w:val="center"/>
          </w:tcPr>
          <w:p w14:paraId="7074D659" w14:textId="77777777" w:rsidR="00544B9A" w:rsidRPr="00DA406E" w:rsidRDefault="00544B9A" w:rsidP="00862875">
            <w:pPr>
              <w:pStyle w:val="TableHeading"/>
            </w:pPr>
            <w:r w:rsidRPr="00DA406E">
              <w:rPr>
                <w:i/>
                <w:iCs/>
              </w:rPr>
              <w:t>Who</w:t>
            </w:r>
            <w:r w:rsidRPr="00DA406E">
              <w:t xml:space="preserve"> and </w:t>
            </w:r>
            <w:proofErr w:type="gramStart"/>
            <w:r w:rsidRPr="00DA406E">
              <w:rPr>
                <w:i/>
                <w:iCs/>
              </w:rPr>
              <w:t>Where</w:t>
            </w:r>
            <w:proofErr w:type="gramEnd"/>
            <w:r w:rsidRPr="00DA406E">
              <w:t xml:space="preserve"> </w:t>
            </w:r>
            <w:proofErr w:type="gramStart"/>
            <w:r w:rsidRPr="00DA406E">
              <w:t>are</w:t>
            </w:r>
            <w:proofErr w:type="gramEnd"/>
            <w:r w:rsidRPr="00DA406E">
              <w:t xml:space="preserve"> the Focus?</w:t>
            </w:r>
          </w:p>
        </w:tc>
      </w:tr>
      <w:tr w:rsidR="00544B9A" w14:paraId="1400073F" w14:textId="77777777" w:rsidTr="00376D5B">
        <w:tc>
          <w:tcPr>
            <w:tcW w:w="3190" w:type="dxa"/>
            <w:shd w:val="clear" w:color="auto" w:fill="009FDA" w:themeFill="accent4"/>
          </w:tcPr>
          <w:p w14:paraId="140B3F47" w14:textId="77777777" w:rsidR="00544B9A" w:rsidRPr="00DA5FD4" w:rsidRDefault="00544B9A" w:rsidP="004A1CB8">
            <w:pPr>
              <w:pStyle w:val="TableText"/>
              <w:keepNext/>
              <w:keepLines/>
              <w:numPr>
                <w:ilvl w:val="0"/>
                <w:numId w:val="16"/>
              </w:numPr>
              <w:spacing w:before="0" w:after="120"/>
              <w:ind w:left="259" w:hanging="259"/>
              <w:rPr>
                <w:color w:val="FFFFFF" w:themeColor="background1"/>
              </w:rPr>
            </w:pPr>
            <w:r w:rsidRPr="00DA5FD4">
              <w:rPr>
                <w:color w:val="FFFFFF" w:themeColor="background1"/>
              </w:rPr>
              <w:t>Co-developed narratives with community partner</w:t>
            </w:r>
          </w:p>
          <w:p w14:paraId="0E87309B" w14:textId="77777777" w:rsidR="00544B9A" w:rsidRPr="00DA5FD4" w:rsidRDefault="00544B9A" w:rsidP="00D91905">
            <w:pPr>
              <w:pStyle w:val="TableText"/>
              <w:keepNext/>
              <w:keepLines/>
              <w:numPr>
                <w:ilvl w:val="0"/>
                <w:numId w:val="16"/>
              </w:numPr>
              <w:spacing w:after="120"/>
              <w:ind w:left="259" w:hanging="259"/>
              <w:rPr>
                <w:color w:val="FFFFFF" w:themeColor="background1"/>
              </w:rPr>
            </w:pPr>
            <w:r w:rsidRPr="00DA5FD4">
              <w:rPr>
                <w:color w:val="FFFFFF" w:themeColor="background1"/>
              </w:rPr>
              <w:t>Ground truth equity indicators through community knowledge and lived experiences</w:t>
            </w:r>
          </w:p>
          <w:p w14:paraId="73606B6B" w14:textId="77777777" w:rsidR="00544B9A" w:rsidRPr="00DA406E" w:rsidRDefault="00544B9A" w:rsidP="00D91905">
            <w:pPr>
              <w:pStyle w:val="TableText"/>
              <w:keepNext/>
              <w:keepLines/>
              <w:numPr>
                <w:ilvl w:val="0"/>
                <w:numId w:val="16"/>
              </w:numPr>
              <w:spacing w:after="120"/>
              <w:ind w:left="259" w:hanging="259"/>
              <w:rPr>
                <w:color w:val="FFFFFF" w:themeColor="background1"/>
              </w:rPr>
            </w:pPr>
            <w:r w:rsidRPr="00DA406E">
              <w:rPr>
                <w:rFonts w:ascii="Arial" w:hAnsi="Arial" w:cs="Arial"/>
                <w:color w:val="FFFFFF" w:themeColor="background1"/>
                <w:lang w:val="en-GB" w:eastAsia="zh-CN"/>
              </w:rPr>
              <w:t>Incorporate and document community feedback </w:t>
            </w:r>
          </w:p>
        </w:tc>
        <w:tc>
          <w:tcPr>
            <w:tcW w:w="3191" w:type="dxa"/>
            <w:shd w:val="clear" w:color="auto" w:fill="3F9C35" w:themeFill="accent6"/>
          </w:tcPr>
          <w:p w14:paraId="5505E227" w14:textId="6C0907A4" w:rsidR="00544B9A" w:rsidRPr="00FA3C69" w:rsidRDefault="00544B9A" w:rsidP="004A1CB8">
            <w:pPr>
              <w:pStyle w:val="TableText"/>
              <w:keepNext/>
              <w:keepLines/>
              <w:numPr>
                <w:ilvl w:val="0"/>
                <w:numId w:val="16"/>
              </w:numPr>
              <w:spacing w:before="0" w:after="120"/>
              <w:ind w:left="259" w:hanging="259"/>
              <w:rPr>
                <w:color w:val="FFFFFF" w:themeColor="background1"/>
              </w:rPr>
            </w:pPr>
            <w:r w:rsidRPr="00FA3C69">
              <w:rPr>
                <w:color w:val="FFFFFF" w:themeColor="background1"/>
              </w:rPr>
              <w:t>Ensure community impacts data</w:t>
            </w:r>
            <w:r w:rsidR="003927CA">
              <w:rPr>
                <w:color w:val="FFFFFF" w:themeColor="background1"/>
              </w:rPr>
              <w:t xml:space="preserve"> in the </w:t>
            </w:r>
            <w:r w:rsidR="00DA035B">
              <w:rPr>
                <w:color w:val="FFFFFF" w:themeColor="background1"/>
              </w:rPr>
              <w:t>T</w:t>
            </w:r>
            <w:r w:rsidR="003927CA">
              <w:rPr>
                <w:color w:val="FFFFFF" w:themeColor="background1"/>
              </w:rPr>
              <w:t>ool</w:t>
            </w:r>
            <w:r w:rsidRPr="00FA3C69">
              <w:rPr>
                <w:color w:val="FFFFFF" w:themeColor="background1"/>
              </w:rPr>
              <w:t xml:space="preserve"> reflect place-based community challenges, needs and interests </w:t>
            </w:r>
          </w:p>
          <w:p w14:paraId="5DC1DCCA" w14:textId="77777777" w:rsidR="00544B9A" w:rsidRPr="00FA3C69" w:rsidRDefault="00544B9A" w:rsidP="00D91905">
            <w:pPr>
              <w:pStyle w:val="TableText"/>
              <w:keepNext/>
              <w:keepLines/>
              <w:numPr>
                <w:ilvl w:val="0"/>
                <w:numId w:val="16"/>
              </w:numPr>
              <w:spacing w:after="120"/>
              <w:ind w:left="259" w:hanging="259"/>
              <w:rPr>
                <w:color w:val="FFFFFF" w:themeColor="background1"/>
              </w:rPr>
            </w:pPr>
            <w:r w:rsidRPr="00FA3C69">
              <w:rPr>
                <w:color w:val="FFFFFF" w:themeColor="background1"/>
              </w:rPr>
              <w:t xml:space="preserve">Uplift community feedback </w:t>
            </w:r>
          </w:p>
          <w:p w14:paraId="71401D6D" w14:textId="77777777" w:rsidR="00544B9A" w:rsidRPr="00DA406E" w:rsidRDefault="00544B9A" w:rsidP="00D91905">
            <w:pPr>
              <w:pStyle w:val="TableText"/>
              <w:keepNext/>
              <w:keepLines/>
              <w:numPr>
                <w:ilvl w:val="0"/>
                <w:numId w:val="16"/>
              </w:numPr>
              <w:spacing w:after="120"/>
              <w:ind w:left="259" w:hanging="259"/>
              <w:rPr>
                <w:color w:val="FFFFFF" w:themeColor="background1"/>
              </w:rPr>
            </w:pPr>
            <w:r w:rsidRPr="00DA406E">
              <w:rPr>
                <w:rFonts w:ascii="Arial" w:hAnsi="Arial" w:cs="Arial"/>
                <w:color w:val="FFFFFF" w:themeColor="background1"/>
                <w:lang w:val="en-GB" w:eastAsia="zh-CN"/>
              </w:rPr>
              <w:t>Inform the state of potential unintended consequences or secondary impacts</w:t>
            </w:r>
          </w:p>
        </w:tc>
        <w:tc>
          <w:tcPr>
            <w:tcW w:w="3191" w:type="dxa"/>
            <w:shd w:val="clear" w:color="auto" w:fill="0F204B" w:themeFill="accent1"/>
          </w:tcPr>
          <w:p w14:paraId="43B5DBF4" w14:textId="259D8651" w:rsidR="00544B9A" w:rsidRPr="00321DB0" w:rsidRDefault="00544B9A" w:rsidP="004A1CB8">
            <w:pPr>
              <w:pStyle w:val="TableText"/>
              <w:keepNext/>
              <w:keepLines/>
              <w:numPr>
                <w:ilvl w:val="0"/>
                <w:numId w:val="16"/>
              </w:numPr>
              <w:spacing w:before="0" w:after="120"/>
              <w:ind w:left="259" w:hanging="259"/>
              <w:rPr>
                <w:color w:val="FFFFFF" w:themeColor="background1"/>
              </w:rPr>
            </w:pPr>
            <w:r w:rsidRPr="00321DB0">
              <w:rPr>
                <w:color w:val="FFFFFF" w:themeColor="background1"/>
              </w:rPr>
              <w:t xml:space="preserve">Areas with top-scoring equity metrics applying </w:t>
            </w:r>
            <w:r w:rsidR="00C813ED">
              <w:rPr>
                <w:color w:val="FFFFFF" w:themeColor="background1"/>
              </w:rPr>
              <w:t>the</w:t>
            </w:r>
            <w:r w:rsidRPr="00321DB0">
              <w:rPr>
                <w:color w:val="FFFFFF" w:themeColor="background1"/>
              </w:rPr>
              <w:t xml:space="preserve"> Beta Tool </w:t>
            </w:r>
          </w:p>
          <w:p w14:paraId="32C3F523" w14:textId="77777777" w:rsidR="00544B9A" w:rsidRPr="00321DB0" w:rsidRDefault="00544B9A" w:rsidP="00D91905">
            <w:pPr>
              <w:pStyle w:val="TableText"/>
              <w:keepNext/>
              <w:keepLines/>
              <w:numPr>
                <w:ilvl w:val="0"/>
                <w:numId w:val="16"/>
              </w:numPr>
              <w:spacing w:after="120"/>
              <w:ind w:left="259" w:hanging="259"/>
              <w:rPr>
                <w:color w:val="FFFFFF" w:themeColor="background1"/>
              </w:rPr>
            </w:pPr>
            <w:r w:rsidRPr="00321DB0">
              <w:rPr>
                <w:color w:val="FFFFFF" w:themeColor="background1"/>
              </w:rPr>
              <w:t>Project team lived experience and community knowledge of California</w:t>
            </w:r>
          </w:p>
          <w:p w14:paraId="229FFCDC" w14:textId="77777777" w:rsidR="00544B9A" w:rsidRPr="00321DB0" w:rsidRDefault="00544B9A" w:rsidP="00D91905">
            <w:pPr>
              <w:pStyle w:val="TableText"/>
              <w:keepNext/>
              <w:keepLines/>
              <w:numPr>
                <w:ilvl w:val="0"/>
                <w:numId w:val="16"/>
              </w:numPr>
              <w:spacing w:after="120"/>
              <w:ind w:left="259" w:hanging="259"/>
              <w:rPr>
                <w:color w:val="FFFFFF" w:themeColor="background1"/>
              </w:rPr>
            </w:pPr>
            <w:r w:rsidRPr="00321DB0">
              <w:rPr>
                <w:color w:val="FFFFFF" w:themeColor="background1"/>
              </w:rPr>
              <w:t>Diverse regions and landscapes across California (e.g., urban, rural, tribal, coastal)</w:t>
            </w:r>
          </w:p>
          <w:p w14:paraId="6EB43FC9" w14:textId="77777777" w:rsidR="00544B9A" w:rsidRPr="00DA406E" w:rsidRDefault="00544B9A" w:rsidP="00D91905">
            <w:pPr>
              <w:pStyle w:val="TableText"/>
              <w:keepNext/>
              <w:keepLines/>
              <w:numPr>
                <w:ilvl w:val="0"/>
                <w:numId w:val="16"/>
              </w:numPr>
              <w:spacing w:after="120"/>
              <w:ind w:left="259" w:hanging="259"/>
              <w:rPr>
                <w:color w:val="FFFFFF" w:themeColor="background1"/>
              </w:rPr>
            </w:pPr>
            <w:r w:rsidRPr="00DA406E">
              <w:rPr>
                <w:rFonts w:ascii="Arial" w:hAnsi="Arial" w:cs="Arial"/>
                <w:color w:val="FFFFFF" w:themeColor="background1"/>
                <w:lang w:val="en-GB" w:eastAsia="zh-CN"/>
              </w:rPr>
              <w:t>Interested community partners</w:t>
            </w:r>
          </w:p>
        </w:tc>
      </w:tr>
    </w:tbl>
    <w:p w14:paraId="6D70E601" w14:textId="4762D00C" w:rsidR="0072189B" w:rsidRDefault="68A6BDE1" w:rsidP="530D6781">
      <w:pPr>
        <w:pStyle w:val="BodyText"/>
        <w:spacing w:before="120"/>
      </w:pPr>
      <w:r>
        <w:t xml:space="preserve">To select these locations, the research team used the Tool to screen for areas that scored high on the Equity Index. They also applied other criteria, including representation of diverse geographical regions and landscapes across California—such as urban, rural, coastal, tribal, and mixed—and drew on the team’s lived experiences and deep knowledge of California’s communities. </w:t>
      </w:r>
      <w:r w:rsidR="2BE5468B">
        <w:t>The team also prioritized partnering with communities that responded with interest, capacity</w:t>
      </w:r>
      <w:r w:rsidR="0939C79C">
        <w:t>,</w:t>
      </w:r>
      <w:r w:rsidR="2BE5468B">
        <w:t xml:space="preserve"> and availability to engage in this work. Knowing the complexities of explaining gas pipeline decommissioning, it was critical to find local partners who were willing to engage </w:t>
      </w:r>
      <w:r w:rsidR="26EB2927">
        <w:t>at a more in-depth level</w:t>
      </w:r>
      <w:r w:rsidR="3452AAF3">
        <w:t xml:space="preserve"> </w:t>
      </w:r>
      <w:r w:rsidR="2BE5468B">
        <w:t>on highly technical information</w:t>
      </w:r>
      <w:r w:rsidR="313D650A">
        <w:t xml:space="preserve"> and were able to make it an organizational priority</w:t>
      </w:r>
      <w:r w:rsidR="2BE5468B">
        <w:t xml:space="preserve"> and in turn provide informed feedback to the improving the Tool and share that information with their constituents and community members</w:t>
      </w:r>
      <w:r w:rsidR="3758E107">
        <w:t>.</w:t>
      </w:r>
      <w:r w:rsidR="4CA0E156">
        <w:t xml:space="preserve"> </w:t>
      </w:r>
      <w:r w:rsidR="313D650A">
        <w:t xml:space="preserve">Generally, those partners who </w:t>
      </w:r>
      <w:proofErr w:type="gramStart"/>
      <w:r w:rsidR="313D650A">
        <w:t>were not able to</w:t>
      </w:r>
      <w:proofErr w:type="gramEnd"/>
      <w:r w:rsidR="313D650A">
        <w:t xml:space="preserve"> dedicate resources to </w:t>
      </w:r>
      <w:r w:rsidR="28FDCFDB">
        <w:t>commit to full case study partnerships</w:t>
      </w:r>
      <w:r w:rsidR="313D650A">
        <w:t xml:space="preserve"> were able to provide higher level</w:t>
      </w:r>
      <w:r w:rsidR="5E3DFD60">
        <w:t xml:space="preserve"> and more qualitative</w:t>
      </w:r>
      <w:r w:rsidR="313D650A">
        <w:t>, but still valuable feedback</w:t>
      </w:r>
      <w:r w:rsidR="5E3DFD60">
        <w:t>.</w:t>
      </w:r>
    </w:p>
    <w:p w14:paraId="48D5BFC7" w14:textId="0CA99DB6" w:rsidR="00C95018" w:rsidRPr="00ED4E3C" w:rsidRDefault="2BE5468B" w:rsidP="530D6781">
      <w:pPr>
        <w:pStyle w:val="BodyText"/>
      </w:pPr>
      <w:r>
        <w:t xml:space="preserve">Through the case study engagement process, </w:t>
      </w:r>
      <w:r w:rsidR="5F6C9CCA">
        <w:t>the team was</w:t>
      </w:r>
      <w:r>
        <w:t xml:space="preserve"> able to gain partner commitments from </w:t>
      </w:r>
      <w:r w:rsidR="45EDE7A5">
        <w:t>10</w:t>
      </w:r>
      <w:r>
        <w:t xml:space="preserve"> CBOs across California—Oxnard, North Fair Oaks, Richmond, Stockton, Sacramento, Visalia, Wilmington, Blue Lake Rancheria, San Francisco, and the La Jolla Reservation in Southern California (depicted below in</w:t>
      </w:r>
      <w:r w:rsidR="2FD78349">
        <w:t xml:space="preserve"> </w:t>
      </w:r>
      <w:r w:rsidR="007D3D21">
        <w:fldChar w:fldCharType="begin"/>
      </w:r>
      <w:r w:rsidR="007D3D21">
        <w:instrText xml:space="preserve"> REF _Ref207184366 \h </w:instrText>
      </w:r>
      <w:r w:rsidR="007D3D21">
        <w:fldChar w:fldCharType="separate"/>
      </w:r>
      <w:r w:rsidR="00FA7042">
        <w:t xml:space="preserve">Figure </w:t>
      </w:r>
      <w:r w:rsidR="00FA7042">
        <w:rPr>
          <w:noProof/>
        </w:rPr>
        <w:t>2</w:t>
      </w:r>
      <w:r w:rsidR="00FA7042">
        <w:noBreakHyphen/>
      </w:r>
      <w:r w:rsidR="00FA7042">
        <w:rPr>
          <w:noProof/>
        </w:rPr>
        <w:t>4</w:t>
      </w:r>
      <w:r w:rsidR="007D3D21">
        <w:fldChar w:fldCharType="end"/>
      </w:r>
      <w:r>
        <w:t xml:space="preserve">). Ultimately, due to resource constraints, a few of </w:t>
      </w:r>
      <w:r w:rsidR="5F6C9CCA">
        <w:t>the</w:t>
      </w:r>
      <w:r w:rsidR="5A75AE23">
        <w:t>se</w:t>
      </w:r>
      <w:r w:rsidR="5F6C9CCA">
        <w:t xml:space="preserve"> community</w:t>
      </w:r>
      <w:r>
        <w:t xml:space="preserve"> partners had to back out of </w:t>
      </w:r>
      <w:r w:rsidR="411AB6EB">
        <w:t>full case study</w:t>
      </w:r>
      <w:r>
        <w:t xml:space="preserve"> commitments</w:t>
      </w:r>
      <w:r w:rsidR="2B89DDBE">
        <w:t xml:space="preserve">. Given this, </w:t>
      </w:r>
      <w:r w:rsidR="5F6C9CCA">
        <w:t>the team</w:t>
      </w:r>
      <w:r>
        <w:t xml:space="preserve"> </w:t>
      </w:r>
      <w:r w:rsidR="5F6C9CCA">
        <w:t>was</w:t>
      </w:r>
      <w:r>
        <w:t xml:space="preserve"> able to complete five (of </w:t>
      </w:r>
      <w:r w:rsidRPr="00376D5B">
        <w:t>the</w:t>
      </w:r>
      <w:r w:rsidR="4944A0C7" w:rsidRPr="00376D5B">
        <w:t xml:space="preserve"> initial</w:t>
      </w:r>
      <w:r w:rsidRPr="00376D5B">
        <w:t xml:space="preserve"> 1</w:t>
      </w:r>
      <w:r w:rsidR="7CBC422B" w:rsidRPr="00376D5B">
        <w:t>0</w:t>
      </w:r>
      <w:r w:rsidRPr="00376D5B">
        <w:t>) fully c</w:t>
      </w:r>
      <w:r>
        <w:t>ommitted case study engagements: Blue Lake Rancheria, Richmond, Stockton, Central Valley, and Oxnard.</w:t>
      </w:r>
      <w:r w:rsidR="0FAEC34A">
        <w:t xml:space="preserve"> </w:t>
      </w:r>
      <w:r w:rsidR="353D8230">
        <w:t xml:space="preserve">In the remaining five locations, </w:t>
      </w:r>
      <w:r w:rsidR="353D8230" w:rsidRPr="530D6781">
        <w:t>community partners remained engaged enough to offer support, connect the research team with community members, and provide high-level feedback, but not enough to validate the Tool’s scores</w:t>
      </w:r>
      <w:r w:rsidR="5A40815D" w:rsidRPr="530D6781">
        <w:t xml:space="preserve"> or complete full case study partnerships</w:t>
      </w:r>
      <w:r w:rsidR="353D8230" w:rsidRPr="530D6781">
        <w:t xml:space="preserve">. </w:t>
      </w:r>
      <w:r w:rsidR="1AB80815" w:rsidRPr="530D6781">
        <w:t xml:space="preserve">As a result, case studies completed in these locations </w:t>
      </w:r>
      <w:r w:rsidR="07BFF614" w:rsidRPr="530D6781">
        <w:t>are</w:t>
      </w:r>
      <w:r w:rsidR="1AB80815" w:rsidRPr="530D6781">
        <w:t xml:space="preserve"> </w:t>
      </w:r>
      <w:r w:rsidR="5A59A265" w:rsidRPr="530D6781">
        <w:t>higher</w:t>
      </w:r>
      <w:r w:rsidR="1AB80815" w:rsidRPr="530D6781">
        <w:t xml:space="preserve"> level</w:t>
      </w:r>
      <w:r w:rsidR="06994F9A" w:rsidRPr="530D6781">
        <w:t xml:space="preserve"> and do not contain the same de</w:t>
      </w:r>
      <w:r w:rsidR="0876E40E" w:rsidRPr="530D6781">
        <w:t>gree of community validation</w:t>
      </w:r>
      <w:r w:rsidR="0832EF4E" w:rsidRPr="530D6781">
        <w:t xml:space="preserve"> as the fully committed locations</w:t>
      </w:r>
      <w:r w:rsidR="4333F376" w:rsidRPr="530D6781">
        <w:t xml:space="preserve">. </w:t>
      </w:r>
    </w:p>
    <w:p w14:paraId="1ED7FDC5" w14:textId="489D4E3E" w:rsidR="00C94D81" w:rsidRDefault="4EB35443" w:rsidP="00F23D36">
      <w:pPr>
        <w:pStyle w:val="FigureTitle"/>
      </w:pPr>
      <w:bookmarkStart w:id="33" w:name="_Ref207184366"/>
      <w:bookmarkStart w:id="34" w:name="_Toc214535421"/>
      <w:r>
        <w:t xml:space="preserve">Figure </w:t>
      </w:r>
      <w:r w:rsidR="003A586C">
        <w:fldChar w:fldCharType="begin"/>
      </w:r>
      <w:r w:rsidR="003A586C">
        <w:instrText xml:space="preserve"> STYLEREF 1 \s </w:instrText>
      </w:r>
      <w:r w:rsidR="003A586C">
        <w:fldChar w:fldCharType="separate"/>
      </w:r>
      <w:r w:rsidR="00FA7042">
        <w:rPr>
          <w:noProof/>
        </w:rPr>
        <w:t>2</w:t>
      </w:r>
      <w:r w:rsidR="003A586C">
        <w:fldChar w:fldCharType="end"/>
      </w:r>
      <w:r w:rsidR="003A586C">
        <w:noBreakHyphen/>
      </w:r>
      <w:r w:rsidR="003A586C">
        <w:fldChar w:fldCharType="begin"/>
      </w:r>
      <w:r w:rsidR="003A586C">
        <w:instrText xml:space="preserve"> SEQ Figure \* ARABIC \s 1 </w:instrText>
      </w:r>
      <w:r w:rsidR="003A586C">
        <w:fldChar w:fldCharType="separate"/>
      </w:r>
      <w:r w:rsidR="00FA7042">
        <w:rPr>
          <w:noProof/>
        </w:rPr>
        <w:t>4</w:t>
      </w:r>
      <w:r w:rsidR="003A586C">
        <w:fldChar w:fldCharType="end"/>
      </w:r>
      <w:bookmarkEnd w:id="33"/>
      <w:r>
        <w:t>. Case Study Locations</w:t>
      </w:r>
      <w:bookmarkEnd w:id="34"/>
    </w:p>
    <w:tbl>
      <w:tblPr>
        <w:tblStyle w:val="TableGrid"/>
        <w:tblW w:w="0" w:type="auto"/>
        <w:tblBorders>
          <w:insideV w:val="single" w:sz="36" w:space="0" w:color="FFFFFF" w:themeColor="background1"/>
        </w:tblBorders>
        <w:tblLook w:val="04A0" w:firstRow="1" w:lastRow="0" w:firstColumn="1" w:lastColumn="0" w:noHBand="0" w:noVBand="1"/>
      </w:tblPr>
      <w:tblGrid>
        <w:gridCol w:w="5850"/>
        <w:gridCol w:w="3732"/>
      </w:tblGrid>
      <w:tr w:rsidR="00672834" w14:paraId="111E25A9" w14:textId="77777777" w:rsidTr="004A1CB8">
        <w:trPr>
          <w:trHeight w:val="3643"/>
        </w:trPr>
        <w:tc>
          <w:tcPr>
            <w:tcW w:w="5850" w:type="dxa"/>
            <w:shd w:val="clear" w:color="auto" w:fill="F2F2F2" w:themeFill="background1" w:themeFillShade="F2"/>
            <w:vAlign w:val="center"/>
          </w:tcPr>
          <w:p w14:paraId="742B8F40" w14:textId="29ADC050" w:rsidR="00B926EC" w:rsidRPr="00E16AA9" w:rsidRDefault="00B926EC" w:rsidP="00410F84">
            <w:pPr>
              <w:pStyle w:val="TableText"/>
              <w:spacing w:before="0" w:after="120"/>
              <w:ind w:left="288"/>
              <w:rPr>
                <w:b/>
                <w:bCs/>
                <w:color w:val="0F204B" w:themeColor="text2"/>
              </w:rPr>
            </w:pPr>
            <w:r w:rsidRPr="00E16AA9">
              <w:rPr>
                <w:b/>
                <w:bCs/>
                <w:color w:val="0F204B" w:themeColor="text2"/>
              </w:rPr>
              <w:t>Blue Lake Rancheria Tribe of California (rural, tribal)</w:t>
            </w:r>
          </w:p>
          <w:p w14:paraId="46238894" w14:textId="77777777" w:rsidR="00B926EC" w:rsidRPr="00E16AA9" w:rsidRDefault="00B926EC" w:rsidP="00410F84">
            <w:pPr>
              <w:pStyle w:val="TableText"/>
              <w:spacing w:before="0" w:after="120"/>
              <w:ind w:left="288"/>
              <w:rPr>
                <w:b/>
                <w:bCs/>
                <w:color w:val="0F204B" w:themeColor="text2"/>
              </w:rPr>
            </w:pPr>
            <w:r w:rsidRPr="00E16AA9">
              <w:rPr>
                <w:b/>
                <w:bCs/>
                <w:color w:val="0F204B" w:themeColor="text2"/>
              </w:rPr>
              <w:t>Sacramento (urban, suburban)</w:t>
            </w:r>
          </w:p>
          <w:p w14:paraId="5C3B7932" w14:textId="77777777" w:rsidR="00B926EC" w:rsidRPr="00E16AA9" w:rsidRDefault="00B926EC" w:rsidP="00410F84">
            <w:pPr>
              <w:pStyle w:val="TableText"/>
              <w:spacing w:before="0" w:after="120"/>
              <w:ind w:left="288"/>
              <w:rPr>
                <w:b/>
                <w:bCs/>
                <w:color w:val="0F204B" w:themeColor="text2"/>
              </w:rPr>
            </w:pPr>
            <w:r w:rsidRPr="00E16AA9">
              <w:rPr>
                <w:b/>
                <w:bCs/>
                <w:color w:val="0F204B" w:themeColor="text2"/>
              </w:rPr>
              <w:t>Richmond (urban, industrial)</w:t>
            </w:r>
          </w:p>
          <w:p w14:paraId="70A54E6D" w14:textId="77777777" w:rsidR="00B926EC" w:rsidRPr="00E16AA9" w:rsidRDefault="00B926EC" w:rsidP="00410F84">
            <w:pPr>
              <w:pStyle w:val="TableText"/>
              <w:spacing w:before="0" w:after="120"/>
              <w:ind w:left="288"/>
              <w:rPr>
                <w:b/>
                <w:bCs/>
                <w:color w:val="0F204B" w:themeColor="text2"/>
              </w:rPr>
            </w:pPr>
            <w:r w:rsidRPr="00E16AA9">
              <w:rPr>
                <w:b/>
                <w:bCs/>
                <w:color w:val="0F204B" w:themeColor="text2"/>
              </w:rPr>
              <w:t>San Francisco (urban)</w:t>
            </w:r>
          </w:p>
          <w:p w14:paraId="10BE8E95" w14:textId="77777777" w:rsidR="00B926EC" w:rsidRPr="00E16AA9" w:rsidRDefault="00B926EC" w:rsidP="00410F84">
            <w:pPr>
              <w:pStyle w:val="TableText"/>
              <w:spacing w:before="0" w:after="120"/>
              <w:ind w:left="288"/>
              <w:rPr>
                <w:b/>
                <w:bCs/>
                <w:color w:val="0F204B" w:themeColor="text2"/>
              </w:rPr>
            </w:pPr>
            <w:r w:rsidRPr="00E16AA9">
              <w:rPr>
                <w:b/>
                <w:bCs/>
                <w:color w:val="0F204B" w:themeColor="text2"/>
              </w:rPr>
              <w:t>North Fair Oaks (suburban)</w:t>
            </w:r>
          </w:p>
          <w:p w14:paraId="79709BA7" w14:textId="77777777" w:rsidR="00B926EC" w:rsidRPr="00E16AA9" w:rsidRDefault="00B926EC" w:rsidP="00410F84">
            <w:pPr>
              <w:pStyle w:val="TableText"/>
              <w:spacing w:before="0" w:after="120"/>
              <w:ind w:left="288"/>
              <w:rPr>
                <w:b/>
                <w:bCs/>
                <w:color w:val="0F204B" w:themeColor="text2"/>
              </w:rPr>
            </w:pPr>
            <w:r w:rsidRPr="00E16AA9">
              <w:rPr>
                <w:b/>
                <w:bCs/>
                <w:color w:val="0F204B" w:themeColor="text2"/>
              </w:rPr>
              <w:t>Stockton (suburban, rural)</w:t>
            </w:r>
          </w:p>
          <w:p w14:paraId="70105857" w14:textId="77777777" w:rsidR="00B926EC" w:rsidRPr="00E16AA9" w:rsidRDefault="00B926EC" w:rsidP="00410F84">
            <w:pPr>
              <w:pStyle w:val="TableText"/>
              <w:spacing w:before="0" w:after="120"/>
              <w:ind w:left="288"/>
              <w:rPr>
                <w:b/>
                <w:bCs/>
                <w:color w:val="0F204B" w:themeColor="text2"/>
              </w:rPr>
            </w:pPr>
            <w:r w:rsidRPr="00E16AA9">
              <w:rPr>
                <w:b/>
                <w:bCs/>
                <w:color w:val="0F204B" w:themeColor="text2"/>
              </w:rPr>
              <w:t>Visalia (suburban, rural)</w:t>
            </w:r>
          </w:p>
          <w:p w14:paraId="3E19F96B" w14:textId="77777777" w:rsidR="00B926EC" w:rsidRPr="00E16AA9" w:rsidRDefault="00B926EC" w:rsidP="00410F84">
            <w:pPr>
              <w:pStyle w:val="TableText"/>
              <w:spacing w:before="0" w:after="120"/>
              <w:ind w:left="288"/>
              <w:rPr>
                <w:b/>
                <w:bCs/>
                <w:color w:val="0F204B" w:themeColor="text2"/>
              </w:rPr>
            </w:pPr>
            <w:r w:rsidRPr="00E16AA9">
              <w:rPr>
                <w:b/>
                <w:bCs/>
                <w:color w:val="0F204B" w:themeColor="text2"/>
              </w:rPr>
              <w:t>Oxnard (coastal, suburban)</w:t>
            </w:r>
          </w:p>
          <w:p w14:paraId="0582426F" w14:textId="77777777" w:rsidR="00B926EC" w:rsidRPr="00E16AA9" w:rsidRDefault="00B926EC" w:rsidP="00410F84">
            <w:pPr>
              <w:pStyle w:val="TableText"/>
              <w:spacing w:before="0" w:after="120"/>
              <w:ind w:left="288"/>
              <w:rPr>
                <w:b/>
                <w:bCs/>
                <w:color w:val="0F204B" w:themeColor="text2"/>
              </w:rPr>
            </w:pPr>
            <w:r w:rsidRPr="00E16AA9">
              <w:rPr>
                <w:b/>
                <w:bCs/>
                <w:color w:val="0F204B" w:themeColor="text2"/>
              </w:rPr>
              <w:t>Wilmington (industrial, port corridor)</w:t>
            </w:r>
          </w:p>
          <w:p w14:paraId="1B7E7638" w14:textId="713B5784" w:rsidR="001E63BE" w:rsidRDefault="00B926EC" w:rsidP="00410F84">
            <w:pPr>
              <w:pStyle w:val="TableText"/>
              <w:spacing w:before="0" w:after="120"/>
              <w:ind w:left="288"/>
            </w:pPr>
            <w:r w:rsidRPr="00E16AA9">
              <w:rPr>
                <w:b/>
                <w:bCs/>
                <w:color w:val="0F204B" w:themeColor="text2"/>
              </w:rPr>
              <w:t>La Jolla Band of Luiseno Indians (non-grid fuel)</w:t>
            </w:r>
          </w:p>
        </w:tc>
        <w:tc>
          <w:tcPr>
            <w:tcW w:w="3732" w:type="dxa"/>
            <w:shd w:val="clear" w:color="auto" w:fill="F2F2F2" w:themeFill="background1" w:themeFillShade="F2"/>
          </w:tcPr>
          <w:p w14:paraId="5D89F8E4" w14:textId="66268B26" w:rsidR="001E63BE" w:rsidRDefault="002D70EB" w:rsidP="003A77E1">
            <w:pPr>
              <w:pStyle w:val="BodyText"/>
              <w:spacing w:before="0" w:after="0"/>
              <w:jc w:val="center"/>
            </w:pPr>
            <w:r>
              <w:rPr>
                <w:noProof/>
              </w:rPr>
              <w:drawing>
                <wp:inline distT="0" distB="0" distL="0" distR="0" wp14:anchorId="6FB51BF3" wp14:editId="745F46AC">
                  <wp:extent cx="2129127" cy="2324100"/>
                  <wp:effectExtent l="0" t="0" r="5080" b="0"/>
                  <wp:docPr id="910229570" name="Picture 3" descr="A map of the state of California, showing locations of the cas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29570" name="Picture 3" descr="A map of the state of California, showing locations of the case studies."/>
                          <pic:cNvPicPr/>
                        </pic:nvPicPr>
                        <pic:blipFill rotWithShape="1">
                          <a:blip r:embed="rId34" cstate="print">
                            <a:extLst>
                              <a:ext uri="{28A0092B-C50C-407E-A947-70E740481C1C}">
                                <a14:useLocalDpi xmlns:a14="http://schemas.microsoft.com/office/drawing/2010/main" val="0"/>
                              </a:ext>
                            </a:extLst>
                          </a:blip>
                          <a:srcRect l="7650" r="4379"/>
                          <a:stretch>
                            <a:fillRect/>
                          </a:stretch>
                        </pic:blipFill>
                        <pic:spPr bwMode="auto">
                          <a:xfrm>
                            <a:off x="0" y="0"/>
                            <a:ext cx="2133432" cy="2328799"/>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68750E" w14:textId="41AF74AD" w:rsidR="006D12DC" w:rsidRDefault="00285BDA" w:rsidP="00496F8E">
      <w:pPr>
        <w:pStyle w:val="Heading3"/>
      </w:pPr>
      <w:bookmarkStart w:id="35" w:name="_Toc734424476"/>
      <w:r>
        <w:lastRenderedPageBreak/>
        <w:t xml:space="preserve">Case Study </w:t>
      </w:r>
      <w:r w:rsidR="00DF3F77">
        <w:t>Engagement Framework</w:t>
      </w:r>
      <w:bookmarkEnd w:id="35"/>
      <w:r>
        <w:t xml:space="preserve"> </w:t>
      </w:r>
    </w:p>
    <w:p w14:paraId="54CDB1BD" w14:textId="25FF1A0B" w:rsidR="00686414" w:rsidRPr="00686414" w:rsidRDefault="695E4C4F" w:rsidP="00686414">
      <w:pPr>
        <w:pStyle w:val="BodyText"/>
        <w:rPr>
          <w:lang w:val="en-US"/>
        </w:rPr>
      </w:pPr>
      <w:r w:rsidRPr="530D6781">
        <w:rPr>
          <w:lang w:val="en-US"/>
        </w:rPr>
        <w:t xml:space="preserve">To ensure the case studies </w:t>
      </w:r>
      <w:r w:rsidR="12793CE9" w:rsidRPr="530D6781">
        <w:rPr>
          <w:lang w:val="en-US"/>
        </w:rPr>
        <w:t>reflect</w:t>
      </w:r>
      <w:r w:rsidRPr="530D6781">
        <w:rPr>
          <w:lang w:val="en-US"/>
        </w:rPr>
        <w:t xml:space="preserve"> place-based knowledge and community priorities, </w:t>
      </w:r>
      <w:r w:rsidR="389F4587" w:rsidRPr="530D6781">
        <w:rPr>
          <w:lang w:val="en-US"/>
        </w:rPr>
        <w:t>the research</w:t>
      </w:r>
      <w:r w:rsidRPr="530D6781">
        <w:rPr>
          <w:lang w:val="en-US"/>
        </w:rPr>
        <w:t xml:space="preserve"> team collaborated directly with local partners through a structured, yet flexible, engagement </w:t>
      </w:r>
      <w:r w:rsidR="02AFBDEE" w:rsidRPr="530D6781">
        <w:rPr>
          <w:lang w:val="en-US"/>
        </w:rPr>
        <w:t>framework</w:t>
      </w:r>
      <w:r w:rsidRPr="530D6781">
        <w:rPr>
          <w:lang w:val="en-US"/>
        </w:rPr>
        <w:t xml:space="preserve">. Each partner participated in a series of three meetings (via Zoom or in person), totaling approximately 10-15 hours, supplemented by email exchanges </w:t>
      </w:r>
      <w:r w:rsidR="12988761" w:rsidRPr="530D6781">
        <w:rPr>
          <w:lang w:val="en-US"/>
        </w:rPr>
        <w:t xml:space="preserve">and review and </w:t>
      </w:r>
      <w:r w:rsidR="4920494F" w:rsidRPr="530D6781">
        <w:rPr>
          <w:lang w:val="en-US"/>
        </w:rPr>
        <w:t>feedback</w:t>
      </w:r>
      <w:r w:rsidR="12988761" w:rsidRPr="530D6781">
        <w:rPr>
          <w:lang w:val="en-US"/>
        </w:rPr>
        <w:t xml:space="preserve"> between each meeting, as needed. </w:t>
      </w:r>
      <w:r w:rsidR="26C90A17" w:rsidRPr="530D6781">
        <w:rPr>
          <w:lang w:val="en-US"/>
        </w:rPr>
        <w:t xml:space="preserve">While there </w:t>
      </w:r>
      <w:r w:rsidR="12988761" w:rsidRPr="530D6781">
        <w:rPr>
          <w:lang w:val="en-US"/>
        </w:rPr>
        <w:t>were</w:t>
      </w:r>
      <w:r w:rsidR="26C90A17" w:rsidRPr="530D6781">
        <w:rPr>
          <w:lang w:val="en-US"/>
        </w:rPr>
        <w:t xml:space="preserve"> some </w:t>
      </w:r>
      <w:r w:rsidR="12988761" w:rsidRPr="530D6781">
        <w:rPr>
          <w:lang w:val="en-US"/>
        </w:rPr>
        <w:t>deviations</w:t>
      </w:r>
      <w:r w:rsidR="26C90A17" w:rsidRPr="530D6781">
        <w:rPr>
          <w:lang w:val="en-US"/>
        </w:rPr>
        <w:t xml:space="preserve"> </w:t>
      </w:r>
      <w:r w:rsidR="3668BFCD" w:rsidRPr="530D6781">
        <w:rPr>
          <w:lang w:val="en-US"/>
        </w:rPr>
        <w:t xml:space="preserve">depending on the schedule preferences of individual partner locations, </w:t>
      </w:r>
      <w:r w:rsidR="3F1EADEF" w:rsidRPr="530D6781">
        <w:rPr>
          <w:lang w:val="en-US"/>
        </w:rPr>
        <w:t xml:space="preserve">the structure of each meeting </w:t>
      </w:r>
      <w:r w:rsidR="12988761" w:rsidRPr="530D6781">
        <w:rPr>
          <w:lang w:val="en-US"/>
        </w:rPr>
        <w:t xml:space="preserve">largely </w:t>
      </w:r>
      <w:r w:rsidR="013F6A5E" w:rsidRPr="530D6781">
        <w:rPr>
          <w:lang w:val="en-US"/>
        </w:rPr>
        <w:t xml:space="preserve">aligned with the following </w:t>
      </w:r>
      <w:r w:rsidR="20344DE9" w:rsidRPr="530D6781">
        <w:rPr>
          <w:lang w:val="en-US"/>
        </w:rPr>
        <w:t xml:space="preserve">schedule: </w:t>
      </w:r>
    </w:p>
    <w:p w14:paraId="722875D3" w14:textId="4914A387" w:rsidR="00686414" w:rsidRPr="00686414" w:rsidRDefault="00686414" w:rsidP="00AF5160">
      <w:pPr>
        <w:pStyle w:val="Bullet1"/>
      </w:pPr>
      <w:r w:rsidRPr="00686414">
        <w:rPr>
          <w:b/>
        </w:rPr>
        <w:t>Meeting 1</w:t>
      </w:r>
      <w:r w:rsidR="00135540">
        <w:rPr>
          <w:b/>
        </w:rPr>
        <w:t>:</w:t>
      </w:r>
      <w:r w:rsidRPr="00686414">
        <w:t xml:space="preserve"> an overview of the case study approach, including a refresher on the project and an update on the development of the data-driven tool. Partners were introduced to </w:t>
      </w:r>
      <w:r w:rsidR="00C813ED">
        <w:t>the</w:t>
      </w:r>
      <w:r w:rsidRPr="00686414">
        <w:t xml:space="preserve"> </w:t>
      </w:r>
      <w:hyperlink r:id="rId35" w:tgtFrame="_new" w:history="1">
        <w:r w:rsidRPr="00686414">
          <w:rPr>
            <w:rStyle w:val="Hyperlink"/>
          </w:rPr>
          <w:t>Community Resource Hub</w:t>
        </w:r>
      </w:hyperlink>
      <w:r w:rsidRPr="00686414">
        <w:t>, where foundational materials and updates were shared.</w:t>
      </w:r>
    </w:p>
    <w:p w14:paraId="153D1B83" w14:textId="14CA6A04" w:rsidR="00686414" w:rsidRPr="00686414" w:rsidRDefault="23F24458" w:rsidP="00AF5160">
      <w:pPr>
        <w:pStyle w:val="Bullet1"/>
      </w:pPr>
      <w:r w:rsidRPr="184CD720">
        <w:rPr>
          <w:b/>
          <w:bCs/>
          <w:lang w:val="en-US"/>
        </w:rPr>
        <w:t>Meeting 2</w:t>
      </w:r>
      <w:r w:rsidR="078C88B3" w:rsidRPr="00E909E8">
        <w:rPr>
          <w:b/>
          <w:bCs/>
          <w:lang w:val="en-US"/>
        </w:rPr>
        <w:t>:</w:t>
      </w:r>
      <w:r w:rsidRPr="184CD720">
        <w:rPr>
          <w:lang w:val="en-US"/>
        </w:rPr>
        <w:t xml:space="preserve"> a deep dive into the equity indicators and decommissioning factors relevant to their community. This included a review of socioeconomic, climate risk, and energy burden metrics, as well as gas infrastructure integrit</w:t>
      </w:r>
      <w:r w:rsidR="078C88B3" w:rsidRPr="184CD720">
        <w:rPr>
          <w:lang w:val="en-US"/>
        </w:rPr>
        <w:t xml:space="preserve">y, </w:t>
      </w:r>
      <w:r w:rsidRPr="184CD720">
        <w:rPr>
          <w:lang w:val="en-US"/>
        </w:rPr>
        <w:t>commercial sector readiness</w:t>
      </w:r>
      <w:r w:rsidR="078C88B3" w:rsidRPr="184CD720">
        <w:rPr>
          <w:lang w:val="en-US"/>
        </w:rPr>
        <w:t xml:space="preserve"> and residential readiness</w:t>
      </w:r>
      <w:r w:rsidRPr="184CD720">
        <w:rPr>
          <w:lang w:val="en-US"/>
        </w:rPr>
        <w:t>. Feedback was used to assess the tool’s alignment with lived experiences and localized priorities.</w:t>
      </w:r>
    </w:p>
    <w:p w14:paraId="64552DCE" w14:textId="616B5155" w:rsidR="00686414" w:rsidRPr="00686414" w:rsidRDefault="23F24458" w:rsidP="000E4EB2">
      <w:pPr>
        <w:pStyle w:val="Bullet1Last"/>
      </w:pPr>
      <w:r w:rsidRPr="184CD720">
        <w:rPr>
          <w:b/>
          <w:bCs/>
          <w:lang w:val="en-US"/>
        </w:rPr>
        <w:t>Meeting 3</w:t>
      </w:r>
      <w:r w:rsidR="078C88B3" w:rsidRPr="184CD720">
        <w:rPr>
          <w:b/>
          <w:bCs/>
          <w:lang w:val="en-US"/>
        </w:rPr>
        <w:t>:</w:t>
      </w:r>
      <w:r w:rsidRPr="184CD720">
        <w:rPr>
          <w:lang w:val="en-US"/>
        </w:rPr>
        <w:t xml:space="preserve"> </w:t>
      </w:r>
      <w:r w:rsidR="00B339D3">
        <w:rPr>
          <w:lang w:val="en-US"/>
        </w:rPr>
        <w:t>review</w:t>
      </w:r>
      <w:r w:rsidRPr="184CD720">
        <w:rPr>
          <w:lang w:val="en-US"/>
        </w:rPr>
        <w:t xml:space="preserve"> and </w:t>
      </w:r>
      <w:r w:rsidR="00B339D3">
        <w:rPr>
          <w:lang w:val="en-US"/>
        </w:rPr>
        <w:t>refinement of</w:t>
      </w:r>
      <w:r w:rsidRPr="184CD720">
        <w:rPr>
          <w:lang w:val="en-US"/>
        </w:rPr>
        <w:t xml:space="preserve"> the case study draft, incorporating partner feedback to finalize </w:t>
      </w:r>
      <w:r w:rsidR="004E3AC1">
        <w:rPr>
          <w:lang w:val="en-US"/>
        </w:rPr>
        <w:t>the</w:t>
      </w:r>
      <w:r w:rsidRPr="184CD720">
        <w:rPr>
          <w:lang w:val="en-US"/>
        </w:rPr>
        <w:t xml:space="preserve"> narrative and </w:t>
      </w:r>
      <w:r w:rsidR="004E3AC1">
        <w:rPr>
          <w:lang w:val="en-US"/>
        </w:rPr>
        <w:t>data analysis</w:t>
      </w:r>
      <w:r w:rsidRPr="184CD720">
        <w:rPr>
          <w:lang w:val="en-US"/>
        </w:rPr>
        <w:t xml:space="preserve"> </w:t>
      </w:r>
      <w:r w:rsidR="004E3AC1">
        <w:rPr>
          <w:lang w:val="en-US"/>
        </w:rPr>
        <w:t>for accuracy and representative of on-the-ground impacts</w:t>
      </w:r>
      <w:r w:rsidRPr="184CD720">
        <w:rPr>
          <w:lang w:val="en-US"/>
        </w:rPr>
        <w:t>.</w:t>
      </w:r>
    </w:p>
    <w:p w14:paraId="6BC69669" w14:textId="3C06A9F3" w:rsidR="000E4EB2" w:rsidRDefault="000E4EB2" w:rsidP="000E4EB2">
      <w:pPr>
        <w:pStyle w:val="BodyText"/>
      </w:pPr>
      <w:r w:rsidRPr="000E4EB2">
        <w:t>To support participation, DNV provided community partners with a micro-grant, with minimal administrative requirements and barriers—partners confirmed total number of hours worked on the case study.</w:t>
      </w:r>
      <w:r w:rsidR="00AB34DE">
        <w:rPr>
          <w:rStyle w:val="FootnoteReference"/>
        </w:rPr>
        <w:footnoteReference w:id="6"/>
      </w:r>
      <w:r w:rsidRPr="000E4EB2">
        <w:t xml:space="preserve"> Partners were also encouraged to bring in other local organizations or leaders to contribute to the process.</w:t>
      </w:r>
    </w:p>
    <w:p w14:paraId="087D68D7" w14:textId="3E6B859C" w:rsidR="1DA6D50C" w:rsidDel="000F307F" w:rsidRDefault="3B8795A2" w:rsidP="004B2AE9">
      <w:pPr>
        <w:pStyle w:val="Heading2"/>
      </w:pPr>
      <w:bookmarkStart w:id="36" w:name="_Toc376249715"/>
      <w:bookmarkStart w:id="37" w:name="_Ref212213740"/>
      <w:bookmarkStart w:id="38" w:name="_Toc214535400"/>
      <w:r>
        <w:t xml:space="preserve">Case Study Findings </w:t>
      </w:r>
      <w:r w:rsidR="64B01F6B">
        <w:t>and Importance for Future Research</w:t>
      </w:r>
      <w:bookmarkEnd w:id="36"/>
      <w:bookmarkEnd w:id="37"/>
      <w:bookmarkEnd w:id="38"/>
    </w:p>
    <w:p w14:paraId="18EBAFFE" w14:textId="3200782C" w:rsidR="00132B4C" w:rsidRPr="00132B4C" w:rsidRDefault="00F01536" w:rsidP="00C421E6">
      <w:pPr>
        <w:pStyle w:val="Heading3"/>
      </w:pPr>
      <w:bookmarkStart w:id="39" w:name="_Toc789342725"/>
      <w:r>
        <w:t>Statewide</w:t>
      </w:r>
      <w:r w:rsidR="00132B4C">
        <w:t xml:space="preserve"> </w:t>
      </w:r>
      <w:r w:rsidR="00443DBD">
        <w:t>Context</w:t>
      </w:r>
      <w:bookmarkEnd w:id="39"/>
    </w:p>
    <w:p w14:paraId="1A95450B" w14:textId="17905E5D" w:rsidR="688DC74B" w:rsidRDefault="688DC74B" w:rsidP="2366B2A7">
      <w:pPr>
        <w:pStyle w:val="BodyText"/>
      </w:pPr>
      <w:r w:rsidRPr="2366B2A7">
        <w:t xml:space="preserve">Case study research achieved multiple outcomes. While initially designed to inform Tool development, the case studies </w:t>
      </w:r>
      <w:r w:rsidR="0FE35411" w:rsidRPr="2366B2A7">
        <w:t>both</w:t>
      </w:r>
      <w:r w:rsidRPr="2366B2A7">
        <w:t xml:space="preserve"> revealed local challenges associated with gas pipeline decommissioning and produced findings with statewide relevance. This approach offers the State a replicable framework for future gas decommissioning and clean energy transition efforts—one that integrates technical assessment with on-the-ground validation and community partnership.</w:t>
      </w:r>
    </w:p>
    <w:p w14:paraId="4977B09B" w14:textId="53F8FF6E" w:rsidR="688DC74B" w:rsidRDefault="7D0D3C23" w:rsidP="2366B2A7">
      <w:pPr>
        <w:pStyle w:val="BodyText"/>
      </w:pPr>
      <w:r>
        <w:t>Through close collaboration with local groups, the team gained a practical understanding of the Tool’s strengths and limitations and identified community dynamics that the State should consider in future implementation efforts. Much like the Tool itself, the case studies generated insights at both “zoomed in” and “zoomed out” scales. At the</w:t>
      </w:r>
      <w:r w:rsidR="23735C52">
        <w:t xml:space="preserve"> “zoomed in”</w:t>
      </w:r>
      <w:r>
        <w:t xml:space="preserve"> local level, partners validated Tool scores for selected census tracts, directly informing updates to key metrics, including those in the Equity Index.</w:t>
      </w:r>
    </w:p>
    <w:p w14:paraId="4A7863E7" w14:textId="25705AB5" w:rsidR="688DC74B" w:rsidRDefault="7D0D3C23" w:rsidP="2366B2A7">
      <w:pPr>
        <w:pStyle w:val="BodyText"/>
      </w:pPr>
      <w:r>
        <w:t xml:space="preserve">At the </w:t>
      </w:r>
      <w:r w:rsidR="53D09B7B">
        <w:t xml:space="preserve">“zoomed out” </w:t>
      </w:r>
      <w:r>
        <w:t>broader level, community feedback surfaced factors that shape readiness for decommissioning statewide—such as climate risk, data limitations, grid vulnerabilities, and the need for early and ongoing community consultation. These findings underscore that equity must remain central to infrastructure planning to ensure vulnerable communities are not left behind. The engagement framework demonstrated through this process provides the State with a replicable model for statewide screening grounded in local context</w:t>
      </w:r>
      <w:r w:rsidR="17D3E63A">
        <w:t xml:space="preserve">. This will help ensure </w:t>
      </w:r>
      <w:r>
        <w:t xml:space="preserve">equitable, community-informed implementation as it advances priority decommissioning initiatives. </w:t>
      </w:r>
      <w:r w:rsidR="7CF5404E">
        <w:t>High-level findings from the case studies that have statewide relevance include the following:</w:t>
      </w:r>
    </w:p>
    <w:p w14:paraId="0315FFB8" w14:textId="45D228F3" w:rsidR="00FF1D39" w:rsidRDefault="00FF1D39" w:rsidP="00FF1D39">
      <w:pPr>
        <w:pStyle w:val="BodyText"/>
      </w:pPr>
      <w:r w:rsidRPr="001C05CE">
        <w:rPr>
          <w:b/>
          <w:bCs/>
        </w:rPr>
        <w:t>California’s energy future is being shaped by a rapidly warming climate.</w:t>
      </w:r>
      <w:r w:rsidR="4452252A" w:rsidRPr="00DA0169">
        <w:t xml:space="preserve"> </w:t>
      </w:r>
      <w:r w:rsidR="7B38E6D2" w:rsidRPr="00AD3068">
        <w:t>M</w:t>
      </w:r>
      <w:r w:rsidR="7B38E6D2">
        <w:t>any</w:t>
      </w:r>
      <w:r w:rsidR="4452252A">
        <w:t xml:space="preserve"> case study locations</w:t>
      </w:r>
      <w:r w:rsidR="5150606E">
        <w:t xml:space="preserve"> can expect a</w:t>
      </w:r>
      <w:r w:rsidR="4452252A">
        <w:t xml:space="preserve"> 10% increase in cooling related electricity use </w:t>
      </w:r>
      <w:r w:rsidR="66D0878E">
        <w:t xml:space="preserve">over the next 30 years—placing significant strain on local grids, especially during summer peaks. </w:t>
      </w:r>
      <w:r w:rsidR="4849BBEC">
        <w:t xml:space="preserve">Across the state, </w:t>
      </w:r>
      <w:r w:rsidR="06E6C966">
        <w:t>r</w:t>
      </w:r>
      <w:r w:rsidR="68B29481">
        <w:t>ising</w:t>
      </w:r>
      <w:r>
        <w:t xml:space="preserve"> temperatures and more frequent extreme heat events are </w:t>
      </w:r>
      <w:r w:rsidR="3BB18392">
        <w:t xml:space="preserve">also </w:t>
      </w:r>
      <w:r>
        <w:t xml:space="preserve">driving up </w:t>
      </w:r>
      <w:r w:rsidR="6E129B11">
        <w:t xml:space="preserve">energy </w:t>
      </w:r>
      <w:r>
        <w:t>demand for cooling</w:t>
      </w:r>
      <w:r w:rsidR="2A5E0430">
        <w:t xml:space="preserve">. </w:t>
      </w:r>
      <w:r>
        <w:t xml:space="preserve">As gas infrastructure is phased out, HVAC systems, cooking, and water heating </w:t>
      </w:r>
      <w:r w:rsidR="0C7E652D">
        <w:t xml:space="preserve">from </w:t>
      </w:r>
      <w:r w:rsidR="0C7E652D">
        <w:lastRenderedPageBreak/>
        <w:t>alternative fuel sources</w:t>
      </w:r>
      <w:r>
        <w:t xml:space="preserve"> will further intensify grid demand. This shift underscores the urgent need to align </w:t>
      </w:r>
      <w:r w:rsidR="58E4D3E8">
        <w:t xml:space="preserve">statewide </w:t>
      </w:r>
      <w:r>
        <w:t>decommissioning efforts with grid resilience planning, particularly in communities facing high heat risk and energy burden.</w:t>
      </w:r>
    </w:p>
    <w:p w14:paraId="0021BAD6" w14:textId="62F99A1F" w:rsidR="00FF1D39" w:rsidRDefault="00FF1D39" w:rsidP="6E89B24B">
      <w:pPr>
        <w:pStyle w:val="BodyText"/>
      </w:pPr>
      <w:r w:rsidRPr="6E89B24B">
        <w:rPr>
          <w:b/>
          <w:bCs/>
        </w:rPr>
        <w:t>Limitations in census tract-level data obscure local realities</w:t>
      </w:r>
      <w:r w:rsidR="001902D9" w:rsidRPr="6E89B24B">
        <w:rPr>
          <w:b/>
          <w:bCs/>
        </w:rPr>
        <w:t>.</w:t>
      </w:r>
      <w:r w:rsidR="001902D9">
        <w:t xml:space="preserve"> </w:t>
      </w:r>
      <w:r w:rsidR="222551D6" w:rsidRPr="6E89B24B">
        <w:t xml:space="preserve">In rural areas, large census tracts can mask </w:t>
      </w:r>
      <w:proofErr w:type="spellStart"/>
      <w:r w:rsidR="222551D6" w:rsidRPr="6E89B24B">
        <w:t>neighborhood</w:t>
      </w:r>
      <w:proofErr w:type="spellEnd"/>
      <w:r w:rsidR="222551D6" w:rsidRPr="6E89B24B">
        <w:t>-level disparities. For instance, gas service may be concentrated in small pockets, yet tract-level data can misleadingly suggest uniform access. Similarly, statewide climate risk datasets often overlook localized vulnerabilities—such as recurrent flooding or extreme heat—identified by community partners. In several case study areas, climate risk scores were lower than expected. In response, the team refined the climate risk variables to better align with locally observed data. The updated score now reflects expected annual losses from 18 hazards, normalized across the state. While this improves local accuracy, some gaps remain: communities exposed to one or two severe hazards, rather than multiple overlapping ones, may still receive comparatively lower scores.</w:t>
      </w:r>
    </w:p>
    <w:p w14:paraId="48903B54" w14:textId="5ADB323E" w:rsidR="00196500" w:rsidRDefault="2403C488" w:rsidP="00FF1D39">
      <w:pPr>
        <w:pStyle w:val="BodyText"/>
      </w:pPr>
      <w:r w:rsidRPr="416DE235">
        <w:rPr>
          <w:b/>
          <w:bCs/>
        </w:rPr>
        <w:t>Grid</w:t>
      </w:r>
      <w:r w:rsidR="00196500" w:rsidRPr="0092240F">
        <w:rPr>
          <w:b/>
          <w:bCs/>
        </w:rPr>
        <w:t xml:space="preserve"> reliability data needs improvement</w:t>
      </w:r>
      <w:r w:rsidR="49DA86D4" w:rsidRPr="416DE235">
        <w:rPr>
          <w:b/>
          <w:bCs/>
        </w:rPr>
        <w:t xml:space="preserve"> across all census tract locations</w:t>
      </w:r>
      <w:r w:rsidRPr="416DE235">
        <w:rPr>
          <w:b/>
          <w:bCs/>
        </w:rPr>
        <w:t>.</w:t>
      </w:r>
      <w:r w:rsidR="00196500" w:rsidRPr="00F23D1B">
        <w:t xml:space="preserve"> While the Tool uses DOE </w:t>
      </w:r>
      <w:proofErr w:type="gramStart"/>
      <w:r w:rsidR="00196500" w:rsidRPr="00F23D1B">
        <w:t>LEAD</w:t>
      </w:r>
      <w:proofErr w:type="gramEnd"/>
      <w:r w:rsidR="00196500" w:rsidRPr="00F23D1B">
        <w:t xml:space="preserve"> data to assess outages, </w:t>
      </w:r>
      <w:r w:rsidR="00196500">
        <w:t xml:space="preserve">this dataset can be refined with </w:t>
      </w:r>
      <w:r w:rsidR="00196500" w:rsidRPr="00F23D1B">
        <w:t xml:space="preserve">more current and localized information—such as Public Safety Power Shutoff (PSPS) data from the CPUC—could offer a more accurate picture of grid vulnerability </w:t>
      </w:r>
      <w:r w:rsidR="00196500">
        <w:t>across California communities</w:t>
      </w:r>
      <w:r w:rsidR="00196500" w:rsidRPr="00F23D1B">
        <w:t>.</w:t>
      </w:r>
      <w:r w:rsidR="00196500">
        <w:t xml:space="preserve"> This refinement would be made to the Tool’s dataset and would then apply to all areas in the state.</w:t>
      </w:r>
    </w:p>
    <w:p w14:paraId="6897F324" w14:textId="54A6912D" w:rsidR="00FF1D39" w:rsidRDefault="008482F2" w:rsidP="00FF1D39">
      <w:pPr>
        <w:pStyle w:val="BodyText"/>
      </w:pPr>
      <w:r w:rsidRPr="4AED333C">
        <w:rPr>
          <w:b/>
          <w:bCs/>
        </w:rPr>
        <w:t xml:space="preserve">Local community validation </w:t>
      </w:r>
      <w:r w:rsidR="63DAAE13" w:rsidRPr="4AED333C">
        <w:rPr>
          <w:b/>
          <w:bCs/>
        </w:rPr>
        <w:t>of Tool results</w:t>
      </w:r>
      <w:r w:rsidR="3A024C23" w:rsidRPr="4AED333C">
        <w:rPr>
          <w:b/>
          <w:bCs/>
        </w:rPr>
        <w:t xml:space="preserve"> </w:t>
      </w:r>
      <w:r w:rsidRPr="4AED333C">
        <w:rPr>
          <w:b/>
          <w:bCs/>
        </w:rPr>
        <w:t>is essential.</w:t>
      </w:r>
      <w:r>
        <w:t xml:space="preserve"> Community input has been critical in identifying gaps in the Tool’s analysis. </w:t>
      </w:r>
      <w:r w:rsidR="0C81B8E8">
        <w:t>For instance,</w:t>
      </w:r>
      <w:r>
        <w:t xml:space="preserve"> </w:t>
      </w:r>
      <w:r w:rsidR="396D5229">
        <w:t>i</w:t>
      </w:r>
      <w:r w:rsidR="3A024C23">
        <w:t>n</w:t>
      </w:r>
      <w:r>
        <w:t xml:space="preserve"> Stockton, low climate risk scores contradicted lived experiences of severe flooding. In North Fair Oaks, socioeconomic and pollution vulnerabilities were underrepresented due to tract boundaries overlapping with wealthier </w:t>
      </w:r>
      <w:proofErr w:type="spellStart"/>
      <w:r>
        <w:t>neighborhoods</w:t>
      </w:r>
      <w:proofErr w:type="spellEnd"/>
      <w:r>
        <w:t>. In Blue Lake Rancheria, partners revealed that propane—not natural gas—is the primary energy source.</w:t>
      </w:r>
      <w:r w:rsidR="0245BF8B">
        <w:t xml:space="preserve"> </w:t>
      </w:r>
      <w:r w:rsidR="0AB0B6CF">
        <w:t>Without local level consultation and validation of Tool scoring,</w:t>
      </w:r>
      <w:r w:rsidR="41387EA8">
        <w:t xml:space="preserve"> such </w:t>
      </w:r>
      <w:r w:rsidR="3203159F">
        <w:t xml:space="preserve">critical </w:t>
      </w:r>
      <w:r w:rsidR="0AB0B6CF">
        <w:t xml:space="preserve">dynamics </w:t>
      </w:r>
      <w:r w:rsidR="4807C848">
        <w:t xml:space="preserve">might otherwise be missed. </w:t>
      </w:r>
      <w:r w:rsidR="4CE1452A">
        <w:t>To</w:t>
      </w:r>
      <w:r w:rsidR="4F1D82B0">
        <w:t xml:space="preserve"> ensure accuracy and equitability, f</w:t>
      </w:r>
      <w:r w:rsidR="13EF1ECF">
        <w:t>uture decommissioning work will need to continue this iterative process of technical analysis combined with community and stakeholder</w:t>
      </w:r>
      <w:r w:rsidR="2FE537D2">
        <w:t xml:space="preserve"> engagement. </w:t>
      </w:r>
    </w:p>
    <w:p w14:paraId="601FAC55" w14:textId="7C960A79" w:rsidR="74B08D85" w:rsidRDefault="6513F0CF" w:rsidP="4AED333C">
      <w:pPr>
        <w:pStyle w:val="BodyText"/>
      </w:pPr>
      <w:r w:rsidRPr="4AED333C">
        <w:rPr>
          <w:b/>
          <w:bCs/>
        </w:rPr>
        <w:t>Ownership patterns complicate implementation.</w:t>
      </w:r>
      <w:r>
        <w:t xml:space="preserve"> Local partners have reported that in some communities, roughly half of rental properties are owned by large real estate holding companies who do not have a local presence. This ownership structure poses several challenges for gas decommissioning efforts</w:t>
      </w:r>
      <w:r w:rsidR="085079CE">
        <w:t>, especially for renters</w:t>
      </w:r>
      <w:r>
        <w:t xml:space="preserve">. For instance, </w:t>
      </w:r>
      <w:r w:rsidR="1C86073E">
        <w:t xml:space="preserve">resulting split incentives </w:t>
      </w:r>
      <w:r w:rsidR="0DB6418E">
        <w:t>mean that landlords pay any cost associated with property upgrades or decommissioning</w:t>
      </w:r>
      <w:r w:rsidR="69EF31B6">
        <w:t xml:space="preserve"> efforts, while renters would see the benefits or savings. Distant owners are also</w:t>
      </w:r>
      <w:r w:rsidR="45F0D37A">
        <w:t xml:space="preserve"> more difficult to contact about potential decommissioning projects and may be less aware </w:t>
      </w:r>
      <w:r w:rsidR="6F7346DF">
        <w:t>of tenant needs or local</w:t>
      </w:r>
      <w:r w:rsidR="00F54CF5">
        <w:t>-</w:t>
      </w:r>
      <w:r w:rsidR="6F7346DF">
        <w:t xml:space="preserve"> and state</w:t>
      </w:r>
      <w:r w:rsidR="00F54CF5">
        <w:t>-</w:t>
      </w:r>
      <w:r w:rsidR="6F7346DF">
        <w:t xml:space="preserve">level incentives. </w:t>
      </w:r>
      <w:r w:rsidR="7A9929B4" w:rsidRPr="4AED333C">
        <w:t>In some markets, landlords may try to pass upgrade costs onto tenants through rent increases. This raises concerns about gentrification, energy transition-driven displacement, and inequitable access to clean energy</w:t>
      </w:r>
      <w:r w:rsidR="07DC9BBB" w:rsidRPr="4AED333C">
        <w:t>.</w:t>
      </w:r>
      <w:r w:rsidR="30AA325F" w:rsidRPr="4AED333C">
        <w:t xml:space="preserve"> </w:t>
      </w:r>
      <w:r>
        <w:t xml:space="preserve">This </w:t>
      </w:r>
      <w:r w:rsidR="00174D96">
        <w:t xml:space="preserve">also </w:t>
      </w:r>
      <w:r>
        <w:t>poses challenges for securing owner consent under SB 1221 and may slow zonal decommissioning efforts. It also has implications for inequitable opportunities for these communities within the decommissioning decision making arena.</w:t>
      </w:r>
    </w:p>
    <w:p w14:paraId="6CEAFF81" w14:textId="44F28972" w:rsidR="00824B58" w:rsidRPr="00824B58" w:rsidRDefault="00FF1D39" w:rsidP="00824B58">
      <w:pPr>
        <w:pStyle w:val="BodyText"/>
      </w:pPr>
      <w:r w:rsidRPr="001223E8">
        <w:rPr>
          <w:b/>
        </w:rPr>
        <w:t>Equity must guide decision-making.</w:t>
      </w:r>
      <w:r w:rsidRPr="00933435">
        <w:t xml:space="preserve"> Without intentional prioritization, cost-efficiency metrics may sideline vulnerable communities across California. In communities like Sacramento, census tracts with low readiness for gas decommissioning rank high on equity indicators, </w:t>
      </w:r>
      <w:proofErr w:type="spellStart"/>
      <w:r w:rsidRPr="00933435">
        <w:t>signaling</w:t>
      </w:r>
      <w:proofErr w:type="spellEnd"/>
      <w:r w:rsidRPr="00933435">
        <w:t xml:space="preserve"> both need and opportunity. </w:t>
      </w:r>
      <w:r w:rsidR="641E2E68" w:rsidRPr="00933435">
        <w:t>In Visalia and Hanford, census tracts show low scores for cost and residential readiness, but high scores for</w:t>
      </w:r>
      <w:r w:rsidR="57FD76C8" w:rsidRPr="00933435">
        <w:t xml:space="preserve"> equity factors like pollution and energy burden. From a purely financial standpoint, such areas might not look like top decommissioning candidates.</w:t>
      </w:r>
      <w:r w:rsidR="779C28AF">
        <w:t xml:space="preserve"> The</w:t>
      </w:r>
      <w:r w:rsidDel="52D3FFE7">
        <w:t xml:space="preserve"> Tool</w:t>
      </w:r>
      <w:r w:rsidR="00CD3CD7">
        <w:t>—</w:t>
      </w:r>
      <w:r w:rsidDel="52D3FFE7">
        <w:t>in combination with community engagement</w:t>
      </w:r>
      <w:r w:rsidR="00CD3CD7">
        <w:t>—</w:t>
      </w:r>
      <w:r w:rsidDel="52D3FFE7">
        <w:t xml:space="preserve">shows users where equity considerations can shift the calculus </w:t>
      </w:r>
      <w:r w:rsidDel="21898F76">
        <w:t xml:space="preserve">and </w:t>
      </w:r>
      <w:r w:rsidDel="79C3B9E1">
        <w:t>help</w:t>
      </w:r>
      <w:r w:rsidDel="21898F76">
        <w:t xml:space="preserve"> decision-makers balance cost, safety, and readiness against equitability.</w:t>
      </w:r>
      <w:r w:rsidDel="6CA7C076">
        <w:t xml:space="preserve"> Ultimately, </w:t>
      </w:r>
      <w:r w:rsidDel="773E23BE">
        <w:t>t</w:t>
      </w:r>
      <w:r w:rsidDel="65117DE2">
        <w:t>o</w:t>
      </w:r>
      <w:r w:rsidDel="00FF1D39">
        <w:t xml:space="preserve"> avoid perpetuating existing disparities, </w:t>
      </w:r>
      <w:r w:rsidR="004A1CB8">
        <w:t>S</w:t>
      </w:r>
      <w:r w:rsidDel="00FF1D39">
        <w:t xml:space="preserve">tate agencies must embed equity into </w:t>
      </w:r>
      <w:r w:rsidDel="45B7C0CC">
        <w:t>implementation</w:t>
      </w:r>
      <w:r w:rsidDel="00FF1D39">
        <w:t xml:space="preserve"> and planning frameworks</w:t>
      </w:r>
      <w:r w:rsidR="779C28AF">
        <w:t>.</w:t>
      </w:r>
    </w:p>
    <w:p w14:paraId="2A537E49" w14:textId="4D17295E" w:rsidR="75402763" w:rsidRPr="00AD3068" w:rsidRDefault="75402763" w:rsidP="00EB26E6">
      <w:pPr>
        <w:pStyle w:val="Heading3"/>
        <w:rPr>
          <w:b/>
          <w:color w:val="0F204B" w:themeColor="accent1"/>
        </w:rPr>
      </w:pPr>
      <w:bookmarkStart w:id="40" w:name="_Toc1915261391"/>
      <w:r w:rsidRPr="0BA85231">
        <w:rPr>
          <w:b/>
        </w:rPr>
        <w:t>Location</w:t>
      </w:r>
      <w:r w:rsidR="001C05CE" w:rsidRPr="0BA85231">
        <w:rPr>
          <w:b/>
        </w:rPr>
        <w:t>-</w:t>
      </w:r>
      <w:r w:rsidRPr="0BA85231">
        <w:rPr>
          <w:b/>
        </w:rPr>
        <w:t xml:space="preserve">Specific </w:t>
      </w:r>
      <w:r w:rsidR="001C05CE" w:rsidRPr="0BA85231">
        <w:rPr>
          <w:b/>
        </w:rPr>
        <w:t>Context</w:t>
      </w:r>
      <w:bookmarkEnd w:id="40"/>
      <w:r w:rsidRPr="0BA85231">
        <w:rPr>
          <w:b/>
        </w:rPr>
        <w:t xml:space="preserve"> </w:t>
      </w:r>
    </w:p>
    <w:p w14:paraId="1F3D9201" w14:textId="48F65A61" w:rsidR="00B92267" w:rsidRPr="00B92267" w:rsidRDefault="092CD96D" w:rsidP="00B92267">
      <w:pPr>
        <w:pStyle w:val="BodyText"/>
      </w:pPr>
      <w:r>
        <w:t xml:space="preserve">Case study findings </w:t>
      </w:r>
      <w:r w:rsidR="32F9481F">
        <w:t>also</w:t>
      </w:r>
      <w:r>
        <w:t xml:space="preserve"> provide</w:t>
      </w:r>
      <w:r w:rsidR="35077E96">
        <w:t xml:space="preserve">d </w:t>
      </w:r>
      <w:r>
        <w:t xml:space="preserve">a “zoomed in” </w:t>
      </w:r>
      <w:r w:rsidR="47944F07">
        <w:t xml:space="preserve">perspective, showing both gaps and strengths of the Tool, as well as a better understanding of the </w:t>
      </w:r>
      <w:r w:rsidR="1665E14B">
        <w:t xml:space="preserve">implications of the gas transition for communities. </w:t>
      </w:r>
      <w:r w:rsidR="5C666E22">
        <w:t xml:space="preserve">These findings went beyond contributing to the development of the Tool itself, but </w:t>
      </w:r>
      <w:r w:rsidR="128D662A">
        <w:t>in</w:t>
      </w:r>
      <w:r w:rsidR="08E4CF4D">
        <w:t xml:space="preserve"> addition</w:t>
      </w:r>
      <w:r w:rsidR="5C666E22">
        <w:t xml:space="preserve">, </w:t>
      </w:r>
      <w:r w:rsidR="614B99B6">
        <w:t xml:space="preserve">provided nuanced understandings of the readiness of each location for gas pipeline decommissioning. </w:t>
      </w:r>
      <w:r w:rsidR="30D2937C" w:rsidRPr="4180CA5E">
        <w:t>Each</w:t>
      </w:r>
      <w:r w:rsidR="62F168AA">
        <w:t xml:space="preserve"> case study </w:t>
      </w:r>
      <w:r w:rsidR="08316BEB">
        <w:t>provides a replicable framework that</w:t>
      </w:r>
      <w:r w:rsidR="62F168AA">
        <w:t xml:space="preserve"> </w:t>
      </w:r>
      <w:r w:rsidR="30D2937C" w:rsidRPr="4180CA5E">
        <w:t>surfaces both the</w:t>
      </w:r>
      <w:r w:rsidR="6EBE58FD">
        <w:t xml:space="preserve"> </w:t>
      </w:r>
      <w:r w:rsidR="1565419E">
        <w:t>considerations</w:t>
      </w:r>
      <w:r w:rsidR="6EBE58FD">
        <w:t xml:space="preserve"> </w:t>
      </w:r>
      <w:r w:rsidR="30D2937C" w:rsidRPr="4180CA5E">
        <w:t>shaping</w:t>
      </w:r>
      <w:r w:rsidR="6EBE58FD">
        <w:t xml:space="preserve"> </w:t>
      </w:r>
      <w:r w:rsidR="1CC8467D">
        <w:t>implementation</w:t>
      </w:r>
      <w:r w:rsidR="04D6C953">
        <w:t xml:space="preserve"> decisions</w:t>
      </w:r>
      <w:r w:rsidR="30D2937C" w:rsidRPr="4180CA5E">
        <w:t xml:space="preserve"> and the challenges that may hinder</w:t>
      </w:r>
      <w:r w:rsidR="727C83A2">
        <w:t xml:space="preserve"> decommissioning efforts.</w:t>
      </w:r>
    </w:p>
    <w:p w14:paraId="768B6E33" w14:textId="007273DE" w:rsidR="00B92267" w:rsidRPr="00DA0169" w:rsidRDefault="4D506176" w:rsidP="00B92267">
      <w:pPr>
        <w:pStyle w:val="BodyText"/>
      </w:pPr>
      <w:r>
        <w:lastRenderedPageBreak/>
        <w:t xml:space="preserve">One of the key strengths of the Tool is that </w:t>
      </w:r>
      <w:r w:rsidR="0EF3AF84">
        <w:t>its</w:t>
      </w:r>
      <w:r w:rsidR="5C8948C4">
        <w:t>’</w:t>
      </w:r>
      <w:r w:rsidR="0EF3AF84">
        <w:t xml:space="preserve"> </w:t>
      </w:r>
      <w:r w:rsidR="28B33BC7">
        <w:t xml:space="preserve">scores </w:t>
      </w:r>
      <w:r w:rsidR="0EF3AF84">
        <w:t>do more than</w:t>
      </w:r>
      <w:r w:rsidR="28B33BC7">
        <w:t xml:space="preserve"> flag barriers and</w:t>
      </w:r>
      <w:r w:rsidR="38DFC885">
        <w:t xml:space="preserve"> </w:t>
      </w:r>
      <w:r w:rsidR="28B33BC7">
        <w:t>strengths</w:t>
      </w:r>
      <w:r w:rsidR="0EF3AF84">
        <w:t>—</w:t>
      </w:r>
      <w:r w:rsidR="28B33BC7">
        <w:t>they</w:t>
      </w:r>
      <w:r w:rsidR="38DFC885">
        <w:t xml:space="preserve"> </w:t>
      </w:r>
      <w:r w:rsidR="0EF3AF84">
        <w:t>reveal</w:t>
      </w:r>
      <w:r w:rsidR="0604513F">
        <w:t xml:space="preserve"> local complexities and </w:t>
      </w:r>
      <w:r w:rsidR="0EF3AF84">
        <w:t>indicate</w:t>
      </w:r>
      <w:r w:rsidR="0604513F">
        <w:t xml:space="preserve"> where </w:t>
      </w:r>
      <w:r w:rsidR="0EF3AF84">
        <w:t xml:space="preserve">deeper community </w:t>
      </w:r>
      <w:r w:rsidR="0604513F">
        <w:t xml:space="preserve">engagement and analysis are needed. </w:t>
      </w:r>
      <w:r w:rsidR="0EF3AF84">
        <w:t xml:space="preserve">The </w:t>
      </w:r>
      <w:r w:rsidR="70999567">
        <w:t xml:space="preserve">following case studies </w:t>
      </w:r>
      <w:r w:rsidR="0EF3AF84">
        <w:t>demonstrate the Tool’s</w:t>
      </w:r>
      <w:r w:rsidR="70999567">
        <w:t xml:space="preserve"> value </w:t>
      </w:r>
      <w:r w:rsidR="0EF3AF84">
        <w:t>in practice</w:t>
      </w:r>
      <w:r w:rsidR="70999567">
        <w:t>: when used as</w:t>
      </w:r>
      <w:r w:rsidR="0604513F">
        <w:t xml:space="preserve"> </w:t>
      </w:r>
      <w:r w:rsidR="70999567">
        <w:t>part of an iterative screening process</w:t>
      </w:r>
      <w:r w:rsidR="0EF3AF84">
        <w:t xml:space="preserve"> alongside input from community partners</w:t>
      </w:r>
      <w:r w:rsidR="70999567">
        <w:t>,</w:t>
      </w:r>
      <w:r w:rsidR="0604513F">
        <w:t xml:space="preserve"> </w:t>
      </w:r>
      <w:r w:rsidR="70999567">
        <w:t>it can help decision m</w:t>
      </w:r>
      <w:r w:rsidR="0CD3773E">
        <w:t>akers balance cost, safety</w:t>
      </w:r>
      <w:r w:rsidR="0EF3AF84">
        <w:t>,</w:t>
      </w:r>
      <w:r w:rsidR="0CD3773E">
        <w:t xml:space="preserve"> and readiness </w:t>
      </w:r>
      <w:r w:rsidR="0EF3AF84">
        <w:t xml:space="preserve">with </w:t>
      </w:r>
      <w:r w:rsidR="0CD3773E">
        <w:t>equity</w:t>
      </w:r>
      <w:r w:rsidR="0EF3AF84">
        <w:t xml:space="preserve"> considerations. The points below summarize</w:t>
      </w:r>
      <w:r w:rsidR="440B9295">
        <w:t xml:space="preserve"> key findings from each case study</w:t>
      </w:r>
      <w:r w:rsidR="0EF3AF84">
        <w:t xml:space="preserve">, reflecting both opportunities to refine the Tool and insights relevant to priority </w:t>
      </w:r>
      <w:r w:rsidR="61A0E99B">
        <w:t>implementation</w:t>
      </w:r>
      <w:r w:rsidR="0EF3AF84">
        <w:t xml:space="preserve"> decisions in each location.</w:t>
      </w:r>
      <w:r w:rsidR="440B9295">
        <w:t xml:space="preserve"> </w:t>
      </w:r>
      <w:r w:rsidR="171A6405">
        <w:t>Two selected</w:t>
      </w:r>
      <w:r w:rsidR="440B9295">
        <w:t xml:space="preserve"> full case studies are provided in </w:t>
      </w:r>
      <w:r w:rsidR="392B6C0B">
        <w:fldChar w:fldCharType="begin"/>
      </w:r>
      <w:r w:rsidR="392B6C0B">
        <w:instrText xml:space="preserve"> REF _Ref209178354 \r \h </w:instrText>
      </w:r>
      <w:r w:rsidR="392B6C0B">
        <w:fldChar w:fldCharType="separate"/>
      </w:r>
      <w:r w:rsidR="00FA7042">
        <w:t>Appendix B</w:t>
      </w:r>
      <w:r w:rsidR="392B6C0B">
        <w:fldChar w:fldCharType="end"/>
      </w:r>
      <w:r w:rsidR="440B9295">
        <w:t>.</w:t>
      </w:r>
    </w:p>
    <w:p w14:paraId="0BADB114" w14:textId="67E94B5F" w:rsidR="1DA6D50C" w:rsidRDefault="1DA6D50C" w:rsidP="00DA0169">
      <w:pPr>
        <w:pStyle w:val="Heading4"/>
      </w:pPr>
      <w:bookmarkStart w:id="41" w:name="_Toc86980858"/>
      <w:r>
        <w:t>Blue Lake Rancheria</w:t>
      </w:r>
      <w:r w:rsidR="00237D56">
        <w:t xml:space="preserve">, </w:t>
      </w:r>
      <w:r w:rsidR="00237D56" w:rsidRPr="00237D56">
        <w:t>Northern California Tribal Lands</w:t>
      </w:r>
      <w:bookmarkEnd w:id="41"/>
    </w:p>
    <w:p w14:paraId="6CE66141" w14:textId="058951D5" w:rsidR="5B17EA05" w:rsidRDefault="5B17EA05" w:rsidP="724E57F3">
      <w:pPr>
        <w:pStyle w:val="BodyText"/>
      </w:pPr>
      <w:r w:rsidRPr="724E57F3">
        <w:t>Key findings from the Blue Lake Rancheria (BLR) case study illustrate the Tribe’s leadership in rural energy resilience and gas decommissioning. The points below summarize challenges and strategies related to grid reliability, community trust, and BLR’s ongoing work in microgrid development and regional decarbonization.</w:t>
      </w:r>
    </w:p>
    <w:p w14:paraId="589C0A80" w14:textId="49CA3BE2" w:rsidR="00EE17F3" w:rsidRDefault="00EE17F3" w:rsidP="00EE17F3">
      <w:pPr>
        <w:pStyle w:val="BodyText"/>
      </w:pPr>
      <w:r w:rsidRPr="00EE17F3">
        <w:rPr>
          <w:b/>
          <w:bCs/>
        </w:rPr>
        <w:t>Grid reliability is a critical concern for rural, grid-edge communities like BLR</w:t>
      </w:r>
      <w:r w:rsidR="001902D9" w:rsidRPr="00EE17F3">
        <w:rPr>
          <w:b/>
          <w:bCs/>
        </w:rPr>
        <w:t>.</w:t>
      </w:r>
      <w:r w:rsidR="001902D9">
        <w:t xml:space="preserve"> </w:t>
      </w:r>
      <w:r w:rsidR="7ECAB19D" w:rsidRPr="14C62C6C">
        <w:t xml:space="preserve">Grid reliability remains a critical concern for rural, grid-edge communities like BLR. Frequent outages caused by storms and high winds leave residents without dependable </w:t>
      </w:r>
      <w:r w:rsidR="7ECAB19D" w:rsidRPr="769DBC8F">
        <w:t>grid energy</w:t>
      </w:r>
      <w:r w:rsidR="7ECAB19D" w:rsidRPr="14C62C6C">
        <w:t xml:space="preserve"> sources, underscoring the limited availability of alternatives if gas were to be decommissioned. During these outages, households often rely on non-grid fuels such as propane to meet basic energy needs. This dynamic is reflected in the Tool’s high Energy Burden, which </w:t>
      </w:r>
      <w:r w:rsidR="7ECAB19D" w:rsidRPr="6AC06A6E">
        <w:t>considers</w:t>
      </w:r>
      <w:r w:rsidR="7ECAB19D" w:rsidRPr="14C62C6C">
        <w:t xml:space="preserve"> outage frequency and heating with alternative fuels. While BLR’s investment in microgrid development represents an important step toward greater resilience, these systems alone are not yet sufficient to offset the community’s dependence on gas and non-grid fuels</w:t>
      </w:r>
      <w:r w:rsidR="7635BA9E" w:rsidRPr="6AC7E3F0">
        <w:t xml:space="preserve"> </w:t>
      </w:r>
      <w:r w:rsidR="7635BA9E" w:rsidRPr="5C4E7B02">
        <w:t xml:space="preserve">without additional planning and </w:t>
      </w:r>
      <w:r w:rsidR="7635BA9E" w:rsidRPr="7A5B841D">
        <w:t xml:space="preserve">consideration. </w:t>
      </w:r>
    </w:p>
    <w:p w14:paraId="7588CE14" w14:textId="7C6C055E" w:rsidR="00EE17F3" w:rsidRDefault="00EE17F3" w:rsidP="00EE17F3">
      <w:pPr>
        <w:pStyle w:val="BodyText"/>
      </w:pPr>
      <w:r w:rsidRPr="00EE17F3">
        <w:rPr>
          <w:b/>
          <w:bCs/>
        </w:rPr>
        <w:t>BLR has emerged as a statewide leader in energy resilience.</w:t>
      </w:r>
      <w:r>
        <w:t xml:space="preserve"> The Tribe’s investment in microgrids has proven </w:t>
      </w:r>
      <w:proofErr w:type="gramStart"/>
      <w:r>
        <w:t>life-saving</w:t>
      </w:r>
      <w:proofErr w:type="gramEnd"/>
      <w:r>
        <w:t xml:space="preserve"> during Public Safety Power Shutoff (PSPS) events and natural disasters. However, surrounding communities remain vulnerable. </w:t>
      </w:r>
      <w:r w:rsidR="507536F9">
        <w:t xml:space="preserve">Any </w:t>
      </w:r>
      <w:r w:rsidR="4B6FC406">
        <w:t>gas</w:t>
      </w:r>
      <w:r w:rsidR="5781B227">
        <w:t xml:space="preserve"> decommissioning</w:t>
      </w:r>
      <w:r w:rsidR="4A17B3FB">
        <w:t xml:space="preserve"> </w:t>
      </w:r>
      <w:r w:rsidR="5EAB74F4">
        <w:t>strateg</w:t>
      </w:r>
      <w:r w:rsidR="51662BAA">
        <w:t>ies</w:t>
      </w:r>
      <w:r>
        <w:t xml:space="preserve"> must address backup power and reliability needs across the region—not just within BLR.</w:t>
      </w:r>
    </w:p>
    <w:p w14:paraId="4B172507" w14:textId="301B02D4" w:rsidR="00EE17F3" w:rsidRDefault="00EE17F3" w:rsidP="00EE17F3">
      <w:pPr>
        <w:pStyle w:val="BodyText"/>
      </w:pPr>
      <w:r w:rsidRPr="00EE17F3">
        <w:rPr>
          <w:b/>
          <w:bCs/>
        </w:rPr>
        <w:t>Community trust is essential for a successful transition.</w:t>
      </w:r>
      <w:r>
        <w:t xml:space="preserve"> While BLR is a respected leader, broader public support will depend on transparent communication and affordability. Health benefits from clean energy are significant, but messaging </w:t>
      </w:r>
      <w:r w:rsidR="6B8E994B">
        <w:t xml:space="preserve">around gas pipeline decommissioning </w:t>
      </w:r>
      <w:r>
        <w:t>must be community-driven to build credibility and readiness.</w:t>
      </w:r>
    </w:p>
    <w:p w14:paraId="4BEE29FE" w14:textId="0F0983B0" w:rsidR="00EE17F3" w:rsidRPr="00EE17F3" w:rsidRDefault="00EE17F3" w:rsidP="00EE17F3">
      <w:pPr>
        <w:pStyle w:val="BodyText"/>
      </w:pPr>
      <w:r w:rsidRPr="00EE17F3">
        <w:rPr>
          <w:b/>
          <w:bCs/>
        </w:rPr>
        <w:t>Current initiatives reflect this commitment.</w:t>
      </w:r>
      <w:r>
        <w:t xml:space="preserve"> BLR operates two microgrids, is expanding battery storage and solar capacity, and is investing in electric vehicle infrastructure and building efficiency. The Tribe is also a key partner in the $177 million TERAS initiative, which—pending federal funding—would establish three interconnected microgrids to power critical facilities and enhance regional energy reliability</w:t>
      </w:r>
      <w:r w:rsidR="00066653">
        <w:t>.</w:t>
      </w:r>
    </w:p>
    <w:p w14:paraId="68CE8860" w14:textId="036507CD" w:rsidR="1DA6D50C" w:rsidRDefault="1DA6D50C" w:rsidP="00C421E6">
      <w:pPr>
        <w:pStyle w:val="Heading4"/>
      </w:pPr>
      <w:bookmarkStart w:id="42" w:name="_Toc40869812"/>
      <w:r>
        <w:t>North Fair Oaks</w:t>
      </w:r>
      <w:r w:rsidR="00EE17F3">
        <w:t xml:space="preserve">, </w:t>
      </w:r>
      <w:r w:rsidR="009B6A08">
        <w:t>San Francisco Bay Area</w:t>
      </w:r>
      <w:bookmarkEnd w:id="42"/>
    </w:p>
    <w:p w14:paraId="608686C5" w14:textId="755809E4" w:rsidR="0D362A53" w:rsidRDefault="72806515" w:rsidP="0ED501B3">
      <w:pPr>
        <w:pStyle w:val="BodyText"/>
      </w:pPr>
      <w:r w:rsidRPr="0ED501B3">
        <w:t>Key findings from North Fair Oaks revealed disparities in public services, data limitations, and the need for inclusive engagement as the State advances gas decommissioning and decarbonization efforts. As a community often overlooked in regional planning, a community-</w:t>
      </w:r>
      <w:proofErr w:type="spellStart"/>
      <w:r w:rsidRPr="0ED501B3">
        <w:t>centered</w:t>
      </w:r>
      <w:proofErr w:type="spellEnd"/>
      <w:r w:rsidRPr="0ED501B3">
        <w:t xml:space="preserve"> approach will be essential to ensure equity. Proximity to wealthier areas like Menlo Park, Redwood City, and Atherton further complicates planning, as surrounding affluence can obscure localized disparities and distort Tool scores. Because data and screening tools alone tend to misrepresent such vulnerable areas, North Fair Oaks could easily be excluded from priority consideration—underscoring the importance of pairing the Tool with ongoing community engagement to accurately reflect local conditions.</w:t>
      </w:r>
    </w:p>
    <w:p w14:paraId="4D1B323F" w14:textId="27DBE48D" w:rsidR="0056467F" w:rsidRDefault="0056467F" w:rsidP="00E72D9D">
      <w:pPr>
        <w:pStyle w:val="BodyText"/>
      </w:pPr>
      <w:r w:rsidRPr="008F5E41">
        <w:rPr>
          <w:b/>
          <w:bCs/>
        </w:rPr>
        <w:t>North Fair Oaks is widely seen by residents as a “forgotten community.”</w:t>
      </w:r>
      <w:r>
        <w:t xml:space="preserve"> Predominantly Hispanic </w:t>
      </w:r>
      <w:proofErr w:type="spellStart"/>
      <w:r>
        <w:t>neighborhoods</w:t>
      </w:r>
      <w:proofErr w:type="spellEnd"/>
      <w:r>
        <w:t xml:space="preserve"> report chronic issues such as poor road conditions, limited healthcare access, inadequate community services, and unequal school resources compared to </w:t>
      </w:r>
      <w:proofErr w:type="spellStart"/>
      <w:r>
        <w:t>neighboring</w:t>
      </w:r>
      <w:proofErr w:type="spellEnd"/>
      <w:r>
        <w:t xml:space="preserve"> cities. These concerns reflect a broader pattern of disinvestment and neglect.</w:t>
      </w:r>
    </w:p>
    <w:p w14:paraId="2E53ABCE" w14:textId="0A7AFC1A" w:rsidR="0056467F" w:rsidRDefault="0EE68358" w:rsidP="0056467F">
      <w:pPr>
        <w:pStyle w:val="BodyText"/>
      </w:pPr>
      <w:r w:rsidRPr="530D6781">
        <w:rPr>
          <w:b/>
          <w:bCs/>
        </w:rPr>
        <w:t>Current data and screening tools may misrepresent the community’s true needs.</w:t>
      </w:r>
      <w:r>
        <w:t xml:space="preserve"> Community partners noted inconsistencies between energy burden and socioeconomic vulnerability scores, suggesting that data may not fully </w:t>
      </w:r>
      <w:r>
        <w:lastRenderedPageBreak/>
        <w:t>capture lived realities. Census tract boundaries that overlap with affluent areas like Atherton distort equity indicators, p</w:t>
      </w:r>
      <w:r w:rsidR="2DB840BC">
        <w:t>otentially</w:t>
      </w:r>
      <w:r>
        <w:t xml:space="preserve"> masking the challenges faced by North Fair Oaks residents.</w:t>
      </w:r>
      <w:r w:rsidR="04D8F390">
        <w:t xml:space="preserve"> </w:t>
      </w:r>
    </w:p>
    <w:p w14:paraId="2C60B209" w14:textId="77777777" w:rsidR="0056467F" w:rsidRDefault="0056467F" w:rsidP="0056467F">
      <w:pPr>
        <w:pStyle w:val="BodyText"/>
      </w:pPr>
      <w:r w:rsidRPr="008F5E41">
        <w:rPr>
          <w:b/>
          <w:bCs/>
        </w:rPr>
        <w:t>Improving accuracy and equity requires better outreach and engagement.</w:t>
      </w:r>
      <w:r>
        <w:t xml:space="preserve"> Residents emphasized the need for meaningful public investment and elected officials who understand and advocate for the community—rather than offering symbolic gestures. These insights are vital for shaping future gas decommissioning strategies that are responsive to local needs.</w:t>
      </w:r>
    </w:p>
    <w:p w14:paraId="13BCB160" w14:textId="47633B49" w:rsidR="0056467F" w:rsidRDefault="0056467F" w:rsidP="0056467F">
      <w:pPr>
        <w:pStyle w:val="BodyText"/>
      </w:pPr>
      <w:r w:rsidRPr="008F5E41">
        <w:rPr>
          <w:b/>
          <w:bCs/>
        </w:rPr>
        <w:t>North Fair Oaks stands to benefit significantly from targeted decarbonization efforts.</w:t>
      </w:r>
      <w:r>
        <w:t xml:space="preserve"> However, its history of government mistrust and limited political representation means that any transition must be grounded in inclusive, community-led engagement. </w:t>
      </w:r>
    </w:p>
    <w:p w14:paraId="5A34AA21" w14:textId="44792982" w:rsidR="1DA6D50C" w:rsidRDefault="1DA6D50C" w:rsidP="00865E16">
      <w:pPr>
        <w:pStyle w:val="Heading4"/>
      </w:pPr>
      <w:bookmarkStart w:id="43" w:name="_Toc675843283"/>
      <w:r>
        <w:t>Oxnard</w:t>
      </w:r>
      <w:r w:rsidR="008F5E41">
        <w:t>, Central Coast</w:t>
      </w:r>
      <w:bookmarkEnd w:id="43"/>
    </w:p>
    <w:p w14:paraId="518DDFD6" w14:textId="13FC700F" w:rsidR="0092240F" w:rsidRDefault="466F6B99" w:rsidP="486C51E9">
      <w:pPr>
        <w:pStyle w:val="BodyText"/>
      </w:pPr>
      <w:r>
        <w:t>Key findings from the Oxnard case study highlight community concerns around equity, affordability, and infrastructure in the context of gas decommissioning. The points below summarize challenges related to data limitations, renter vulnerability, and the need for stronger tenant protections and targeted investments to ensure a just transition.</w:t>
      </w:r>
    </w:p>
    <w:p w14:paraId="74EB56D6" w14:textId="2F1A0A62" w:rsidR="0092240F" w:rsidRPr="00F23D1B" w:rsidRDefault="0092240F" w:rsidP="0092240F">
      <w:pPr>
        <w:pStyle w:val="BodyText"/>
      </w:pPr>
      <w:r w:rsidRPr="0092240F">
        <w:rPr>
          <w:b/>
          <w:bCs/>
        </w:rPr>
        <w:t xml:space="preserve">Tool metrics reflect high energy burden and socioeconomic vulnerability in </w:t>
      </w:r>
      <w:r w:rsidR="2DD46CC9" w:rsidRPr="48D5224A">
        <w:rPr>
          <w:b/>
          <w:bCs/>
        </w:rPr>
        <w:t>many</w:t>
      </w:r>
      <w:r w:rsidR="6B77823D" w:rsidRPr="48D5224A">
        <w:rPr>
          <w:b/>
          <w:bCs/>
        </w:rPr>
        <w:t xml:space="preserve"> </w:t>
      </w:r>
      <w:r w:rsidRPr="0092240F">
        <w:rPr>
          <w:b/>
          <w:bCs/>
        </w:rPr>
        <w:t xml:space="preserve">key Oxnard </w:t>
      </w:r>
      <w:proofErr w:type="spellStart"/>
      <w:r w:rsidRPr="0092240F">
        <w:rPr>
          <w:b/>
          <w:bCs/>
        </w:rPr>
        <w:t>neighborhoods</w:t>
      </w:r>
      <w:proofErr w:type="spellEnd"/>
      <w:r w:rsidR="094C288D" w:rsidRPr="2862C839">
        <w:rPr>
          <w:b/>
          <w:bCs/>
        </w:rPr>
        <w:t>.</w:t>
      </w:r>
      <w:r w:rsidRPr="00F23D1B">
        <w:t xml:space="preserve"> </w:t>
      </w:r>
      <w:r w:rsidR="5E73D2FA">
        <w:t>While community feedback indicated that this is accurate, r</w:t>
      </w:r>
      <w:r>
        <w:t>esidents</w:t>
      </w:r>
      <w:r w:rsidRPr="00F23D1B">
        <w:t xml:space="preserve"> in these areas are </w:t>
      </w:r>
      <w:r w:rsidR="11DCBCA0">
        <w:t xml:space="preserve">also </w:t>
      </w:r>
      <w:r w:rsidRPr="00F23D1B">
        <w:t xml:space="preserve">concerned about the financial impact of household gas decommissioning and the increased reliance on the electrical grid. Community partners recommend refining the Tool to better account for </w:t>
      </w:r>
      <w:r w:rsidR="71FD6A5A">
        <w:t xml:space="preserve">housing insecurity, such as </w:t>
      </w:r>
      <w:r>
        <w:t>renter</w:t>
      </w:r>
      <w:r w:rsidRPr="00F23D1B">
        <w:t xml:space="preserve"> populations and multi-unit housing, which are prevalent in these tracts. As housing costs rise, renters fear that electrification upgrades could be used by landlords as a pretext for eviction. This risk is especially acute in multi-family buildings and older housing stock, which make up a significant portion of Oxnard’s residential landscape.</w:t>
      </w:r>
    </w:p>
    <w:p w14:paraId="16FCF5D9" w14:textId="4B01F932" w:rsidR="0092240F" w:rsidRPr="00F23D1B" w:rsidRDefault="0092240F" w:rsidP="0092240F">
      <w:pPr>
        <w:pStyle w:val="BodyText"/>
      </w:pPr>
      <w:r w:rsidRPr="0092240F">
        <w:rPr>
          <w:b/>
          <w:bCs/>
        </w:rPr>
        <w:t>Affordability and public health are top priorities</w:t>
      </w:r>
      <w:r w:rsidRPr="00826535">
        <w:rPr>
          <w:b/>
          <w:bCs/>
        </w:rPr>
        <w:t>.</w:t>
      </w:r>
      <w:r w:rsidRPr="00F23D1B">
        <w:t xml:space="preserve"> Residents are interested in the health benefits of transitioning away from gas, particularly in improving air quality. However, they emphasize that affordability and grid reliability must be maintained to make </w:t>
      </w:r>
      <w:r w:rsidR="0599393B">
        <w:t>decarbonization</w:t>
      </w:r>
      <w:r>
        <w:t xml:space="preserve"> viable</w:t>
      </w:r>
      <w:r w:rsidR="4B87C989">
        <w:t>, and highlighted concern over</w:t>
      </w:r>
      <w:r w:rsidRPr="00F23D1B">
        <w:t xml:space="preserve"> the </w:t>
      </w:r>
      <w:r w:rsidR="4B87C989">
        <w:t xml:space="preserve">potential </w:t>
      </w:r>
      <w:r w:rsidRPr="00F23D1B">
        <w:t xml:space="preserve">impact </w:t>
      </w:r>
      <w:r w:rsidR="19342E89">
        <w:t>of</w:t>
      </w:r>
      <w:r w:rsidRPr="00F23D1B">
        <w:t xml:space="preserve"> construction and street work associated with gas decommissioning.</w:t>
      </w:r>
    </w:p>
    <w:p w14:paraId="6D0856AA" w14:textId="5089E1B2" w:rsidR="0092240F" w:rsidRPr="0092240F" w:rsidRDefault="0092240F" w:rsidP="0092240F">
      <w:pPr>
        <w:pStyle w:val="BodyText"/>
      </w:pPr>
      <w:r w:rsidRPr="0092240F">
        <w:rPr>
          <w:b/>
          <w:bCs/>
        </w:rPr>
        <w:t xml:space="preserve">To avoid deepening existing disparities, </w:t>
      </w:r>
      <w:r w:rsidR="004A1CB8">
        <w:rPr>
          <w:b/>
          <w:bCs/>
        </w:rPr>
        <w:t>S</w:t>
      </w:r>
      <w:r w:rsidRPr="0092240F">
        <w:rPr>
          <w:b/>
          <w:bCs/>
        </w:rPr>
        <w:t>tate agencies must integrate equity and housing protections into decommissioning strategies</w:t>
      </w:r>
      <w:r w:rsidRPr="00826535">
        <w:rPr>
          <w:b/>
          <w:bCs/>
        </w:rPr>
        <w:t>.</w:t>
      </w:r>
      <w:r w:rsidRPr="00F23D1B">
        <w:t xml:space="preserve"> This includes pairing infrastructure upgrades with strong tenant protections, affordability measures, and targeted investment in vulnerable communities. Without these safeguards, the transition risks imposing additional costs and displacement on already burdened populations.</w:t>
      </w:r>
    </w:p>
    <w:p w14:paraId="747725F0" w14:textId="79054698" w:rsidR="1DA6D50C" w:rsidRDefault="1DA6D50C" w:rsidP="00865E16">
      <w:pPr>
        <w:pStyle w:val="Heading4"/>
      </w:pPr>
      <w:bookmarkStart w:id="44" w:name="_Toc1763001389"/>
      <w:r>
        <w:t>Richmond</w:t>
      </w:r>
      <w:r w:rsidR="00346C1C">
        <w:t>, East Bay</w:t>
      </w:r>
      <w:bookmarkEnd w:id="44"/>
    </w:p>
    <w:p w14:paraId="019E76DF" w14:textId="3EEC2472" w:rsidR="73D33D8C" w:rsidRDefault="73D33D8C" w:rsidP="3DB59A07">
      <w:pPr>
        <w:pStyle w:val="BodyText"/>
      </w:pPr>
      <w:r w:rsidRPr="3DB59A07">
        <w:t xml:space="preserve">Key findings from the Richmond case study highlight the interconnected relationship between the city’s economy, workforce, and gas infrastructure, underscoring the need for </w:t>
      </w:r>
      <w:r w:rsidR="004A1CB8">
        <w:t>S</w:t>
      </w:r>
      <w:r w:rsidRPr="3DB59A07">
        <w:t>tate planning that extends beyond infrastructure metrics. The points below summarize insights on employment impacts, the importance of integrating economic, environmental, and social factors into decommissioning strategies, and opportunities to leverage local climate leadership to ensure equitable, community-driven implementation.</w:t>
      </w:r>
    </w:p>
    <w:p w14:paraId="490921E0" w14:textId="43A12DFC" w:rsidR="00826535" w:rsidRPr="00421258" w:rsidRDefault="3FAADE6C" w:rsidP="00826535">
      <w:pPr>
        <w:pStyle w:val="BodyText"/>
      </w:pPr>
      <w:r w:rsidRPr="530D6781">
        <w:rPr>
          <w:b/>
          <w:bCs/>
        </w:rPr>
        <w:t>Richmond’s economy is deeply tied to the gas system.</w:t>
      </w:r>
      <w:r>
        <w:t xml:space="preserve"> While several census tracts appear well-positioned for decommissioning based on infrastructure and cost-effectiveness metrics, the Tool does not account for </w:t>
      </w:r>
      <w:r w:rsidR="4249AF27">
        <w:t>potential</w:t>
      </w:r>
      <w:r>
        <w:t xml:space="preserve"> broader economic implications—particularly in a city where industrial and refinery jobs have historically anchored the local workforce. Disrupting this relationship without a clear transition plan could have serious consequences.</w:t>
      </w:r>
    </w:p>
    <w:p w14:paraId="3B7D4FA0" w14:textId="46FEAF88" w:rsidR="00826535" w:rsidRPr="00421258" w:rsidRDefault="00826535" w:rsidP="00826535">
      <w:pPr>
        <w:pStyle w:val="BodyText"/>
      </w:pPr>
      <w:r w:rsidRPr="00826535">
        <w:rPr>
          <w:b/>
          <w:bCs/>
        </w:rPr>
        <w:t>Policy implementation must be inclusive and responsive.</w:t>
      </w:r>
      <w:r w:rsidRPr="00421258">
        <w:t xml:space="preserve"> Richmond’s experience with its building electrification ordinance—initially passed, then repealed due to community concerns—illustrates the tension between ambitious climate goals and the need for flexibility, transparency, and community buy-in.</w:t>
      </w:r>
    </w:p>
    <w:p w14:paraId="4AE9C8D3" w14:textId="7E852FF2" w:rsidR="00826535" w:rsidRPr="00826535" w:rsidRDefault="00826535" w:rsidP="00826535">
      <w:pPr>
        <w:pStyle w:val="BodyText"/>
      </w:pPr>
      <w:r w:rsidRPr="00826535">
        <w:rPr>
          <w:b/>
          <w:bCs/>
        </w:rPr>
        <w:t>Pilot programs should reflect local realities.</w:t>
      </w:r>
      <w:r w:rsidRPr="00421258">
        <w:t xml:space="preserve"> Richmond’s reliance on gas extends beyond residential use to employment, making workforce transition a critical component of any decommissioning strategy. Programs like </w:t>
      </w:r>
      <w:r w:rsidRPr="00421258">
        <w:lastRenderedPageBreak/>
        <w:t>Groundwork Richmond have faced funding cuts, leaving future workforce support uncertain. This instability must be addressed to ensure a just transition.</w:t>
      </w:r>
    </w:p>
    <w:p w14:paraId="12D92879" w14:textId="19D5628C" w:rsidR="1DA6D50C" w:rsidRDefault="1DA6D50C" w:rsidP="001D5EC5">
      <w:pPr>
        <w:pStyle w:val="Heading4"/>
        <w:keepLines/>
      </w:pPr>
      <w:bookmarkStart w:id="45" w:name="_Toc846155956"/>
      <w:r>
        <w:t>Sacramento</w:t>
      </w:r>
      <w:r w:rsidR="00F12343">
        <w:t>, Northern California</w:t>
      </w:r>
      <w:bookmarkEnd w:id="45"/>
    </w:p>
    <w:p w14:paraId="0E8EE023" w14:textId="0FAF49F2" w:rsidR="396A886E" w:rsidRDefault="396A886E" w:rsidP="001D5EC5">
      <w:pPr>
        <w:pStyle w:val="BodyText"/>
        <w:keepNext/>
        <w:keepLines/>
      </w:pPr>
      <w:r w:rsidRPr="4F0BC15F">
        <w:t>Key findings from the Sacramento case study highlight the intersection of equity, infrastructure readiness, and historical disinvestment in the city’s gas decommissioning landscape</w:t>
      </w:r>
      <w:r w:rsidR="00F05A11" w:rsidRPr="4F0BC15F">
        <w:t xml:space="preserve">. </w:t>
      </w:r>
      <w:r w:rsidRPr="4F0BC15F">
        <w:t>Engagement indicated that before decommissioning occur</w:t>
      </w:r>
      <w:r w:rsidR="462D512A" w:rsidRPr="4F0BC15F">
        <w:t xml:space="preserve">s in this area, targeted effort may be needed to address barriers posed by historical development patterns and ownership structure. </w:t>
      </w:r>
      <w:r w:rsidRPr="4F0BC15F">
        <w:t xml:space="preserve">The points below summarize challenges faced by </w:t>
      </w:r>
      <w:proofErr w:type="spellStart"/>
      <w:r w:rsidRPr="4F0BC15F">
        <w:t>neighborhoods</w:t>
      </w:r>
      <w:proofErr w:type="spellEnd"/>
      <w:r w:rsidRPr="4F0BC15F">
        <w:t xml:space="preserve"> such as Mangan Park and Meadowview—where high vulnerability contrasts with low technical readiness—and emphasize the need for equity-</w:t>
      </w:r>
      <w:proofErr w:type="spellStart"/>
      <w:r w:rsidRPr="4F0BC15F">
        <w:t>centered</w:t>
      </w:r>
      <w:proofErr w:type="spellEnd"/>
      <w:r w:rsidRPr="4F0BC15F">
        <w:t xml:space="preserve"> strategies to ensure inclusive and effective transition planning.</w:t>
      </w:r>
    </w:p>
    <w:p w14:paraId="3D7D2404" w14:textId="58FBA31E" w:rsidR="00CF4A34" w:rsidRDefault="00CF4A34" w:rsidP="00CF4A34">
      <w:pPr>
        <w:pStyle w:val="BodyText"/>
      </w:pPr>
      <w:r w:rsidRPr="00CF4A34">
        <w:rPr>
          <w:b/>
          <w:bCs/>
        </w:rPr>
        <w:t>Aging infrastructure presents both risks and opportunities.</w:t>
      </w:r>
      <w:r>
        <w:t xml:space="preserve"> Many homes in Sacramento were built before 1950, especially in historically disinvested areas. These older buildings often contain outdated electrical and gas systems, which may require upgrades before safe decommissioning can occur. However, targeting these </w:t>
      </w:r>
      <w:proofErr w:type="spellStart"/>
      <w:r>
        <w:t>neighborhoods</w:t>
      </w:r>
      <w:proofErr w:type="spellEnd"/>
      <w:r>
        <w:t xml:space="preserve"> could yield long-term safety and cost benefits, particularly where gas pipes are nearing or past their design life.</w:t>
      </w:r>
    </w:p>
    <w:p w14:paraId="751E7733" w14:textId="5DB040BD" w:rsidR="00CF4A34" w:rsidRDefault="00CF4A34" w:rsidP="00CF4A34">
      <w:pPr>
        <w:pStyle w:val="BodyText"/>
      </w:pPr>
      <w:r w:rsidRPr="4AED333C">
        <w:rPr>
          <w:b/>
          <w:bCs/>
        </w:rPr>
        <w:t>Historical inequities continue to shape local vulnerability.</w:t>
      </w:r>
      <w:r>
        <w:t xml:space="preserve"> </w:t>
      </w:r>
      <w:proofErr w:type="spellStart"/>
      <w:r>
        <w:t>Neighborhoods</w:t>
      </w:r>
      <w:proofErr w:type="spellEnd"/>
      <w:r>
        <w:t xml:space="preserve"> like Oak Park, Meadowview, Mangan Park, and Arden Arcade suffer from the legacy of redlining and underinvestment. These areas experience higher poverty, lower life expectancy, and greater exposure to climate risks like heat and flooding. The Tool’s equity scores appropriately reflect these disparities—Meadowview ranks high in critical services and socioeconomic vulnerability, while Mangan Park shows extreme environmental risk due to its proximity to the Sacramento Executive Airport and associated pollution.</w:t>
      </w:r>
      <w:r w:rsidR="769141BE">
        <w:t xml:space="preserve"> However, these areas also show low to moderate readiness in terms of gas infrastructure and residential preparedness. This mismatch suggests that immediate decommissioning would require substantial investment, potentially deprioritizing these communities without intentional planning.</w:t>
      </w:r>
    </w:p>
    <w:p w14:paraId="734DBCE0" w14:textId="2CCFD577" w:rsidR="00CF4A34" w:rsidRPr="00CF4A34" w:rsidRDefault="00CF4A34" w:rsidP="00CF4A34">
      <w:pPr>
        <w:pStyle w:val="BodyText"/>
      </w:pPr>
      <w:r w:rsidRPr="00CF4A34">
        <w:rPr>
          <w:b/>
          <w:bCs/>
        </w:rPr>
        <w:t>Equity-focused planning is essential.</w:t>
      </w:r>
      <w:r>
        <w:t xml:space="preserve"> Without deliberate strategies that pair infrastructure upgrades with community engagement and targeted investment, Sacramento’s most vulnerable </w:t>
      </w:r>
      <w:proofErr w:type="spellStart"/>
      <w:r>
        <w:t>neighborhoods</w:t>
      </w:r>
      <w:proofErr w:type="spellEnd"/>
      <w:r>
        <w:t xml:space="preserve"> risk being left behind. State agencies must ensure that decommissioning readiness gaps do not become barriers to progress, and that the benefits of electrification are distributed fairly across all communities.</w:t>
      </w:r>
    </w:p>
    <w:p w14:paraId="18A9F9E7" w14:textId="0F4FAC1A" w:rsidR="1DA6D50C" w:rsidRDefault="1DA6D50C" w:rsidP="00865E16">
      <w:pPr>
        <w:pStyle w:val="Heading4"/>
      </w:pPr>
      <w:bookmarkStart w:id="46" w:name="_Toc60431719"/>
      <w:r>
        <w:t>Stockton</w:t>
      </w:r>
      <w:r w:rsidR="00CF4A34">
        <w:t>, Central Valley</w:t>
      </w:r>
      <w:bookmarkEnd w:id="46"/>
    </w:p>
    <w:p w14:paraId="1CA4292E" w14:textId="30972D48" w:rsidR="58B47569" w:rsidRDefault="58B47569" w:rsidP="4F0BC15F">
      <w:pPr>
        <w:pStyle w:val="BodyText"/>
      </w:pPr>
      <w:r w:rsidRPr="4F0BC15F">
        <w:t>Key findings from the Stockton case study highlight the intersection of housing quality, energy dependency, and community readiness in advancing gas decommissioning. The points below summarize challenges related to aging housing stock, renter vulnerability, and financial barriers to electrification, as well as insights on safety, community leadership, and local climate momentum. Together, these findings emphasize the need for combining Tool analysis with equity-focused, community-specific approaches that prioritize safety, affordability, and sustained engagement in future decommissioning efforts.</w:t>
      </w:r>
    </w:p>
    <w:p w14:paraId="5BD09774" w14:textId="1AD236F3" w:rsidR="009F66C4" w:rsidRDefault="009F66C4" w:rsidP="009F66C4">
      <w:pPr>
        <w:pStyle w:val="BodyText"/>
      </w:pPr>
      <w:r w:rsidRPr="009F66C4">
        <w:rPr>
          <w:b/>
          <w:bCs/>
        </w:rPr>
        <w:t>Stockton’s housing and energy profile presents key challenges to decommissioning.</w:t>
      </w:r>
      <w:r>
        <w:t xml:space="preserve"> Across all three census tracts examined, low housing condition scores, moderate financial stability, and high gas dependency suggest that many residents live in older, lower-value homes with outdated infrastructure. High rates of renting and widespread reliance on gas for heating point to significant logistical and financial barriers to electrification—requiring a more tailored, community-specific approach.</w:t>
      </w:r>
    </w:p>
    <w:p w14:paraId="316AEA45" w14:textId="4A355F25" w:rsidR="009F66C4" w:rsidRDefault="009F66C4" w:rsidP="009F66C4">
      <w:pPr>
        <w:pStyle w:val="BodyText"/>
      </w:pPr>
      <w:r w:rsidRPr="009F66C4">
        <w:rPr>
          <w:b/>
          <w:bCs/>
        </w:rPr>
        <w:t>Safety must take precedence over cost-efficiency.</w:t>
      </w:r>
      <w:r>
        <w:t xml:space="preserve"> Community partners emphasized that site selection for decommissioning should prioritize safety concerns over short-term repair costs. This ensures that communities facing serious infrastructure risks are not overlooked in </w:t>
      </w:r>
      <w:proofErr w:type="spellStart"/>
      <w:r>
        <w:t>favor</w:t>
      </w:r>
      <w:proofErr w:type="spellEnd"/>
      <w:r>
        <w:t xml:space="preserve"> of more cost-effective but less urgent projects.</w:t>
      </w:r>
    </w:p>
    <w:p w14:paraId="3489CA4D" w14:textId="54295135" w:rsidR="009F66C4" w:rsidRDefault="009F66C4" w:rsidP="009F66C4">
      <w:pPr>
        <w:pStyle w:val="BodyText"/>
      </w:pPr>
      <w:r w:rsidRPr="009F66C4">
        <w:rPr>
          <w:b/>
          <w:bCs/>
        </w:rPr>
        <w:t>Stockton is building strong momentum around climate action.</w:t>
      </w:r>
      <w:r>
        <w:t xml:space="preserve"> The city has demonstrated leadership through initiatives like</w:t>
      </w:r>
      <w:r w:rsidR="00312A8E" w:rsidRPr="00CC69E6">
        <w:t xml:space="preserve"> the Port of Stockton MD/HD Electrification Blueprint Project, investments </w:t>
      </w:r>
      <w:r>
        <w:t>in</w:t>
      </w:r>
      <w:r w:rsidR="00312A8E" w:rsidRPr="00CC69E6">
        <w:t xml:space="preserve"> electric vehicles</w:t>
      </w:r>
      <w:r>
        <w:t>, and</w:t>
      </w:r>
      <w:r w:rsidR="00312A8E" w:rsidRPr="00CC69E6">
        <w:t xml:space="preserve"> the development of an Alternative Fuels Vision Plan for San Joaquin County</w:t>
      </w:r>
      <w:r>
        <w:t>. These efforts reflect a growing commitment to decarbonization, resilience, and community-driven climate planning.</w:t>
      </w:r>
    </w:p>
    <w:p w14:paraId="3135A760" w14:textId="4D8ECA2D" w:rsidR="2A86B33B" w:rsidRPr="00CC69E6" w:rsidRDefault="009F66C4" w:rsidP="00CC69E6">
      <w:pPr>
        <w:pStyle w:val="BodyText"/>
      </w:pPr>
      <w:r w:rsidRPr="009F66C4">
        <w:rPr>
          <w:b/>
          <w:bCs/>
        </w:rPr>
        <w:lastRenderedPageBreak/>
        <w:t>Community engagement is a strength.</w:t>
      </w:r>
      <w:r>
        <w:t xml:space="preserve"> </w:t>
      </w:r>
      <w:r w:rsidR="00312A8E" w:rsidRPr="00CC69E6">
        <w:t>Stockton</w:t>
      </w:r>
      <w:r>
        <w:t xml:space="preserve"> benefits from </w:t>
      </w:r>
      <w:r w:rsidR="00312A8E" w:rsidRPr="00CC69E6">
        <w:t xml:space="preserve">high levels of </w:t>
      </w:r>
      <w:r>
        <w:t>local organizing and public</w:t>
      </w:r>
      <w:r w:rsidR="00312A8E" w:rsidRPr="00CC69E6">
        <w:t xml:space="preserve"> involvement </w:t>
      </w:r>
      <w:r>
        <w:t xml:space="preserve">in </w:t>
      </w:r>
      <w:r w:rsidR="00312A8E" w:rsidRPr="00CC69E6">
        <w:t>environmental sustainability</w:t>
      </w:r>
      <w:r>
        <w:t xml:space="preserve"> efforts. This foundation of political will and civic participation positions the city well for future decommissioning initiatives—provided they are designed with equity and affordability at the forefront.</w:t>
      </w:r>
    </w:p>
    <w:p w14:paraId="7C62DCF0" w14:textId="222155CF" w:rsidR="1DA6D50C" w:rsidRDefault="1DA6D50C" w:rsidP="00865E16">
      <w:pPr>
        <w:pStyle w:val="Heading4"/>
      </w:pPr>
      <w:bookmarkStart w:id="47" w:name="_Toc385385908"/>
      <w:r>
        <w:t>Visalia</w:t>
      </w:r>
      <w:r w:rsidR="009F66C4">
        <w:t xml:space="preserve"> and </w:t>
      </w:r>
      <w:r w:rsidR="07DCE492">
        <w:t>Hanford</w:t>
      </w:r>
      <w:r w:rsidR="009F66C4">
        <w:t>, San Joaquin Valley</w:t>
      </w:r>
      <w:bookmarkEnd w:id="47"/>
    </w:p>
    <w:p w14:paraId="1C1D0153" w14:textId="349EDDCA" w:rsidR="004E46DB" w:rsidRPr="00AA669A" w:rsidRDefault="6D3D218F" w:rsidP="004E46DB">
      <w:pPr>
        <w:pStyle w:val="BodyText"/>
      </w:pPr>
      <w:r w:rsidRPr="4F0BC15F">
        <w:t xml:space="preserve">Key findings from the Hanford and Visalia case studies highlight the cities’ potential for advancing </w:t>
      </w:r>
      <w:r w:rsidR="361534BA" w:rsidRPr="4F0BC15F">
        <w:t>decarbonization</w:t>
      </w:r>
      <w:r w:rsidRPr="4F0BC15F">
        <w:t xml:space="preserve"> and moving away from gas. The points below summarize opportunities related to new housing development, active developer engagement, strong networks of community organizations, </w:t>
      </w:r>
      <w:r w:rsidR="008379E0">
        <w:t>and</w:t>
      </w:r>
      <w:r w:rsidRPr="4F0BC15F">
        <w:t xml:space="preserve"> local industry support for sustainability initiatives. </w:t>
      </w:r>
    </w:p>
    <w:p w14:paraId="39AAC080" w14:textId="2EE9371A" w:rsidR="004E46DB" w:rsidRPr="00AA669A" w:rsidRDefault="004E46DB" w:rsidP="004E46DB">
      <w:pPr>
        <w:pStyle w:val="BodyText"/>
      </w:pPr>
      <w:r w:rsidRPr="004E46DB">
        <w:rPr>
          <w:b/>
          <w:bCs/>
        </w:rPr>
        <w:t xml:space="preserve">Both cities show </w:t>
      </w:r>
      <w:r>
        <w:rPr>
          <w:b/>
          <w:bCs/>
        </w:rPr>
        <w:t xml:space="preserve">positive </w:t>
      </w:r>
      <w:r w:rsidRPr="004E46DB">
        <w:rPr>
          <w:b/>
          <w:bCs/>
        </w:rPr>
        <w:t xml:space="preserve">potential for </w:t>
      </w:r>
      <w:r>
        <w:rPr>
          <w:b/>
          <w:bCs/>
        </w:rPr>
        <w:t>moving away from gas</w:t>
      </w:r>
      <w:r w:rsidRPr="00464578">
        <w:rPr>
          <w:b/>
          <w:bCs/>
        </w:rPr>
        <w:t>.</w:t>
      </w:r>
      <w:r w:rsidRPr="00AA669A">
        <w:t xml:space="preserve"> Growing housing development, active participation from developers, and relatively affordable housing markets make </w:t>
      </w:r>
      <w:r w:rsidR="43E05718">
        <w:t xml:space="preserve">decarbonization </w:t>
      </w:r>
      <w:r>
        <w:t>more accessible.</w:t>
      </w:r>
      <w:r w:rsidRPr="00AA669A">
        <w:t xml:space="preserve"> </w:t>
      </w:r>
      <w:r w:rsidR="000E0DB3">
        <w:t>Both cities benefit</w:t>
      </w:r>
      <w:r w:rsidRPr="00AA669A">
        <w:t xml:space="preserve"> from a strong network of community organizations already engaged in clean energy and environmental advocacy, offering valuable partnerships for future initiatives.</w:t>
      </w:r>
    </w:p>
    <w:p w14:paraId="4B64BE4E" w14:textId="26F15AD1" w:rsidR="004E46DB" w:rsidRPr="00AA669A" w:rsidRDefault="004E46DB" w:rsidP="004E46DB">
      <w:pPr>
        <w:pStyle w:val="BodyText"/>
      </w:pPr>
      <w:r w:rsidRPr="004E46DB">
        <w:rPr>
          <w:b/>
          <w:bCs/>
        </w:rPr>
        <w:t xml:space="preserve">Local industry support </w:t>
      </w:r>
      <w:r w:rsidR="28EF4AB2" w:rsidRPr="4F0BC15F">
        <w:rPr>
          <w:b/>
          <w:bCs/>
        </w:rPr>
        <w:t>and existing initiatives</w:t>
      </w:r>
      <w:r w:rsidR="5D09F2E5" w:rsidRPr="4F0BC15F">
        <w:rPr>
          <w:b/>
          <w:bCs/>
        </w:rPr>
        <w:t xml:space="preserve"> adds momentum.</w:t>
      </w:r>
      <w:r w:rsidRPr="00AA669A">
        <w:t xml:space="preserve"> Community partners report that large distribution and manufacturing companies in the region have shown openness to sustainability efforts, suggesting potential allies in broader </w:t>
      </w:r>
      <w:r w:rsidR="182DFACB">
        <w:t xml:space="preserve">decarbonization </w:t>
      </w:r>
      <w:r>
        <w:t>strategies.</w:t>
      </w:r>
      <w:r w:rsidR="495C5EC0">
        <w:t xml:space="preserve"> Hanford and Visalia are also home to several forward-looking projects, including a new electric housing development, and a new battery energy storage system.</w:t>
      </w:r>
    </w:p>
    <w:p w14:paraId="13551794" w14:textId="146CBEEF" w:rsidR="00BB7249" w:rsidRDefault="00BB7249" w:rsidP="00BB7249">
      <w:pPr>
        <w:pStyle w:val="BodyText"/>
      </w:pPr>
      <w:r w:rsidRPr="00746B96">
        <w:rPr>
          <w:b/>
          <w:bCs/>
        </w:rPr>
        <w:t>However, barriers remain.</w:t>
      </w:r>
      <w:r w:rsidRPr="00BB7249">
        <w:t xml:space="preserve"> Aging building stock in both cities may require costly retrofits. High social vulnerability</w:t>
      </w:r>
      <w:r w:rsidR="04954219">
        <w:t xml:space="preserve"> </w:t>
      </w:r>
      <w:r w:rsidR="24EA1C9F">
        <w:t>scores</w:t>
      </w:r>
      <w:r w:rsidRPr="00BB7249">
        <w:t xml:space="preserve"> and a lack of local mandates or regulatory incentives could slow progress. In Visalia, for example, 38.4% of residents are renters, and census data shows elevated rates of asthma, heart disease, and cancer, alongside a high pollution burden. Without targeted incentives for landlords, renters may be excluded from the benefits of </w:t>
      </w:r>
      <w:r w:rsidR="49EBCA19">
        <w:t>a gas transition</w:t>
      </w:r>
      <w:r>
        <w:t>.</w:t>
      </w:r>
    </w:p>
    <w:p w14:paraId="1327226E" w14:textId="01471C76" w:rsidR="00746B96" w:rsidRPr="00AA669A" w:rsidRDefault="00746B96" w:rsidP="00BB7249">
      <w:pPr>
        <w:pStyle w:val="BodyText"/>
      </w:pPr>
      <w:r w:rsidRPr="00746B96">
        <w:rPr>
          <w:b/>
          <w:bCs/>
        </w:rPr>
        <w:t>Equity must guide the transition.</w:t>
      </w:r>
      <w:r w:rsidRPr="00746B96">
        <w:t xml:space="preserve"> Without careful planning and robust funding, cost-shifting from wealthier households transitioning to </w:t>
      </w:r>
      <w:r w:rsidR="007C1622">
        <w:t>non-gas</w:t>
      </w:r>
      <w:r w:rsidR="1AC4D469">
        <w:t xml:space="preserve"> energy sources</w:t>
      </w:r>
      <w:r w:rsidRPr="00746B96">
        <w:t xml:space="preserve"> could increase gas costs for lower-income residents still reliant on gas. To ensure a fair and effective transition, </w:t>
      </w:r>
      <w:r w:rsidR="004A1CB8">
        <w:t>S</w:t>
      </w:r>
      <w:r w:rsidRPr="00746B96">
        <w:t>tate agencies must pair infrastructure upgrades with affordability measures, tenant protections, and targeted investment in vulnerable communities</w:t>
      </w:r>
      <w:r>
        <w:t>.</w:t>
      </w:r>
    </w:p>
    <w:p w14:paraId="34FD3E36" w14:textId="2E1D449A" w:rsidR="1DA6D50C" w:rsidRDefault="1DA6D50C" w:rsidP="00865E16">
      <w:pPr>
        <w:pStyle w:val="Heading4"/>
      </w:pPr>
      <w:bookmarkStart w:id="48" w:name="_Toc1286362094"/>
      <w:r>
        <w:t>Visitation Valley, San Francisco</w:t>
      </w:r>
      <w:bookmarkEnd w:id="48"/>
    </w:p>
    <w:p w14:paraId="17A4C680" w14:textId="7CA2EEB5" w:rsidR="3BB8F38D" w:rsidRDefault="3BB8F38D" w:rsidP="4F0BC15F">
      <w:pPr>
        <w:pStyle w:val="BodyText"/>
      </w:pPr>
      <w:r w:rsidRPr="4F0BC15F">
        <w:t xml:space="preserve">Key findings from the Visitation Valley case study highlight the technical and regulatory barriers to </w:t>
      </w:r>
      <w:r w:rsidR="4DD9E59C">
        <w:t xml:space="preserve">decarbonization </w:t>
      </w:r>
      <w:r>
        <w:t>that</w:t>
      </w:r>
      <w:r w:rsidRPr="4F0BC15F">
        <w:t xml:space="preserve"> persist despite strong homeowner interest. The points below summarize challenges related to aging housing infrastructure, costly retrofit requirements, and complex permitting processes. Together, these findings underscore the need for targeted financial assistance, streamlined permitting, and technical support to help willing residents overcome infrastructure barriers and participate fully and equitably in the transition away from gas.</w:t>
      </w:r>
    </w:p>
    <w:p w14:paraId="46151483" w14:textId="6592B97A" w:rsidR="00704EC2" w:rsidRDefault="00704EC2" w:rsidP="00704EC2">
      <w:pPr>
        <w:pStyle w:val="BodyText"/>
      </w:pPr>
      <w:r w:rsidRPr="00704EC2">
        <w:rPr>
          <w:b/>
          <w:bCs/>
        </w:rPr>
        <w:t>Homeowners in Visitation Valley are eager to transition away from gas.</w:t>
      </w:r>
      <w:r>
        <w:t xml:space="preserve"> During initial focus group sessions, many residents expressed interest in </w:t>
      </w:r>
      <w:r w:rsidR="3C566638">
        <w:t xml:space="preserve">alternative energy sources </w:t>
      </w:r>
      <w:r>
        <w:t xml:space="preserve">and reported taking steps to research the process independently. However, aging housing infrastructure presents a major obstacle. Many homes, built in the 1950s, still rely on outdated knob-and-tube wiring and lack the electrical capacity to support modern </w:t>
      </w:r>
      <w:r w:rsidR="1A5D5F2E">
        <w:t>non gas</w:t>
      </w:r>
      <w:r>
        <w:t xml:space="preserve"> appliances without costly upgrades.</w:t>
      </w:r>
    </w:p>
    <w:p w14:paraId="49C1D90A" w14:textId="442543A2" w:rsidR="00704EC2" w:rsidRDefault="00704EC2" w:rsidP="001D5EC5">
      <w:pPr>
        <w:pStyle w:val="BodyText"/>
        <w:keepNext/>
        <w:keepLines/>
      </w:pPr>
      <w:r w:rsidRPr="00704EC2">
        <w:rPr>
          <w:b/>
          <w:bCs/>
        </w:rPr>
        <w:t>Retrofits are expensive and complicated by local regulations.</w:t>
      </w:r>
      <w:r>
        <w:t xml:space="preserve"> Even for residents able to fund </w:t>
      </w:r>
      <w:r w:rsidR="65161807">
        <w:t xml:space="preserve">home </w:t>
      </w:r>
      <w:r>
        <w:t xml:space="preserve">upgrades, San Francisco’s zoning and building codes make extensive retrofit work difficult to navigate. These regulatory hurdles add another layer of complexity for </w:t>
      </w:r>
      <w:proofErr w:type="spellStart"/>
      <w:r>
        <w:t>neighborhoods</w:t>
      </w:r>
      <w:proofErr w:type="spellEnd"/>
      <w:r>
        <w:t xml:space="preserve"> like Visitation Valley, where interest and willingness are high, but feasibility remains low.</w:t>
      </w:r>
    </w:p>
    <w:p w14:paraId="17459B0E" w14:textId="69A79452" w:rsidR="00704EC2" w:rsidRDefault="00704EC2" w:rsidP="00704EC2">
      <w:pPr>
        <w:pStyle w:val="BodyText"/>
      </w:pPr>
      <w:r w:rsidRPr="00704EC2">
        <w:rPr>
          <w:b/>
          <w:bCs/>
        </w:rPr>
        <w:t>To unlock electrification potential, targeted investment and permitting reform are needed.</w:t>
      </w:r>
      <w:r>
        <w:t xml:space="preserve"> Supporting homeowners with financial assistance, streamlined permitting, and technical guidance will be essential to ensure that communities like Visitation Valley can participate fully and equitably in the transition away from gas</w:t>
      </w:r>
      <w:r w:rsidR="004A47DF">
        <w:t>.</w:t>
      </w:r>
    </w:p>
    <w:p w14:paraId="10AEE435" w14:textId="02B0CC26" w:rsidR="002F4DAF" w:rsidRPr="002F4DAF" w:rsidRDefault="002F4DAF" w:rsidP="3AEB7A9C">
      <w:pPr>
        <w:pStyle w:val="Heading4"/>
        <w:rPr>
          <w:color w:val="0F204B" w:themeColor="accent1"/>
        </w:rPr>
      </w:pPr>
      <w:r w:rsidRPr="002F4DAF">
        <w:lastRenderedPageBreak/>
        <w:t>Case Study Importance to Future Research</w:t>
      </w:r>
    </w:p>
    <w:p w14:paraId="1FB2D167" w14:textId="746F5571" w:rsidR="48EEDF77" w:rsidRDefault="2E734381" w:rsidP="60DEEE22">
      <w:pPr>
        <w:pStyle w:val="BodyText"/>
      </w:pPr>
      <w:r>
        <w:t xml:space="preserve">As shown </w:t>
      </w:r>
      <w:r w:rsidR="0A1B0C83">
        <w:t>above, the</w:t>
      </w:r>
      <w:r w:rsidR="400A9003" w:rsidRPr="60DEEE22">
        <w:t xml:space="preserve"> case study engagement process was essential to validating the Tool and demonstrating how technical analysis can be strengthened through iterative community collaboration. By pairing spatial data with local knowledge, the project bridged the gap between model-driven results and on-the-ground realities of California’s energy transition. This integration of technical and qualitative insights improved the Tool’s accuracy and deepened understanding of how readiness, risk, and equity intersect at the community level.</w:t>
      </w:r>
    </w:p>
    <w:p w14:paraId="1DDF3525" w14:textId="7752248E" w:rsidR="004A47DF" w:rsidRDefault="400A9003" w:rsidP="008A4A8A">
      <w:pPr>
        <w:pStyle w:val="BodyText"/>
      </w:pPr>
      <w:r w:rsidRPr="60DEEE22">
        <w:t>Engagement with local partners and residents allowed the team to test and refine metrics in real-world contexts, revealing where statewide indicators failed to capture local conditions and leading to meaningful updates. These exchanges also surfaced institutional and social factors—such as limited capacity, cost uncertainty, and concerns about community choice—that shape readiness for decommissioning.</w:t>
      </w:r>
      <w:r w:rsidR="006B359C">
        <w:t xml:space="preserve"> </w:t>
      </w:r>
      <w:r w:rsidR="03129362">
        <w:t>Here</w:t>
      </w:r>
      <w:r w:rsidRPr="60DEEE22">
        <w:t xml:space="preserve">, the case study framework offers a replicable model for future implementation efforts. By coupling GIS-based analysis with </w:t>
      </w:r>
      <w:r w:rsidR="15D07E58">
        <w:t xml:space="preserve">iterative </w:t>
      </w:r>
      <w:r w:rsidRPr="60DEEE22">
        <w:t>participatory engagement, it provides a pathway for the State, utilities, and communities to co-develop equitable, transparent, and locally grounded approaches to priority siting and gas decommissioning.</w:t>
      </w:r>
    </w:p>
    <w:p w14:paraId="2114855D" w14:textId="37ED3B20" w:rsidR="004A47DF" w:rsidRDefault="48EEDF77" w:rsidP="008A4A8A">
      <w:pPr>
        <w:pStyle w:val="BodyText"/>
      </w:pPr>
      <w:r>
        <w:t>Ultimately, the case studies show that when community insight is embedded in technical design, tools like this one can do more than guide infrastructure planning—they can build the trust and accountability necessary for a fair and enduring transition away from natural gas.</w:t>
      </w:r>
      <w:r w:rsidR="209B2E34">
        <w:t xml:space="preserve"> T</w:t>
      </w:r>
      <w:r w:rsidR="00E77E7A">
        <w:t>his approach delivers value to future research in three key areas:</w:t>
      </w:r>
    </w:p>
    <w:p w14:paraId="35621827" w14:textId="5AD3BB1D" w:rsidR="00F90A16" w:rsidRDefault="00F90A16" w:rsidP="00F90A16">
      <w:pPr>
        <w:pStyle w:val="Bullet1"/>
      </w:pPr>
      <w:r w:rsidRPr="00F90A16">
        <w:rPr>
          <w:b/>
          <w:bCs/>
        </w:rPr>
        <w:t>Accuracy:</w:t>
      </w:r>
      <w:r>
        <w:t xml:space="preserve"> Community validation helps correct limitations in aggregated datasets, especially those at regional or national scales.</w:t>
      </w:r>
    </w:p>
    <w:p w14:paraId="0F456750" w14:textId="7B7B2A32" w:rsidR="00F90A16" w:rsidRDefault="00F90A16" w:rsidP="00F90A16">
      <w:pPr>
        <w:pStyle w:val="Bullet1"/>
      </w:pPr>
      <w:r w:rsidRPr="00F90A16">
        <w:rPr>
          <w:b/>
          <w:bCs/>
        </w:rPr>
        <w:t>Equity:</w:t>
      </w:r>
      <w:r>
        <w:t xml:space="preserve"> Involving affected communities ensures that decisions account for social and economic impacts—not just technical feasibility.</w:t>
      </w:r>
    </w:p>
    <w:p w14:paraId="08322664" w14:textId="33A5C9C1" w:rsidR="00F90A16" w:rsidRDefault="00F90A16" w:rsidP="00F90A16">
      <w:pPr>
        <w:pStyle w:val="Bullet1Last"/>
      </w:pPr>
      <w:r w:rsidRPr="00F90A16">
        <w:rPr>
          <w:b/>
          <w:bCs/>
        </w:rPr>
        <w:t xml:space="preserve">Trust and </w:t>
      </w:r>
      <w:r w:rsidR="007C1622">
        <w:rPr>
          <w:b/>
          <w:bCs/>
        </w:rPr>
        <w:t>t</w:t>
      </w:r>
      <w:r w:rsidRPr="00F90A16">
        <w:rPr>
          <w:b/>
          <w:bCs/>
        </w:rPr>
        <w:t>ransparency:</w:t>
      </w:r>
      <w:r>
        <w:t xml:space="preserve"> Collaborative validation fosters stakeholder confidence and lays the groundwork for successful implementation.</w:t>
      </w:r>
    </w:p>
    <w:p w14:paraId="0BDB3A53" w14:textId="5B2DE348" w:rsidR="00E368E6" w:rsidRDefault="00E368E6" w:rsidP="004A1CB8">
      <w:pPr>
        <w:pStyle w:val="BodyText"/>
        <w:spacing w:after="0"/>
      </w:pPr>
      <w:r w:rsidRPr="00E368E6">
        <w:t xml:space="preserve">As new data sources emerge, this </w:t>
      </w:r>
      <w:r w:rsidR="5D05A749">
        <w:t>engagement</w:t>
      </w:r>
      <w:r w:rsidR="16CC12B7">
        <w:t xml:space="preserve"> </w:t>
      </w:r>
      <w:r w:rsidRPr="00E368E6">
        <w:t xml:space="preserve">framework should be replicated to maintain analyses that are technically sound, locally relevant, and socially responsive. Doing so creates a scalable and </w:t>
      </w:r>
      <w:r w:rsidR="2EF786A6">
        <w:t xml:space="preserve">replicable </w:t>
      </w:r>
      <w:r w:rsidRPr="00E368E6">
        <w:t xml:space="preserve">foundation for energy transition planning that reflects the specific needs of each community balanced with </w:t>
      </w:r>
      <w:r w:rsidR="004A1CB8">
        <w:t>S</w:t>
      </w:r>
      <w:r w:rsidRPr="00E368E6">
        <w:t>tate priorities and goals</w:t>
      </w:r>
      <w:r>
        <w:t>.</w:t>
      </w:r>
    </w:p>
    <w:p w14:paraId="74364572" w14:textId="235F483C" w:rsidR="001979CA" w:rsidRDefault="001979CA" w:rsidP="004A1CB8">
      <w:pPr>
        <w:pStyle w:val="Heading2"/>
        <w:spacing w:before="240"/>
      </w:pPr>
      <w:bookmarkStart w:id="49" w:name="_Ref212213744"/>
      <w:bookmarkStart w:id="50" w:name="_Toc214535401"/>
      <w:r w:rsidRPr="001979CA">
        <w:t xml:space="preserve">Identification </w:t>
      </w:r>
      <w:r>
        <w:t>of</w:t>
      </w:r>
      <w:r w:rsidRPr="001979CA">
        <w:t xml:space="preserve"> Metrics </w:t>
      </w:r>
      <w:r>
        <w:t>of</w:t>
      </w:r>
      <w:r w:rsidRPr="001979CA">
        <w:t xml:space="preserve"> Relevance, Variables, Spatial </w:t>
      </w:r>
      <w:r>
        <w:t>and</w:t>
      </w:r>
      <w:r w:rsidRPr="001979CA">
        <w:t xml:space="preserve"> Temporal Scales, </w:t>
      </w:r>
      <w:r>
        <w:t>and</w:t>
      </w:r>
      <w:r w:rsidRPr="001979CA">
        <w:t xml:space="preserve"> Other Defining Attributes</w:t>
      </w:r>
      <w:bookmarkEnd w:id="49"/>
      <w:bookmarkEnd w:id="50"/>
    </w:p>
    <w:p w14:paraId="742EA8FF" w14:textId="0AF1EECB" w:rsidR="00DA4369" w:rsidRDefault="00DA4369" w:rsidP="004A1CB8">
      <w:pPr>
        <w:pStyle w:val="Heading3"/>
        <w:spacing w:before="180"/>
      </w:pPr>
      <w:bookmarkStart w:id="51" w:name="_Toc669308353"/>
      <w:r>
        <w:t>Identification of Primary and Secondary Metrics of Relevance</w:t>
      </w:r>
      <w:bookmarkEnd w:id="51"/>
    </w:p>
    <w:p w14:paraId="3D163D6A" w14:textId="06A65EE8" w:rsidR="00DA4369" w:rsidRDefault="00382AB5" w:rsidP="00DA4369">
      <w:pPr>
        <w:pStyle w:val="BodyText"/>
      </w:pPr>
      <w:r>
        <w:t xml:space="preserve">As shown in </w:t>
      </w:r>
      <w:r>
        <w:fldChar w:fldCharType="begin"/>
      </w:r>
      <w:r>
        <w:instrText xml:space="preserve"> REF _Ref207186856 \h </w:instrText>
      </w:r>
      <w:r>
        <w:fldChar w:fldCharType="separate"/>
      </w:r>
      <w:r w:rsidR="00FA7042">
        <w:t xml:space="preserve">Figure </w:t>
      </w:r>
      <w:r w:rsidR="00FA7042">
        <w:rPr>
          <w:noProof/>
        </w:rPr>
        <w:t>2</w:t>
      </w:r>
      <w:r w:rsidR="00FA7042">
        <w:noBreakHyphen/>
      </w:r>
      <w:r w:rsidR="00FA7042">
        <w:rPr>
          <w:noProof/>
        </w:rPr>
        <w:t>5</w:t>
      </w:r>
      <w:r>
        <w:fldChar w:fldCharType="end"/>
      </w:r>
      <w:r>
        <w:t>, t</w:t>
      </w:r>
      <w:r w:rsidR="00DA4369">
        <w:t xml:space="preserve">he </w:t>
      </w:r>
      <w:r>
        <w:t>E</w:t>
      </w:r>
      <w:r w:rsidR="00DA4369">
        <w:t xml:space="preserve">quity </w:t>
      </w:r>
      <w:r>
        <w:t>Index</w:t>
      </w:r>
      <w:r w:rsidR="00DA4369">
        <w:t xml:space="preserve">, comprised of seven sub-indices and a number of associated primary metrics, was identified and compiled into secondary metrics or sub-indices to represent community impact reference categories and to investigate pathways for prioritizing California communities who are identified as disadvantaged, underserved, at-risk, and most vulnerable to costs, burdens and cumulative energy inequities associated with early gas decommissioning. The metrics identified are intended to uplift non-energy impacts and benefits (e.g., health, housing, jobs) that communities view as priorities and </w:t>
      </w:r>
      <w:proofErr w:type="spellStart"/>
      <w:r w:rsidR="00DA4369">
        <w:t>analyze</w:t>
      </w:r>
      <w:proofErr w:type="spellEnd"/>
      <w:r w:rsidR="00DA4369">
        <w:t xml:space="preserve"> ways to quantify them for inclusion in the Tool.</w:t>
      </w:r>
    </w:p>
    <w:p w14:paraId="32F930D4" w14:textId="1706EFD9" w:rsidR="00DA4369" w:rsidRDefault="00DA4369" w:rsidP="004A1CB8">
      <w:pPr>
        <w:pStyle w:val="BodyText"/>
        <w:spacing w:after="80"/>
      </w:pPr>
      <w:r>
        <w:t>The equity layer was developed with the following data collection goals:</w:t>
      </w:r>
      <w:r w:rsidR="00DC6AA8">
        <w:tab/>
      </w:r>
    </w:p>
    <w:p w14:paraId="47BB86C3" w14:textId="4BF38E3D" w:rsidR="00DC6AA8" w:rsidRDefault="00E169C1" w:rsidP="00DA4369">
      <w:pPr>
        <w:pStyle w:val="Bullet1"/>
      </w:pPr>
      <w:r>
        <w:t>I</w:t>
      </w:r>
      <w:r w:rsidR="006C6EF0">
        <w:t xml:space="preserve">dentify publicly available equity metrics and potential community impacts relevant </w:t>
      </w:r>
      <w:r w:rsidR="00DC6AA8">
        <w:t>to gas pipeline decommissioning.</w:t>
      </w:r>
    </w:p>
    <w:p w14:paraId="002DC39B" w14:textId="1490900C" w:rsidR="00DC6AA8" w:rsidRDefault="00DC6AA8" w:rsidP="00DA4369">
      <w:pPr>
        <w:pStyle w:val="Bullet1"/>
      </w:pPr>
      <w:r>
        <w:t>Research and build case study profiles to apply and test equity metrics identified.</w:t>
      </w:r>
    </w:p>
    <w:p w14:paraId="76B5BFD6" w14:textId="546B7FB0" w:rsidR="00DC6AA8" w:rsidRDefault="00E169C1" w:rsidP="00DA4369">
      <w:pPr>
        <w:pStyle w:val="Bullet1Last"/>
      </w:pPr>
      <w:r>
        <w:t>I</w:t>
      </w:r>
      <w:r w:rsidR="00DC6AA8">
        <w:t xml:space="preserve">teratively refine, prioritize, </w:t>
      </w:r>
      <w:r w:rsidR="00DA255C">
        <w:t>weight,</w:t>
      </w:r>
      <w:r w:rsidR="00DC6AA8">
        <w:t xml:space="preserve"> and select a set of equity metrics most representative of contextual community impacts through team, interested parties, and community input.</w:t>
      </w:r>
    </w:p>
    <w:p w14:paraId="247715E5" w14:textId="7800CF4E" w:rsidR="003A586C" w:rsidRDefault="003A586C" w:rsidP="007C1622">
      <w:pPr>
        <w:pStyle w:val="FigureTitle"/>
      </w:pPr>
      <w:bookmarkStart w:id="52" w:name="_Ref207186856"/>
      <w:bookmarkStart w:id="53" w:name="_Toc214535422"/>
      <w:r>
        <w:lastRenderedPageBreak/>
        <w:t xml:space="preserve">Figure </w:t>
      </w:r>
      <w:r>
        <w:fldChar w:fldCharType="begin"/>
      </w:r>
      <w:r>
        <w:instrText xml:space="preserve"> STYLEREF 1 \s </w:instrText>
      </w:r>
      <w:r>
        <w:fldChar w:fldCharType="separate"/>
      </w:r>
      <w:r w:rsidR="00FA7042">
        <w:rPr>
          <w:noProof/>
        </w:rPr>
        <w:t>2</w:t>
      </w:r>
      <w:r>
        <w:fldChar w:fldCharType="end"/>
      </w:r>
      <w:r>
        <w:noBreakHyphen/>
      </w:r>
      <w:r>
        <w:fldChar w:fldCharType="begin"/>
      </w:r>
      <w:r>
        <w:instrText xml:space="preserve"> SEQ Figure \* ARABIC \s 1 </w:instrText>
      </w:r>
      <w:r>
        <w:fldChar w:fldCharType="separate"/>
      </w:r>
      <w:r w:rsidR="00FA7042">
        <w:rPr>
          <w:noProof/>
        </w:rPr>
        <w:t>5</w:t>
      </w:r>
      <w:r>
        <w:fldChar w:fldCharType="end"/>
      </w:r>
      <w:bookmarkEnd w:id="52"/>
      <w:r>
        <w:t>. Equity Index</w:t>
      </w:r>
      <w:r w:rsidR="00826893">
        <w:t>: Metrics that Potentially Represent Community Impacts to Gas Decommissioning</w:t>
      </w:r>
      <w:bookmarkEnd w:id="53"/>
    </w:p>
    <w:p w14:paraId="2DEACBE9" w14:textId="79CAAFAF" w:rsidR="00826893" w:rsidRDefault="00247F5F" w:rsidP="00C51509">
      <w:pPr>
        <w:pStyle w:val="FigureTitle"/>
      </w:pPr>
      <w:r>
        <w:rPr>
          <w:noProof/>
        </w:rPr>
        <w:drawing>
          <wp:inline distT="0" distB="0" distL="0" distR="0" wp14:anchorId="34F7B62B" wp14:editId="0ECB4F3B">
            <wp:extent cx="5982573" cy="2552700"/>
            <wp:effectExtent l="0" t="0" r="0" b="0"/>
            <wp:docPr id="1914807308" name="Picture 1" descr="Image of a table that shows the Equity Index's sub-indices and variables (primary metrics) that potentially represent community impacts to gas decommissioning, are described int 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07308" name="Picture 1" descr="Image of a table that shows the Equity Index's sub-indices and variables (primary metrics) that potentially represent community impacts to gas decommissioning, are described int he text"/>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3482"/>
                    <a:stretch>
                      <a:fillRect/>
                    </a:stretch>
                  </pic:blipFill>
                  <pic:spPr bwMode="auto">
                    <a:xfrm>
                      <a:off x="0" y="0"/>
                      <a:ext cx="5986464" cy="2554360"/>
                    </a:xfrm>
                    <a:prstGeom prst="rect">
                      <a:avLst/>
                    </a:prstGeom>
                    <a:noFill/>
                    <a:ln>
                      <a:noFill/>
                    </a:ln>
                    <a:extLst>
                      <a:ext uri="{53640926-AAD7-44D8-BBD7-CCE9431645EC}">
                        <a14:shadowObscured xmlns:a14="http://schemas.microsoft.com/office/drawing/2010/main"/>
                      </a:ext>
                    </a:extLst>
                  </pic:spPr>
                </pic:pic>
              </a:graphicData>
            </a:graphic>
          </wp:inline>
        </w:drawing>
      </w:r>
    </w:p>
    <w:p w14:paraId="51BB29CF" w14:textId="65F6F8A2" w:rsidR="00A65BBD" w:rsidRDefault="00A65BBD" w:rsidP="004A1CB8">
      <w:pPr>
        <w:pStyle w:val="BodyText"/>
        <w:keepNext/>
        <w:keepLines/>
        <w:spacing w:after="0"/>
      </w:pPr>
      <w:r>
        <w:t>Primary metrics were processed into sub-indices as follows:</w:t>
      </w:r>
    </w:p>
    <w:p w14:paraId="143FD726" w14:textId="397BA8DC" w:rsidR="00A65BBD" w:rsidRDefault="00A65BBD" w:rsidP="00247F5F">
      <w:pPr>
        <w:pStyle w:val="NumberList"/>
        <w:keepNext/>
        <w:keepLines/>
        <w:numPr>
          <w:ilvl w:val="0"/>
          <w:numId w:val="18"/>
        </w:numPr>
        <w:ind w:left="720" w:hanging="360"/>
      </w:pPr>
      <w:r>
        <w:t>Rank each primary metric (raw variable) on 1-10 scale using k-means</w:t>
      </w:r>
      <w:r w:rsidR="00E508EE">
        <w:t>.</w:t>
      </w:r>
    </w:p>
    <w:p w14:paraId="702D8FCA" w14:textId="7ACA6A1C" w:rsidR="00A65BBD" w:rsidRDefault="00A65BBD" w:rsidP="00E508EE">
      <w:pPr>
        <w:pStyle w:val="NumberList"/>
        <w:ind w:left="720" w:hanging="360"/>
      </w:pPr>
      <w:r>
        <w:t>For each pre-defined group of primary metrics that makes up a “sub-index” (see above), sum the 1-10 ranked scores of all input variables to get a raw sub-index score</w:t>
      </w:r>
      <w:r w:rsidR="00E508EE">
        <w:t>.</w:t>
      </w:r>
    </w:p>
    <w:p w14:paraId="1EF2210F" w14:textId="2169CE47" w:rsidR="00A65BBD" w:rsidRDefault="00A65BBD" w:rsidP="00E508EE">
      <w:pPr>
        <w:pStyle w:val="NumberList"/>
        <w:ind w:left="720" w:hanging="360"/>
      </w:pPr>
      <w:r>
        <w:t>In each sub-index, primary metrics are weighted equally, except for county level grid outage data, which was given a weight of ½ the weight of the tract</w:t>
      </w:r>
      <w:r w:rsidR="00E508EE">
        <w:t>-</w:t>
      </w:r>
      <w:r>
        <w:t>level data contributing towards the Energy Burden sub-index</w:t>
      </w:r>
      <w:r w:rsidR="00E508EE">
        <w:t>.</w:t>
      </w:r>
    </w:p>
    <w:p w14:paraId="49EB0CD9" w14:textId="22FEC0E4" w:rsidR="00A65BBD" w:rsidRDefault="00A65BBD" w:rsidP="00E508EE">
      <w:pPr>
        <w:pStyle w:val="NumberList"/>
        <w:ind w:left="720" w:hanging="360"/>
      </w:pPr>
      <w:r>
        <w:t>Rank each raw sub-index on a 1-10 scale using k-means to get a cleaned sub-index score</w:t>
      </w:r>
      <w:r w:rsidR="00E508EE">
        <w:t>.</w:t>
      </w:r>
    </w:p>
    <w:p w14:paraId="5958B6D9" w14:textId="1ECCA913" w:rsidR="00A65BBD" w:rsidRDefault="00A65BBD" w:rsidP="00E508EE">
      <w:pPr>
        <w:pStyle w:val="NumberList"/>
        <w:ind w:left="720" w:hanging="360"/>
      </w:pPr>
      <w:r>
        <w:t>Sum the ranked values of each sub-index to calculate a raw Equity Index score</w:t>
      </w:r>
      <w:r w:rsidR="00E508EE">
        <w:t>.</w:t>
      </w:r>
    </w:p>
    <w:p w14:paraId="3B6B90C1" w14:textId="582EB1D4" w:rsidR="00A65BBD" w:rsidRDefault="00A65BBD" w:rsidP="007C1622">
      <w:pPr>
        <w:pStyle w:val="NumberList"/>
        <w:spacing w:after="240"/>
        <w:ind w:left="720" w:hanging="360"/>
      </w:pPr>
      <w:r>
        <w:t>Rank the raw Equity Index values on a 1-10 scale using k-means to arrive at the final composite Equity Index</w:t>
      </w:r>
      <w:r w:rsidR="00E508EE">
        <w:t>.</w:t>
      </w:r>
    </w:p>
    <w:p w14:paraId="289D0180" w14:textId="04D6B1EE" w:rsidR="00A65BBD" w:rsidRDefault="00A65BBD" w:rsidP="00A65BBD">
      <w:pPr>
        <w:pStyle w:val="BodyText"/>
      </w:pPr>
      <w:r>
        <w:t xml:space="preserve">K-means is a clustering algorithm that takes data of one or more dimensions and a target number of clusters (k) as </w:t>
      </w:r>
      <w:r w:rsidR="00E508EE">
        <w:t>inputs and</w:t>
      </w:r>
      <w:r>
        <w:t xml:space="preserve"> iteratively adjusts the </w:t>
      </w:r>
      <w:proofErr w:type="spellStart"/>
      <w:r>
        <w:t>centers</w:t>
      </w:r>
      <w:proofErr w:type="spellEnd"/>
      <w:r>
        <w:t xml:space="preserve"> of each of the k clusters until convergence, returning as an output the </w:t>
      </w:r>
      <w:proofErr w:type="spellStart"/>
      <w:r>
        <w:t>center</w:t>
      </w:r>
      <w:proofErr w:type="spellEnd"/>
      <w:r>
        <w:t xml:space="preserve"> point of each of the k clusters and the classification of every point in the dataset into one of the k clusters. In the one-dimensional case (</w:t>
      </w:r>
      <w:r w:rsidR="00C813ED">
        <w:t>the</w:t>
      </w:r>
      <w:r>
        <w:t xml:space="preserve"> application), k-means serves to partition the univariate distribution being considered into k different classes so that variance within each class is minimized, converting a continuous variable into ranked score from 1-10 that is dependent on the shape of the underlying distribution.</w:t>
      </w:r>
    </w:p>
    <w:p w14:paraId="44BA8DA7" w14:textId="146912CE" w:rsidR="003A586C" w:rsidRDefault="00A65BBD" w:rsidP="00A65BBD">
      <w:pPr>
        <w:pStyle w:val="BodyText"/>
      </w:pPr>
      <w:r>
        <w:t xml:space="preserve">Pursuant to the scope of this study, no weighting will be formally applied, but community and interested parties feedback was sought in this regard and discussed in the case study context sections above. </w:t>
      </w:r>
      <w:r w:rsidR="00350234">
        <w:t>The project team</w:t>
      </w:r>
      <w:r>
        <w:t xml:space="preserve"> envision</w:t>
      </w:r>
      <w:r w:rsidR="00350234">
        <w:t>s</w:t>
      </w:r>
      <w:r>
        <w:t xml:space="preserve"> that proper assessment of metrics-weighting will be an active area for future research and require additional community and stakeholder engagement. Further, the weighting may also be a function of </w:t>
      </w:r>
      <w:proofErr w:type="gramStart"/>
      <w:r>
        <w:t>particular policy</w:t>
      </w:r>
      <w:proofErr w:type="gramEnd"/>
      <w:r>
        <w:t xml:space="preserve"> objectives (e.g., long</w:t>
      </w:r>
      <w:r w:rsidR="00E508EE">
        <w:t>-</w:t>
      </w:r>
      <w:r>
        <w:t>term gas planning, SB 1221), which may change from region to region, or from one IOU district to another.</w:t>
      </w:r>
    </w:p>
    <w:p w14:paraId="365E466D" w14:textId="11CDCE25" w:rsidR="00445A86" w:rsidRDefault="00445A86" w:rsidP="00AE0EFB">
      <w:pPr>
        <w:pStyle w:val="Heading3"/>
      </w:pPr>
      <w:bookmarkStart w:id="54" w:name="_Toc1486623955"/>
      <w:r>
        <w:t>Other Defining Attributes</w:t>
      </w:r>
      <w:bookmarkEnd w:id="54"/>
    </w:p>
    <w:p w14:paraId="3A5B03A3" w14:textId="6A78F011" w:rsidR="00445A86" w:rsidRDefault="00A95F0F" w:rsidP="00A95F0F">
      <w:pPr>
        <w:pStyle w:val="BodyText"/>
      </w:pPr>
      <w:r>
        <w:t xml:space="preserve">Beyond creating a visualization platform, the Tool stands as a replicable framework for combining complex geospatial and technical data with community knowledge and localized insights. Critically, this process has involved ground truthing the tool’s outputs through case studies and engagement with local stakeholders to ensure alignment with lived experience and on-the-ground conditions. This dual approach—merging quantitative data with qualitative, place-based expertise—will be essential for equitable and effective energy transition planning. As data availability and governance continue to evolve, the framework developed here can be applied to future decommissioning </w:t>
      </w:r>
      <w:proofErr w:type="spellStart"/>
      <w:r>
        <w:t>modeling</w:t>
      </w:r>
      <w:proofErr w:type="spellEnd"/>
      <w:r>
        <w:t xml:space="preserve">, ensuring that the principles of transparency, inclusivity, and contextual accuracy remain central to decision-making around gas decommissioning for the </w:t>
      </w:r>
      <w:r w:rsidR="004A1CB8">
        <w:t>S</w:t>
      </w:r>
      <w:r>
        <w:t>tate.</w:t>
      </w:r>
    </w:p>
    <w:p w14:paraId="23E9B2C2" w14:textId="2B2B4D07" w:rsidR="000E5561" w:rsidRPr="000E5561" w:rsidRDefault="000E5561" w:rsidP="000E5561">
      <w:pPr>
        <w:pStyle w:val="Heading2"/>
      </w:pPr>
      <w:bookmarkStart w:id="55" w:name="_Ref212206983"/>
      <w:bookmarkStart w:id="56" w:name="_Toc214535402"/>
      <w:r w:rsidRPr="000E5561">
        <w:lastRenderedPageBreak/>
        <w:t>How Metrics Relate to Actual Decisions or Other Use Cases</w:t>
      </w:r>
      <w:bookmarkEnd w:id="55"/>
      <w:bookmarkEnd w:id="56"/>
      <w:r w:rsidRPr="000E5561">
        <w:t xml:space="preserve"> </w:t>
      </w:r>
    </w:p>
    <w:p w14:paraId="67BE08E7" w14:textId="48DFD454" w:rsidR="004E5904" w:rsidRDefault="004E5904" w:rsidP="004E5904">
      <w:pPr>
        <w:pStyle w:val="BodyText"/>
      </w:pPr>
      <w:r>
        <w:t>This section outlines how the various indices and metrics used in the Tool inform real-world decision-making around gas decommissioning, electrification, and energy transition planning. Each index provides a distinct lens for evaluating feasibility, equity, and impact—helping to prioritize communities and guide implementation strategies.</w:t>
      </w:r>
    </w:p>
    <w:p w14:paraId="72AF78B7" w14:textId="5D955DE2" w:rsidR="00500328" w:rsidRDefault="004E5904" w:rsidP="00AE0EFB">
      <w:pPr>
        <w:pStyle w:val="Heading3"/>
      </w:pPr>
      <w:bookmarkStart w:id="57" w:name="_Toc1176778611"/>
      <w:r>
        <w:t>Equity Index</w:t>
      </w:r>
      <w:bookmarkEnd w:id="57"/>
    </w:p>
    <w:p w14:paraId="4275C163" w14:textId="203A2BCF" w:rsidR="004E5904" w:rsidRDefault="004E5904" w:rsidP="004E5904">
      <w:pPr>
        <w:pStyle w:val="BodyText"/>
      </w:pPr>
      <w:r>
        <w:t>The Equity Index connects metrics to community needs by integrating multiple dimensions of vulnerability and risk to help identify communities that may benefit most from early intervention, while also highlighting potential barriers to implementation:</w:t>
      </w:r>
    </w:p>
    <w:p w14:paraId="2AF833FC" w14:textId="166D955B" w:rsidR="004E5904" w:rsidRDefault="004E5904" w:rsidP="00500328">
      <w:pPr>
        <w:pStyle w:val="Bullet1"/>
      </w:pPr>
      <w:r w:rsidRPr="00500328">
        <w:rPr>
          <w:b/>
          <w:bCs/>
        </w:rPr>
        <w:t xml:space="preserve">Socioeconomic </w:t>
      </w:r>
      <w:r w:rsidR="00F148FA">
        <w:rPr>
          <w:b/>
          <w:bCs/>
        </w:rPr>
        <w:t>v</w:t>
      </w:r>
      <w:r w:rsidRPr="00500328">
        <w:rPr>
          <w:b/>
          <w:bCs/>
        </w:rPr>
        <w:t>ulnerability:</w:t>
      </w:r>
      <w:r>
        <w:t xml:space="preserve"> Captures factors like renter status, income, and education. For example, renters may face greater challenges in transitioning away from gas, as decisions rest with landlords rather than tenants.</w:t>
      </w:r>
    </w:p>
    <w:p w14:paraId="059ECF4C" w14:textId="09877FB2" w:rsidR="004E5904" w:rsidRDefault="004E5904" w:rsidP="00500328">
      <w:pPr>
        <w:pStyle w:val="Bullet1"/>
      </w:pPr>
      <w:r w:rsidRPr="00500328">
        <w:rPr>
          <w:b/>
          <w:bCs/>
        </w:rPr>
        <w:t xml:space="preserve">Energy </w:t>
      </w:r>
      <w:r w:rsidR="00F148FA">
        <w:rPr>
          <w:b/>
          <w:bCs/>
        </w:rPr>
        <w:t>b</w:t>
      </w:r>
      <w:r w:rsidRPr="00500328">
        <w:rPr>
          <w:b/>
          <w:bCs/>
        </w:rPr>
        <w:t>urden:</w:t>
      </w:r>
      <w:r>
        <w:t xml:space="preserve"> Assesses the financial and reliability challenges of energy use. High grid outage rates signal that decommissioning without addressing grid resilience could worsen energy insecurity.</w:t>
      </w:r>
    </w:p>
    <w:p w14:paraId="218FAAB7" w14:textId="17B157A3" w:rsidR="004E5904" w:rsidRDefault="004E5904" w:rsidP="00500328">
      <w:pPr>
        <w:pStyle w:val="Bullet1"/>
      </w:pPr>
      <w:r w:rsidRPr="00500328">
        <w:rPr>
          <w:b/>
          <w:bCs/>
        </w:rPr>
        <w:t xml:space="preserve">Pollution </w:t>
      </w:r>
      <w:r w:rsidR="00F148FA">
        <w:rPr>
          <w:b/>
          <w:bCs/>
        </w:rPr>
        <w:t>b</w:t>
      </w:r>
      <w:r w:rsidRPr="00500328">
        <w:rPr>
          <w:b/>
          <w:bCs/>
        </w:rPr>
        <w:t>urden:</w:t>
      </w:r>
      <w:r>
        <w:t xml:space="preserve"> Highlights areas with elevated exposure to pollutants such as PM2.5. Prioritizing commercial sector electrification in these areas could yield significant public health benefits.</w:t>
      </w:r>
    </w:p>
    <w:p w14:paraId="310B9EE1" w14:textId="6E6B7DF9" w:rsidR="004E5904" w:rsidRDefault="004E5904" w:rsidP="00500328">
      <w:pPr>
        <w:pStyle w:val="Bullet1"/>
      </w:pPr>
      <w:r w:rsidRPr="00500328">
        <w:rPr>
          <w:b/>
          <w:bCs/>
        </w:rPr>
        <w:t xml:space="preserve">Environmental </w:t>
      </w:r>
      <w:r w:rsidR="00F148FA">
        <w:rPr>
          <w:b/>
          <w:bCs/>
        </w:rPr>
        <w:t>r</w:t>
      </w:r>
      <w:r w:rsidRPr="00500328">
        <w:rPr>
          <w:b/>
          <w:bCs/>
        </w:rPr>
        <w:t>isk:</w:t>
      </w:r>
      <w:r>
        <w:t xml:space="preserve"> Flags potential hazards associated with infrastructure upgrades, such as lead paint exposure during building retrofits or soil disturbance.</w:t>
      </w:r>
    </w:p>
    <w:p w14:paraId="5AFA0A37" w14:textId="449C7E7C" w:rsidR="004E5904" w:rsidRDefault="004E5904" w:rsidP="00500328">
      <w:pPr>
        <w:pStyle w:val="Bullet1"/>
      </w:pPr>
      <w:r w:rsidRPr="00500328">
        <w:rPr>
          <w:b/>
          <w:bCs/>
        </w:rPr>
        <w:t xml:space="preserve">Sensitive </w:t>
      </w:r>
      <w:r w:rsidR="00F148FA">
        <w:rPr>
          <w:b/>
          <w:bCs/>
        </w:rPr>
        <w:t>p</w:t>
      </w:r>
      <w:r w:rsidRPr="00500328">
        <w:rPr>
          <w:b/>
          <w:bCs/>
        </w:rPr>
        <w:t>opulations:</w:t>
      </w:r>
      <w:r>
        <w:t xml:space="preserve"> Identifies communities with higher rates of health conditions like asthma, which may benefit from reduced indoor air pollution through electrification.</w:t>
      </w:r>
    </w:p>
    <w:p w14:paraId="117D78C2" w14:textId="62AAC51D" w:rsidR="004E5904" w:rsidRDefault="004E5904" w:rsidP="00247F5F">
      <w:pPr>
        <w:pStyle w:val="Bullet1Last"/>
      </w:pPr>
      <w:r w:rsidRPr="00500328">
        <w:rPr>
          <w:b/>
          <w:bCs/>
        </w:rPr>
        <w:t xml:space="preserve">Access to </w:t>
      </w:r>
      <w:r w:rsidR="00F148FA">
        <w:rPr>
          <w:b/>
          <w:bCs/>
        </w:rPr>
        <w:t>c</w:t>
      </w:r>
      <w:r w:rsidRPr="00500328">
        <w:rPr>
          <w:b/>
          <w:bCs/>
        </w:rPr>
        <w:t xml:space="preserve">ritical </w:t>
      </w:r>
      <w:r w:rsidR="00F148FA">
        <w:rPr>
          <w:b/>
          <w:bCs/>
        </w:rPr>
        <w:t>s</w:t>
      </w:r>
      <w:r w:rsidRPr="00500328">
        <w:rPr>
          <w:b/>
          <w:bCs/>
        </w:rPr>
        <w:t>ervices:</w:t>
      </w:r>
      <w:r>
        <w:t xml:space="preserve"> Evaluates how decommissioning might disrupt essential services. For example, broadband infrastructure often shares pathways with gas lines, requiring careful coordination.</w:t>
      </w:r>
    </w:p>
    <w:p w14:paraId="10BFF670" w14:textId="7BBEE8AE" w:rsidR="004E5904" w:rsidRDefault="6F62EDE7" w:rsidP="530D6781">
      <w:pPr>
        <w:pStyle w:val="Bullet1Last"/>
        <w:numPr>
          <w:ilvl w:val="0"/>
          <w:numId w:val="0"/>
        </w:numPr>
      </w:pPr>
      <w:r w:rsidRPr="530D6781">
        <w:rPr>
          <w:b/>
          <w:bCs/>
        </w:rPr>
        <w:t xml:space="preserve">Climate </w:t>
      </w:r>
      <w:r w:rsidR="73AD0CC9" w:rsidRPr="530D6781">
        <w:rPr>
          <w:b/>
          <w:bCs/>
        </w:rPr>
        <w:t>r</w:t>
      </w:r>
      <w:r w:rsidRPr="530D6781">
        <w:rPr>
          <w:b/>
          <w:bCs/>
        </w:rPr>
        <w:t>isk:</w:t>
      </w:r>
      <w:r>
        <w:t xml:space="preserve"> Assesses </w:t>
      </w:r>
      <w:r w:rsidR="5F88ED9C">
        <w:t>expected annual losses to buildings, population and agriculture due to 18 different climate hazards</w:t>
      </w:r>
      <w:r>
        <w:t>. Decommissioning in high-risk areas may require additional safeguards and planning.</w:t>
      </w:r>
    </w:p>
    <w:p w14:paraId="253BCC89" w14:textId="57156DFA" w:rsidR="00500328" w:rsidRDefault="004E5904" w:rsidP="001D5EC5">
      <w:pPr>
        <w:pStyle w:val="Heading3"/>
        <w:keepLines/>
      </w:pPr>
      <w:bookmarkStart w:id="58" w:name="_Toc75104098"/>
      <w:r>
        <w:t>Residential Readiness Index</w:t>
      </w:r>
      <w:bookmarkEnd w:id="58"/>
    </w:p>
    <w:p w14:paraId="3FD4BFEE" w14:textId="08FE7785" w:rsidR="004E5904" w:rsidRDefault="004E5904" w:rsidP="001D5EC5">
      <w:pPr>
        <w:pStyle w:val="BodyText"/>
        <w:keepNext/>
        <w:keepLines/>
      </w:pPr>
      <w:r>
        <w:t>The Residential Readiness Index evaluates the feasibility of disconnecting households from gas service by considering:</w:t>
      </w:r>
    </w:p>
    <w:p w14:paraId="5CA5A5F1" w14:textId="1B338958" w:rsidR="004E5904" w:rsidRDefault="004E5904" w:rsidP="001D5EC5">
      <w:pPr>
        <w:pStyle w:val="Bullet1"/>
        <w:keepNext/>
        <w:keepLines/>
      </w:pPr>
      <w:r w:rsidRPr="006176F2">
        <w:rPr>
          <w:b/>
          <w:bCs/>
        </w:rPr>
        <w:t xml:space="preserve">Gas </w:t>
      </w:r>
      <w:r w:rsidR="00F148FA" w:rsidRPr="006176F2">
        <w:rPr>
          <w:b/>
          <w:bCs/>
        </w:rPr>
        <w:t>dependency and energy use</w:t>
      </w:r>
      <w:r w:rsidRPr="006176F2">
        <w:rPr>
          <w:b/>
          <w:bCs/>
        </w:rPr>
        <w:t>:</w:t>
      </w:r>
      <w:r>
        <w:t xml:space="preserve"> Measures the extent to which homes rely on gas and the overall energy intensity of residential buildings.</w:t>
      </w:r>
    </w:p>
    <w:p w14:paraId="64581708" w14:textId="6D370807" w:rsidR="004E5904" w:rsidRDefault="004E5904" w:rsidP="001D5EC5">
      <w:pPr>
        <w:pStyle w:val="Bullet1"/>
        <w:keepNext/>
        <w:keepLines/>
      </w:pPr>
      <w:r w:rsidRPr="006176F2">
        <w:rPr>
          <w:b/>
          <w:bCs/>
        </w:rPr>
        <w:t xml:space="preserve">Socioeconomic </w:t>
      </w:r>
      <w:r w:rsidR="00F148FA">
        <w:rPr>
          <w:b/>
          <w:bCs/>
        </w:rPr>
        <w:t>b</w:t>
      </w:r>
      <w:r w:rsidRPr="006176F2">
        <w:rPr>
          <w:b/>
          <w:bCs/>
        </w:rPr>
        <w:t>arriers:</w:t>
      </w:r>
      <w:r>
        <w:t xml:space="preserve"> Assesses the financial and logistical capacity of households to adopt electric alternatives, including upfront costs and installation challenges.</w:t>
      </w:r>
    </w:p>
    <w:p w14:paraId="051063EF" w14:textId="0C1BD60E" w:rsidR="004E5904" w:rsidRDefault="004E5904" w:rsidP="001D5EC5">
      <w:pPr>
        <w:pStyle w:val="Bullet1Last"/>
        <w:keepNext/>
        <w:keepLines/>
      </w:pPr>
      <w:r w:rsidRPr="006176F2">
        <w:rPr>
          <w:b/>
          <w:bCs/>
        </w:rPr>
        <w:t xml:space="preserve">Building </w:t>
      </w:r>
      <w:r w:rsidR="00F148FA" w:rsidRPr="006176F2">
        <w:rPr>
          <w:b/>
          <w:bCs/>
        </w:rPr>
        <w:t>stock constraints:</w:t>
      </w:r>
      <w:r w:rsidR="00F148FA">
        <w:t xml:space="preserve"> </w:t>
      </w:r>
      <w:r>
        <w:t>Accounts for the age and condition of homes, which may complicate integration of electric technologies due to outdated electrical or mechanical systems.</w:t>
      </w:r>
    </w:p>
    <w:p w14:paraId="21617255" w14:textId="76CF2D17" w:rsidR="004E5904" w:rsidRDefault="2B08C495" w:rsidP="00F148FA">
      <w:pPr>
        <w:pStyle w:val="BodyText"/>
      </w:pPr>
      <w:r>
        <w:t>Notably, this</w:t>
      </w:r>
      <w:r w:rsidR="6F62EDE7">
        <w:t xml:space="preserve"> Index was developed later in the project based on feedback from communities and </w:t>
      </w:r>
      <w:r w:rsidR="67D17757">
        <w:t>stakeholders,</w:t>
      </w:r>
      <w:r w:rsidR="6F62EDE7">
        <w:t xml:space="preserve"> so i</w:t>
      </w:r>
      <w:r w:rsidR="4D123EBB">
        <w:t>t has not received the same degree of focus during</w:t>
      </w:r>
      <w:r w:rsidR="6F62EDE7">
        <w:t xml:space="preserve"> community-level discussions.</w:t>
      </w:r>
    </w:p>
    <w:p w14:paraId="77F23D8A" w14:textId="7CF8B45E" w:rsidR="006176F2" w:rsidRDefault="004E5904" w:rsidP="00AE0EFB">
      <w:pPr>
        <w:pStyle w:val="Heading3"/>
      </w:pPr>
      <w:bookmarkStart w:id="59" w:name="_Toc1098067101"/>
      <w:r>
        <w:t>Non-Residential Readiness Index</w:t>
      </w:r>
      <w:bookmarkEnd w:id="59"/>
    </w:p>
    <w:p w14:paraId="7333B239" w14:textId="75C093C7" w:rsidR="004E5904" w:rsidRDefault="004E5904" w:rsidP="004E5904">
      <w:pPr>
        <w:pStyle w:val="BodyText"/>
      </w:pPr>
      <w:r>
        <w:t>The Non-Residential Readiness Index focuses on commercial and industrial sectors, aiming to quantify:</w:t>
      </w:r>
    </w:p>
    <w:p w14:paraId="0CE7C9C7" w14:textId="25F5866D" w:rsidR="004E5904" w:rsidRDefault="004E5904" w:rsidP="006176F2">
      <w:pPr>
        <w:pStyle w:val="Bullet1"/>
      </w:pPr>
      <w:r w:rsidRPr="006176F2">
        <w:rPr>
          <w:b/>
          <w:bCs/>
        </w:rPr>
        <w:t xml:space="preserve">Substitution </w:t>
      </w:r>
      <w:r w:rsidR="00463820">
        <w:rPr>
          <w:b/>
          <w:bCs/>
        </w:rPr>
        <w:t>f</w:t>
      </w:r>
      <w:r w:rsidRPr="006176F2">
        <w:rPr>
          <w:b/>
          <w:bCs/>
        </w:rPr>
        <w:t>easibility:</w:t>
      </w:r>
      <w:r>
        <w:t xml:space="preserve"> Evaluates how easily gas end-uses can be replaced with alternative fuels based on technology availability and cost-effectiveness.</w:t>
      </w:r>
    </w:p>
    <w:p w14:paraId="04DE7529" w14:textId="527A84FC" w:rsidR="004E5904" w:rsidRDefault="004E5904" w:rsidP="006176F2">
      <w:pPr>
        <w:pStyle w:val="Bullet1Last"/>
      </w:pPr>
      <w:r w:rsidRPr="006176F2">
        <w:rPr>
          <w:b/>
          <w:bCs/>
        </w:rPr>
        <w:t xml:space="preserve">Gas </w:t>
      </w:r>
      <w:r w:rsidR="00463820" w:rsidRPr="006176F2">
        <w:rPr>
          <w:b/>
          <w:bCs/>
        </w:rPr>
        <w:t>use concentration</w:t>
      </w:r>
      <w:r w:rsidRPr="006176F2">
        <w:rPr>
          <w:b/>
          <w:bCs/>
        </w:rPr>
        <w:t>:</w:t>
      </w:r>
      <w:r>
        <w:t xml:space="preserve"> Measures total gas consumption by sub-sector and end-use category to identify high-impact opportunities for electrification.</w:t>
      </w:r>
    </w:p>
    <w:p w14:paraId="3ED0AED2" w14:textId="247F5253" w:rsidR="006176F2" w:rsidRDefault="004E5904" w:rsidP="00AE0EFB">
      <w:pPr>
        <w:pStyle w:val="Heading3"/>
      </w:pPr>
      <w:bookmarkStart w:id="60" w:name="_Toc1433132585"/>
      <w:r>
        <w:lastRenderedPageBreak/>
        <w:t>Gas Assets Index</w:t>
      </w:r>
      <w:bookmarkEnd w:id="60"/>
    </w:p>
    <w:p w14:paraId="17284206" w14:textId="1CDF551B" w:rsidR="004E5904" w:rsidRDefault="004E5904" w:rsidP="004E5904">
      <w:pPr>
        <w:pStyle w:val="BodyText"/>
      </w:pPr>
      <w:r>
        <w:t>The Gas Assets Index helps identify areas where strategic decommissioning could yield safety, environmental, and financial benefits:</w:t>
      </w:r>
    </w:p>
    <w:p w14:paraId="19420448" w14:textId="68202612" w:rsidR="004E5904" w:rsidRDefault="004E5904" w:rsidP="006176F2">
      <w:pPr>
        <w:pStyle w:val="Bullet1"/>
      </w:pPr>
      <w:r w:rsidRPr="006176F2">
        <w:rPr>
          <w:b/>
          <w:bCs/>
        </w:rPr>
        <w:t>Safety:</w:t>
      </w:r>
      <w:r>
        <w:t xml:space="preserve"> Assesses leak-prone materials, installation year, and risk of failure to prioritize high-risk infrastructure.</w:t>
      </w:r>
    </w:p>
    <w:p w14:paraId="01AAAFFD" w14:textId="61F98425" w:rsidR="004E5904" w:rsidRDefault="004E5904" w:rsidP="006176F2">
      <w:pPr>
        <w:pStyle w:val="Bullet1"/>
      </w:pPr>
      <w:r w:rsidRPr="006176F2">
        <w:rPr>
          <w:b/>
          <w:bCs/>
        </w:rPr>
        <w:t xml:space="preserve">GHG </w:t>
      </w:r>
      <w:r w:rsidR="001278EF">
        <w:rPr>
          <w:b/>
          <w:bCs/>
        </w:rPr>
        <w:t>r</w:t>
      </w:r>
      <w:r w:rsidRPr="006176F2">
        <w:rPr>
          <w:b/>
          <w:bCs/>
        </w:rPr>
        <w:t>eductions:</w:t>
      </w:r>
      <w:r>
        <w:t xml:space="preserve"> Estimates potential emissions reductions from decommissioning, aligning with climate goals.</w:t>
      </w:r>
    </w:p>
    <w:p w14:paraId="603A37B6" w14:textId="4CF57BBF" w:rsidR="004E5904" w:rsidRDefault="004E5904" w:rsidP="006176F2">
      <w:pPr>
        <w:pStyle w:val="Bullet1"/>
      </w:pPr>
      <w:r w:rsidRPr="006176F2">
        <w:rPr>
          <w:b/>
          <w:bCs/>
        </w:rPr>
        <w:t xml:space="preserve">Regulatory </w:t>
      </w:r>
      <w:r w:rsidR="001278EF">
        <w:rPr>
          <w:b/>
          <w:bCs/>
        </w:rPr>
        <w:t>a</w:t>
      </w:r>
      <w:r w:rsidRPr="006176F2">
        <w:rPr>
          <w:b/>
          <w:bCs/>
        </w:rPr>
        <w:t>lignment:</w:t>
      </w:r>
      <w:r>
        <w:t xml:space="preserve"> Identifies areas where decommissioning supports compliance with existing or anticipated regulations.</w:t>
      </w:r>
    </w:p>
    <w:p w14:paraId="7FFEEF87" w14:textId="11694B0F" w:rsidR="004E5904" w:rsidRDefault="004E5904" w:rsidP="006176F2">
      <w:pPr>
        <w:pStyle w:val="Bullet1"/>
      </w:pPr>
      <w:r w:rsidRPr="006176F2">
        <w:rPr>
          <w:b/>
          <w:bCs/>
        </w:rPr>
        <w:t xml:space="preserve">Demand </w:t>
      </w:r>
      <w:r w:rsidR="001278EF">
        <w:rPr>
          <w:b/>
          <w:bCs/>
        </w:rPr>
        <w:t>i</w:t>
      </w:r>
      <w:r w:rsidRPr="006176F2">
        <w:rPr>
          <w:b/>
          <w:bCs/>
        </w:rPr>
        <w:t>mpact:</w:t>
      </w:r>
      <w:r>
        <w:t xml:space="preserve"> Evaluates customer load, including large-volume users, to understand how decommissioning would affect local demand and reliance on gas.</w:t>
      </w:r>
    </w:p>
    <w:p w14:paraId="324A6EF5" w14:textId="086F21EA" w:rsidR="00A95F0F" w:rsidRPr="00445A86" w:rsidRDefault="004E5904" w:rsidP="006176F2">
      <w:pPr>
        <w:pStyle w:val="Bullet1Last"/>
      </w:pPr>
      <w:r w:rsidRPr="006176F2">
        <w:rPr>
          <w:b/>
          <w:bCs/>
        </w:rPr>
        <w:t xml:space="preserve">Cost </w:t>
      </w:r>
      <w:r w:rsidR="001278EF">
        <w:rPr>
          <w:b/>
          <w:bCs/>
        </w:rPr>
        <w:t>e</w:t>
      </w:r>
      <w:r w:rsidRPr="006176F2">
        <w:rPr>
          <w:b/>
          <w:bCs/>
        </w:rPr>
        <w:t>fficiency:</w:t>
      </w:r>
      <w:r>
        <w:t xml:space="preserve"> Considers cost savings from avoiding pipeline replacement, average cost per mile, and potential stranded costs for remaining gas customers.</w:t>
      </w:r>
    </w:p>
    <w:p w14:paraId="1A814B3A" w14:textId="3B66D11E" w:rsidR="00321FEF" w:rsidRDefault="00C2058F" w:rsidP="00321FEF">
      <w:pPr>
        <w:pStyle w:val="Heading2"/>
      </w:pPr>
      <w:bookmarkStart w:id="61" w:name="_Ref212213691"/>
      <w:bookmarkStart w:id="62" w:name="_Toc214535403"/>
      <w:r>
        <w:t>Key Stakeholder Input</w:t>
      </w:r>
      <w:bookmarkEnd w:id="61"/>
      <w:bookmarkEnd w:id="62"/>
    </w:p>
    <w:p w14:paraId="28D68BB5" w14:textId="4958CD41" w:rsidR="00557BE3" w:rsidRDefault="00352C20" w:rsidP="00C71A0B">
      <w:pPr>
        <w:pStyle w:val="BodyText"/>
      </w:pPr>
      <w:r>
        <w:t>Creating dedicated f</w:t>
      </w:r>
      <w:r w:rsidRPr="00B85082">
        <w:t xml:space="preserve">eedback loops </w:t>
      </w:r>
      <w:r>
        <w:t>were an</w:t>
      </w:r>
      <w:r w:rsidRPr="00B85082">
        <w:t xml:space="preserve"> integral part of this process—</w:t>
      </w:r>
      <w:r>
        <w:t xml:space="preserve">the team </w:t>
      </w:r>
      <w:r w:rsidR="00B25A86">
        <w:t>documented and incorporated</w:t>
      </w:r>
      <w:r w:rsidRPr="00B85082">
        <w:t xml:space="preserve"> input from community members every step of the way.</w:t>
      </w:r>
      <w:r>
        <w:t xml:space="preserve"> </w:t>
      </w:r>
      <w:r w:rsidR="00EB6C64" w:rsidRPr="0C8EB1D7">
        <w:t xml:space="preserve">The team understood that </w:t>
      </w:r>
      <w:r w:rsidRPr="0C8EB1D7">
        <w:t xml:space="preserve">data on community impacts </w:t>
      </w:r>
      <w:r w:rsidR="002F501D" w:rsidRPr="0C8EB1D7">
        <w:t>cannot</w:t>
      </w:r>
      <w:r w:rsidRPr="0C8EB1D7">
        <w:t xml:space="preserve"> stay abstract</w:t>
      </w:r>
      <w:r w:rsidR="002F501D" w:rsidRPr="0C8EB1D7">
        <w:t xml:space="preserve">, </w:t>
      </w:r>
      <w:r w:rsidRPr="0C8EB1D7">
        <w:t xml:space="preserve">it must address place-based challenges, needs, and interests. </w:t>
      </w:r>
      <w:r w:rsidR="00EB6C64" w:rsidRPr="0C8EB1D7">
        <w:t>To accomplish this, c</w:t>
      </w:r>
      <w:r w:rsidRPr="0C8EB1D7">
        <w:t xml:space="preserve">ommunity feedback </w:t>
      </w:r>
      <w:r w:rsidR="00EB6C64" w:rsidRPr="0C8EB1D7">
        <w:t xml:space="preserve">must remain </w:t>
      </w:r>
      <w:r w:rsidRPr="0C8EB1D7">
        <w:t xml:space="preserve">front and </w:t>
      </w:r>
      <w:proofErr w:type="spellStart"/>
      <w:r w:rsidRPr="0C8EB1D7">
        <w:t>center</w:t>
      </w:r>
      <w:proofErr w:type="spellEnd"/>
      <w:r w:rsidRPr="0C8EB1D7">
        <w:t xml:space="preserve">, </w:t>
      </w:r>
      <w:r w:rsidR="00612885" w:rsidRPr="0C8EB1D7">
        <w:t>elevating</w:t>
      </w:r>
      <w:r w:rsidRPr="0C8EB1D7">
        <w:t xml:space="preserve"> voices that are often left out of the conversation. Additionally, </w:t>
      </w:r>
      <w:r w:rsidR="00EB6C64" w:rsidRPr="0C8EB1D7">
        <w:t>integrated feedback can better</w:t>
      </w:r>
      <w:r w:rsidRPr="0C8EB1D7">
        <w:t xml:space="preserve"> inform the </w:t>
      </w:r>
      <w:r w:rsidR="004A1CB8">
        <w:t>S</w:t>
      </w:r>
      <w:r w:rsidRPr="0C8EB1D7">
        <w:t>tate about potential unintended consequences or secondary impacts of decommissioning, allowing for proactive rather than reactive policymaking. This integrated approach ensure</w:t>
      </w:r>
      <w:r w:rsidR="00EB6C64" w:rsidRPr="0C8EB1D7">
        <w:t>d</w:t>
      </w:r>
      <w:r w:rsidRPr="0C8EB1D7">
        <w:t xml:space="preserve"> that </w:t>
      </w:r>
      <w:r w:rsidR="00EB6C64" w:rsidRPr="0C8EB1D7">
        <w:t>the team’s efforts remained</w:t>
      </w:r>
      <w:r w:rsidRPr="0C8EB1D7">
        <w:t xml:space="preserve"> both inclusive and impactful.</w:t>
      </w:r>
    </w:p>
    <w:p w14:paraId="170F0888" w14:textId="088EEE08" w:rsidR="00557BE3" w:rsidRPr="00656211" w:rsidRDefault="00557BE3" w:rsidP="00557BE3">
      <w:pPr>
        <w:pStyle w:val="Heading3"/>
      </w:pPr>
      <w:bookmarkStart w:id="63" w:name="_Toc1731106755"/>
      <w:r w:rsidRPr="00656211">
        <w:t>Supporting Understanding of Community Readiness to Gas Decommissioning</w:t>
      </w:r>
      <w:bookmarkEnd w:id="63"/>
    </w:p>
    <w:p w14:paraId="29DE82DA" w14:textId="3E7C9E3B" w:rsidR="00DE7C44" w:rsidRPr="00DE7C44" w:rsidRDefault="00DE7C44" w:rsidP="00DE7C44">
      <w:pPr>
        <w:pStyle w:val="BodyText"/>
        <w:rPr>
          <w:lang w:val="en-US"/>
        </w:rPr>
      </w:pPr>
      <w:r w:rsidRPr="00DE7C44">
        <w:rPr>
          <w:lang w:val="en-US"/>
        </w:rPr>
        <w:t>Through case study investigations, the research team engaged directly with community partners to assess readiness for gas decommissioning. These discussions revealed that readiness varies widely across communities, shaped by factors such as infrastructure age, energy dependency, housing conditions, and local climate vulnerabilities.</w:t>
      </w:r>
      <w:r w:rsidR="001D5EC5">
        <w:rPr>
          <w:lang w:val="en-US"/>
        </w:rPr>
        <w:t xml:space="preserve"> </w:t>
      </w:r>
      <w:r w:rsidRPr="00DE7C44">
        <w:rPr>
          <w:lang w:val="en-US"/>
        </w:rPr>
        <w:t xml:space="preserve">Some communities, like Blue Lake Rancheria, demonstrated advanced readiness through proactive </w:t>
      </w:r>
      <w:r w:rsidR="00AB078B">
        <w:rPr>
          <w:lang w:val="en-US"/>
        </w:rPr>
        <w:t xml:space="preserve">decarbonization </w:t>
      </w:r>
      <w:r w:rsidRPr="00DE7C44">
        <w:rPr>
          <w:lang w:val="en-US"/>
        </w:rPr>
        <w:t>efforts and strong interest in transitioning away from gas. Others, such as Sacramento and Stockton, highlighted significant barriers—including outdated infrastructure, renter vulnerability, and limited financial capacity—that must be addressed to enable equitable transitions.</w:t>
      </w:r>
    </w:p>
    <w:p w14:paraId="6DC56C8E" w14:textId="35C94B28" w:rsidR="00DF7346" w:rsidRPr="00AD3068" w:rsidRDefault="00DE7C44" w:rsidP="00DF7346">
      <w:pPr>
        <w:pStyle w:val="BodyText"/>
        <w:rPr>
          <w:lang w:val="en-US"/>
        </w:rPr>
      </w:pPr>
      <w:r w:rsidRPr="00DE7C44">
        <w:rPr>
          <w:lang w:val="en-US"/>
        </w:rPr>
        <w:t xml:space="preserve">Importantly, community validation of the Equity Index helped surface readiness indicators not captured by quantitative data alone. For example, in North Fair Oaks, community members identified disparities masked by census tract boundaries, while in Richmond, partners emphasized the need to consider workforce impacts and local climate leadership. These insights underscore the importance of combining technical screening with lived experience to accurately gauge readiness and inform priority </w:t>
      </w:r>
      <w:r w:rsidR="00E83BFF">
        <w:rPr>
          <w:lang w:val="en-US"/>
        </w:rPr>
        <w:t>implementation</w:t>
      </w:r>
      <w:r w:rsidRPr="00DE7C44">
        <w:rPr>
          <w:lang w:val="en-US"/>
        </w:rPr>
        <w:t xml:space="preserve"> decisions.</w:t>
      </w:r>
    </w:p>
    <w:p w14:paraId="241B320E" w14:textId="2F09DCC6" w:rsidR="00557BE3" w:rsidRDefault="00557BE3" w:rsidP="00557BE3">
      <w:pPr>
        <w:pStyle w:val="Heading3"/>
      </w:pPr>
      <w:bookmarkStart w:id="64" w:name="_Toc1592195265"/>
      <w:r>
        <w:t>Supporting</w:t>
      </w:r>
      <w:r w:rsidRPr="00557BE3">
        <w:t xml:space="preserve"> </w:t>
      </w:r>
      <w:r>
        <w:t>the</w:t>
      </w:r>
      <w:r w:rsidRPr="00557BE3">
        <w:t xml:space="preserve"> Holistic Assessment </w:t>
      </w:r>
      <w:r>
        <w:t>of the</w:t>
      </w:r>
      <w:r w:rsidRPr="00557BE3">
        <w:t xml:space="preserve"> Community’s Income Profile</w:t>
      </w:r>
      <w:bookmarkEnd w:id="64"/>
    </w:p>
    <w:p w14:paraId="26924403" w14:textId="77777777" w:rsidR="002D3CD8" w:rsidRPr="00AD3068" w:rsidRDefault="002D3CD8" w:rsidP="001278EF">
      <w:pPr>
        <w:pStyle w:val="BodyText"/>
        <w:rPr>
          <w:lang w:val="en-US" w:eastAsia="en-US"/>
        </w:rPr>
      </w:pPr>
      <w:r w:rsidRPr="00AD3068">
        <w:rPr>
          <w:lang w:val="en-US" w:eastAsia="en-US"/>
        </w:rPr>
        <w:t>The Tool’s Equity Index incorporates a comprehensive set of income-related metrics to assess socioeconomic vulnerability and energy burden. These include:</w:t>
      </w:r>
    </w:p>
    <w:p w14:paraId="5447E0A2" w14:textId="77777777" w:rsidR="002D3CD8" w:rsidRPr="00AD3068" w:rsidRDefault="002D3CD8" w:rsidP="001278EF">
      <w:pPr>
        <w:pStyle w:val="Bullet1"/>
        <w:rPr>
          <w:lang w:val="en-US" w:eastAsia="en-US"/>
        </w:rPr>
      </w:pPr>
      <w:r w:rsidRPr="00AD3068">
        <w:rPr>
          <w:lang w:val="en-US" w:eastAsia="en-US"/>
        </w:rPr>
        <w:t>Poverty rate</w:t>
      </w:r>
    </w:p>
    <w:p w14:paraId="648193DF" w14:textId="77777777" w:rsidR="002D3CD8" w:rsidRPr="00AD3068" w:rsidRDefault="002D3CD8" w:rsidP="001278EF">
      <w:pPr>
        <w:pStyle w:val="Bullet1"/>
        <w:rPr>
          <w:lang w:val="en-US" w:eastAsia="en-US"/>
        </w:rPr>
      </w:pPr>
      <w:r w:rsidRPr="00AD3068">
        <w:rPr>
          <w:lang w:val="en-US" w:eastAsia="en-US"/>
        </w:rPr>
        <w:t>Unemployment rate</w:t>
      </w:r>
    </w:p>
    <w:p w14:paraId="5A12B6DD" w14:textId="77777777" w:rsidR="002D3CD8" w:rsidRPr="00AD3068" w:rsidRDefault="002D3CD8" w:rsidP="001278EF">
      <w:pPr>
        <w:pStyle w:val="Bullet1"/>
        <w:rPr>
          <w:lang w:val="en-US" w:eastAsia="en-US"/>
        </w:rPr>
      </w:pPr>
      <w:r w:rsidRPr="00AD3068">
        <w:rPr>
          <w:lang w:val="en-US" w:eastAsia="en-US"/>
        </w:rPr>
        <w:t>Rent burden</w:t>
      </w:r>
    </w:p>
    <w:p w14:paraId="1AFE28DC" w14:textId="77777777" w:rsidR="002D3CD8" w:rsidRPr="00AD3068" w:rsidRDefault="002D3CD8" w:rsidP="001278EF">
      <w:pPr>
        <w:pStyle w:val="Bullet1"/>
        <w:rPr>
          <w:lang w:val="en-US" w:eastAsia="en-US"/>
        </w:rPr>
      </w:pPr>
      <w:r w:rsidRPr="00AD3068">
        <w:rPr>
          <w:lang w:val="en-US" w:eastAsia="en-US"/>
        </w:rPr>
        <w:t>Single-parent households</w:t>
      </w:r>
    </w:p>
    <w:p w14:paraId="23723AF8" w14:textId="77777777" w:rsidR="002D3CD8" w:rsidRPr="00AD3068" w:rsidRDefault="002D3CD8" w:rsidP="001278EF">
      <w:pPr>
        <w:pStyle w:val="Bullet1"/>
        <w:rPr>
          <w:lang w:val="en-US" w:eastAsia="en-US"/>
        </w:rPr>
      </w:pPr>
      <w:r w:rsidRPr="00AD3068">
        <w:rPr>
          <w:lang w:val="en-US" w:eastAsia="en-US"/>
        </w:rPr>
        <w:t>Renter status</w:t>
      </w:r>
    </w:p>
    <w:p w14:paraId="704CF4A9" w14:textId="77777777" w:rsidR="002D3CD8" w:rsidRPr="00AD3068" w:rsidRDefault="002D3CD8" w:rsidP="001278EF">
      <w:pPr>
        <w:pStyle w:val="Bullet1"/>
        <w:rPr>
          <w:lang w:val="en-US" w:eastAsia="en-US"/>
        </w:rPr>
      </w:pPr>
      <w:r w:rsidRPr="00AD3068">
        <w:rPr>
          <w:lang w:val="en-US" w:eastAsia="en-US"/>
        </w:rPr>
        <w:t>Median household income</w:t>
      </w:r>
    </w:p>
    <w:p w14:paraId="5352FCEA" w14:textId="77777777" w:rsidR="002D3CD8" w:rsidRPr="00AD3068" w:rsidRDefault="002D3CD8" w:rsidP="001278EF">
      <w:pPr>
        <w:pStyle w:val="Bullet1Last"/>
        <w:rPr>
          <w:lang w:val="en-US" w:eastAsia="en-US"/>
        </w:rPr>
      </w:pPr>
      <w:r w:rsidRPr="00AD3068">
        <w:rPr>
          <w:lang w:val="en-US" w:eastAsia="en-US"/>
        </w:rPr>
        <w:lastRenderedPageBreak/>
        <w:t>Energy burden ratio (income-to-energy bill)</w:t>
      </w:r>
    </w:p>
    <w:p w14:paraId="0DF334F4" w14:textId="1B014F2F" w:rsidR="002D3CD8" w:rsidRPr="00AD3068" w:rsidRDefault="002D3CD8" w:rsidP="001278EF">
      <w:pPr>
        <w:pStyle w:val="BodyText"/>
        <w:rPr>
          <w:lang w:val="en-US" w:eastAsia="en-US"/>
        </w:rPr>
      </w:pPr>
      <w:r w:rsidRPr="4AED333C">
        <w:rPr>
          <w:lang w:val="en-US" w:eastAsia="en-US"/>
        </w:rPr>
        <w:t xml:space="preserve">These metrics were sourced from publicly available datasets and refined through community feedback. For instance, workshop participants prioritized socioeconomic vulnerability as a top concern, influencing the weighting and selection of metrics. Additionally, case study partners provided localized insights—such as the </w:t>
      </w:r>
      <w:r w:rsidR="18B693E9" w:rsidRPr="4AED333C">
        <w:rPr>
          <w:lang w:val="en-US" w:eastAsia="en-US"/>
        </w:rPr>
        <w:t xml:space="preserve">challenges posed by </w:t>
      </w:r>
      <w:r w:rsidR="0ABF39BA" w:rsidRPr="4AED333C">
        <w:rPr>
          <w:lang w:val="en-US" w:eastAsia="en-US"/>
        </w:rPr>
        <w:t>non-local</w:t>
      </w:r>
      <w:r w:rsidR="18B693E9" w:rsidRPr="4AED333C">
        <w:rPr>
          <w:lang w:val="en-US" w:eastAsia="en-US"/>
        </w:rPr>
        <w:t xml:space="preserve"> property ownership </w:t>
      </w:r>
      <w:r w:rsidR="4FF7DAE6" w:rsidRPr="4AED333C">
        <w:rPr>
          <w:lang w:val="en-US" w:eastAsia="en-US"/>
        </w:rPr>
        <w:t xml:space="preserve">in many </w:t>
      </w:r>
      <w:r w:rsidR="7D849AB7" w:rsidRPr="4AED333C">
        <w:rPr>
          <w:lang w:val="en-US" w:eastAsia="en-US"/>
        </w:rPr>
        <w:t xml:space="preserve">rental communities </w:t>
      </w:r>
      <w:r w:rsidRPr="4AED333C">
        <w:rPr>
          <w:lang w:val="en-US" w:eastAsia="en-US"/>
        </w:rPr>
        <w:t>—that highlighted structural barriers to equitable decommissioning not easily captured by standard datasets.</w:t>
      </w:r>
      <w:r w:rsidR="00D82955" w:rsidRPr="4AED333C">
        <w:rPr>
          <w:lang w:val="en-US" w:eastAsia="en-US"/>
        </w:rPr>
        <w:t xml:space="preserve"> </w:t>
      </w:r>
      <w:r w:rsidRPr="4AED333C">
        <w:rPr>
          <w:lang w:val="en-US" w:eastAsia="en-US"/>
        </w:rPr>
        <w:t>This multi-angle approach ensures that the Tool reflects both economic hardship and systemic inequities, supporting a more holistic understanding of community income profiles and their implications for energy transition planning.</w:t>
      </w:r>
    </w:p>
    <w:p w14:paraId="261A38DB" w14:textId="0CD50491" w:rsidR="00DF7346" w:rsidRPr="00DF7346" w:rsidRDefault="00D851C5" w:rsidP="0013584F">
      <w:pPr>
        <w:pStyle w:val="Heading3"/>
      </w:pPr>
      <w:bookmarkStart w:id="65" w:name="_Toc1114664467"/>
      <w:r>
        <w:t>Supporting Identification Quantitative Metrics</w:t>
      </w:r>
      <w:bookmarkEnd w:id="65"/>
      <w:r>
        <w:t xml:space="preserve"> </w:t>
      </w:r>
    </w:p>
    <w:p w14:paraId="4BB23E8B" w14:textId="1E0A5C50" w:rsidR="00A066EB" w:rsidRPr="00A066EB" w:rsidRDefault="00A066EB" w:rsidP="001278EF">
      <w:pPr>
        <w:pStyle w:val="BodyText"/>
        <w:rPr>
          <w:rFonts w:asciiTheme="minorHAnsi" w:eastAsia="Times New Roman" w:hAnsiTheme="minorHAnsi" w:cstheme="minorBidi"/>
          <w:lang w:val="en-US" w:eastAsia="en-US"/>
        </w:rPr>
      </w:pPr>
      <w:r w:rsidRPr="001278EF">
        <w:rPr>
          <w:rStyle w:val="BodyTextChar"/>
        </w:rPr>
        <w:t>Community engagement was instrumental in shaping the Tool’s final set of metrics. Feedback from workshops, webinars, and case</w:t>
      </w:r>
      <w:r w:rsidRPr="00A066EB">
        <w:rPr>
          <w:rFonts w:asciiTheme="minorHAnsi" w:eastAsia="Times New Roman" w:hAnsiTheme="minorHAnsi" w:cstheme="minorBidi"/>
          <w:lang w:val="en-US" w:eastAsia="en-US"/>
        </w:rPr>
        <w:t xml:space="preserve"> study sessions informed the inclusion of new variables and context layers, such as</w:t>
      </w:r>
      <w:r w:rsidR="00FE747C">
        <w:rPr>
          <w:rStyle w:val="FootnoteReference"/>
          <w:b/>
          <w:bCs/>
        </w:rPr>
        <w:footnoteReference w:id="7"/>
      </w:r>
      <w:r w:rsidRPr="00A066EB">
        <w:rPr>
          <w:rFonts w:asciiTheme="minorHAnsi" w:eastAsia="Times New Roman" w:hAnsiTheme="minorHAnsi" w:cstheme="minorBidi"/>
          <w:lang w:val="en-US" w:eastAsia="en-US"/>
        </w:rPr>
        <w:t>:</w:t>
      </w:r>
    </w:p>
    <w:p w14:paraId="101640A0" w14:textId="77777777" w:rsidR="00A066EB" w:rsidRPr="00AD3068" w:rsidRDefault="00A066EB" w:rsidP="001278EF">
      <w:pPr>
        <w:pStyle w:val="Bullet1"/>
        <w:rPr>
          <w:lang w:val="en-US" w:eastAsia="en-US"/>
        </w:rPr>
      </w:pPr>
      <w:r w:rsidRPr="00AD3068">
        <w:rPr>
          <w:lang w:val="en-US" w:eastAsia="en-US"/>
        </w:rPr>
        <w:t>Federally recognized tribal lands</w:t>
      </w:r>
    </w:p>
    <w:p w14:paraId="40BA03B4" w14:textId="77777777" w:rsidR="00A066EB" w:rsidRPr="00AD3068" w:rsidRDefault="00A066EB" w:rsidP="001278EF">
      <w:pPr>
        <w:pStyle w:val="Bullet1"/>
        <w:rPr>
          <w:lang w:val="en-US" w:eastAsia="en-US"/>
        </w:rPr>
      </w:pPr>
      <w:r w:rsidRPr="00AD3068">
        <w:rPr>
          <w:lang w:val="en-US" w:eastAsia="en-US"/>
        </w:rPr>
        <w:t>California building climate zones</w:t>
      </w:r>
    </w:p>
    <w:p w14:paraId="3B2CF877" w14:textId="77777777" w:rsidR="00A066EB" w:rsidRPr="00AD3068" w:rsidRDefault="00A066EB" w:rsidP="001278EF">
      <w:pPr>
        <w:pStyle w:val="Bullet1"/>
        <w:rPr>
          <w:lang w:val="en-US" w:eastAsia="en-US"/>
        </w:rPr>
      </w:pPr>
      <w:r w:rsidRPr="00AD3068">
        <w:rPr>
          <w:lang w:val="en-US" w:eastAsia="en-US"/>
        </w:rPr>
        <w:t>Soil and lead contamination</w:t>
      </w:r>
    </w:p>
    <w:p w14:paraId="4744D289" w14:textId="77777777" w:rsidR="00A066EB" w:rsidRPr="00AD3068" w:rsidRDefault="00A066EB" w:rsidP="001278EF">
      <w:pPr>
        <w:pStyle w:val="Bullet1"/>
        <w:rPr>
          <w:lang w:val="en-US" w:eastAsia="en-US"/>
        </w:rPr>
      </w:pPr>
      <w:r w:rsidRPr="00AD3068">
        <w:rPr>
          <w:lang w:val="en-US" w:eastAsia="en-US"/>
        </w:rPr>
        <w:t>Proximity to Superfund sites</w:t>
      </w:r>
    </w:p>
    <w:p w14:paraId="364D9B6D" w14:textId="77777777" w:rsidR="00A066EB" w:rsidRPr="00AD3068" w:rsidRDefault="00A066EB" w:rsidP="001278EF">
      <w:pPr>
        <w:pStyle w:val="Bullet1"/>
        <w:rPr>
          <w:lang w:val="en-US" w:eastAsia="en-US"/>
        </w:rPr>
      </w:pPr>
      <w:r w:rsidRPr="00AD3068">
        <w:rPr>
          <w:lang w:val="en-US" w:eastAsia="en-US"/>
        </w:rPr>
        <w:t>Pesticide use</w:t>
      </w:r>
    </w:p>
    <w:p w14:paraId="5A506D47" w14:textId="77777777" w:rsidR="00A066EB" w:rsidRPr="00AD3068" w:rsidRDefault="00A066EB" w:rsidP="001278EF">
      <w:pPr>
        <w:pStyle w:val="Bullet1"/>
        <w:rPr>
          <w:lang w:val="en-US" w:eastAsia="en-US"/>
        </w:rPr>
      </w:pPr>
      <w:r w:rsidRPr="00AD3068">
        <w:rPr>
          <w:lang w:val="en-US" w:eastAsia="en-US"/>
        </w:rPr>
        <w:t>Pipeline location data</w:t>
      </w:r>
    </w:p>
    <w:p w14:paraId="5A7D1DF9" w14:textId="77777777" w:rsidR="00A066EB" w:rsidRPr="00AD3068" w:rsidRDefault="00A066EB" w:rsidP="001278EF">
      <w:pPr>
        <w:pStyle w:val="Bullet1Last"/>
        <w:rPr>
          <w:lang w:val="en-US" w:eastAsia="en-US"/>
        </w:rPr>
      </w:pPr>
      <w:r w:rsidRPr="00AD3068">
        <w:rPr>
          <w:lang w:val="en-US" w:eastAsia="en-US"/>
        </w:rPr>
        <w:t>Updated EPA block group-level data</w:t>
      </w:r>
    </w:p>
    <w:p w14:paraId="22BD3DA9" w14:textId="6A25F9B2" w:rsidR="009A05D8" w:rsidRDefault="00A50634" w:rsidP="001278EF">
      <w:pPr>
        <w:pStyle w:val="BodyText"/>
      </w:pPr>
      <w:r w:rsidRPr="4AED333C">
        <w:rPr>
          <w:lang w:val="en-US" w:eastAsia="en-US"/>
        </w:rPr>
        <w:t>Where community-suggested metrics could not be incorporated into the Tool due to data limitations or scope constraints, they were documented in the respective case study narratives. These included insights into ownership structures (e.g., s</w:t>
      </w:r>
      <w:r w:rsidR="00B0EAA1" w:rsidRPr="4AED333C">
        <w:rPr>
          <w:lang w:val="en-US" w:eastAsia="en-US"/>
        </w:rPr>
        <w:t>plit incentives and absentee landlords and property owners</w:t>
      </w:r>
      <w:r w:rsidRPr="4AED333C">
        <w:rPr>
          <w:lang w:val="en-US" w:eastAsia="en-US"/>
        </w:rPr>
        <w:t>), localized climate risks (e.g., neighborhood-level flooding), and community-specific concerns about score interpretation and equity impacts.</w:t>
      </w:r>
      <w:r w:rsidR="00D82955" w:rsidRPr="4AED333C">
        <w:rPr>
          <w:lang w:val="en-US" w:eastAsia="en-US"/>
        </w:rPr>
        <w:t xml:space="preserve"> </w:t>
      </w:r>
      <w:r w:rsidRPr="4AED333C">
        <w:rPr>
          <w:lang w:val="en-US" w:eastAsia="en-US"/>
        </w:rPr>
        <w:t xml:space="preserve">This iterative process ensured that the Tool’s development was grounded in both technical rigor and community relevance, and that all </w:t>
      </w:r>
      <w:proofErr w:type="gramStart"/>
      <w:r w:rsidRPr="4AED333C">
        <w:rPr>
          <w:lang w:val="en-US" w:eastAsia="en-US"/>
        </w:rPr>
        <w:t>feedback—</w:t>
      </w:r>
      <w:proofErr w:type="gramEnd"/>
      <w:r w:rsidRPr="4AED333C">
        <w:rPr>
          <w:lang w:val="en-US" w:eastAsia="en-US"/>
        </w:rPr>
        <w:t>whether incorporated directly or documented qualitatively—contributed to a more inclusive and responsive assessment framework.</w:t>
      </w:r>
      <w:r w:rsidR="00163A3E">
        <w:rPr>
          <w:lang w:val="en-US" w:eastAsia="en-US"/>
        </w:rPr>
        <w:t xml:space="preserve"> </w:t>
      </w:r>
    </w:p>
    <w:p w14:paraId="398E1E10" w14:textId="4A6727BB" w:rsidR="00FF5DE9" w:rsidRDefault="00FF5DE9" w:rsidP="00FF5DE9">
      <w:pPr>
        <w:pStyle w:val="Heading4"/>
      </w:pPr>
      <w:bookmarkStart w:id="66" w:name="_Toc1564775005"/>
      <w:r w:rsidRPr="00F75BF1">
        <w:t>Case Study Documentation</w:t>
      </w:r>
      <w:bookmarkEnd w:id="66"/>
    </w:p>
    <w:p w14:paraId="0936499B" w14:textId="3B1306D6" w:rsidR="00724A77" w:rsidRPr="001278EF" w:rsidRDefault="00724A77" w:rsidP="001278EF">
      <w:pPr>
        <w:pStyle w:val="BodyText"/>
      </w:pPr>
      <w:r w:rsidRPr="001278EF">
        <w:t>Throughout case stud</w:t>
      </w:r>
      <w:r w:rsidR="001A23B0">
        <w:t xml:space="preserve">y </w:t>
      </w:r>
      <w:r w:rsidR="001A23B0" w:rsidRPr="001278EF">
        <w:t>development</w:t>
      </w:r>
      <w:r w:rsidRPr="001278EF">
        <w:t>, community partners provided critical insights into localized realities that extended beyond what could be captured through publicly available datasets or incorporated directly into the Tool. These contributions enriched the research process and highlighted the importance of integrating lived experience into technical analysis.</w:t>
      </w:r>
      <w:r w:rsidR="00D670CD">
        <w:t xml:space="preserve"> </w:t>
      </w:r>
      <w:r w:rsidRPr="001278EF">
        <w:t xml:space="preserve">While some data—such as census tract-level indicators—formed the </w:t>
      </w:r>
      <w:r w:rsidR="008268C7">
        <w:t>basis</w:t>
      </w:r>
      <w:r w:rsidRPr="001278EF">
        <w:t xml:space="preserve"> of the Tool, community partners surfaced nuanced factors that shaped their energy experiences and readiness for gas decommissioning</w:t>
      </w:r>
      <w:r w:rsidR="00167A42">
        <w:t>, including</w:t>
      </w:r>
      <w:r w:rsidR="001A23B0">
        <w:t>:</w:t>
      </w:r>
    </w:p>
    <w:p w14:paraId="02B2715E" w14:textId="35CDE0C5" w:rsidR="00724A77" w:rsidRPr="00724A77" w:rsidRDefault="00724A77" w:rsidP="00D82955">
      <w:pPr>
        <w:pStyle w:val="Bullet1"/>
        <w:rPr>
          <w:lang w:val="en-US"/>
        </w:rPr>
      </w:pPr>
      <w:r w:rsidRPr="4AED333C">
        <w:rPr>
          <w:b/>
          <w:bCs/>
          <w:lang w:val="en-US"/>
        </w:rPr>
        <w:t xml:space="preserve">Ownership </w:t>
      </w:r>
      <w:r w:rsidR="00D82955" w:rsidRPr="4AED333C">
        <w:rPr>
          <w:b/>
          <w:bCs/>
          <w:lang w:val="en-US"/>
        </w:rPr>
        <w:t>s</w:t>
      </w:r>
      <w:r w:rsidRPr="4AED333C">
        <w:rPr>
          <w:b/>
          <w:bCs/>
          <w:lang w:val="en-US"/>
        </w:rPr>
        <w:t>tructures:</w:t>
      </w:r>
      <w:r w:rsidRPr="4AED333C">
        <w:rPr>
          <w:lang w:val="en-US"/>
        </w:rPr>
        <w:t xml:space="preserve"> </w:t>
      </w:r>
      <w:r w:rsidR="3F721208" w:rsidRPr="4AED333C">
        <w:rPr>
          <w:lang w:val="en-US"/>
        </w:rPr>
        <w:t>Local</w:t>
      </w:r>
      <w:r w:rsidRPr="4AED333C">
        <w:rPr>
          <w:lang w:val="en-US"/>
        </w:rPr>
        <w:t xml:space="preserve"> partners noted that </w:t>
      </w:r>
      <w:r w:rsidR="6E90A907" w:rsidRPr="4AED333C">
        <w:rPr>
          <w:lang w:val="en-US"/>
        </w:rPr>
        <w:t>many</w:t>
      </w:r>
      <w:r w:rsidRPr="4AED333C">
        <w:rPr>
          <w:lang w:val="en-US"/>
        </w:rPr>
        <w:t xml:space="preserve"> rental properties are owned by </w:t>
      </w:r>
      <w:r w:rsidR="0DB3E68B" w:rsidRPr="4AED333C">
        <w:rPr>
          <w:lang w:val="en-US"/>
        </w:rPr>
        <w:t xml:space="preserve">large </w:t>
      </w:r>
      <w:proofErr w:type="gramStart"/>
      <w:r w:rsidR="0DB3E68B" w:rsidRPr="4AED333C">
        <w:rPr>
          <w:lang w:val="en-US"/>
        </w:rPr>
        <w:t>non local</w:t>
      </w:r>
      <w:proofErr w:type="gramEnd"/>
      <w:r w:rsidR="0DB3E68B" w:rsidRPr="4AED333C">
        <w:rPr>
          <w:lang w:val="en-US"/>
        </w:rPr>
        <w:t xml:space="preserve"> real estate holding companies</w:t>
      </w:r>
      <w:r w:rsidRPr="4AED333C">
        <w:rPr>
          <w:lang w:val="en-US"/>
        </w:rPr>
        <w:t>. This ownership model creates barriers to engagement and implementation, as tenants and community organizations struggle to reach decision-makers or influence property-level energy transitions.</w:t>
      </w:r>
    </w:p>
    <w:p w14:paraId="12B3D425" w14:textId="5A993B73" w:rsidR="00724A77" w:rsidRPr="00724A77" w:rsidRDefault="1356986E" w:rsidP="00247F5F">
      <w:pPr>
        <w:pStyle w:val="Bullet1Last"/>
        <w:rPr>
          <w:lang w:val="en-US"/>
        </w:rPr>
      </w:pPr>
      <w:r w:rsidRPr="530D6781">
        <w:rPr>
          <w:b/>
          <w:bCs/>
          <w:lang w:val="en-US"/>
        </w:rPr>
        <w:t xml:space="preserve">Limitations of </w:t>
      </w:r>
      <w:r w:rsidR="376D370B" w:rsidRPr="530D6781">
        <w:rPr>
          <w:b/>
          <w:bCs/>
          <w:lang w:val="en-US"/>
        </w:rPr>
        <w:t>statewide climate risk aggregation</w:t>
      </w:r>
      <w:r w:rsidRPr="530D6781">
        <w:rPr>
          <w:b/>
          <w:bCs/>
          <w:lang w:val="en-US"/>
        </w:rPr>
        <w:t>:</w:t>
      </w:r>
      <w:r w:rsidRPr="530D6781">
        <w:rPr>
          <w:lang w:val="en-US"/>
        </w:rPr>
        <w:t xml:space="preserve"> </w:t>
      </w:r>
      <w:r w:rsidR="25ECF662" w:rsidRPr="530D6781">
        <w:rPr>
          <w:lang w:val="en-US"/>
        </w:rPr>
        <w:t xml:space="preserve">Local </w:t>
      </w:r>
      <w:r w:rsidR="25ECF662" w:rsidRPr="00247F5F">
        <w:t>partners</w:t>
      </w:r>
      <w:r w:rsidRPr="530D6781">
        <w:rPr>
          <w:lang w:val="en-US"/>
        </w:rPr>
        <w:t xml:space="preserve"> emphasized that comparing climate risk across the state can obscure local vulnerabilities. Climate hazards such as drought, flooding, and wildfire vary significantly by region and year, making statewide normalization less effective for identifying community-specific risks.</w:t>
      </w:r>
    </w:p>
    <w:p w14:paraId="17DE5216" w14:textId="550F329D" w:rsidR="00724A77" w:rsidRPr="00724A77" w:rsidRDefault="00724A77" w:rsidP="00724A77">
      <w:pPr>
        <w:pStyle w:val="BodyText"/>
        <w:rPr>
          <w:lang w:val="en-US"/>
        </w:rPr>
      </w:pPr>
      <w:r w:rsidRPr="00724A77">
        <w:rPr>
          <w:lang w:val="en-US"/>
        </w:rPr>
        <w:lastRenderedPageBreak/>
        <w:t>In response to these insights, the research team integrated the following elements into the case study narratives</w:t>
      </w:r>
      <w:r w:rsidR="00816860">
        <w:rPr>
          <w:rStyle w:val="FootnoteReference"/>
        </w:rPr>
        <w:footnoteReference w:id="8"/>
      </w:r>
      <w:r w:rsidRPr="00724A77">
        <w:rPr>
          <w:lang w:val="en-US"/>
        </w:rPr>
        <w:t>:</w:t>
      </w:r>
    </w:p>
    <w:p w14:paraId="46FFD3DD" w14:textId="77777777" w:rsidR="00724A77" w:rsidRPr="00724A77" w:rsidRDefault="00724A77" w:rsidP="00D82955">
      <w:pPr>
        <w:pStyle w:val="Bullet1"/>
        <w:rPr>
          <w:lang w:val="en-US"/>
        </w:rPr>
      </w:pPr>
      <w:r w:rsidRPr="00724A77">
        <w:rPr>
          <w:lang w:val="en-US"/>
        </w:rPr>
        <w:t>Unique community characteristics (e.g., agricultural economies, proximity to industrial facilities or power plants)</w:t>
      </w:r>
    </w:p>
    <w:p w14:paraId="5F6FA852" w14:textId="77777777" w:rsidR="00724A77" w:rsidRPr="00724A77" w:rsidRDefault="00724A77" w:rsidP="00D82955">
      <w:pPr>
        <w:pStyle w:val="Bullet1"/>
        <w:rPr>
          <w:lang w:val="en-US"/>
        </w:rPr>
      </w:pPr>
      <w:r w:rsidRPr="00724A77">
        <w:rPr>
          <w:lang w:val="en-US"/>
        </w:rPr>
        <w:t>Building stock profiles (e.g., prevalence of multi-family housing, historic neighborhoods, new developments)</w:t>
      </w:r>
    </w:p>
    <w:p w14:paraId="59993871" w14:textId="77777777" w:rsidR="00724A77" w:rsidRPr="00724A77" w:rsidRDefault="00724A77" w:rsidP="00D82955">
      <w:pPr>
        <w:pStyle w:val="Bullet1"/>
        <w:rPr>
          <w:lang w:val="en-US"/>
        </w:rPr>
      </w:pPr>
      <w:r w:rsidRPr="00724A77">
        <w:rPr>
          <w:lang w:val="en-US"/>
        </w:rPr>
        <w:t>Local climate and environmental histories</w:t>
      </w:r>
    </w:p>
    <w:p w14:paraId="66171B0B" w14:textId="77777777" w:rsidR="00724A77" w:rsidRPr="00724A77" w:rsidRDefault="00724A77" w:rsidP="00D82955">
      <w:pPr>
        <w:pStyle w:val="Bullet1"/>
        <w:rPr>
          <w:lang w:val="en-US"/>
        </w:rPr>
      </w:pPr>
      <w:r w:rsidRPr="00724A77">
        <w:rPr>
          <w:lang w:val="en-US"/>
        </w:rPr>
        <w:t>Community concerns about how score interpretations and metric weighting might influence decommissioning decisions</w:t>
      </w:r>
    </w:p>
    <w:p w14:paraId="1F756697" w14:textId="77777777" w:rsidR="00724A77" w:rsidRPr="00724A77" w:rsidRDefault="00724A77" w:rsidP="00D82955">
      <w:pPr>
        <w:pStyle w:val="Bullet1"/>
        <w:rPr>
          <w:lang w:val="en-US"/>
        </w:rPr>
      </w:pPr>
      <w:r w:rsidRPr="00724A77">
        <w:rPr>
          <w:lang w:val="en-US"/>
        </w:rPr>
        <w:t>Comparative analysis of local versus statewide data sources</w:t>
      </w:r>
    </w:p>
    <w:p w14:paraId="75ED706A" w14:textId="77777777" w:rsidR="00724A77" w:rsidRPr="00724A77" w:rsidRDefault="00724A77" w:rsidP="00D82955">
      <w:pPr>
        <w:pStyle w:val="Bullet1"/>
        <w:rPr>
          <w:lang w:val="en-US"/>
        </w:rPr>
      </w:pPr>
      <w:r w:rsidRPr="00724A77">
        <w:rPr>
          <w:lang w:val="en-US"/>
        </w:rPr>
        <w:t>Inclusion of broader community members in the engagement process</w:t>
      </w:r>
    </w:p>
    <w:p w14:paraId="30FE903D" w14:textId="77777777" w:rsidR="00724A77" w:rsidRPr="00724A77" w:rsidRDefault="00724A77" w:rsidP="00D82955">
      <w:pPr>
        <w:pStyle w:val="Bullet1"/>
        <w:rPr>
          <w:lang w:val="en-US"/>
        </w:rPr>
      </w:pPr>
      <w:r w:rsidRPr="00724A77">
        <w:rPr>
          <w:lang w:val="en-US"/>
        </w:rPr>
        <w:t>Recognition of the limitations of statewide climate risk comparisons</w:t>
      </w:r>
    </w:p>
    <w:p w14:paraId="30F04635" w14:textId="77777777" w:rsidR="00724A77" w:rsidRPr="00724A77" w:rsidRDefault="00724A77" w:rsidP="00D82955">
      <w:pPr>
        <w:pStyle w:val="Bullet1"/>
        <w:rPr>
          <w:lang w:val="en-US"/>
        </w:rPr>
      </w:pPr>
      <w:r w:rsidRPr="00724A77">
        <w:rPr>
          <w:lang w:val="en-US"/>
        </w:rPr>
        <w:t>Property ownership data and its implications for implementation</w:t>
      </w:r>
    </w:p>
    <w:p w14:paraId="0CC23520" w14:textId="177DAA3B" w:rsidR="00724A77" w:rsidRPr="00724A77" w:rsidRDefault="00724A77" w:rsidP="00D82955">
      <w:pPr>
        <w:pStyle w:val="Bullet1Last"/>
        <w:rPr>
          <w:lang w:val="en-US"/>
        </w:rPr>
      </w:pPr>
      <w:r w:rsidRPr="00724A77">
        <w:rPr>
          <w:lang w:val="en-US"/>
        </w:rPr>
        <w:t>Differentiation of localized flooding risks from broader riverine flood data</w:t>
      </w:r>
      <w:r w:rsidR="00816860">
        <w:rPr>
          <w:rStyle w:val="FootnoteReference"/>
        </w:rPr>
        <w:footnoteReference w:id="9"/>
      </w:r>
    </w:p>
    <w:p w14:paraId="465025F5" w14:textId="039FB501" w:rsidR="001D5EC5" w:rsidRDefault="00724A77" w:rsidP="00724A77">
      <w:pPr>
        <w:pStyle w:val="BodyText"/>
        <w:rPr>
          <w:lang w:val="en-US"/>
        </w:rPr>
      </w:pPr>
      <w:r w:rsidRPr="00724A77">
        <w:rPr>
          <w:lang w:val="en-US"/>
        </w:rPr>
        <w:t xml:space="preserve">Community partners also expressed a strong desire for the Tool to be made publicly accessible for local planning </w:t>
      </w:r>
      <w:proofErr w:type="gramStart"/>
      <w:r w:rsidRPr="00724A77">
        <w:rPr>
          <w:lang w:val="en-US"/>
        </w:rPr>
        <w:t>purposes—</w:t>
      </w:r>
      <w:proofErr w:type="gramEnd"/>
      <w:r w:rsidRPr="00724A77">
        <w:rPr>
          <w:lang w:val="en-US"/>
        </w:rPr>
        <w:t>particularly in communities already exploring or initiating transitions away from gas.</w:t>
      </w:r>
      <w:r w:rsidR="001C0D50" w:rsidRPr="001C0D50">
        <w:rPr>
          <w:rStyle w:val="FootnoteReference"/>
        </w:rPr>
        <w:t xml:space="preserve"> </w:t>
      </w:r>
      <w:r w:rsidR="001C0D50">
        <w:rPr>
          <w:rStyle w:val="FootnoteReference"/>
        </w:rPr>
        <w:footnoteReference w:id="10"/>
      </w:r>
      <w:r w:rsidR="00163A3E">
        <w:t xml:space="preserve"> </w:t>
      </w:r>
    </w:p>
    <w:p w14:paraId="117CC63F" w14:textId="3B6279F5" w:rsidR="00724A77" w:rsidRPr="00724A77" w:rsidRDefault="1356986E" w:rsidP="001D5EC5">
      <w:pPr>
        <w:pStyle w:val="BodyText"/>
        <w:keepNext/>
        <w:keepLines/>
        <w:rPr>
          <w:lang w:val="en-US"/>
        </w:rPr>
      </w:pPr>
      <w:r w:rsidRPr="530D6781">
        <w:rPr>
          <w:lang w:val="en-US"/>
        </w:rPr>
        <w:t xml:space="preserve">They </w:t>
      </w:r>
      <w:r w:rsidR="04D7623D" w:rsidRPr="530D6781">
        <w:rPr>
          <w:lang w:val="en-US"/>
        </w:rPr>
        <w:t xml:space="preserve">also </w:t>
      </w:r>
      <w:r w:rsidRPr="530D6781">
        <w:rPr>
          <w:lang w:val="en-US"/>
        </w:rPr>
        <w:t>recommended that future versions of the Tool include:</w:t>
      </w:r>
    </w:p>
    <w:p w14:paraId="7ACE2C82" w14:textId="77777777" w:rsidR="00724A77" w:rsidRPr="00724A77" w:rsidRDefault="00724A77" w:rsidP="001D5EC5">
      <w:pPr>
        <w:pStyle w:val="Bullet1"/>
        <w:keepNext/>
        <w:keepLines/>
        <w:rPr>
          <w:lang w:val="en-US"/>
        </w:rPr>
      </w:pPr>
      <w:r w:rsidRPr="00724A77">
        <w:rPr>
          <w:b/>
          <w:bCs/>
          <w:lang w:val="en-US"/>
        </w:rPr>
        <w:t>Community-led data validation processes</w:t>
      </w:r>
      <w:r w:rsidRPr="00724A77">
        <w:rPr>
          <w:lang w:val="en-US"/>
        </w:rPr>
        <w:t>, such as consensus-building workshops to ensure that metrics align with lived experience</w:t>
      </w:r>
    </w:p>
    <w:p w14:paraId="528E7E52" w14:textId="77777777" w:rsidR="00724A77" w:rsidRPr="00724A77" w:rsidRDefault="00724A77" w:rsidP="001D5EC5">
      <w:pPr>
        <w:pStyle w:val="Bullet1"/>
        <w:keepNext/>
        <w:keepLines/>
        <w:rPr>
          <w:lang w:val="en-US"/>
        </w:rPr>
      </w:pPr>
      <w:r w:rsidRPr="00724A77">
        <w:rPr>
          <w:b/>
          <w:bCs/>
          <w:lang w:val="en-US"/>
        </w:rPr>
        <w:t>Testimonial features</w:t>
      </w:r>
      <w:r w:rsidRPr="00724A77">
        <w:rPr>
          <w:lang w:val="en-US"/>
        </w:rPr>
        <w:t>, allowing community members and partners to share their perspectives and experiences with gas infrastructure and decommissioning</w:t>
      </w:r>
    </w:p>
    <w:p w14:paraId="3F90FCCF" w14:textId="77777777" w:rsidR="00724A77" w:rsidRDefault="00724A77" w:rsidP="001D5EC5">
      <w:pPr>
        <w:pStyle w:val="Bullet1Last"/>
        <w:keepNext/>
        <w:keepLines/>
        <w:rPr>
          <w:lang w:val="en-US"/>
        </w:rPr>
      </w:pPr>
      <w:r w:rsidRPr="00724A77">
        <w:rPr>
          <w:b/>
          <w:bCs/>
          <w:lang w:val="en-US"/>
        </w:rPr>
        <w:t>Acknowledgment of community contributions</w:t>
      </w:r>
      <w:r w:rsidRPr="00724A77">
        <w:rPr>
          <w:lang w:val="en-US"/>
        </w:rPr>
        <w:t>, recognizing the role of local partners in shaping the Tool’s development and ensuring its relevance</w:t>
      </w:r>
    </w:p>
    <w:p w14:paraId="5BD75F5E" w14:textId="68A922F6" w:rsidR="006D2EE5" w:rsidRPr="00724A77" w:rsidRDefault="006D2EE5" w:rsidP="00D82955">
      <w:pPr>
        <w:pStyle w:val="BodyText"/>
        <w:rPr>
          <w:lang w:val="en-US"/>
        </w:rPr>
      </w:pPr>
      <w:r w:rsidRPr="006D2EE5">
        <w:t xml:space="preserve">These </w:t>
      </w:r>
      <w:r w:rsidRPr="00D82955">
        <w:t>recommendations</w:t>
      </w:r>
      <w:r w:rsidRPr="006D2EE5">
        <w:t xml:space="preserve"> reflect a broader call for participatory research practices that </w:t>
      </w:r>
      <w:proofErr w:type="spellStart"/>
      <w:r w:rsidRPr="006D2EE5">
        <w:t>center</w:t>
      </w:r>
      <w:proofErr w:type="spellEnd"/>
      <w:r w:rsidRPr="006D2EE5">
        <w:t xml:space="preserve"> community knowledge, improve data accuracy, and foster trust in </w:t>
      </w:r>
      <w:r w:rsidR="004A1CB8">
        <w:t>S</w:t>
      </w:r>
      <w:r w:rsidRPr="006D2EE5">
        <w:t>tate-led energy transition efforts.</w:t>
      </w:r>
    </w:p>
    <w:p w14:paraId="4ABA3C4F" w14:textId="3016A69D" w:rsidR="00666F55" w:rsidRDefault="00666F55" w:rsidP="00666F55">
      <w:pPr>
        <w:pStyle w:val="Heading1"/>
      </w:pPr>
      <w:bookmarkStart w:id="67" w:name="_Ref212213591"/>
      <w:bookmarkStart w:id="68" w:name="_Toc214535404"/>
      <w:r>
        <w:lastRenderedPageBreak/>
        <w:t>En</w:t>
      </w:r>
      <w:r w:rsidR="00914041">
        <w:t>gagement Materials</w:t>
      </w:r>
      <w:bookmarkEnd w:id="67"/>
      <w:bookmarkEnd w:id="68"/>
    </w:p>
    <w:p w14:paraId="78967530" w14:textId="05E8D69B" w:rsidR="001C1F23" w:rsidRPr="001C1F23" w:rsidRDefault="4ED624B4" w:rsidP="00251702">
      <w:pPr>
        <w:pStyle w:val="BodyText"/>
      </w:pPr>
      <w:r>
        <w:t xml:space="preserve">Below </w:t>
      </w:r>
      <w:r w:rsidR="004C660F">
        <w:t>is</w:t>
      </w:r>
      <w:r>
        <w:t xml:space="preserve"> a summary</w:t>
      </w:r>
      <w:r w:rsidR="70C890C1">
        <w:t xml:space="preserve"> </w:t>
      </w:r>
      <w:r w:rsidR="18A17442">
        <w:t>of the</w:t>
      </w:r>
      <w:r>
        <w:t xml:space="preserve"> engagement materials</w:t>
      </w:r>
      <w:r w:rsidR="06587D73">
        <w:t xml:space="preserve"> developed</w:t>
      </w:r>
      <w:r>
        <w:t xml:space="preserve"> throughout the project, </w:t>
      </w:r>
      <w:proofErr w:type="gramStart"/>
      <w:r>
        <w:t>in particular for</w:t>
      </w:r>
      <w:proofErr w:type="gramEnd"/>
      <w:r>
        <w:t xml:space="preserve"> each set of engagement touchpoint</w:t>
      </w:r>
      <w:r w:rsidR="227B353F">
        <w:t>.</w:t>
      </w:r>
      <w:r w:rsidR="36D0DB75">
        <w:t xml:space="preserve"> Materials have been provided as deliverables for various project </w:t>
      </w:r>
      <w:r w:rsidR="001D5EC5">
        <w:t>tasks or</w:t>
      </w:r>
      <w:r w:rsidR="70C890C1">
        <w:t xml:space="preserve"> </w:t>
      </w:r>
      <w:r w:rsidR="455E0FDF">
        <w:t xml:space="preserve">are </w:t>
      </w:r>
      <w:r w:rsidR="70C890C1">
        <w:t>available on the Resource Hub.</w:t>
      </w:r>
      <w:r w:rsidR="36D0DB75">
        <w:t xml:space="preserve"> </w:t>
      </w:r>
      <w:r w:rsidR="70C890C1">
        <w:t>The</w:t>
      </w:r>
      <w:r w:rsidR="36D0DB75">
        <w:t xml:space="preserve"> only set of materials attached to this report (Appendix B) are </w:t>
      </w:r>
      <w:r w:rsidR="5CA4DD23">
        <w:t>two</w:t>
      </w:r>
      <w:r w:rsidR="0DF70C9E">
        <w:t xml:space="preserve"> full case studies, </w:t>
      </w:r>
      <w:r w:rsidR="5CA4DD23">
        <w:t>completed in Oxnard and Visalia</w:t>
      </w:r>
      <w:r w:rsidR="36D0DB75">
        <w:t>.</w:t>
      </w:r>
      <w:r w:rsidR="442BC1B3">
        <w:t xml:space="preserve"> These case studies were selected as public facing examples of the case studies that the research team completed statewide. </w:t>
      </w:r>
    </w:p>
    <w:p w14:paraId="7ADCA1A0" w14:textId="2D2B4B72" w:rsidR="00363E05" w:rsidRDefault="0058721E" w:rsidP="00115747">
      <w:pPr>
        <w:pStyle w:val="Heading2"/>
        <w:rPr>
          <w:lang w:val="en-US"/>
        </w:rPr>
      </w:pPr>
      <w:bookmarkStart w:id="69" w:name="_Toc214535405"/>
      <w:r>
        <w:rPr>
          <w:lang w:val="en-US"/>
        </w:rPr>
        <w:t>Introductory</w:t>
      </w:r>
      <w:bookmarkEnd w:id="69"/>
      <w:r>
        <w:rPr>
          <w:lang w:val="en-US"/>
        </w:rPr>
        <w:t xml:space="preserve"> </w:t>
      </w:r>
    </w:p>
    <w:p w14:paraId="7018B64B" w14:textId="0B81E98A" w:rsidR="000F1BA5" w:rsidRDefault="0000291C" w:rsidP="000F1BA5">
      <w:pPr>
        <w:pStyle w:val="BodyText"/>
        <w:rPr>
          <w:lang w:val="en-US"/>
        </w:rPr>
      </w:pPr>
      <w:r>
        <w:rPr>
          <w:lang w:val="en-US"/>
        </w:rPr>
        <w:t xml:space="preserve">Materials developed to introduce </w:t>
      </w:r>
      <w:r w:rsidR="000F1BA5" w:rsidRPr="000F1BA5">
        <w:rPr>
          <w:lang w:val="en-US"/>
        </w:rPr>
        <w:t>the Mindful Gas Decommissioning project</w:t>
      </w:r>
      <w:r w:rsidR="001F3F34">
        <w:rPr>
          <w:lang w:val="en-US"/>
        </w:rPr>
        <w:t>—</w:t>
      </w:r>
      <w:r w:rsidR="000F1BA5" w:rsidRPr="000F1BA5">
        <w:rPr>
          <w:lang w:val="en-US"/>
        </w:rPr>
        <w:t xml:space="preserve">including email communications, briefing slide decks, and </w:t>
      </w:r>
      <w:r w:rsidR="001F3F34">
        <w:rPr>
          <w:lang w:val="en-US"/>
        </w:rPr>
        <w:t xml:space="preserve">a </w:t>
      </w:r>
      <w:hyperlink r:id="rId37" w:history="1">
        <w:r w:rsidR="000F1BA5" w:rsidRPr="001F3F34">
          <w:rPr>
            <w:rStyle w:val="Hyperlink"/>
            <w:lang w:val="en-US"/>
          </w:rPr>
          <w:t>feedback survey</w:t>
        </w:r>
      </w:hyperlink>
      <w:r w:rsidR="000F1BA5" w:rsidRPr="000F1BA5">
        <w:rPr>
          <w:lang w:val="en-US"/>
        </w:rPr>
        <w:t>—were designed to introduce stakeholders to the project’s scope, objectives, and expected outcomes. By establishing clear channels for information sharing and early feedback, the team ensured that all participants were equipped with the context needed to engage meaningfully in subsequent workshops, webinars, and advisory sessions.</w:t>
      </w:r>
    </w:p>
    <w:p w14:paraId="75877AE3" w14:textId="114BE8E5" w:rsidR="00FF1709" w:rsidRDefault="00E35BC8" w:rsidP="00FF1709">
      <w:pPr>
        <w:pStyle w:val="Heading2"/>
        <w:rPr>
          <w:lang w:val="en-US"/>
        </w:rPr>
      </w:pPr>
      <w:bookmarkStart w:id="70" w:name="_Toc214535406"/>
      <w:r>
        <w:rPr>
          <w:lang w:val="en-US"/>
        </w:rPr>
        <w:t>Community Workshops</w:t>
      </w:r>
      <w:r w:rsidR="00A24560">
        <w:rPr>
          <w:lang w:val="en-US"/>
        </w:rPr>
        <w:t>, Webinar</w:t>
      </w:r>
      <w:r w:rsidR="001236CB">
        <w:rPr>
          <w:lang w:val="en-US"/>
        </w:rPr>
        <w:t xml:space="preserve"> and Resource Hub</w:t>
      </w:r>
      <w:bookmarkEnd w:id="70"/>
    </w:p>
    <w:p w14:paraId="4E2A28C8" w14:textId="77777777" w:rsidR="00EB18DC" w:rsidRDefault="00F715BC" w:rsidP="00A22913">
      <w:pPr>
        <w:pStyle w:val="BodyText"/>
      </w:pPr>
      <w:r>
        <w:t>The</w:t>
      </w:r>
      <w:r w:rsidRPr="00F715BC">
        <w:t xml:space="preserve"> suite of engagement activities and resources that supported broad and inclusive participation in the project</w:t>
      </w:r>
      <w:r>
        <w:t xml:space="preserve"> included a</w:t>
      </w:r>
      <w:r w:rsidRPr="00F715BC">
        <w:t>nnouncements and invitations, workshop agendas, presentations, recordings, and feedback forms</w:t>
      </w:r>
      <w:r w:rsidR="00B3032E">
        <w:t xml:space="preserve">. </w:t>
      </w:r>
    </w:p>
    <w:p w14:paraId="3AB3CA57" w14:textId="77777777" w:rsidR="00BE0A8C" w:rsidRDefault="00BE0A8C" w:rsidP="00BE0A8C">
      <w:pPr>
        <w:pStyle w:val="Bullet1"/>
        <w:rPr>
          <w:lang w:val="en-US"/>
        </w:rPr>
      </w:pPr>
      <w:r>
        <w:rPr>
          <w:lang w:val="en-US"/>
        </w:rPr>
        <w:t>Announcements and invitations</w:t>
      </w:r>
    </w:p>
    <w:p w14:paraId="042B8289" w14:textId="3E806222" w:rsidR="00BE0A8C" w:rsidRDefault="00BE0A8C" w:rsidP="00BE0A8C">
      <w:pPr>
        <w:pStyle w:val="Bullet1"/>
        <w:rPr>
          <w:lang w:val="en-US"/>
        </w:rPr>
      </w:pPr>
      <w:r>
        <w:rPr>
          <w:lang w:val="en-US"/>
        </w:rPr>
        <w:t xml:space="preserve">Workshop agendas, presentations, recordings, </w:t>
      </w:r>
      <w:r w:rsidR="00D81B4F">
        <w:rPr>
          <w:lang w:val="en-US"/>
        </w:rPr>
        <w:t xml:space="preserve">and </w:t>
      </w:r>
      <w:r>
        <w:rPr>
          <w:lang w:val="en-US"/>
        </w:rPr>
        <w:t>accommodation and feedback forms</w:t>
      </w:r>
    </w:p>
    <w:p w14:paraId="143B8489" w14:textId="77777777" w:rsidR="00BE0A8C" w:rsidRPr="000E0BE7" w:rsidRDefault="00BE0A8C" w:rsidP="00BE0A8C">
      <w:pPr>
        <w:pStyle w:val="Bullet1"/>
        <w:rPr>
          <w:lang w:val="en-US"/>
        </w:rPr>
      </w:pPr>
      <w:r>
        <w:rPr>
          <w:lang w:val="en-US"/>
        </w:rPr>
        <w:t>Factsheet, FAQs</w:t>
      </w:r>
    </w:p>
    <w:p w14:paraId="4A58292D" w14:textId="77777777" w:rsidR="00BE0A8C" w:rsidRDefault="00BE0A8C" w:rsidP="00BE0A8C">
      <w:pPr>
        <w:pStyle w:val="Bullet1Last"/>
        <w:rPr>
          <w:lang w:val="en-US"/>
        </w:rPr>
      </w:pPr>
      <w:r>
        <w:rPr>
          <w:lang w:val="en-US"/>
        </w:rPr>
        <w:t>Outreach toolkit</w:t>
      </w:r>
    </w:p>
    <w:p w14:paraId="1C9109B6" w14:textId="68959962" w:rsidR="00F715BC" w:rsidRDefault="00B3032E" w:rsidP="00A22913">
      <w:pPr>
        <w:pStyle w:val="BodyText"/>
      </w:pPr>
      <w:r>
        <w:t xml:space="preserve">These materials </w:t>
      </w:r>
      <w:r w:rsidR="00F715BC" w:rsidRPr="00F715BC">
        <w:t>were disseminated to stakeholders and community members, both digitally and in accessible formats. The Community Resource Hub served as a central repository for project materials, ensuring that information was available to all, regardless of technological or language barriers. These efforts fostered transparent communication, enabled real-time feedback, and built a foundation for ongoing collaboration and learning throughout the project lifecycle.</w:t>
      </w:r>
    </w:p>
    <w:p w14:paraId="66090EDB" w14:textId="44609B1A" w:rsidR="00C50A56" w:rsidRDefault="00C50A56" w:rsidP="00A22913">
      <w:pPr>
        <w:pStyle w:val="Heading2"/>
        <w:rPr>
          <w:lang w:val="en-US"/>
        </w:rPr>
      </w:pPr>
      <w:bookmarkStart w:id="71" w:name="_Toc214535407"/>
      <w:r>
        <w:rPr>
          <w:lang w:val="en-US"/>
        </w:rPr>
        <w:t>Technical Advisory Committee</w:t>
      </w:r>
      <w:bookmarkEnd w:id="71"/>
    </w:p>
    <w:p w14:paraId="78F896CD" w14:textId="090D697D" w:rsidR="00140414" w:rsidRDefault="00140414" w:rsidP="00140414">
      <w:pPr>
        <w:pStyle w:val="BodyText"/>
        <w:rPr>
          <w:lang w:val="en-US"/>
        </w:rPr>
      </w:pPr>
      <w:r w:rsidRPr="00140414">
        <w:rPr>
          <w:lang w:val="en-US"/>
        </w:rPr>
        <w:t>The TAC engagement</w:t>
      </w:r>
      <w:r>
        <w:rPr>
          <w:lang w:val="en-US"/>
        </w:rPr>
        <w:t>s</w:t>
      </w:r>
      <w:r w:rsidRPr="00140414">
        <w:rPr>
          <w:lang w:val="en-US"/>
        </w:rPr>
        <w:t xml:space="preserve"> </w:t>
      </w:r>
      <w:r>
        <w:rPr>
          <w:lang w:val="en-US"/>
        </w:rPr>
        <w:t>were</w:t>
      </w:r>
      <w:r w:rsidRPr="00140414">
        <w:rPr>
          <w:lang w:val="en-US"/>
        </w:rPr>
        <w:t xml:space="preserve"> structured around targeted meetings, presentation materials, and feedback surveys, allowing members to advise on relevant data types, sources, and analytical approaches. Their input was instrumental in ensuring that the project’s technical framework remained robust, responsive to stakeholder needs, and aligned with best practices in energy transition planning.</w:t>
      </w:r>
    </w:p>
    <w:p w14:paraId="2BA94D87" w14:textId="2630DC58" w:rsidR="00A22913" w:rsidRDefault="00A22913" w:rsidP="00A22913">
      <w:pPr>
        <w:pStyle w:val="Heading2"/>
        <w:rPr>
          <w:lang w:val="en-US"/>
        </w:rPr>
      </w:pPr>
      <w:bookmarkStart w:id="72" w:name="_Toc214535408"/>
      <w:r>
        <w:rPr>
          <w:lang w:val="en-US"/>
        </w:rPr>
        <w:t xml:space="preserve">Case Study </w:t>
      </w:r>
      <w:r w:rsidR="00E35BC8">
        <w:rPr>
          <w:lang w:val="en-US"/>
        </w:rPr>
        <w:t>Partnerships</w:t>
      </w:r>
      <w:bookmarkEnd w:id="72"/>
    </w:p>
    <w:p w14:paraId="00CBA25D" w14:textId="18AF794C" w:rsidR="00D64ED9" w:rsidRDefault="001F39F5" w:rsidP="00115747">
      <w:pPr>
        <w:pStyle w:val="BodyText"/>
      </w:pPr>
      <w:r>
        <w:t xml:space="preserve">The project team developed a core set of outreach and engagement materials that could be adapted for use across all case studies. These materials—provided in the case study packet—include example email communications, a partnership request outlining the meeting structure and time commitments, and a project overview slide deck. However, community engagement needs varied significantly based on each partner’s capacity and their familiarity with gas decommissioning efforts, whether locally or statewide. As a result, the team tailored its communication strategies to better align with local context and ensure materials were accessible and resonant. For example, during a focus group in North Fair Oaks, the DNV-UCLA team distributed a bilingual (Spanish and English) Community </w:t>
      </w:r>
      <w:r w:rsidRPr="00D64ED9">
        <w:t>Feedback Request form</w:t>
      </w:r>
      <w:r>
        <w:rPr>
          <w:rStyle w:val="FootnoteReference"/>
        </w:rPr>
        <w:footnoteReference w:id="11"/>
      </w:r>
      <w:r w:rsidRPr="00D64ED9">
        <w:t>.</w:t>
      </w:r>
      <w:r w:rsidR="00233D82">
        <w:t xml:space="preserve"> </w:t>
      </w:r>
      <w:r w:rsidR="00D64ED9" w:rsidRPr="00D64ED9">
        <w:t xml:space="preserve">This survey asked participants to identify </w:t>
      </w:r>
      <w:proofErr w:type="spellStart"/>
      <w:r w:rsidR="00D64ED9" w:rsidRPr="00D64ED9">
        <w:t>neighborhoods</w:t>
      </w:r>
      <w:proofErr w:type="spellEnd"/>
      <w:r w:rsidR="00D64ED9" w:rsidRPr="00D64ED9">
        <w:t xml:space="preserve"> affected by extreme heat, </w:t>
      </w:r>
      <w:r w:rsidR="00D64ED9">
        <w:t>flooding, blackouts, or power</w:t>
      </w:r>
      <w:r w:rsidR="6691ED08">
        <w:t xml:space="preserve"> </w:t>
      </w:r>
      <w:r w:rsidR="00D64ED9" w:rsidRPr="00D64ED9">
        <w:t>outages, and to prioritize equity indicators used in the Tool, with space to explain their reasoning.</w:t>
      </w:r>
      <w:r w:rsidR="00686551">
        <w:rPr>
          <w:rStyle w:val="FootnoteReference"/>
        </w:rPr>
        <w:footnoteReference w:id="12"/>
      </w:r>
    </w:p>
    <w:p w14:paraId="0BF4FEC1" w14:textId="241F2FD1" w:rsidR="00664D27" w:rsidRDefault="00DE1479" w:rsidP="00DE1479">
      <w:pPr>
        <w:pStyle w:val="Heading1"/>
      </w:pPr>
      <w:bookmarkStart w:id="73" w:name="_Ref212191970"/>
      <w:bookmarkStart w:id="74" w:name="_Toc214535409"/>
      <w:r>
        <w:lastRenderedPageBreak/>
        <w:t>Results</w:t>
      </w:r>
      <w:r w:rsidR="006F452C">
        <w:t>,</w:t>
      </w:r>
      <w:r w:rsidR="00D57ECC">
        <w:t xml:space="preserve"> Lessons Learned</w:t>
      </w:r>
      <w:r w:rsidR="00BA2971">
        <w:t>, and Logistical Concerns</w:t>
      </w:r>
      <w:bookmarkEnd w:id="73"/>
      <w:bookmarkEnd w:id="74"/>
    </w:p>
    <w:p w14:paraId="28A1EC17" w14:textId="098D8765" w:rsidR="6DD37F1D" w:rsidRDefault="6DD37F1D" w:rsidP="00826596">
      <w:pPr>
        <w:pStyle w:val="Heading2"/>
      </w:pPr>
      <w:bookmarkStart w:id="75" w:name="_Toc214535410"/>
      <w:r w:rsidRPr="37CE14F3">
        <w:t>Results</w:t>
      </w:r>
      <w:bookmarkEnd w:id="75"/>
    </w:p>
    <w:p w14:paraId="7744EBB0" w14:textId="2C158343" w:rsidR="006638AF" w:rsidRPr="009A0766" w:rsidRDefault="006638AF" w:rsidP="009A0766">
      <w:pPr>
        <w:pStyle w:val="Heading3"/>
        <w:spacing w:line="280" w:lineRule="atLeast"/>
        <w:rPr>
          <w:rFonts w:asciiTheme="minorHAnsi" w:hAnsiTheme="minorHAnsi" w:cstheme="minorBidi"/>
          <w:sz w:val="22"/>
          <w:szCs w:val="22"/>
          <w:lang w:val="en-US"/>
        </w:rPr>
      </w:pPr>
      <w:bookmarkStart w:id="76" w:name="_Toc745036414"/>
      <w:r w:rsidRPr="704EC2DB">
        <w:rPr>
          <w:rStyle w:val="Strong"/>
          <w:rFonts w:asciiTheme="minorHAnsi" w:hAnsiTheme="minorHAnsi" w:cstheme="minorBidi"/>
          <w:b w:val="0"/>
          <w:sz w:val="22"/>
          <w:szCs w:val="22"/>
        </w:rPr>
        <w:t>Integrating Technical Analysis with Human Experience to Build Trust and Partnerships</w:t>
      </w:r>
      <w:bookmarkEnd w:id="76"/>
    </w:p>
    <w:p w14:paraId="29673A6B" w14:textId="2999B644" w:rsidR="006638AF" w:rsidRDefault="006638AF" w:rsidP="00E3292B">
      <w:pPr>
        <w:pStyle w:val="BodyText"/>
      </w:pPr>
      <w:r w:rsidRPr="009A0766">
        <w:t xml:space="preserve">A core objective of this project was to bridge the gap between technical complexity and community lived experience. Equity, engagement, and iterative feedback were embedded throughout—from data collection and Tool design to case study development. The team prioritized outreach to communities often excluded from technical planning, including non-federally recognized tribes and </w:t>
      </w:r>
      <w:proofErr w:type="spellStart"/>
      <w:r w:rsidRPr="009A0766">
        <w:t>neighborhoods</w:t>
      </w:r>
      <w:proofErr w:type="spellEnd"/>
      <w:r w:rsidRPr="009A0766">
        <w:t xml:space="preserve"> unfamiliar with gas decommissioning or decarbonization.</w:t>
      </w:r>
      <w:r w:rsidR="001D5EC5">
        <w:t xml:space="preserve"> </w:t>
      </w:r>
      <w:r w:rsidRPr="009A0766">
        <w:t>Engagement strategies were tailored to local contexts, offering flexible scheduling and co-developed materials to foster trust and transparency. This approach enabled honest dialogue around community concerns and ensured that technical clarity was matched with cultural and contextual relevance.</w:t>
      </w:r>
    </w:p>
    <w:p w14:paraId="37B28E19" w14:textId="61CFA1DF" w:rsidR="006638AF" w:rsidRPr="009A0766" w:rsidRDefault="006638AF" w:rsidP="00E3292B">
      <w:pPr>
        <w:pStyle w:val="BodyText"/>
      </w:pPr>
      <w:r w:rsidRPr="009A0766">
        <w:t xml:space="preserve">Community input directly shaped </w:t>
      </w:r>
      <w:r w:rsidR="00F31A31">
        <w:t>all four indices</w:t>
      </w:r>
      <w:r w:rsidRPr="009A0766">
        <w:t xml:space="preserve">, secondary metrics, and the case study framework. To </w:t>
      </w:r>
      <w:proofErr w:type="spellStart"/>
      <w:r w:rsidRPr="009A0766">
        <w:t>honor</w:t>
      </w:r>
      <w:proofErr w:type="spellEnd"/>
      <w:r w:rsidRPr="009A0766">
        <w:t xml:space="preserve"> these contributions, stipends were provided to community-based organizations, though the value of their input often exceeded available compensation. The team’s commitment to “moving at the speed of trust” resulted in deeper relationships and more meaningful participation—essential for equitable and enduring energy transition efforts.</w:t>
      </w:r>
      <w:r w:rsidR="001D5EC5">
        <w:t xml:space="preserve"> </w:t>
      </w:r>
    </w:p>
    <w:p w14:paraId="31BB02FC" w14:textId="19E376C1" w:rsidR="00B55F4F" w:rsidRPr="009A0766" w:rsidRDefault="00114EC7" w:rsidP="009A0766">
      <w:pPr>
        <w:pStyle w:val="Heading3"/>
        <w:spacing w:line="280" w:lineRule="atLeast"/>
        <w:rPr>
          <w:rFonts w:asciiTheme="minorHAnsi" w:hAnsiTheme="minorHAnsi" w:cstheme="minorBidi"/>
          <w:sz w:val="22"/>
          <w:szCs w:val="22"/>
          <w:lang w:val="en-US"/>
        </w:rPr>
      </w:pPr>
      <w:bookmarkStart w:id="77" w:name="_Toc2145144956"/>
      <w:r w:rsidRPr="009A0766">
        <w:rPr>
          <w:color w:val="auto"/>
          <w:sz w:val="22"/>
          <w:szCs w:val="22"/>
        </w:rPr>
        <w:t>Community-Validated Equity Index Reflecting Local Challenges</w:t>
      </w:r>
      <w:bookmarkEnd w:id="77"/>
    </w:p>
    <w:p w14:paraId="7C15C65F" w14:textId="330B1DA8" w:rsidR="00114EC7" w:rsidRPr="009A0766" w:rsidRDefault="00114EC7" w:rsidP="00E3292B">
      <w:pPr>
        <w:pStyle w:val="BodyText"/>
        <w:rPr>
          <w:lang w:val="en-US" w:eastAsia="en-US"/>
        </w:rPr>
      </w:pPr>
      <w:r w:rsidRPr="009A0766">
        <w:rPr>
          <w:lang w:val="en-US" w:eastAsia="en-US"/>
        </w:rPr>
        <w:t>Through surveys and workshops, community partners helped prioritize equity metrics most relevant to their lived experiences. Safety (</w:t>
      </w:r>
      <w:r w:rsidR="001D5EC5">
        <w:rPr>
          <w:lang w:val="en-US" w:eastAsia="en-US"/>
        </w:rPr>
        <w:t xml:space="preserve">included in the </w:t>
      </w:r>
      <w:r w:rsidRPr="009A0766">
        <w:rPr>
          <w:lang w:val="en-US" w:eastAsia="en-US"/>
        </w:rPr>
        <w:t>Gas Assets Index) and residential readiness emerged as top concerns, followed by:</w:t>
      </w:r>
    </w:p>
    <w:p w14:paraId="6A6819A1" w14:textId="77777777" w:rsidR="00114EC7" w:rsidRPr="009A0766" w:rsidRDefault="00114EC7" w:rsidP="00E3292B">
      <w:pPr>
        <w:pStyle w:val="Bullet1"/>
        <w:rPr>
          <w:lang w:val="en-US" w:eastAsia="en-US"/>
        </w:rPr>
      </w:pPr>
      <w:r w:rsidRPr="009A0766">
        <w:rPr>
          <w:lang w:val="en-US" w:eastAsia="en-US"/>
        </w:rPr>
        <w:t>Socioeconomic vulnerability</w:t>
      </w:r>
    </w:p>
    <w:p w14:paraId="36AC1DB7" w14:textId="77777777" w:rsidR="00114EC7" w:rsidRPr="009A0766" w:rsidRDefault="00114EC7" w:rsidP="00E3292B">
      <w:pPr>
        <w:pStyle w:val="Bullet1"/>
        <w:rPr>
          <w:lang w:val="en-US" w:eastAsia="en-US"/>
        </w:rPr>
      </w:pPr>
      <w:r w:rsidRPr="009A0766">
        <w:rPr>
          <w:lang w:val="en-US" w:eastAsia="en-US"/>
        </w:rPr>
        <w:t>Climate risk</w:t>
      </w:r>
    </w:p>
    <w:p w14:paraId="03FCC25C" w14:textId="77777777" w:rsidR="00114EC7" w:rsidRPr="009A0766" w:rsidRDefault="00114EC7" w:rsidP="00E3292B">
      <w:pPr>
        <w:pStyle w:val="Bullet1"/>
        <w:rPr>
          <w:lang w:val="en-US" w:eastAsia="en-US"/>
        </w:rPr>
      </w:pPr>
      <w:r w:rsidRPr="009A0766">
        <w:rPr>
          <w:lang w:val="en-US" w:eastAsia="en-US"/>
        </w:rPr>
        <w:t>Sensitive populations</w:t>
      </w:r>
    </w:p>
    <w:p w14:paraId="12B904D6" w14:textId="77777777" w:rsidR="00114EC7" w:rsidRPr="009A0766" w:rsidRDefault="00114EC7" w:rsidP="00E3292B">
      <w:pPr>
        <w:pStyle w:val="Bullet1"/>
        <w:rPr>
          <w:lang w:val="en-US" w:eastAsia="en-US"/>
        </w:rPr>
      </w:pPr>
      <w:r w:rsidRPr="009A0766">
        <w:rPr>
          <w:lang w:val="en-US" w:eastAsia="en-US"/>
        </w:rPr>
        <w:t>Pollution burden</w:t>
      </w:r>
    </w:p>
    <w:p w14:paraId="5EFB4F2C" w14:textId="77777777" w:rsidR="00114EC7" w:rsidRPr="009A0766" w:rsidRDefault="00114EC7" w:rsidP="00E3292B">
      <w:pPr>
        <w:pStyle w:val="Bullet1"/>
        <w:rPr>
          <w:lang w:val="en-US" w:eastAsia="en-US"/>
        </w:rPr>
      </w:pPr>
      <w:r w:rsidRPr="009A0766">
        <w:rPr>
          <w:lang w:val="en-US" w:eastAsia="en-US"/>
        </w:rPr>
        <w:t>Energy burden</w:t>
      </w:r>
    </w:p>
    <w:p w14:paraId="6A19251F" w14:textId="77777777" w:rsidR="00114EC7" w:rsidRPr="009A0766" w:rsidRDefault="00114EC7" w:rsidP="00E3292B">
      <w:pPr>
        <w:pStyle w:val="Bullet1"/>
        <w:rPr>
          <w:lang w:val="en-US" w:eastAsia="en-US"/>
        </w:rPr>
      </w:pPr>
      <w:r w:rsidRPr="009A0766">
        <w:rPr>
          <w:lang w:val="en-US" w:eastAsia="en-US"/>
        </w:rPr>
        <w:t>Environmental risk</w:t>
      </w:r>
    </w:p>
    <w:p w14:paraId="61B203CE" w14:textId="77777777" w:rsidR="00114EC7" w:rsidRPr="009A0766" w:rsidRDefault="00114EC7" w:rsidP="00E3292B">
      <w:pPr>
        <w:pStyle w:val="Bullet1Last"/>
        <w:rPr>
          <w:lang w:val="en-US" w:eastAsia="en-US"/>
        </w:rPr>
      </w:pPr>
      <w:r w:rsidRPr="009A0766">
        <w:rPr>
          <w:lang w:val="en-US" w:eastAsia="en-US"/>
        </w:rPr>
        <w:t>Access to critical services</w:t>
      </w:r>
    </w:p>
    <w:p w14:paraId="0548E51C" w14:textId="77777777" w:rsidR="00114EC7" w:rsidRPr="009A0766" w:rsidRDefault="00114EC7" w:rsidP="00E3292B">
      <w:pPr>
        <w:pStyle w:val="BodyText"/>
        <w:rPr>
          <w:lang w:val="en-US" w:eastAsia="en-US"/>
        </w:rPr>
      </w:pPr>
      <w:r w:rsidRPr="009A0766">
        <w:rPr>
          <w:lang w:val="en-US" w:eastAsia="en-US"/>
        </w:rPr>
        <w:t>This feedback informed the development of a comprehensive, community-validated Equity Index that reflects the multifaceted challenges communities face in the context of gas decommissioning.</w:t>
      </w:r>
    </w:p>
    <w:p w14:paraId="53A826C7" w14:textId="6349E749" w:rsidR="0015083A" w:rsidRDefault="00AF3614" w:rsidP="0015083A">
      <w:pPr>
        <w:pStyle w:val="Heading3"/>
        <w:rPr>
          <w:sz w:val="22"/>
          <w:szCs w:val="22"/>
        </w:rPr>
      </w:pPr>
      <w:bookmarkStart w:id="78" w:name="_Toc1427605889"/>
      <w:r w:rsidRPr="009A0766">
        <w:rPr>
          <w:sz w:val="22"/>
          <w:szCs w:val="22"/>
        </w:rPr>
        <w:t>Case Studies</w:t>
      </w:r>
      <w:r>
        <w:rPr>
          <w:sz w:val="22"/>
          <w:szCs w:val="22"/>
        </w:rPr>
        <w:t xml:space="preserve"> Reveal Nuanced Barriers and Opportunities</w:t>
      </w:r>
      <w:bookmarkEnd w:id="78"/>
    </w:p>
    <w:p w14:paraId="38F3474D" w14:textId="77777777" w:rsidR="00AB6C4D" w:rsidRDefault="00AB6C4D" w:rsidP="00AB6C4D">
      <w:pPr>
        <w:pStyle w:val="BodyText"/>
      </w:pPr>
      <w:r>
        <w:t>Case studies provided a “zoomed-in” lens on local conditions, validating Tool scores and surfacing critical nuances. These insights revealed barriers such as:</w:t>
      </w:r>
    </w:p>
    <w:p w14:paraId="5CEB55F3" w14:textId="193F60FA" w:rsidR="00AB6C4D" w:rsidRDefault="00832D4D" w:rsidP="00871D14">
      <w:pPr>
        <w:pStyle w:val="Bullet1"/>
      </w:pPr>
      <w:r>
        <w:t xml:space="preserve">Statewide </w:t>
      </w:r>
      <w:r w:rsidR="5AF0C9B9">
        <w:t>real estate o</w:t>
      </w:r>
      <w:r w:rsidR="00AB6C4D">
        <w:t xml:space="preserve">wnership structures complicating renter protections </w:t>
      </w:r>
      <w:r w:rsidR="447FE6E6">
        <w:t>and decommissioning efforts</w:t>
      </w:r>
    </w:p>
    <w:p w14:paraId="4B4D2E7B" w14:textId="06332600" w:rsidR="00AB6C4D" w:rsidRDefault="00AB6C4D" w:rsidP="00871D14">
      <w:pPr>
        <w:pStyle w:val="Bullet1"/>
      </w:pPr>
      <w:r>
        <w:t>Misrepresentation of vulnerability due to census tract boundaries</w:t>
      </w:r>
      <w:r w:rsidR="00D44981">
        <w:t>, particularly related to stranded asset risks</w:t>
      </w:r>
      <w:r>
        <w:t xml:space="preserve"> (e.g., North Fair Oaks)</w:t>
      </w:r>
    </w:p>
    <w:p w14:paraId="6AFD1167" w14:textId="317D6577" w:rsidR="00AB6C4D" w:rsidRDefault="00AB6C4D" w:rsidP="00871D14">
      <w:pPr>
        <w:pStyle w:val="Bullet1"/>
      </w:pPr>
      <w:r>
        <w:t>Infrastructure readiness gaps in historically disinvested areas (e.g., Stockton)</w:t>
      </w:r>
    </w:p>
    <w:p w14:paraId="4EAAC607" w14:textId="7AFB2249" w:rsidR="00DC56C4" w:rsidRDefault="00DC56C4" w:rsidP="00871D14">
      <w:pPr>
        <w:pStyle w:val="Bullet1"/>
      </w:pPr>
      <w:r>
        <w:t>Balancing weak cost drivers with community health and affordability benefits (e.g., Visalia)</w:t>
      </w:r>
    </w:p>
    <w:p w14:paraId="09918BC4" w14:textId="19CDDE89" w:rsidR="00AB6C4D" w:rsidRDefault="2FF7221C" w:rsidP="00247F5F">
      <w:pPr>
        <w:pStyle w:val="Bullet1Last"/>
      </w:pPr>
      <w:r>
        <w:t>Highlighting the critical role of grid reliability in rural and tribal communities (e.g., Blue Lake Rancheria)</w:t>
      </w:r>
    </w:p>
    <w:p w14:paraId="1CF00454" w14:textId="2FAB8EAF" w:rsidR="00254753" w:rsidRPr="00254753" w:rsidRDefault="00AB6C4D" w:rsidP="009A0766">
      <w:pPr>
        <w:pStyle w:val="BodyText"/>
      </w:pPr>
      <w:r>
        <w:t>These findings offer use cases applicable to similar communities across California and underscore the need for localized analysis alongside statewide screening.</w:t>
      </w:r>
    </w:p>
    <w:p w14:paraId="4BFC0D78" w14:textId="71DD9C67" w:rsidR="00A4539E" w:rsidRPr="009A0766" w:rsidRDefault="00A4539E" w:rsidP="00A4539E">
      <w:pPr>
        <w:pStyle w:val="Heading3"/>
        <w:rPr>
          <w:sz w:val="22"/>
          <w:szCs w:val="22"/>
        </w:rPr>
      </w:pPr>
      <w:bookmarkStart w:id="79" w:name="_Toc1837403040"/>
      <w:r w:rsidRPr="009A0766">
        <w:rPr>
          <w:sz w:val="22"/>
          <w:szCs w:val="22"/>
        </w:rPr>
        <w:lastRenderedPageBreak/>
        <w:t xml:space="preserve">Residential Decommissioning Readiness </w:t>
      </w:r>
      <w:r w:rsidR="000258BE" w:rsidRPr="009A0766">
        <w:rPr>
          <w:sz w:val="22"/>
          <w:szCs w:val="22"/>
        </w:rPr>
        <w:t>Index Developed in Response to Community Input</w:t>
      </w:r>
      <w:bookmarkEnd w:id="79"/>
    </w:p>
    <w:p w14:paraId="2277E3B9" w14:textId="2F3331F0" w:rsidR="000258BE" w:rsidRPr="000258BE" w:rsidRDefault="00BC440C" w:rsidP="009A0766">
      <w:pPr>
        <w:pStyle w:val="BodyText"/>
      </w:pPr>
      <w:r w:rsidRPr="00BC440C">
        <w:t xml:space="preserve">Community feedback emphasized the importance of assessing household-level readiness for </w:t>
      </w:r>
      <w:r w:rsidR="00147AD1">
        <w:t>decarbonization</w:t>
      </w:r>
      <w:r w:rsidRPr="00BC440C">
        <w:t xml:space="preserve">. In response, the team developed the </w:t>
      </w:r>
      <w:r w:rsidRPr="00BC440C">
        <w:rPr>
          <w:b/>
          <w:bCs/>
        </w:rPr>
        <w:t>Residential Decommissioning Readiness Index</w:t>
      </w:r>
      <w:r w:rsidRPr="00BC440C">
        <w:t>—a fourth sub-index that evaluates building stock, energy dependency, and socioeconomic barriers to transitioning away from gas.</w:t>
      </w:r>
    </w:p>
    <w:p w14:paraId="10A0ADCC" w14:textId="1610087E" w:rsidR="00A4539E" w:rsidRPr="009A0766" w:rsidRDefault="00147AD1" w:rsidP="00A4539E">
      <w:pPr>
        <w:pStyle w:val="Heading3"/>
        <w:rPr>
          <w:sz w:val="22"/>
          <w:szCs w:val="22"/>
        </w:rPr>
      </w:pPr>
      <w:bookmarkStart w:id="80" w:name="_Toc710119186"/>
      <w:r w:rsidRPr="009A0766">
        <w:rPr>
          <w:sz w:val="22"/>
          <w:szCs w:val="22"/>
        </w:rPr>
        <w:t>Expanded Context Layers for More Accurate Screening</w:t>
      </w:r>
      <w:bookmarkEnd w:id="80"/>
    </w:p>
    <w:p w14:paraId="7EC28C62" w14:textId="772E749D" w:rsidR="00DC2802" w:rsidRDefault="00DC2802" w:rsidP="00DC2802">
      <w:pPr>
        <w:pStyle w:val="BodyText"/>
      </w:pPr>
      <w:r>
        <w:t>To improve the Tool’s accuracy and relevance, the team incorporated additional context layers based on stakeholder input, including:</w:t>
      </w:r>
    </w:p>
    <w:p w14:paraId="08909925" w14:textId="77777777" w:rsidR="00DC2802" w:rsidRDefault="00DC2802" w:rsidP="00871D14">
      <w:pPr>
        <w:pStyle w:val="Bullet1"/>
      </w:pPr>
      <w:r>
        <w:t>Federally recognized tribal lands</w:t>
      </w:r>
    </w:p>
    <w:p w14:paraId="2E4FD890" w14:textId="77777777" w:rsidR="00DC2802" w:rsidRDefault="00DC2802" w:rsidP="00871D14">
      <w:pPr>
        <w:pStyle w:val="Bullet1"/>
      </w:pPr>
      <w:r>
        <w:t>California building climate zones</w:t>
      </w:r>
    </w:p>
    <w:p w14:paraId="4833E806" w14:textId="77777777" w:rsidR="00DC2802" w:rsidRDefault="00DC2802" w:rsidP="00871D14">
      <w:pPr>
        <w:pStyle w:val="Bullet1"/>
      </w:pPr>
      <w:r>
        <w:t>Soil and lead contamination</w:t>
      </w:r>
    </w:p>
    <w:p w14:paraId="0A59149C" w14:textId="77777777" w:rsidR="00DC2802" w:rsidRDefault="00DC2802" w:rsidP="00871D14">
      <w:pPr>
        <w:pStyle w:val="Bullet1"/>
      </w:pPr>
      <w:r>
        <w:t>Proximity to Superfund sites</w:t>
      </w:r>
    </w:p>
    <w:p w14:paraId="167863C4" w14:textId="77777777" w:rsidR="00DC2802" w:rsidRDefault="00DC2802" w:rsidP="00871D14">
      <w:pPr>
        <w:pStyle w:val="Bullet1"/>
      </w:pPr>
      <w:r>
        <w:t>Pesticide use</w:t>
      </w:r>
    </w:p>
    <w:p w14:paraId="1A61EDC4" w14:textId="06F4261F" w:rsidR="00DC2802" w:rsidRDefault="00DC2802" w:rsidP="00871D14">
      <w:pPr>
        <w:pStyle w:val="Bullet1Last"/>
      </w:pPr>
      <w:r>
        <w:t>Pipeline location data</w:t>
      </w:r>
    </w:p>
    <w:p w14:paraId="7CA9CE78" w14:textId="39EB33C6" w:rsidR="00147AD1" w:rsidRPr="00147AD1" w:rsidRDefault="00DC2802" w:rsidP="00871D14">
      <w:pPr>
        <w:pStyle w:val="BodyText"/>
      </w:pPr>
      <w:r>
        <w:t>These additions enhance the Tool’s ability to reflect place-based risks and opportunities.</w:t>
      </w:r>
    </w:p>
    <w:p w14:paraId="62EAC293" w14:textId="738D04D0" w:rsidR="00315B25" w:rsidRPr="009A0766" w:rsidRDefault="00FC5D04" w:rsidP="00315B25">
      <w:pPr>
        <w:pStyle w:val="Heading3"/>
        <w:rPr>
          <w:sz w:val="22"/>
          <w:szCs w:val="22"/>
        </w:rPr>
      </w:pPr>
      <w:bookmarkStart w:id="81" w:name="_Toc246186208"/>
      <w:r w:rsidRPr="009A0766">
        <w:rPr>
          <w:sz w:val="22"/>
          <w:szCs w:val="22"/>
        </w:rPr>
        <w:t>Alignment with State Long-Term Gas Planning and Mandates</w:t>
      </w:r>
      <w:r w:rsidR="009C2A95" w:rsidRPr="009A0766">
        <w:rPr>
          <w:sz w:val="22"/>
          <w:szCs w:val="22"/>
        </w:rPr>
        <w:t>.</w:t>
      </w:r>
      <w:bookmarkEnd w:id="81"/>
    </w:p>
    <w:p w14:paraId="30F6A8D8" w14:textId="0CD218AB" w:rsidR="009C2A95" w:rsidRPr="009C2A95" w:rsidRDefault="00B33DCE" w:rsidP="00871D14">
      <w:pPr>
        <w:pStyle w:val="BodyText"/>
      </w:pPr>
      <w:r w:rsidRPr="00B33DCE">
        <w:t xml:space="preserve">The Tool’s comprehensive equity analysis and screening capabilities position it as a valuable resource for </w:t>
      </w:r>
      <w:r w:rsidR="0059249B" w:rsidRPr="00B33DCE">
        <w:t xml:space="preserve">supporting </w:t>
      </w:r>
      <w:r w:rsidR="0059249B">
        <w:t>SB</w:t>
      </w:r>
      <w:r w:rsidR="0061521C">
        <w:t xml:space="preserve"> </w:t>
      </w:r>
      <w:r w:rsidRPr="00B33DCE">
        <w:t>1221 and broader gas transition mandates. Its census tract-level insights can inform pilot project siting, regulatory compliance, and long-term planning—particularly in disadvantaged and tribal communities prioritized under SB 1221.</w:t>
      </w:r>
    </w:p>
    <w:p w14:paraId="0220912A" w14:textId="2346828B" w:rsidR="68F80206" w:rsidRDefault="68F80206" w:rsidP="00826596">
      <w:pPr>
        <w:pStyle w:val="Heading2"/>
      </w:pPr>
      <w:bookmarkStart w:id="82" w:name="_Toc214535411"/>
      <w:r w:rsidRPr="37CE14F3">
        <w:t>Lessons Learned</w:t>
      </w:r>
      <w:bookmarkEnd w:id="82"/>
    </w:p>
    <w:p w14:paraId="04CC0D51" w14:textId="1B60D3F9" w:rsidR="007E7E48" w:rsidRDefault="00507C85" w:rsidP="00871D14">
      <w:pPr>
        <w:pStyle w:val="BodyText"/>
        <w:rPr>
          <w:rFonts w:cstheme="minorHAnsi"/>
          <w:lang w:val="en-US" w:eastAsia="en-US"/>
        </w:rPr>
      </w:pPr>
      <w:r w:rsidRPr="009A0766">
        <w:rPr>
          <w:lang w:val="en-US" w:eastAsia="en-US"/>
        </w:rPr>
        <w:t xml:space="preserve">The process of developing </w:t>
      </w:r>
      <w:r w:rsidR="0061521C">
        <w:rPr>
          <w:lang w:val="en-US" w:eastAsia="en-US"/>
        </w:rPr>
        <w:t xml:space="preserve">the </w:t>
      </w:r>
      <w:r w:rsidRPr="009A0766">
        <w:rPr>
          <w:lang w:val="en-US" w:eastAsia="en-US"/>
        </w:rPr>
        <w:t xml:space="preserve">Tool was as much about listening and learning as it was about technical </w:t>
      </w:r>
      <w:r w:rsidR="00757712" w:rsidRPr="20342A2D">
        <w:rPr>
          <w:lang w:val="en-US" w:eastAsia="en-US"/>
        </w:rPr>
        <w:t>approach and data sets identified</w:t>
      </w:r>
      <w:r w:rsidRPr="009A0766">
        <w:rPr>
          <w:lang w:val="en-US" w:eastAsia="en-US"/>
        </w:rPr>
        <w:t xml:space="preserve">. Throughout engagement with communities, stakeholders, and technical advisors, </w:t>
      </w:r>
      <w:r w:rsidR="00350234">
        <w:rPr>
          <w:lang w:val="en-US" w:eastAsia="en-US"/>
        </w:rPr>
        <w:t>the research team</w:t>
      </w:r>
      <w:r w:rsidRPr="009A0766">
        <w:rPr>
          <w:lang w:val="en-US" w:eastAsia="en-US"/>
        </w:rPr>
        <w:t xml:space="preserve"> encountered a wide range of insights—</w:t>
      </w:r>
      <w:r w:rsidR="00757712" w:rsidRPr="20342A2D">
        <w:rPr>
          <w:lang w:val="en-US" w:eastAsia="en-US"/>
        </w:rPr>
        <w:t>many</w:t>
      </w:r>
      <w:r w:rsidRPr="009A0766">
        <w:rPr>
          <w:lang w:val="en-US" w:eastAsia="en-US"/>
        </w:rPr>
        <w:t xml:space="preserve"> expected, </w:t>
      </w:r>
      <w:r w:rsidR="00757712" w:rsidRPr="20342A2D">
        <w:rPr>
          <w:lang w:val="en-US" w:eastAsia="en-US"/>
        </w:rPr>
        <w:t xml:space="preserve">some </w:t>
      </w:r>
      <w:r w:rsidRPr="009A0766">
        <w:rPr>
          <w:lang w:val="en-US" w:eastAsia="en-US"/>
        </w:rPr>
        <w:t xml:space="preserve">surprising—that shaped the direction, scope, and impact of </w:t>
      </w:r>
      <w:r w:rsidR="00757712" w:rsidRPr="20342A2D">
        <w:rPr>
          <w:lang w:val="en-US" w:eastAsia="en-US"/>
        </w:rPr>
        <w:t>the team’s</w:t>
      </w:r>
      <w:r w:rsidRPr="009A0766">
        <w:rPr>
          <w:lang w:val="en-US" w:eastAsia="en-US"/>
        </w:rPr>
        <w:t xml:space="preserve"> work.</w:t>
      </w:r>
      <w:r w:rsidR="0059249B">
        <w:rPr>
          <w:lang w:val="en-US" w:eastAsia="en-US"/>
        </w:rPr>
        <w:t xml:space="preserve"> </w:t>
      </w:r>
      <w:r w:rsidRPr="009A0766">
        <w:rPr>
          <w:rFonts w:cstheme="minorHAnsi"/>
          <w:lang w:val="en-US" w:eastAsia="en-US"/>
        </w:rPr>
        <w:t>To honor the depth of these contributions and provide clarity for future efforts, lessons learned</w:t>
      </w:r>
      <w:r w:rsidR="00757712">
        <w:rPr>
          <w:rFonts w:cstheme="minorHAnsi"/>
          <w:lang w:val="en-US" w:eastAsia="en-US"/>
        </w:rPr>
        <w:t xml:space="preserve"> </w:t>
      </w:r>
      <w:r w:rsidR="008B12FA">
        <w:rPr>
          <w:rFonts w:cstheme="minorHAnsi"/>
          <w:lang w:val="en-US" w:eastAsia="en-US"/>
        </w:rPr>
        <w:t>are discussed</w:t>
      </w:r>
      <w:r w:rsidR="00180578">
        <w:rPr>
          <w:rFonts w:cstheme="minorHAnsi"/>
          <w:lang w:val="en-US" w:eastAsia="en-US"/>
        </w:rPr>
        <w:t xml:space="preserve"> as follows:</w:t>
      </w:r>
    </w:p>
    <w:p w14:paraId="039432A3" w14:textId="383241CF" w:rsidR="00507C85" w:rsidRPr="009A0766" w:rsidRDefault="00507C85" w:rsidP="00871D14">
      <w:pPr>
        <w:pStyle w:val="Bullet1"/>
        <w:rPr>
          <w:lang w:val="en-US" w:eastAsia="en-US"/>
        </w:rPr>
      </w:pPr>
      <w:r w:rsidRPr="009A0766">
        <w:rPr>
          <w:b/>
          <w:lang w:val="en-US" w:eastAsia="en-US"/>
        </w:rPr>
        <w:t>Insights gained directly from community and stakeholder input</w:t>
      </w:r>
      <w:r w:rsidRPr="009A0766">
        <w:rPr>
          <w:lang w:val="en-US" w:eastAsia="en-US"/>
        </w:rPr>
        <w:t>, which informed the Tool and case study development</w:t>
      </w:r>
      <w:r>
        <w:rPr>
          <w:lang w:val="en-US" w:eastAsia="en-US"/>
        </w:rPr>
        <w:t xml:space="preserve">, </w:t>
      </w:r>
      <w:r w:rsidR="00A14708">
        <w:rPr>
          <w:lang w:val="en-US" w:eastAsia="en-US"/>
        </w:rPr>
        <w:t>filling in any data or knowledge gaps about local community information and how they inform statewide context.</w:t>
      </w:r>
    </w:p>
    <w:p w14:paraId="67673C01" w14:textId="742E5E16" w:rsidR="00507C85" w:rsidRPr="009A0766" w:rsidRDefault="00632ED9" w:rsidP="00871D14">
      <w:pPr>
        <w:pStyle w:val="Bullet1"/>
        <w:rPr>
          <w:lang w:val="en-US" w:eastAsia="en-US"/>
        </w:rPr>
      </w:pPr>
      <w:r w:rsidRPr="009A0766">
        <w:rPr>
          <w:b/>
          <w:lang w:val="en-US" w:eastAsia="en-US"/>
        </w:rPr>
        <w:t>Lessons</w:t>
      </w:r>
      <w:r w:rsidR="00507C85" w:rsidRPr="009A0766">
        <w:rPr>
          <w:b/>
          <w:lang w:val="en-US" w:eastAsia="en-US"/>
        </w:rPr>
        <w:t xml:space="preserve"> from carrying out the engagement process</w:t>
      </w:r>
      <w:r w:rsidR="00507C85" w:rsidRPr="009A0766">
        <w:rPr>
          <w:lang w:val="en-US" w:eastAsia="en-US"/>
        </w:rPr>
        <w:t>, which reflect the realities of building trust, navigating capacity</w:t>
      </w:r>
      <w:r w:rsidR="003A594D">
        <w:rPr>
          <w:lang w:val="en-US" w:eastAsia="en-US"/>
        </w:rPr>
        <w:t>, priority and time</w:t>
      </w:r>
      <w:r w:rsidR="00507C85" w:rsidRPr="009A0766">
        <w:rPr>
          <w:lang w:val="en-US" w:eastAsia="en-US"/>
        </w:rPr>
        <w:t xml:space="preserve"> constraints, and adapting to diverse community contexts.</w:t>
      </w:r>
    </w:p>
    <w:p w14:paraId="37707BC4" w14:textId="076368C9" w:rsidR="00C01250" w:rsidRPr="009A0766" w:rsidRDefault="00C01250" w:rsidP="00871D14">
      <w:pPr>
        <w:pStyle w:val="Bullet1Last"/>
      </w:pPr>
      <w:r w:rsidRPr="009A0766">
        <w:rPr>
          <w:b/>
          <w:bCs/>
        </w:rPr>
        <w:t>Concrete examples and recommendations for adjusting engagement approaches</w:t>
      </w:r>
      <w:r w:rsidRPr="009A0766">
        <w:t>, which offer practical guidance for future projects based on observed challenges and successes.</w:t>
      </w:r>
    </w:p>
    <w:p w14:paraId="7E75D351" w14:textId="6E9F2FAE" w:rsidR="00507C85" w:rsidRDefault="5AC33717" w:rsidP="00871D14">
      <w:pPr>
        <w:pStyle w:val="BodyText"/>
        <w:rPr>
          <w:lang w:val="en-US" w:eastAsia="en-US"/>
        </w:rPr>
      </w:pPr>
      <w:r w:rsidRPr="530D6781">
        <w:rPr>
          <w:lang w:val="en-US" w:eastAsia="en-US"/>
        </w:rPr>
        <w:t xml:space="preserve">Within each </w:t>
      </w:r>
      <w:r w:rsidR="3B2787CA" w:rsidRPr="530D6781">
        <w:rPr>
          <w:lang w:val="en-US" w:eastAsia="en-US"/>
        </w:rPr>
        <w:t>focus area</w:t>
      </w:r>
      <w:r w:rsidRPr="530D6781">
        <w:rPr>
          <w:lang w:val="en-US" w:eastAsia="en-US"/>
        </w:rPr>
        <w:t xml:space="preserve">, </w:t>
      </w:r>
      <w:r w:rsidR="11E2B883" w:rsidRPr="530D6781">
        <w:rPr>
          <w:lang w:val="en-US" w:eastAsia="en-US"/>
        </w:rPr>
        <w:t xml:space="preserve">input identified </w:t>
      </w:r>
      <w:r w:rsidR="17C94A09" w:rsidRPr="530D6781">
        <w:rPr>
          <w:lang w:val="en-US" w:eastAsia="en-US"/>
        </w:rPr>
        <w:t>is distinguished</w:t>
      </w:r>
      <w:r w:rsidRPr="530D6781">
        <w:rPr>
          <w:lang w:val="en-US" w:eastAsia="en-US"/>
        </w:rPr>
        <w:t xml:space="preserve"> between what was </w:t>
      </w:r>
      <w:r w:rsidR="11E2B883" w:rsidRPr="530D6781">
        <w:rPr>
          <w:lang w:val="en-US" w:eastAsia="en-US"/>
        </w:rPr>
        <w:t>feasibly</w:t>
      </w:r>
      <w:r w:rsidRPr="530D6781">
        <w:rPr>
          <w:lang w:val="en-US" w:eastAsia="en-US"/>
        </w:rPr>
        <w:t xml:space="preserve"> incorporated into the</w:t>
      </w:r>
      <w:r w:rsidR="11E2B883" w:rsidRPr="530D6781">
        <w:rPr>
          <w:lang w:val="en-US" w:eastAsia="en-US"/>
        </w:rPr>
        <w:t xml:space="preserve"> Tool and project learnings</w:t>
      </w:r>
      <w:r w:rsidRPr="530D6781">
        <w:rPr>
          <w:lang w:val="en-US" w:eastAsia="en-US"/>
        </w:rPr>
        <w:t xml:space="preserve"> and what remains unaddressed due to scope or limitations, but is critical for future research, planning, and implementation. This structure is intended to support transparency, guide replication, and ensure that equity-centered engagement continues to evolve as a foundational practice in </w:t>
      </w:r>
      <w:r w:rsidR="5EDEEF87" w:rsidRPr="530D6781">
        <w:rPr>
          <w:lang w:val="en-US" w:eastAsia="en-US"/>
        </w:rPr>
        <w:t>gas</w:t>
      </w:r>
      <w:r w:rsidRPr="530D6781">
        <w:rPr>
          <w:lang w:val="en-US" w:eastAsia="en-US"/>
        </w:rPr>
        <w:t xml:space="preserve"> transition planning.</w:t>
      </w:r>
    </w:p>
    <w:p w14:paraId="6642EA4A" w14:textId="6B0D4C55" w:rsidR="00993455" w:rsidRDefault="008A07FE" w:rsidP="00247F5F">
      <w:pPr>
        <w:pStyle w:val="Heading3"/>
        <w:keepLines/>
        <w:rPr>
          <w:lang w:val="en-US" w:eastAsia="en-US"/>
        </w:rPr>
      </w:pPr>
      <w:bookmarkStart w:id="83" w:name="_Toc36290689"/>
      <w:r w:rsidRPr="008A07FE">
        <w:rPr>
          <w:lang w:val="en-US" w:eastAsia="en-US"/>
        </w:rPr>
        <w:lastRenderedPageBreak/>
        <w:t xml:space="preserve">Lessons Learned from </w:t>
      </w:r>
      <w:r w:rsidRPr="00993455">
        <w:t>Engagement</w:t>
      </w:r>
      <w:r w:rsidRPr="008A07FE">
        <w:rPr>
          <w:lang w:val="en-US" w:eastAsia="en-US"/>
        </w:rPr>
        <w:t xml:space="preserve"> Input</w:t>
      </w:r>
      <w:bookmarkEnd w:id="83"/>
    </w:p>
    <w:p w14:paraId="42682C06" w14:textId="1B9CB7C6" w:rsidR="008A07FE" w:rsidRPr="009A0766" w:rsidRDefault="008A07FE" w:rsidP="00247F5F">
      <w:pPr>
        <w:pStyle w:val="BodyText"/>
        <w:keepNext/>
        <w:keepLines/>
        <w:rPr>
          <w:b/>
          <w:bCs/>
          <w:lang w:val="en-US" w:eastAsia="en-US"/>
        </w:rPr>
      </w:pPr>
      <w:r w:rsidRPr="008A07FE">
        <w:rPr>
          <w:lang w:val="en-US" w:eastAsia="en-US"/>
        </w:rPr>
        <w:t>These are insights directly shared by community members, stakeholders, and partners during workshops, case studies, and briefings.</w:t>
      </w:r>
    </w:p>
    <w:p w14:paraId="316DC0F8" w14:textId="65817E14" w:rsidR="008A07FE" w:rsidRDefault="00043B10" w:rsidP="00247F5F">
      <w:pPr>
        <w:pStyle w:val="Heading4"/>
        <w:keepLines/>
      </w:pPr>
      <w:bookmarkStart w:id="84" w:name="_Toc1656206123"/>
      <w:r w:rsidRPr="1882B410">
        <w:rPr>
          <w:lang w:val="en-US" w:eastAsia="en-US"/>
        </w:rPr>
        <w:t>Lessons</w:t>
      </w:r>
      <w:r w:rsidR="008A07FE" w:rsidRPr="008A07FE">
        <w:rPr>
          <w:lang w:val="en-US" w:eastAsia="en-US"/>
        </w:rPr>
        <w:t xml:space="preserve"> Learned and </w:t>
      </w:r>
      <w:r w:rsidR="008A07FE" w:rsidRPr="00134645">
        <w:t>Incorporated</w:t>
      </w:r>
      <w:bookmarkEnd w:id="84"/>
    </w:p>
    <w:p w14:paraId="441C42DF" w14:textId="6319E34F" w:rsidR="00383F15" w:rsidRDefault="63B39538" w:rsidP="00247F5F">
      <w:pPr>
        <w:pStyle w:val="BodyText"/>
        <w:keepNext/>
        <w:keepLines/>
      </w:pPr>
      <w:r>
        <w:t xml:space="preserve">In response to extensive community feedback, </w:t>
      </w:r>
      <w:r w:rsidR="02400A44">
        <w:t>the original proposed Equity Index remained largely intact,</w:t>
      </w:r>
      <w:r w:rsidR="6F7C802D">
        <w:t xml:space="preserve"> but</w:t>
      </w:r>
      <w:r w:rsidR="02400A44">
        <w:t xml:space="preserve"> with </w:t>
      </w:r>
      <w:r>
        <w:t xml:space="preserve">several key enhancements. First, the metrics used in the Equity Index were refined to better reflect environmental and public health concerns. This included the addition of indicators such as soil contamination, lead exposure, pesticide use, and proximity to Superfund sites, as detailed in Section </w:t>
      </w:r>
      <w:r w:rsidR="00383F15">
        <w:fldChar w:fldCharType="begin"/>
      </w:r>
      <w:r w:rsidR="00383F15">
        <w:instrText xml:space="preserve"> REF _Ref212206983 \r \h </w:instrText>
      </w:r>
      <w:r w:rsidR="00383F15">
        <w:fldChar w:fldCharType="separate"/>
      </w:r>
      <w:r w:rsidR="00FA7042">
        <w:t>2.8</w:t>
      </w:r>
      <w:r w:rsidR="00383F15">
        <w:fldChar w:fldCharType="end"/>
      </w:r>
      <w:r>
        <w:t>.</w:t>
      </w:r>
    </w:p>
    <w:p w14:paraId="0B3E4B84" w14:textId="40D4AEF1" w:rsidR="00383F15" w:rsidRDefault="63B39538" w:rsidP="00383F15">
      <w:pPr>
        <w:pStyle w:val="BodyText"/>
      </w:pPr>
      <w:r>
        <w:t>Community input also guided the inclusion of new contextual layers within the Tool. Specifically, layers representing federally recognized tribal lands and California building climate zones were added to provide more nuanced geographic and cultural context.</w:t>
      </w:r>
      <w:r w:rsidR="2699A24E">
        <w:t xml:space="preserve"> An effort was made to incorporate non-recognized tribal lands</w:t>
      </w:r>
      <w:r w:rsidR="04F4A2C8">
        <w:t xml:space="preserve"> in response to feedback</w:t>
      </w:r>
      <w:r w:rsidR="2699A24E">
        <w:t xml:space="preserve">, but </w:t>
      </w:r>
      <w:r w:rsidR="45ECF652">
        <w:t xml:space="preserve">no uniform or meaningful data sets were </w:t>
      </w:r>
      <w:r w:rsidR="639E762E">
        <w:t>found.</w:t>
      </w:r>
    </w:p>
    <w:p w14:paraId="6FE3CD02" w14:textId="77777777" w:rsidR="00383F15" w:rsidRDefault="00383F15" w:rsidP="00383F15">
      <w:pPr>
        <w:pStyle w:val="BodyText"/>
      </w:pPr>
      <w:r>
        <w:t xml:space="preserve">During workshops, participants emphasized the importance of socioeconomic vulnerability and climate risk, ranking them as top priorities. This prioritization directly influenced the team’s approach to </w:t>
      </w:r>
      <w:proofErr w:type="spellStart"/>
      <w:r>
        <w:t>analyzing</w:t>
      </w:r>
      <w:proofErr w:type="spellEnd"/>
      <w:r>
        <w:t xml:space="preserve"> metrics and understanding how they relate to community challenges and potential benefits.</w:t>
      </w:r>
    </w:p>
    <w:p w14:paraId="7BD54741" w14:textId="113CBF90" w:rsidR="00A70E69" w:rsidRPr="00A70E69" w:rsidRDefault="00383F15" w:rsidP="00383F15">
      <w:pPr>
        <w:pStyle w:val="BodyText"/>
      </w:pPr>
      <w:r>
        <w:t>Finally, the selection of case study locations was shaped by community interest, available resources, and local capacity. This collaborative process ensured that the final set of case studies reflected a broad spectrum of geographic and demographic diversity.</w:t>
      </w:r>
    </w:p>
    <w:p w14:paraId="63AF179C" w14:textId="046A7933" w:rsidR="008A07FE" w:rsidRDefault="06AE252E" w:rsidP="00134645">
      <w:pPr>
        <w:pStyle w:val="Heading4"/>
        <w:rPr>
          <w:lang w:val="en-US" w:eastAsia="en-US"/>
        </w:rPr>
      </w:pPr>
      <w:bookmarkStart w:id="85" w:name="_Toc484941438"/>
      <w:r w:rsidRPr="6AFAEEBA">
        <w:rPr>
          <w:lang w:val="en-US" w:eastAsia="en-US"/>
        </w:rPr>
        <w:t>Lessons</w:t>
      </w:r>
      <w:r w:rsidR="008A07FE" w:rsidRPr="6AFAEEBA">
        <w:rPr>
          <w:lang w:val="en-US" w:eastAsia="en-US"/>
        </w:rPr>
        <w:t xml:space="preserve"> Learned but</w:t>
      </w:r>
      <w:r w:rsidR="001D5EC5">
        <w:rPr>
          <w:lang w:val="en-US" w:eastAsia="en-US"/>
        </w:rPr>
        <w:t xml:space="preserve"> </w:t>
      </w:r>
      <w:r w:rsidR="008A07FE" w:rsidRPr="6AFAEEBA">
        <w:rPr>
          <w:lang w:val="en-US" w:eastAsia="en-US"/>
        </w:rPr>
        <w:t>Not Incorporate</w:t>
      </w:r>
      <w:r w:rsidR="00043B10" w:rsidRPr="6AFAEEBA">
        <w:rPr>
          <w:lang w:val="en-US" w:eastAsia="en-US"/>
        </w:rPr>
        <w:t>d</w:t>
      </w:r>
      <w:r w:rsidR="008A07FE" w:rsidRPr="6AFAEEBA">
        <w:rPr>
          <w:lang w:val="en-US" w:eastAsia="en-US"/>
        </w:rPr>
        <w:t xml:space="preserve"> (Due to Scope or Limitations)</w:t>
      </w:r>
      <w:bookmarkEnd w:id="85"/>
    </w:p>
    <w:p w14:paraId="34FEBD12" w14:textId="5FDB4E28" w:rsidR="000D75C7" w:rsidRPr="000D75C7" w:rsidRDefault="31BA3174" w:rsidP="000D75C7">
      <w:pPr>
        <w:pStyle w:val="BodyText"/>
        <w:rPr>
          <w:lang w:val="en-US" w:eastAsia="en-US"/>
        </w:rPr>
      </w:pPr>
      <w:r w:rsidRPr="530D6781">
        <w:rPr>
          <w:lang w:val="en-US" w:eastAsia="en-US"/>
        </w:rPr>
        <w:t>While community engagement provided valuable insights, several important themes</w:t>
      </w:r>
      <w:r w:rsidR="3346CDC1" w:rsidRPr="530D6781">
        <w:rPr>
          <w:lang w:val="en-US" w:eastAsia="en-US"/>
        </w:rPr>
        <w:t xml:space="preserve"> raised by local partners</w:t>
      </w:r>
      <w:r w:rsidRPr="530D6781">
        <w:rPr>
          <w:lang w:val="en-US" w:eastAsia="en-US"/>
        </w:rPr>
        <w:t xml:space="preserve"> could not be incorporated into the Tool due to limitations in scope, data availability, or technical feasibility.</w:t>
      </w:r>
    </w:p>
    <w:p w14:paraId="2BA82D4A" w14:textId="0AB2E1F9" w:rsidR="000D75C7" w:rsidRPr="000D75C7" w:rsidRDefault="000D75C7" w:rsidP="000D75C7">
      <w:pPr>
        <w:pStyle w:val="BodyText"/>
        <w:rPr>
          <w:lang w:val="en-US" w:eastAsia="en-US"/>
        </w:rPr>
      </w:pPr>
      <w:r w:rsidRPr="6AFAEEBA">
        <w:rPr>
          <w:lang w:val="en-US" w:eastAsia="en-US"/>
        </w:rPr>
        <w:t>One recurring challenge was the lack of neighborhood-level data. Although census tract-level information was used, it often obscured hyperlocal disparities—such as localized flooding in Stockton or concentrated pollution in North Fair Oaks. These issues were acknowledged in the case studies but could not be reflected in the Tool’s current design.</w:t>
      </w:r>
    </w:p>
    <w:p w14:paraId="6DDE29E0" w14:textId="2EC795A6" w:rsidR="000D75C7" w:rsidRPr="000D75C7" w:rsidRDefault="31BA3174" w:rsidP="000D75C7">
      <w:pPr>
        <w:pStyle w:val="BodyText"/>
        <w:rPr>
          <w:lang w:val="en-US" w:eastAsia="en-US"/>
        </w:rPr>
      </w:pPr>
      <w:r w:rsidRPr="530D6781">
        <w:rPr>
          <w:lang w:val="en-US" w:eastAsia="en-US"/>
        </w:rPr>
        <w:t>Another limitation involved</w:t>
      </w:r>
      <w:r w:rsidR="20953C0D" w:rsidRPr="530D6781">
        <w:rPr>
          <w:lang w:val="en-US" w:eastAsia="en-US"/>
        </w:rPr>
        <w:t xml:space="preserve"> implications of</w:t>
      </w:r>
      <w:r w:rsidRPr="530D6781">
        <w:rPr>
          <w:lang w:val="en-US" w:eastAsia="en-US"/>
        </w:rPr>
        <w:t xml:space="preserve"> property ownership structures. Community members highlighted the significance of </w:t>
      </w:r>
      <w:r w:rsidR="1524F80A" w:rsidRPr="530D6781">
        <w:rPr>
          <w:lang w:val="en-US" w:eastAsia="en-US"/>
        </w:rPr>
        <w:t>real estate</w:t>
      </w:r>
      <w:r w:rsidRPr="530D6781">
        <w:rPr>
          <w:lang w:val="en-US" w:eastAsia="en-US"/>
        </w:rPr>
        <w:t xml:space="preserve"> ownership patterns</w:t>
      </w:r>
      <w:r w:rsidR="5512927A" w:rsidRPr="530D6781">
        <w:rPr>
          <w:lang w:val="en-US" w:eastAsia="en-US"/>
        </w:rPr>
        <w:t xml:space="preserve"> </w:t>
      </w:r>
      <w:r w:rsidR="3FB4BAB2" w:rsidRPr="530D6781">
        <w:rPr>
          <w:lang w:val="en-US" w:eastAsia="en-US"/>
        </w:rPr>
        <w:t>Statewide</w:t>
      </w:r>
      <w:r w:rsidRPr="530D6781">
        <w:rPr>
          <w:lang w:val="en-US" w:eastAsia="en-US"/>
        </w:rPr>
        <w:t xml:space="preserve">, particularly </w:t>
      </w:r>
      <w:r w:rsidR="1A184087" w:rsidRPr="530D6781">
        <w:rPr>
          <w:lang w:val="en-US" w:eastAsia="en-US"/>
        </w:rPr>
        <w:t>those related to</w:t>
      </w:r>
      <w:r w:rsidR="2FE8AB1B" w:rsidRPr="530D6781">
        <w:rPr>
          <w:lang w:val="en-US" w:eastAsia="en-US"/>
        </w:rPr>
        <w:t xml:space="preserve"> potential split incentives</w:t>
      </w:r>
      <w:r w:rsidR="4C96B681" w:rsidRPr="530D6781">
        <w:rPr>
          <w:lang w:val="en-US" w:eastAsia="en-US"/>
        </w:rPr>
        <w:t xml:space="preserve"> for renters</w:t>
      </w:r>
      <w:r w:rsidR="77961E49" w:rsidRPr="530D6781">
        <w:rPr>
          <w:lang w:val="en-US" w:eastAsia="en-US"/>
        </w:rPr>
        <w:t xml:space="preserve"> and </w:t>
      </w:r>
      <w:r w:rsidR="331AC1C1" w:rsidRPr="530D6781">
        <w:rPr>
          <w:lang w:val="en-US" w:eastAsia="en-US"/>
        </w:rPr>
        <w:t>non-local</w:t>
      </w:r>
      <w:r w:rsidR="77961E49" w:rsidRPr="530D6781">
        <w:rPr>
          <w:lang w:val="en-US" w:eastAsia="en-US"/>
        </w:rPr>
        <w:t xml:space="preserve"> landlords</w:t>
      </w:r>
      <w:r w:rsidRPr="530D6781">
        <w:rPr>
          <w:lang w:val="en-US" w:eastAsia="en-US"/>
        </w:rPr>
        <w:t>. However, due to the complexity and limited availability of reliable data, these insights could not be integrated into the Tool.</w:t>
      </w:r>
    </w:p>
    <w:p w14:paraId="7EF966D7" w14:textId="510497CD" w:rsidR="000D75C7" w:rsidRPr="000D75C7" w:rsidRDefault="31BA3174" w:rsidP="000D75C7">
      <w:pPr>
        <w:pStyle w:val="BodyText"/>
        <w:rPr>
          <w:lang w:val="en-US" w:eastAsia="en-US"/>
        </w:rPr>
      </w:pPr>
      <w:r w:rsidRPr="530D6781">
        <w:rPr>
          <w:lang w:val="en-US" w:eastAsia="en-US"/>
        </w:rPr>
        <w:t>Localized climate risk also emerged as a concern. Community partners pointed out that the statewide normalization of climate risk data sometimes failed to capture specific vulnerabilities at the local level, leading to underrepresentation of certain risks.</w:t>
      </w:r>
      <w:r w:rsidR="4065C7B4" w:rsidRPr="530D6781">
        <w:rPr>
          <w:lang w:val="en-US" w:eastAsia="en-US"/>
        </w:rPr>
        <w:t xml:space="preserve"> As such, climate data should be used as a starting point for future research into locally experienced hazards.</w:t>
      </w:r>
    </w:p>
    <w:p w14:paraId="5E56E37D" w14:textId="40EB38AC" w:rsidR="000D75C7" w:rsidRPr="000D75C7" w:rsidRDefault="000D75C7" w:rsidP="000D75C7">
      <w:pPr>
        <w:pStyle w:val="BodyText"/>
        <w:rPr>
          <w:lang w:val="en-US" w:eastAsia="en-US"/>
        </w:rPr>
      </w:pPr>
      <w:r w:rsidRPr="6AFAEEBA">
        <w:rPr>
          <w:lang w:val="en-US" w:eastAsia="en-US"/>
        </w:rPr>
        <w:t>Finally, while there was strong interest in incorporating community-sourced data and personal testimonials, the current framework of the Tool did not support the integration of qualitative or non-standardized data. These suggestions were documented for future consideration.</w:t>
      </w:r>
    </w:p>
    <w:p w14:paraId="391B8927" w14:textId="03B85F11" w:rsidR="00134645" w:rsidRDefault="008A07FE" w:rsidP="00134645">
      <w:pPr>
        <w:pStyle w:val="Heading3"/>
        <w:rPr>
          <w:lang w:val="en-US" w:eastAsia="en-US"/>
        </w:rPr>
      </w:pPr>
      <w:bookmarkStart w:id="86" w:name="_Toc308325650"/>
      <w:r w:rsidRPr="6AFAEEBA">
        <w:rPr>
          <w:lang w:val="en-US" w:eastAsia="en-US"/>
        </w:rPr>
        <w:t>Lessons Learned from Carrying Out the Engagement Process</w:t>
      </w:r>
      <w:bookmarkEnd w:id="86"/>
      <w:r w:rsidR="003E55BB" w:rsidRPr="6AFAEEBA">
        <w:rPr>
          <w:lang w:val="en-US" w:eastAsia="en-US"/>
        </w:rPr>
        <w:t xml:space="preserve"> </w:t>
      </w:r>
    </w:p>
    <w:p w14:paraId="424B1209" w14:textId="4306298C" w:rsidR="008A07FE" w:rsidRPr="009A0766" w:rsidRDefault="00BA07F6" w:rsidP="00134645">
      <w:pPr>
        <w:pStyle w:val="BodyText"/>
        <w:rPr>
          <w:b/>
          <w:bCs/>
          <w:lang w:val="en-US" w:eastAsia="en-US"/>
        </w:rPr>
      </w:pPr>
      <w:r w:rsidRPr="6AFAEEBA">
        <w:rPr>
          <w:lang w:val="en-US" w:eastAsia="en-US"/>
        </w:rPr>
        <w:t xml:space="preserve">Below </w:t>
      </w:r>
      <w:r w:rsidR="008A07FE" w:rsidRPr="6AFAEEBA">
        <w:rPr>
          <w:lang w:val="en-US" w:eastAsia="en-US"/>
        </w:rPr>
        <w:t>are insights gained through the implementation of the engagement strategy.</w:t>
      </w:r>
    </w:p>
    <w:p w14:paraId="54FFC80C" w14:textId="263FC99F" w:rsidR="008A07FE" w:rsidRDefault="00AD680F" w:rsidP="00134645">
      <w:pPr>
        <w:pStyle w:val="Heading4"/>
        <w:rPr>
          <w:lang w:val="en-US" w:eastAsia="en-US"/>
        </w:rPr>
      </w:pPr>
      <w:bookmarkStart w:id="87" w:name="_Toc379118779"/>
      <w:r w:rsidRPr="6AFAEEBA">
        <w:rPr>
          <w:lang w:val="en-US" w:eastAsia="en-US"/>
        </w:rPr>
        <w:t>Lessons</w:t>
      </w:r>
      <w:r w:rsidR="008A07FE" w:rsidRPr="6AFAEEBA">
        <w:rPr>
          <w:lang w:val="en-US" w:eastAsia="en-US"/>
        </w:rPr>
        <w:t xml:space="preserve"> Learned and Incorporated</w:t>
      </w:r>
      <w:bookmarkEnd w:id="87"/>
    </w:p>
    <w:p w14:paraId="29BDF2A8" w14:textId="77777777" w:rsidR="00F06613" w:rsidRPr="00F06613" w:rsidRDefault="47B5A101" w:rsidP="00F06613">
      <w:pPr>
        <w:pStyle w:val="BodyText"/>
        <w:rPr>
          <w:lang w:val="en-US" w:eastAsia="en-US"/>
        </w:rPr>
      </w:pPr>
      <w:r w:rsidRPr="15DFB4B1">
        <w:rPr>
          <w:lang w:val="en-US" w:eastAsia="en-US"/>
        </w:rPr>
        <w:t>Throughout the engagement process, the team prioritized flexibility and responsiveness to partner needs, which significantly shaped the design and delivery of outreach efforts. Meeting formats, timelines, and materials were adapted to align with partner capacity, including the provision of bilingual resources and the implementation of low-burden micro-grant processes to support participation.</w:t>
      </w:r>
    </w:p>
    <w:p w14:paraId="7712EE52" w14:textId="77777777" w:rsidR="00F06613" w:rsidRPr="00F06613" w:rsidRDefault="47B5A101" w:rsidP="00F06613">
      <w:pPr>
        <w:pStyle w:val="BodyText"/>
        <w:rPr>
          <w:lang w:val="en-US" w:eastAsia="en-US"/>
        </w:rPr>
      </w:pPr>
      <w:r w:rsidRPr="15DFB4B1">
        <w:rPr>
          <w:lang w:val="en-US" w:eastAsia="en-US"/>
        </w:rPr>
        <w:lastRenderedPageBreak/>
        <w:t>Building trust was a central focus. Transparent communication and a commitment to addressing community concerns helped foster stronger relationships and encouraged more meaningful involvement from stakeholders.</w:t>
      </w:r>
    </w:p>
    <w:p w14:paraId="4A45F7C9" w14:textId="2C4DB115" w:rsidR="00F06613" w:rsidRPr="00F06613" w:rsidRDefault="47B5A101" w:rsidP="00F06613">
      <w:pPr>
        <w:pStyle w:val="BodyText"/>
        <w:rPr>
          <w:lang w:val="en-US" w:eastAsia="en-US"/>
        </w:rPr>
      </w:pPr>
      <w:r w:rsidRPr="15DFB4B1">
        <w:rPr>
          <w:lang w:val="en-US" w:eastAsia="en-US"/>
        </w:rPr>
        <w:t>Outreach strategies were also tailored to reflect the unique characteristics of each community. This included consideration of cultural norms, language preferences, and technological access, ensuring that engagement was both inclusive and contextually appropriate.</w:t>
      </w:r>
    </w:p>
    <w:p w14:paraId="0371AA4E" w14:textId="025A9E99" w:rsidR="008A07FE" w:rsidRDefault="7E70DBAB" w:rsidP="00134645">
      <w:pPr>
        <w:pStyle w:val="Heading4"/>
        <w:rPr>
          <w:lang w:val="en-US" w:eastAsia="en-US"/>
        </w:rPr>
      </w:pPr>
      <w:bookmarkStart w:id="88" w:name="_Toc1352765309"/>
      <w:r w:rsidRPr="15DFB4B1">
        <w:rPr>
          <w:lang w:val="en-US" w:eastAsia="en-US"/>
        </w:rPr>
        <w:t>Lessons</w:t>
      </w:r>
      <w:r w:rsidR="3FBF8599" w:rsidRPr="15DFB4B1">
        <w:rPr>
          <w:lang w:val="en-US" w:eastAsia="en-US"/>
        </w:rPr>
        <w:t xml:space="preserve"> Learned but Could Not Fully Address (Within Project Scope)</w:t>
      </w:r>
      <w:bookmarkEnd w:id="88"/>
    </w:p>
    <w:p w14:paraId="4954ADF8" w14:textId="346E4921" w:rsidR="00521305" w:rsidRPr="00521305" w:rsidRDefault="0DD74714" w:rsidP="530D6781">
      <w:pPr>
        <w:spacing w:line="280" w:lineRule="atLeast"/>
        <w:rPr>
          <w:lang w:val="en-US" w:eastAsia="en-US"/>
        </w:rPr>
      </w:pPr>
      <w:r w:rsidRPr="530D6781">
        <w:rPr>
          <w:lang w:val="en-US" w:eastAsia="en-US"/>
        </w:rPr>
        <w:t xml:space="preserve">Despite strong interest and valuable input from community partners, several important issues could not be fully addressed within the scope of the project. Many community-based organizations faced significant staffing and funding constraints, which limited their ability to participate consistently. While the team worked to reflect their contributions through case studies where feasible, </w:t>
      </w:r>
      <w:r w:rsidR="72C72302" w:rsidRPr="530D6781">
        <w:rPr>
          <w:lang w:val="en-US" w:eastAsia="en-US"/>
        </w:rPr>
        <w:t>this meant that 5 case studies were completed without</w:t>
      </w:r>
      <w:r w:rsidR="370CAFE3" w:rsidRPr="530D6781">
        <w:rPr>
          <w:lang w:val="en-US" w:eastAsia="en-US"/>
        </w:rPr>
        <w:t xml:space="preserve"> full case study partnership</w:t>
      </w:r>
      <w:r w:rsidRPr="530D6781">
        <w:rPr>
          <w:lang w:val="en-US" w:eastAsia="en-US"/>
        </w:rPr>
        <w:t xml:space="preserve"> due to limited engagement capacity</w:t>
      </w:r>
      <w:r w:rsidR="36765203" w:rsidRPr="530D6781">
        <w:rPr>
          <w:lang w:val="en-US" w:eastAsia="en-US"/>
        </w:rPr>
        <w:t xml:space="preserve"> from local organizations</w:t>
      </w:r>
      <w:r w:rsidR="3CBF2D03" w:rsidRPr="530D6781">
        <w:rPr>
          <w:lang w:val="en-US" w:eastAsia="en-US"/>
        </w:rPr>
        <w:t>.</w:t>
      </w:r>
    </w:p>
    <w:p w14:paraId="50A2E0E7" w14:textId="2A561CCF" w:rsidR="00521305" w:rsidRPr="00521305" w:rsidRDefault="0DD74714" w:rsidP="00521305">
      <w:pPr>
        <w:pStyle w:val="BodyText"/>
        <w:rPr>
          <w:lang w:val="en-US" w:eastAsia="en-US"/>
        </w:rPr>
      </w:pPr>
      <w:r w:rsidRPr="530D6781">
        <w:rPr>
          <w:lang w:val="en-US" w:eastAsia="en-US"/>
        </w:rPr>
        <w:t>Engagement with tribal communities</w:t>
      </w:r>
      <w:r w:rsidR="2191E354" w:rsidRPr="530D6781">
        <w:rPr>
          <w:lang w:val="en-US" w:eastAsia="en-US"/>
        </w:rPr>
        <w:t xml:space="preserve"> also</w:t>
      </w:r>
      <w:r w:rsidRPr="530D6781">
        <w:rPr>
          <w:lang w:val="en-US" w:eastAsia="en-US"/>
        </w:rPr>
        <w:t xml:space="preserve"> presented additional challenges. Tribal partners required more time, flexibility, and culturally appropriate processes than the project timeline could accommodate. Concerns around data sovereignty and the absence of an official tribal review process further limited collaboration with several tribes, highlighting the need for long-term, trust-based partnerships.</w:t>
      </w:r>
    </w:p>
    <w:p w14:paraId="139AE7A5" w14:textId="47C7A779" w:rsidR="00521305" w:rsidRPr="00521305" w:rsidRDefault="4C65D0A1" w:rsidP="00521305">
      <w:pPr>
        <w:pStyle w:val="BodyText"/>
        <w:rPr>
          <w:lang w:val="en-US" w:eastAsia="en-US"/>
        </w:rPr>
      </w:pPr>
      <w:r w:rsidRPr="15DFB4B1">
        <w:rPr>
          <w:lang w:val="en-US" w:eastAsia="en-US"/>
        </w:rPr>
        <w:t>Issues of data security and consent also emerged as critical considerations. The team had to navigate complex questions around confidentiality and data governance, which sometimes restricted the depth of data collection and sharing.</w:t>
      </w:r>
    </w:p>
    <w:p w14:paraId="07274D98" w14:textId="7DA4D37D" w:rsidR="00521305" w:rsidRPr="00521305" w:rsidRDefault="4C65D0A1" w:rsidP="00521305">
      <w:pPr>
        <w:pStyle w:val="BodyText"/>
        <w:rPr>
          <w:lang w:val="en-US" w:eastAsia="en-US"/>
        </w:rPr>
      </w:pPr>
      <w:r w:rsidRPr="15DFB4B1">
        <w:rPr>
          <w:lang w:val="en-US" w:eastAsia="en-US"/>
        </w:rPr>
        <w:t>Additionally, while the Tool was primarily designed for planners and regulators, community partners expressed interest in a more accessible, public-facing version. Suggestions included simplified interfaces and the integration of testimonial features, which were noted but not feasible within the current framework.</w:t>
      </w:r>
    </w:p>
    <w:p w14:paraId="1140A514" w14:textId="2E586348" w:rsidR="003206AD" w:rsidRPr="003206AD" w:rsidRDefault="076678B2" w:rsidP="530D6781">
      <w:pPr>
        <w:pStyle w:val="BodyText"/>
        <w:rPr>
          <w:lang w:val="en-US" w:eastAsia="en-US"/>
        </w:rPr>
      </w:pPr>
      <w:r>
        <w:t xml:space="preserve">Due to limited time and resources, the team was unable to fully engage with </w:t>
      </w:r>
      <w:r w:rsidR="204FD189" w:rsidRPr="530D6781">
        <w:rPr>
          <w:lang w:val="en-US"/>
        </w:rPr>
        <w:t>CCAs and RENs</w:t>
      </w:r>
      <w:r w:rsidR="004F69BC">
        <w:rPr>
          <w:lang w:val="en-US"/>
        </w:rPr>
        <w:t xml:space="preserve">, </w:t>
      </w:r>
      <w:r>
        <w:t>groups that typically offer valuable insights into regional and local community needs. While initial meetings were held, prioritizing outreach to harder-to-reach communities and other critical project demands meant these engagements did not receive the depth of attention they deserved</w:t>
      </w:r>
      <w:r w:rsidR="004F69BC">
        <w:t>.</w:t>
      </w:r>
      <w:r w:rsidR="788BB3B4" w:rsidRPr="530D6781">
        <w:rPr>
          <w:lang w:val="en-US"/>
        </w:rPr>
        <w:t xml:space="preserve"> </w:t>
      </w:r>
    </w:p>
    <w:p w14:paraId="45FB4720" w14:textId="77FA0553" w:rsidR="00861148" w:rsidRDefault="060B5639" w:rsidP="00134645">
      <w:pPr>
        <w:pStyle w:val="Heading3"/>
        <w:rPr>
          <w:lang w:val="en-US" w:eastAsia="en-US"/>
        </w:rPr>
      </w:pPr>
      <w:bookmarkStart w:id="89" w:name="_Toc2123577446"/>
      <w:r w:rsidRPr="15DFB4B1">
        <w:rPr>
          <w:lang w:val="en-US" w:eastAsia="en-US"/>
        </w:rPr>
        <w:t>Adjusting Engagement Approaches</w:t>
      </w:r>
      <w:bookmarkEnd w:id="89"/>
    </w:p>
    <w:p w14:paraId="5A2997DC" w14:textId="6098533B" w:rsidR="009755F0" w:rsidRPr="00BF7144" w:rsidRDefault="060B5639" w:rsidP="15DFB4B1">
      <w:pPr>
        <w:pStyle w:val="Heading4"/>
        <w:rPr>
          <w:lang w:val="en-US" w:eastAsia="en-US"/>
        </w:rPr>
      </w:pPr>
      <w:bookmarkStart w:id="90" w:name="_Toc248115632"/>
      <w:r w:rsidRPr="15DFB4B1">
        <w:rPr>
          <w:lang w:val="en-US" w:eastAsia="en-US"/>
        </w:rPr>
        <w:t>Concrete Examples</w:t>
      </w:r>
      <w:bookmarkEnd w:id="90"/>
      <w:r w:rsidRPr="15DFB4B1">
        <w:rPr>
          <w:lang w:val="en-US" w:eastAsia="en-US"/>
        </w:rPr>
        <w:t xml:space="preserve"> </w:t>
      </w:r>
    </w:p>
    <w:p w14:paraId="6EDE4D8F" w14:textId="1E707738" w:rsidR="009755F0" w:rsidRPr="00BF7144" w:rsidRDefault="0358541B" w:rsidP="15DFB4B1">
      <w:pPr>
        <w:pStyle w:val="BodyText"/>
        <w:rPr>
          <w:lang w:val="en-US" w:eastAsia="en-US"/>
        </w:rPr>
      </w:pPr>
      <w:r w:rsidRPr="15DFB4B1">
        <w:rPr>
          <w:lang w:val="en-US"/>
        </w:rPr>
        <w:t xml:space="preserve">To ensure future engagement efforts are both effective and equitable, </w:t>
      </w:r>
      <w:r w:rsidR="0089003C">
        <w:rPr>
          <w:lang w:val="en-US"/>
        </w:rPr>
        <w:t xml:space="preserve">this section discusses </w:t>
      </w:r>
      <w:r w:rsidRPr="15DFB4B1">
        <w:rPr>
          <w:lang w:val="en-US"/>
        </w:rPr>
        <w:t xml:space="preserve">several key lessons </w:t>
      </w:r>
      <w:r w:rsidR="0089003C">
        <w:rPr>
          <w:lang w:val="en-US"/>
        </w:rPr>
        <w:t xml:space="preserve">that </w:t>
      </w:r>
      <w:r w:rsidRPr="15DFB4B1">
        <w:rPr>
          <w:lang w:val="en-US"/>
        </w:rPr>
        <w:t>emerged from the project’s community engagement process.</w:t>
      </w:r>
    </w:p>
    <w:p w14:paraId="61526773" w14:textId="3FF2086A" w:rsidR="009755F0" w:rsidRPr="009755F0" w:rsidRDefault="0358541B" w:rsidP="009755F0">
      <w:pPr>
        <w:pStyle w:val="BodyText"/>
        <w:rPr>
          <w:lang w:val="en-US" w:eastAsia="en-US"/>
        </w:rPr>
      </w:pPr>
      <w:r w:rsidRPr="15DFB4B1">
        <w:rPr>
          <w:lang w:val="en-US" w:eastAsia="en-US"/>
        </w:rPr>
        <w:t xml:space="preserve">First, it is essential to recognize and actively mitigate the legacy of extractive or performative engagement, particularly with tribal communities. Many tribes have experienced repeated consultation without meaningful support or follow-through, leading to eroded trust. Building authentic relationships requires listening, transparency, reciprocity, and a commitment to follow-through. Framing engagement in ways that </w:t>
      </w:r>
      <w:r w:rsidR="008E0914">
        <w:rPr>
          <w:lang w:val="en-US" w:eastAsia="en-US"/>
        </w:rPr>
        <w:t>cause</w:t>
      </w:r>
      <w:r w:rsidR="003C368A">
        <w:rPr>
          <w:lang w:val="en-US" w:eastAsia="en-US"/>
        </w:rPr>
        <w:t xml:space="preserve"> </w:t>
      </w:r>
      <w:r w:rsidRPr="15DFB4B1">
        <w:rPr>
          <w:lang w:val="en-US" w:eastAsia="en-US"/>
        </w:rPr>
        <w:t>ambiguity or deflect accountability—such as stating that mitigation of impacts is outside the research team’s purview—can further damage trust and should be avoided.</w:t>
      </w:r>
    </w:p>
    <w:p w14:paraId="31579466" w14:textId="12082748" w:rsidR="009755F0" w:rsidRPr="009755F0" w:rsidRDefault="2FFDF880" w:rsidP="009755F0">
      <w:pPr>
        <w:pStyle w:val="BodyText"/>
        <w:rPr>
          <w:lang w:val="en-US" w:eastAsia="en-US"/>
        </w:rPr>
      </w:pPr>
      <w:r w:rsidRPr="530D6781">
        <w:rPr>
          <w:lang w:val="en-US" w:eastAsia="en-US"/>
        </w:rPr>
        <w:t xml:space="preserve">Time and project expectations must also be reframed to better align with the availability and capacity of community stakeholders. Engagement should be integrated into key technical milestones—such as project initiation, data collection, beta testing, and final review—and should allow for input from a broader range of stakeholders, including </w:t>
      </w:r>
      <w:r w:rsidR="204FD189" w:rsidRPr="530D6781">
        <w:rPr>
          <w:lang w:val="en-US" w:eastAsia="en-US"/>
        </w:rPr>
        <w:t>CCAs and RENs</w:t>
      </w:r>
      <w:r w:rsidR="78015988" w:rsidRPr="530D6781">
        <w:rPr>
          <w:lang w:val="en-US" w:eastAsia="en-US"/>
        </w:rPr>
        <w:t>.</w:t>
      </w:r>
      <w:r w:rsidRPr="530D6781">
        <w:rPr>
          <w:lang w:val="en-US" w:eastAsia="en-US"/>
        </w:rPr>
        <w:t xml:space="preserve"> In several cases, engagement with tribal communities did not progress to the case study level due to insufficient time and resources, underscoring the need for longer-term, flexible partnerships.</w:t>
      </w:r>
    </w:p>
    <w:p w14:paraId="435BDB69" w14:textId="47279CA4" w:rsidR="009755F0" w:rsidRDefault="0358541B" w:rsidP="009755F0">
      <w:pPr>
        <w:pStyle w:val="BodyText"/>
        <w:rPr>
          <w:lang w:val="en-US" w:eastAsia="en-US"/>
        </w:rPr>
      </w:pPr>
      <w:r w:rsidRPr="15DFB4B1">
        <w:rPr>
          <w:lang w:val="en-US" w:eastAsia="en-US"/>
        </w:rPr>
        <w:t xml:space="preserve">Responsiveness to time and monetary constraints is another critical factor. Many communities, despite strong interest, lack the resources to participate fully. Anticipating this challenge and embedding solutions at a programmatic level—such as establishing an intervenor compensation program—can help ensure more equitable </w:t>
      </w:r>
      <w:r w:rsidR="00187F39">
        <w:rPr>
          <w:lang w:val="en-US" w:eastAsia="en-US"/>
        </w:rPr>
        <w:t xml:space="preserve">and active </w:t>
      </w:r>
      <w:r w:rsidRPr="15DFB4B1">
        <w:rPr>
          <w:lang w:val="en-US" w:eastAsia="en-US"/>
        </w:rPr>
        <w:t xml:space="preserve">participation. Additionally, funding cuts have forced some organizations to reprioritize, reducing their capacity to engage. In such cases, </w:t>
      </w:r>
      <w:r w:rsidRPr="15DFB4B1">
        <w:rPr>
          <w:lang w:val="en-US" w:eastAsia="en-US"/>
        </w:rPr>
        <w:lastRenderedPageBreak/>
        <w:t>pivoting to partners with greater capacity may be necessary, but it is important to acknowledge that this shift can affect the representativeness of the research, even when the methodology aims to produce inclusive outcomes.</w:t>
      </w:r>
    </w:p>
    <w:p w14:paraId="343EC7E5" w14:textId="4B7B0BE6" w:rsidR="00BF7144" w:rsidRDefault="5DF51803" w:rsidP="00BF7144">
      <w:pPr>
        <w:pStyle w:val="Heading4"/>
        <w:rPr>
          <w:lang w:val="en-US" w:eastAsia="en-US"/>
        </w:rPr>
      </w:pPr>
      <w:bookmarkStart w:id="91" w:name="_Toc90196927"/>
      <w:r w:rsidRPr="15DFB4B1">
        <w:rPr>
          <w:lang w:val="en-US" w:eastAsia="en-US"/>
        </w:rPr>
        <w:t>Specific Recommendations</w:t>
      </w:r>
      <w:bookmarkEnd w:id="91"/>
    </w:p>
    <w:p w14:paraId="30F32C9B" w14:textId="77777777" w:rsidR="006A37F9" w:rsidRPr="006A37F9" w:rsidRDefault="5CC0758E" w:rsidP="006A37F9">
      <w:pPr>
        <w:pStyle w:val="BodyText"/>
        <w:rPr>
          <w:lang w:val="en-US" w:eastAsia="en-US"/>
        </w:rPr>
      </w:pPr>
      <w:r w:rsidRPr="15DFB4B1">
        <w:rPr>
          <w:lang w:val="en-US" w:eastAsia="en-US"/>
        </w:rPr>
        <w:t>To strengthen the equity and effectiveness of future research and engagement efforts, several specific recommendations emerged from this project.</w:t>
      </w:r>
    </w:p>
    <w:p w14:paraId="7C02FAB7" w14:textId="16164EF5" w:rsidR="006A37F9" w:rsidRPr="006A37F9" w:rsidRDefault="0B0FD924" w:rsidP="006A37F9">
      <w:pPr>
        <w:pStyle w:val="BodyText"/>
        <w:rPr>
          <w:lang w:val="en-US" w:eastAsia="en-US"/>
        </w:rPr>
      </w:pPr>
      <w:r w:rsidRPr="530D6781">
        <w:rPr>
          <w:lang w:val="en-US" w:eastAsia="en-US"/>
        </w:rPr>
        <w:t>First, meaningful engagement must be embedded into the foundation of research design. This includes integrating robust community engagement plans into procurement and solicitation processes, with clear criteria modeled after frameworks like the former U.S. Department of Energy’s Community Benefits Plan</w:t>
      </w:r>
      <w:r w:rsidR="7852CB77" w:rsidRPr="530D6781">
        <w:rPr>
          <w:lang w:val="en-US" w:eastAsia="en-US"/>
        </w:rPr>
        <w:t xml:space="preserve"> framework</w:t>
      </w:r>
      <w:r w:rsidRPr="530D6781">
        <w:rPr>
          <w:lang w:val="en-US" w:eastAsia="en-US"/>
        </w:rPr>
        <w:t>. Engagement should not be treated as an afterthought, but as a core element of project planning.</w:t>
      </w:r>
    </w:p>
    <w:p w14:paraId="19593877" w14:textId="77777777" w:rsidR="006A37F9" w:rsidRPr="006A37F9" w:rsidRDefault="5CC0758E" w:rsidP="006A37F9">
      <w:pPr>
        <w:pStyle w:val="BodyText"/>
        <w:rPr>
          <w:lang w:val="en-US" w:eastAsia="en-US"/>
        </w:rPr>
      </w:pPr>
      <w:r w:rsidRPr="15DFB4B1">
        <w:rPr>
          <w:lang w:val="en-US" w:eastAsia="en-US"/>
        </w:rPr>
        <w:t>Dedicated funding for engagement activities is essential. Without sufficient resources, researchers are often limited to modeling scenarios based solely on available data, missing the opportunity to validate findings through real-world community input. Budgets should explicitly allocate funds for outreach, compensation, and collaboration.</w:t>
      </w:r>
    </w:p>
    <w:p w14:paraId="0ED7FBFC" w14:textId="7D3E5116" w:rsidR="006A37F9" w:rsidRPr="006A37F9" w:rsidRDefault="5CC0758E" w:rsidP="006A37F9">
      <w:pPr>
        <w:pStyle w:val="BodyText"/>
        <w:rPr>
          <w:lang w:val="en-US" w:eastAsia="en-US"/>
        </w:rPr>
      </w:pPr>
      <w:r w:rsidRPr="15DFB4B1">
        <w:rPr>
          <w:lang w:val="en-US" w:eastAsia="en-US"/>
        </w:rPr>
        <w:t>Project timelines should be aligned with community and stakeholder calendars from the outset. Early and iterative coordination with local organizations improves participation and reduces scheduling conflicts. Establishing expectations for collaboration at the beginning of a project allows partners to plan and allocate resources effectively and ensures that engagement is integrated across technical milestones.</w:t>
      </w:r>
    </w:p>
    <w:p w14:paraId="0EEAA25B" w14:textId="77777777" w:rsidR="006A37F9" w:rsidRPr="006A37F9" w:rsidRDefault="5CC0758E" w:rsidP="006A37F9">
      <w:pPr>
        <w:pStyle w:val="BodyText"/>
        <w:rPr>
          <w:lang w:val="en-US" w:eastAsia="en-US"/>
        </w:rPr>
      </w:pPr>
      <w:r w:rsidRPr="15DFB4B1">
        <w:rPr>
          <w:lang w:val="en-US" w:eastAsia="en-US"/>
        </w:rPr>
        <w:t xml:space="preserve">Engagement processes must be designed to be </w:t>
      </w:r>
      <w:proofErr w:type="gramStart"/>
      <w:r w:rsidRPr="15DFB4B1">
        <w:rPr>
          <w:lang w:val="en-US" w:eastAsia="en-US"/>
        </w:rPr>
        <w:t>low-burden</w:t>
      </w:r>
      <w:proofErr w:type="gramEnd"/>
      <w:r w:rsidRPr="15DFB4B1">
        <w:rPr>
          <w:lang w:val="en-US" w:eastAsia="en-US"/>
        </w:rPr>
        <w:t xml:space="preserve"> and accessible. This includes minimizing administrative requirements for compensation, offering adaptable meeting formats, and tailoring communication strategies to reflect local contexts and capacities. Compensation should be meaningful and equitable—micro-grants and stipends should reflect the true value of community contributions. In this project, compensation was drawn from the research team’s core budget; future solicitations should include dedicated funds to support deeper, sustained engagement.</w:t>
      </w:r>
    </w:p>
    <w:p w14:paraId="5A632C30" w14:textId="452E228A" w:rsidR="006A37F9" w:rsidRPr="006A37F9" w:rsidRDefault="5CC0758E" w:rsidP="006A37F9">
      <w:pPr>
        <w:pStyle w:val="BodyText"/>
        <w:rPr>
          <w:lang w:val="en-US" w:eastAsia="en-US"/>
        </w:rPr>
      </w:pPr>
      <w:r w:rsidRPr="15DFB4B1">
        <w:rPr>
          <w:lang w:val="en-US" w:eastAsia="en-US"/>
        </w:rPr>
        <w:t xml:space="preserve">Accessibility and inclusivity should be standard practice. Materials should be available in </w:t>
      </w:r>
      <w:r w:rsidR="00FF1E10">
        <w:rPr>
          <w:lang w:val="en-US" w:eastAsia="en-US"/>
        </w:rPr>
        <w:t>relevant</w:t>
      </w:r>
      <w:r w:rsidR="00FF1E10" w:rsidRPr="15DFB4B1">
        <w:rPr>
          <w:lang w:val="en-US" w:eastAsia="en-US"/>
        </w:rPr>
        <w:t xml:space="preserve"> </w:t>
      </w:r>
      <w:r w:rsidRPr="15DFB4B1">
        <w:rPr>
          <w:lang w:val="en-US" w:eastAsia="en-US"/>
        </w:rPr>
        <w:t>languages, and engagement should accommodate technology limitations and offer non-digital options. These considerations are especially important for communities with limited broadband access or language barriers.</w:t>
      </w:r>
    </w:p>
    <w:p w14:paraId="29A310F2" w14:textId="77777777" w:rsidR="006A37F9" w:rsidRPr="006A37F9" w:rsidRDefault="5CC0758E" w:rsidP="006A37F9">
      <w:pPr>
        <w:pStyle w:val="BodyText"/>
        <w:rPr>
          <w:lang w:val="en-US" w:eastAsia="en-US"/>
        </w:rPr>
      </w:pPr>
      <w:r w:rsidRPr="15DFB4B1">
        <w:rPr>
          <w:lang w:val="en-US" w:eastAsia="en-US"/>
        </w:rPr>
        <w:t>Long-term relationship building is critical, particularly with tribal nations and under-resourced organizations. Trust takes time, and multi-year partnerships with flexible, community-paced timelines are necessary to support authentic collaboration.</w:t>
      </w:r>
    </w:p>
    <w:p w14:paraId="6FCDCFC7" w14:textId="29DCEECC" w:rsidR="006A37F9" w:rsidRPr="006A37F9" w:rsidRDefault="5CC0758E" w:rsidP="006A37F9">
      <w:pPr>
        <w:pStyle w:val="BodyText"/>
        <w:rPr>
          <w:lang w:val="en-US" w:eastAsia="en-US"/>
        </w:rPr>
      </w:pPr>
      <w:r w:rsidRPr="15DFB4B1">
        <w:rPr>
          <w:lang w:val="en-US" w:eastAsia="en-US"/>
        </w:rPr>
        <w:t>Community-led validation and feedback loops should be encouraged. Participatory methods, such as co-development processes, help ensure that tools and findings reflect lived experience and local priorities, not just technical assumptions. This approach was demonstrated in the case study work of this research.</w:t>
      </w:r>
    </w:p>
    <w:p w14:paraId="45A90A84" w14:textId="77777777" w:rsidR="006A37F9" w:rsidRPr="006A37F9" w:rsidRDefault="5CC0758E" w:rsidP="006A37F9">
      <w:pPr>
        <w:pStyle w:val="BodyText"/>
        <w:rPr>
          <w:lang w:val="en-US" w:eastAsia="en-US"/>
        </w:rPr>
      </w:pPr>
      <w:r w:rsidRPr="15DFB4B1">
        <w:rPr>
          <w:lang w:val="en-US" w:eastAsia="en-US"/>
        </w:rPr>
        <w:t>Transparency and shared ownership can be fostered by developing public-facing versions of technical tools. Simplified interfaces, testimonial features, and community partner acknowledgments help build trust and ensure that those who contributed to the research have access to its outcomes.</w:t>
      </w:r>
    </w:p>
    <w:p w14:paraId="0105424C" w14:textId="77777777" w:rsidR="006A37F9" w:rsidRPr="006A37F9" w:rsidRDefault="5CC0758E" w:rsidP="006A37F9">
      <w:pPr>
        <w:pStyle w:val="BodyText"/>
        <w:rPr>
          <w:lang w:val="en-US" w:eastAsia="en-US"/>
        </w:rPr>
      </w:pPr>
      <w:r w:rsidRPr="15DFB4B1">
        <w:rPr>
          <w:lang w:val="en-US" w:eastAsia="en-US"/>
        </w:rPr>
        <w:t>Finally, future efforts should incorporate localized data and context. Enabling researchers to integrate neighborhood-level and community-sourced information into technical tools will help address gaps in statewide datasets and improve the accuracy of local representation. These improvements could be part of the next phase of Tool development, as they were beyond the scope of this project.</w:t>
      </w:r>
    </w:p>
    <w:p w14:paraId="500649B3" w14:textId="41CD1701" w:rsidR="00A14708" w:rsidRDefault="5CC0758E" w:rsidP="006A37F9">
      <w:pPr>
        <w:pStyle w:val="BodyText"/>
        <w:rPr>
          <w:lang w:val="en-US" w:eastAsia="en-US"/>
        </w:rPr>
      </w:pPr>
      <w:r w:rsidRPr="15DFB4B1">
        <w:rPr>
          <w:lang w:val="en-US" w:eastAsia="en-US"/>
        </w:rPr>
        <w:t>Research engagement strategies should also be coordinated with broader policy and planning efforts, such as SB 1221 and long-term gas transition planning. This alignment ensures that community insights inform implementation and that vulnerable communities are prioritized in decision-making.</w:t>
      </w:r>
    </w:p>
    <w:p w14:paraId="46B18F7E" w14:textId="3B22BA4D" w:rsidR="002156EE" w:rsidRPr="002156EE" w:rsidRDefault="060B5639" w:rsidP="15DFB4B1">
      <w:pPr>
        <w:spacing w:before="100" w:beforeAutospacing="1" w:after="100" w:afterAutospacing="1" w:line="280" w:lineRule="atLeast"/>
        <w:rPr>
          <w:rFonts w:asciiTheme="minorHAnsi" w:eastAsia="Times New Roman" w:hAnsiTheme="minorHAnsi" w:cstheme="minorBidi"/>
          <w:lang w:val="en-US" w:eastAsia="en-US"/>
        </w:rPr>
      </w:pPr>
      <w:r w:rsidRPr="15DFB4B1">
        <w:rPr>
          <w:rFonts w:asciiTheme="minorHAnsi" w:eastAsia="Times New Roman" w:hAnsiTheme="minorHAnsi" w:cstheme="minorBidi"/>
          <w:lang w:val="en-US" w:eastAsia="en-US"/>
        </w:rPr>
        <w:t xml:space="preserve">These adjustments are not only practical but essential for ensuring that community engagement is authentic, inclusive, and </w:t>
      </w:r>
      <w:proofErr w:type="gramStart"/>
      <w:r w:rsidRPr="15DFB4B1">
        <w:rPr>
          <w:rFonts w:asciiTheme="minorHAnsi" w:eastAsia="Times New Roman" w:hAnsiTheme="minorHAnsi" w:cstheme="minorBidi"/>
          <w:lang w:val="en-US" w:eastAsia="en-US"/>
        </w:rPr>
        <w:t>impactful—</w:t>
      </w:r>
      <w:proofErr w:type="gramEnd"/>
      <w:r w:rsidRPr="15DFB4B1">
        <w:rPr>
          <w:rFonts w:asciiTheme="minorHAnsi" w:eastAsia="Times New Roman" w:hAnsiTheme="minorHAnsi" w:cstheme="minorBidi"/>
          <w:lang w:val="en-US" w:eastAsia="en-US"/>
        </w:rPr>
        <w:t>especially in the context of complex and technical planning processes like gas decommissioning.</w:t>
      </w:r>
    </w:p>
    <w:p w14:paraId="3D551E7A" w14:textId="1C3ADD15" w:rsidR="000C6508" w:rsidRDefault="000C6508" w:rsidP="000C6508">
      <w:pPr>
        <w:pStyle w:val="Heading2"/>
      </w:pPr>
      <w:bookmarkStart w:id="92" w:name="_Toc214535412"/>
      <w:r>
        <w:lastRenderedPageBreak/>
        <w:t>Logistical Concerns</w:t>
      </w:r>
      <w:bookmarkEnd w:id="92"/>
    </w:p>
    <w:p w14:paraId="663E54C0" w14:textId="77777777" w:rsidR="001661EE" w:rsidRPr="009A0766" w:rsidRDefault="001661EE" w:rsidP="009A0766">
      <w:pPr>
        <w:pStyle w:val="NormalWeb"/>
        <w:spacing w:line="280" w:lineRule="atLeast"/>
        <w:rPr>
          <w:rFonts w:asciiTheme="minorHAnsi" w:hAnsiTheme="minorHAnsi" w:cstheme="minorHAnsi"/>
          <w:sz w:val="18"/>
          <w:szCs w:val="18"/>
          <w:lang w:val="en-US"/>
        </w:rPr>
      </w:pPr>
      <w:r w:rsidRPr="009A0766">
        <w:rPr>
          <w:rFonts w:asciiTheme="minorHAnsi" w:hAnsiTheme="minorHAnsi" w:cstheme="minorHAnsi"/>
          <w:sz w:val="18"/>
          <w:szCs w:val="18"/>
        </w:rPr>
        <w:t>The implementation of a statewide, equity-</w:t>
      </w:r>
      <w:proofErr w:type="spellStart"/>
      <w:r w:rsidRPr="009A0766">
        <w:rPr>
          <w:rFonts w:asciiTheme="minorHAnsi" w:hAnsiTheme="minorHAnsi" w:cstheme="minorHAnsi"/>
          <w:sz w:val="18"/>
          <w:szCs w:val="18"/>
        </w:rPr>
        <w:t>centered</w:t>
      </w:r>
      <w:proofErr w:type="spellEnd"/>
      <w:r w:rsidRPr="009A0766">
        <w:rPr>
          <w:rFonts w:asciiTheme="minorHAnsi" w:hAnsiTheme="minorHAnsi" w:cstheme="minorHAnsi"/>
          <w:sz w:val="18"/>
          <w:szCs w:val="18"/>
        </w:rPr>
        <w:t xml:space="preserve"> research and engagement effort such as the Mindful Gas Decommissioning project presents a range of logistical challenges. These challenges span planning and scheduling, budgeting, staffing and roles, data management and storage, consent and confidentiality, digital infrastructure, and stakeholder outreach and retention. While the project achieved significant outcomes, the following logistical concerns highlight areas where future research efforts can be better supported to ensure inclusive, effective, and scalable engagement.</w:t>
      </w:r>
    </w:p>
    <w:p w14:paraId="00463547" w14:textId="381B5128" w:rsidR="001661EE" w:rsidRDefault="56C4ECA1" w:rsidP="15DFB4B1">
      <w:pPr>
        <w:pStyle w:val="Heading3"/>
        <w:spacing w:line="280" w:lineRule="atLeast"/>
        <w:rPr>
          <w:rStyle w:val="Strong"/>
          <w:rFonts w:asciiTheme="minorHAnsi" w:hAnsiTheme="minorHAnsi" w:cstheme="minorBidi"/>
          <w:b w:val="0"/>
          <w:bCs w:val="0"/>
          <w:sz w:val="22"/>
          <w:szCs w:val="22"/>
        </w:rPr>
      </w:pPr>
      <w:bookmarkStart w:id="93" w:name="_Toc1872520132"/>
      <w:r w:rsidRPr="15DFB4B1">
        <w:rPr>
          <w:rStyle w:val="Strong"/>
          <w:rFonts w:asciiTheme="minorHAnsi" w:hAnsiTheme="minorHAnsi" w:cstheme="minorBidi"/>
          <w:b w:val="0"/>
          <w:bCs w:val="0"/>
          <w:sz w:val="22"/>
          <w:szCs w:val="22"/>
        </w:rPr>
        <w:t>Key Logistical Challenges and Recommendations</w:t>
      </w:r>
      <w:bookmarkEnd w:id="93"/>
    </w:p>
    <w:p w14:paraId="23797F8F" w14:textId="60717D58" w:rsidR="002C4C96" w:rsidRDefault="314384F0" w:rsidP="002C4C96">
      <w:pPr>
        <w:pStyle w:val="BodyText"/>
      </w:pPr>
      <w:r>
        <w:t>The implementation of this project surfaced several logistical challenges that offer important lessons for future statewide engagement and research efforts.</w:t>
      </w:r>
    </w:p>
    <w:p w14:paraId="071F604D" w14:textId="3F8DA908" w:rsidR="002C4C96" w:rsidRDefault="314384F0" w:rsidP="002C4C96">
      <w:pPr>
        <w:pStyle w:val="BodyText"/>
      </w:pPr>
      <w:r>
        <w:t>One of the most pressing issues was the need to provide reasonable accommodations to meet equity goals. Language access, ADA compliance, and cultural considerations were essential for inclusive engagement. However, due to budget limitations, these accommodations were often reactive rather than proactively integrated into the project design. To ensure consistent and meaningful participation, future initiatives should embed equity accommodations into core planning and budgeting processes from the outset.</w:t>
      </w:r>
    </w:p>
    <w:p w14:paraId="59BE2B29" w14:textId="70E9255E" w:rsidR="002C4C96" w:rsidRDefault="314384F0" w:rsidP="002C4C96">
      <w:pPr>
        <w:pStyle w:val="BodyText"/>
      </w:pPr>
      <w:r>
        <w:t>Compensating and retaining community partners also proved challenging. While the team aimed to establish low-barrier and flexible payment mechanisms, organizational constraints limited the ability to respond effectively to partner needs. In some cases, partners were unable to participate due to lack of resources. To avoid placing the financial burden on research teams and to support sustained engagement, future solicitations should include dedicated, earmarked budgets for community compensation.</w:t>
      </w:r>
    </w:p>
    <w:p w14:paraId="6F8A9EC8" w14:textId="6ADB4207" w:rsidR="002C4C96" w:rsidRDefault="5AA3CC83" w:rsidP="002C4C96">
      <w:pPr>
        <w:pStyle w:val="BodyText"/>
      </w:pPr>
      <w:r>
        <w:t xml:space="preserve">Achieving statewide reach and representation was both necessary and ambitious. The geographic and demographic diversity of California demanded significant time and resources to ensure equitable inclusion. Future projects should be scoped with funding and timelines that match the scale </w:t>
      </w:r>
      <w:r w:rsidR="4EA92BA1">
        <w:t xml:space="preserve">and complexity </w:t>
      </w:r>
      <w:r>
        <w:t xml:space="preserve">of the effort to maintain quality outcomes across </w:t>
      </w:r>
      <w:r w:rsidR="40D7491C">
        <w:t>the state</w:t>
      </w:r>
      <w:r>
        <w:t>.</w:t>
      </w:r>
    </w:p>
    <w:p w14:paraId="33FA4529" w14:textId="569FE3F9" w:rsidR="002C4C96" w:rsidRDefault="2CE35CAF" w:rsidP="002C4C96">
      <w:pPr>
        <w:pStyle w:val="BodyText"/>
      </w:pPr>
      <w:r>
        <w:t>As a best practice and i</w:t>
      </w:r>
      <w:r w:rsidR="5AA3CC83">
        <w:t>n response to stakeholder feedback, the team developed a centralized online</w:t>
      </w:r>
      <w:r>
        <w:t xml:space="preserve"> Community</w:t>
      </w:r>
      <w:r w:rsidR="5AA3CC83">
        <w:t xml:space="preserve"> Resource Hub. However, internal cybersecurity protocols created barriers to timely updates and user accessibility. Anticipating digital infrastructure needs early in the project lifecycle—and allocating resources for secure, user-friendly platforms—will be critical for supporting ongoing engagement.</w:t>
      </w:r>
    </w:p>
    <w:p w14:paraId="233BFBF4" w14:textId="3D07B883" w:rsidR="002C4C96" w:rsidRDefault="5AA3CC83" w:rsidP="002C4C96">
      <w:pPr>
        <w:pStyle w:val="BodyText"/>
      </w:pPr>
      <w:r>
        <w:t xml:space="preserve">The TAC was envisioned as a key source of expert input, but its implementation faced challenges. </w:t>
      </w:r>
      <w:r w:rsidR="2A45907A">
        <w:t>S</w:t>
      </w:r>
      <w:r>
        <w:t>cheduling and retaining expert participation proved difficult. Future projects should define clear</w:t>
      </w:r>
      <w:r w:rsidR="334BEB08">
        <w:t xml:space="preserve"> scope,</w:t>
      </w:r>
      <w:r>
        <w:t xml:space="preserve"> roles, expectations, and timelines for advisory bodies, and consider compensating members for their time and expertise.</w:t>
      </w:r>
    </w:p>
    <w:p w14:paraId="4F3D931C" w14:textId="75553140" w:rsidR="002C4C96" w:rsidRDefault="5AA3CC83" w:rsidP="002C4C96">
      <w:pPr>
        <w:pStyle w:val="BodyText"/>
      </w:pPr>
      <w:r>
        <w:t>Access to asset-level data was limited by privacy and confidentiality concerns, which constrained the Tool’s ability to assess site-specific conditions. Future research could explore secur</w:t>
      </w:r>
      <w:r w:rsidR="0D9E3501">
        <w:t>ing</w:t>
      </w:r>
      <w:r>
        <w:t xml:space="preserve"> data-sharing agreements with utilities and agencies to enhance the precision of screening tools.</w:t>
      </w:r>
    </w:p>
    <w:p w14:paraId="0841805A" w14:textId="7F095778" w:rsidR="002C4C96" w:rsidRDefault="5AA3CC83" w:rsidP="002C4C96">
      <w:pPr>
        <w:pStyle w:val="BodyText"/>
      </w:pPr>
      <w:r>
        <w:t xml:space="preserve">Navigating data security and consent protocols—especially when engaging tribal communities—required careful planning and sensitivity. These considerations sometimes limited the depth of data collection. Future projects should include clear protocols for data governance, sovereignty, and community-informed consent processes to ensure </w:t>
      </w:r>
      <w:r w:rsidR="745CCA0E">
        <w:t xml:space="preserve">accountable </w:t>
      </w:r>
      <w:r>
        <w:t>and respectful engagement.</w:t>
      </w:r>
    </w:p>
    <w:p w14:paraId="42BBDA12" w14:textId="3C5BAFDA" w:rsidR="002C4C96" w:rsidRPr="002C4C96" w:rsidRDefault="314384F0" w:rsidP="002C4C96">
      <w:pPr>
        <w:pStyle w:val="BodyText"/>
      </w:pPr>
      <w:r>
        <w:t>Finally, the project encountered unexpected challenges, such as partner withdrawals due to funding cuts and shifting priorities. Building flexibility into project design—through contingency plans and adaptive timelines—can help mitigate risks and maintain momentum when circumstances change.</w:t>
      </w:r>
    </w:p>
    <w:p w14:paraId="08C8E6EA" w14:textId="693FD5CB" w:rsidR="00711102" w:rsidRDefault="00711102" w:rsidP="15DFB4B1">
      <w:pPr>
        <w:pStyle w:val="NormalWeb"/>
        <w:spacing w:beforeAutospacing="1" w:afterAutospacing="1" w:line="280" w:lineRule="atLeast"/>
        <w:rPr>
          <w:rFonts w:asciiTheme="minorHAnsi" w:hAnsiTheme="minorHAnsi" w:cstheme="minorBidi"/>
          <w:sz w:val="18"/>
          <w:szCs w:val="18"/>
        </w:rPr>
      </w:pPr>
      <w:r>
        <w:lastRenderedPageBreak/>
        <w:br/>
      </w:r>
      <w:r>
        <w:br/>
      </w:r>
      <w:r>
        <w:br/>
      </w:r>
      <w:r>
        <w:br/>
      </w:r>
      <w:r>
        <w:br/>
      </w:r>
      <w:r>
        <w:br/>
      </w:r>
      <w:r>
        <w:br/>
      </w:r>
    </w:p>
    <w:p w14:paraId="7A0469F7" w14:textId="4DE7CB06" w:rsidR="00930A4E" w:rsidRDefault="00930A4E" w:rsidP="009A0766">
      <w:pPr>
        <w:pStyle w:val="Bullet1Last"/>
        <w:numPr>
          <w:ilvl w:val="0"/>
          <w:numId w:val="0"/>
        </w:numPr>
      </w:pPr>
    </w:p>
    <w:p w14:paraId="1D6BCBB5" w14:textId="77777777" w:rsidR="0018141E" w:rsidRDefault="0018141E" w:rsidP="0018141E">
      <w:pPr>
        <w:pStyle w:val="BodyText"/>
        <w:ind w:left="720"/>
      </w:pPr>
    </w:p>
    <w:p w14:paraId="7BD09925" w14:textId="3A5E3AAE" w:rsidR="0018141E" w:rsidRDefault="0018141E" w:rsidP="0018141E">
      <w:pPr>
        <w:pStyle w:val="BodyText"/>
        <w:sectPr w:rsidR="0018141E" w:rsidSect="00410F84">
          <w:headerReference w:type="even" r:id="rId38"/>
          <w:headerReference w:type="default" r:id="rId39"/>
          <w:footerReference w:type="default" r:id="rId40"/>
          <w:headerReference w:type="first" r:id="rId41"/>
          <w:pgSz w:w="11907" w:h="16839"/>
          <w:pgMar w:top="1757" w:right="1017" w:bottom="1361" w:left="1191" w:header="774" w:footer="567" w:gutter="0"/>
          <w:pgNumType w:start="1"/>
          <w:cols w:space="708"/>
          <w:docGrid w:linePitch="360"/>
        </w:sectPr>
      </w:pPr>
    </w:p>
    <w:p w14:paraId="7B2E0667" w14:textId="0FBB34A4" w:rsidR="001C6C23" w:rsidRDefault="00EB1BEF" w:rsidP="0D8F1159">
      <w:pPr>
        <w:pStyle w:val="Heading7"/>
      </w:pPr>
      <w:bookmarkStart w:id="94" w:name="_Ref207115346"/>
      <w:bookmarkStart w:id="95" w:name="_Ref207189907"/>
      <w:bookmarkStart w:id="96" w:name="_Ref209164297"/>
      <w:bookmarkStart w:id="97" w:name="_Ref209164302"/>
      <w:bookmarkStart w:id="98" w:name="_Ref209164471"/>
      <w:bookmarkStart w:id="99" w:name="_Toc214535413"/>
      <w:r>
        <w:lastRenderedPageBreak/>
        <w:t>Stakeholder Attendee Lists</w:t>
      </w:r>
      <w:bookmarkEnd w:id="94"/>
      <w:bookmarkEnd w:id="95"/>
      <w:bookmarkEnd w:id="96"/>
      <w:bookmarkEnd w:id="97"/>
      <w:bookmarkEnd w:id="98"/>
      <w:bookmarkEnd w:id="99"/>
    </w:p>
    <w:p w14:paraId="2E1E91B1" w14:textId="54EE33C8" w:rsidR="001C6C23" w:rsidRDefault="00C3797E" w:rsidP="6551E555">
      <w:pPr>
        <w:pStyle w:val="Heading2-Nos"/>
      </w:pPr>
      <w:bookmarkStart w:id="100" w:name="_Toc1426924329"/>
      <w:bookmarkStart w:id="101" w:name="_Toc214535414"/>
      <w:r>
        <w:t xml:space="preserve">Workshop One </w:t>
      </w:r>
      <w:r w:rsidR="00772B4D">
        <w:t>–</w:t>
      </w:r>
      <w:r>
        <w:t xml:space="preserve"> </w:t>
      </w:r>
      <w:r w:rsidR="00772B4D">
        <w:t xml:space="preserve">October </w:t>
      </w:r>
      <w:r w:rsidR="001C6C23">
        <w:t>20, 2023</w:t>
      </w:r>
      <w:bookmarkEnd w:id="100"/>
      <w:bookmarkEnd w:id="101"/>
    </w:p>
    <w:p w14:paraId="1FF13DD8" w14:textId="0D05E9CA" w:rsidR="001C6C23" w:rsidRDefault="001C6C23" w:rsidP="001C6C23">
      <w:pPr>
        <w:pStyle w:val="BodyText"/>
      </w:pPr>
      <w:r>
        <w:t>Attendees included</w:t>
      </w:r>
      <w:r w:rsidR="00E5425E">
        <w:t xml:space="preserve"> indiv</w:t>
      </w:r>
      <w:r w:rsidR="00852117">
        <w:t>id</w:t>
      </w:r>
      <w:r w:rsidR="00E5425E">
        <w:t>uals from the following</w:t>
      </w:r>
      <w:r>
        <w:t>:</w:t>
      </w:r>
    </w:p>
    <w:p w14:paraId="04DE394D" w14:textId="4528D068" w:rsidR="001C6C23" w:rsidRDefault="001C6C23" w:rsidP="00890E60">
      <w:pPr>
        <w:pStyle w:val="Bullet1"/>
      </w:pPr>
      <w:r>
        <w:t>California Institute for Sustainable Communities at UCLA</w:t>
      </w:r>
    </w:p>
    <w:p w14:paraId="5C48EA6E" w14:textId="49CFF80D" w:rsidR="001C6C23" w:rsidRDefault="001C6C23" w:rsidP="00890E60">
      <w:pPr>
        <w:pStyle w:val="Bullet1"/>
      </w:pPr>
      <w:r>
        <w:t>Climate First: Replacing Oil &amp; Gas</w:t>
      </w:r>
    </w:p>
    <w:p w14:paraId="74566549" w14:textId="4A6BF57F" w:rsidR="001C6C23" w:rsidRDefault="001C6C23" w:rsidP="00890E60">
      <w:pPr>
        <w:pStyle w:val="Bullet1"/>
      </w:pPr>
      <w:r>
        <w:t>Food &amp; Water Watch</w:t>
      </w:r>
    </w:p>
    <w:p w14:paraId="31788DDE" w14:textId="2AB5DCC2" w:rsidR="001C6C23" w:rsidRDefault="001C6C23" w:rsidP="00890E60">
      <w:pPr>
        <w:pStyle w:val="Bullet1"/>
      </w:pPr>
      <w:r w:rsidRPr="184CD720">
        <w:rPr>
          <w:lang w:val="en-US"/>
        </w:rPr>
        <w:t>City of Fresno</w:t>
      </w:r>
    </w:p>
    <w:p w14:paraId="78E74A4C" w14:textId="1DE2CD3B" w:rsidR="001C6C23" w:rsidRDefault="001C6C23" w:rsidP="00890E60">
      <w:pPr>
        <w:pStyle w:val="Bullet1"/>
      </w:pPr>
      <w:r>
        <w:t>BHHS Drysdale Properties</w:t>
      </w:r>
    </w:p>
    <w:p w14:paraId="5C1A3ED8" w14:textId="20E8003D" w:rsidR="001C6C23" w:rsidRDefault="001C6C23" w:rsidP="00890E60">
      <w:pPr>
        <w:pStyle w:val="Bullet1"/>
      </w:pPr>
      <w:r>
        <w:t>Cool Davis</w:t>
      </w:r>
    </w:p>
    <w:p w14:paraId="240E2058" w14:textId="2CD1E14C" w:rsidR="001C6C23" w:rsidRDefault="001C6C23" w:rsidP="00890E60">
      <w:pPr>
        <w:pStyle w:val="Bullet1"/>
      </w:pPr>
      <w:r>
        <w:t>Balance2thrive</w:t>
      </w:r>
    </w:p>
    <w:p w14:paraId="69083169" w14:textId="0DAD4D4A" w:rsidR="001C6C23" w:rsidRDefault="001C6C23" w:rsidP="00890E60">
      <w:pPr>
        <w:pStyle w:val="Bullet1"/>
      </w:pPr>
      <w:r>
        <w:t>Working Partnership USA</w:t>
      </w:r>
    </w:p>
    <w:p w14:paraId="7A5C74AA" w14:textId="4C7AD5DE" w:rsidR="001C6C23" w:rsidRDefault="001C6C23" w:rsidP="00890E60">
      <w:pPr>
        <w:pStyle w:val="Bullet1"/>
      </w:pPr>
      <w:r>
        <w:t>Local Clean Energy Alliance</w:t>
      </w:r>
    </w:p>
    <w:p w14:paraId="5763BA1D" w14:textId="2A440B0F" w:rsidR="001C6C23" w:rsidRDefault="001C6C23" w:rsidP="00890E60">
      <w:pPr>
        <w:pStyle w:val="Bullet1"/>
      </w:pPr>
      <w:r w:rsidRPr="184CD720">
        <w:rPr>
          <w:lang w:val="en-US"/>
        </w:rPr>
        <w:t>Let’s Green CA! Romero Institute</w:t>
      </w:r>
    </w:p>
    <w:p w14:paraId="27E7E14C" w14:textId="0F691572" w:rsidR="001C6C23" w:rsidRDefault="001C6C23" w:rsidP="00890E60">
      <w:pPr>
        <w:pStyle w:val="Bullet1"/>
      </w:pPr>
      <w:r>
        <w:t>Sierra Club</w:t>
      </w:r>
    </w:p>
    <w:p w14:paraId="05BAF6A2" w14:textId="4D686578" w:rsidR="001C6C23" w:rsidRDefault="001C6C23" w:rsidP="00890E60">
      <w:pPr>
        <w:pStyle w:val="Bullet1"/>
      </w:pPr>
      <w:r>
        <w:t>California Energy Commission</w:t>
      </w:r>
    </w:p>
    <w:p w14:paraId="7094460B" w14:textId="39098922" w:rsidR="001C6C23" w:rsidRDefault="001C6C23" w:rsidP="00890E60">
      <w:pPr>
        <w:pStyle w:val="Bullet1"/>
      </w:pPr>
      <w:r>
        <w:t>The Energy Coalition</w:t>
      </w:r>
    </w:p>
    <w:p w14:paraId="034FFFBF" w14:textId="3DDE9D57" w:rsidR="001C6C23" w:rsidRDefault="001C6C23" w:rsidP="00890E60">
      <w:pPr>
        <w:pStyle w:val="Bullet1"/>
      </w:pPr>
      <w:r>
        <w:t>Ballona Wetlands Institute</w:t>
      </w:r>
    </w:p>
    <w:p w14:paraId="2F12FDA8" w14:textId="51E761F8" w:rsidR="001C6C23" w:rsidRDefault="001C6C23" w:rsidP="00890E60">
      <w:pPr>
        <w:pStyle w:val="Bullet1"/>
      </w:pPr>
      <w:r>
        <w:t>Westside Clean Air Coalition</w:t>
      </w:r>
    </w:p>
    <w:p w14:paraId="0699E383" w14:textId="5C9BDB11" w:rsidR="001C6C23" w:rsidRDefault="001C6C23" w:rsidP="00890E60">
      <w:pPr>
        <w:pStyle w:val="Bullet1"/>
      </w:pPr>
      <w:r>
        <w:t>PSR SF Bay</w:t>
      </w:r>
    </w:p>
    <w:p w14:paraId="58B9DC06" w14:textId="6230019A" w:rsidR="001C6C23" w:rsidRDefault="001C6C23" w:rsidP="00890E60">
      <w:pPr>
        <w:pStyle w:val="Bullet1"/>
      </w:pPr>
      <w:r>
        <w:t>East Side Union High School District</w:t>
      </w:r>
    </w:p>
    <w:p w14:paraId="6D3ABE4C" w14:textId="66BA5665" w:rsidR="001C6C23" w:rsidRDefault="001C6C23" w:rsidP="00890E60">
      <w:pPr>
        <w:pStyle w:val="Bullet1"/>
      </w:pPr>
      <w:r>
        <w:t>DNV</w:t>
      </w:r>
    </w:p>
    <w:p w14:paraId="01A36DF0" w14:textId="13176942" w:rsidR="001C6C23" w:rsidRDefault="001C6C23" w:rsidP="00890E60">
      <w:pPr>
        <w:pStyle w:val="Bullet1"/>
      </w:pPr>
      <w:r>
        <w:t>R</w:t>
      </w:r>
      <w:r w:rsidR="00E5425E">
        <w:t xml:space="preserve">ocky </w:t>
      </w:r>
      <w:r>
        <w:t>M</w:t>
      </w:r>
      <w:r w:rsidR="00E5425E">
        <w:t xml:space="preserve">ountain </w:t>
      </w:r>
      <w:r>
        <w:t>I</w:t>
      </w:r>
      <w:r w:rsidR="00E5425E">
        <w:t>nstitute</w:t>
      </w:r>
    </w:p>
    <w:p w14:paraId="116AE723" w14:textId="042DC3F3" w:rsidR="001C6C23" w:rsidRDefault="001C6C23" w:rsidP="00890E60">
      <w:pPr>
        <w:pStyle w:val="Bullet1"/>
      </w:pPr>
      <w:r>
        <w:t>PSE Health Energy</w:t>
      </w:r>
    </w:p>
    <w:p w14:paraId="7FDC9FBF" w14:textId="06B1C917" w:rsidR="001C6C23" w:rsidRDefault="001C6C23" w:rsidP="00890E60">
      <w:pPr>
        <w:pStyle w:val="Bullet1"/>
      </w:pPr>
      <w:r>
        <w:t>Energy Graduate Group</w:t>
      </w:r>
    </w:p>
    <w:p w14:paraId="4AA34515" w14:textId="7C49D6B0" w:rsidR="00710D2E" w:rsidRDefault="00C3797E" w:rsidP="001C6C23">
      <w:pPr>
        <w:pStyle w:val="BodyText"/>
      </w:pPr>
      <w:r>
        <w:t xml:space="preserve"> </w:t>
      </w:r>
    </w:p>
    <w:p w14:paraId="30CBBE08" w14:textId="5FC91F05" w:rsidR="00EB1BEF" w:rsidRDefault="009F52E3" w:rsidP="009F52E3">
      <w:pPr>
        <w:pStyle w:val="Heading2-Nos"/>
      </w:pPr>
      <w:bookmarkStart w:id="102" w:name="_Toc214535415"/>
      <w:r w:rsidRPr="009F52E3">
        <w:t xml:space="preserve">Workshop </w:t>
      </w:r>
      <w:r w:rsidR="00C3797E">
        <w:t>Two</w:t>
      </w:r>
      <w:r w:rsidR="008A7BC6">
        <w:t xml:space="preserve"> </w:t>
      </w:r>
      <w:r w:rsidR="00710D2E">
        <w:t>–</w:t>
      </w:r>
      <w:r w:rsidR="008A7BC6">
        <w:t xml:space="preserve"> October</w:t>
      </w:r>
      <w:r w:rsidR="00710D2E">
        <w:t xml:space="preserve"> 2, 2024</w:t>
      </w:r>
      <w:bookmarkEnd w:id="102"/>
    </w:p>
    <w:p w14:paraId="2C8DB8C6" w14:textId="77777777" w:rsidR="009950AA" w:rsidRPr="00093400" w:rsidRDefault="009950AA" w:rsidP="009950AA">
      <w:pPr>
        <w:pStyle w:val="BodyText"/>
        <w:rPr>
          <w:lang w:val="en-US"/>
        </w:rPr>
      </w:pPr>
      <w:r w:rsidRPr="00093400">
        <w:rPr>
          <w:lang w:val="en-US"/>
        </w:rPr>
        <w:t>Participants joined the event representing the following regions and organizations: </w:t>
      </w:r>
    </w:p>
    <w:p w14:paraId="53F644E4" w14:textId="77777777" w:rsidR="009950AA" w:rsidRPr="00093400" w:rsidRDefault="009950AA" w:rsidP="00247FD1">
      <w:pPr>
        <w:pStyle w:val="Bullet1"/>
        <w:spacing w:before="20" w:after="20"/>
      </w:pPr>
      <w:r w:rsidRPr="00093400">
        <w:t>350ContraCostaAction (Contra Costa County) </w:t>
      </w:r>
    </w:p>
    <w:p w14:paraId="29BDCB2D" w14:textId="77777777" w:rsidR="009950AA" w:rsidRPr="00093400" w:rsidRDefault="009950AA" w:rsidP="00247FD1">
      <w:pPr>
        <w:pStyle w:val="Bullet1"/>
        <w:spacing w:before="20" w:after="20"/>
      </w:pPr>
      <w:r w:rsidRPr="00093400">
        <w:t>359 CONTRA COSTA (Contra Costa County) </w:t>
      </w:r>
    </w:p>
    <w:p w14:paraId="712849D9" w14:textId="77777777" w:rsidR="009950AA" w:rsidRPr="00093400" w:rsidRDefault="009950AA" w:rsidP="00247FD1">
      <w:pPr>
        <w:pStyle w:val="Bullet1"/>
        <w:spacing w:before="20" w:after="20"/>
      </w:pPr>
      <w:r w:rsidRPr="00093400">
        <w:t xml:space="preserve">Alviso </w:t>
      </w:r>
      <w:proofErr w:type="spellStart"/>
      <w:r w:rsidRPr="00093400">
        <w:t>Neighborhood</w:t>
      </w:r>
      <w:proofErr w:type="spellEnd"/>
      <w:r w:rsidRPr="00093400">
        <w:t xml:space="preserve"> Group (Alviso, Santa Clara County) </w:t>
      </w:r>
    </w:p>
    <w:p w14:paraId="31A5F521" w14:textId="77777777" w:rsidR="009950AA" w:rsidRPr="00093400" w:rsidRDefault="009950AA" w:rsidP="00247FD1">
      <w:pPr>
        <w:pStyle w:val="Bullet1"/>
        <w:spacing w:before="20" w:after="20"/>
      </w:pPr>
      <w:r w:rsidRPr="00093400">
        <w:t>Blue Lake Rancheria Tribe (Humboldt County) </w:t>
      </w:r>
    </w:p>
    <w:p w14:paraId="46B9D106" w14:textId="77777777" w:rsidR="009950AA" w:rsidRPr="00093400" w:rsidRDefault="009950AA" w:rsidP="00247FD1">
      <w:pPr>
        <w:pStyle w:val="Bullet1"/>
        <w:spacing w:before="20" w:after="20"/>
      </w:pPr>
      <w:r w:rsidRPr="00093400">
        <w:t>CBE- Communities for a Better Environment (Richmond) </w:t>
      </w:r>
    </w:p>
    <w:p w14:paraId="6194AB72" w14:textId="77777777" w:rsidR="009950AA" w:rsidRPr="00093400" w:rsidRDefault="009950AA" w:rsidP="00247FD1">
      <w:pPr>
        <w:pStyle w:val="Bullet1"/>
        <w:spacing w:before="20" w:after="20"/>
      </w:pPr>
      <w:r w:rsidRPr="00093400">
        <w:t>CFROG - Climate First: Replacing Oil &amp; Gas (Oxnard, Ventura County) </w:t>
      </w:r>
    </w:p>
    <w:p w14:paraId="1F820D35" w14:textId="77777777" w:rsidR="009950AA" w:rsidRPr="00093400" w:rsidRDefault="009950AA" w:rsidP="00247FD1">
      <w:pPr>
        <w:pStyle w:val="Bullet1"/>
        <w:spacing w:before="20" w:after="20"/>
      </w:pPr>
      <w:proofErr w:type="spellStart"/>
      <w:r w:rsidRPr="184CD720">
        <w:rPr>
          <w:lang w:val="en-US"/>
        </w:rPr>
        <w:t>CalNRG</w:t>
      </w:r>
      <w:proofErr w:type="spellEnd"/>
      <w:r w:rsidRPr="184CD720">
        <w:rPr>
          <w:lang w:val="en-US"/>
        </w:rPr>
        <w:t xml:space="preserve"> (Ventura County) </w:t>
      </w:r>
    </w:p>
    <w:p w14:paraId="5B416718" w14:textId="77777777" w:rsidR="009950AA" w:rsidRPr="00093400" w:rsidRDefault="009950AA" w:rsidP="00247FD1">
      <w:pPr>
        <w:pStyle w:val="Bullet1"/>
        <w:spacing w:before="20" w:after="20"/>
      </w:pPr>
      <w:proofErr w:type="spellStart"/>
      <w:r w:rsidRPr="00093400">
        <w:t>Center</w:t>
      </w:r>
      <w:proofErr w:type="spellEnd"/>
      <w:r w:rsidRPr="00093400">
        <w:t xml:space="preserve"> for Business and Policy Research (Stockton, San Joaquin County) </w:t>
      </w:r>
    </w:p>
    <w:p w14:paraId="771CF070" w14:textId="77777777" w:rsidR="009950AA" w:rsidRPr="00093400" w:rsidRDefault="009950AA" w:rsidP="00247FD1">
      <w:pPr>
        <w:pStyle w:val="Bullet1"/>
        <w:spacing w:before="20" w:after="20"/>
      </w:pPr>
      <w:r w:rsidRPr="00093400">
        <w:t>Central California Asthma Collaborative (Fresno, Central Valley) </w:t>
      </w:r>
    </w:p>
    <w:p w14:paraId="2C40E808" w14:textId="77777777" w:rsidR="009950AA" w:rsidRPr="00093400" w:rsidRDefault="009950AA" w:rsidP="00247FD1">
      <w:pPr>
        <w:pStyle w:val="Bullet1"/>
        <w:spacing w:before="20" w:after="20"/>
      </w:pPr>
      <w:r w:rsidRPr="00093400">
        <w:t>Climate Resilient Communities (San Mateo County) </w:t>
      </w:r>
    </w:p>
    <w:p w14:paraId="511251BF" w14:textId="77777777" w:rsidR="009950AA" w:rsidRPr="00093400" w:rsidRDefault="009950AA" w:rsidP="00247FD1">
      <w:pPr>
        <w:pStyle w:val="Bullet1"/>
        <w:spacing w:before="20" w:after="20"/>
      </w:pPr>
      <w:r w:rsidRPr="00093400">
        <w:t>Community Environmental Council (Santa Barbara County) </w:t>
      </w:r>
    </w:p>
    <w:p w14:paraId="46D6FA3B" w14:textId="77777777" w:rsidR="009950AA" w:rsidRPr="00093400" w:rsidRDefault="009950AA" w:rsidP="00247FD1">
      <w:pPr>
        <w:pStyle w:val="Bullet1"/>
        <w:spacing w:before="20" w:after="20"/>
      </w:pPr>
      <w:r w:rsidRPr="00093400">
        <w:t>Cool Davis (Davis, Yolo County) </w:t>
      </w:r>
    </w:p>
    <w:p w14:paraId="404A8E36" w14:textId="77777777" w:rsidR="009950AA" w:rsidRPr="00093400" w:rsidRDefault="009950AA" w:rsidP="00247FD1">
      <w:pPr>
        <w:pStyle w:val="Bullet1"/>
        <w:spacing w:before="20" w:after="20"/>
      </w:pPr>
      <w:r w:rsidRPr="00093400">
        <w:t>County of Ventura (Ventura County) </w:t>
      </w:r>
    </w:p>
    <w:p w14:paraId="073E9339" w14:textId="77777777" w:rsidR="009950AA" w:rsidRPr="00093400" w:rsidRDefault="009950AA" w:rsidP="00247FD1">
      <w:pPr>
        <w:pStyle w:val="Bullet1"/>
        <w:spacing w:before="20" w:after="20"/>
      </w:pPr>
      <w:r w:rsidRPr="00093400">
        <w:t>EVA Academy (Santa Paula, Ventura County) </w:t>
      </w:r>
    </w:p>
    <w:p w14:paraId="06A2B0E0" w14:textId="77777777" w:rsidR="009950AA" w:rsidRPr="00093400" w:rsidRDefault="009950AA" w:rsidP="00247FD1">
      <w:pPr>
        <w:pStyle w:val="Bullet1"/>
        <w:spacing w:before="20" w:after="20"/>
      </w:pPr>
      <w:r w:rsidRPr="00093400">
        <w:lastRenderedPageBreak/>
        <w:t>Justice for All Ventura (Ventura, Ventura County) </w:t>
      </w:r>
    </w:p>
    <w:p w14:paraId="2A683993" w14:textId="77777777" w:rsidR="009950AA" w:rsidRPr="00093400" w:rsidRDefault="009950AA" w:rsidP="00247FD1">
      <w:pPr>
        <w:pStyle w:val="Bullet1"/>
        <w:spacing w:before="20" w:after="20"/>
      </w:pPr>
      <w:r w:rsidRPr="00093400">
        <w:t>Menlo Spark (Menlo Park, San Mateo County) </w:t>
      </w:r>
    </w:p>
    <w:p w14:paraId="7B7578B7" w14:textId="77777777" w:rsidR="009950AA" w:rsidRPr="00093400" w:rsidRDefault="009950AA" w:rsidP="00247FD1">
      <w:pPr>
        <w:pStyle w:val="Bullet1"/>
        <w:spacing w:before="20" w:after="20"/>
      </w:pPr>
      <w:r w:rsidRPr="00093400">
        <w:t>PSE Healthy Energy (Oakland, Alameda County) </w:t>
      </w:r>
    </w:p>
    <w:p w14:paraId="64A50D26" w14:textId="77777777" w:rsidR="009950AA" w:rsidRPr="00093400" w:rsidRDefault="009950AA" w:rsidP="00247FD1">
      <w:pPr>
        <w:pStyle w:val="Bullet1"/>
        <w:spacing w:before="20" w:after="20"/>
      </w:pPr>
      <w:r w:rsidRPr="00093400">
        <w:t>RCB Consulting (Richmond, Contra Costa County) </w:t>
      </w:r>
    </w:p>
    <w:p w14:paraId="2AF650A2" w14:textId="77777777" w:rsidR="009950AA" w:rsidRPr="00093400" w:rsidRDefault="009950AA" w:rsidP="00247FD1">
      <w:pPr>
        <w:pStyle w:val="Bullet1"/>
        <w:spacing w:before="20" w:after="20"/>
      </w:pPr>
      <w:r w:rsidRPr="00093400">
        <w:t>RMI (Oakland, Alameda County) </w:t>
      </w:r>
    </w:p>
    <w:p w14:paraId="46802AEC" w14:textId="77777777" w:rsidR="009950AA" w:rsidRPr="00093400" w:rsidRDefault="009950AA" w:rsidP="00247FD1">
      <w:pPr>
        <w:pStyle w:val="Bullet1"/>
        <w:spacing w:before="20" w:after="20"/>
      </w:pPr>
      <w:r w:rsidRPr="00093400">
        <w:t xml:space="preserve">Renaissance Entrepreneurship </w:t>
      </w:r>
      <w:proofErr w:type="spellStart"/>
      <w:r w:rsidRPr="00093400">
        <w:t>Center</w:t>
      </w:r>
      <w:proofErr w:type="spellEnd"/>
      <w:r w:rsidRPr="00093400">
        <w:t xml:space="preserve"> (San Francisco, San Franciso County)</w:t>
      </w:r>
      <w:r>
        <w:t xml:space="preserve"> </w:t>
      </w:r>
    </w:p>
    <w:p w14:paraId="3DFB71EE" w14:textId="77777777" w:rsidR="009950AA" w:rsidRPr="00093400" w:rsidRDefault="009950AA" w:rsidP="00247FD1">
      <w:pPr>
        <w:pStyle w:val="Bullet1"/>
        <w:spacing w:before="20" w:after="20"/>
      </w:pPr>
      <w:r w:rsidRPr="00093400">
        <w:t>Rise South City (South San Francisco, San Mateo County) </w:t>
      </w:r>
    </w:p>
    <w:p w14:paraId="724E9B43" w14:textId="77777777" w:rsidR="009950AA" w:rsidRPr="00093400" w:rsidRDefault="009950AA" w:rsidP="00247FD1">
      <w:pPr>
        <w:pStyle w:val="Bullet1"/>
        <w:spacing w:before="20" w:after="20"/>
      </w:pPr>
      <w:r w:rsidRPr="00093400">
        <w:t xml:space="preserve">Rising Sun </w:t>
      </w:r>
      <w:proofErr w:type="spellStart"/>
      <w:r w:rsidRPr="00093400">
        <w:t>Center</w:t>
      </w:r>
      <w:proofErr w:type="spellEnd"/>
      <w:r w:rsidRPr="00093400">
        <w:t xml:space="preserve"> for Opportunity (Stockton, San Joaquin County) </w:t>
      </w:r>
    </w:p>
    <w:p w14:paraId="4CA75772" w14:textId="77777777" w:rsidR="009950AA" w:rsidRPr="00093400" w:rsidRDefault="009950AA" w:rsidP="00247FD1">
      <w:pPr>
        <w:pStyle w:val="Bullet1"/>
        <w:spacing w:before="20" w:after="20"/>
      </w:pPr>
      <w:r w:rsidRPr="00093400">
        <w:t>Santa Barbara Clean Energy (Santa Barbara, Santa Barbara County) </w:t>
      </w:r>
    </w:p>
    <w:p w14:paraId="4AD27EDD" w14:textId="77777777" w:rsidR="009950AA" w:rsidRPr="00093400" w:rsidRDefault="009950AA" w:rsidP="00247FD1">
      <w:pPr>
        <w:pStyle w:val="Bullet1"/>
        <w:spacing w:before="20" w:after="20"/>
      </w:pPr>
      <w:r w:rsidRPr="00093400">
        <w:t>Self-Help Enterprises (Visalia, Tulare County) </w:t>
      </w:r>
    </w:p>
    <w:p w14:paraId="0859C4F2" w14:textId="77777777" w:rsidR="009950AA" w:rsidRPr="00093400" w:rsidRDefault="009950AA" w:rsidP="00890E60">
      <w:pPr>
        <w:pStyle w:val="Bullet1"/>
      </w:pPr>
      <w:r w:rsidRPr="00093400">
        <w:t>The Energy Coalition (Irvine, Orange County) </w:t>
      </w:r>
    </w:p>
    <w:p w14:paraId="52F952C2" w14:textId="15A84574" w:rsidR="008512BD" w:rsidRDefault="008512BD" w:rsidP="008512BD">
      <w:pPr>
        <w:pStyle w:val="Heading2-Nos"/>
      </w:pPr>
      <w:bookmarkStart w:id="103" w:name="_Toc214535416"/>
      <w:r>
        <w:t>Public Webinar – October 8, 2025</w:t>
      </w:r>
      <w:bookmarkEnd w:id="103"/>
    </w:p>
    <w:p w14:paraId="41E8C0A8" w14:textId="207C74E3" w:rsidR="008512BD" w:rsidRPr="00093400" w:rsidRDefault="008512BD" w:rsidP="008512BD">
      <w:pPr>
        <w:pStyle w:val="BodyText"/>
        <w:rPr>
          <w:lang w:val="en-US"/>
        </w:rPr>
      </w:pPr>
      <w:r w:rsidRPr="00093400">
        <w:rPr>
          <w:lang w:val="en-US"/>
        </w:rPr>
        <w:t>Participants joined the event representing the following organizations: </w:t>
      </w:r>
    </w:p>
    <w:p w14:paraId="33E1CAF4" w14:textId="3F9A0619" w:rsidR="00F7418B" w:rsidRDefault="00F7418B" w:rsidP="00247FD1">
      <w:pPr>
        <w:pStyle w:val="Bullet1"/>
        <w:spacing w:before="20" w:after="20"/>
      </w:pPr>
      <w:r w:rsidRPr="00F7418B">
        <w:t>Blue Lake Rancheria Tribe</w:t>
      </w:r>
    </w:p>
    <w:p w14:paraId="20E51BE3" w14:textId="2822C97B" w:rsidR="00E562BC" w:rsidRPr="00E562BC" w:rsidRDefault="00E562BC" w:rsidP="00247FD1">
      <w:pPr>
        <w:pStyle w:val="Bullet1"/>
        <w:spacing w:before="20" w:after="20"/>
      </w:pPr>
      <w:r w:rsidRPr="00E562BC">
        <w:t>Building Decarbonization Coalition</w:t>
      </w:r>
    </w:p>
    <w:p w14:paraId="53A98583" w14:textId="030639D4" w:rsidR="007D3D2E" w:rsidRPr="00985055" w:rsidRDefault="007D3D2E" w:rsidP="00247FD1">
      <w:pPr>
        <w:pStyle w:val="Bullet1"/>
        <w:spacing w:before="20" w:after="20"/>
        <w:rPr>
          <w:color w:val="0F204B"/>
          <w:sz w:val="26"/>
        </w:rPr>
      </w:pPr>
      <w:r w:rsidRPr="007D3D2E">
        <w:t>California Institute for Sustainable Communities at UCLA</w:t>
      </w:r>
    </w:p>
    <w:p w14:paraId="44F6AA18" w14:textId="6AAA3EF8" w:rsidR="00985055" w:rsidRPr="007D3D2E" w:rsidRDefault="00985055" w:rsidP="00247FD1">
      <w:pPr>
        <w:pStyle w:val="Bullet1"/>
        <w:spacing w:before="20" w:after="20"/>
        <w:rPr>
          <w:color w:val="0F204B"/>
          <w:sz w:val="26"/>
        </w:rPr>
      </w:pPr>
      <w:r>
        <w:t>California Public Utilities Commission</w:t>
      </w:r>
    </w:p>
    <w:p w14:paraId="63213515" w14:textId="00B57879" w:rsidR="00B30EA8" w:rsidRPr="00B30EA8" w:rsidRDefault="00985055" w:rsidP="00247FD1">
      <w:pPr>
        <w:pStyle w:val="Bullet1"/>
        <w:spacing w:before="20" w:after="20"/>
        <w:rPr>
          <w:color w:val="0F204B"/>
          <w:sz w:val="26"/>
        </w:rPr>
      </w:pPr>
      <w:r>
        <w:t>California Energy Commission</w:t>
      </w:r>
    </w:p>
    <w:p w14:paraId="5E518E3E" w14:textId="75BB0976" w:rsidR="00410072" w:rsidRPr="00860BEF" w:rsidRDefault="00B30EA8" w:rsidP="00247FD1">
      <w:pPr>
        <w:pStyle w:val="Bullet1"/>
        <w:spacing w:before="20" w:after="20"/>
        <w:rPr>
          <w:color w:val="0F204B"/>
          <w:sz w:val="26"/>
        </w:rPr>
      </w:pPr>
      <w:r>
        <w:t xml:space="preserve">City of Albany, </w:t>
      </w:r>
      <w:r w:rsidR="00985055">
        <w:t>California</w:t>
      </w:r>
      <w:r w:rsidR="00BE2A7B">
        <w:t xml:space="preserve"> </w:t>
      </w:r>
    </w:p>
    <w:p w14:paraId="471D527D" w14:textId="4305A9D0" w:rsidR="00860BEF" w:rsidRPr="00AA744D" w:rsidRDefault="00860BEF" w:rsidP="00247FD1">
      <w:pPr>
        <w:pStyle w:val="Bullet1"/>
        <w:spacing w:before="20" w:after="20"/>
      </w:pPr>
      <w:r w:rsidRPr="00860BEF">
        <w:t>Construction Trades Workforce Initiative</w:t>
      </w:r>
    </w:p>
    <w:p w14:paraId="4C84C9D3" w14:textId="2A789D05" w:rsidR="00AA744D" w:rsidRPr="00BE2A7B" w:rsidRDefault="00AA744D" w:rsidP="00247FD1">
      <w:pPr>
        <w:pStyle w:val="Bullet1"/>
        <w:spacing w:before="20" w:after="20"/>
        <w:rPr>
          <w:color w:val="0F204B"/>
          <w:sz w:val="26"/>
        </w:rPr>
      </w:pPr>
      <w:r>
        <w:t>E3</w:t>
      </w:r>
    </w:p>
    <w:p w14:paraId="06976949" w14:textId="52CDF6E8" w:rsidR="00BE2A7B" w:rsidRPr="00C64B07" w:rsidRDefault="00BE2A7B" w:rsidP="00247FD1">
      <w:pPr>
        <w:pStyle w:val="Bullet1"/>
        <w:spacing w:before="20" w:after="20"/>
        <w:rPr>
          <w:color w:val="0F204B"/>
          <w:sz w:val="26"/>
        </w:rPr>
      </w:pPr>
      <w:r>
        <w:t>Little Manila Rising</w:t>
      </w:r>
    </w:p>
    <w:p w14:paraId="0573BA2D" w14:textId="38F94A56" w:rsidR="00C64B07" w:rsidRPr="00E75029" w:rsidRDefault="00C64B07" w:rsidP="00247FD1">
      <w:pPr>
        <w:pStyle w:val="Bullet1"/>
        <w:spacing w:before="20" w:after="20"/>
        <w:rPr>
          <w:color w:val="0F204B"/>
          <w:sz w:val="26"/>
        </w:rPr>
      </w:pPr>
      <w:r>
        <w:t>PG&amp;E</w:t>
      </w:r>
    </w:p>
    <w:p w14:paraId="01D4D1F8" w14:textId="73CAEF2C" w:rsidR="00E75029" w:rsidRPr="00D40FB6" w:rsidRDefault="00E75029" w:rsidP="00247FD1">
      <w:pPr>
        <w:pStyle w:val="Bullet1"/>
        <w:spacing w:before="20" w:after="20"/>
        <w:rPr>
          <w:color w:val="0F204B"/>
          <w:sz w:val="26"/>
        </w:rPr>
      </w:pPr>
      <w:r>
        <w:t>San Mateo County</w:t>
      </w:r>
      <w:r w:rsidR="00B30EA8">
        <w:t>, California</w:t>
      </w:r>
    </w:p>
    <w:p w14:paraId="29CE91A0" w14:textId="3B75F37C" w:rsidR="00D40FB6" w:rsidRPr="00860BEF" w:rsidRDefault="00D40FB6" w:rsidP="00247FD1">
      <w:pPr>
        <w:pStyle w:val="Bullet1"/>
        <w:spacing w:before="20" w:after="20"/>
      </w:pPr>
      <w:r w:rsidRPr="00D40FB6">
        <w:t>Self-Help Enterprises</w:t>
      </w:r>
    </w:p>
    <w:p w14:paraId="20D64061" w14:textId="77777777" w:rsidR="0013759B" w:rsidRDefault="00860BEF">
      <w:pPr>
        <w:pStyle w:val="Bullet1"/>
        <w:sectPr w:rsidR="0013759B" w:rsidSect="007559DD">
          <w:headerReference w:type="even" r:id="rId42"/>
          <w:headerReference w:type="default" r:id="rId43"/>
          <w:footerReference w:type="default" r:id="rId44"/>
          <w:headerReference w:type="first" r:id="rId45"/>
          <w:pgSz w:w="11907" w:h="16839"/>
          <w:pgMar w:top="1757" w:right="1134" w:bottom="1361" w:left="1191" w:header="774" w:footer="567" w:gutter="0"/>
          <w:pgNumType w:start="1" w:chapStyle="7"/>
          <w:cols w:space="708"/>
          <w:docGrid w:linePitch="360"/>
        </w:sectPr>
      </w:pPr>
      <w:r>
        <w:t>SoCalGas</w:t>
      </w:r>
    </w:p>
    <w:p w14:paraId="799E5BF4" w14:textId="237FF143" w:rsidR="009950AA" w:rsidRDefault="001325C5" w:rsidP="001325C5">
      <w:pPr>
        <w:pStyle w:val="Heading7"/>
      </w:pPr>
      <w:bookmarkStart w:id="104" w:name="_Ref209178354"/>
      <w:bookmarkStart w:id="105" w:name="_Toc214535417"/>
      <w:r>
        <w:lastRenderedPageBreak/>
        <w:t>Case Studies</w:t>
      </w:r>
      <w:bookmarkEnd w:id="104"/>
      <w:bookmarkEnd w:id="105"/>
    </w:p>
    <w:p w14:paraId="3DAF6F4F" w14:textId="00CC46F2" w:rsidR="00877C78" w:rsidRDefault="00EE7C41" w:rsidP="00197863">
      <w:pPr>
        <w:pStyle w:val="BodyText"/>
      </w:pPr>
      <w:r>
        <w:t>The following case studies</w:t>
      </w:r>
      <w:r w:rsidR="00F94629">
        <w:t xml:space="preserve"> descriptions</w:t>
      </w:r>
      <w:r>
        <w:t xml:space="preserve"> have been included </w:t>
      </w:r>
      <w:r w:rsidR="0025342F">
        <w:t>in a separate PDF file.</w:t>
      </w:r>
    </w:p>
    <w:p w14:paraId="5A76DEFB" w14:textId="6616378A" w:rsidR="00187791" w:rsidRDefault="008A596E" w:rsidP="007C7B6A">
      <w:pPr>
        <w:pStyle w:val="Bullet1"/>
      </w:pPr>
      <w:r>
        <w:t>B</w:t>
      </w:r>
      <w:r w:rsidR="00187791">
        <w:t>lue Lake Rancheria</w:t>
      </w:r>
    </w:p>
    <w:p w14:paraId="08EC0B52" w14:textId="7AEFC00E" w:rsidR="00187791" w:rsidRDefault="00187791" w:rsidP="007C7B6A">
      <w:pPr>
        <w:pStyle w:val="Bullet1"/>
      </w:pPr>
      <w:r>
        <w:t>Central Valley Visalia</w:t>
      </w:r>
    </w:p>
    <w:p w14:paraId="6F13D96D" w14:textId="7DDE768C" w:rsidR="007C7B6A" w:rsidRDefault="00E24F51" w:rsidP="007C7B6A">
      <w:pPr>
        <w:pStyle w:val="Bullet1"/>
      </w:pPr>
      <w:r>
        <w:t>North Fair Oaks</w:t>
      </w:r>
    </w:p>
    <w:p w14:paraId="5B1C7218" w14:textId="6E1313E7" w:rsidR="00757723" w:rsidRDefault="00757723" w:rsidP="007C7B6A">
      <w:pPr>
        <w:pStyle w:val="Bullet1"/>
      </w:pPr>
      <w:r>
        <w:t>Oxnard</w:t>
      </w:r>
    </w:p>
    <w:p w14:paraId="372F9D7F" w14:textId="627A3789" w:rsidR="00757723" w:rsidRDefault="00757723" w:rsidP="007C7B6A">
      <w:pPr>
        <w:pStyle w:val="Bullet1"/>
      </w:pPr>
      <w:r>
        <w:t>Richmond</w:t>
      </w:r>
    </w:p>
    <w:p w14:paraId="003A9E59" w14:textId="4053BA76" w:rsidR="00757723" w:rsidRDefault="00FA67EB" w:rsidP="007C7B6A">
      <w:pPr>
        <w:pStyle w:val="Bullet1"/>
      </w:pPr>
      <w:r>
        <w:t>Sacramento</w:t>
      </w:r>
    </w:p>
    <w:p w14:paraId="14EBCA06" w14:textId="68D7FAAD" w:rsidR="00FA67EB" w:rsidRDefault="00FA67EB" w:rsidP="007C7B6A">
      <w:pPr>
        <w:pStyle w:val="Bullet1"/>
      </w:pPr>
      <w:r>
        <w:t>Stockton</w:t>
      </w:r>
    </w:p>
    <w:p w14:paraId="0A2A2B89" w14:textId="77777777" w:rsidR="00FA67EB" w:rsidRDefault="00FA67EB">
      <w:pPr>
        <w:spacing w:after="200" w:line="276" w:lineRule="auto"/>
      </w:pPr>
      <w:r>
        <w:br w:type="page"/>
      </w:r>
    </w:p>
    <w:p w14:paraId="58F3CE94" w14:textId="77777777" w:rsidR="00EE7C41" w:rsidRPr="000F5C47" w:rsidRDefault="00EE7C41" w:rsidP="00EE7C41">
      <w:pPr>
        <w:pStyle w:val="BodyText"/>
        <w:rPr>
          <w:lang w:val="en-US"/>
        </w:rPr>
        <w:sectPr w:rsidR="00EE7C41" w:rsidRPr="000F5C47" w:rsidSect="00EE7C41">
          <w:headerReference w:type="even" r:id="rId46"/>
          <w:headerReference w:type="default" r:id="rId47"/>
          <w:footerReference w:type="default" r:id="rId48"/>
          <w:headerReference w:type="first" r:id="rId49"/>
          <w:pgSz w:w="12240" w:h="15840"/>
          <w:pgMar w:top="1757" w:right="1134" w:bottom="1361" w:left="1191" w:header="774" w:footer="567" w:gutter="0"/>
          <w:pgNumType w:start="1" w:chapStyle="7"/>
          <w:cols w:space="708"/>
          <w:docGrid w:linePitch="360"/>
        </w:sectPr>
      </w:pPr>
    </w:p>
    <w:p w14:paraId="36FA4B76" w14:textId="77777777" w:rsidR="00197863" w:rsidRPr="00197863" w:rsidRDefault="00197863" w:rsidP="00197863">
      <w:pPr>
        <w:pStyle w:val="BodyText"/>
      </w:pPr>
    </w:p>
    <w:p w14:paraId="1A12760A" w14:textId="77777777" w:rsidR="00AF1C42" w:rsidRPr="00515F25" w:rsidRDefault="00AF1C42" w:rsidP="00AF1C42">
      <w:pPr>
        <w:pStyle w:val="DNVGL-BackcoverTitle"/>
        <w:spacing w:before="10000"/>
        <w:rPr>
          <w:lang w:val="en-US"/>
        </w:rPr>
      </w:pPr>
      <w:r>
        <w:rPr>
          <w:lang w:val="en-US"/>
        </w:rPr>
        <w:t>A</w:t>
      </w:r>
      <w:r w:rsidRPr="00515F25">
        <w:rPr>
          <w:lang w:val="en-US"/>
        </w:rPr>
        <w:t>bout DNV</w:t>
      </w:r>
    </w:p>
    <w:p w14:paraId="51470C50" w14:textId="77777777" w:rsidR="00AF1C42" w:rsidRPr="00515F25" w:rsidRDefault="00AF1C42" w:rsidP="00AF1C42">
      <w:pPr>
        <w:rPr>
          <w:lang w:val="en-US"/>
        </w:rPr>
      </w:pPr>
      <w:r w:rsidRPr="00515F25">
        <w:rPr>
          <w:lang w:val="en-US"/>
        </w:rPr>
        <w:t>DNV is a global quality assurance and risk management company. Driven by our purpose of safeguarding life, property and the environment, we enable our customers to advance the safety and sustainability of their business. We provide classification, technical assurance, software and independent expert advisory services to the maritime, oil &amp; gas, power and renewables industries. We also provide certification, supply chain and data management services to customers across a wide range of industries. Operating in more than 100 countries, our experts are dedicated to helping customers make the world safer, smarter and greener.</w:t>
      </w:r>
    </w:p>
    <w:p w14:paraId="0B61A239" w14:textId="77777777" w:rsidR="00325B1A" w:rsidRPr="00325B1A" w:rsidRDefault="00325B1A" w:rsidP="00325B1A">
      <w:pPr>
        <w:pStyle w:val="BodyText"/>
      </w:pPr>
    </w:p>
    <w:sectPr w:rsidR="00325B1A" w:rsidRPr="00325B1A" w:rsidSect="007559DD">
      <w:headerReference w:type="even" r:id="rId50"/>
      <w:headerReference w:type="default" r:id="rId51"/>
      <w:footerReference w:type="default" r:id="rId52"/>
      <w:headerReference w:type="first" r:id="rId53"/>
      <w:pgSz w:w="11907" w:h="16839"/>
      <w:pgMar w:top="1757" w:right="1134" w:bottom="1361" w:left="1191" w:header="774" w:footer="567" w:gutter="0"/>
      <w:pgNumType w:start="1" w:chapStyle="7"/>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4"/>
    </wne:keymap>
    <wne:keymap wne:kcmPrimary="0234">
      <wne:acd wne:acdName="acd5"/>
    </wne:keymap>
    <wne:keymap wne:kcmPrimary="0235">
      <wne:acd wne:acdName="acd6"/>
    </wne:keymap>
    <wne:keymap wne:kcmPrimary="0236">
      <wne:acd wne:acdName="acd7"/>
    </wne:keymap>
    <wne:keymap wne:kcmPrimary="0237">
      <wne:acd wne:acdName="acd8"/>
    </wne:keymap>
    <wne:keymap wne:kcmPrimary="0238">
      <wne:acd wne:acdName="acd9"/>
    </wne:keymap>
    <wne:keymap wne:kcmPrimary="0239">
      <wne:acd wne:acdName="acd10"/>
    </wne:keymap>
    <wne:keymap wne:kcmPrimary="0342">
      <wne:acd wne:acdName="acd1"/>
    </wne:keymap>
    <wne:keymap wne:kcmPrimary="034E">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s>
  <wne:acds>
    <wne:acd wne:argValue="AQAAAAAA" wne:acdName="acd0" wne:fciIndexBasedOn="0065"/>
    <wne:acd wne:argValue="AQAAAEIA"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rgValue="AQAAAAUA" wne:acdName="acd6" wne:fciIndexBasedOn="0065"/>
    <wne:acd wne:argValue="AQAAAAYA" wne:acdName="acd7" wne:fciIndexBasedOn="0065"/>
    <wne:acd wne:argValue="AQAAAAcA" wne:acdName="acd8" wne:fciIndexBasedOn="0065"/>
    <wne:acd wne:argValue="AQAAAAgA" wne:acdName="acd9" wne:fciIndexBasedOn="0065"/>
    <wne:acd wne:argValue="AQAAAAk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D6F9" w14:textId="77777777" w:rsidR="007E7AA9" w:rsidRDefault="007E7AA9" w:rsidP="00866BDC">
      <w:r>
        <w:separator/>
      </w:r>
    </w:p>
  </w:endnote>
  <w:endnote w:type="continuationSeparator" w:id="0">
    <w:p w14:paraId="595A4858" w14:textId="77777777" w:rsidR="007E7AA9" w:rsidRDefault="007E7AA9" w:rsidP="00866BDC">
      <w:r>
        <w:continuationSeparator/>
      </w:r>
    </w:p>
  </w:endnote>
  <w:endnote w:type="continuationNotice" w:id="1">
    <w:p w14:paraId="5C5FD190" w14:textId="77777777" w:rsidR="007E7AA9" w:rsidRDefault="007E7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6EDC" w14:textId="77777777" w:rsidR="00FC39C6" w:rsidRDefault="00FC3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67895292"/>
      <w:docPartObj>
        <w:docPartGallery w:val="Page Numbers (Bottom of Page)"/>
        <w:docPartUnique/>
      </w:docPartObj>
    </w:sdtPr>
    <w:sdtEndPr>
      <w:rPr>
        <w:noProof/>
      </w:rPr>
    </w:sdtEndPr>
    <w:sdtContent>
      <w:p w14:paraId="21E5A142" w14:textId="3262D09A" w:rsidR="000426A6" w:rsidRPr="000426A6" w:rsidRDefault="003A111D" w:rsidP="000426A6">
        <w:pPr>
          <w:pStyle w:val="Footer"/>
          <w:tabs>
            <w:tab w:val="right" w:pos="9540"/>
          </w:tabs>
        </w:pPr>
        <w:r w:rsidRPr="003A111D">
          <w:t>Community Resources and Equitability Assessment Report</w:t>
        </w:r>
        <w:r w:rsidR="000426A6">
          <w:rPr>
            <w:noProof w:val="0"/>
          </w:rPr>
          <w:tab/>
        </w:r>
        <w:r w:rsidR="000426A6">
          <w:rPr>
            <w:noProof w:val="0"/>
          </w:rPr>
          <w:fldChar w:fldCharType="begin"/>
        </w:r>
        <w:r w:rsidR="000426A6">
          <w:instrText xml:space="preserve"> PAGE   \* MERGEFORMAT </w:instrText>
        </w:r>
        <w:r w:rsidR="000426A6">
          <w:rPr>
            <w:noProof w:val="0"/>
          </w:rPr>
          <w:fldChar w:fldCharType="separate"/>
        </w:r>
        <w:r w:rsidR="000426A6">
          <w:t>2</w:t>
        </w:r>
        <w:r w:rsidR="000426A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772F" w14:textId="77777777" w:rsidR="00FC39C6" w:rsidRDefault="00FC39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31719497"/>
      <w:docPartObj>
        <w:docPartGallery w:val="Page Numbers (Bottom of Page)"/>
        <w:docPartUnique/>
      </w:docPartObj>
    </w:sdtPr>
    <w:sdtEndPr>
      <w:rPr>
        <w:noProof/>
      </w:rPr>
    </w:sdtEndPr>
    <w:sdtContent>
      <w:p w14:paraId="3707C721" w14:textId="77777777" w:rsidR="007559DD" w:rsidRPr="000426A6" w:rsidRDefault="007559DD" w:rsidP="000426A6">
        <w:pPr>
          <w:pStyle w:val="Footer"/>
          <w:tabs>
            <w:tab w:val="right" w:pos="9540"/>
          </w:tabs>
        </w:pPr>
        <w:r w:rsidRPr="003A111D">
          <w:t>Community Resources and Equitability Assessment Report</w:t>
        </w:r>
        <w:r>
          <w:rPr>
            <w:noProof w:val="0"/>
          </w:rPr>
          <w:tab/>
        </w:r>
        <w:r>
          <w:rPr>
            <w:noProof w:val="0"/>
          </w:rPr>
          <w:fldChar w:fldCharType="begin"/>
        </w:r>
        <w:r>
          <w:instrText xml:space="preserve"> PAGE   \* MERGEFORMAT </w:instrText>
        </w:r>
        <w:r>
          <w:rPr>
            <w:noProof w:val="0"/>
          </w:rP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32491415"/>
      <w:docPartObj>
        <w:docPartGallery w:val="Page Numbers (Bottom of Page)"/>
        <w:docPartUnique/>
      </w:docPartObj>
    </w:sdtPr>
    <w:sdtEndPr>
      <w:rPr>
        <w:noProof/>
      </w:rPr>
    </w:sdtEndPr>
    <w:sdtContent>
      <w:p w14:paraId="1FFA6CC1" w14:textId="77777777" w:rsidR="00EB1BEF" w:rsidRPr="000426A6" w:rsidRDefault="00EB1BEF" w:rsidP="000426A6">
        <w:pPr>
          <w:pStyle w:val="Footer"/>
          <w:tabs>
            <w:tab w:val="right" w:pos="9540"/>
          </w:tabs>
        </w:pPr>
        <w:r w:rsidRPr="003A111D">
          <w:t>Community Resources and Equitability Assessment Report</w:t>
        </w:r>
        <w:r>
          <w:rPr>
            <w:noProof w:val="0"/>
          </w:rPr>
          <w:tab/>
        </w:r>
        <w:r>
          <w:rPr>
            <w:noProof w:val="0"/>
          </w:rPr>
          <w:fldChar w:fldCharType="begin"/>
        </w:r>
        <w:r>
          <w:instrText xml:space="preserve"> PAGE   \* MERGEFORMAT </w:instrText>
        </w:r>
        <w:r>
          <w:rPr>
            <w:noProof w:val="0"/>
          </w:rP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6530"/>
      <w:gridCol w:w="235"/>
      <w:gridCol w:w="3150"/>
    </w:tblGrid>
    <w:tr w:rsidR="00EE7C41" w:rsidRPr="003F3A84" w14:paraId="109349AE" w14:textId="77777777">
      <w:tc>
        <w:tcPr>
          <w:tcW w:w="6311" w:type="dxa"/>
          <w:tcBorders>
            <w:top w:val="single" w:sz="2" w:space="0" w:color="009FDA"/>
          </w:tcBorders>
          <w:vAlign w:val="bottom"/>
        </w:tcPr>
        <w:p w14:paraId="71B7EDEC" w14:textId="77777777" w:rsidR="00EE7C41" w:rsidRPr="003F3A84" w:rsidRDefault="00EE7C41">
          <w:pPr>
            <w:pStyle w:val="Footer"/>
          </w:pPr>
          <w:r>
            <w:rPr>
              <w:lang w:val="en-US"/>
            </w:rPr>
            <w:t>Case Study Location Analysis – North Fair Oaks</w:t>
          </w:r>
        </w:p>
      </w:tc>
      <w:tc>
        <w:tcPr>
          <w:tcW w:w="227" w:type="dxa"/>
          <w:tcBorders>
            <w:top w:val="single" w:sz="2" w:space="0" w:color="009FDA"/>
          </w:tcBorders>
        </w:tcPr>
        <w:p w14:paraId="382F6FBF" w14:textId="77777777" w:rsidR="00EE7C41" w:rsidRPr="003F3A84" w:rsidRDefault="00EE7C41">
          <w:pPr>
            <w:pStyle w:val="Footer"/>
          </w:pPr>
        </w:p>
      </w:tc>
      <w:tc>
        <w:tcPr>
          <w:tcW w:w="3045" w:type="dxa"/>
          <w:tcBorders>
            <w:top w:val="single" w:sz="2" w:space="0" w:color="009FDA"/>
          </w:tcBorders>
          <w:vAlign w:val="bottom"/>
        </w:tcPr>
        <w:p w14:paraId="0EDEB35A" w14:textId="77777777" w:rsidR="00EE7C41" w:rsidRPr="003F3A84" w:rsidRDefault="00EE7C41">
          <w:pPr>
            <w:pStyle w:val="Footer"/>
            <w:jc w:val="right"/>
          </w:pPr>
          <w:r>
            <w:t xml:space="preserve">Page </w:t>
          </w:r>
          <w:r>
            <w:fldChar w:fldCharType="begin"/>
          </w:r>
          <w:r>
            <w:instrText xml:space="preserve"> page </w:instrText>
          </w:r>
          <w:r>
            <w:fldChar w:fldCharType="separate"/>
          </w:r>
          <w:r>
            <w:t>17</w:t>
          </w:r>
          <w:r>
            <w:fldChar w:fldCharType="end"/>
          </w:r>
        </w:p>
      </w:tc>
    </w:tr>
  </w:tbl>
  <w:p w14:paraId="7D7E64B6" w14:textId="77777777" w:rsidR="00EE7C41" w:rsidRDefault="00EE7C41">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1F68" w14:textId="77777777" w:rsidR="00877C78" w:rsidRDefault="00877C78">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6F21" w14:textId="77777777" w:rsidR="007E7AA9" w:rsidRDefault="007E7AA9" w:rsidP="00866BDC">
      <w:r>
        <w:separator/>
      </w:r>
    </w:p>
  </w:footnote>
  <w:footnote w:type="continuationSeparator" w:id="0">
    <w:p w14:paraId="4D2F45EE" w14:textId="77777777" w:rsidR="007E7AA9" w:rsidRDefault="007E7AA9" w:rsidP="00866BDC">
      <w:r>
        <w:continuationSeparator/>
      </w:r>
    </w:p>
  </w:footnote>
  <w:footnote w:type="continuationNotice" w:id="1">
    <w:p w14:paraId="2833B59B" w14:textId="77777777" w:rsidR="007E7AA9" w:rsidRDefault="007E7AA9"/>
  </w:footnote>
  <w:footnote w:id="2">
    <w:p w14:paraId="1B11B4B4" w14:textId="5CC2F11C" w:rsidR="00D53E65" w:rsidRPr="00D53E65" w:rsidRDefault="00D53E65">
      <w:pPr>
        <w:pStyle w:val="FootnoteText"/>
        <w:rPr>
          <w:lang w:val="en-US"/>
        </w:rPr>
      </w:pPr>
      <w:r>
        <w:rPr>
          <w:rStyle w:val="FootnoteReference"/>
        </w:rPr>
        <w:footnoteRef/>
      </w:r>
      <w:r>
        <w:t xml:space="preserve"> </w:t>
      </w:r>
      <w:hyperlink r:id="rId1" w:history="1">
        <w:r w:rsidRPr="00980ED5">
          <w:rPr>
            <w:rStyle w:val="Hyperlink"/>
          </w:rPr>
          <w:t>https://leginfo.legislature.ca.gov/faces/billNavClient.xhtml?bill_id=202320240SB1221</w:t>
        </w:r>
      </w:hyperlink>
      <w:r>
        <w:t xml:space="preserve"> </w:t>
      </w:r>
    </w:p>
  </w:footnote>
  <w:footnote w:id="3">
    <w:p w14:paraId="6E06215A" w14:textId="6E31B7CA" w:rsidR="00E955DB" w:rsidRPr="00E955DB" w:rsidRDefault="00E955DB">
      <w:pPr>
        <w:pStyle w:val="FootnoteText"/>
        <w:rPr>
          <w:lang w:val="en-US"/>
        </w:rPr>
      </w:pPr>
      <w:r>
        <w:rPr>
          <w:rStyle w:val="FootnoteReference"/>
        </w:rPr>
        <w:footnoteRef/>
      </w:r>
      <w:r>
        <w:t xml:space="preserve"> </w:t>
      </w:r>
      <w:r w:rsidRPr="00E955DB">
        <w:t>Assessment included informational briefings with almost a dozen community-based, policy advocacy, indigenous community representation, regional energy networks (RENs), and</w:t>
      </w:r>
      <w:r w:rsidR="00D22F9F">
        <w:t xml:space="preserve"> Community Choice Aggregators</w:t>
      </w:r>
      <w:r w:rsidRPr="00E955DB">
        <w:t xml:space="preserve"> </w:t>
      </w:r>
      <w:r w:rsidR="00D22F9F">
        <w:t>(</w:t>
      </w:r>
      <w:r w:rsidRPr="00E955DB">
        <w:t>CCAs</w:t>
      </w:r>
      <w:r w:rsidR="00D22F9F">
        <w:t>)</w:t>
      </w:r>
      <w:r w:rsidRPr="00E955DB">
        <w:t>.</w:t>
      </w:r>
    </w:p>
  </w:footnote>
  <w:footnote w:id="4">
    <w:p w14:paraId="3DEA5DB2" w14:textId="44CE36CA" w:rsidR="00CC74E1" w:rsidRPr="00CC74E1" w:rsidRDefault="00CC74E1">
      <w:pPr>
        <w:pStyle w:val="FootnoteText"/>
        <w:rPr>
          <w:lang w:val="en-US"/>
        </w:rPr>
      </w:pPr>
      <w:r>
        <w:rPr>
          <w:rStyle w:val="FootnoteReference"/>
        </w:rPr>
        <w:footnoteRef/>
      </w:r>
      <w:r>
        <w:t xml:space="preserve"> </w:t>
      </w:r>
      <w:hyperlink r:id="rId2" w:history="1">
        <w:r w:rsidRPr="00E36104">
          <w:rPr>
            <w:rStyle w:val="Hyperlink"/>
          </w:rPr>
          <w:t>CEC Mindful Decommissioning Overview.pdf</w:t>
        </w:r>
      </w:hyperlink>
      <w:r>
        <w:t xml:space="preserve"> </w:t>
      </w:r>
    </w:p>
  </w:footnote>
  <w:footnote w:id="5">
    <w:p w14:paraId="2FA4F50A" w14:textId="330F05A8" w:rsidR="008D7253" w:rsidRPr="008D7253" w:rsidRDefault="008D7253">
      <w:pPr>
        <w:pStyle w:val="FootnoteText"/>
        <w:rPr>
          <w:lang w:val="en-US"/>
        </w:rPr>
      </w:pPr>
      <w:r>
        <w:rPr>
          <w:rStyle w:val="FootnoteReference"/>
        </w:rPr>
        <w:footnoteRef/>
      </w:r>
      <w:r>
        <w:t xml:space="preserve"> </w:t>
      </w:r>
      <w:hyperlink r:id="rId3" w:history="1">
        <w:r w:rsidRPr="003D6811">
          <w:rPr>
            <w:rStyle w:val="Hyperlink"/>
          </w:rPr>
          <w:t>https://mindfuldecommissioning.dnv.com/</w:t>
        </w:r>
      </w:hyperlink>
      <w:r>
        <w:t xml:space="preserve"> </w:t>
      </w:r>
    </w:p>
  </w:footnote>
  <w:footnote w:id="6">
    <w:p w14:paraId="66B29303" w14:textId="4887DF45" w:rsidR="00AB34DE" w:rsidRPr="00AB34DE" w:rsidRDefault="00AB34DE">
      <w:pPr>
        <w:pStyle w:val="FootnoteText"/>
        <w:rPr>
          <w:lang w:val="en-US"/>
        </w:rPr>
      </w:pPr>
      <w:r>
        <w:rPr>
          <w:rStyle w:val="FootnoteReference"/>
        </w:rPr>
        <w:footnoteRef/>
      </w:r>
      <w:r>
        <w:t xml:space="preserve"> </w:t>
      </w:r>
      <w:r w:rsidRPr="00AB34DE">
        <w:t>Early versions of this micro-grant required that community partners submit a completed W-9 form. To reduce barriers and provide additional flexibility, as the project moved forward, the DNV team was able to move away from this requirement.</w:t>
      </w:r>
    </w:p>
  </w:footnote>
  <w:footnote w:id="7">
    <w:p w14:paraId="0E843C3C" w14:textId="77777777" w:rsidR="00FE747C" w:rsidRPr="00D94757" w:rsidRDefault="00FE747C" w:rsidP="00FE747C">
      <w:pPr>
        <w:pStyle w:val="FootnoteText"/>
        <w:rPr>
          <w:lang w:val="en-US"/>
        </w:rPr>
      </w:pPr>
      <w:r>
        <w:rPr>
          <w:rStyle w:val="FootnoteReference"/>
        </w:rPr>
        <w:footnoteRef/>
      </w:r>
      <w:r>
        <w:t xml:space="preserve"> Community members suggested the inclusion of </w:t>
      </w:r>
      <w:r w:rsidRPr="00E0718D">
        <w:t>wildfire risks</w:t>
      </w:r>
      <w:r>
        <w:t xml:space="preserve"> and flood risks</w:t>
      </w:r>
      <w:r w:rsidRPr="00E0718D">
        <w:t xml:space="preserve"> in climate risk sub-index</w:t>
      </w:r>
      <w:r>
        <w:t xml:space="preserve">. The research team incorporated this feedback, but in an effort to better depict the climate vulnerability facing individual communities, decided to utilize FEMA’s Expected Annual Loss (EAL) data for populations, infrastructure and agriculture rather than individual climate threats. EAL scores consider 18 different climate variables, include threat of wildfire and flood risk. </w:t>
      </w:r>
    </w:p>
  </w:footnote>
  <w:footnote w:id="8">
    <w:p w14:paraId="35EE6BDD" w14:textId="77777777" w:rsidR="00816860" w:rsidRPr="008A1C82" w:rsidRDefault="00816860" w:rsidP="00816860">
      <w:pPr>
        <w:pStyle w:val="FootnoteText"/>
        <w:rPr>
          <w:lang w:val="en-US"/>
        </w:rPr>
      </w:pPr>
      <w:r>
        <w:rPr>
          <w:rStyle w:val="FootnoteReference"/>
        </w:rPr>
        <w:footnoteRef/>
      </w:r>
      <w:r>
        <w:t xml:space="preserve"> </w:t>
      </w:r>
      <w:r>
        <w:rPr>
          <w:lang w:val="en-US"/>
        </w:rPr>
        <w:t xml:space="preserve">Community members also suggested that case study work include consideration of agricultural land retirement and future industrial land availability (such as changes due to rezoning). This has been possible in locations with data readily available, not always possible to incorporate across all case study locations. </w:t>
      </w:r>
    </w:p>
  </w:footnote>
  <w:footnote w:id="9">
    <w:p w14:paraId="4AF85DD8" w14:textId="77777777" w:rsidR="00816860" w:rsidRPr="001D4EB7" w:rsidRDefault="00816860" w:rsidP="00816860">
      <w:pPr>
        <w:pStyle w:val="FootnoteText"/>
        <w:rPr>
          <w:lang w:val="en-US"/>
        </w:rPr>
      </w:pPr>
      <w:r>
        <w:rPr>
          <w:rStyle w:val="FootnoteReference"/>
        </w:rPr>
        <w:footnoteRef/>
      </w:r>
      <w:r>
        <w:t xml:space="preserve"> </w:t>
      </w:r>
      <w:r>
        <w:rPr>
          <w:lang w:val="en-US"/>
        </w:rPr>
        <w:t xml:space="preserve">Flood risk is often understood at the census tract level based on proximity to waterways (riverine) flooding. This may mask more localized, or neighborhood level flood risk experienced by many communities. </w:t>
      </w:r>
    </w:p>
  </w:footnote>
  <w:footnote w:id="10">
    <w:p w14:paraId="0EB6D487" w14:textId="77777777" w:rsidR="001C0D50" w:rsidRPr="00811EEF" w:rsidRDefault="001C0D50" w:rsidP="001C0D50">
      <w:pPr>
        <w:pStyle w:val="FootnoteText"/>
        <w:rPr>
          <w:lang w:val="en-US"/>
        </w:rPr>
      </w:pPr>
      <w:r>
        <w:rPr>
          <w:rStyle w:val="FootnoteReference"/>
        </w:rPr>
        <w:footnoteRef/>
      </w:r>
      <w:r>
        <w:t xml:space="preserve"> </w:t>
      </w:r>
      <w:r w:rsidRPr="00811EEF">
        <w:rPr>
          <w:lang w:val="en-US"/>
        </w:rPr>
        <w:t xml:space="preserve">The </w:t>
      </w:r>
      <w:r w:rsidRPr="00811EEF">
        <w:rPr>
          <w:i/>
          <w:iCs/>
          <w:lang w:val="en-US"/>
        </w:rPr>
        <w:t>National Academies’ June 2024 report, Constructing Valid Geospatial Tools for Environmental Justice</w:t>
      </w:r>
      <w:r>
        <w:rPr>
          <w:lang w:val="en-US"/>
        </w:rPr>
        <w:t xml:space="preserve">, </w:t>
      </w:r>
      <w:r w:rsidRPr="00811EEF">
        <w:rPr>
          <w:lang w:val="en-US"/>
        </w:rPr>
        <w:t xml:space="preserve">was mentioned </w:t>
      </w:r>
      <w:r>
        <w:rPr>
          <w:lang w:val="en-US"/>
        </w:rPr>
        <w:t xml:space="preserve">by Stockton community partners </w:t>
      </w:r>
      <w:r w:rsidRPr="00811EEF">
        <w:rPr>
          <w:lang w:val="en-US"/>
        </w:rPr>
        <w:t xml:space="preserve">as a valuable resource for developing geospatial tools that inform public investment strategies. (Source: </w:t>
      </w:r>
    </w:p>
    <w:p w14:paraId="1703E8C8" w14:textId="77777777" w:rsidR="001C0D50" w:rsidRPr="00811EEF" w:rsidRDefault="001C0D50" w:rsidP="001C0D50">
      <w:pPr>
        <w:pStyle w:val="FootnoteText"/>
        <w:rPr>
          <w:lang w:val="en-US"/>
        </w:rPr>
      </w:pPr>
      <w:hyperlink r:id="rId4" w:history="1">
        <w:r w:rsidRPr="00811EEF">
          <w:rPr>
            <w:rStyle w:val="Hyperlink"/>
            <w:lang w:val="en-US"/>
          </w:rPr>
          <w:t>https://nap.nationalacademies.org/catalog/27317/constructing-valid-geospatial-tools-for-environmental-justice</w:t>
        </w:r>
      </w:hyperlink>
      <w:r w:rsidRPr="00811EEF">
        <w:rPr>
          <w:lang w:val="en-US"/>
        </w:rPr>
        <w:t>)</w:t>
      </w:r>
    </w:p>
    <w:p w14:paraId="0C05FACE" w14:textId="77777777" w:rsidR="001C0D50" w:rsidRPr="00811EEF" w:rsidRDefault="001C0D50" w:rsidP="001C0D50">
      <w:pPr>
        <w:pStyle w:val="FootnoteText"/>
        <w:rPr>
          <w:lang w:val="en-US"/>
        </w:rPr>
      </w:pPr>
    </w:p>
  </w:footnote>
  <w:footnote w:id="11">
    <w:p w14:paraId="05CCB738" w14:textId="77777777" w:rsidR="001F39F5" w:rsidRPr="00D64ED9" w:rsidRDefault="001F39F5" w:rsidP="001F39F5">
      <w:pPr>
        <w:pStyle w:val="FootnoteText"/>
        <w:rPr>
          <w:lang w:val="en-US"/>
        </w:rPr>
      </w:pPr>
      <w:r>
        <w:rPr>
          <w:rStyle w:val="FootnoteReference"/>
        </w:rPr>
        <w:footnoteRef/>
      </w:r>
      <w:r>
        <w:t xml:space="preserve"> </w:t>
      </w:r>
      <w:r>
        <w:rPr>
          <w:lang w:val="en-US"/>
        </w:rPr>
        <w:t xml:space="preserve">Available here </w:t>
      </w:r>
      <w:hyperlink r:id="rId5" w:history="1">
        <w:r w:rsidRPr="00B50DC5">
          <w:rPr>
            <w:rStyle w:val="Hyperlink"/>
            <w:lang w:val="en-US"/>
          </w:rPr>
          <w:t>Community Feedback Request form (example)</w:t>
        </w:r>
      </w:hyperlink>
    </w:p>
  </w:footnote>
  <w:footnote w:id="12">
    <w:p w14:paraId="091B6392" w14:textId="7A74891E" w:rsidR="00686551" w:rsidRPr="00686551" w:rsidRDefault="00686551">
      <w:pPr>
        <w:pStyle w:val="FootnoteText"/>
        <w:rPr>
          <w:lang w:val="en-US"/>
        </w:rPr>
      </w:pPr>
      <w:r>
        <w:rPr>
          <w:rStyle w:val="FootnoteReference"/>
        </w:rPr>
        <w:footnoteRef/>
      </w:r>
      <w:r>
        <w:t xml:space="preserve"> </w:t>
      </w:r>
      <w:hyperlink r:id="rId6" w:history="1">
        <w:r w:rsidRPr="0085651A">
          <w:rPr>
            <w:rStyle w:val="Hyperlink"/>
            <w:lang w:val="en-US"/>
          </w:rPr>
          <w:t>Case Study Materials Packet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C965" w14:textId="67E81A4B" w:rsidR="00FC39C6" w:rsidRDefault="00000000">
    <w:pPr>
      <w:pStyle w:val="Header"/>
    </w:pPr>
    <w:r>
      <w:pict w14:anchorId="7DEC2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57" o:spid="_x0000_s1026" type="#_x0000_t136" style="position:absolute;margin-left:0;margin-top:0;width:595.95pt;height:79.45pt;rotation:315;z-index:-251658239;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A369" w14:textId="21EADC16" w:rsidR="00FC39C6" w:rsidRDefault="00000000">
    <w:pPr>
      <w:pStyle w:val="Header"/>
    </w:pPr>
    <w:r>
      <w:pict w14:anchorId="185F7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6" o:spid="_x0000_s1035" type="#_x0000_t136" style="position:absolute;margin-left:0;margin-top:0;width:595.95pt;height:79.45pt;rotation:315;z-index:-251658230;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BC69" w14:textId="102876B4" w:rsidR="00FC39C6" w:rsidRDefault="00000000">
    <w:pPr>
      <w:pStyle w:val="Header"/>
    </w:pPr>
    <w:r>
      <w:pict w14:anchorId="302B8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7" o:spid="_x0000_s1036" type="#_x0000_t136" style="position:absolute;margin-left:0;margin-top:0;width:595.95pt;height:79.45pt;rotation:315;z-index:-251658229;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9E8F" w14:textId="525D58F4" w:rsidR="00FC39C6" w:rsidRDefault="00000000">
    <w:pPr>
      <w:pStyle w:val="Header"/>
    </w:pPr>
    <w:r>
      <w:pict w14:anchorId="68A66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5" o:spid="_x0000_s1034" type="#_x0000_t136" style="position:absolute;margin-left:0;margin-top:0;width:595.95pt;height:79.45pt;rotation:315;z-index:-251658231;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BB88" w14:textId="28934534" w:rsidR="00FC39C6" w:rsidRDefault="00000000">
    <w:pPr>
      <w:pStyle w:val="Header"/>
    </w:pPr>
    <w:r>
      <w:pict w14:anchorId="509CC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9" o:spid="_x0000_s1038" type="#_x0000_t136" style="position:absolute;margin-left:0;margin-top:0;width:595.95pt;height:79.45pt;rotation:315;z-index:-251658227;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966D" w14:textId="0F03F469" w:rsidR="00FC39C6" w:rsidRDefault="00000000">
    <w:pPr>
      <w:pStyle w:val="Header"/>
    </w:pPr>
    <w:r>
      <w:pict w14:anchorId="2C4C8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70" o:spid="_x0000_s1039" type="#_x0000_t136" style="position:absolute;margin-left:0;margin-top:0;width:595.95pt;height:79.45pt;rotation:315;z-index:-251658226;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D5DC" w14:textId="74DAABBB" w:rsidR="00FC39C6" w:rsidRDefault="00000000">
    <w:pPr>
      <w:pStyle w:val="Header"/>
    </w:pPr>
    <w:r>
      <w:pict w14:anchorId="365EF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8" o:spid="_x0000_s1037" type="#_x0000_t136" style="position:absolute;margin-left:0;margin-top:0;width:595.95pt;height:79.45pt;rotation:315;z-index:-251658228;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5234" w14:textId="54DF5DD1" w:rsidR="009D630C" w:rsidRDefault="00000000" w:rsidP="0080520C">
    <w:r>
      <w:rPr>
        <w:noProof/>
      </w:rPr>
      <w:pict w14:anchorId="179F4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58" o:spid="_x0000_s1027" type="#_x0000_t136" style="position:absolute;margin-left:0;margin-top:0;width:595.95pt;height:143.65pt;rotation:315;z-index:-251658238;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r w:rsidR="20B54020">
      <w:rPr>
        <w:noProof/>
      </w:rPr>
      <w:drawing>
        <wp:inline distT="0" distB="0" distL="0" distR="0" wp14:anchorId="15BFAF5D" wp14:editId="24890ED7">
          <wp:extent cx="1479600" cy="730800"/>
          <wp:effectExtent l="0" t="0" r="0" b="0"/>
          <wp:docPr id="1609016881" name="Picture 1609016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16881" name="Picture 160901688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79600" cy="730800"/>
                  </a:xfrm>
                  <a:prstGeom prst="rect">
                    <a:avLst/>
                  </a:prstGeom>
                </pic:spPr>
              </pic:pic>
            </a:graphicData>
          </a:graphic>
        </wp:inline>
      </w:drawing>
    </w:r>
  </w:p>
  <w:p w14:paraId="4F050ADE" w14:textId="77777777" w:rsidR="008C640B" w:rsidRDefault="008C640B" w:rsidP="0080520C"/>
  <w:p w14:paraId="68265793" w14:textId="77777777" w:rsidR="009D630C" w:rsidRDefault="009D630C">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0163" w14:textId="300541D3" w:rsidR="00FC39C6" w:rsidRDefault="00000000">
    <w:pPr>
      <w:pStyle w:val="Header"/>
    </w:pPr>
    <w:r>
      <w:pict w14:anchorId="3F260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56" o:spid="_x0000_s1025" type="#_x0000_t136" style="position:absolute;margin-left:0;margin-top:0;width:595.95pt;height:79.45pt;rotation:315;z-index:-251658240;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3ED7" w14:textId="6E2715D2" w:rsidR="00FC39C6" w:rsidRDefault="00000000">
    <w:pPr>
      <w:pStyle w:val="Header"/>
    </w:pPr>
    <w:r>
      <w:pict w14:anchorId="78A85D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0" o:spid="_x0000_s1029" type="#_x0000_t136" style="position:absolute;margin-left:0;margin-top:0;width:595.95pt;height:79.45pt;rotation:315;z-index:-251658236;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5BAA" w14:textId="2EE3AB72" w:rsidR="00FC39C6" w:rsidRDefault="00000000">
    <w:pPr>
      <w:pStyle w:val="Header"/>
    </w:pPr>
    <w:r>
      <w:pict w14:anchorId="1B087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1" o:spid="_x0000_s1030" type="#_x0000_t136" style="position:absolute;margin-left:0;margin-top:0;width:595.95pt;height:123.8pt;rotation:315;z-index:-251658235;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25CC" w14:textId="1BD57B08" w:rsidR="00FC39C6" w:rsidRDefault="00000000">
    <w:pPr>
      <w:pStyle w:val="Header"/>
    </w:pPr>
    <w:r>
      <w:pict w14:anchorId="4A182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59" o:spid="_x0000_s1028" type="#_x0000_t136" style="position:absolute;margin-left:0;margin-top:0;width:595.95pt;height:79.45pt;rotation:315;z-index:-251658237;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B46A" w14:textId="23D55120" w:rsidR="00FC39C6" w:rsidRDefault="00000000">
    <w:pPr>
      <w:pStyle w:val="Header"/>
    </w:pPr>
    <w:r>
      <w:pict w14:anchorId="7BCA8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3" o:spid="_x0000_s1032" type="#_x0000_t136" style="position:absolute;margin-left:0;margin-top:0;width:595.95pt;height:79.45pt;rotation:315;z-index:-251658233;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3D52" w14:textId="5060920A" w:rsidR="00FC39C6" w:rsidRDefault="00000000">
    <w:pPr>
      <w:pStyle w:val="Header"/>
    </w:pPr>
    <w:r>
      <w:pict w14:anchorId="73D51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4" o:spid="_x0000_s1033" type="#_x0000_t136" style="position:absolute;margin-left:0;margin-top:0;width:595.95pt;height:79.45pt;rotation:315;z-index:-251658232;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A8A0" w14:textId="59C95D75" w:rsidR="00FC39C6" w:rsidRDefault="00000000">
    <w:pPr>
      <w:pStyle w:val="Header"/>
    </w:pPr>
    <w:r>
      <w:pict w14:anchorId="22CA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398162" o:spid="_x0000_s1031" type="#_x0000_t136" style="position:absolute;margin-left:0;margin-top:0;width:595.95pt;height:79.45pt;rotation:315;z-index:-251658234;mso-position-horizontal:center;mso-position-horizontal-relative:margin;mso-position-vertical:center;mso-position-vertical-relative:margin" o:allowincell="f" fillcolor="silver" stroked="f">
          <v:fill opacity=".5"/>
          <v:textpath style="font-family:&quot;Arial&quot;;font-size:1pt" string="interim deliverabl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sGJOQHArGQ+PuI" int2:id="1bFnpR4E">
      <int2:state int2:value="Rejected" int2:type="spell"/>
    </int2:textHash>
    <int2:textHash int2:hashCode="Ylf4TNjsbsSImA" int2:id="nwS7fe6a">
      <int2:state int2:value="Rejected" int2:type="spell"/>
    </int2:textHash>
    <int2:bookmark int2:bookmarkName="_Int_dGLLkTk1" int2:invalidationBookmarkName="" int2:hashCode="OnDpVeKmqQo7Wj" int2:id="GMlDOtj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7E0D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98805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C21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440C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020D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FFFFFF82"/>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FFFFFF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FFFFFF88"/>
    <w:multiLevelType w:val="singleLevel"/>
    <w:tmpl w:val="6D46B3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08A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7023"/>
    <w:multiLevelType w:val="multilevel"/>
    <w:tmpl w:val="C576BECC"/>
    <w:lvl w:ilvl="0">
      <w:start w:val="1"/>
      <w:numFmt w:val="decimal"/>
      <w:pStyle w:val="Heading1"/>
      <w:lvlText w:val="%1"/>
      <w:lvlJc w:val="left"/>
      <w:pPr>
        <w:tabs>
          <w:tab w:val="num" w:pos="454"/>
        </w:tabs>
        <w:ind w:left="454" w:hanging="454"/>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907"/>
        </w:tabs>
        <w:ind w:left="907" w:hanging="907"/>
      </w:pPr>
    </w:lvl>
    <w:lvl w:ilvl="3">
      <w:start w:val="1"/>
      <w:numFmt w:val="decimal"/>
      <w:pStyle w:val="Heading4"/>
      <w:lvlText w:val="%1.%2.%3.%4"/>
      <w:lvlJc w:val="left"/>
      <w:pPr>
        <w:tabs>
          <w:tab w:val="num" w:pos="1134"/>
        </w:tabs>
        <w:ind w:left="1134" w:hanging="1134"/>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C0CF05"/>
    <w:multiLevelType w:val="hybridMultilevel"/>
    <w:tmpl w:val="FBF6D5F4"/>
    <w:lvl w:ilvl="0" w:tplc="99A4C536">
      <w:start w:val="1"/>
      <w:numFmt w:val="bullet"/>
      <w:lvlText w:val=""/>
      <w:lvlJc w:val="left"/>
      <w:pPr>
        <w:ind w:left="720" w:hanging="360"/>
      </w:pPr>
      <w:rPr>
        <w:rFonts w:ascii="Symbol" w:hAnsi="Symbol" w:hint="default"/>
      </w:rPr>
    </w:lvl>
    <w:lvl w:ilvl="1" w:tplc="5364A81C">
      <w:start w:val="1"/>
      <w:numFmt w:val="bullet"/>
      <w:lvlText w:val="o"/>
      <w:lvlJc w:val="left"/>
      <w:pPr>
        <w:ind w:left="1440" w:hanging="360"/>
      </w:pPr>
      <w:rPr>
        <w:rFonts w:ascii="Courier New" w:hAnsi="Courier New" w:hint="default"/>
      </w:rPr>
    </w:lvl>
    <w:lvl w:ilvl="2" w:tplc="DFCC332C">
      <w:start w:val="1"/>
      <w:numFmt w:val="bullet"/>
      <w:lvlText w:val=""/>
      <w:lvlJc w:val="left"/>
      <w:pPr>
        <w:ind w:left="2160" w:hanging="360"/>
      </w:pPr>
      <w:rPr>
        <w:rFonts w:ascii="Wingdings" w:hAnsi="Wingdings" w:hint="default"/>
      </w:rPr>
    </w:lvl>
    <w:lvl w:ilvl="3" w:tplc="A6DCEB8E">
      <w:start w:val="1"/>
      <w:numFmt w:val="bullet"/>
      <w:lvlText w:val=""/>
      <w:lvlJc w:val="left"/>
      <w:pPr>
        <w:ind w:left="2880" w:hanging="360"/>
      </w:pPr>
      <w:rPr>
        <w:rFonts w:ascii="Symbol" w:hAnsi="Symbol" w:hint="default"/>
      </w:rPr>
    </w:lvl>
    <w:lvl w:ilvl="4" w:tplc="31E814FE">
      <w:start w:val="1"/>
      <w:numFmt w:val="bullet"/>
      <w:lvlText w:val="o"/>
      <w:lvlJc w:val="left"/>
      <w:pPr>
        <w:ind w:left="3600" w:hanging="360"/>
      </w:pPr>
      <w:rPr>
        <w:rFonts w:ascii="Courier New" w:hAnsi="Courier New" w:hint="default"/>
      </w:rPr>
    </w:lvl>
    <w:lvl w:ilvl="5" w:tplc="ADB0BE20">
      <w:start w:val="1"/>
      <w:numFmt w:val="bullet"/>
      <w:lvlText w:val=""/>
      <w:lvlJc w:val="left"/>
      <w:pPr>
        <w:ind w:left="4320" w:hanging="360"/>
      </w:pPr>
      <w:rPr>
        <w:rFonts w:ascii="Wingdings" w:hAnsi="Wingdings" w:hint="default"/>
      </w:rPr>
    </w:lvl>
    <w:lvl w:ilvl="6" w:tplc="648A99FE">
      <w:start w:val="1"/>
      <w:numFmt w:val="bullet"/>
      <w:lvlText w:val=""/>
      <w:lvlJc w:val="left"/>
      <w:pPr>
        <w:ind w:left="5040" w:hanging="360"/>
      </w:pPr>
      <w:rPr>
        <w:rFonts w:ascii="Symbol" w:hAnsi="Symbol" w:hint="default"/>
      </w:rPr>
    </w:lvl>
    <w:lvl w:ilvl="7" w:tplc="3888339E">
      <w:start w:val="1"/>
      <w:numFmt w:val="bullet"/>
      <w:lvlText w:val="o"/>
      <w:lvlJc w:val="left"/>
      <w:pPr>
        <w:ind w:left="5760" w:hanging="360"/>
      </w:pPr>
      <w:rPr>
        <w:rFonts w:ascii="Courier New" w:hAnsi="Courier New" w:hint="default"/>
      </w:rPr>
    </w:lvl>
    <w:lvl w:ilvl="8" w:tplc="9F3E7942">
      <w:start w:val="1"/>
      <w:numFmt w:val="bullet"/>
      <w:lvlText w:val=""/>
      <w:lvlJc w:val="left"/>
      <w:pPr>
        <w:ind w:left="6480" w:hanging="360"/>
      </w:pPr>
      <w:rPr>
        <w:rFonts w:ascii="Wingdings" w:hAnsi="Wingdings" w:hint="default"/>
      </w:rPr>
    </w:lvl>
  </w:abstractNum>
  <w:abstractNum w:abstractNumId="12" w15:restartNumberingAfterBreak="0">
    <w:nsid w:val="1B03782E"/>
    <w:multiLevelType w:val="hybridMultilevel"/>
    <w:tmpl w:val="E0907512"/>
    <w:lvl w:ilvl="0" w:tplc="83B68326">
      <w:start w:val="1"/>
      <w:numFmt w:val="bullet"/>
      <w:lvlText w:val=""/>
      <w:lvlJc w:val="left"/>
      <w:pPr>
        <w:ind w:left="1080" w:hanging="360"/>
      </w:pPr>
      <w:rPr>
        <w:rFonts w:ascii="Symbol" w:hAnsi="Symbol" w:hint="default"/>
        <w:sz w:val="18"/>
      </w:rPr>
    </w:lvl>
    <w:lvl w:ilvl="1" w:tplc="CB82BF12">
      <w:start w:val="1"/>
      <w:numFmt w:val="bullet"/>
      <w:pStyle w:val="Bullet2"/>
      <w:lvlText w:val="o"/>
      <w:lvlJc w:val="left"/>
      <w:pPr>
        <w:ind w:left="1800" w:hanging="360"/>
      </w:pPr>
      <w:rPr>
        <w:rFonts w:ascii="Courier New" w:hAnsi="Courier New" w:cs="Courier New" w:hint="default"/>
      </w:rPr>
    </w:lvl>
    <w:lvl w:ilvl="2" w:tplc="96EC66E0">
      <w:start w:val="1"/>
      <w:numFmt w:val="bullet"/>
      <w:pStyle w:val="Bullet3"/>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15135B"/>
    <w:multiLevelType w:val="hybridMultilevel"/>
    <w:tmpl w:val="02C498E2"/>
    <w:lvl w:ilvl="0" w:tplc="605AB25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920FB"/>
    <w:multiLevelType w:val="hybridMultilevel"/>
    <w:tmpl w:val="5EF419F4"/>
    <w:lvl w:ilvl="0" w:tplc="E54EA280">
      <w:start w:val="1"/>
      <w:numFmt w:val="decimal"/>
      <w:pStyle w:val="NumberList"/>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729AA"/>
    <w:multiLevelType w:val="multilevel"/>
    <w:tmpl w:val="6854C28A"/>
    <w:name w:val="DNVGL Appendices"/>
    <w:lvl w:ilvl="0">
      <w:start w:val="1"/>
      <w:numFmt w:val="upperLetter"/>
      <w:lvlRestart w:val="0"/>
      <w:pStyle w:val="DNVGL-AppListing"/>
      <w:lvlText w:val="Appendix %1"/>
      <w:lvlJc w:val="left"/>
      <w:pPr>
        <w:ind w:left="1417" w:hanging="141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63279F"/>
    <w:multiLevelType w:val="hybridMultilevel"/>
    <w:tmpl w:val="5BA8BBB0"/>
    <w:lvl w:ilvl="0" w:tplc="D28CE316">
      <w:start w:val="1"/>
      <w:numFmt w:val="bullet"/>
      <w:pStyle w:val="Bullet1"/>
      <w:lvlText w:val=""/>
      <w:lvlJc w:val="left"/>
      <w:pPr>
        <w:ind w:left="72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BEB7F24"/>
    <w:multiLevelType w:val="hybridMultilevel"/>
    <w:tmpl w:val="A3FEB76E"/>
    <w:lvl w:ilvl="0" w:tplc="1F62518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B169B"/>
    <w:multiLevelType w:val="hybridMultilevel"/>
    <w:tmpl w:val="78526BFC"/>
    <w:lvl w:ilvl="0" w:tplc="264A4B22">
      <w:start w:val="1"/>
      <w:numFmt w:val="upperLetter"/>
      <w:pStyle w:val="Heading7"/>
      <w:lvlText w:val="Appendix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A56F99"/>
    <w:multiLevelType w:val="hybridMultilevel"/>
    <w:tmpl w:val="34948C9C"/>
    <w:lvl w:ilvl="0" w:tplc="0604158C">
      <w:start w:val="1"/>
      <w:numFmt w:val="bullet"/>
      <w:pStyle w:val="DNVGL-Bullet1"/>
      <w:lvlText w:val=""/>
      <w:lvlJc w:val="left"/>
      <w:pPr>
        <w:ind w:left="360" w:hanging="360"/>
      </w:pPr>
      <w:rPr>
        <w:rFonts w:ascii="Wingdings" w:hAnsi="Wingdings" w:hint="default"/>
        <w:color w:val="009FDA"/>
      </w:rPr>
    </w:lvl>
    <w:lvl w:ilvl="1" w:tplc="F7900A8A">
      <w:start w:val="1"/>
      <w:numFmt w:val="bullet"/>
      <w:lvlText w:val="o"/>
      <w:lvlJc w:val="left"/>
      <w:pPr>
        <w:ind w:left="1080" w:hanging="360"/>
      </w:pPr>
      <w:rPr>
        <w:rFonts w:ascii="Courier New" w:hAnsi="Courier New" w:cs="Courier New" w:hint="default"/>
      </w:rPr>
    </w:lvl>
    <w:lvl w:ilvl="2" w:tplc="B59A5FAC" w:tentative="1">
      <w:start w:val="1"/>
      <w:numFmt w:val="bullet"/>
      <w:lvlText w:val=""/>
      <w:lvlJc w:val="left"/>
      <w:pPr>
        <w:ind w:left="1800" w:hanging="360"/>
      </w:pPr>
      <w:rPr>
        <w:rFonts w:ascii="Wingdings" w:hAnsi="Wingdings" w:hint="default"/>
      </w:rPr>
    </w:lvl>
    <w:lvl w:ilvl="3" w:tplc="DF706960" w:tentative="1">
      <w:start w:val="1"/>
      <w:numFmt w:val="bullet"/>
      <w:lvlText w:val=""/>
      <w:lvlJc w:val="left"/>
      <w:pPr>
        <w:ind w:left="2520" w:hanging="360"/>
      </w:pPr>
      <w:rPr>
        <w:rFonts w:ascii="Symbol" w:hAnsi="Symbol" w:hint="default"/>
      </w:rPr>
    </w:lvl>
    <w:lvl w:ilvl="4" w:tplc="0E3A208E" w:tentative="1">
      <w:start w:val="1"/>
      <w:numFmt w:val="bullet"/>
      <w:lvlText w:val="o"/>
      <w:lvlJc w:val="left"/>
      <w:pPr>
        <w:ind w:left="3240" w:hanging="360"/>
      </w:pPr>
      <w:rPr>
        <w:rFonts w:ascii="Courier New" w:hAnsi="Courier New" w:cs="Courier New" w:hint="default"/>
      </w:rPr>
    </w:lvl>
    <w:lvl w:ilvl="5" w:tplc="62305AD6" w:tentative="1">
      <w:start w:val="1"/>
      <w:numFmt w:val="bullet"/>
      <w:lvlText w:val=""/>
      <w:lvlJc w:val="left"/>
      <w:pPr>
        <w:ind w:left="3960" w:hanging="360"/>
      </w:pPr>
      <w:rPr>
        <w:rFonts w:ascii="Wingdings" w:hAnsi="Wingdings" w:hint="default"/>
      </w:rPr>
    </w:lvl>
    <w:lvl w:ilvl="6" w:tplc="5FA6EB94" w:tentative="1">
      <w:start w:val="1"/>
      <w:numFmt w:val="bullet"/>
      <w:lvlText w:val=""/>
      <w:lvlJc w:val="left"/>
      <w:pPr>
        <w:ind w:left="4680" w:hanging="360"/>
      </w:pPr>
      <w:rPr>
        <w:rFonts w:ascii="Symbol" w:hAnsi="Symbol" w:hint="default"/>
      </w:rPr>
    </w:lvl>
    <w:lvl w:ilvl="7" w:tplc="281405A8" w:tentative="1">
      <w:start w:val="1"/>
      <w:numFmt w:val="bullet"/>
      <w:lvlText w:val="o"/>
      <w:lvlJc w:val="left"/>
      <w:pPr>
        <w:ind w:left="5400" w:hanging="360"/>
      </w:pPr>
      <w:rPr>
        <w:rFonts w:ascii="Courier New" w:hAnsi="Courier New" w:cs="Courier New" w:hint="default"/>
      </w:rPr>
    </w:lvl>
    <w:lvl w:ilvl="8" w:tplc="58029B22" w:tentative="1">
      <w:start w:val="1"/>
      <w:numFmt w:val="bullet"/>
      <w:lvlText w:val=""/>
      <w:lvlJc w:val="left"/>
      <w:pPr>
        <w:ind w:left="6120" w:hanging="360"/>
      </w:pPr>
      <w:rPr>
        <w:rFonts w:ascii="Wingdings" w:hAnsi="Wingdings" w:hint="default"/>
      </w:rPr>
    </w:lvl>
  </w:abstractNum>
  <w:num w:numId="1" w16cid:durableId="2032148982">
    <w:abstractNumId w:val="11"/>
  </w:num>
  <w:num w:numId="2" w16cid:durableId="613708853">
    <w:abstractNumId w:val="10"/>
  </w:num>
  <w:num w:numId="3" w16cid:durableId="843932718">
    <w:abstractNumId w:val="9"/>
  </w:num>
  <w:num w:numId="4" w16cid:durableId="1961302724">
    <w:abstractNumId w:val="8"/>
  </w:num>
  <w:num w:numId="5" w16cid:durableId="1691375048">
    <w:abstractNumId w:val="15"/>
  </w:num>
  <w:num w:numId="6" w16cid:durableId="360208491">
    <w:abstractNumId w:val="7"/>
  </w:num>
  <w:num w:numId="7" w16cid:durableId="1408071720">
    <w:abstractNumId w:val="6"/>
  </w:num>
  <w:num w:numId="8" w16cid:durableId="250042307">
    <w:abstractNumId w:val="5"/>
  </w:num>
  <w:num w:numId="9" w16cid:durableId="254482244">
    <w:abstractNumId w:val="4"/>
  </w:num>
  <w:num w:numId="10" w16cid:durableId="2001421933">
    <w:abstractNumId w:val="3"/>
  </w:num>
  <w:num w:numId="11" w16cid:durableId="1703558061">
    <w:abstractNumId w:val="2"/>
  </w:num>
  <w:num w:numId="12" w16cid:durableId="2048602246">
    <w:abstractNumId w:val="1"/>
  </w:num>
  <w:num w:numId="13" w16cid:durableId="178199090">
    <w:abstractNumId w:val="0"/>
  </w:num>
  <w:num w:numId="14" w16cid:durableId="811288342">
    <w:abstractNumId w:val="18"/>
  </w:num>
  <w:num w:numId="15" w16cid:durableId="1435444546">
    <w:abstractNumId w:val="12"/>
  </w:num>
  <w:num w:numId="16" w16cid:durableId="2134788042">
    <w:abstractNumId w:val="17"/>
  </w:num>
  <w:num w:numId="17" w16cid:durableId="1521313306">
    <w:abstractNumId w:val="14"/>
  </w:num>
  <w:num w:numId="18" w16cid:durableId="807816766">
    <w:abstractNumId w:val="14"/>
    <w:lvlOverride w:ilvl="0">
      <w:startOverride w:val="1"/>
    </w:lvlOverride>
  </w:num>
  <w:num w:numId="19" w16cid:durableId="459418844">
    <w:abstractNumId w:val="16"/>
  </w:num>
  <w:num w:numId="20" w16cid:durableId="201478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905522">
    <w:abstractNumId w:val="19"/>
  </w:num>
  <w:num w:numId="22" w16cid:durableId="1628923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3954732">
    <w:abstractNumId w:val="18"/>
    <w:lvlOverride w:ilvl="0">
      <w:startOverride w:val="1"/>
    </w:lvlOverride>
  </w:num>
  <w:num w:numId="24" w16cid:durableId="128819838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MDO0NDQxNjMyNzNQ0lEKTi0uzszPAykwqgUAOuO7FSwAAAA="/>
    <w:docVar w:name="DFS_FileId" w:val="COR006.dotx"/>
    <w:docVar w:name="DFS_FormId" w:val="1789"/>
    <w:docVar w:name="DFS_FormNo" w:val="COR 006"/>
    <w:docVar w:name="DFS_FormversionNo" w:val="33"/>
    <w:docVar w:name="DFS_Issue" w:val="2021-03"/>
    <w:docVar w:name="DNVeFormDoc_guid" w:val="211a61fdf02b43c9aef8c3de65147a8c"/>
    <w:docVar w:name="eForms Core NewDocument" w:val="2021-02-24T11:09:03Z"/>
    <w:docVar w:name="eForms_xdoc_doc_config" w:val="&lt;?xml version=&quot;1.0&quot; encoding=&quot;UTF-8&quot;?&gt;&lt;DNVeFormsCore version=&quot;1.0&quot;&gt;&lt;doc_config client_app=&quot;&quot;&gt;&lt;setting name=&quot;form_config&quot;&gt;&lt;form form_id=&quot;1789&quot; formversion_no=&quot;32&quot; code=&quot;COR 006&quot; name=&quot;Report&quot; issue=&quot;2020-05&quot; formgroup_id=&quot;0&quot; distribution_bits=&quot;15&quot; FU=&quot;1&quot; SS=&quot;1&quot; SL=&quot;1&quot; ST=&quot;1&quot; filename=&quot;COR006.dotx&quot; type=&quot;Word&quot; datafolder=&quot;&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Add Reference to list&quot;&gt;_x000d__x000a_      &lt;click method=&quot;InsertRefInRefTable&quot; /&gt;_x000d__x000a_    &lt;/menuitem&gt;_x000d__x000a_    &lt;menuitem caption=&quot;Appendices...&quot;&gt;_x000d__x000a_      &lt;click method=&quot;EditAppendices&quot; /&gt;_x000d__x000a_    &lt;/menuitem&gt;_x000d__x000a_    &lt;menuitem caption=&quot;Equation with numbering&quot; onaction=&quot;mUI.UI_InsertEquationWithNum&quot; param=&quot;&quot; /&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 caption=&quot;Remove page with information on how to decide distribution&quot;&gt;_x000d__x000a_      &lt;click method=&quot;RemoveContentOfBookmark&quot;&gt;_x000d__x000a_        &lt;param name=&quot;bookmark_name&quot; type=&quot;string&quot; value=&quot;DistributionRestricText&quot; /&gt;_x000d__x000a_      &lt;/click&gt;_x000d__x000a_    &lt;/menuitem&gt;_x000d__x000a_  &lt;/menuitems&gt;_x000d__x000a_&lt;/form&gt;&lt;/setting&gt;&lt;/doc_config&gt;&lt;/DNVeFormsCore&gt;"/>
    <w:docVar w:name="eFormsDataStoreItemId" w:val="{5CA4A4C5-54AF-4604-9925-3D577EA5FC6C}"/>
    <w:docVar w:name="eFormsFormConfig" w:val="&lt;form form_id=&quot;1789&quot; formversion_no=&quot;32&quot; code=&quot;COR 006&quot; name=&quot;Report&quot; issue=&quot;2020-05&quot; formgroup_id=&quot;0&quot; distribution_bits=&quot;15&quot; FU=&quot;1&quot; SS=&quot;1&quot; SL=&quot;1&quot; ST=&quot;1&quot; filename=&quot;COR006.dotx&quot; type=&quot;Word&quot; datafolder=&quot;&quot; form_id_field=&quot;&quot; formflow_filename=&quot;&quot; standalone=&quot;n&quot;&gt;_x000d__x000a_  &lt;menuitems&gt;_x000d__x000a_    &lt;menuitem caption=&quot;Print Preview&quot;&gt;_x000d__x000a_      &lt;click method=&quot;PrintPreview&quot; /&gt;_x000d__x000a_    &lt;/menuitem&gt;_x000d__x000a_    &lt;menuitem caption=&quot;Update all Fields (incl. TOC)&quot;&gt;_x000d__x000a_      &lt;click method=&quot;UpdateAllFields&quot; /&gt;_x000d__x000a_    &lt;/menuitem&gt;_x000d__x000a_    &lt;menuitem caption=&quot;Add Reference to list&quot;&gt;_x000d__x000a_      &lt;click method=&quot;InsertRefInRefTable&quot; /&gt;_x000d__x000a_    &lt;/menuitem&gt;_x000d__x000a_    &lt;menuitem caption=&quot;Appendices...&quot;&gt;_x000d__x000a_      &lt;click method=&quot;EditAppendices&quot; /&gt;_x000d__x000a_    &lt;/menuitem&gt;_x000d__x000a_    &lt;menuitem caption=&quot;Equation with numbering&quot; onaction=&quot;mUI.UI_InsertEquationWithNum&quot; param=&quot;&quot; /&gt;_x000d__x000a_    &lt;menuitem caption=&quot;Insert table&quot;&gt;_x000d__x000a_      &lt;click method=&quot;InsertTable&quot; /&gt;_x000d__x000a_    &lt;/menuitem&gt;_x000d__x000a_    &lt;menuitem caption=&quot;Insert table caption&quot;&gt;_x000d__x000a_      &lt;click method=&quot;InsertTableCaption&quot; /&gt;_x000d__x000a_    &lt;/menuitem&gt;_x000d__x000a_    &lt;menuitem caption=&quot;Insert figure caption&quot;&gt;_x000d__x000a_      &lt;click method=&quot;InsertFigureCaption&quot; /&gt;_x000d__x000a_    &lt;/menuitem&gt;_x000d__x000a_    &lt;menuitem caption=&quot;Remove page with information on how to decide distribution&quot;&gt;_x000d__x000a_      &lt;click method=&quot;RemoveContentOfBookmark&quot;&gt;_x000d__x000a_        &lt;param name=&quot;bookmark_name&quot; type=&quot;string&quot; value=&quot;DistributionRestricText&quot; /&gt;_x000d__x000a_      &lt;/click&gt;_x000d__x000a_    &lt;/menuitem&gt;_x000d__x000a_  &lt;/menuitems&gt;_x000d__x000a_&lt;/form&gt;"/>
    <w:docVar w:name="TB build" w:val="20210216 124511"/>
    <w:docVar w:name="TB build utc" w:val="2021-02-16T11:45:18"/>
    <w:docVar w:name="TB filename" w:val="COR006.dotx"/>
    <w:docVar w:name="TB id" w:val="7262"/>
    <w:docVar w:name="TB name" w:val="COR 006"/>
    <w:docVar w:name="XCD450QKD" w:val="f0cae5b166804c489d7d6309072ec101"/>
  </w:docVars>
  <w:rsids>
    <w:rsidRoot w:val="006E5F7D"/>
    <w:rsid w:val="00000187"/>
    <w:rsid w:val="000001DC"/>
    <w:rsid w:val="00000708"/>
    <w:rsid w:val="000011BE"/>
    <w:rsid w:val="00001249"/>
    <w:rsid w:val="000012DB"/>
    <w:rsid w:val="0000161E"/>
    <w:rsid w:val="00001790"/>
    <w:rsid w:val="00001AF2"/>
    <w:rsid w:val="00001D1D"/>
    <w:rsid w:val="00001E74"/>
    <w:rsid w:val="0000256D"/>
    <w:rsid w:val="0000291C"/>
    <w:rsid w:val="00002D1F"/>
    <w:rsid w:val="0000347C"/>
    <w:rsid w:val="000035BA"/>
    <w:rsid w:val="000035FD"/>
    <w:rsid w:val="000037E2"/>
    <w:rsid w:val="00003A9B"/>
    <w:rsid w:val="00004177"/>
    <w:rsid w:val="000045DD"/>
    <w:rsid w:val="00004B00"/>
    <w:rsid w:val="00004B76"/>
    <w:rsid w:val="00004CE6"/>
    <w:rsid w:val="0000504F"/>
    <w:rsid w:val="00005373"/>
    <w:rsid w:val="00005A2B"/>
    <w:rsid w:val="00005C45"/>
    <w:rsid w:val="00005F95"/>
    <w:rsid w:val="000060AD"/>
    <w:rsid w:val="0000646C"/>
    <w:rsid w:val="00007069"/>
    <w:rsid w:val="0000754B"/>
    <w:rsid w:val="00007624"/>
    <w:rsid w:val="00010B6E"/>
    <w:rsid w:val="00010F8A"/>
    <w:rsid w:val="000115EE"/>
    <w:rsid w:val="00011E8C"/>
    <w:rsid w:val="00011F84"/>
    <w:rsid w:val="000126AB"/>
    <w:rsid w:val="00012902"/>
    <w:rsid w:val="00013678"/>
    <w:rsid w:val="00014525"/>
    <w:rsid w:val="00014809"/>
    <w:rsid w:val="0001481F"/>
    <w:rsid w:val="00014C48"/>
    <w:rsid w:val="00015D95"/>
    <w:rsid w:val="00015ECA"/>
    <w:rsid w:val="0001606F"/>
    <w:rsid w:val="00016B25"/>
    <w:rsid w:val="00017347"/>
    <w:rsid w:val="000201C0"/>
    <w:rsid w:val="0002167C"/>
    <w:rsid w:val="00021915"/>
    <w:rsid w:val="00021A01"/>
    <w:rsid w:val="00021F21"/>
    <w:rsid w:val="00022279"/>
    <w:rsid w:val="0002267D"/>
    <w:rsid w:val="00022697"/>
    <w:rsid w:val="00022CD1"/>
    <w:rsid w:val="00023649"/>
    <w:rsid w:val="00023F2B"/>
    <w:rsid w:val="000242CA"/>
    <w:rsid w:val="000246E3"/>
    <w:rsid w:val="000248E8"/>
    <w:rsid w:val="000255B2"/>
    <w:rsid w:val="000258BE"/>
    <w:rsid w:val="00025997"/>
    <w:rsid w:val="00025B5C"/>
    <w:rsid w:val="000269EE"/>
    <w:rsid w:val="00026E51"/>
    <w:rsid w:val="000270BF"/>
    <w:rsid w:val="00027784"/>
    <w:rsid w:val="00027D15"/>
    <w:rsid w:val="00027EE2"/>
    <w:rsid w:val="0003089F"/>
    <w:rsid w:val="00030B6E"/>
    <w:rsid w:val="00030B82"/>
    <w:rsid w:val="00030C54"/>
    <w:rsid w:val="000318F1"/>
    <w:rsid w:val="000319CE"/>
    <w:rsid w:val="00032170"/>
    <w:rsid w:val="000325D7"/>
    <w:rsid w:val="0003269F"/>
    <w:rsid w:val="000326C5"/>
    <w:rsid w:val="00032C6F"/>
    <w:rsid w:val="0003335C"/>
    <w:rsid w:val="00033E14"/>
    <w:rsid w:val="00033E3E"/>
    <w:rsid w:val="0003411E"/>
    <w:rsid w:val="0003423F"/>
    <w:rsid w:val="00034486"/>
    <w:rsid w:val="000347A9"/>
    <w:rsid w:val="000353B3"/>
    <w:rsid w:val="000358FB"/>
    <w:rsid w:val="00035C08"/>
    <w:rsid w:val="000362F8"/>
    <w:rsid w:val="00036488"/>
    <w:rsid w:val="000368F0"/>
    <w:rsid w:val="00037CA1"/>
    <w:rsid w:val="000400E9"/>
    <w:rsid w:val="00040969"/>
    <w:rsid w:val="00040F65"/>
    <w:rsid w:val="00041798"/>
    <w:rsid w:val="00041818"/>
    <w:rsid w:val="0004191E"/>
    <w:rsid w:val="00041AF2"/>
    <w:rsid w:val="00041B47"/>
    <w:rsid w:val="00041CF6"/>
    <w:rsid w:val="000423BC"/>
    <w:rsid w:val="000426A6"/>
    <w:rsid w:val="000428BA"/>
    <w:rsid w:val="000429AE"/>
    <w:rsid w:val="00042C3A"/>
    <w:rsid w:val="00042E5C"/>
    <w:rsid w:val="0004310D"/>
    <w:rsid w:val="00043590"/>
    <w:rsid w:val="00043B10"/>
    <w:rsid w:val="00043B3A"/>
    <w:rsid w:val="00043C0C"/>
    <w:rsid w:val="0004427E"/>
    <w:rsid w:val="0004498B"/>
    <w:rsid w:val="00044C04"/>
    <w:rsid w:val="00045863"/>
    <w:rsid w:val="00045B42"/>
    <w:rsid w:val="00045E88"/>
    <w:rsid w:val="00045F42"/>
    <w:rsid w:val="00045F47"/>
    <w:rsid w:val="000461C3"/>
    <w:rsid w:val="000465FE"/>
    <w:rsid w:val="0004759F"/>
    <w:rsid w:val="00047753"/>
    <w:rsid w:val="00047B1F"/>
    <w:rsid w:val="00047CBF"/>
    <w:rsid w:val="000501D3"/>
    <w:rsid w:val="00050AE8"/>
    <w:rsid w:val="00050B8A"/>
    <w:rsid w:val="00050D41"/>
    <w:rsid w:val="00050DB8"/>
    <w:rsid w:val="00051001"/>
    <w:rsid w:val="00051119"/>
    <w:rsid w:val="00051568"/>
    <w:rsid w:val="00051788"/>
    <w:rsid w:val="00052447"/>
    <w:rsid w:val="00052599"/>
    <w:rsid w:val="000531B9"/>
    <w:rsid w:val="000533B0"/>
    <w:rsid w:val="00053668"/>
    <w:rsid w:val="000537CB"/>
    <w:rsid w:val="000541C0"/>
    <w:rsid w:val="0005489B"/>
    <w:rsid w:val="00055A61"/>
    <w:rsid w:val="00055B09"/>
    <w:rsid w:val="00055C7C"/>
    <w:rsid w:val="00055F40"/>
    <w:rsid w:val="00056355"/>
    <w:rsid w:val="00056489"/>
    <w:rsid w:val="000565F6"/>
    <w:rsid w:val="0005666D"/>
    <w:rsid w:val="000569DA"/>
    <w:rsid w:val="000569E4"/>
    <w:rsid w:val="00056BE4"/>
    <w:rsid w:val="00056C46"/>
    <w:rsid w:val="00056C4D"/>
    <w:rsid w:val="000578ED"/>
    <w:rsid w:val="00057B2F"/>
    <w:rsid w:val="000600E8"/>
    <w:rsid w:val="000604C5"/>
    <w:rsid w:val="00060A77"/>
    <w:rsid w:val="00061073"/>
    <w:rsid w:val="0006116D"/>
    <w:rsid w:val="0006150B"/>
    <w:rsid w:val="0006183E"/>
    <w:rsid w:val="0006258E"/>
    <w:rsid w:val="000626AA"/>
    <w:rsid w:val="00063047"/>
    <w:rsid w:val="00063E9D"/>
    <w:rsid w:val="00063FB3"/>
    <w:rsid w:val="0006424C"/>
    <w:rsid w:val="00064349"/>
    <w:rsid w:val="00064663"/>
    <w:rsid w:val="000652E8"/>
    <w:rsid w:val="0006541D"/>
    <w:rsid w:val="000657AC"/>
    <w:rsid w:val="00065AAC"/>
    <w:rsid w:val="00065B3D"/>
    <w:rsid w:val="00066556"/>
    <w:rsid w:val="00066653"/>
    <w:rsid w:val="00066697"/>
    <w:rsid w:val="000667E0"/>
    <w:rsid w:val="00066D99"/>
    <w:rsid w:val="00066E7D"/>
    <w:rsid w:val="00067520"/>
    <w:rsid w:val="00067936"/>
    <w:rsid w:val="00067CBE"/>
    <w:rsid w:val="00067D13"/>
    <w:rsid w:val="00067FB8"/>
    <w:rsid w:val="0007045E"/>
    <w:rsid w:val="000704C9"/>
    <w:rsid w:val="00071199"/>
    <w:rsid w:val="000716C3"/>
    <w:rsid w:val="00071B37"/>
    <w:rsid w:val="00071CD2"/>
    <w:rsid w:val="00072482"/>
    <w:rsid w:val="00072552"/>
    <w:rsid w:val="00073A9C"/>
    <w:rsid w:val="00073EBF"/>
    <w:rsid w:val="00074438"/>
    <w:rsid w:val="0007563B"/>
    <w:rsid w:val="00075A05"/>
    <w:rsid w:val="00075F9D"/>
    <w:rsid w:val="000760AB"/>
    <w:rsid w:val="000762C7"/>
    <w:rsid w:val="000767A2"/>
    <w:rsid w:val="00076C09"/>
    <w:rsid w:val="00076C2C"/>
    <w:rsid w:val="00077F46"/>
    <w:rsid w:val="000806BC"/>
    <w:rsid w:val="00080880"/>
    <w:rsid w:val="00080C32"/>
    <w:rsid w:val="00080CAC"/>
    <w:rsid w:val="00081126"/>
    <w:rsid w:val="000811A8"/>
    <w:rsid w:val="00081AAB"/>
    <w:rsid w:val="00081AF5"/>
    <w:rsid w:val="000821E3"/>
    <w:rsid w:val="00082605"/>
    <w:rsid w:val="0008389B"/>
    <w:rsid w:val="00083989"/>
    <w:rsid w:val="00083AE3"/>
    <w:rsid w:val="00083C3B"/>
    <w:rsid w:val="000845BA"/>
    <w:rsid w:val="00084805"/>
    <w:rsid w:val="00084A60"/>
    <w:rsid w:val="00084E7C"/>
    <w:rsid w:val="0008508E"/>
    <w:rsid w:val="000853D4"/>
    <w:rsid w:val="00085DA3"/>
    <w:rsid w:val="00085E70"/>
    <w:rsid w:val="00086174"/>
    <w:rsid w:val="000866A7"/>
    <w:rsid w:val="00086C07"/>
    <w:rsid w:val="000870CF"/>
    <w:rsid w:val="000872F3"/>
    <w:rsid w:val="000874A5"/>
    <w:rsid w:val="000874D9"/>
    <w:rsid w:val="00087A3C"/>
    <w:rsid w:val="0009026B"/>
    <w:rsid w:val="0009050E"/>
    <w:rsid w:val="0009103E"/>
    <w:rsid w:val="00091219"/>
    <w:rsid w:val="000917ED"/>
    <w:rsid w:val="00091B96"/>
    <w:rsid w:val="0009205E"/>
    <w:rsid w:val="00092448"/>
    <w:rsid w:val="00092A01"/>
    <w:rsid w:val="00092A13"/>
    <w:rsid w:val="00092B62"/>
    <w:rsid w:val="00093400"/>
    <w:rsid w:val="000935CF"/>
    <w:rsid w:val="000938E1"/>
    <w:rsid w:val="000940F6"/>
    <w:rsid w:val="0009450A"/>
    <w:rsid w:val="000948A7"/>
    <w:rsid w:val="0009535A"/>
    <w:rsid w:val="00095786"/>
    <w:rsid w:val="00095917"/>
    <w:rsid w:val="00095A28"/>
    <w:rsid w:val="00095E34"/>
    <w:rsid w:val="000964B7"/>
    <w:rsid w:val="0009682D"/>
    <w:rsid w:val="00096C50"/>
    <w:rsid w:val="000976EA"/>
    <w:rsid w:val="000978BB"/>
    <w:rsid w:val="00097A04"/>
    <w:rsid w:val="00097D5E"/>
    <w:rsid w:val="00097E99"/>
    <w:rsid w:val="000A0022"/>
    <w:rsid w:val="000A02CB"/>
    <w:rsid w:val="000A0552"/>
    <w:rsid w:val="000A115B"/>
    <w:rsid w:val="000A117C"/>
    <w:rsid w:val="000A16B8"/>
    <w:rsid w:val="000A17EC"/>
    <w:rsid w:val="000A18A9"/>
    <w:rsid w:val="000A1C22"/>
    <w:rsid w:val="000A20D6"/>
    <w:rsid w:val="000A2188"/>
    <w:rsid w:val="000A23CC"/>
    <w:rsid w:val="000A2896"/>
    <w:rsid w:val="000A29D6"/>
    <w:rsid w:val="000A2EE6"/>
    <w:rsid w:val="000A3DA4"/>
    <w:rsid w:val="000A402F"/>
    <w:rsid w:val="000A5D26"/>
    <w:rsid w:val="000A5D9E"/>
    <w:rsid w:val="000A6CC2"/>
    <w:rsid w:val="000A70B9"/>
    <w:rsid w:val="000A7253"/>
    <w:rsid w:val="000A73EB"/>
    <w:rsid w:val="000A74BB"/>
    <w:rsid w:val="000A75FC"/>
    <w:rsid w:val="000A7D85"/>
    <w:rsid w:val="000B009B"/>
    <w:rsid w:val="000B0C9B"/>
    <w:rsid w:val="000B0D61"/>
    <w:rsid w:val="000B16E2"/>
    <w:rsid w:val="000B1E4B"/>
    <w:rsid w:val="000B1F34"/>
    <w:rsid w:val="000B2591"/>
    <w:rsid w:val="000B32AC"/>
    <w:rsid w:val="000B35ED"/>
    <w:rsid w:val="000B3D33"/>
    <w:rsid w:val="000B42A8"/>
    <w:rsid w:val="000B42B5"/>
    <w:rsid w:val="000B4736"/>
    <w:rsid w:val="000B4916"/>
    <w:rsid w:val="000B54A5"/>
    <w:rsid w:val="000B55AD"/>
    <w:rsid w:val="000B5F97"/>
    <w:rsid w:val="000B6313"/>
    <w:rsid w:val="000B6688"/>
    <w:rsid w:val="000B7CE2"/>
    <w:rsid w:val="000B7E6D"/>
    <w:rsid w:val="000C05D5"/>
    <w:rsid w:val="000C0C8C"/>
    <w:rsid w:val="000C11DD"/>
    <w:rsid w:val="000C131E"/>
    <w:rsid w:val="000C13BF"/>
    <w:rsid w:val="000C1651"/>
    <w:rsid w:val="000C1869"/>
    <w:rsid w:val="000C2D9C"/>
    <w:rsid w:val="000C44DB"/>
    <w:rsid w:val="000C4AF2"/>
    <w:rsid w:val="000C5236"/>
    <w:rsid w:val="000C5458"/>
    <w:rsid w:val="000C5CB5"/>
    <w:rsid w:val="000C5FA2"/>
    <w:rsid w:val="000C62A7"/>
    <w:rsid w:val="000C64B0"/>
    <w:rsid w:val="000C6508"/>
    <w:rsid w:val="000C6664"/>
    <w:rsid w:val="000C711A"/>
    <w:rsid w:val="000C754A"/>
    <w:rsid w:val="000C790D"/>
    <w:rsid w:val="000D05A8"/>
    <w:rsid w:val="000D0681"/>
    <w:rsid w:val="000D08CC"/>
    <w:rsid w:val="000D0A77"/>
    <w:rsid w:val="000D0B1B"/>
    <w:rsid w:val="000D0C9A"/>
    <w:rsid w:val="000D0EAB"/>
    <w:rsid w:val="000D16F3"/>
    <w:rsid w:val="000D1BA2"/>
    <w:rsid w:val="000D22C0"/>
    <w:rsid w:val="000D324F"/>
    <w:rsid w:val="000D342D"/>
    <w:rsid w:val="000D4547"/>
    <w:rsid w:val="000D4EFF"/>
    <w:rsid w:val="000D4F27"/>
    <w:rsid w:val="000D50E1"/>
    <w:rsid w:val="000D5BA3"/>
    <w:rsid w:val="000D5C37"/>
    <w:rsid w:val="000D614A"/>
    <w:rsid w:val="000D617E"/>
    <w:rsid w:val="000D644C"/>
    <w:rsid w:val="000D7535"/>
    <w:rsid w:val="000D75C7"/>
    <w:rsid w:val="000D76FE"/>
    <w:rsid w:val="000D79C6"/>
    <w:rsid w:val="000E0165"/>
    <w:rsid w:val="000E03C5"/>
    <w:rsid w:val="000E0470"/>
    <w:rsid w:val="000E04CF"/>
    <w:rsid w:val="000E0A9B"/>
    <w:rsid w:val="000E0BE7"/>
    <w:rsid w:val="000E0DB3"/>
    <w:rsid w:val="000E0E3E"/>
    <w:rsid w:val="000E10C2"/>
    <w:rsid w:val="000E11EB"/>
    <w:rsid w:val="000E1B7E"/>
    <w:rsid w:val="000E1ED7"/>
    <w:rsid w:val="000E2180"/>
    <w:rsid w:val="000E2341"/>
    <w:rsid w:val="000E2B7C"/>
    <w:rsid w:val="000E3332"/>
    <w:rsid w:val="000E34DB"/>
    <w:rsid w:val="000E38DD"/>
    <w:rsid w:val="000E4335"/>
    <w:rsid w:val="000E439E"/>
    <w:rsid w:val="000E4A08"/>
    <w:rsid w:val="000E4BC6"/>
    <w:rsid w:val="000E4EB2"/>
    <w:rsid w:val="000E4F6E"/>
    <w:rsid w:val="000E52A9"/>
    <w:rsid w:val="000E5561"/>
    <w:rsid w:val="000E5DD1"/>
    <w:rsid w:val="000E6A4C"/>
    <w:rsid w:val="000E6BDA"/>
    <w:rsid w:val="000E6E42"/>
    <w:rsid w:val="000E72AF"/>
    <w:rsid w:val="000E7770"/>
    <w:rsid w:val="000E77AA"/>
    <w:rsid w:val="000E7EA0"/>
    <w:rsid w:val="000F0F00"/>
    <w:rsid w:val="000F0F0F"/>
    <w:rsid w:val="000F191C"/>
    <w:rsid w:val="000F1A79"/>
    <w:rsid w:val="000F1BA5"/>
    <w:rsid w:val="000F1CB2"/>
    <w:rsid w:val="000F1EE9"/>
    <w:rsid w:val="000F1F39"/>
    <w:rsid w:val="000F2314"/>
    <w:rsid w:val="000F307F"/>
    <w:rsid w:val="000F3202"/>
    <w:rsid w:val="000F366F"/>
    <w:rsid w:val="000F3737"/>
    <w:rsid w:val="000F38EB"/>
    <w:rsid w:val="000F3A7A"/>
    <w:rsid w:val="000F3C0D"/>
    <w:rsid w:val="000F410B"/>
    <w:rsid w:val="000F4453"/>
    <w:rsid w:val="000F473D"/>
    <w:rsid w:val="000F47CD"/>
    <w:rsid w:val="000F4C38"/>
    <w:rsid w:val="000F4CDD"/>
    <w:rsid w:val="000F62F5"/>
    <w:rsid w:val="000F62FD"/>
    <w:rsid w:val="000F6446"/>
    <w:rsid w:val="000F6715"/>
    <w:rsid w:val="000F6B9F"/>
    <w:rsid w:val="000F70BE"/>
    <w:rsid w:val="000F770F"/>
    <w:rsid w:val="000F7AE6"/>
    <w:rsid w:val="000F7D6A"/>
    <w:rsid w:val="000F7D93"/>
    <w:rsid w:val="00100023"/>
    <w:rsid w:val="001007CF"/>
    <w:rsid w:val="00100F79"/>
    <w:rsid w:val="00101154"/>
    <w:rsid w:val="00101193"/>
    <w:rsid w:val="00101645"/>
    <w:rsid w:val="00101852"/>
    <w:rsid w:val="001019D1"/>
    <w:rsid w:val="001020A9"/>
    <w:rsid w:val="0010230C"/>
    <w:rsid w:val="00102D7A"/>
    <w:rsid w:val="0010303B"/>
    <w:rsid w:val="00103F87"/>
    <w:rsid w:val="00104072"/>
    <w:rsid w:val="001043B7"/>
    <w:rsid w:val="001045E2"/>
    <w:rsid w:val="00104BB5"/>
    <w:rsid w:val="00104F8D"/>
    <w:rsid w:val="001058C8"/>
    <w:rsid w:val="00106170"/>
    <w:rsid w:val="0010675D"/>
    <w:rsid w:val="00106F89"/>
    <w:rsid w:val="001070A2"/>
    <w:rsid w:val="001077FC"/>
    <w:rsid w:val="00107846"/>
    <w:rsid w:val="00107A99"/>
    <w:rsid w:val="00107BA5"/>
    <w:rsid w:val="00107D04"/>
    <w:rsid w:val="00107E1C"/>
    <w:rsid w:val="001100DB"/>
    <w:rsid w:val="00110303"/>
    <w:rsid w:val="00110696"/>
    <w:rsid w:val="0011092A"/>
    <w:rsid w:val="0011093A"/>
    <w:rsid w:val="00110C7D"/>
    <w:rsid w:val="00111128"/>
    <w:rsid w:val="0011140A"/>
    <w:rsid w:val="0011143A"/>
    <w:rsid w:val="00111FC2"/>
    <w:rsid w:val="0011218B"/>
    <w:rsid w:val="001124DA"/>
    <w:rsid w:val="001125D0"/>
    <w:rsid w:val="00112F23"/>
    <w:rsid w:val="00112FF3"/>
    <w:rsid w:val="00113457"/>
    <w:rsid w:val="001134D3"/>
    <w:rsid w:val="00113A57"/>
    <w:rsid w:val="00113B75"/>
    <w:rsid w:val="0011402B"/>
    <w:rsid w:val="00114210"/>
    <w:rsid w:val="00114294"/>
    <w:rsid w:val="001143DC"/>
    <w:rsid w:val="001146E5"/>
    <w:rsid w:val="00114EC7"/>
    <w:rsid w:val="00114FDA"/>
    <w:rsid w:val="0011530A"/>
    <w:rsid w:val="00115747"/>
    <w:rsid w:val="00115DB6"/>
    <w:rsid w:val="0011609A"/>
    <w:rsid w:val="001161A3"/>
    <w:rsid w:val="0011655F"/>
    <w:rsid w:val="00116A52"/>
    <w:rsid w:val="001175A8"/>
    <w:rsid w:val="0011783D"/>
    <w:rsid w:val="00117C83"/>
    <w:rsid w:val="0012059F"/>
    <w:rsid w:val="001206F2"/>
    <w:rsid w:val="00120792"/>
    <w:rsid w:val="00120928"/>
    <w:rsid w:val="00120D0A"/>
    <w:rsid w:val="00121026"/>
    <w:rsid w:val="0012126A"/>
    <w:rsid w:val="001213BD"/>
    <w:rsid w:val="001217DC"/>
    <w:rsid w:val="00121ED8"/>
    <w:rsid w:val="0012200C"/>
    <w:rsid w:val="00122388"/>
    <w:rsid w:val="001223E8"/>
    <w:rsid w:val="001230C0"/>
    <w:rsid w:val="0012313C"/>
    <w:rsid w:val="0012331D"/>
    <w:rsid w:val="001236CB"/>
    <w:rsid w:val="00123E55"/>
    <w:rsid w:val="00123EB0"/>
    <w:rsid w:val="001240D0"/>
    <w:rsid w:val="001242DB"/>
    <w:rsid w:val="0012484C"/>
    <w:rsid w:val="00124D24"/>
    <w:rsid w:val="00124EC2"/>
    <w:rsid w:val="001256F4"/>
    <w:rsid w:val="00125B2C"/>
    <w:rsid w:val="00125D98"/>
    <w:rsid w:val="00125FDC"/>
    <w:rsid w:val="00126795"/>
    <w:rsid w:val="001267BE"/>
    <w:rsid w:val="00126DDF"/>
    <w:rsid w:val="00127057"/>
    <w:rsid w:val="00127729"/>
    <w:rsid w:val="001278EF"/>
    <w:rsid w:val="00130DDA"/>
    <w:rsid w:val="00131271"/>
    <w:rsid w:val="00131451"/>
    <w:rsid w:val="00131672"/>
    <w:rsid w:val="00131696"/>
    <w:rsid w:val="00131D2B"/>
    <w:rsid w:val="00131EAB"/>
    <w:rsid w:val="001325C5"/>
    <w:rsid w:val="001326D2"/>
    <w:rsid w:val="001328A6"/>
    <w:rsid w:val="001328CF"/>
    <w:rsid w:val="00132B4C"/>
    <w:rsid w:val="00132EC5"/>
    <w:rsid w:val="00133541"/>
    <w:rsid w:val="00133CEE"/>
    <w:rsid w:val="00133D24"/>
    <w:rsid w:val="00133DAF"/>
    <w:rsid w:val="00133DF4"/>
    <w:rsid w:val="00133F0A"/>
    <w:rsid w:val="00134645"/>
    <w:rsid w:val="00134651"/>
    <w:rsid w:val="00134A71"/>
    <w:rsid w:val="00134D95"/>
    <w:rsid w:val="0013503D"/>
    <w:rsid w:val="00135540"/>
    <w:rsid w:val="0013584F"/>
    <w:rsid w:val="00135D6D"/>
    <w:rsid w:val="0013619B"/>
    <w:rsid w:val="00136DE3"/>
    <w:rsid w:val="00136ED5"/>
    <w:rsid w:val="0013759B"/>
    <w:rsid w:val="001375C0"/>
    <w:rsid w:val="00137B34"/>
    <w:rsid w:val="00137B42"/>
    <w:rsid w:val="00137D41"/>
    <w:rsid w:val="00137E40"/>
    <w:rsid w:val="001403C1"/>
    <w:rsid w:val="00140414"/>
    <w:rsid w:val="00140FBD"/>
    <w:rsid w:val="00141B47"/>
    <w:rsid w:val="00141E77"/>
    <w:rsid w:val="00141F2A"/>
    <w:rsid w:val="001421D7"/>
    <w:rsid w:val="00142460"/>
    <w:rsid w:val="00142522"/>
    <w:rsid w:val="00142855"/>
    <w:rsid w:val="00142BF3"/>
    <w:rsid w:val="00142C4F"/>
    <w:rsid w:val="0014368F"/>
    <w:rsid w:val="001438B4"/>
    <w:rsid w:val="001438F9"/>
    <w:rsid w:val="00143CB1"/>
    <w:rsid w:val="001449A7"/>
    <w:rsid w:val="001449FC"/>
    <w:rsid w:val="001452B9"/>
    <w:rsid w:val="0014546B"/>
    <w:rsid w:val="0014567F"/>
    <w:rsid w:val="001457A3"/>
    <w:rsid w:val="00145914"/>
    <w:rsid w:val="00145AE6"/>
    <w:rsid w:val="0014614F"/>
    <w:rsid w:val="00146C5C"/>
    <w:rsid w:val="00146DEA"/>
    <w:rsid w:val="00147815"/>
    <w:rsid w:val="00147AD1"/>
    <w:rsid w:val="001503A7"/>
    <w:rsid w:val="001503CF"/>
    <w:rsid w:val="00150454"/>
    <w:rsid w:val="0015083A"/>
    <w:rsid w:val="00150DF4"/>
    <w:rsid w:val="00150EA2"/>
    <w:rsid w:val="00150F59"/>
    <w:rsid w:val="0015124D"/>
    <w:rsid w:val="00151297"/>
    <w:rsid w:val="001514B1"/>
    <w:rsid w:val="00152824"/>
    <w:rsid w:val="001530D3"/>
    <w:rsid w:val="001533B1"/>
    <w:rsid w:val="001533CD"/>
    <w:rsid w:val="001535EC"/>
    <w:rsid w:val="0015421E"/>
    <w:rsid w:val="0015438C"/>
    <w:rsid w:val="001548C5"/>
    <w:rsid w:val="00154938"/>
    <w:rsid w:val="00155559"/>
    <w:rsid w:val="00155941"/>
    <w:rsid w:val="00155D93"/>
    <w:rsid w:val="00155DE4"/>
    <w:rsid w:val="00155F1A"/>
    <w:rsid w:val="0015661A"/>
    <w:rsid w:val="001568C1"/>
    <w:rsid w:val="00156D89"/>
    <w:rsid w:val="001573A2"/>
    <w:rsid w:val="001577D9"/>
    <w:rsid w:val="00157C10"/>
    <w:rsid w:val="00157E96"/>
    <w:rsid w:val="001601EF"/>
    <w:rsid w:val="001602BB"/>
    <w:rsid w:val="00160BAE"/>
    <w:rsid w:val="0016101E"/>
    <w:rsid w:val="001616A7"/>
    <w:rsid w:val="00161788"/>
    <w:rsid w:val="00161867"/>
    <w:rsid w:val="00161CCA"/>
    <w:rsid w:val="00161D9C"/>
    <w:rsid w:val="00161E5F"/>
    <w:rsid w:val="001620FB"/>
    <w:rsid w:val="00162559"/>
    <w:rsid w:val="00162C59"/>
    <w:rsid w:val="0016355F"/>
    <w:rsid w:val="001636C4"/>
    <w:rsid w:val="00163A24"/>
    <w:rsid w:val="00163A3E"/>
    <w:rsid w:val="00164218"/>
    <w:rsid w:val="0016426E"/>
    <w:rsid w:val="0016438B"/>
    <w:rsid w:val="0016477B"/>
    <w:rsid w:val="0016479A"/>
    <w:rsid w:val="00164AF2"/>
    <w:rsid w:val="00164BD4"/>
    <w:rsid w:val="00164C39"/>
    <w:rsid w:val="00164E25"/>
    <w:rsid w:val="001650B0"/>
    <w:rsid w:val="001650C5"/>
    <w:rsid w:val="001652F4"/>
    <w:rsid w:val="001656D5"/>
    <w:rsid w:val="001658AE"/>
    <w:rsid w:val="00165C7D"/>
    <w:rsid w:val="00165E25"/>
    <w:rsid w:val="00165FC2"/>
    <w:rsid w:val="001660E7"/>
    <w:rsid w:val="001661EE"/>
    <w:rsid w:val="001671F9"/>
    <w:rsid w:val="00167485"/>
    <w:rsid w:val="00167A42"/>
    <w:rsid w:val="00167A78"/>
    <w:rsid w:val="00167D28"/>
    <w:rsid w:val="00167D89"/>
    <w:rsid w:val="0017024F"/>
    <w:rsid w:val="00171553"/>
    <w:rsid w:val="00171A2F"/>
    <w:rsid w:val="00171A3F"/>
    <w:rsid w:val="00172148"/>
    <w:rsid w:val="00172E08"/>
    <w:rsid w:val="001733E7"/>
    <w:rsid w:val="001734AD"/>
    <w:rsid w:val="0017353B"/>
    <w:rsid w:val="001735BE"/>
    <w:rsid w:val="00173941"/>
    <w:rsid w:val="001739ED"/>
    <w:rsid w:val="00173F1F"/>
    <w:rsid w:val="00174316"/>
    <w:rsid w:val="00174D96"/>
    <w:rsid w:val="00174FBD"/>
    <w:rsid w:val="00175184"/>
    <w:rsid w:val="00175240"/>
    <w:rsid w:val="001757C6"/>
    <w:rsid w:val="00175877"/>
    <w:rsid w:val="00175DAD"/>
    <w:rsid w:val="00175FFA"/>
    <w:rsid w:val="00176C1F"/>
    <w:rsid w:val="00176DD5"/>
    <w:rsid w:val="00176F6E"/>
    <w:rsid w:val="001777B8"/>
    <w:rsid w:val="00180471"/>
    <w:rsid w:val="00180578"/>
    <w:rsid w:val="00180B60"/>
    <w:rsid w:val="00181370"/>
    <w:rsid w:val="0018141E"/>
    <w:rsid w:val="001815E2"/>
    <w:rsid w:val="001816C7"/>
    <w:rsid w:val="001820D8"/>
    <w:rsid w:val="00182102"/>
    <w:rsid w:val="001828A7"/>
    <w:rsid w:val="00182907"/>
    <w:rsid w:val="001836F8"/>
    <w:rsid w:val="00183B59"/>
    <w:rsid w:val="00183BA9"/>
    <w:rsid w:val="00183C1F"/>
    <w:rsid w:val="00183E97"/>
    <w:rsid w:val="0018431F"/>
    <w:rsid w:val="0018510F"/>
    <w:rsid w:val="00185F5F"/>
    <w:rsid w:val="001863BB"/>
    <w:rsid w:val="00186733"/>
    <w:rsid w:val="0018674C"/>
    <w:rsid w:val="00186917"/>
    <w:rsid w:val="00186E4D"/>
    <w:rsid w:val="001870DA"/>
    <w:rsid w:val="00187100"/>
    <w:rsid w:val="00187791"/>
    <w:rsid w:val="00187D95"/>
    <w:rsid w:val="00187F39"/>
    <w:rsid w:val="0018D63E"/>
    <w:rsid w:val="001902D9"/>
    <w:rsid w:val="001904E0"/>
    <w:rsid w:val="0019072A"/>
    <w:rsid w:val="00191730"/>
    <w:rsid w:val="001928E9"/>
    <w:rsid w:val="00192C31"/>
    <w:rsid w:val="00192C4E"/>
    <w:rsid w:val="00192D54"/>
    <w:rsid w:val="00194339"/>
    <w:rsid w:val="001953C8"/>
    <w:rsid w:val="00195402"/>
    <w:rsid w:val="001957A0"/>
    <w:rsid w:val="001958F0"/>
    <w:rsid w:val="00196276"/>
    <w:rsid w:val="00196500"/>
    <w:rsid w:val="00196556"/>
    <w:rsid w:val="001966EB"/>
    <w:rsid w:val="00196755"/>
    <w:rsid w:val="00196B22"/>
    <w:rsid w:val="00196D1F"/>
    <w:rsid w:val="00197037"/>
    <w:rsid w:val="0019717C"/>
    <w:rsid w:val="00197587"/>
    <w:rsid w:val="00197863"/>
    <w:rsid w:val="001979CA"/>
    <w:rsid w:val="00197B33"/>
    <w:rsid w:val="00197CE2"/>
    <w:rsid w:val="00197F5E"/>
    <w:rsid w:val="001A073B"/>
    <w:rsid w:val="001A0780"/>
    <w:rsid w:val="001A0824"/>
    <w:rsid w:val="001A085F"/>
    <w:rsid w:val="001A0C61"/>
    <w:rsid w:val="001A0D60"/>
    <w:rsid w:val="001A0E20"/>
    <w:rsid w:val="001A0EAC"/>
    <w:rsid w:val="001A167C"/>
    <w:rsid w:val="001A1A3B"/>
    <w:rsid w:val="001A1B03"/>
    <w:rsid w:val="001A1D00"/>
    <w:rsid w:val="001A2045"/>
    <w:rsid w:val="001A23B0"/>
    <w:rsid w:val="001A2C9C"/>
    <w:rsid w:val="001A2FC7"/>
    <w:rsid w:val="001A317A"/>
    <w:rsid w:val="001A32E4"/>
    <w:rsid w:val="001A377B"/>
    <w:rsid w:val="001A3A0B"/>
    <w:rsid w:val="001A4098"/>
    <w:rsid w:val="001A40E8"/>
    <w:rsid w:val="001A43DA"/>
    <w:rsid w:val="001A4467"/>
    <w:rsid w:val="001A4628"/>
    <w:rsid w:val="001A4787"/>
    <w:rsid w:val="001A4B7F"/>
    <w:rsid w:val="001A5042"/>
    <w:rsid w:val="001A5051"/>
    <w:rsid w:val="001A5491"/>
    <w:rsid w:val="001A5494"/>
    <w:rsid w:val="001A58FC"/>
    <w:rsid w:val="001A5DF4"/>
    <w:rsid w:val="001A5E2E"/>
    <w:rsid w:val="001A5F3B"/>
    <w:rsid w:val="001A625C"/>
    <w:rsid w:val="001A635E"/>
    <w:rsid w:val="001A65D3"/>
    <w:rsid w:val="001A6790"/>
    <w:rsid w:val="001A6988"/>
    <w:rsid w:val="001A6A10"/>
    <w:rsid w:val="001A6B0F"/>
    <w:rsid w:val="001A6B10"/>
    <w:rsid w:val="001A6F19"/>
    <w:rsid w:val="001A70A9"/>
    <w:rsid w:val="001A7317"/>
    <w:rsid w:val="001A76A3"/>
    <w:rsid w:val="001A76C5"/>
    <w:rsid w:val="001A76D5"/>
    <w:rsid w:val="001A7AE4"/>
    <w:rsid w:val="001A7B46"/>
    <w:rsid w:val="001A7F65"/>
    <w:rsid w:val="001B021F"/>
    <w:rsid w:val="001B0317"/>
    <w:rsid w:val="001B0AA4"/>
    <w:rsid w:val="001B0AC8"/>
    <w:rsid w:val="001B0C7A"/>
    <w:rsid w:val="001B149E"/>
    <w:rsid w:val="001B1627"/>
    <w:rsid w:val="001B1AFC"/>
    <w:rsid w:val="001B1BD4"/>
    <w:rsid w:val="001B1C72"/>
    <w:rsid w:val="001B1FAB"/>
    <w:rsid w:val="001B2DAD"/>
    <w:rsid w:val="001B4005"/>
    <w:rsid w:val="001B478D"/>
    <w:rsid w:val="001B4D84"/>
    <w:rsid w:val="001B4EF2"/>
    <w:rsid w:val="001B519B"/>
    <w:rsid w:val="001B55AF"/>
    <w:rsid w:val="001B565E"/>
    <w:rsid w:val="001B5C46"/>
    <w:rsid w:val="001B62F6"/>
    <w:rsid w:val="001B666D"/>
    <w:rsid w:val="001B6B68"/>
    <w:rsid w:val="001B7728"/>
    <w:rsid w:val="001B7F7A"/>
    <w:rsid w:val="001C0439"/>
    <w:rsid w:val="001C05CE"/>
    <w:rsid w:val="001C0AF8"/>
    <w:rsid w:val="001C0B05"/>
    <w:rsid w:val="001C0D50"/>
    <w:rsid w:val="001C0E37"/>
    <w:rsid w:val="001C1650"/>
    <w:rsid w:val="001C1F23"/>
    <w:rsid w:val="001C262D"/>
    <w:rsid w:val="001C2A33"/>
    <w:rsid w:val="001C2EF3"/>
    <w:rsid w:val="001C2F73"/>
    <w:rsid w:val="001C32E5"/>
    <w:rsid w:val="001C3C4A"/>
    <w:rsid w:val="001C3CC1"/>
    <w:rsid w:val="001C45D8"/>
    <w:rsid w:val="001C45E3"/>
    <w:rsid w:val="001C4E22"/>
    <w:rsid w:val="001C5CFC"/>
    <w:rsid w:val="001C6031"/>
    <w:rsid w:val="001C69C4"/>
    <w:rsid w:val="001C6C23"/>
    <w:rsid w:val="001C72D5"/>
    <w:rsid w:val="001C777F"/>
    <w:rsid w:val="001C78AE"/>
    <w:rsid w:val="001C78C9"/>
    <w:rsid w:val="001C7990"/>
    <w:rsid w:val="001D09BB"/>
    <w:rsid w:val="001D0DF6"/>
    <w:rsid w:val="001D0F06"/>
    <w:rsid w:val="001D130C"/>
    <w:rsid w:val="001D15C9"/>
    <w:rsid w:val="001D16BE"/>
    <w:rsid w:val="001D1FF7"/>
    <w:rsid w:val="001D25CE"/>
    <w:rsid w:val="001D2642"/>
    <w:rsid w:val="001D2A91"/>
    <w:rsid w:val="001D3822"/>
    <w:rsid w:val="001D3F2D"/>
    <w:rsid w:val="001D4EB7"/>
    <w:rsid w:val="001D5453"/>
    <w:rsid w:val="001D5D49"/>
    <w:rsid w:val="001D5EC5"/>
    <w:rsid w:val="001D60D6"/>
    <w:rsid w:val="001D61B8"/>
    <w:rsid w:val="001D64FF"/>
    <w:rsid w:val="001D652A"/>
    <w:rsid w:val="001D690C"/>
    <w:rsid w:val="001D6914"/>
    <w:rsid w:val="001D6B0A"/>
    <w:rsid w:val="001D6E3D"/>
    <w:rsid w:val="001D6F37"/>
    <w:rsid w:val="001D723F"/>
    <w:rsid w:val="001D76C6"/>
    <w:rsid w:val="001D7824"/>
    <w:rsid w:val="001D78F4"/>
    <w:rsid w:val="001D79D3"/>
    <w:rsid w:val="001E0803"/>
    <w:rsid w:val="001E099D"/>
    <w:rsid w:val="001E0D3F"/>
    <w:rsid w:val="001E0EE5"/>
    <w:rsid w:val="001E0FCA"/>
    <w:rsid w:val="001E142F"/>
    <w:rsid w:val="001E148B"/>
    <w:rsid w:val="001E1855"/>
    <w:rsid w:val="001E1B69"/>
    <w:rsid w:val="001E1D6E"/>
    <w:rsid w:val="001E20E8"/>
    <w:rsid w:val="001E21F8"/>
    <w:rsid w:val="001E26F9"/>
    <w:rsid w:val="001E28BF"/>
    <w:rsid w:val="001E2B5C"/>
    <w:rsid w:val="001E2D7B"/>
    <w:rsid w:val="001E3732"/>
    <w:rsid w:val="001E40BB"/>
    <w:rsid w:val="001E46B2"/>
    <w:rsid w:val="001E4D45"/>
    <w:rsid w:val="001E5336"/>
    <w:rsid w:val="001E6310"/>
    <w:rsid w:val="001E63BE"/>
    <w:rsid w:val="001E69B0"/>
    <w:rsid w:val="001E6B32"/>
    <w:rsid w:val="001E6BB2"/>
    <w:rsid w:val="001E73F2"/>
    <w:rsid w:val="001E7700"/>
    <w:rsid w:val="001F03DD"/>
    <w:rsid w:val="001F0640"/>
    <w:rsid w:val="001F089A"/>
    <w:rsid w:val="001F09B8"/>
    <w:rsid w:val="001F11DA"/>
    <w:rsid w:val="001F155E"/>
    <w:rsid w:val="001F1CE2"/>
    <w:rsid w:val="001F1DDD"/>
    <w:rsid w:val="001F22BE"/>
    <w:rsid w:val="001F26E2"/>
    <w:rsid w:val="001F3133"/>
    <w:rsid w:val="001F39F5"/>
    <w:rsid w:val="001F3A04"/>
    <w:rsid w:val="001F3F34"/>
    <w:rsid w:val="001F47D8"/>
    <w:rsid w:val="001F4837"/>
    <w:rsid w:val="001F4C84"/>
    <w:rsid w:val="001F4F8A"/>
    <w:rsid w:val="001F5F4F"/>
    <w:rsid w:val="001F60B8"/>
    <w:rsid w:val="001F62BD"/>
    <w:rsid w:val="001F6AE3"/>
    <w:rsid w:val="001F7006"/>
    <w:rsid w:val="001F7204"/>
    <w:rsid w:val="001F75A8"/>
    <w:rsid w:val="002001C8"/>
    <w:rsid w:val="00200631"/>
    <w:rsid w:val="0020088D"/>
    <w:rsid w:val="002010AA"/>
    <w:rsid w:val="00201B87"/>
    <w:rsid w:val="00201FDC"/>
    <w:rsid w:val="00202353"/>
    <w:rsid w:val="0020246A"/>
    <w:rsid w:val="00202732"/>
    <w:rsid w:val="002030D9"/>
    <w:rsid w:val="0020388F"/>
    <w:rsid w:val="00203A52"/>
    <w:rsid w:val="00203C78"/>
    <w:rsid w:val="00203E05"/>
    <w:rsid w:val="002040D5"/>
    <w:rsid w:val="002041CA"/>
    <w:rsid w:val="002042E3"/>
    <w:rsid w:val="002043C2"/>
    <w:rsid w:val="0020442A"/>
    <w:rsid w:val="0020477B"/>
    <w:rsid w:val="00204840"/>
    <w:rsid w:val="00204C0C"/>
    <w:rsid w:val="00204DB5"/>
    <w:rsid w:val="00204E44"/>
    <w:rsid w:val="00204FFC"/>
    <w:rsid w:val="002051BD"/>
    <w:rsid w:val="00205BCD"/>
    <w:rsid w:val="00205DF1"/>
    <w:rsid w:val="0020611A"/>
    <w:rsid w:val="0020613D"/>
    <w:rsid w:val="00206228"/>
    <w:rsid w:val="002064EC"/>
    <w:rsid w:val="002066A3"/>
    <w:rsid w:val="00206838"/>
    <w:rsid w:val="00206B90"/>
    <w:rsid w:val="00207A5B"/>
    <w:rsid w:val="00207F83"/>
    <w:rsid w:val="00210291"/>
    <w:rsid w:val="00210535"/>
    <w:rsid w:val="00210A90"/>
    <w:rsid w:val="00210C86"/>
    <w:rsid w:val="00210E2C"/>
    <w:rsid w:val="00210FDD"/>
    <w:rsid w:val="00211064"/>
    <w:rsid w:val="0021171A"/>
    <w:rsid w:val="00211DEC"/>
    <w:rsid w:val="0021201C"/>
    <w:rsid w:val="00212395"/>
    <w:rsid w:val="00212650"/>
    <w:rsid w:val="00212E4E"/>
    <w:rsid w:val="0021355E"/>
    <w:rsid w:val="00213853"/>
    <w:rsid w:val="00213B88"/>
    <w:rsid w:val="00213D86"/>
    <w:rsid w:val="00213DB9"/>
    <w:rsid w:val="00213FA7"/>
    <w:rsid w:val="0021469A"/>
    <w:rsid w:val="00214DE1"/>
    <w:rsid w:val="00215344"/>
    <w:rsid w:val="002156EE"/>
    <w:rsid w:val="002156FF"/>
    <w:rsid w:val="002159B2"/>
    <w:rsid w:val="00215B69"/>
    <w:rsid w:val="00215D95"/>
    <w:rsid w:val="00215DB3"/>
    <w:rsid w:val="00215E0A"/>
    <w:rsid w:val="00215EEA"/>
    <w:rsid w:val="00215FB4"/>
    <w:rsid w:val="0021613D"/>
    <w:rsid w:val="0021631C"/>
    <w:rsid w:val="0021664D"/>
    <w:rsid w:val="002167F3"/>
    <w:rsid w:val="00216D8F"/>
    <w:rsid w:val="00216E87"/>
    <w:rsid w:val="002173CE"/>
    <w:rsid w:val="002174DC"/>
    <w:rsid w:val="002178D6"/>
    <w:rsid w:val="00217EBD"/>
    <w:rsid w:val="00217FD3"/>
    <w:rsid w:val="00220008"/>
    <w:rsid w:val="00220690"/>
    <w:rsid w:val="00220B5D"/>
    <w:rsid w:val="00220C88"/>
    <w:rsid w:val="00220E26"/>
    <w:rsid w:val="00221210"/>
    <w:rsid w:val="0022178C"/>
    <w:rsid w:val="00221A42"/>
    <w:rsid w:val="00221E59"/>
    <w:rsid w:val="00221EA9"/>
    <w:rsid w:val="00221EDD"/>
    <w:rsid w:val="002220BA"/>
    <w:rsid w:val="00222121"/>
    <w:rsid w:val="002222D4"/>
    <w:rsid w:val="002222FB"/>
    <w:rsid w:val="0022270B"/>
    <w:rsid w:val="00222D8A"/>
    <w:rsid w:val="00222E46"/>
    <w:rsid w:val="00223103"/>
    <w:rsid w:val="00223215"/>
    <w:rsid w:val="00223294"/>
    <w:rsid w:val="0022330B"/>
    <w:rsid w:val="00223DC6"/>
    <w:rsid w:val="00223E1E"/>
    <w:rsid w:val="0022408A"/>
    <w:rsid w:val="0022440A"/>
    <w:rsid w:val="00224A74"/>
    <w:rsid w:val="00224D9A"/>
    <w:rsid w:val="002252B8"/>
    <w:rsid w:val="002252E0"/>
    <w:rsid w:val="002258BE"/>
    <w:rsid w:val="00225993"/>
    <w:rsid w:val="00226016"/>
    <w:rsid w:val="002264D9"/>
    <w:rsid w:val="00226755"/>
    <w:rsid w:val="002268C1"/>
    <w:rsid w:val="00226AF7"/>
    <w:rsid w:val="00227611"/>
    <w:rsid w:val="0022794F"/>
    <w:rsid w:val="00227F43"/>
    <w:rsid w:val="00230008"/>
    <w:rsid w:val="00230190"/>
    <w:rsid w:val="002303FC"/>
    <w:rsid w:val="00230850"/>
    <w:rsid w:val="00230A54"/>
    <w:rsid w:val="00231307"/>
    <w:rsid w:val="0023146F"/>
    <w:rsid w:val="00231DFF"/>
    <w:rsid w:val="00231E2D"/>
    <w:rsid w:val="00231F44"/>
    <w:rsid w:val="0023218A"/>
    <w:rsid w:val="002328DE"/>
    <w:rsid w:val="00233419"/>
    <w:rsid w:val="00233527"/>
    <w:rsid w:val="002339E7"/>
    <w:rsid w:val="00233D82"/>
    <w:rsid w:val="00234532"/>
    <w:rsid w:val="002346D8"/>
    <w:rsid w:val="00234708"/>
    <w:rsid w:val="002348EB"/>
    <w:rsid w:val="00234C51"/>
    <w:rsid w:val="00234F18"/>
    <w:rsid w:val="0023507C"/>
    <w:rsid w:val="00235A2A"/>
    <w:rsid w:val="00235CCF"/>
    <w:rsid w:val="00235E9E"/>
    <w:rsid w:val="00235F28"/>
    <w:rsid w:val="002361A1"/>
    <w:rsid w:val="00236573"/>
    <w:rsid w:val="00237C6F"/>
    <w:rsid w:val="00237D56"/>
    <w:rsid w:val="00237F67"/>
    <w:rsid w:val="00240069"/>
    <w:rsid w:val="00240273"/>
    <w:rsid w:val="00240327"/>
    <w:rsid w:val="00240346"/>
    <w:rsid w:val="002408C0"/>
    <w:rsid w:val="00240CF4"/>
    <w:rsid w:val="00240D84"/>
    <w:rsid w:val="00240FBF"/>
    <w:rsid w:val="002410BA"/>
    <w:rsid w:val="00241168"/>
    <w:rsid w:val="00241214"/>
    <w:rsid w:val="002415DF"/>
    <w:rsid w:val="00241724"/>
    <w:rsid w:val="002419A2"/>
    <w:rsid w:val="002419BD"/>
    <w:rsid w:val="00241A16"/>
    <w:rsid w:val="00241C6C"/>
    <w:rsid w:val="002424F0"/>
    <w:rsid w:val="00242557"/>
    <w:rsid w:val="00242FED"/>
    <w:rsid w:val="0024349B"/>
    <w:rsid w:val="00243835"/>
    <w:rsid w:val="0024387A"/>
    <w:rsid w:val="00243AC1"/>
    <w:rsid w:val="00243C6E"/>
    <w:rsid w:val="00243E36"/>
    <w:rsid w:val="002440DB"/>
    <w:rsid w:val="00244E21"/>
    <w:rsid w:val="002454D4"/>
    <w:rsid w:val="00246042"/>
    <w:rsid w:val="002462C8"/>
    <w:rsid w:val="00246EA7"/>
    <w:rsid w:val="0024720C"/>
    <w:rsid w:val="00247F5F"/>
    <w:rsid w:val="00247FD1"/>
    <w:rsid w:val="0025031D"/>
    <w:rsid w:val="002515C4"/>
    <w:rsid w:val="00251698"/>
    <w:rsid w:val="00251702"/>
    <w:rsid w:val="00251AD6"/>
    <w:rsid w:val="00251BF1"/>
    <w:rsid w:val="00251FC4"/>
    <w:rsid w:val="002525DD"/>
    <w:rsid w:val="00252A4A"/>
    <w:rsid w:val="002530D7"/>
    <w:rsid w:val="0025342F"/>
    <w:rsid w:val="00253AEB"/>
    <w:rsid w:val="00254585"/>
    <w:rsid w:val="0025465E"/>
    <w:rsid w:val="00254753"/>
    <w:rsid w:val="002552F4"/>
    <w:rsid w:val="002555E8"/>
    <w:rsid w:val="00255664"/>
    <w:rsid w:val="002556AF"/>
    <w:rsid w:val="00255AE5"/>
    <w:rsid w:val="0025688C"/>
    <w:rsid w:val="0025707C"/>
    <w:rsid w:val="00257219"/>
    <w:rsid w:val="002573FE"/>
    <w:rsid w:val="00257ECC"/>
    <w:rsid w:val="00257FB4"/>
    <w:rsid w:val="002602EA"/>
    <w:rsid w:val="002605D4"/>
    <w:rsid w:val="00260D06"/>
    <w:rsid w:val="002612B3"/>
    <w:rsid w:val="002617D0"/>
    <w:rsid w:val="002624D6"/>
    <w:rsid w:val="00262AB6"/>
    <w:rsid w:val="00262CE4"/>
    <w:rsid w:val="00262F51"/>
    <w:rsid w:val="0026326D"/>
    <w:rsid w:val="00263577"/>
    <w:rsid w:val="0026403B"/>
    <w:rsid w:val="0026409B"/>
    <w:rsid w:val="00264323"/>
    <w:rsid w:val="0026454E"/>
    <w:rsid w:val="00264B4F"/>
    <w:rsid w:val="0026523B"/>
    <w:rsid w:val="002652C8"/>
    <w:rsid w:val="0026676A"/>
    <w:rsid w:val="0026692F"/>
    <w:rsid w:val="00266AA3"/>
    <w:rsid w:val="00266DF1"/>
    <w:rsid w:val="00266F47"/>
    <w:rsid w:val="002672D5"/>
    <w:rsid w:val="00267427"/>
    <w:rsid w:val="00267798"/>
    <w:rsid w:val="002677A1"/>
    <w:rsid w:val="002700D8"/>
    <w:rsid w:val="002709A6"/>
    <w:rsid w:val="00270B6E"/>
    <w:rsid w:val="00270C47"/>
    <w:rsid w:val="00270DA1"/>
    <w:rsid w:val="00270EC6"/>
    <w:rsid w:val="002713E2"/>
    <w:rsid w:val="00271706"/>
    <w:rsid w:val="00271972"/>
    <w:rsid w:val="00271CAD"/>
    <w:rsid w:val="00272147"/>
    <w:rsid w:val="002721E7"/>
    <w:rsid w:val="00272240"/>
    <w:rsid w:val="0027242D"/>
    <w:rsid w:val="0027246E"/>
    <w:rsid w:val="002724FA"/>
    <w:rsid w:val="0027278B"/>
    <w:rsid w:val="0027317F"/>
    <w:rsid w:val="0027324E"/>
    <w:rsid w:val="0027345A"/>
    <w:rsid w:val="002737C2"/>
    <w:rsid w:val="0027395A"/>
    <w:rsid w:val="00273A62"/>
    <w:rsid w:val="00273FFF"/>
    <w:rsid w:val="00274B39"/>
    <w:rsid w:val="00274C9C"/>
    <w:rsid w:val="00274ED6"/>
    <w:rsid w:val="00275012"/>
    <w:rsid w:val="0027656F"/>
    <w:rsid w:val="002766F1"/>
    <w:rsid w:val="00276DFE"/>
    <w:rsid w:val="00276E69"/>
    <w:rsid w:val="002770CA"/>
    <w:rsid w:val="00277215"/>
    <w:rsid w:val="00277520"/>
    <w:rsid w:val="002775F2"/>
    <w:rsid w:val="00277B10"/>
    <w:rsid w:val="00277FC0"/>
    <w:rsid w:val="00280CD7"/>
    <w:rsid w:val="002814C5"/>
    <w:rsid w:val="00281501"/>
    <w:rsid w:val="00281D4B"/>
    <w:rsid w:val="00281DDC"/>
    <w:rsid w:val="002821A6"/>
    <w:rsid w:val="002821BF"/>
    <w:rsid w:val="0028278E"/>
    <w:rsid w:val="00282D61"/>
    <w:rsid w:val="00283007"/>
    <w:rsid w:val="002831D8"/>
    <w:rsid w:val="00283245"/>
    <w:rsid w:val="002834E1"/>
    <w:rsid w:val="002834F8"/>
    <w:rsid w:val="00283596"/>
    <w:rsid w:val="002835DC"/>
    <w:rsid w:val="00283AAF"/>
    <w:rsid w:val="00283BE8"/>
    <w:rsid w:val="00284749"/>
    <w:rsid w:val="002849F9"/>
    <w:rsid w:val="00285237"/>
    <w:rsid w:val="00285291"/>
    <w:rsid w:val="00285441"/>
    <w:rsid w:val="00285451"/>
    <w:rsid w:val="00285531"/>
    <w:rsid w:val="00285920"/>
    <w:rsid w:val="00285BDA"/>
    <w:rsid w:val="00285C24"/>
    <w:rsid w:val="00285CCA"/>
    <w:rsid w:val="00285E45"/>
    <w:rsid w:val="00286F6F"/>
    <w:rsid w:val="0028709F"/>
    <w:rsid w:val="00287D5F"/>
    <w:rsid w:val="0029053B"/>
    <w:rsid w:val="002905BA"/>
    <w:rsid w:val="002907A2"/>
    <w:rsid w:val="00290804"/>
    <w:rsid w:val="00290A1C"/>
    <w:rsid w:val="00291803"/>
    <w:rsid w:val="00291C0C"/>
    <w:rsid w:val="002936E3"/>
    <w:rsid w:val="002942B1"/>
    <w:rsid w:val="00294427"/>
    <w:rsid w:val="002947FF"/>
    <w:rsid w:val="002950B7"/>
    <w:rsid w:val="0029549A"/>
    <w:rsid w:val="00295D6A"/>
    <w:rsid w:val="00296089"/>
    <w:rsid w:val="0029652C"/>
    <w:rsid w:val="0029737A"/>
    <w:rsid w:val="0029770B"/>
    <w:rsid w:val="00297AC2"/>
    <w:rsid w:val="00297C56"/>
    <w:rsid w:val="002A0225"/>
    <w:rsid w:val="002A0BA2"/>
    <w:rsid w:val="002A0CBE"/>
    <w:rsid w:val="002A0D8E"/>
    <w:rsid w:val="002A120E"/>
    <w:rsid w:val="002A14B5"/>
    <w:rsid w:val="002A17F6"/>
    <w:rsid w:val="002A1B50"/>
    <w:rsid w:val="002A2711"/>
    <w:rsid w:val="002A297B"/>
    <w:rsid w:val="002A2BA5"/>
    <w:rsid w:val="002A3521"/>
    <w:rsid w:val="002A3DF7"/>
    <w:rsid w:val="002A3F8F"/>
    <w:rsid w:val="002A4DD0"/>
    <w:rsid w:val="002A4E84"/>
    <w:rsid w:val="002A50DC"/>
    <w:rsid w:val="002A51C8"/>
    <w:rsid w:val="002A5349"/>
    <w:rsid w:val="002A5521"/>
    <w:rsid w:val="002A565C"/>
    <w:rsid w:val="002A56F3"/>
    <w:rsid w:val="002A5B97"/>
    <w:rsid w:val="002A5DD8"/>
    <w:rsid w:val="002A5E75"/>
    <w:rsid w:val="002A6512"/>
    <w:rsid w:val="002A6858"/>
    <w:rsid w:val="002A68C8"/>
    <w:rsid w:val="002A6A0E"/>
    <w:rsid w:val="002A6AFA"/>
    <w:rsid w:val="002A6C26"/>
    <w:rsid w:val="002A74CC"/>
    <w:rsid w:val="002A78BA"/>
    <w:rsid w:val="002A79B3"/>
    <w:rsid w:val="002B0215"/>
    <w:rsid w:val="002B0DCA"/>
    <w:rsid w:val="002B10E7"/>
    <w:rsid w:val="002B23AA"/>
    <w:rsid w:val="002B254A"/>
    <w:rsid w:val="002B25CA"/>
    <w:rsid w:val="002B3E36"/>
    <w:rsid w:val="002B424C"/>
    <w:rsid w:val="002B5018"/>
    <w:rsid w:val="002B514C"/>
    <w:rsid w:val="002B54E1"/>
    <w:rsid w:val="002B6200"/>
    <w:rsid w:val="002B658A"/>
    <w:rsid w:val="002B71B6"/>
    <w:rsid w:val="002B73A3"/>
    <w:rsid w:val="002B7799"/>
    <w:rsid w:val="002B7F99"/>
    <w:rsid w:val="002C01B9"/>
    <w:rsid w:val="002C077B"/>
    <w:rsid w:val="002C0AB3"/>
    <w:rsid w:val="002C1514"/>
    <w:rsid w:val="002C16D6"/>
    <w:rsid w:val="002C170A"/>
    <w:rsid w:val="002C1808"/>
    <w:rsid w:val="002C1BA5"/>
    <w:rsid w:val="002C2BFF"/>
    <w:rsid w:val="002C3080"/>
    <w:rsid w:val="002C3698"/>
    <w:rsid w:val="002C36AA"/>
    <w:rsid w:val="002C3B01"/>
    <w:rsid w:val="002C3D35"/>
    <w:rsid w:val="002C425E"/>
    <w:rsid w:val="002C4510"/>
    <w:rsid w:val="002C4B88"/>
    <w:rsid w:val="002C4C96"/>
    <w:rsid w:val="002C4CBF"/>
    <w:rsid w:val="002C4EAC"/>
    <w:rsid w:val="002C500E"/>
    <w:rsid w:val="002C5BD2"/>
    <w:rsid w:val="002C5DAA"/>
    <w:rsid w:val="002C62F2"/>
    <w:rsid w:val="002C635D"/>
    <w:rsid w:val="002C734C"/>
    <w:rsid w:val="002C739B"/>
    <w:rsid w:val="002C757E"/>
    <w:rsid w:val="002C75CC"/>
    <w:rsid w:val="002C7D68"/>
    <w:rsid w:val="002D0A9B"/>
    <w:rsid w:val="002D11D9"/>
    <w:rsid w:val="002D1529"/>
    <w:rsid w:val="002D188D"/>
    <w:rsid w:val="002D1BEC"/>
    <w:rsid w:val="002D26AB"/>
    <w:rsid w:val="002D275B"/>
    <w:rsid w:val="002D27D9"/>
    <w:rsid w:val="002D29CE"/>
    <w:rsid w:val="002D2B7B"/>
    <w:rsid w:val="002D2B91"/>
    <w:rsid w:val="002D2C1A"/>
    <w:rsid w:val="002D3179"/>
    <w:rsid w:val="002D3289"/>
    <w:rsid w:val="002D34CB"/>
    <w:rsid w:val="002D373D"/>
    <w:rsid w:val="002D3CD8"/>
    <w:rsid w:val="002D43ED"/>
    <w:rsid w:val="002D4F6C"/>
    <w:rsid w:val="002D55CA"/>
    <w:rsid w:val="002D5861"/>
    <w:rsid w:val="002D5D14"/>
    <w:rsid w:val="002D5D60"/>
    <w:rsid w:val="002D644A"/>
    <w:rsid w:val="002D6BCB"/>
    <w:rsid w:val="002D70EB"/>
    <w:rsid w:val="002D7569"/>
    <w:rsid w:val="002D7671"/>
    <w:rsid w:val="002D799F"/>
    <w:rsid w:val="002D79A2"/>
    <w:rsid w:val="002D7DE1"/>
    <w:rsid w:val="002D7EFF"/>
    <w:rsid w:val="002D7F23"/>
    <w:rsid w:val="002E0010"/>
    <w:rsid w:val="002E07CC"/>
    <w:rsid w:val="002E0D04"/>
    <w:rsid w:val="002E0D32"/>
    <w:rsid w:val="002E1172"/>
    <w:rsid w:val="002E1406"/>
    <w:rsid w:val="002E1A80"/>
    <w:rsid w:val="002E251A"/>
    <w:rsid w:val="002E283D"/>
    <w:rsid w:val="002E296D"/>
    <w:rsid w:val="002E2D81"/>
    <w:rsid w:val="002E31C2"/>
    <w:rsid w:val="002E337C"/>
    <w:rsid w:val="002E4370"/>
    <w:rsid w:val="002E54F7"/>
    <w:rsid w:val="002E5895"/>
    <w:rsid w:val="002E7016"/>
    <w:rsid w:val="002E714E"/>
    <w:rsid w:val="002E75B5"/>
    <w:rsid w:val="002E7649"/>
    <w:rsid w:val="002E76C1"/>
    <w:rsid w:val="002E7777"/>
    <w:rsid w:val="002F0036"/>
    <w:rsid w:val="002F01FF"/>
    <w:rsid w:val="002F0B69"/>
    <w:rsid w:val="002F0D3A"/>
    <w:rsid w:val="002F0E33"/>
    <w:rsid w:val="002F0F0E"/>
    <w:rsid w:val="002F1935"/>
    <w:rsid w:val="002F213A"/>
    <w:rsid w:val="002F23B4"/>
    <w:rsid w:val="002F2D59"/>
    <w:rsid w:val="002F2E27"/>
    <w:rsid w:val="002F30F4"/>
    <w:rsid w:val="002F32F6"/>
    <w:rsid w:val="002F34CB"/>
    <w:rsid w:val="002F34E0"/>
    <w:rsid w:val="002F3675"/>
    <w:rsid w:val="002F3F18"/>
    <w:rsid w:val="002F4423"/>
    <w:rsid w:val="002F46F6"/>
    <w:rsid w:val="002F479C"/>
    <w:rsid w:val="002F4D92"/>
    <w:rsid w:val="002F4DAF"/>
    <w:rsid w:val="002F501D"/>
    <w:rsid w:val="002F52AD"/>
    <w:rsid w:val="002F5B13"/>
    <w:rsid w:val="002F5D45"/>
    <w:rsid w:val="002F5EE9"/>
    <w:rsid w:val="002F635B"/>
    <w:rsid w:val="002F667B"/>
    <w:rsid w:val="002F68D6"/>
    <w:rsid w:val="002F6EF2"/>
    <w:rsid w:val="002F7B0B"/>
    <w:rsid w:val="00300189"/>
    <w:rsid w:val="00300554"/>
    <w:rsid w:val="003006B0"/>
    <w:rsid w:val="00300715"/>
    <w:rsid w:val="00300ADC"/>
    <w:rsid w:val="00300B37"/>
    <w:rsid w:val="00300FC3"/>
    <w:rsid w:val="003010BA"/>
    <w:rsid w:val="00301614"/>
    <w:rsid w:val="00301CD0"/>
    <w:rsid w:val="00301D02"/>
    <w:rsid w:val="0030218C"/>
    <w:rsid w:val="00303441"/>
    <w:rsid w:val="00303878"/>
    <w:rsid w:val="003038AC"/>
    <w:rsid w:val="00303922"/>
    <w:rsid w:val="00303C4C"/>
    <w:rsid w:val="00303DD2"/>
    <w:rsid w:val="003054D2"/>
    <w:rsid w:val="00305A55"/>
    <w:rsid w:val="00306772"/>
    <w:rsid w:val="0030699E"/>
    <w:rsid w:val="003070DD"/>
    <w:rsid w:val="0030725F"/>
    <w:rsid w:val="00307336"/>
    <w:rsid w:val="0030776C"/>
    <w:rsid w:val="00307DBC"/>
    <w:rsid w:val="003100D2"/>
    <w:rsid w:val="0031014A"/>
    <w:rsid w:val="00310563"/>
    <w:rsid w:val="0031061A"/>
    <w:rsid w:val="00310C0B"/>
    <w:rsid w:val="00311489"/>
    <w:rsid w:val="003115CF"/>
    <w:rsid w:val="00311B1A"/>
    <w:rsid w:val="00312043"/>
    <w:rsid w:val="00312608"/>
    <w:rsid w:val="003127BC"/>
    <w:rsid w:val="00312A8E"/>
    <w:rsid w:val="00312EB7"/>
    <w:rsid w:val="0031333C"/>
    <w:rsid w:val="003133FF"/>
    <w:rsid w:val="00313676"/>
    <w:rsid w:val="00313D3A"/>
    <w:rsid w:val="0031520A"/>
    <w:rsid w:val="00315A96"/>
    <w:rsid w:val="00315B25"/>
    <w:rsid w:val="00315CC0"/>
    <w:rsid w:val="003161AA"/>
    <w:rsid w:val="00316247"/>
    <w:rsid w:val="003164FE"/>
    <w:rsid w:val="0031653F"/>
    <w:rsid w:val="00316609"/>
    <w:rsid w:val="003172B8"/>
    <w:rsid w:val="0031755F"/>
    <w:rsid w:val="00317688"/>
    <w:rsid w:val="003178D2"/>
    <w:rsid w:val="00317D2B"/>
    <w:rsid w:val="0031C6E4"/>
    <w:rsid w:val="0032009C"/>
    <w:rsid w:val="00320502"/>
    <w:rsid w:val="003206AD"/>
    <w:rsid w:val="003209C1"/>
    <w:rsid w:val="00321267"/>
    <w:rsid w:val="00321C1D"/>
    <w:rsid w:val="00321DB0"/>
    <w:rsid w:val="00321FEF"/>
    <w:rsid w:val="0032230A"/>
    <w:rsid w:val="003223E6"/>
    <w:rsid w:val="0032254C"/>
    <w:rsid w:val="00322C73"/>
    <w:rsid w:val="00323653"/>
    <w:rsid w:val="003239DD"/>
    <w:rsid w:val="00323A95"/>
    <w:rsid w:val="00323BBF"/>
    <w:rsid w:val="0032434D"/>
    <w:rsid w:val="0032499D"/>
    <w:rsid w:val="00324A87"/>
    <w:rsid w:val="003252C5"/>
    <w:rsid w:val="003253DC"/>
    <w:rsid w:val="003259D5"/>
    <w:rsid w:val="00325A98"/>
    <w:rsid w:val="00325B1A"/>
    <w:rsid w:val="00325C46"/>
    <w:rsid w:val="00325F86"/>
    <w:rsid w:val="0032620F"/>
    <w:rsid w:val="00326234"/>
    <w:rsid w:val="00326B01"/>
    <w:rsid w:val="0032791A"/>
    <w:rsid w:val="00327E16"/>
    <w:rsid w:val="0033017B"/>
    <w:rsid w:val="0033080A"/>
    <w:rsid w:val="0033087B"/>
    <w:rsid w:val="0033095C"/>
    <w:rsid w:val="003313EA"/>
    <w:rsid w:val="003316CA"/>
    <w:rsid w:val="00331C2E"/>
    <w:rsid w:val="00331E3F"/>
    <w:rsid w:val="003323B4"/>
    <w:rsid w:val="003326A7"/>
    <w:rsid w:val="00332DC9"/>
    <w:rsid w:val="003336A1"/>
    <w:rsid w:val="00333875"/>
    <w:rsid w:val="00333CC9"/>
    <w:rsid w:val="00334A82"/>
    <w:rsid w:val="00334B0E"/>
    <w:rsid w:val="00334C93"/>
    <w:rsid w:val="00334EF1"/>
    <w:rsid w:val="00335167"/>
    <w:rsid w:val="00335372"/>
    <w:rsid w:val="0033537D"/>
    <w:rsid w:val="003353C0"/>
    <w:rsid w:val="00336B13"/>
    <w:rsid w:val="003374BD"/>
    <w:rsid w:val="00337A11"/>
    <w:rsid w:val="00337ACF"/>
    <w:rsid w:val="00337BCB"/>
    <w:rsid w:val="00340027"/>
    <w:rsid w:val="00340460"/>
    <w:rsid w:val="003404F8"/>
    <w:rsid w:val="00340D39"/>
    <w:rsid w:val="003427B2"/>
    <w:rsid w:val="00342AC6"/>
    <w:rsid w:val="00343453"/>
    <w:rsid w:val="00343A48"/>
    <w:rsid w:val="00343AB4"/>
    <w:rsid w:val="00344522"/>
    <w:rsid w:val="00344C85"/>
    <w:rsid w:val="00344FAB"/>
    <w:rsid w:val="003452AC"/>
    <w:rsid w:val="00345AFB"/>
    <w:rsid w:val="00345EC9"/>
    <w:rsid w:val="003463DC"/>
    <w:rsid w:val="003468DB"/>
    <w:rsid w:val="0034699E"/>
    <w:rsid w:val="00346C1C"/>
    <w:rsid w:val="00346D03"/>
    <w:rsid w:val="00346E85"/>
    <w:rsid w:val="0034705D"/>
    <w:rsid w:val="00350234"/>
    <w:rsid w:val="003505FA"/>
    <w:rsid w:val="00350ADF"/>
    <w:rsid w:val="003510C1"/>
    <w:rsid w:val="00351415"/>
    <w:rsid w:val="00351561"/>
    <w:rsid w:val="003518C1"/>
    <w:rsid w:val="00351969"/>
    <w:rsid w:val="00351980"/>
    <w:rsid w:val="00352B5C"/>
    <w:rsid w:val="00352C20"/>
    <w:rsid w:val="00353312"/>
    <w:rsid w:val="0035390C"/>
    <w:rsid w:val="00353B0D"/>
    <w:rsid w:val="00353F55"/>
    <w:rsid w:val="00353F7F"/>
    <w:rsid w:val="0035491F"/>
    <w:rsid w:val="00354B1C"/>
    <w:rsid w:val="0035504A"/>
    <w:rsid w:val="003551C5"/>
    <w:rsid w:val="003552C6"/>
    <w:rsid w:val="003553C7"/>
    <w:rsid w:val="0035561E"/>
    <w:rsid w:val="00355BF1"/>
    <w:rsid w:val="00355D51"/>
    <w:rsid w:val="00355EF8"/>
    <w:rsid w:val="0035628B"/>
    <w:rsid w:val="00356947"/>
    <w:rsid w:val="00356C84"/>
    <w:rsid w:val="00356FEA"/>
    <w:rsid w:val="0035713F"/>
    <w:rsid w:val="003578B3"/>
    <w:rsid w:val="00357AE2"/>
    <w:rsid w:val="00357C8A"/>
    <w:rsid w:val="003604F9"/>
    <w:rsid w:val="00360FC3"/>
    <w:rsid w:val="00361061"/>
    <w:rsid w:val="003612BB"/>
    <w:rsid w:val="00361B08"/>
    <w:rsid w:val="00361BD3"/>
    <w:rsid w:val="00361E5F"/>
    <w:rsid w:val="00361FD1"/>
    <w:rsid w:val="003622D9"/>
    <w:rsid w:val="00362664"/>
    <w:rsid w:val="00362696"/>
    <w:rsid w:val="003628CE"/>
    <w:rsid w:val="003629EC"/>
    <w:rsid w:val="00363628"/>
    <w:rsid w:val="00363E05"/>
    <w:rsid w:val="003655BF"/>
    <w:rsid w:val="00365730"/>
    <w:rsid w:val="00365AEE"/>
    <w:rsid w:val="00366187"/>
    <w:rsid w:val="00366390"/>
    <w:rsid w:val="00366981"/>
    <w:rsid w:val="00366A4F"/>
    <w:rsid w:val="00367020"/>
    <w:rsid w:val="00367E0C"/>
    <w:rsid w:val="00367EDD"/>
    <w:rsid w:val="0037040F"/>
    <w:rsid w:val="00370498"/>
    <w:rsid w:val="0037073A"/>
    <w:rsid w:val="003710A3"/>
    <w:rsid w:val="003716C4"/>
    <w:rsid w:val="00371954"/>
    <w:rsid w:val="00371C72"/>
    <w:rsid w:val="00371D71"/>
    <w:rsid w:val="00371F19"/>
    <w:rsid w:val="00371F6E"/>
    <w:rsid w:val="003720B5"/>
    <w:rsid w:val="00372115"/>
    <w:rsid w:val="0037255A"/>
    <w:rsid w:val="0037259F"/>
    <w:rsid w:val="003726C0"/>
    <w:rsid w:val="00372968"/>
    <w:rsid w:val="00372B71"/>
    <w:rsid w:val="00372C17"/>
    <w:rsid w:val="00373148"/>
    <w:rsid w:val="00373355"/>
    <w:rsid w:val="003734CE"/>
    <w:rsid w:val="0037351D"/>
    <w:rsid w:val="00373729"/>
    <w:rsid w:val="00373774"/>
    <w:rsid w:val="003741A0"/>
    <w:rsid w:val="00374C06"/>
    <w:rsid w:val="00374C16"/>
    <w:rsid w:val="00375767"/>
    <w:rsid w:val="00375CAE"/>
    <w:rsid w:val="00375FA4"/>
    <w:rsid w:val="003760A3"/>
    <w:rsid w:val="00376259"/>
    <w:rsid w:val="003762BA"/>
    <w:rsid w:val="00376402"/>
    <w:rsid w:val="00376D5B"/>
    <w:rsid w:val="00377549"/>
    <w:rsid w:val="003775CC"/>
    <w:rsid w:val="0037767F"/>
    <w:rsid w:val="00377B3C"/>
    <w:rsid w:val="00377DD9"/>
    <w:rsid w:val="00380592"/>
    <w:rsid w:val="0038068D"/>
    <w:rsid w:val="00380736"/>
    <w:rsid w:val="0038081D"/>
    <w:rsid w:val="003811C9"/>
    <w:rsid w:val="003817A8"/>
    <w:rsid w:val="003817B9"/>
    <w:rsid w:val="0038185C"/>
    <w:rsid w:val="0038199E"/>
    <w:rsid w:val="00381C90"/>
    <w:rsid w:val="00381DAE"/>
    <w:rsid w:val="00382140"/>
    <w:rsid w:val="003821E1"/>
    <w:rsid w:val="003825F8"/>
    <w:rsid w:val="0038275D"/>
    <w:rsid w:val="00382A34"/>
    <w:rsid w:val="00382AB5"/>
    <w:rsid w:val="00382D7F"/>
    <w:rsid w:val="00382E05"/>
    <w:rsid w:val="00382F6E"/>
    <w:rsid w:val="0038316D"/>
    <w:rsid w:val="003833CC"/>
    <w:rsid w:val="00383634"/>
    <w:rsid w:val="00383AAE"/>
    <w:rsid w:val="00383F15"/>
    <w:rsid w:val="00383F8F"/>
    <w:rsid w:val="00384319"/>
    <w:rsid w:val="00384C2B"/>
    <w:rsid w:val="003858BB"/>
    <w:rsid w:val="00385AEC"/>
    <w:rsid w:val="003865BE"/>
    <w:rsid w:val="00386951"/>
    <w:rsid w:val="00386B6E"/>
    <w:rsid w:val="00386CED"/>
    <w:rsid w:val="003870BB"/>
    <w:rsid w:val="0038750F"/>
    <w:rsid w:val="003875BA"/>
    <w:rsid w:val="00387DD0"/>
    <w:rsid w:val="00387E78"/>
    <w:rsid w:val="00387ECF"/>
    <w:rsid w:val="00387F00"/>
    <w:rsid w:val="00387FED"/>
    <w:rsid w:val="00390267"/>
    <w:rsid w:val="0039044A"/>
    <w:rsid w:val="00390461"/>
    <w:rsid w:val="0039196A"/>
    <w:rsid w:val="00391F2C"/>
    <w:rsid w:val="003927CA"/>
    <w:rsid w:val="003928CB"/>
    <w:rsid w:val="00393056"/>
    <w:rsid w:val="003933C7"/>
    <w:rsid w:val="003937E7"/>
    <w:rsid w:val="00393DAB"/>
    <w:rsid w:val="00393E53"/>
    <w:rsid w:val="00394039"/>
    <w:rsid w:val="003945B0"/>
    <w:rsid w:val="003947D5"/>
    <w:rsid w:val="003951F9"/>
    <w:rsid w:val="00395262"/>
    <w:rsid w:val="00396185"/>
    <w:rsid w:val="0039741D"/>
    <w:rsid w:val="003978FE"/>
    <w:rsid w:val="0039791D"/>
    <w:rsid w:val="003A078B"/>
    <w:rsid w:val="003A0B75"/>
    <w:rsid w:val="003A0B89"/>
    <w:rsid w:val="003A0DBE"/>
    <w:rsid w:val="003A111D"/>
    <w:rsid w:val="003A129E"/>
    <w:rsid w:val="003A15DB"/>
    <w:rsid w:val="003A2BCC"/>
    <w:rsid w:val="003A34D3"/>
    <w:rsid w:val="003A378A"/>
    <w:rsid w:val="003A3BAD"/>
    <w:rsid w:val="003A4275"/>
    <w:rsid w:val="003A448D"/>
    <w:rsid w:val="003A45DB"/>
    <w:rsid w:val="003A47BD"/>
    <w:rsid w:val="003A4E10"/>
    <w:rsid w:val="003A5227"/>
    <w:rsid w:val="003A53A7"/>
    <w:rsid w:val="003A5635"/>
    <w:rsid w:val="003A57D9"/>
    <w:rsid w:val="003A585E"/>
    <w:rsid w:val="003A586C"/>
    <w:rsid w:val="003A594D"/>
    <w:rsid w:val="003A69F3"/>
    <w:rsid w:val="003A6FE4"/>
    <w:rsid w:val="003A7131"/>
    <w:rsid w:val="003A7716"/>
    <w:rsid w:val="003A77E1"/>
    <w:rsid w:val="003A786D"/>
    <w:rsid w:val="003A79DE"/>
    <w:rsid w:val="003A7B84"/>
    <w:rsid w:val="003A7C1B"/>
    <w:rsid w:val="003A7F25"/>
    <w:rsid w:val="003B034F"/>
    <w:rsid w:val="003B0353"/>
    <w:rsid w:val="003B06F7"/>
    <w:rsid w:val="003B0700"/>
    <w:rsid w:val="003B0B6A"/>
    <w:rsid w:val="003B1000"/>
    <w:rsid w:val="003B16DA"/>
    <w:rsid w:val="003B1807"/>
    <w:rsid w:val="003B182D"/>
    <w:rsid w:val="003B1D33"/>
    <w:rsid w:val="003B1FDB"/>
    <w:rsid w:val="003B203E"/>
    <w:rsid w:val="003B28DC"/>
    <w:rsid w:val="003B2D8E"/>
    <w:rsid w:val="003B2D90"/>
    <w:rsid w:val="003B2D9F"/>
    <w:rsid w:val="003B316B"/>
    <w:rsid w:val="003B340B"/>
    <w:rsid w:val="003B374A"/>
    <w:rsid w:val="003B37DE"/>
    <w:rsid w:val="003B3911"/>
    <w:rsid w:val="003B3B3C"/>
    <w:rsid w:val="003B3BC8"/>
    <w:rsid w:val="003B3D79"/>
    <w:rsid w:val="003B40D9"/>
    <w:rsid w:val="003B435D"/>
    <w:rsid w:val="003B4671"/>
    <w:rsid w:val="003B46F2"/>
    <w:rsid w:val="003B4923"/>
    <w:rsid w:val="003B4BB1"/>
    <w:rsid w:val="003B629B"/>
    <w:rsid w:val="003B62FD"/>
    <w:rsid w:val="003B637D"/>
    <w:rsid w:val="003B6937"/>
    <w:rsid w:val="003B6BB0"/>
    <w:rsid w:val="003B707B"/>
    <w:rsid w:val="003B773B"/>
    <w:rsid w:val="003B7A49"/>
    <w:rsid w:val="003B7C07"/>
    <w:rsid w:val="003B7D8F"/>
    <w:rsid w:val="003B7E49"/>
    <w:rsid w:val="003C01F5"/>
    <w:rsid w:val="003C020E"/>
    <w:rsid w:val="003C028E"/>
    <w:rsid w:val="003C0693"/>
    <w:rsid w:val="003C135C"/>
    <w:rsid w:val="003C1E13"/>
    <w:rsid w:val="003C3653"/>
    <w:rsid w:val="003C368A"/>
    <w:rsid w:val="003C369A"/>
    <w:rsid w:val="003C40D3"/>
    <w:rsid w:val="003C5E66"/>
    <w:rsid w:val="003C5E7C"/>
    <w:rsid w:val="003C629D"/>
    <w:rsid w:val="003C6880"/>
    <w:rsid w:val="003C6A97"/>
    <w:rsid w:val="003C6B53"/>
    <w:rsid w:val="003C6D17"/>
    <w:rsid w:val="003C71D7"/>
    <w:rsid w:val="003C71F2"/>
    <w:rsid w:val="003C77C4"/>
    <w:rsid w:val="003C7D46"/>
    <w:rsid w:val="003C7D84"/>
    <w:rsid w:val="003C7FC5"/>
    <w:rsid w:val="003D0E68"/>
    <w:rsid w:val="003D11A5"/>
    <w:rsid w:val="003D1285"/>
    <w:rsid w:val="003D15E5"/>
    <w:rsid w:val="003D19CB"/>
    <w:rsid w:val="003D1ADE"/>
    <w:rsid w:val="003D1E2F"/>
    <w:rsid w:val="003D1ED1"/>
    <w:rsid w:val="003D2044"/>
    <w:rsid w:val="003D22C5"/>
    <w:rsid w:val="003D23A6"/>
    <w:rsid w:val="003D261E"/>
    <w:rsid w:val="003D2B7A"/>
    <w:rsid w:val="003D3006"/>
    <w:rsid w:val="003D306F"/>
    <w:rsid w:val="003D31B4"/>
    <w:rsid w:val="003D37A8"/>
    <w:rsid w:val="003D3FD0"/>
    <w:rsid w:val="003D40EE"/>
    <w:rsid w:val="003D42EA"/>
    <w:rsid w:val="003D44E2"/>
    <w:rsid w:val="003D5846"/>
    <w:rsid w:val="003D59D8"/>
    <w:rsid w:val="003D5A45"/>
    <w:rsid w:val="003D666B"/>
    <w:rsid w:val="003D6931"/>
    <w:rsid w:val="003D6E26"/>
    <w:rsid w:val="003D79DB"/>
    <w:rsid w:val="003D7B82"/>
    <w:rsid w:val="003E011C"/>
    <w:rsid w:val="003E0A7D"/>
    <w:rsid w:val="003E0D14"/>
    <w:rsid w:val="003E1462"/>
    <w:rsid w:val="003E151E"/>
    <w:rsid w:val="003E1A22"/>
    <w:rsid w:val="003E1ADF"/>
    <w:rsid w:val="003E20B8"/>
    <w:rsid w:val="003E2350"/>
    <w:rsid w:val="003E319A"/>
    <w:rsid w:val="003E32C8"/>
    <w:rsid w:val="003E33E1"/>
    <w:rsid w:val="003E3435"/>
    <w:rsid w:val="003E357B"/>
    <w:rsid w:val="003E3A6B"/>
    <w:rsid w:val="003E3FAC"/>
    <w:rsid w:val="003E40C6"/>
    <w:rsid w:val="003E417A"/>
    <w:rsid w:val="003E49FA"/>
    <w:rsid w:val="003E4AB6"/>
    <w:rsid w:val="003E4D90"/>
    <w:rsid w:val="003E5084"/>
    <w:rsid w:val="003E5427"/>
    <w:rsid w:val="003E54E3"/>
    <w:rsid w:val="003E55BB"/>
    <w:rsid w:val="003E576F"/>
    <w:rsid w:val="003E58E8"/>
    <w:rsid w:val="003E5C9F"/>
    <w:rsid w:val="003E5E07"/>
    <w:rsid w:val="003E5F68"/>
    <w:rsid w:val="003E6022"/>
    <w:rsid w:val="003E6303"/>
    <w:rsid w:val="003E6719"/>
    <w:rsid w:val="003E6938"/>
    <w:rsid w:val="003E6C80"/>
    <w:rsid w:val="003E7268"/>
    <w:rsid w:val="003E7851"/>
    <w:rsid w:val="003F01A3"/>
    <w:rsid w:val="003F0370"/>
    <w:rsid w:val="003F0B08"/>
    <w:rsid w:val="003F0DC0"/>
    <w:rsid w:val="003F1275"/>
    <w:rsid w:val="003F1AFC"/>
    <w:rsid w:val="003F1B37"/>
    <w:rsid w:val="003F1BAD"/>
    <w:rsid w:val="003F1E39"/>
    <w:rsid w:val="003F237F"/>
    <w:rsid w:val="003F2C6E"/>
    <w:rsid w:val="003F2FE3"/>
    <w:rsid w:val="003F30D7"/>
    <w:rsid w:val="003F33B6"/>
    <w:rsid w:val="003F3B45"/>
    <w:rsid w:val="003F3EE1"/>
    <w:rsid w:val="003F4169"/>
    <w:rsid w:val="003F4299"/>
    <w:rsid w:val="003F44C1"/>
    <w:rsid w:val="003F45A2"/>
    <w:rsid w:val="003F47E5"/>
    <w:rsid w:val="003F49E1"/>
    <w:rsid w:val="003F4E43"/>
    <w:rsid w:val="003F51ED"/>
    <w:rsid w:val="003F5316"/>
    <w:rsid w:val="003F5A43"/>
    <w:rsid w:val="003F5B50"/>
    <w:rsid w:val="003F6163"/>
    <w:rsid w:val="003F6514"/>
    <w:rsid w:val="003F6AAA"/>
    <w:rsid w:val="003F6D15"/>
    <w:rsid w:val="003F7701"/>
    <w:rsid w:val="00400985"/>
    <w:rsid w:val="0040121A"/>
    <w:rsid w:val="00401923"/>
    <w:rsid w:val="004019F8"/>
    <w:rsid w:val="00401E95"/>
    <w:rsid w:val="00401F5C"/>
    <w:rsid w:val="004021C7"/>
    <w:rsid w:val="00402310"/>
    <w:rsid w:val="00402645"/>
    <w:rsid w:val="00402AB8"/>
    <w:rsid w:val="0040325F"/>
    <w:rsid w:val="004036C6"/>
    <w:rsid w:val="00403DEC"/>
    <w:rsid w:val="00403FA8"/>
    <w:rsid w:val="00404639"/>
    <w:rsid w:val="00404BF9"/>
    <w:rsid w:val="00405015"/>
    <w:rsid w:val="004057F2"/>
    <w:rsid w:val="004059D5"/>
    <w:rsid w:val="00405DEB"/>
    <w:rsid w:val="004061AC"/>
    <w:rsid w:val="00406BD1"/>
    <w:rsid w:val="00406DE3"/>
    <w:rsid w:val="00407020"/>
    <w:rsid w:val="004071E7"/>
    <w:rsid w:val="00407487"/>
    <w:rsid w:val="00407B77"/>
    <w:rsid w:val="00407BEC"/>
    <w:rsid w:val="00407BF0"/>
    <w:rsid w:val="00407C50"/>
    <w:rsid w:val="00410072"/>
    <w:rsid w:val="00410116"/>
    <w:rsid w:val="00410C54"/>
    <w:rsid w:val="00410DE0"/>
    <w:rsid w:val="00410F84"/>
    <w:rsid w:val="00411920"/>
    <w:rsid w:val="00412A76"/>
    <w:rsid w:val="00413222"/>
    <w:rsid w:val="00413264"/>
    <w:rsid w:val="004134D0"/>
    <w:rsid w:val="004135E7"/>
    <w:rsid w:val="00413760"/>
    <w:rsid w:val="00413967"/>
    <w:rsid w:val="00414E59"/>
    <w:rsid w:val="00414E8A"/>
    <w:rsid w:val="0041514F"/>
    <w:rsid w:val="004154A2"/>
    <w:rsid w:val="004155E4"/>
    <w:rsid w:val="00415794"/>
    <w:rsid w:val="00415BE3"/>
    <w:rsid w:val="00415FC0"/>
    <w:rsid w:val="0041619D"/>
    <w:rsid w:val="0041654C"/>
    <w:rsid w:val="00416EE4"/>
    <w:rsid w:val="004170F7"/>
    <w:rsid w:val="0041730B"/>
    <w:rsid w:val="0041782D"/>
    <w:rsid w:val="00420071"/>
    <w:rsid w:val="0042033E"/>
    <w:rsid w:val="004207A1"/>
    <w:rsid w:val="004209DC"/>
    <w:rsid w:val="00420B03"/>
    <w:rsid w:val="00420DC4"/>
    <w:rsid w:val="00421363"/>
    <w:rsid w:val="00421461"/>
    <w:rsid w:val="00421C50"/>
    <w:rsid w:val="00422137"/>
    <w:rsid w:val="004228C4"/>
    <w:rsid w:val="00422A50"/>
    <w:rsid w:val="004230C8"/>
    <w:rsid w:val="004236E1"/>
    <w:rsid w:val="00424322"/>
    <w:rsid w:val="00424E98"/>
    <w:rsid w:val="00424EAB"/>
    <w:rsid w:val="004257D1"/>
    <w:rsid w:val="0042605B"/>
    <w:rsid w:val="004260CD"/>
    <w:rsid w:val="00426599"/>
    <w:rsid w:val="004267B4"/>
    <w:rsid w:val="00426A23"/>
    <w:rsid w:val="00426B5A"/>
    <w:rsid w:val="00426C1D"/>
    <w:rsid w:val="00427634"/>
    <w:rsid w:val="0042768F"/>
    <w:rsid w:val="00427FF5"/>
    <w:rsid w:val="00430060"/>
    <w:rsid w:val="004308A8"/>
    <w:rsid w:val="00430B71"/>
    <w:rsid w:val="00430E6D"/>
    <w:rsid w:val="004313A7"/>
    <w:rsid w:val="00431716"/>
    <w:rsid w:val="00432C46"/>
    <w:rsid w:val="00432DCF"/>
    <w:rsid w:val="00432F8C"/>
    <w:rsid w:val="00433042"/>
    <w:rsid w:val="004335DB"/>
    <w:rsid w:val="00433845"/>
    <w:rsid w:val="00433B72"/>
    <w:rsid w:val="00433CE4"/>
    <w:rsid w:val="0043583D"/>
    <w:rsid w:val="004358DF"/>
    <w:rsid w:val="0043631B"/>
    <w:rsid w:val="004366EA"/>
    <w:rsid w:val="0043677A"/>
    <w:rsid w:val="00436C4F"/>
    <w:rsid w:val="00436C72"/>
    <w:rsid w:val="00436D58"/>
    <w:rsid w:val="00436F35"/>
    <w:rsid w:val="0043753B"/>
    <w:rsid w:val="004378CD"/>
    <w:rsid w:val="00437D2D"/>
    <w:rsid w:val="0044006D"/>
    <w:rsid w:val="004407BD"/>
    <w:rsid w:val="004409EC"/>
    <w:rsid w:val="00440B70"/>
    <w:rsid w:val="00440CB6"/>
    <w:rsid w:val="004410B3"/>
    <w:rsid w:val="00441371"/>
    <w:rsid w:val="004414C7"/>
    <w:rsid w:val="0044161E"/>
    <w:rsid w:val="00441BD6"/>
    <w:rsid w:val="00441BF2"/>
    <w:rsid w:val="004425FF"/>
    <w:rsid w:val="00442812"/>
    <w:rsid w:val="0044330E"/>
    <w:rsid w:val="00443629"/>
    <w:rsid w:val="0044363D"/>
    <w:rsid w:val="00443B06"/>
    <w:rsid w:val="00443CC2"/>
    <w:rsid w:val="00443DBD"/>
    <w:rsid w:val="00443EDC"/>
    <w:rsid w:val="0044451D"/>
    <w:rsid w:val="00445918"/>
    <w:rsid w:val="00445A86"/>
    <w:rsid w:val="00446371"/>
    <w:rsid w:val="0044655B"/>
    <w:rsid w:val="00446FC9"/>
    <w:rsid w:val="004473A5"/>
    <w:rsid w:val="0044750A"/>
    <w:rsid w:val="00447A7A"/>
    <w:rsid w:val="00447CC3"/>
    <w:rsid w:val="00450C61"/>
    <w:rsid w:val="00450FF7"/>
    <w:rsid w:val="004511EF"/>
    <w:rsid w:val="004521DB"/>
    <w:rsid w:val="0045221F"/>
    <w:rsid w:val="00452477"/>
    <w:rsid w:val="00452661"/>
    <w:rsid w:val="004527E4"/>
    <w:rsid w:val="00452C8E"/>
    <w:rsid w:val="00452CC9"/>
    <w:rsid w:val="00452EC7"/>
    <w:rsid w:val="00452F21"/>
    <w:rsid w:val="00452F3F"/>
    <w:rsid w:val="004534AD"/>
    <w:rsid w:val="004536AB"/>
    <w:rsid w:val="004538EB"/>
    <w:rsid w:val="00453A03"/>
    <w:rsid w:val="00453A13"/>
    <w:rsid w:val="00453FE5"/>
    <w:rsid w:val="004543B9"/>
    <w:rsid w:val="004545C5"/>
    <w:rsid w:val="0045505A"/>
    <w:rsid w:val="0045535F"/>
    <w:rsid w:val="00455654"/>
    <w:rsid w:val="00455B1F"/>
    <w:rsid w:val="00456159"/>
    <w:rsid w:val="00456631"/>
    <w:rsid w:val="00456BFF"/>
    <w:rsid w:val="00456FB9"/>
    <w:rsid w:val="004573E7"/>
    <w:rsid w:val="00457BA3"/>
    <w:rsid w:val="00460046"/>
    <w:rsid w:val="004600D9"/>
    <w:rsid w:val="00460145"/>
    <w:rsid w:val="00460839"/>
    <w:rsid w:val="00460920"/>
    <w:rsid w:val="00461123"/>
    <w:rsid w:val="00461500"/>
    <w:rsid w:val="00461BBB"/>
    <w:rsid w:val="0046203C"/>
    <w:rsid w:val="004623A1"/>
    <w:rsid w:val="004627E7"/>
    <w:rsid w:val="00462BC1"/>
    <w:rsid w:val="00462CB8"/>
    <w:rsid w:val="00462EDC"/>
    <w:rsid w:val="004631B5"/>
    <w:rsid w:val="004632C1"/>
    <w:rsid w:val="0046347C"/>
    <w:rsid w:val="00463579"/>
    <w:rsid w:val="00463820"/>
    <w:rsid w:val="00463BE7"/>
    <w:rsid w:val="004641F8"/>
    <w:rsid w:val="004643E6"/>
    <w:rsid w:val="00464447"/>
    <w:rsid w:val="00464578"/>
    <w:rsid w:val="00464948"/>
    <w:rsid w:val="00465306"/>
    <w:rsid w:val="004664D4"/>
    <w:rsid w:val="00466A1D"/>
    <w:rsid w:val="00467032"/>
    <w:rsid w:val="004671B1"/>
    <w:rsid w:val="00467AEC"/>
    <w:rsid w:val="00467E47"/>
    <w:rsid w:val="0047041C"/>
    <w:rsid w:val="0047046B"/>
    <w:rsid w:val="004705A4"/>
    <w:rsid w:val="00470FE3"/>
    <w:rsid w:val="0047177F"/>
    <w:rsid w:val="00471839"/>
    <w:rsid w:val="0047291F"/>
    <w:rsid w:val="00472980"/>
    <w:rsid w:val="00472A21"/>
    <w:rsid w:val="00472D0C"/>
    <w:rsid w:val="0047326B"/>
    <w:rsid w:val="004733FC"/>
    <w:rsid w:val="0047398A"/>
    <w:rsid w:val="00473E99"/>
    <w:rsid w:val="0047414F"/>
    <w:rsid w:val="00474425"/>
    <w:rsid w:val="00474695"/>
    <w:rsid w:val="0047476B"/>
    <w:rsid w:val="004749CE"/>
    <w:rsid w:val="004749D5"/>
    <w:rsid w:val="00474D15"/>
    <w:rsid w:val="00474D3B"/>
    <w:rsid w:val="00474EDC"/>
    <w:rsid w:val="00474F25"/>
    <w:rsid w:val="0047504F"/>
    <w:rsid w:val="00475E6A"/>
    <w:rsid w:val="00477245"/>
    <w:rsid w:val="0047766D"/>
    <w:rsid w:val="00477DC7"/>
    <w:rsid w:val="00480792"/>
    <w:rsid w:val="00481461"/>
    <w:rsid w:val="00481590"/>
    <w:rsid w:val="00481674"/>
    <w:rsid w:val="00481713"/>
    <w:rsid w:val="00481F18"/>
    <w:rsid w:val="0048262C"/>
    <w:rsid w:val="0048320B"/>
    <w:rsid w:val="0048320F"/>
    <w:rsid w:val="00483554"/>
    <w:rsid w:val="00483E6F"/>
    <w:rsid w:val="00483F6D"/>
    <w:rsid w:val="00483FE1"/>
    <w:rsid w:val="00484FE2"/>
    <w:rsid w:val="004850B7"/>
    <w:rsid w:val="0048557A"/>
    <w:rsid w:val="0048619B"/>
    <w:rsid w:val="00486BDF"/>
    <w:rsid w:val="00486D7F"/>
    <w:rsid w:val="00487875"/>
    <w:rsid w:val="00487A33"/>
    <w:rsid w:val="00487A82"/>
    <w:rsid w:val="00487A8C"/>
    <w:rsid w:val="00487AEC"/>
    <w:rsid w:val="00487E79"/>
    <w:rsid w:val="00490155"/>
    <w:rsid w:val="00490376"/>
    <w:rsid w:val="00490F94"/>
    <w:rsid w:val="004915B5"/>
    <w:rsid w:val="00491649"/>
    <w:rsid w:val="00491A0C"/>
    <w:rsid w:val="00491C78"/>
    <w:rsid w:val="00491CE3"/>
    <w:rsid w:val="00491D1A"/>
    <w:rsid w:val="0049201F"/>
    <w:rsid w:val="004928CE"/>
    <w:rsid w:val="00492A94"/>
    <w:rsid w:val="00492B38"/>
    <w:rsid w:val="00492B8F"/>
    <w:rsid w:val="00493D97"/>
    <w:rsid w:val="00493E20"/>
    <w:rsid w:val="00494165"/>
    <w:rsid w:val="004942B9"/>
    <w:rsid w:val="004944D1"/>
    <w:rsid w:val="004947F4"/>
    <w:rsid w:val="0049484B"/>
    <w:rsid w:val="00494956"/>
    <w:rsid w:val="004949EB"/>
    <w:rsid w:val="00494B89"/>
    <w:rsid w:val="00495A18"/>
    <w:rsid w:val="0049619F"/>
    <w:rsid w:val="00496241"/>
    <w:rsid w:val="004962E3"/>
    <w:rsid w:val="0049635A"/>
    <w:rsid w:val="004967CF"/>
    <w:rsid w:val="00496DA7"/>
    <w:rsid w:val="00496F3C"/>
    <w:rsid w:val="00496F8E"/>
    <w:rsid w:val="00497224"/>
    <w:rsid w:val="0049728C"/>
    <w:rsid w:val="00497C77"/>
    <w:rsid w:val="00497E6F"/>
    <w:rsid w:val="004A013D"/>
    <w:rsid w:val="004A0DF5"/>
    <w:rsid w:val="004A10BB"/>
    <w:rsid w:val="004A19B9"/>
    <w:rsid w:val="004A1CB8"/>
    <w:rsid w:val="004A1EA5"/>
    <w:rsid w:val="004A364F"/>
    <w:rsid w:val="004A413A"/>
    <w:rsid w:val="004A422D"/>
    <w:rsid w:val="004A458D"/>
    <w:rsid w:val="004A4590"/>
    <w:rsid w:val="004A47DF"/>
    <w:rsid w:val="004A4A3A"/>
    <w:rsid w:val="004A4CB0"/>
    <w:rsid w:val="004A4E28"/>
    <w:rsid w:val="004A520D"/>
    <w:rsid w:val="004A5850"/>
    <w:rsid w:val="004A5B27"/>
    <w:rsid w:val="004A5C09"/>
    <w:rsid w:val="004A5D94"/>
    <w:rsid w:val="004A643D"/>
    <w:rsid w:val="004A6BE7"/>
    <w:rsid w:val="004A7191"/>
    <w:rsid w:val="004A763B"/>
    <w:rsid w:val="004A783E"/>
    <w:rsid w:val="004A7BD6"/>
    <w:rsid w:val="004B0671"/>
    <w:rsid w:val="004B09E6"/>
    <w:rsid w:val="004B0EE5"/>
    <w:rsid w:val="004B0EF8"/>
    <w:rsid w:val="004B111C"/>
    <w:rsid w:val="004B20F4"/>
    <w:rsid w:val="004B2389"/>
    <w:rsid w:val="004B2847"/>
    <w:rsid w:val="004B2AE9"/>
    <w:rsid w:val="004B2C7C"/>
    <w:rsid w:val="004B2D8D"/>
    <w:rsid w:val="004B2E84"/>
    <w:rsid w:val="004B3598"/>
    <w:rsid w:val="004B36D0"/>
    <w:rsid w:val="004B37AD"/>
    <w:rsid w:val="004B381C"/>
    <w:rsid w:val="004B3D81"/>
    <w:rsid w:val="004B458E"/>
    <w:rsid w:val="004B45F0"/>
    <w:rsid w:val="004B46B4"/>
    <w:rsid w:val="004B4842"/>
    <w:rsid w:val="004B494D"/>
    <w:rsid w:val="004B4C20"/>
    <w:rsid w:val="004B4F64"/>
    <w:rsid w:val="004B5520"/>
    <w:rsid w:val="004B5591"/>
    <w:rsid w:val="004B5594"/>
    <w:rsid w:val="004B55FC"/>
    <w:rsid w:val="004B6095"/>
    <w:rsid w:val="004B6251"/>
    <w:rsid w:val="004B631D"/>
    <w:rsid w:val="004B634E"/>
    <w:rsid w:val="004B6963"/>
    <w:rsid w:val="004B6BAC"/>
    <w:rsid w:val="004B6CBC"/>
    <w:rsid w:val="004B6D8F"/>
    <w:rsid w:val="004B714A"/>
    <w:rsid w:val="004B7190"/>
    <w:rsid w:val="004B71E5"/>
    <w:rsid w:val="004B7266"/>
    <w:rsid w:val="004B7607"/>
    <w:rsid w:val="004B7777"/>
    <w:rsid w:val="004B77BF"/>
    <w:rsid w:val="004C054C"/>
    <w:rsid w:val="004C0FFF"/>
    <w:rsid w:val="004C1060"/>
    <w:rsid w:val="004C1EB0"/>
    <w:rsid w:val="004C279D"/>
    <w:rsid w:val="004C284A"/>
    <w:rsid w:val="004C2F2B"/>
    <w:rsid w:val="004C31F8"/>
    <w:rsid w:val="004C36C8"/>
    <w:rsid w:val="004C3CFC"/>
    <w:rsid w:val="004C4150"/>
    <w:rsid w:val="004C4380"/>
    <w:rsid w:val="004C43DC"/>
    <w:rsid w:val="004C4745"/>
    <w:rsid w:val="004C4B53"/>
    <w:rsid w:val="004C505C"/>
    <w:rsid w:val="004C511B"/>
    <w:rsid w:val="004C5310"/>
    <w:rsid w:val="004C5414"/>
    <w:rsid w:val="004C550B"/>
    <w:rsid w:val="004C626C"/>
    <w:rsid w:val="004C660F"/>
    <w:rsid w:val="004C7596"/>
    <w:rsid w:val="004C7694"/>
    <w:rsid w:val="004C7764"/>
    <w:rsid w:val="004C7AD2"/>
    <w:rsid w:val="004C7AF1"/>
    <w:rsid w:val="004D0262"/>
    <w:rsid w:val="004D0648"/>
    <w:rsid w:val="004D06D0"/>
    <w:rsid w:val="004D0E5C"/>
    <w:rsid w:val="004D196F"/>
    <w:rsid w:val="004D1AAD"/>
    <w:rsid w:val="004D1FAE"/>
    <w:rsid w:val="004D1FF9"/>
    <w:rsid w:val="004D2268"/>
    <w:rsid w:val="004D2430"/>
    <w:rsid w:val="004D27A4"/>
    <w:rsid w:val="004D32B9"/>
    <w:rsid w:val="004D33A3"/>
    <w:rsid w:val="004D35BE"/>
    <w:rsid w:val="004D3E3A"/>
    <w:rsid w:val="004D3E4C"/>
    <w:rsid w:val="004D4D4B"/>
    <w:rsid w:val="004D4F51"/>
    <w:rsid w:val="004D565B"/>
    <w:rsid w:val="004D5BF1"/>
    <w:rsid w:val="004D5E44"/>
    <w:rsid w:val="004D5F81"/>
    <w:rsid w:val="004D616A"/>
    <w:rsid w:val="004D6260"/>
    <w:rsid w:val="004D6EA0"/>
    <w:rsid w:val="004D6F82"/>
    <w:rsid w:val="004D7059"/>
    <w:rsid w:val="004D723E"/>
    <w:rsid w:val="004D7A02"/>
    <w:rsid w:val="004D7C67"/>
    <w:rsid w:val="004E0314"/>
    <w:rsid w:val="004E0366"/>
    <w:rsid w:val="004E1232"/>
    <w:rsid w:val="004E1B90"/>
    <w:rsid w:val="004E270B"/>
    <w:rsid w:val="004E2784"/>
    <w:rsid w:val="004E2A15"/>
    <w:rsid w:val="004E2B5B"/>
    <w:rsid w:val="004E2CA2"/>
    <w:rsid w:val="004E2CB2"/>
    <w:rsid w:val="004E3A34"/>
    <w:rsid w:val="004E3AC1"/>
    <w:rsid w:val="004E3B5F"/>
    <w:rsid w:val="004E46DB"/>
    <w:rsid w:val="004E4828"/>
    <w:rsid w:val="004E49E9"/>
    <w:rsid w:val="004E4CEF"/>
    <w:rsid w:val="004E5286"/>
    <w:rsid w:val="004E5681"/>
    <w:rsid w:val="004E5904"/>
    <w:rsid w:val="004E5B30"/>
    <w:rsid w:val="004E5F09"/>
    <w:rsid w:val="004E67F0"/>
    <w:rsid w:val="004E6C4A"/>
    <w:rsid w:val="004E7575"/>
    <w:rsid w:val="004E7E8F"/>
    <w:rsid w:val="004F0246"/>
    <w:rsid w:val="004F03C3"/>
    <w:rsid w:val="004F18AB"/>
    <w:rsid w:val="004F1AE2"/>
    <w:rsid w:val="004F27A7"/>
    <w:rsid w:val="004F31EB"/>
    <w:rsid w:val="004F4993"/>
    <w:rsid w:val="004F4D9D"/>
    <w:rsid w:val="004F4FAA"/>
    <w:rsid w:val="004F5138"/>
    <w:rsid w:val="004F5916"/>
    <w:rsid w:val="004F5D0C"/>
    <w:rsid w:val="004F5E3A"/>
    <w:rsid w:val="004F6184"/>
    <w:rsid w:val="004F6322"/>
    <w:rsid w:val="004F658A"/>
    <w:rsid w:val="004F6790"/>
    <w:rsid w:val="004F69BC"/>
    <w:rsid w:val="004F6DB8"/>
    <w:rsid w:val="004F7E77"/>
    <w:rsid w:val="00500328"/>
    <w:rsid w:val="0050054C"/>
    <w:rsid w:val="0050083C"/>
    <w:rsid w:val="00500F18"/>
    <w:rsid w:val="005014DC"/>
    <w:rsid w:val="00502001"/>
    <w:rsid w:val="0050209D"/>
    <w:rsid w:val="005023D9"/>
    <w:rsid w:val="005024BA"/>
    <w:rsid w:val="005024DB"/>
    <w:rsid w:val="005027D1"/>
    <w:rsid w:val="0050378E"/>
    <w:rsid w:val="00503B4B"/>
    <w:rsid w:val="0050485A"/>
    <w:rsid w:val="005048E8"/>
    <w:rsid w:val="00504D57"/>
    <w:rsid w:val="005060CF"/>
    <w:rsid w:val="0050621E"/>
    <w:rsid w:val="0050643C"/>
    <w:rsid w:val="0050656F"/>
    <w:rsid w:val="00506A89"/>
    <w:rsid w:val="00506E2C"/>
    <w:rsid w:val="00507C85"/>
    <w:rsid w:val="00507DB7"/>
    <w:rsid w:val="00507F46"/>
    <w:rsid w:val="00510095"/>
    <w:rsid w:val="005105E6"/>
    <w:rsid w:val="0051096C"/>
    <w:rsid w:val="00510A08"/>
    <w:rsid w:val="00510D95"/>
    <w:rsid w:val="00510F15"/>
    <w:rsid w:val="00511D38"/>
    <w:rsid w:val="0051225B"/>
    <w:rsid w:val="005123B5"/>
    <w:rsid w:val="00512A57"/>
    <w:rsid w:val="00512A9C"/>
    <w:rsid w:val="00512E07"/>
    <w:rsid w:val="005139B5"/>
    <w:rsid w:val="00513DF0"/>
    <w:rsid w:val="0051429A"/>
    <w:rsid w:val="00514339"/>
    <w:rsid w:val="00514370"/>
    <w:rsid w:val="00514844"/>
    <w:rsid w:val="005149CC"/>
    <w:rsid w:val="00514F9D"/>
    <w:rsid w:val="005151D9"/>
    <w:rsid w:val="0051561D"/>
    <w:rsid w:val="00515B4A"/>
    <w:rsid w:val="00515D3C"/>
    <w:rsid w:val="00515F85"/>
    <w:rsid w:val="00515FB8"/>
    <w:rsid w:val="005167B1"/>
    <w:rsid w:val="00516CDA"/>
    <w:rsid w:val="00516DCB"/>
    <w:rsid w:val="00517083"/>
    <w:rsid w:val="00517CAA"/>
    <w:rsid w:val="00520608"/>
    <w:rsid w:val="00520AD9"/>
    <w:rsid w:val="00521305"/>
    <w:rsid w:val="00521603"/>
    <w:rsid w:val="005216EE"/>
    <w:rsid w:val="0052258E"/>
    <w:rsid w:val="00522697"/>
    <w:rsid w:val="00522A9D"/>
    <w:rsid w:val="0052402C"/>
    <w:rsid w:val="005247DE"/>
    <w:rsid w:val="00524B02"/>
    <w:rsid w:val="00524B05"/>
    <w:rsid w:val="00524CC7"/>
    <w:rsid w:val="005250DF"/>
    <w:rsid w:val="005253FD"/>
    <w:rsid w:val="00525589"/>
    <w:rsid w:val="00525CE4"/>
    <w:rsid w:val="00525D32"/>
    <w:rsid w:val="00525DED"/>
    <w:rsid w:val="00526619"/>
    <w:rsid w:val="005275D7"/>
    <w:rsid w:val="005275F2"/>
    <w:rsid w:val="00527D19"/>
    <w:rsid w:val="00530075"/>
    <w:rsid w:val="005300DD"/>
    <w:rsid w:val="00531556"/>
    <w:rsid w:val="0053197B"/>
    <w:rsid w:val="005319EF"/>
    <w:rsid w:val="00531D16"/>
    <w:rsid w:val="00532793"/>
    <w:rsid w:val="005327DC"/>
    <w:rsid w:val="00533D65"/>
    <w:rsid w:val="00534110"/>
    <w:rsid w:val="0053426D"/>
    <w:rsid w:val="00534272"/>
    <w:rsid w:val="0053479D"/>
    <w:rsid w:val="00534CB8"/>
    <w:rsid w:val="005358D7"/>
    <w:rsid w:val="005359D9"/>
    <w:rsid w:val="00535A5D"/>
    <w:rsid w:val="00535D8C"/>
    <w:rsid w:val="00535DF6"/>
    <w:rsid w:val="00535EBE"/>
    <w:rsid w:val="0053660B"/>
    <w:rsid w:val="0053660E"/>
    <w:rsid w:val="00536823"/>
    <w:rsid w:val="00536A72"/>
    <w:rsid w:val="005370DA"/>
    <w:rsid w:val="005370FD"/>
    <w:rsid w:val="005370FE"/>
    <w:rsid w:val="00537532"/>
    <w:rsid w:val="0053787D"/>
    <w:rsid w:val="005379E4"/>
    <w:rsid w:val="005402CB"/>
    <w:rsid w:val="00540A26"/>
    <w:rsid w:val="005413A4"/>
    <w:rsid w:val="00541770"/>
    <w:rsid w:val="0054184E"/>
    <w:rsid w:val="00541CEF"/>
    <w:rsid w:val="005423B3"/>
    <w:rsid w:val="00542716"/>
    <w:rsid w:val="00542E44"/>
    <w:rsid w:val="00542EA4"/>
    <w:rsid w:val="00542F68"/>
    <w:rsid w:val="00543438"/>
    <w:rsid w:val="00543680"/>
    <w:rsid w:val="00544432"/>
    <w:rsid w:val="00544434"/>
    <w:rsid w:val="00544461"/>
    <w:rsid w:val="00544707"/>
    <w:rsid w:val="005449AF"/>
    <w:rsid w:val="005449C2"/>
    <w:rsid w:val="00544AA0"/>
    <w:rsid w:val="00544B9A"/>
    <w:rsid w:val="00544D02"/>
    <w:rsid w:val="00545252"/>
    <w:rsid w:val="00546195"/>
    <w:rsid w:val="00546A44"/>
    <w:rsid w:val="00546B9F"/>
    <w:rsid w:val="00546CD9"/>
    <w:rsid w:val="00547036"/>
    <w:rsid w:val="005473F0"/>
    <w:rsid w:val="005507E9"/>
    <w:rsid w:val="00550BE5"/>
    <w:rsid w:val="005512B7"/>
    <w:rsid w:val="00551977"/>
    <w:rsid w:val="0055220C"/>
    <w:rsid w:val="0055241F"/>
    <w:rsid w:val="005524AA"/>
    <w:rsid w:val="00552EB2"/>
    <w:rsid w:val="00552F09"/>
    <w:rsid w:val="005533CC"/>
    <w:rsid w:val="005538B8"/>
    <w:rsid w:val="00553BC7"/>
    <w:rsid w:val="00554AAF"/>
    <w:rsid w:val="00554B88"/>
    <w:rsid w:val="00554EE7"/>
    <w:rsid w:val="0055535F"/>
    <w:rsid w:val="00555602"/>
    <w:rsid w:val="00555704"/>
    <w:rsid w:val="005559A0"/>
    <w:rsid w:val="005561A0"/>
    <w:rsid w:val="005561C7"/>
    <w:rsid w:val="0055685F"/>
    <w:rsid w:val="00556902"/>
    <w:rsid w:val="00556C4D"/>
    <w:rsid w:val="00556C73"/>
    <w:rsid w:val="00556EF3"/>
    <w:rsid w:val="0055734B"/>
    <w:rsid w:val="00557803"/>
    <w:rsid w:val="00557BE3"/>
    <w:rsid w:val="005600A8"/>
    <w:rsid w:val="0056035C"/>
    <w:rsid w:val="00560B65"/>
    <w:rsid w:val="00560E99"/>
    <w:rsid w:val="00561027"/>
    <w:rsid w:val="0056139A"/>
    <w:rsid w:val="005618B3"/>
    <w:rsid w:val="00561BF5"/>
    <w:rsid w:val="00561E5A"/>
    <w:rsid w:val="0056215D"/>
    <w:rsid w:val="005621EB"/>
    <w:rsid w:val="00562419"/>
    <w:rsid w:val="005624C9"/>
    <w:rsid w:val="00562843"/>
    <w:rsid w:val="00562A26"/>
    <w:rsid w:val="00562BEB"/>
    <w:rsid w:val="00563502"/>
    <w:rsid w:val="005638B6"/>
    <w:rsid w:val="00563998"/>
    <w:rsid w:val="00563B05"/>
    <w:rsid w:val="0056467F"/>
    <w:rsid w:val="00564B44"/>
    <w:rsid w:val="00564C88"/>
    <w:rsid w:val="005653B8"/>
    <w:rsid w:val="00565519"/>
    <w:rsid w:val="005656FE"/>
    <w:rsid w:val="00565E9E"/>
    <w:rsid w:val="00565EE4"/>
    <w:rsid w:val="0056675C"/>
    <w:rsid w:val="005667C8"/>
    <w:rsid w:val="0056685D"/>
    <w:rsid w:val="005669A9"/>
    <w:rsid w:val="00566B99"/>
    <w:rsid w:val="00566C93"/>
    <w:rsid w:val="00567178"/>
    <w:rsid w:val="005674E9"/>
    <w:rsid w:val="0056754F"/>
    <w:rsid w:val="00567B74"/>
    <w:rsid w:val="005703E3"/>
    <w:rsid w:val="0057044E"/>
    <w:rsid w:val="0057065F"/>
    <w:rsid w:val="005707B0"/>
    <w:rsid w:val="00570C3B"/>
    <w:rsid w:val="005711EB"/>
    <w:rsid w:val="005717A2"/>
    <w:rsid w:val="0057214E"/>
    <w:rsid w:val="0057254D"/>
    <w:rsid w:val="00572D7D"/>
    <w:rsid w:val="00572D99"/>
    <w:rsid w:val="00572EBB"/>
    <w:rsid w:val="00572EEA"/>
    <w:rsid w:val="00573479"/>
    <w:rsid w:val="00573721"/>
    <w:rsid w:val="00573B0C"/>
    <w:rsid w:val="00573B22"/>
    <w:rsid w:val="00573D52"/>
    <w:rsid w:val="0057402E"/>
    <w:rsid w:val="00574DBF"/>
    <w:rsid w:val="00575420"/>
    <w:rsid w:val="00575C57"/>
    <w:rsid w:val="005763ED"/>
    <w:rsid w:val="005769C9"/>
    <w:rsid w:val="005770A6"/>
    <w:rsid w:val="0057727D"/>
    <w:rsid w:val="00577D91"/>
    <w:rsid w:val="0058035D"/>
    <w:rsid w:val="00580663"/>
    <w:rsid w:val="00580E2C"/>
    <w:rsid w:val="00580E51"/>
    <w:rsid w:val="00580EA7"/>
    <w:rsid w:val="00581090"/>
    <w:rsid w:val="005816EA"/>
    <w:rsid w:val="00581E35"/>
    <w:rsid w:val="00581F6F"/>
    <w:rsid w:val="00581FC5"/>
    <w:rsid w:val="005823F5"/>
    <w:rsid w:val="005829D2"/>
    <w:rsid w:val="00582CAD"/>
    <w:rsid w:val="00582DA2"/>
    <w:rsid w:val="00583EE3"/>
    <w:rsid w:val="00583F51"/>
    <w:rsid w:val="00583FDB"/>
    <w:rsid w:val="00584091"/>
    <w:rsid w:val="00584919"/>
    <w:rsid w:val="00584D04"/>
    <w:rsid w:val="005856B3"/>
    <w:rsid w:val="00585898"/>
    <w:rsid w:val="00585A73"/>
    <w:rsid w:val="00585C36"/>
    <w:rsid w:val="00585E3B"/>
    <w:rsid w:val="005861F0"/>
    <w:rsid w:val="005866FE"/>
    <w:rsid w:val="0058721E"/>
    <w:rsid w:val="00587355"/>
    <w:rsid w:val="00587EE3"/>
    <w:rsid w:val="0059022D"/>
    <w:rsid w:val="00590415"/>
    <w:rsid w:val="00590435"/>
    <w:rsid w:val="00590964"/>
    <w:rsid w:val="00590DAC"/>
    <w:rsid w:val="00591C4E"/>
    <w:rsid w:val="00591ED7"/>
    <w:rsid w:val="0059237B"/>
    <w:rsid w:val="0059243D"/>
    <w:rsid w:val="0059249B"/>
    <w:rsid w:val="005928CA"/>
    <w:rsid w:val="00592952"/>
    <w:rsid w:val="0059347C"/>
    <w:rsid w:val="0059367D"/>
    <w:rsid w:val="005938B9"/>
    <w:rsid w:val="005941B0"/>
    <w:rsid w:val="005945CA"/>
    <w:rsid w:val="00594B73"/>
    <w:rsid w:val="00594CB3"/>
    <w:rsid w:val="00594CC2"/>
    <w:rsid w:val="00595464"/>
    <w:rsid w:val="00595FDC"/>
    <w:rsid w:val="00596962"/>
    <w:rsid w:val="00596BD0"/>
    <w:rsid w:val="00597699"/>
    <w:rsid w:val="00597957"/>
    <w:rsid w:val="0059795E"/>
    <w:rsid w:val="00597C6B"/>
    <w:rsid w:val="005A0099"/>
    <w:rsid w:val="005A0231"/>
    <w:rsid w:val="005A068E"/>
    <w:rsid w:val="005A07E4"/>
    <w:rsid w:val="005A0B3A"/>
    <w:rsid w:val="005A1DBC"/>
    <w:rsid w:val="005A1F75"/>
    <w:rsid w:val="005A2686"/>
    <w:rsid w:val="005A2D2A"/>
    <w:rsid w:val="005A39F3"/>
    <w:rsid w:val="005A3D05"/>
    <w:rsid w:val="005A47C5"/>
    <w:rsid w:val="005A565D"/>
    <w:rsid w:val="005A567B"/>
    <w:rsid w:val="005A5706"/>
    <w:rsid w:val="005A577D"/>
    <w:rsid w:val="005A58DA"/>
    <w:rsid w:val="005A5E84"/>
    <w:rsid w:val="005A6A95"/>
    <w:rsid w:val="005A6BA8"/>
    <w:rsid w:val="005A6D4A"/>
    <w:rsid w:val="005A73FF"/>
    <w:rsid w:val="005A7ACF"/>
    <w:rsid w:val="005B0861"/>
    <w:rsid w:val="005B0879"/>
    <w:rsid w:val="005B0B94"/>
    <w:rsid w:val="005B0DF2"/>
    <w:rsid w:val="005B14E4"/>
    <w:rsid w:val="005B1580"/>
    <w:rsid w:val="005B1C89"/>
    <w:rsid w:val="005B1E63"/>
    <w:rsid w:val="005B2197"/>
    <w:rsid w:val="005B26A8"/>
    <w:rsid w:val="005B2AF7"/>
    <w:rsid w:val="005B3C13"/>
    <w:rsid w:val="005B3C1A"/>
    <w:rsid w:val="005B3EFE"/>
    <w:rsid w:val="005B3F83"/>
    <w:rsid w:val="005B3FDE"/>
    <w:rsid w:val="005B44BE"/>
    <w:rsid w:val="005B4673"/>
    <w:rsid w:val="005B4DE0"/>
    <w:rsid w:val="005B5270"/>
    <w:rsid w:val="005B59EF"/>
    <w:rsid w:val="005B5CB0"/>
    <w:rsid w:val="005B6182"/>
    <w:rsid w:val="005B66BE"/>
    <w:rsid w:val="005B6D90"/>
    <w:rsid w:val="005B6E80"/>
    <w:rsid w:val="005B7436"/>
    <w:rsid w:val="005B7475"/>
    <w:rsid w:val="005B79CE"/>
    <w:rsid w:val="005C0509"/>
    <w:rsid w:val="005C101B"/>
    <w:rsid w:val="005C1926"/>
    <w:rsid w:val="005C1930"/>
    <w:rsid w:val="005C1C02"/>
    <w:rsid w:val="005C1C47"/>
    <w:rsid w:val="005C217B"/>
    <w:rsid w:val="005C2181"/>
    <w:rsid w:val="005C231A"/>
    <w:rsid w:val="005C2F7D"/>
    <w:rsid w:val="005C32C1"/>
    <w:rsid w:val="005C3932"/>
    <w:rsid w:val="005C39F0"/>
    <w:rsid w:val="005C3C76"/>
    <w:rsid w:val="005C3FD0"/>
    <w:rsid w:val="005C42CB"/>
    <w:rsid w:val="005C4496"/>
    <w:rsid w:val="005C4EE6"/>
    <w:rsid w:val="005C5089"/>
    <w:rsid w:val="005C57FE"/>
    <w:rsid w:val="005C5915"/>
    <w:rsid w:val="005C5C95"/>
    <w:rsid w:val="005C6019"/>
    <w:rsid w:val="005C6550"/>
    <w:rsid w:val="005C6B7D"/>
    <w:rsid w:val="005C6E5B"/>
    <w:rsid w:val="005C7312"/>
    <w:rsid w:val="005C73E8"/>
    <w:rsid w:val="005C7805"/>
    <w:rsid w:val="005D0024"/>
    <w:rsid w:val="005D0C7D"/>
    <w:rsid w:val="005D12A9"/>
    <w:rsid w:val="005D1376"/>
    <w:rsid w:val="005D1616"/>
    <w:rsid w:val="005D167B"/>
    <w:rsid w:val="005D1A8B"/>
    <w:rsid w:val="005D204B"/>
    <w:rsid w:val="005D2B05"/>
    <w:rsid w:val="005D2C68"/>
    <w:rsid w:val="005D2C8E"/>
    <w:rsid w:val="005D3552"/>
    <w:rsid w:val="005D3A87"/>
    <w:rsid w:val="005D405F"/>
    <w:rsid w:val="005D41B5"/>
    <w:rsid w:val="005D435D"/>
    <w:rsid w:val="005D46BB"/>
    <w:rsid w:val="005D47D9"/>
    <w:rsid w:val="005D49D3"/>
    <w:rsid w:val="005D4A00"/>
    <w:rsid w:val="005D4A9D"/>
    <w:rsid w:val="005D5410"/>
    <w:rsid w:val="005D5628"/>
    <w:rsid w:val="005D67A9"/>
    <w:rsid w:val="005D6E9A"/>
    <w:rsid w:val="005D71BB"/>
    <w:rsid w:val="005D749C"/>
    <w:rsid w:val="005D794B"/>
    <w:rsid w:val="005D7B43"/>
    <w:rsid w:val="005D7C87"/>
    <w:rsid w:val="005E017F"/>
    <w:rsid w:val="005E0550"/>
    <w:rsid w:val="005E094B"/>
    <w:rsid w:val="005E0DF7"/>
    <w:rsid w:val="005E0DF9"/>
    <w:rsid w:val="005E119E"/>
    <w:rsid w:val="005E14C4"/>
    <w:rsid w:val="005E1EBF"/>
    <w:rsid w:val="005E2505"/>
    <w:rsid w:val="005E250C"/>
    <w:rsid w:val="005E2A6F"/>
    <w:rsid w:val="005E2C5D"/>
    <w:rsid w:val="005E2FF0"/>
    <w:rsid w:val="005E31D8"/>
    <w:rsid w:val="005E3273"/>
    <w:rsid w:val="005E3A7E"/>
    <w:rsid w:val="005E50BA"/>
    <w:rsid w:val="005E5580"/>
    <w:rsid w:val="005E5B01"/>
    <w:rsid w:val="005E6182"/>
    <w:rsid w:val="005E6CB8"/>
    <w:rsid w:val="005E730D"/>
    <w:rsid w:val="005E75BD"/>
    <w:rsid w:val="005E7D5E"/>
    <w:rsid w:val="005F0645"/>
    <w:rsid w:val="005F08B0"/>
    <w:rsid w:val="005F0CA7"/>
    <w:rsid w:val="005F0DB1"/>
    <w:rsid w:val="005F126B"/>
    <w:rsid w:val="005F18A0"/>
    <w:rsid w:val="005F1AC8"/>
    <w:rsid w:val="005F1E67"/>
    <w:rsid w:val="005F24FE"/>
    <w:rsid w:val="005F2833"/>
    <w:rsid w:val="005F2C03"/>
    <w:rsid w:val="005F31CE"/>
    <w:rsid w:val="005F353B"/>
    <w:rsid w:val="005F3559"/>
    <w:rsid w:val="005F3870"/>
    <w:rsid w:val="005F48F4"/>
    <w:rsid w:val="005F4BCD"/>
    <w:rsid w:val="005F4CB2"/>
    <w:rsid w:val="005F4F75"/>
    <w:rsid w:val="005F50C8"/>
    <w:rsid w:val="005F6333"/>
    <w:rsid w:val="005F63C2"/>
    <w:rsid w:val="005F65B6"/>
    <w:rsid w:val="005F6BB5"/>
    <w:rsid w:val="005F73F2"/>
    <w:rsid w:val="005F7696"/>
    <w:rsid w:val="0060020E"/>
    <w:rsid w:val="00600393"/>
    <w:rsid w:val="006003AF"/>
    <w:rsid w:val="00600528"/>
    <w:rsid w:val="006008A8"/>
    <w:rsid w:val="006008CB"/>
    <w:rsid w:val="00600BF4"/>
    <w:rsid w:val="00601FB0"/>
    <w:rsid w:val="00601FFD"/>
    <w:rsid w:val="00602320"/>
    <w:rsid w:val="00602842"/>
    <w:rsid w:val="00602BE7"/>
    <w:rsid w:val="00602C01"/>
    <w:rsid w:val="006037EE"/>
    <w:rsid w:val="00603A4B"/>
    <w:rsid w:val="00603F02"/>
    <w:rsid w:val="00604198"/>
    <w:rsid w:val="006041FC"/>
    <w:rsid w:val="0060436B"/>
    <w:rsid w:val="00604FA5"/>
    <w:rsid w:val="0060583B"/>
    <w:rsid w:val="00605B51"/>
    <w:rsid w:val="006068FD"/>
    <w:rsid w:val="00606A7E"/>
    <w:rsid w:val="00606E96"/>
    <w:rsid w:val="006070C9"/>
    <w:rsid w:val="0060737E"/>
    <w:rsid w:val="0060758B"/>
    <w:rsid w:val="0060780C"/>
    <w:rsid w:val="00610579"/>
    <w:rsid w:val="00610946"/>
    <w:rsid w:val="0061118B"/>
    <w:rsid w:val="006111B2"/>
    <w:rsid w:val="0061153E"/>
    <w:rsid w:val="006115A0"/>
    <w:rsid w:val="00612885"/>
    <w:rsid w:val="00612982"/>
    <w:rsid w:val="006137B8"/>
    <w:rsid w:val="00613973"/>
    <w:rsid w:val="00614061"/>
    <w:rsid w:val="0061521C"/>
    <w:rsid w:val="006152EB"/>
    <w:rsid w:val="00615621"/>
    <w:rsid w:val="006159C2"/>
    <w:rsid w:val="00615CF6"/>
    <w:rsid w:val="00615FD2"/>
    <w:rsid w:val="006160B5"/>
    <w:rsid w:val="00616160"/>
    <w:rsid w:val="00616FF8"/>
    <w:rsid w:val="006170AA"/>
    <w:rsid w:val="006175B6"/>
    <w:rsid w:val="006176F2"/>
    <w:rsid w:val="00617FAC"/>
    <w:rsid w:val="006205AC"/>
    <w:rsid w:val="0062087B"/>
    <w:rsid w:val="006213AC"/>
    <w:rsid w:val="00621524"/>
    <w:rsid w:val="0062189F"/>
    <w:rsid w:val="006218DE"/>
    <w:rsid w:val="00621C2D"/>
    <w:rsid w:val="0062213E"/>
    <w:rsid w:val="006223D9"/>
    <w:rsid w:val="006225F1"/>
    <w:rsid w:val="00622A24"/>
    <w:rsid w:val="006233D5"/>
    <w:rsid w:val="006234DB"/>
    <w:rsid w:val="006236EF"/>
    <w:rsid w:val="00623ABB"/>
    <w:rsid w:val="00623E26"/>
    <w:rsid w:val="00624170"/>
    <w:rsid w:val="006243AB"/>
    <w:rsid w:val="006244A5"/>
    <w:rsid w:val="006245C1"/>
    <w:rsid w:val="006249FA"/>
    <w:rsid w:val="00625196"/>
    <w:rsid w:val="00625850"/>
    <w:rsid w:val="00625B2B"/>
    <w:rsid w:val="00625B40"/>
    <w:rsid w:val="00625BDB"/>
    <w:rsid w:val="006265CB"/>
    <w:rsid w:val="00627096"/>
    <w:rsid w:val="00627730"/>
    <w:rsid w:val="00627754"/>
    <w:rsid w:val="00627B48"/>
    <w:rsid w:val="00627D2B"/>
    <w:rsid w:val="00627F2C"/>
    <w:rsid w:val="006300D1"/>
    <w:rsid w:val="0063077C"/>
    <w:rsid w:val="006310C9"/>
    <w:rsid w:val="0063132E"/>
    <w:rsid w:val="006314DF"/>
    <w:rsid w:val="00631FC1"/>
    <w:rsid w:val="006324E5"/>
    <w:rsid w:val="00632ED9"/>
    <w:rsid w:val="0063364F"/>
    <w:rsid w:val="00634015"/>
    <w:rsid w:val="00634A96"/>
    <w:rsid w:val="00634CD1"/>
    <w:rsid w:val="00635069"/>
    <w:rsid w:val="0063580D"/>
    <w:rsid w:val="00635B49"/>
    <w:rsid w:val="006371ED"/>
    <w:rsid w:val="0063736E"/>
    <w:rsid w:val="00637951"/>
    <w:rsid w:val="00637DAC"/>
    <w:rsid w:val="00637F3B"/>
    <w:rsid w:val="006404E1"/>
    <w:rsid w:val="00640512"/>
    <w:rsid w:val="00640887"/>
    <w:rsid w:val="00640C64"/>
    <w:rsid w:val="00641463"/>
    <w:rsid w:val="006415DF"/>
    <w:rsid w:val="00641A30"/>
    <w:rsid w:val="0064253E"/>
    <w:rsid w:val="00642E76"/>
    <w:rsid w:val="006436A7"/>
    <w:rsid w:val="00643B2A"/>
    <w:rsid w:val="006446DB"/>
    <w:rsid w:val="006449C8"/>
    <w:rsid w:val="00644B7C"/>
    <w:rsid w:val="00644DF3"/>
    <w:rsid w:val="00644E36"/>
    <w:rsid w:val="0064507A"/>
    <w:rsid w:val="006456EF"/>
    <w:rsid w:val="00645BE7"/>
    <w:rsid w:val="00646227"/>
    <w:rsid w:val="0064667E"/>
    <w:rsid w:val="006467C2"/>
    <w:rsid w:val="006468CE"/>
    <w:rsid w:val="0064693D"/>
    <w:rsid w:val="00650109"/>
    <w:rsid w:val="006509D4"/>
    <w:rsid w:val="00650BD9"/>
    <w:rsid w:val="0065112E"/>
    <w:rsid w:val="006514B4"/>
    <w:rsid w:val="00651687"/>
    <w:rsid w:val="00651E56"/>
    <w:rsid w:val="006522D1"/>
    <w:rsid w:val="006524D1"/>
    <w:rsid w:val="00652ACE"/>
    <w:rsid w:val="00652BE0"/>
    <w:rsid w:val="00652F9B"/>
    <w:rsid w:val="0065356B"/>
    <w:rsid w:val="00653E49"/>
    <w:rsid w:val="006540B8"/>
    <w:rsid w:val="0065419F"/>
    <w:rsid w:val="0065446B"/>
    <w:rsid w:val="0065457D"/>
    <w:rsid w:val="00654B62"/>
    <w:rsid w:val="00654E2E"/>
    <w:rsid w:val="00654FC5"/>
    <w:rsid w:val="006553FD"/>
    <w:rsid w:val="0065546F"/>
    <w:rsid w:val="0065555A"/>
    <w:rsid w:val="00655663"/>
    <w:rsid w:val="006556ED"/>
    <w:rsid w:val="00655767"/>
    <w:rsid w:val="00655A48"/>
    <w:rsid w:val="00656211"/>
    <w:rsid w:val="00656B61"/>
    <w:rsid w:val="0065709F"/>
    <w:rsid w:val="00657680"/>
    <w:rsid w:val="006604DC"/>
    <w:rsid w:val="0066095C"/>
    <w:rsid w:val="00661152"/>
    <w:rsid w:val="006612EB"/>
    <w:rsid w:val="006617F2"/>
    <w:rsid w:val="006619FB"/>
    <w:rsid w:val="00661C87"/>
    <w:rsid w:val="00661DB0"/>
    <w:rsid w:val="00661F75"/>
    <w:rsid w:val="0066204C"/>
    <w:rsid w:val="0066233F"/>
    <w:rsid w:val="0066259B"/>
    <w:rsid w:val="00662703"/>
    <w:rsid w:val="00662926"/>
    <w:rsid w:val="00662A28"/>
    <w:rsid w:val="00662F6E"/>
    <w:rsid w:val="0066376A"/>
    <w:rsid w:val="0066378C"/>
    <w:rsid w:val="006637E8"/>
    <w:rsid w:val="006638AF"/>
    <w:rsid w:val="006638E3"/>
    <w:rsid w:val="00663A49"/>
    <w:rsid w:val="00663CEC"/>
    <w:rsid w:val="00663F06"/>
    <w:rsid w:val="0066479D"/>
    <w:rsid w:val="00664A83"/>
    <w:rsid w:val="00664D27"/>
    <w:rsid w:val="0066532C"/>
    <w:rsid w:val="00665440"/>
    <w:rsid w:val="00665856"/>
    <w:rsid w:val="006667C0"/>
    <w:rsid w:val="0066680C"/>
    <w:rsid w:val="00666F55"/>
    <w:rsid w:val="00667E20"/>
    <w:rsid w:val="00670161"/>
    <w:rsid w:val="00670267"/>
    <w:rsid w:val="00670671"/>
    <w:rsid w:val="006706FD"/>
    <w:rsid w:val="00670742"/>
    <w:rsid w:val="00670857"/>
    <w:rsid w:val="00671423"/>
    <w:rsid w:val="00671AD2"/>
    <w:rsid w:val="00671B29"/>
    <w:rsid w:val="00671C95"/>
    <w:rsid w:val="0067238D"/>
    <w:rsid w:val="0067240F"/>
    <w:rsid w:val="00672834"/>
    <w:rsid w:val="00672958"/>
    <w:rsid w:val="00673445"/>
    <w:rsid w:val="0067406E"/>
    <w:rsid w:val="00674871"/>
    <w:rsid w:val="00674F39"/>
    <w:rsid w:val="00675335"/>
    <w:rsid w:val="00675B50"/>
    <w:rsid w:val="00676145"/>
    <w:rsid w:val="00676E9F"/>
    <w:rsid w:val="006778A9"/>
    <w:rsid w:val="006800A4"/>
    <w:rsid w:val="00680359"/>
    <w:rsid w:val="006809D2"/>
    <w:rsid w:val="0068181E"/>
    <w:rsid w:val="00681865"/>
    <w:rsid w:val="00681B1B"/>
    <w:rsid w:val="00681E54"/>
    <w:rsid w:val="006821A8"/>
    <w:rsid w:val="006821C0"/>
    <w:rsid w:val="00682375"/>
    <w:rsid w:val="00682768"/>
    <w:rsid w:val="00682B1F"/>
    <w:rsid w:val="00682B22"/>
    <w:rsid w:val="00682C38"/>
    <w:rsid w:val="00683B53"/>
    <w:rsid w:val="00683CEE"/>
    <w:rsid w:val="00684438"/>
    <w:rsid w:val="00684A36"/>
    <w:rsid w:val="00684CCD"/>
    <w:rsid w:val="0068558B"/>
    <w:rsid w:val="00686414"/>
    <w:rsid w:val="0068652C"/>
    <w:rsid w:val="00686551"/>
    <w:rsid w:val="006867D3"/>
    <w:rsid w:val="00686807"/>
    <w:rsid w:val="00686A49"/>
    <w:rsid w:val="00686C66"/>
    <w:rsid w:val="00686EB4"/>
    <w:rsid w:val="00686FCB"/>
    <w:rsid w:val="006870F1"/>
    <w:rsid w:val="006871A2"/>
    <w:rsid w:val="006872DB"/>
    <w:rsid w:val="006875CD"/>
    <w:rsid w:val="00690207"/>
    <w:rsid w:val="006905DC"/>
    <w:rsid w:val="00690D3F"/>
    <w:rsid w:val="00691979"/>
    <w:rsid w:val="00691C92"/>
    <w:rsid w:val="00691DEF"/>
    <w:rsid w:val="00691F5B"/>
    <w:rsid w:val="006921A2"/>
    <w:rsid w:val="0069260F"/>
    <w:rsid w:val="006926E9"/>
    <w:rsid w:val="00692943"/>
    <w:rsid w:val="00692E75"/>
    <w:rsid w:val="006931CC"/>
    <w:rsid w:val="00693640"/>
    <w:rsid w:val="00693B37"/>
    <w:rsid w:val="006945DB"/>
    <w:rsid w:val="006945FC"/>
    <w:rsid w:val="006946D3"/>
    <w:rsid w:val="006949C4"/>
    <w:rsid w:val="0069595D"/>
    <w:rsid w:val="00696241"/>
    <w:rsid w:val="00696B3A"/>
    <w:rsid w:val="00696B5F"/>
    <w:rsid w:val="00696C47"/>
    <w:rsid w:val="00697669"/>
    <w:rsid w:val="00697D9A"/>
    <w:rsid w:val="006A04B5"/>
    <w:rsid w:val="006A04F6"/>
    <w:rsid w:val="006A0EE6"/>
    <w:rsid w:val="006A11B4"/>
    <w:rsid w:val="006A16A9"/>
    <w:rsid w:val="006A1789"/>
    <w:rsid w:val="006A28EC"/>
    <w:rsid w:val="006A290E"/>
    <w:rsid w:val="006A2CFE"/>
    <w:rsid w:val="006A37F9"/>
    <w:rsid w:val="006A46AE"/>
    <w:rsid w:val="006A473E"/>
    <w:rsid w:val="006A50B8"/>
    <w:rsid w:val="006A5F4F"/>
    <w:rsid w:val="006A64E1"/>
    <w:rsid w:val="006A710F"/>
    <w:rsid w:val="006A7348"/>
    <w:rsid w:val="006A7418"/>
    <w:rsid w:val="006A7F67"/>
    <w:rsid w:val="006B0197"/>
    <w:rsid w:val="006B1B99"/>
    <w:rsid w:val="006B1D72"/>
    <w:rsid w:val="006B1F50"/>
    <w:rsid w:val="006B1F99"/>
    <w:rsid w:val="006B2093"/>
    <w:rsid w:val="006B20C3"/>
    <w:rsid w:val="006B20C4"/>
    <w:rsid w:val="006B22EA"/>
    <w:rsid w:val="006B23F1"/>
    <w:rsid w:val="006B2CCA"/>
    <w:rsid w:val="006B2E12"/>
    <w:rsid w:val="006B3031"/>
    <w:rsid w:val="006B3597"/>
    <w:rsid w:val="006B359C"/>
    <w:rsid w:val="006B364A"/>
    <w:rsid w:val="006B3AF7"/>
    <w:rsid w:val="006B4160"/>
    <w:rsid w:val="006B43DE"/>
    <w:rsid w:val="006B491C"/>
    <w:rsid w:val="006B4C51"/>
    <w:rsid w:val="006B5710"/>
    <w:rsid w:val="006B5777"/>
    <w:rsid w:val="006B60A9"/>
    <w:rsid w:val="006B6443"/>
    <w:rsid w:val="006B67DE"/>
    <w:rsid w:val="006B6D01"/>
    <w:rsid w:val="006B6E13"/>
    <w:rsid w:val="006B6E1E"/>
    <w:rsid w:val="006B7175"/>
    <w:rsid w:val="006B727A"/>
    <w:rsid w:val="006B74C5"/>
    <w:rsid w:val="006B7CE1"/>
    <w:rsid w:val="006B7F80"/>
    <w:rsid w:val="006B7FB1"/>
    <w:rsid w:val="006B7FF3"/>
    <w:rsid w:val="006C06F1"/>
    <w:rsid w:val="006C078A"/>
    <w:rsid w:val="006C0FAD"/>
    <w:rsid w:val="006C1542"/>
    <w:rsid w:val="006C1733"/>
    <w:rsid w:val="006C1ACD"/>
    <w:rsid w:val="006C1EEB"/>
    <w:rsid w:val="006C2576"/>
    <w:rsid w:val="006C2647"/>
    <w:rsid w:val="006C27AA"/>
    <w:rsid w:val="006C30C6"/>
    <w:rsid w:val="006C3132"/>
    <w:rsid w:val="006C3676"/>
    <w:rsid w:val="006C38FC"/>
    <w:rsid w:val="006C408C"/>
    <w:rsid w:val="006C44AC"/>
    <w:rsid w:val="006C45E9"/>
    <w:rsid w:val="006C466D"/>
    <w:rsid w:val="006C4AB3"/>
    <w:rsid w:val="006C4F43"/>
    <w:rsid w:val="006C5DC7"/>
    <w:rsid w:val="006C65F6"/>
    <w:rsid w:val="006C66A1"/>
    <w:rsid w:val="006C6E40"/>
    <w:rsid w:val="006C6EF0"/>
    <w:rsid w:val="006C7861"/>
    <w:rsid w:val="006D063B"/>
    <w:rsid w:val="006D089A"/>
    <w:rsid w:val="006D0C2A"/>
    <w:rsid w:val="006D0FA8"/>
    <w:rsid w:val="006D1009"/>
    <w:rsid w:val="006D12DC"/>
    <w:rsid w:val="006D150E"/>
    <w:rsid w:val="006D2EE5"/>
    <w:rsid w:val="006D32D4"/>
    <w:rsid w:val="006D3452"/>
    <w:rsid w:val="006D3462"/>
    <w:rsid w:val="006D3F1D"/>
    <w:rsid w:val="006D438A"/>
    <w:rsid w:val="006D4B0E"/>
    <w:rsid w:val="006D4FAD"/>
    <w:rsid w:val="006D5EB4"/>
    <w:rsid w:val="006D62BF"/>
    <w:rsid w:val="006D639C"/>
    <w:rsid w:val="006D6961"/>
    <w:rsid w:val="006D6D92"/>
    <w:rsid w:val="006D6E61"/>
    <w:rsid w:val="006D6EC0"/>
    <w:rsid w:val="006D7059"/>
    <w:rsid w:val="006D7227"/>
    <w:rsid w:val="006D74C4"/>
    <w:rsid w:val="006D7566"/>
    <w:rsid w:val="006D7EDF"/>
    <w:rsid w:val="006D7F73"/>
    <w:rsid w:val="006E027D"/>
    <w:rsid w:val="006E05CA"/>
    <w:rsid w:val="006E0649"/>
    <w:rsid w:val="006E068E"/>
    <w:rsid w:val="006E076F"/>
    <w:rsid w:val="006E0DE0"/>
    <w:rsid w:val="006E1CB2"/>
    <w:rsid w:val="006E20DE"/>
    <w:rsid w:val="006E235D"/>
    <w:rsid w:val="006E2858"/>
    <w:rsid w:val="006E29C8"/>
    <w:rsid w:val="006E2A9D"/>
    <w:rsid w:val="006E2E84"/>
    <w:rsid w:val="006E3615"/>
    <w:rsid w:val="006E3961"/>
    <w:rsid w:val="006E3A64"/>
    <w:rsid w:val="006E3ACE"/>
    <w:rsid w:val="006E4036"/>
    <w:rsid w:val="006E4217"/>
    <w:rsid w:val="006E5242"/>
    <w:rsid w:val="006E5348"/>
    <w:rsid w:val="006E5E4E"/>
    <w:rsid w:val="006E5F7D"/>
    <w:rsid w:val="006E5FB9"/>
    <w:rsid w:val="006E6103"/>
    <w:rsid w:val="006E6240"/>
    <w:rsid w:val="006E64DC"/>
    <w:rsid w:val="006E657C"/>
    <w:rsid w:val="006E6D84"/>
    <w:rsid w:val="006E70C8"/>
    <w:rsid w:val="006E7299"/>
    <w:rsid w:val="006E74C4"/>
    <w:rsid w:val="006E781E"/>
    <w:rsid w:val="006F0EC3"/>
    <w:rsid w:val="006F10C0"/>
    <w:rsid w:val="006F1500"/>
    <w:rsid w:val="006F162E"/>
    <w:rsid w:val="006F190D"/>
    <w:rsid w:val="006F1B4E"/>
    <w:rsid w:val="006F1B5B"/>
    <w:rsid w:val="006F20C3"/>
    <w:rsid w:val="006F27AA"/>
    <w:rsid w:val="006F2AB6"/>
    <w:rsid w:val="006F32F8"/>
    <w:rsid w:val="006F34A6"/>
    <w:rsid w:val="006F37FC"/>
    <w:rsid w:val="006F3FC9"/>
    <w:rsid w:val="006F43FE"/>
    <w:rsid w:val="006F4490"/>
    <w:rsid w:val="006F452C"/>
    <w:rsid w:val="006F4A58"/>
    <w:rsid w:val="006F4A63"/>
    <w:rsid w:val="006F4D1F"/>
    <w:rsid w:val="006F5464"/>
    <w:rsid w:val="006F548A"/>
    <w:rsid w:val="006F579D"/>
    <w:rsid w:val="006F59DE"/>
    <w:rsid w:val="006F5E15"/>
    <w:rsid w:val="006F5E70"/>
    <w:rsid w:val="006F5FA1"/>
    <w:rsid w:val="006F71F0"/>
    <w:rsid w:val="007003A7"/>
    <w:rsid w:val="007004BB"/>
    <w:rsid w:val="0070071B"/>
    <w:rsid w:val="00700A87"/>
    <w:rsid w:val="00700B9F"/>
    <w:rsid w:val="00700C0F"/>
    <w:rsid w:val="0070137A"/>
    <w:rsid w:val="0070145A"/>
    <w:rsid w:val="007019D5"/>
    <w:rsid w:val="00701C5A"/>
    <w:rsid w:val="00701D7B"/>
    <w:rsid w:val="00702167"/>
    <w:rsid w:val="007025B0"/>
    <w:rsid w:val="00702AD5"/>
    <w:rsid w:val="00702AD6"/>
    <w:rsid w:val="00702E26"/>
    <w:rsid w:val="00703327"/>
    <w:rsid w:val="00703346"/>
    <w:rsid w:val="00704904"/>
    <w:rsid w:val="00704DBE"/>
    <w:rsid w:val="00704EC2"/>
    <w:rsid w:val="00705548"/>
    <w:rsid w:val="00705699"/>
    <w:rsid w:val="00705F9A"/>
    <w:rsid w:val="007061F7"/>
    <w:rsid w:val="00706A61"/>
    <w:rsid w:val="00706E9B"/>
    <w:rsid w:val="007072DD"/>
    <w:rsid w:val="00707F66"/>
    <w:rsid w:val="007103C4"/>
    <w:rsid w:val="0071042B"/>
    <w:rsid w:val="00710B6C"/>
    <w:rsid w:val="00710D2E"/>
    <w:rsid w:val="00710E48"/>
    <w:rsid w:val="00711102"/>
    <w:rsid w:val="00711751"/>
    <w:rsid w:val="00711A1A"/>
    <w:rsid w:val="00711E8E"/>
    <w:rsid w:val="00711FF0"/>
    <w:rsid w:val="00712047"/>
    <w:rsid w:val="00712128"/>
    <w:rsid w:val="0071271A"/>
    <w:rsid w:val="007139CB"/>
    <w:rsid w:val="00713A5B"/>
    <w:rsid w:val="007141CA"/>
    <w:rsid w:val="007146AD"/>
    <w:rsid w:val="00714C41"/>
    <w:rsid w:val="0071528F"/>
    <w:rsid w:val="007154F3"/>
    <w:rsid w:val="00715754"/>
    <w:rsid w:val="007159FE"/>
    <w:rsid w:val="00715BD7"/>
    <w:rsid w:val="00716310"/>
    <w:rsid w:val="0071634F"/>
    <w:rsid w:val="0071663C"/>
    <w:rsid w:val="00716785"/>
    <w:rsid w:val="0071699E"/>
    <w:rsid w:val="00716D9A"/>
    <w:rsid w:val="0071724D"/>
    <w:rsid w:val="00717C1A"/>
    <w:rsid w:val="0072052B"/>
    <w:rsid w:val="00720833"/>
    <w:rsid w:val="007208CF"/>
    <w:rsid w:val="00720EEB"/>
    <w:rsid w:val="00720F94"/>
    <w:rsid w:val="0072165F"/>
    <w:rsid w:val="0072189B"/>
    <w:rsid w:val="00721CD9"/>
    <w:rsid w:val="00721E9C"/>
    <w:rsid w:val="00722460"/>
    <w:rsid w:val="007227BC"/>
    <w:rsid w:val="007229B6"/>
    <w:rsid w:val="007229C2"/>
    <w:rsid w:val="00722B47"/>
    <w:rsid w:val="00722EDB"/>
    <w:rsid w:val="00723071"/>
    <w:rsid w:val="0072334A"/>
    <w:rsid w:val="00723EAA"/>
    <w:rsid w:val="0072407A"/>
    <w:rsid w:val="0072411F"/>
    <w:rsid w:val="00724247"/>
    <w:rsid w:val="00724595"/>
    <w:rsid w:val="00724A47"/>
    <w:rsid w:val="00724A77"/>
    <w:rsid w:val="00724FF1"/>
    <w:rsid w:val="00725312"/>
    <w:rsid w:val="007257B8"/>
    <w:rsid w:val="00725AAF"/>
    <w:rsid w:val="00725D89"/>
    <w:rsid w:val="00726206"/>
    <w:rsid w:val="00726396"/>
    <w:rsid w:val="007267A7"/>
    <w:rsid w:val="00726B53"/>
    <w:rsid w:val="00726FBA"/>
    <w:rsid w:val="00727A70"/>
    <w:rsid w:val="00727DE5"/>
    <w:rsid w:val="00727ECD"/>
    <w:rsid w:val="00730428"/>
    <w:rsid w:val="007305E2"/>
    <w:rsid w:val="0073085C"/>
    <w:rsid w:val="00730BB7"/>
    <w:rsid w:val="007315E0"/>
    <w:rsid w:val="00731780"/>
    <w:rsid w:val="007319F6"/>
    <w:rsid w:val="007327DD"/>
    <w:rsid w:val="007332D5"/>
    <w:rsid w:val="00733617"/>
    <w:rsid w:val="00733879"/>
    <w:rsid w:val="00733C66"/>
    <w:rsid w:val="0073451A"/>
    <w:rsid w:val="0073455E"/>
    <w:rsid w:val="00734C98"/>
    <w:rsid w:val="007350D3"/>
    <w:rsid w:val="0073511C"/>
    <w:rsid w:val="0073526F"/>
    <w:rsid w:val="0073535A"/>
    <w:rsid w:val="007356DB"/>
    <w:rsid w:val="00735B78"/>
    <w:rsid w:val="00735B94"/>
    <w:rsid w:val="00735E39"/>
    <w:rsid w:val="00736637"/>
    <w:rsid w:val="00736AF2"/>
    <w:rsid w:val="00736DA1"/>
    <w:rsid w:val="00737638"/>
    <w:rsid w:val="00740438"/>
    <w:rsid w:val="007404A7"/>
    <w:rsid w:val="0074144C"/>
    <w:rsid w:val="007424E4"/>
    <w:rsid w:val="00742738"/>
    <w:rsid w:val="007428E7"/>
    <w:rsid w:val="00742BF1"/>
    <w:rsid w:val="00742C62"/>
    <w:rsid w:val="00743322"/>
    <w:rsid w:val="007436B3"/>
    <w:rsid w:val="007437B4"/>
    <w:rsid w:val="00743D5B"/>
    <w:rsid w:val="00743D9B"/>
    <w:rsid w:val="00744091"/>
    <w:rsid w:val="00744204"/>
    <w:rsid w:val="00744253"/>
    <w:rsid w:val="00744C1F"/>
    <w:rsid w:val="00744C8E"/>
    <w:rsid w:val="00745A43"/>
    <w:rsid w:val="007462B1"/>
    <w:rsid w:val="00746869"/>
    <w:rsid w:val="00746954"/>
    <w:rsid w:val="00746B96"/>
    <w:rsid w:val="00746C16"/>
    <w:rsid w:val="00746C65"/>
    <w:rsid w:val="0074798F"/>
    <w:rsid w:val="0075057A"/>
    <w:rsid w:val="007507CF"/>
    <w:rsid w:val="00750EE3"/>
    <w:rsid w:val="00751078"/>
    <w:rsid w:val="00751202"/>
    <w:rsid w:val="00751B1B"/>
    <w:rsid w:val="00751DA2"/>
    <w:rsid w:val="00752062"/>
    <w:rsid w:val="00752625"/>
    <w:rsid w:val="0075317F"/>
    <w:rsid w:val="00753A4C"/>
    <w:rsid w:val="00753D9E"/>
    <w:rsid w:val="007543C8"/>
    <w:rsid w:val="00754532"/>
    <w:rsid w:val="00754D65"/>
    <w:rsid w:val="00755740"/>
    <w:rsid w:val="007559DD"/>
    <w:rsid w:val="00755AF0"/>
    <w:rsid w:val="00755D16"/>
    <w:rsid w:val="00756B7A"/>
    <w:rsid w:val="00756BEF"/>
    <w:rsid w:val="00756C96"/>
    <w:rsid w:val="00756DC5"/>
    <w:rsid w:val="00757175"/>
    <w:rsid w:val="00757403"/>
    <w:rsid w:val="00757712"/>
    <w:rsid w:val="00757723"/>
    <w:rsid w:val="00757964"/>
    <w:rsid w:val="00757B12"/>
    <w:rsid w:val="00757ED6"/>
    <w:rsid w:val="007608EB"/>
    <w:rsid w:val="00760FEE"/>
    <w:rsid w:val="00761061"/>
    <w:rsid w:val="007614E9"/>
    <w:rsid w:val="007615F2"/>
    <w:rsid w:val="007617D9"/>
    <w:rsid w:val="00761C6C"/>
    <w:rsid w:val="00761E05"/>
    <w:rsid w:val="00761FD0"/>
    <w:rsid w:val="007621A7"/>
    <w:rsid w:val="00762D0B"/>
    <w:rsid w:val="00762D89"/>
    <w:rsid w:val="007630E4"/>
    <w:rsid w:val="0076330E"/>
    <w:rsid w:val="007633EB"/>
    <w:rsid w:val="00763513"/>
    <w:rsid w:val="00763604"/>
    <w:rsid w:val="00763717"/>
    <w:rsid w:val="00763A93"/>
    <w:rsid w:val="00763BD4"/>
    <w:rsid w:val="00763D75"/>
    <w:rsid w:val="00764050"/>
    <w:rsid w:val="007642C2"/>
    <w:rsid w:val="007644D6"/>
    <w:rsid w:val="00765507"/>
    <w:rsid w:val="007657F8"/>
    <w:rsid w:val="00765AB3"/>
    <w:rsid w:val="007661A3"/>
    <w:rsid w:val="0076658E"/>
    <w:rsid w:val="00766EA0"/>
    <w:rsid w:val="00766EB5"/>
    <w:rsid w:val="007678EE"/>
    <w:rsid w:val="007678FF"/>
    <w:rsid w:val="00767C95"/>
    <w:rsid w:val="00767D69"/>
    <w:rsid w:val="00767ECF"/>
    <w:rsid w:val="00767F14"/>
    <w:rsid w:val="00770070"/>
    <w:rsid w:val="007708B2"/>
    <w:rsid w:val="00771716"/>
    <w:rsid w:val="0077208D"/>
    <w:rsid w:val="00772604"/>
    <w:rsid w:val="007729D4"/>
    <w:rsid w:val="00772B4D"/>
    <w:rsid w:val="00773063"/>
    <w:rsid w:val="007736B4"/>
    <w:rsid w:val="00773B40"/>
    <w:rsid w:val="00773F27"/>
    <w:rsid w:val="007742C0"/>
    <w:rsid w:val="00774318"/>
    <w:rsid w:val="0077461F"/>
    <w:rsid w:val="00774B35"/>
    <w:rsid w:val="00774BF0"/>
    <w:rsid w:val="00774C10"/>
    <w:rsid w:val="00774E6B"/>
    <w:rsid w:val="0077547B"/>
    <w:rsid w:val="00775564"/>
    <w:rsid w:val="007759C3"/>
    <w:rsid w:val="00775CA3"/>
    <w:rsid w:val="00775D3B"/>
    <w:rsid w:val="00775E1A"/>
    <w:rsid w:val="0077609E"/>
    <w:rsid w:val="0077680D"/>
    <w:rsid w:val="00776B8C"/>
    <w:rsid w:val="00776BA7"/>
    <w:rsid w:val="0077700A"/>
    <w:rsid w:val="007772AF"/>
    <w:rsid w:val="00777893"/>
    <w:rsid w:val="00777C1A"/>
    <w:rsid w:val="00777D15"/>
    <w:rsid w:val="00777FC6"/>
    <w:rsid w:val="00780141"/>
    <w:rsid w:val="00780218"/>
    <w:rsid w:val="00780FBF"/>
    <w:rsid w:val="0078120A"/>
    <w:rsid w:val="007815A9"/>
    <w:rsid w:val="007816E3"/>
    <w:rsid w:val="00781D78"/>
    <w:rsid w:val="007824B5"/>
    <w:rsid w:val="007830A8"/>
    <w:rsid w:val="0078377E"/>
    <w:rsid w:val="00783985"/>
    <w:rsid w:val="00783BA2"/>
    <w:rsid w:val="007843F9"/>
    <w:rsid w:val="00784454"/>
    <w:rsid w:val="0078552D"/>
    <w:rsid w:val="007855E1"/>
    <w:rsid w:val="007858F2"/>
    <w:rsid w:val="00785FC6"/>
    <w:rsid w:val="007861BF"/>
    <w:rsid w:val="0078638D"/>
    <w:rsid w:val="007865C9"/>
    <w:rsid w:val="00786AAD"/>
    <w:rsid w:val="00787764"/>
    <w:rsid w:val="007906BC"/>
    <w:rsid w:val="00790D06"/>
    <w:rsid w:val="00790E91"/>
    <w:rsid w:val="00790FC1"/>
    <w:rsid w:val="00791C5F"/>
    <w:rsid w:val="00791DF1"/>
    <w:rsid w:val="00791ECA"/>
    <w:rsid w:val="00792465"/>
    <w:rsid w:val="00792622"/>
    <w:rsid w:val="00793510"/>
    <w:rsid w:val="00793D45"/>
    <w:rsid w:val="00793DB2"/>
    <w:rsid w:val="00794046"/>
    <w:rsid w:val="0079418C"/>
    <w:rsid w:val="007942E6"/>
    <w:rsid w:val="00794630"/>
    <w:rsid w:val="007949CF"/>
    <w:rsid w:val="00794A4C"/>
    <w:rsid w:val="00794F1A"/>
    <w:rsid w:val="0079524B"/>
    <w:rsid w:val="007952CD"/>
    <w:rsid w:val="00795751"/>
    <w:rsid w:val="00796677"/>
    <w:rsid w:val="00796ACA"/>
    <w:rsid w:val="0079754A"/>
    <w:rsid w:val="00797754"/>
    <w:rsid w:val="007977CD"/>
    <w:rsid w:val="00797B4D"/>
    <w:rsid w:val="00797E3A"/>
    <w:rsid w:val="007A0287"/>
    <w:rsid w:val="007A060F"/>
    <w:rsid w:val="007A0B0A"/>
    <w:rsid w:val="007A0DBF"/>
    <w:rsid w:val="007A1BF8"/>
    <w:rsid w:val="007A1CFC"/>
    <w:rsid w:val="007A3065"/>
    <w:rsid w:val="007A3441"/>
    <w:rsid w:val="007A3472"/>
    <w:rsid w:val="007A360F"/>
    <w:rsid w:val="007A365C"/>
    <w:rsid w:val="007A3E0A"/>
    <w:rsid w:val="007A3FF8"/>
    <w:rsid w:val="007A4344"/>
    <w:rsid w:val="007A438E"/>
    <w:rsid w:val="007A4CA2"/>
    <w:rsid w:val="007A4CCD"/>
    <w:rsid w:val="007A4E6D"/>
    <w:rsid w:val="007A51BA"/>
    <w:rsid w:val="007A5721"/>
    <w:rsid w:val="007A5BC1"/>
    <w:rsid w:val="007A5CF5"/>
    <w:rsid w:val="007A6619"/>
    <w:rsid w:val="007A6731"/>
    <w:rsid w:val="007A6C18"/>
    <w:rsid w:val="007A6CFF"/>
    <w:rsid w:val="007A6D7F"/>
    <w:rsid w:val="007A6F11"/>
    <w:rsid w:val="007A7687"/>
    <w:rsid w:val="007A794E"/>
    <w:rsid w:val="007B0006"/>
    <w:rsid w:val="007B0381"/>
    <w:rsid w:val="007B03DE"/>
    <w:rsid w:val="007B0A52"/>
    <w:rsid w:val="007B0A7D"/>
    <w:rsid w:val="007B1169"/>
    <w:rsid w:val="007B1F3A"/>
    <w:rsid w:val="007B2756"/>
    <w:rsid w:val="007B27B5"/>
    <w:rsid w:val="007B2D9F"/>
    <w:rsid w:val="007B339D"/>
    <w:rsid w:val="007B368E"/>
    <w:rsid w:val="007B3C93"/>
    <w:rsid w:val="007B3EBF"/>
    <w:rsid w:val="007B44C6"/>
    <w:rsid w:val="007B48AD"/>
    <w:rsid w:val="007B4AC9"/>
    <w:rsid w:val="007B4BBE"/>
    <w:rsid w:val="007B4BE3"/>
    <w:rsid w:val="007B50C3"/>
    <w:rsid w:val="007B5196"/>
    <w:rsid w:val="007B5225"/>
    <w:rsid w:val="007B5471"/>
    <w:rsid w:val="007B5B51"/>
    <w:rsid w:val="007B650E"/>
    <w:rsid w:val="007B6FF9"/>
    <w:rsid w:val="007B790D"/>
    <w:rsid w:val="007C1622"/>
    <w:rsid w:val="007C19C5"/>
    <w:rsid w:val="007C1A29"/>
    <w:rsid w:val="007C21B9"/>
    <w:rsid w:val="007C251A"/>
    <w:rsid w:val="007C2861"/>
    <w:rsid w:val="007C2AB3"/>
    <w:rsid w:val="007C2D9B"/>
    <w:rsid w:val="007C309A"/>
    <w:rsid w:val="007C311E"/>
    <w:rsid w:val="007C4404"/>
    <w:rsid w:val="007C4561"/>
    <w:rsid w:val="007C46D1"/>
    <w:rsid w:val="007C4FA4"/>
    <w:rsid w:val="007C51F2"/>
    <w:rsid w:val="007C54E9"/>
    <w:rsid w:val="007C554D"/>
    <w:rsid w:val="007C5843"/>
    <w:rsid w:val="007C6359"/>
    <w:rsid w:val="007C6A99"/>
    <w:rsid w:val="007C6E63"/>
    <w:rsid w:val="007C6F98"/>
    <w:rsid w:val="007C7B6A"/>
    <w:rsid w:val="007D0553"/>
    <w:rsid w:val="007D0CC4"/>
    <w:rsid w:val="007D11F3"/>
    <w:rsid w:val="007D17B0"/>
    <w:rsid w:val="007D1CD0"/>
    <w:rsid w:val="007D1EF8"/>
    <w:rsid w:val="007D24D0"/>
    <w:rsid w:val="007D253C"/>
    <w:rsid w:val="007D2551"/>
    <w:rsid w:val="007D2902"/>
    <w:rsid w:val="007D293F"/>
    <w:rsid w:val="007D2D59"/>
    <w:rsid w:val="007D3691"/>
    <w:rsid w:val="007D384B"/>
    <w:rsid w:val="007D3892"/>
    <w:rsid w:val="007D3990"/>
    <w:rsid w:val="007D39D6"/>
    <w:rsid w:val="007D3A7D"/>
    <w:rsid w:val="007D3AC0"/>
    <w:rsid w:val="007D3B52"/>
    <w:rsid w:val="007D3D21"/>
    <w:rsid w:val="007D3D2E"/>
    <w:rsid w:val="007D4016"/>
    <w:rsid w:val="007D404E"/>
    <w:rsid w:val="007D4369"/>
    <w:rsid w:val="007D43A4"/>
    <w:rsid w:val="007D449F"/>
    <w:rsid w:val="007D46C1"/>
    <w:rsid w:val="007D482B"/>
    <w:rsid w:val="007D4E00"/>
    <w:rsid w:val="007D5430"/>
    <w:rsid w:val="007D56D7"/>
    <w:rsid w:val="007D5A2E"/>
    <w:rsid w:val="007D6110"/>
    <w:rsid w:val="007D6272"/>
    <w:rsid w:val="007D6443"/>
    <w:rsid w:val="007D6566"/>
    <w:rsid w:val="007D6C2E"/>
    <w:rsid w:val="007D6C3B"/>
    <w:rsid w:val="007D7F3F"/>
    <w:rsid w:val="007E011C"/>
    <w:rsid w:val="007E0133"/>
    <w:rsid w:val="007E0263"/>
    <w:rsid w:val="007E1912"/>
    <w:rsid w:val="007E1BE6"/>
    <w:rsid w:val="007E1C5A"/>
    <w:rsid w:val="007E2373"/>
    <w:rsid w:val="007E2755"/>
    <w:rsid w:val="007E2F64"/>
    <w:rsid w:val="007E2FC6"/>
    <w:rsid w:val="007E3B4D"/>
    <w:rsid w:val="007E4065"/>
    <w:rsid w:val="007E4558"/>
    <w:rsid w:val="007E497F"/>
    <w:rsid w:val="007E4A2B"/>
    <w:rsid w:val="007E4F90"/>
    <w:rsid w:val="007E526B"/>
    <w:rsid w:val="007E537B"/>
    <w:rsid w:val="007E5952"/>
    <w:rsid w:val="007E5B71"/>
    <w:rsid w:val="007E5F64"/>
    <w:rsid w:val="007E6D2F"/>
    <w:rsid w:val="007E7533"/>
    <w:rsid w:val="007E7AA9"/>
    <w:rsid w:val="007E7E48"/>
    <w:rsid w:val="007F02F3"/>
    <w:rsid w:val="007F0D0F"/>
    <w:rsid w:val="007F1581"/>
    <w:rsid w:val="007F1702"/>
    <w:rsid w:val="007F2302"/>
    <w:rsid w:val="007F2478"/>
    <w:rsid w:val="007F343F"/>
    <w:rsid w:val="007F363F"/>
    <w:rsid w:val="007F3689"/>
    <w:rsid w:val="007F38F1"/>
    <w:rsid w:val="007F39A8"/>
    <w:rsid w:val="007F3DE4"/>
    <w:rsid w:val="007F4383"/>
    <w:rsid w:val="007F443F"/>
    <w:rsid w:val="007F4DBF"/>
    <w:rsid w:val="007F4F6E"/>
    <w:rsid w:val="007F5190"/>
    <w:rsid w:val="007F52F6"/>
    <w:rsid w:val="007F53E8"/>
    <w:rsid w:val="007F59A0"/>
    <w:rsid w:val="007F5A33"/>
    <w:rsid w:val="007F5EBD"/>
    <w:rsid w:val="007F5F54"/>
    <w:rsid w:val="007F664C"/>
    <w:rsid w:val="007F6C81"/>
    <w:rsid w:val="007F6EA4"/>
    <w:rsid w:val="007F7288"/>
    <w:rsid w:val="007F74FB"/>
    <w:rsid w:val="007F792B"/>
    <w:rsid w:val="0080001B"/>
    <w:rsid w:val="00800138"/>
    <w:rsid w:val="008005B9"/>
    <w:rsid w:val="00800AC9"/>
    <w:rsid w:val="00800F34"/>
    <w:rsid w:val="008012FB"/>
    <w:rsid w:val="008013A7"/>
    <w:rsid w:val="008016C8"/>
    <w:rsid w:val="008017AD"/>
    <w:rsid w:val="008018BA"/>
    <w:rsid w:val="00801F91"/>
    <w:rsid w:val="00802608"/>
    <w:rsid w:val="00802E3F"/>
    <w:rsid w:val="00803097"/>
    <w:rsid w:val="00803749"/>
    <w:rsid w:val="008037BD"/>
    <w:rsid w:val="00803EDA"/>
    <w:rsid w:val="00803F7E"/>
    <w:rsid w:val="008047F7"/>
    <w:rsid w:val="0080488B"/>
    <w:rsid w:val="00804A7E"/>
    <w:rsid w:val="00804FED"/>
    <w:rsid w:val="0080520C"/>
    <w:rsid w:val="00805BF0"/>
    <w:rsid w:val="00805D56"/>
    <w:rsid w:val="00805E73"/>
    <w:rsid w:val="00806137"/>
    <w:rsid w:val="00806181"/>
    <w:rsid w:val="00806559"/>
    <w:rsid w:val="00806702"/>
    <w:rsid w:val="00806A10"/>
    <w:rsid w:val="00806BB9"/>
    <w:rsid w:val="00806D11"/>
    <w:rsid w:val="00807E03"/>
    <w:rsid w:val="00810610"/>
    <w:rsid w:val="00810C28"/>
    <w:rsid w:val="00810D39"/>
    <w:rsid w:val="00811125"/>
    <w:rsid w:val="008113D5"/>
    <w:rsid w:val="00811560"/>
    <w:rsid w:val="008115D8"/>
    <w:rsid w:val="00811EEF"/>
    <w:rsid w:val="008121E5"/>
    <w:rsid w:val="0081225D"/>
    <w:rsid w:val="00812EBD"/>
    <w:rsid w:val="008132C9"/>
    <w:rsid w:val="00814575"/>
    <w:rsid w:val="008145BC"/>
    <w:rsid w:val="008146C0"/>
    <w:rsid w:val="008147A7"/>
    <w:rsid w:val="00814A33"/>
    <w:rsid w:val="00815417"/>
    <w:rsid w:val="00815996"/>
    <w:rsid w:val="00815AC4"/>
    <w:rsid w:val="008160E4"/>
    <w:rsid w:val="00816635"/>
    <w:rsid w:val="00816860"/>
    <w:rsid w:val="00816C86"/>
    <w:rsid w:val="00816D46"/>
    <w:rsid w:val="00817323"/>
    <w:rsid w:val="00817506"/>
    <w:rsid w:val="008178C3"/>
    <w:rsid w:val="008206E3"/>
    <w:rsid w:val="00820895"/>
    <w:rsid w:val="00821734"/>
    <w:rsid w:val="008218DD"/>
    <w:rsid w:val="0082199E"/>
    <w:rsid w:val="00821C60"/>
    <w:rsid w:val="008223D7"/>
    <w:rsid w:val="008228F9"/>
    <w:rsid w:val="00822D7D"/>
    <w:rsid w:val="00822DDD"/>
    <w:rsid w:val="00823073"/>
    <w:rsid w:val="00823B1E"/>
    <w:rsid w:val="00823D98"/>
    <w:rsid w:val="00823F9B"/>
    <w:rsid w:val="008245D6"/>
    <w:rsid w:val="00824749"/>
    <w:rsid w:val="0082491A"/>
    <w:rsid w:val="00824B58"/>
    <w:rsid w:val="00824B7F"/>
    <w:rsid w:val="00824D87"/>
    <w:rsid w:val="00824D91"/>
    <w:rsid w:val="00824DA7"/>
    <w:rsid w:val="008252E6"/>
    <w:rsid w:val="008259FE"/>
    <w:rsid w:val="00825F6E"/>
    <w:rsid w:val="008262FA"/>
    <w:rsid w:val="008263EF"/>
    <w:rsid w:val="00826502"/>
    <w:rsid w:val="00826535"/>
    <w:rsid w:val="00826596"/>
    <w:rsid w:val="00826893"/>
    <w:rsid w:val="008268C7"/>
    <w:rsid w:val="00826B4C"/>
    <w:rsid w:val="008270DC"/>
    <w:rsid w:val="00827353"/>
    <w:rsid w:val="00827B50"/>
    <w:rsid w:val="00827E88"/>
    <w:rsid w:val="00830BF7"/>
    <w:rsid w:val="0083150D"/>
    <w:rsid w:val="00831F04"/>
    <w:rsid w:val="0083214E"/>
    <w:rsid w:val="008324E7"/>
    <w:rsid w:val="008326F1"/>
    <w:rsid w:val="00832737"/>
    <w:rsid w:val="008327F5"/>
    <w:rsid w:val="00832927"/>
    <w:rsid w:val="00832D4D"/>
    <w:rsid w:val="00832E9C"/>
    <w:rsid w:val="00832FB9"/>
    <w:rsid w:val="008332FE"/>
    <w:rsid w:val="0083353F"/>
    <w:rsid w:val="00833A13"/>
    <w:rsid w:val="00833B7C"/>
    <w:rsid w:val="00833C5C"/>
    <w:rsid w:val="00833E0E"/>
    <w:rsid w:val="00834238"/>
    <w:rsid w:val="008342E2"/>
    <w:rsid w:val="0083465F"/>
    <w:rsid w:val="00834768"/>
    <w:rsid w:val="0083486F"/>
    <w:rsid w:val="008352A8"/>
    <w:rsid w:val="00836019"/>
    <w:rsid w:val="00836FB5"/>
    <w:rsid w:val="0083702A"/>
    <w:rsid w:val="00837959"/>
    <w:rsid w:val="008379E0"/>
    <w:rsid w:val="00837A95"/>
    <w:rsid w:val="00837CF4"/>
    <w:rsid w:val="00840FB5"/>
    <w:rsid w:val="00840FD4"/>
    <w:rsid w:val="0084123F"/>
    <w:rsid w:val="008414F2"/>
    <w:rsid w:val="00841731"/>
    <w:rsid w:val="008418B0"/>
    <w:rsid w:val="00841D25"/>
    <w:rsid w:val="00842E88"/>
    <w:rsid w:val="0084330C"/>
    <w:rsid w:val="00843527"/>
    <w:rsid w:val="00843A3C"/>
    <w:rsid w:val="00844022"/>
    <w:rsid w:val="00844029"/>
    <w:rsid w:val="008440FA"/>
    <w:rsid w:val="008443DD"/>
    <w:rsid w:val="00844B79"/>
    <w:rsid w:val="00845667"/>
    <w:rsid w:val="008456A3"/>
    <w:rsid w:val="008462A7"/>
    <w:rsid w:val="008462F6"/>
    <w:rsid w:val="00846DDB"/>
    <w:rsid w:val="00846E48"/>
    <w:rsid w:val="0084718A"/>
    <w:rsid w:val="008482F2"/>
    <w:rsid w:val="0085025D"/>
    <w:rsid w:val="0085078C"/>
    <w:rsid w:val="00850CEA"/>
    <w:rsid w:val="00851161"/>
    <w:rsid w:val="008512BD"/>
    <w:rsid w:val="00851694"/>
    <w:rsid w:val="00851705"/>
    <w:rsid w:val="0085170A"/>
    <w:rsid w:val="00851B4E"/>
    <w:rsid w:val="00852117"/>
    <w:rsid w:val="00852148"/>
    <w:rsid w:val="008522F9"/>
    <w:rsid w:val="008523BA"/>
    <w:rsid w:val="00852A23"/>
    <w:rsid w:val="00853267"/>
    <w:rsid w:val="008534BB"/>
    <w:rsid w:val="00853807"/>
    <w:rsid w:val="008539CC"/>
    <w:rsid w:val="00853D7D"/>
    <w:rsid w:val="00853DD4"/>
    <w:rsid w:val="00854C41"/>
    <w:rsid w:val="00854D6B"/>
    <w:rsid w:val="00854FA9"/>
    <w:rsid w:val="00855400"/>
    <w:rsid w:val="008557C7"/>
    <w:rsid w:val="00855F2C"/>
    <w:rsid w:val="0085603A"/>
    <w:rsid w:val="0085640D"/>
    <w:rsid w:val="0085651A"/>
    <w:rsid w:val="0085680E"/>
    <w:rsid w:val="00856E76"/>
    <w:rsid w:val="008571B2"/>
    <w:rsid w:val="00857303"/>
    <w:rsid w:val="008575B3"/>
    <w:rsid w:val="00857673"/>
    <w:rsid w:val="0085779F"/>
    <w:rsid w:val="00857859"/>
    <w:rsid w:val="00857CB1"/>
    <w:rsid w:val="008602F3"/>
    <w:rsid w:val="008606EF"/>
    <w:rsid w:val="008609DF"/>
    <w:rsid w:val="00860A60"/>
    <w:rsid w:val="00860A9B"/>
    <w:rsid w:val="00860BEF"/>
    <w:rsid w:val="00861148"/>
    <w:rsid w:val="00861568"/>
    <w:rsid w:val="00862600"/>
    <w:rsid w:val="008626E3"/>
    <w:rsid w:val="00862875"/>
    <w:rsid w:val="0086296B"/>
    <w:rsid w:val="00862FC1"/>
    <w:rsid w:val="00863206"/>
    <w:rsid w:val="00863717"/>
    <w:rsid w:val="0086387E"/>
    <w:rsid w:val="00863D44"/>
    <w:rsid w:val="00864142"/>
    <w:rsid w:val="00864777"/>
    <w:rsid w:val="00864D96"/>
    <w:rsid w:val="00865B50"/>
    <w:rsid w:val="00865E16"/>
    <w:rsid w:val="00865EFA"/>
    <w:rsid w:val="008665FD"/>
    <w:rsid w:val="008666FD"/>
    <w:rsid w:val="00866BDA"/>
    <w:rsid w:val="00866BDC"/>
    <w:rsid w:val="00866CE3"/>
    <w:rsid w:val="00866D6C"/>
    <w:rsid w:val="00870095"/>
    <w:rsid w:val="008701F5"/>
    <w:rsid w:val="00870209"/>
    <w:rsid w:val="00870461"/>
    <w:rsid w:val="008707FC"/>
    <w:rsid w:val="008711F2"/>
    <w:rsid w:val="008719BF"/>
    <w:rsid w:val="00871D14"/>
    <w:rsid w:val="00871E27"/>
    <w:rsid w:val="0087246F"/>
    <w:rsid w:val="0087287D"/>
    <w:rsid w:val="00872947"/>
    <w:rsid w:val="00872D5E"/>
    <w:rsid w:val="00872F2C"/>
    <w:rsid w:val="0087367D"/>
    <w:rsid w:val="008739B5"/>
    <w:rsid w:val="00873AA7"/>
    <w:rsid w:val="0087413C"/>
    <w:rsid w:val="00874179"/>
    <w:rsid w:val="008742E6"/>
    <w:rsid w:val="00874B86"/>
    <w:rsid w:val="00875630"/>
    <w:rsid w:val="00875E22"/>
    <w:rsid w:val="00876B21"/>
    <w:rsid w:val="008778BD"/>
    <w:rsid w:val="00877C78"/>
    <w:rsid w:val="00877C79"/>
    <w:rsid w:val="00877FF3"/>
    <w:rsid w:val="0088007C"/>
    <w:rsid w:val="0088011C"/>
    <w:rsid w:val="00880507"/>
    <w:rsid w:val="008805B9"/>
    <w:rsid w:val="00880724"/>
    <w:rsid w:val="00880909"/>
    <w:rsid w:val="0088099F"/>
    <w:rsid w:val="008809EB"/>
    <w:rsid w:val="0088106A"/>
    <w:rsid w:val="00881158"/>
    <w:rsid w:val="00881458"/>
    <w:rsid w:val="008817E4"/>
    <w:rsid w:val="00882559"/>
    <w:rsid w:val="00882F41"/>
    <w:rsid w:val="00883064"/>
    <w:rsid w:val="00883169"/>
    <w:rsid w:val="008836DD"/>
    <w:rsid w:val="00883782"/>
    <w:rsid w:val="00883CEC"/>
    <w:rsid w:val="00883F3C"/>
    <w:rsid w:val="0088413E"/>
    <w:rsid w:val="0088471B"/>
    <w:rsid w:val="00884947"/>
    <w:rsid w:val="00884E84"/>
    <w:rsid w:val="00885161"/>
    <w:rsid w:val="00885740"/>
    <w:rsid w:val="008857F5"/>
    <w:rsid w:val="00886105"/>
    <w:rsid w:val="00886893"/>
    <w:rsid w:val="0088709D"/>
    <w:rsid w:val="00887167"/>
    <w:rsid w:val="008876EC"/>
    <w:rsid w:val="00887851"/>
    <w:rsid w:val="00887F65"/>
    <w:rsid w:val="0088955F"/>
    <w:rsid w:val="0089003C"/>
    <w:rsid w:val="00890360"/>
    <w:rsid w:val="008904E8"/>
    <w:rsid w:val="008905C8"/>
    <w:rsid w:val="008906DF"/>
    <w:rsid w:val="008906F1"/>
    <w:rsid w:val="00890E60"/>
    <w:rsid w:val="0089112F"/>
    <w:rsid w:val="008915D0"/>
    <w:rsid w:val="008916B0"/>
    <w:rsid w:val="00893271"/>
    <w:rsid w:val="0089378A"/>
    <w:rsid w:val="008938E9"/>
    <w:rsid w:val="00893A65"/>
    <w:rsid w:val="008946AA"/>
    <w:rsid w:val="00894BA9"/>
    <w:rsid w:val="00894C90"/>
    <w:rsid w:val="00895150"/>
    <w:rsid w:val="00895182"/>
    <w:rsid w:val="008956CA"/>
    <w:rsid w:val="008956E7"/>
    <w:rsid w:val="00895A26"/>
    <w:rsid w:val="00895A48"/>
    <w:rsid w:val="00895CD9"/>
    <w:rsid w:val="00895E1E"/>
    <w:rsid w:val="008967F3"/>
    <w:rsid w:val="0089694D"/>
    <w:rsid w:val="00896B94"/>
    <w:rsid w:val="00896C80"/>
    <w:rsid w:val="00896D15"/>
    <w:rsid w:val="0089700E"/>
    <w:rsid w:val="00897E5D"/>
    <w:rsid w:val="008A0013"/>
    <w:rsid w:val="008A07FE"/>
    <w:rsid w:val="008A0A63"/>
    <w:rsid w:val="008A0C55"/>
    <w:rsid w:val="008A1393"/>
    <w:rsid w:val="008A153F"/>
    <w:rsid w:val="008A1A5B"/>
    <w:rsid w:val="008A1B9D"/>
    <w:rsid w:val="008A1C41"/>
    <w:rsid w:val="008A1C82"/>
    <w:rsid w:val="008A21DC"/>
    <w:rsid w:val="008A237D"/>
    <w:rsid w:val="008A23DE"/>
    <w:rsid w:val="008A2BE8"/>
    <w:rsid w:val="008A2D74"/>
    <w:rsid w:val="008A2E25"/>
    <w:rsid w:val="008A326B"/>
    <w:rsid w:val="008A393A"/>
    <w:rsid w:val="008A3981"/>
    <w:rsid w:val="008A3C0D"/>
    <w:rsid w:val="008A4083"/>
    <w:rsid w:val="008A465E"/>
    <w:rsid w:val="008A4A8A"/>
    <w:rsid w:val="008A4EB7"/>
    <w:rsid w:val="008A5465"/>
    <w:rsid w:val="008A5537"/>
    <w:rsid w:val="008A596E"/>
    <w:rsid w:val="008A5D13"/>
    <w:rsid w:val="008A5E66"/>
    <w:rsid w:val="008A5F8F"/>
    <w:rsid w:val="008A643B"/>
    <w:rsid w:val="008A66A2"/>
    <w:rsid w:val="008A68C2"/>
    <w:rsid w:val="008A6B28"/>
    <w:rsid w:val="008A6B6D"/>
    <w:rsid w:val="008A6C56"/>
    <w:rsid w:val="008A6CD7"/>
    <w:rsid w:val="008A718B"/>
    <w:rsid w:val="008A745A"/>
    <w:rsid w:val="008A7BC6"/>
    <w:rsid w:val="008A7DAD"/>
    <w:rsid w:val="008B0360"/>
    <w:rsid w:val="008B08D1"/>
    <w:rsid w:val="008B0C4F"/>
    <w:rsid w:val="008B0ED7"/>
    <w:rsid w:val="008B12FA"/>
    <w:rsid w:val="008B19CA"/>
    <w:rsid w:val="008B2272"/>
    <w:rsid w:val="008B2512"/>
    <w:rsid w:val="008B2945"/>
    <w:rsid w:val="008B3036"/>
    <w:rsid w:val="008B318F"/>
    <w:rsid w:val="008B36B5"/>
    <w:rsid w:val="008B3FE4"/>
    <w:rsid w:val="008B45EB"/>
    <w:rsid w:val="008B4EEA"/>
    <w:rsid w:val="008B522F"/>
    <w:rsid w:val="008B55F9"/>
    <w:rsid w:val="008B5B66"/>
    <w:rsid w:val="008B5C92"/>
    <w:rsid w:val="008B5CA6"/>
    <w:rsid w:val="008B5E0E"/>
    <w:rsid w:val="008B6151"/>
    <w:rsid w:val="008B729A"/>
    <w:rsid w:val="008B78E2"/>
    <w:rsid w:val="008B7A32"/>
    <w:rsid w:val="008B7FAB"/>
    <w:rsid w:val="008C059D"/>
    <w:rsid w:val="008C08C9"/>
    <w:rsid w:val="008C0AE0"/>
    <w:rsid w:val="008C0BC6"/>
    <w:rsid w:val="008C102C"/>
    <w:rsid w:val="008C1130"/>
    <w:rsid w:val="008C1262"/>
    <w:rsid w:val="008C18F3"/>
    <w:rsid w:val="008C1BDA"/>
    <w:rsid w:val="008C274B"/>
    <w:rsid w:val="008C2C5C"/>
    <w:rsid w:val="008C30C4"/>
    <w:rsid w:val="008C31AF"/>
    <w:rsid w:val="008C35F3"/>
    <w:rsid w:val="008C3AD4"/>
    <w:rsid w:val="008C3CD1"/>
    <w:rsid w:val="008C4154"/>
    <w:rsid w:val="008C4428"/>
    <w:rsid w:val="008C4B4D"/>
    <w:rsid w:val="008C54C8"/>
    <w:rsid w:val="008C57AC"/>
    <w:rsid w:val="008C5AA5"/>
    <w:rsid w:val="008C640B"/>
    <w:rsid w:val="008C6519"/>
    <w:rsid w:val="008C6C37"/>
    <w:rsid w:val="008C7480"/>
    <w:rsid w:val="008C7A40"/>
    <w:rsid w:val="008C7C9E"/>
    <w:rsid w:val="008D06D4"/>
    <w:rsid w:val="008D0861"/>
    <w:rsid w:val="008D0BD2"/>
    <w:rsid w:val="008D0E3E"/>
    <w:rsid w:val="008D0E5A"/>
    <w:rsid w:val="008D13A2"/>
    <w:rsid w:val="008D165E"/>
    <w:rsid w:val="008D1689"/>
    <w:rsid w:val="008D1807"/>
    <w:rsid w:val="008D2166"/>
    <w:rsid w:val="008D2A72"/>
    <w:rsid w:val="008D2C39"/>
    <w:rsid w:val="008D3287"/>
    <w:rsid w:val="008D3AB0"/>
    <w:rsid w:val="008D3C24"/>
    <w:rsid w:val="008D434A"/>
    <w:rsid w:val="008D45FE"/>
    <w:rsid w:val="008D4799"/>
    <w:rsid w:val="008D4EB9"/>
    <w:rsid w:val="008D5216"/>
    <w:rsid w:val="008D59FB"/>
    <w:rsid w:val="008D5A82"/>
    <w:rsid w:val="008D6307"/>
    <w:rsid w:val="008D6355"/>
    <w:rsid w:val="008D6510"/>
    <w:rsid w:val="008D6B54"/>
    <w:rsid w:val="008D7253"/>
    <w:rsid w:val="008D743F"/>
    <w:rsid w:val="008D7763"/>
    <w:rsid w:val="008D7BBD"/>
    <w:rsid w:val="008D7BF0"/>
    <w:rsid w:val="008E015C"/>
    <w:rsid w:val="008E0864"/>
    <w:rsid w:val="008E0914"/>
    <w:rsid w:val="008E0F2E"/>
    <w:rsid w:val="008E1227"/>
    <w:rsid w:val="008E162A"/>
    <w:rsid w:val="008E1893"/>
    <w:rsid w:val="008E20C2"/>
    <w:rsid w:val="008E23C4"/>
    <w:rsid w:val="008E250F"/>
    <w:rsid w:val="008E270C"/>
    <w:rsid w:val="008E2819"/>
    <w:rsid w:val="008E2982"/>
    <w:rsid w:val="008E3084"/>
    <w:rsid w:val="008E337E"/>
    <w:rsid w:val="008E3897"/>
    <w:rsid w:val="008E3A89"/>
    <w:rsid w:val="008E3CFB"/>
    <w:rsid w:val="008E3E75"/>
    <w:rsid w:val="008E5615"/>
    <w:rsid w:val="008E5AA2"/>
    <w:rsid w:val="008E5EE2"/>
    <w:rsid w:val="008E613D"/>
    <w:rsid w:val="008E6EB8"/>
    <w:rsid w:val="008E6FF5"/>
    <w:rsid w:val="008E7110"/>
    <w:rsid w:val="008E7B60"/>
    <w:rsid w:val="008E7CE8"/>
    <w:rsid w:val="008E7E08"/>
    <w:rsid w:val="008E7F88"/>
    <w:rsid w:val="008E7F8F"/>
    <w:rsid w:val="008F0A83"/>
    <w:rsid w:val="008F1007"/>
    <w:rsid w:val="008F1314"/>
    <w:rsid w:val="008F23CB"/>
    <w:rsid w:val="008F25E3"/>
    <w:rsid w:val="008F2769"/>
    <w:rsid w:val="008F2A8B"/>
    <w:rsid w:val="008F2AE7"/>
    <w:rsid w:val="008F3348"/>
    <w:rsid w:val="008F4141"/>
    <w:rsid w:val="008F428B"/>
    <w:rsid w:val="008F47BF"/>
    <w:rsid w:val="008F492C"/>
    <w:rsid w:val="008F4A3A"/>
    <w:rsid w:val="008F4C39"/>
    <w:rsid w:val="008F52D3"/>
    <w:rsid w:val="008F56CF"/>
    <w:rsid w:val="008F5953"/>
    <w:rsid w:val="008F5BB8"/>
    <w:rsid w:val="008F5E41"/>
    <w:rsid w:val="008F6056"/>
    <w:rsid w:val="008F6494"/>
    <w:rsid w:val="008F6B06"/>
    <w:rsid w:val="008F6CE1"/>
    <w:rsid w:val="008F6F32"/>
    <w:rsid w:val="008F739A"/>
    <w:rsid w:val="008F760C"/>
    <w:rsid w:val="008F7813"/>
    <w:rsid w:val="008F7F1B"/>
    <w:rsid w:val="0090005F"/>
    <w:rsid w:val="00900404"/>
    <w:rsid w:val="00900A7C"/>
    <w:rsid w:val="00901033"/>
    <w:rsid w:val="009018D3"/>
    <w:rsid w:val="0090193B"/>
    <w:rsid w:val="00901A8E"/>
    <w:rsid w:val="00901E79"/>
    <w:rsid w:val="00901F68"/>
    <w:rsid w:val="00902D72"/>
    <w:rsid w:val="00902FAE"/>
    <w:rsid w:val="00902FB0"/>
    <w:rsid w:val="00903003"/>
    <w:rsid w:val="009039F9"/>
    <w:rsid w:val="00903BA7"/>
    <w:rsid w:val="00903BA8"/>
    <w:rsid w:val="009041CB"/>
    <w:rsid w:val="0090483E"/>
    <w:rsid w:val="00904C6A"/>
    <w:rsid w:val="00904F13"/>
    <w:rsid w:val="0090512D"/>
    <w:rsid w:val="009053AA"/>
    <w:rsid w:val="0090543C"/>
    <w:rsid w:val="0090544E"/>
    <w:rsid w:val="00905E3F"/>
    <w:rsid w:val="009060EE"/>
    <w:rsid w:val="0090632A"/>
    <w:rsid w:val="00906688"/>
    <w:rsid w:val="00906794"/>
    <w:rsid w:val="009068F3"/>
    <w:rsid w:val="00906B9B"/>
    <w:rsid w:val="00907686"/>
    <w:rsid w:val="00907CD7"/>
    <w:rsid w:val="00907D87"/>
    <w:rsid w:val="0091031A"/>
    <w:rsid w:val="009105EF"/>
    <w:rsid w:val="0091064E"/>
    <w:rsid w:val="0091080D"/>
    <w:rsid w:val="009109A5"/>
    <w:rsid w:val="00910E8D"/>
    <w:rsid w:val="00911112"/>
    <w:rsid w:val="00911BE2"/>
    <w:rsid w:val="00913653"/>
    <w:rsid w:val="00913A0C"/>
    <w:rsid w:val="00913B0B"/>
    <w:rsid w:val="00913CFD"/>
    <w:rsid w:val="00913DB5"/>
    <w:rsid w:val="00913E6E"/>
    <w:rsid w:val="00913E9E"/>
    <w:rsid w:val="00914041"/>
    <w:rsid w:val="009152F0"/>
    <w:rsid w:val="009156EF"/>
    <w:rsid w:val="009163A7"/>
    <w:rsid w:val="00916C46"/>
    <w:rsid w:val="00916D45"/>
    <w:rsid w:val="00916D67"/>
    <w:rsid w:val="00916DFD"/>
    <w:rsid w:val="0091718E"/>
    <w:rsid w:val="00917937"/>
    <w:rsid w:val="00917C16"/>
    <w:rsid w:val="00917E14"/>
    <w:rsid w:val="00921BE4"/>
    <w:rsid w:val="00921DA4"/>
    <w:rsid w:val="00921F09"/>
    <w:rsid w:val="0092203D"/>
    <w:rsid w:val="0092240F"/>
    <w:rsid w:val="00922649"/>
    <w:rsid w:val="00922B51"/>
    <w:rsid w:val="009238EE"/>
    <w:rsid w:val="00923964"/>
    <w:rsid w:val="00924E63"/>
    <w:rsid w:val="00926659"/>
    <w:rsid w:val="00926BDC"/>
    <w:rsid w:val="00926DF5"/>
    <w:rsid w:val="009274EC"/>
    <w:rsid w:val="00927A8A"/>
    <w:rsid w:val="00927F62"/>
    <w:rsid w:val="009304E5"/>
    <w:rsid w:val="00930550"/>
    <w:rsid w:val="00930A4E"/>
    <w:rsid w:val="00930B1E"/>
    <w:rsid w:val="00930DE9"/>
    <w:rsid w:val="0093107F"/>
    <w:rsid w:val="009313DC"/>
    <w:rsid w:val="0093192D"/>
    <w:rsid w:val="0093196D"/>
    <w:rsid w:val="00931FA0"/>
    <w:rsid w:val="00932306"/>
    <w:rsid w:val="0093278D"/>
    <w:rsid w:val="00932B36"/>
    <w:rsid w:val="00932D2D"/>
    <w:rsid w:val="009331F4"/>
    <w:rsid w:val="00933435"/>
    <w:rsid w:val="00933545"/>
    <w:rsid w:val="00933806"/>
    <w:rsid w:val="00933CF1"/>
    <w:rsid w:val="00933EBB"/>
    <w:rsid w:val="00934605"/>
    <w:rsid w:val="0093466B"/>
    <w:rsid w:val="009348AB"/>
    <w:rsid w:val="00934B23"/>
    <w:rsid w:val="00934BAD"/>
    <w:rsid w:val="00934D0E"/>
    <w:rsid w:val="00935077"/>
    <w:rsid w:val="00935093"/>
    <w:rsid w:val="00936141"/>
    <w:rsid w:val="00936A62"/>
    <w:rsid w:val="00936BD4"/>
    <w:rsid w:val="00936C77"/>
    <w:rsid w:val="00936F89"/>
    <w:rsid w:val="00937314"/>
    <w:rsid w:val="0093785C"/>
    <w:rsid w:val="00937F1F"/>
    <w:rsid w:val="009401BB"/>
    <w:rsid w:val="009406C4"/>
    <w:rsid w:val="00940853"/>
    <w:rsid w:val="009409D2"/>
    <w:rsid w:val="00940AAC"/>
    <w:rsid w:val="00940C40"/>
    <w:rsid w:val="00940CC5"/>
    <w:rsid w:val="009413AD"/>
    <w:rsid w:val="00941A42"/>
    <w:rsid w:val="00941C1B"/>
    <w:rsid w:val="009422C6"/>
    <w:rsid w:val="00942579"/>
    <w:rsid w:val="00942972"/>
    <w:rsid w:val="00942B6F"/>
    <w:rsid w:val="009436BD"/>
    <w:rsid w:val="00943CBE"/>
    <w:rsid w:val="00943DB5"/>
    <w:rsid w:val="0094479B"/>
    <w:rsid w:val="00945040"/>
    <w:rsid w:val="009451A1"/>
    <w:rsid w:val="009451CF"/>
    <w:rsid w:val="00945358"/>
    <w:rsid w:val="0094604A"/>
    <w:rsid w:val="0094608C"/>
    <w:rsid w:val="00946655"/>
    <w:rsid w:val="00946D0F"/>
    <w:rsid w:val="00946D63"/>
    <w:rsid w:val="00947070"/>
    <w:rsid w:val="009470F9"/>
    <w:rsid w:val="00947201"/>
    <w:rsid w:val="00947522"/>
    <w:rsid w:val="009475ED"/>
    <w:rsid w:val="00947AFF"/>
    <w:rsid w:val="00947C78"/>
    <w:rsid w:val="00950074"/>
    <w:rsid w:val="009500B9"/>
    <w:rsid w:val="0095022A"/>
    <w:rsid w:val="009502A6"/>
    <w:rsid w:val="009506F8"/>
    <w:rsid w:val="00950758"/>
    <w:rsid w:val="009507A4"/>
    <w:rsid w:val="00950A1C"/>
    <w:rsid w:val="00950A93"/>
    <w:rsid w:val="00950B22"/>
    <w:rsid w:val="00950D42"/>
    <w:rsid w:val="009512CC"/>
    <w:rsid w:val="009513B7"/>
    <w:rsid w:val="0095176E"/>
    <w:rsid w:val="00951AF3"/>
    <w:rsid w:val="00951BD5"/>
    <w:rsid w:val="00951F17"/>
    <w:rsid w:val="0095230C"/>
    <w:rsid w:val="009526B1"/>
    <w:rsid w:val="009528C8"/>
    <w:rsid w:val="00952B78"/>
    <w:rsid w:val="00953233"/>
    <w:rsid w:val="00953522"/>
    <w:rsid w:val="009538D1"/>
    <w:rsid w:val="00953B9E"/>
    <w:rsid w:val="00953D38"/>
    <w:rsid w:val="0095496E"/>
    <w:rsid w:val="009557D2"/>
    <w:rsid w:val="00955CF5"/>
    <w:rsid w:val="00956063"/>
    <w:rsid w:val="009569F1"/>
    <w:rsid w:val="00956ACD"/>
    <w:rsid w:val="00956B29"/>
    <w:rsid w:val="009579EC"/>
    <w:rsid w:val="00957D0B"/>
    <w:rsid w:val="00957F60"/>
    <w:rsid w:val="00960067"/>
    <w:rsid w:val="009601EA"/>
    <w:rsid w:val="009603FA"/>
    <w:rsid w:val="009605AF"/>
    <w:rsid w:val="00960976"/>
    <w:rsid w:val="00960DE7"/>
    <w:rsid w:val="00961277"/>
    <w:rsid w:val="0096182A"/>
    <w:rsid w:val="00961E34"/>
    <w:rsid w:val="009621A9"/>
    <w:rsid w:val="0096226D"/>
    <w:rsid w:val="00962698"/>
    <w:rsid w:val="009628BB"/>
    <w:rsid w:val="009628DB"/>
    <w:rsid w:val="00962FB9"/>
    <w:rsid w:val="00963203"/>
    <w:rsid w:val="0096358B"/>
    <w:rsid w:val="00963643"/>
    <w:rsid w:val="00963C14"/>
    <w:rsid w:val="00964530"/>
    <w:rsid w:val="00965493"/>
    <w:rsid w:val="00965691"/>
    <w:rsid w:val="009657CF"/>
    <w:rsid w:val="00965A34"/>
    <w:rsid w:val="00965E22"/>
    <w:rsid w:val="00965EFA"/>
    <w:rsid w:val="0096655F"/>
    <w:rsid w:val="00966B13"/>
    <w:rsid w:val="00967172"/>
    <w:rsid w:val="0096725F"/>
    <w:rsid w:val="009674B1"/>
    <w:rsid w:val="0096760F"/>
    <w:rsid w:val="00967F0E"/>
    <w:rsid w:val="009702F4"/>
    <w:rsid w:val="00970470"/>
    <w:rsid w:val="009706F5"/>
    <w:rsid w:val="00970BD1"/>
    <w:rsid w:val="009715C7"/>
    <w:rsid w:val="00971703"/>
    <w:rsid w:val="0097192E"/>
    <w:rsid w:val="0097192F"/>
    <w:rsid w:val="00971A55"/>
    <w:rsid w:val="00971FE3"/>
    <w:rsid w:val="0097292B"/>
    <w:rsid w:val="00972ED6"/>
    <w:rsid w:val="009743BE"/>
    <w:rsid w:val="00975292"/>
    <w:rsid w:val="00975511"/>
    <w:rsid w:val="009755F0"/>
    <w:rsid w:val="00976C12"/>
    <w:rsid w:val="00976C55"/>
    <w:rsid w:val="00976C77"/>
    <w:rsid w:val="0097752E"/>
    <w:rsid w:val="0098075C"/>
    <w:rsid w:val="00980803"/>
    <w:rsid w:val="00980909"/>
    <w:rsid w:val="0098090B"/>
    <w:rsid w:val="00981891"/>
    <w:rsid w:val="00981B30"/>
    <w:rsid w:val="00981C41"/>
    <w:rsid w:val="00981CEF"/>
    <w:rsid w:val="00982394"/>
    <w:rsid w:val="009824B1"/>
    <w:rsid w:val="009826CA"/>
    <w:rsid w:val="009827FD"/>
    <w:rsid w:val="00982B52"/>
    <w:rsid w:val="00982CF3"/>
    <w:rsid w:val="00984713"/>
    <w:rsid w:val="00984F0A"/>
    <w:rsid w:val="00985055"/>
    <w:rsid w:val="00985102"/>
    <w:rsid w:val="009853AD"/>
    <w:rsid w:val="00985417"/>
    <w:rsid w:val="009859E1"/>
    <w:rsid w:val="00985B11"/>
    <w:rsid w:val="00985F23"/>
    <w:rsid w:val="00986078"/>
    <w:rsid w:val="00986B15"/>
    <w:rsid w:val="00986C65"/>
    <w:rsid w:val="0098750C"/>
    <w:rsid w:val="0098761F"/>
    <w:rsid w:val="00987643"/>
    <w:rsid w:val="00990ACF"/>
    <w:rsid w:val="00990F71"/>
    <w:rsid w:val="00990FC7"/>
    <w:rsid w:val="00991008"/>
    <w:rsid w:val="009911EB"/>
    <w:rsid w:val="00991348"/>
    <w:rsid w:val="009915AF"/>
    <w:rsid w:val="00991823"/>
    <w:rsid w:val="00992009"/>
    <w:rsid w:val="00992363"/>
    <w:rsid w:val="00992918"/>
    <w:rsid w:val="00992EBD"/>
    <w:rsid w:val="00993455"/>
    <w:rsid w:val="00993D51"/>
    <w:rsid w:val="00993ECB"/>
    <w:rsid w:val="0099420E"/>
    <w:rsid w:val="00994267"/>
    <w:rsid w:val="00994998"/>
    <w:rsid w:val="00994A7B"/>
    <w:rsid w:val="00994B97"/>
    <w:rsid w:val="00994C72"/>
    <w:rsid w:val="00994DC7"/>
    <w:rsid w:val="00994FA1"/>
    <w:rsid w:val="009950AA"/>
    <w:rsid w:val="00995F17"/>
    <w:rsid w:val="00996508"/>
    <w:rsid w:val="009965E7"/>
    <w:rsid w:val="00996995"/>
    <w:rsid w:val="00996F95"/>
    <w:rsid w:val="00997532"/>
    <w:rsid w:val="009A0330"/>
    <w:rsid w:val="009A03AD"/>
    <w:rsid w:val="009A05D8"/>
    <w:rsid w:val="009A0766"/>
    <w:rsid w:val="009A0814"/>
    <w:rsid w:val="009A089B"/>
    <w:rsid w:val="009A1FC8"/>
    <w:rsid w:val="009A28A1"/>
    <w:rsid w:val="009A2C9D"/>
    <w:rsid w:val="009A2CB6"/>
    <w:rsid w:val="009A2FD8"/>
    <w:rsid w:val="009A31E2"/>
    <w:rsid w:val="009A3C66"/>
    <w:rsid w:val="009A4E5A"/>
    <w:rsid w:val="009A500A"/>
    <w:rsid w:val="009A5219"/>
    <w:rsid w:val="009A5696"/>
    <w:rsid w:val="009A588B"/>
    <w:rsid w:val="009A6C0E"/>
    <w:rsid w:val="009A7232"/>
    <w:rsid w:val="009A7503"/>
    <w:rsid w:val="009A7AFD"/>
    <w:rsid w:val="009A7C7E"/>
    <w:rsid w:val="009A7D3D"/>
    <w:rsid w:val="009A7E57"/>
    <w:rsid w:val="009B0253"/>
    <w:rsid w:val="009B029E"/>
    <w:rsid w:val="009B0653"/>
    <w:rsid w:val="009B1B5A"/>
    <w:rsid w:val="009B1CE5"/>
    <w:rsid w:val="009B290E"/>
    <w:rsid w:val="009B2AE8"/>
    <w:rsid w:val="009B2B1F"/>
    <w:rsid w:val="009B3894"/>
    <w:rsid w:val="009B3A4D"/>
    <w:rsid w:val="009B3D7B"/>
    <w:rsid w:val="009B3FC6"/>
    <w:rsid w:val="009B437B"/>
    <w:rsid w:val="009B47AE"/>
    <w:rsid w:val="009B4A30"/>
    <w:rsid w:val="009B4B97"/>
    <w:rsid w:val="009B5599"/>
    <w:rsid w:val="009B5739"/>
    <w:rsid w:val="009B597C"/>
    <w:rsid w:val="009B5B6C"/>
    <w:rsid w:val="009B5CC7"/>
    <w:rsid w:val="009B5F42"/>
    <w:rsid w:val="009B6549"/>
    <w:rsid w:val="009B6A08"/>
    <w:rsid w:val="009B6AD7"/>
    <w:rsid w:val="009B70B2"/>
    <w:rsid w:val="009B74D2"/>
    <w:rsid w:val="009B7DD6"/>
    <w:rsid w:val="009C02F7"/>
    <w:rsid w:val="009C05FB"/>
    <w:rsid w:val="009C095F"/>
    <w:rsid w:val="009C0AF9"/>
    <w:rsid w:val="009C0CA8"/>
    <w:rsid w:val="009C1803"/>
    <w:rsid w:val="009C1B44"/>
    <w:rsid w:val="009C243B"/>
    <w:rsid w:val="009C2554"/>
    <w:rsid w:val="009C25AA"/>
    <w:rsid w:val="009C2A95"/>
    <w:rsid w:val="009C2E94"/>
    <w:rsid w:val="009C33D4"/>
    <w:rsid w:val="009C35FE"/>
    <w:rsid w:val="009C40A6"/>
    <w:rsid w:val="009C420C"/>
    <w:rsid w:val="009C446E"/>
    <w:rsid w:val="009C4737"/>
    <w:rsid w:val="009C47F1"/>
    <w:rsid w:val="009C4A77"/>
    <w:rsid w:val="009C4E93"/>
    <w:rsid w:val="009C5071"/>
    <w:rsid w:val="009C51ED"/>
    <w:rsid w:val="009C52BF"/>
    <w:rsid w:val="009C574A"/>
    <w:rsid w:val="009C57DF"/>
    <w:rsid w:val="009C5D14"/>
    <w:rsid w:val="009C5F92"/>
    <w:rsid w:val="009C5FFF"/>
    <w:rsid w:val="009C62FC"/>
    <w:rsid w:val="009C6F02"/>
    <w:rsid w:val="009C6FDD"/>
    <w:rsid w:val="009C735D"/>
    <w:rsid w:val="009C79D6"/>
    <w:rsid w:val="009C7CCC"/>
    <w:rsid w:val="009D0316"/>
    <w:rsid w:val="009D03B5"/>
    <w:rsid w:val="009D03EE"/>
    <w:rsid w:val="009D0476"/>
    <w:rsid w:val="009D07A7"/>
    <w:rsid w:val="009D083B"/>
    <w:rsid w:val="009D0D43"/>
    <w:rsid w:val="009D118F"/>
    <w:rsid w:val="009D1CFE"/>
    <w:rsid w:val="009D1E33"/>
    <w:rsid w:val="009D2063"/>
    <w:rsid w:val="009D2567"/>
    <w:rsid w:val="009D2577"/>
    <w:rsid w:val="009D273F"/>
    <w:rsid w:val="009D296A"/>
    <w:rsid w:val="009D3308"/>
    <w:rsid w:val="009D34E0"/>
    <w:rsid w:val="009D3A28"/>
    <w:rsid w:val="009D3E4F"/>
    <w:rsid w:val="009D419A"/>
    <w:rsid w:val="009D47B2"/>
    <w:rsid w:val="009D4846"/>
    <w:rsid w:val="009D4B83"/>
    <w:rsid w:val="009D539D"/>
    <w:rsid w:val="009D546E"/>
    <w:rsid w:val="009D5DB5"/>
    <w:rsid w:val="009D62F7"/>
    <w:rsid w:val="009D630C"/>
    <w:rsid w:val="009D66DB"/>
    <w:rsid w:val="009D706A"/>
    <w:rsid w:val="009D718D"/>
    <w:rsid w:val="009D795B"/>
    <w:rsid w:val="009D7B1A"/>
    <w:rsid w:val="009D7E69"/>
    <w:rsid w:val="009E013D"/>
    <w:rsid w:val="009E04DE"/>
    <w:rsid w:val="009E14D0"/>
    <w:rsid w:val="009E2834"/>
    <w:rsid w:val="009E2D44"/>
    <w:rsid w:val="009E30F3"/>
    <w:rsid w:val="009E3695"/>
    <w:rsid w:val="009E3ED4"/>
    <w:rsid w:val="009E4237"/>
    <w:rsid w:val="009E48A6"/>
    <w:rsid w:val="009E48F3"/>
    <w:rsid w:val="009E4B3F"/>
    <w:rsid w:val="009E4CDB"/>
    <w:rsid w:val="009E4F67"/>
    <w:rsid w:val="009E5287"/>
    <w:rsid w:val="009E58FD"/>
    <w:rsid w:val="009E5A40"/>
    <w:rsid w:val="009E5AAA"/>
    <w:rsid w:val="009E5FC7"/>
    <w:rsid w:val="009E67FB"/>
    <w:rsid w:val="009E6AF1"/>
    <w:rsid w:val="009E6B65"/>
    <w:rsid w:val="009E6F8A"/>
    <w:rsid w:val="009E703A"/>
    <w:rsid w:val="009E7136"/>
    <w:rsid w:val="009E76F7"/>
    <w:rsid w:val="009E7AAF"/>
    <w:rsid w:val="009F0261"/>
    <w:rsid w:val="009F05DE"/>
    <w:rsid w:val="009F079C"/>
    <w:rsid w:val="009F0848"/>
    <w:rsid w:val="009F0ADF"/>
    <w:rsid w:val="009F156A"/>
    <w:rsid w:val="009F1BA3"/>
    <w:rsid w:val="009F2564"/>
    <w:rsid w:val="009F25E4"/>
    <w:rsid w:val="009F2820"/>
    <w:rsid w:val="009F2ECE"/>
    <w:rsid w:val="009F2F2D"/>
    <w:rsid w:val="009F2F52"/>
    <w:rsid w:val="009F322A"/>
    <w:rsid w:val="009F3B53"/>
    <w:rsid w:val="009F3BCF"/>
    <w:rsid w:val="009F45DA"/>
    <w:rsid w:val="009F48D5"/>
    <w:rsid w:val="009F4BF6"/>
    <w:rsid w:val="009F4DF3"/>
    <w:rsid w:val="009F4E42"/>
    <w:rsid w:val="009F5032"/>
    <w:rsid w:val="009F5295"/>
    <w:rsid w:val="009F52E3"/>
    <w:rsid w:val="009F56D4"/>
    <w:rsid w:val="009F6086"/>
    <w:rsid w:val="009F66C4"/>
    <w:rsid w:val="009F6CE5"/>
    <w:rsid w:val="009F6F2E"/>
    <w:rsid w:val="009F7677"/>
    <w:rsid w:val="00A0068C"/>
    <w:rsid w:val="00A006C3"/>
    <w:rsid w:val="00A00836"/>
    <w:rsid w:val="00A00922"/>
    <w:rsid w:val="00A00CA1"/>
    <w:rsid w:val="00A00CA9"/>
    <w:rsid w:val="00A00E0C"/>
    <w:rsid w:val="00A01221"/>
    <w:rsid w:val="00A01C18"/>
    <w:rsid w:val="00A01D5E"/>
    <w:rsid w:val="00A01D7C"/>
    <w:rsid w:val="00A02201"/>
    <w:rsid w:val="00A0225B"/>
    <w:rsid w:val="00A026FB"/>
    <w:rsid w:val="00A028B1"/>
    <w:rsid w:val="00A02B8F"/>
    <w:rsid w:val="00A02C97"/>
    <w:rsid w:val="00A035E3"/>
    <w:rsid w:val="00A03934"/>
    <w:rsid w:val="00A039BF"/>
    <w:rsid w:val="00A03F59"/>
    <w:rsid w:val="00A043DC"/>
    <w:rsid w:val="00A044DD"/>
    <w:rsid w:val="00A0486A"/>
    <w:rsid w:val="00A04B1E"/>
    <w:rsid w:val="00A04C87"/>
    <w:rsid w:val="00A0530D"/>
    <w:rsid w:val="00A055D7"/>
    <w:rsid w:val="00A056B2"/>
    <w:rsid w:val="00A05700"/>
    <w:rsid w:val="00A05711"/>
    <w:rsid w:val="00A06041"/>
    <w:rsid w:val="00A061AA"/>
    <w:rsid w:val="00A066EB"/>
    <w:rsid w:val="00A0672D"/>
    <w:rsid w:val="00A068CA"/>
    <w:rsid w:val="00A06A75"/>
    <w:rsid w:val="00A06D1C"/>
    <w:rsid w:val="00A07A02"/>
    <w:rsid w:val="00A1010A"/>
    <w:rsid w:val="00A10492"/>
    <w:rsid w:val="00A10C58"/>
    <w:rsid w:val="00A10DA6"/>
    <w:rsid w:val="00A11017"/>
    <w:rsid w:val="00A115C4"/>
    <w:rsid w:val="00A1168B"/>
    <w:rsid w:val="00A11843"/>
    <w:rsid w:val="00A11857"/>
    <w:rsid w:val="00A118FA"/>
    <w:rsid w:val="00A11BE6"/>
    <w:rsid w:val="00A11BF8"/>
    <w:rsid w:val="00A12CF3"/>
    <w:rsid w:val="00A12F74"/>
    <w:rsid w:val="00A132D7"/>
    <w:rsid w:val="00A14047"/>
    <w:rsid w:val="00A14708"/>
    <w:rsid w:val="00A1556A"/>
    <w:rsid w:val="00A155A1"/>
    <w:rsid w:val="00A155EA"/>
    <w:rsid w:val="00A15AC2"/>
    <w:rsid w:val="00A15B46"/>
    <w:rsid w:val="00A15BBF"/>
    <w:rsid w:val="00A15E1B"/>
    <w:rsid w:val="00A15EA6"/>
    <w:rsid w:val="00A16368"/>
    <w:rsid w:val="00A16AC1"/>
    <w:rsid w:val="00A16E35"/>
    <w:rsid w:val="00A16F50"/>
    <w:rsid w:val="00A17EC5"/>
    <w:rsid w:val="00A2009F"/>
    <w:rsid w:val="00A2047C"/>
    <w:rsid w:val="00A20998"/>
    <w:rsid w:val="00A20FD4"/>
    <w:rsid w:val="00A21115"/>
    <w:rsid w:val="00A212A8"/>
    <w:rsid w:val="00A213A5"/>
    <w:rsid w:val="00A21BA1"/>
    <w:rsid w:val="00A21BBD"/>
    <w:rsid w:val="00A22355"/>
    <w:rsid w:val="00A22913"/>
    <w:rsid w:val="00A22E39"/>
    <w:rsid w:val="00A22F57"/>
    <w:rsid w:val="00A230D7"/>
    <w:rsid w:val="00A23BA5"/>
    <w:rsid w:val="00A23F3C"/>
    <w:rsid w:val="00A2421C"/>
    <w:rsid w:val="00A24560"/>
    <w:rsid w:val="00A245E9"/>
    <w:rsid w:val="00A249D9"/>
    <w:rsid w:val="00A24A3E"/>
    <w:rsid w:val="00A24C9B"/>
    <w:rsid w:val="00A24DE8"/>
    <w:rsid w:val="00A24F3C"/>
    <w:rsid w:val="00A25109"/>
    <w:rsid w:val="00A25515"/>
    <w:rsid w:val="00A25529"/>
    <w:rsid w:val="00A25697"/>
    <w:rsid w:val="00A258C8"/>
    <w:rsid w:val="00A25BF9"/>
    <w:rsid w:val="00A25CAE"/>
    <w:rsid w:val="00A25FC4"/>
    <w:rsid w:val="00A260DF"/>
    <w:rsid w:val="00A26220"/>
    <w:rsid w:val="00A268E2"/>
    <w:rsid w:val="00A2700C"/>
    <w:rsid w:val="00A304A0"/>
    <w:rsid w:val="00A304AA"/>
    <w:rsid w:val="00A305C2"/>
    <w:rsid w:val="00A30BEA"/>
    <w:rsid w:val="00A3119E"/>
    <w:rsid w:val="00A312E3"/>
    <w:rsid w:val="00A31449"/>
    <w:rsid w:val="00A3246F"/>
    <w:rsid w:val="00A32A9B"/>
    <w:rsid w:val="00A32CB9"/>
    <w:rsid w:val="00A32D22"/>
    <w:rsid w:val="00A331F7"/>
    <w:rsid w:val="00A3339B"/>
    <w:rsid w:val="00A333F9"/>
    <w:rsid w:val="00A33AEA"/>
    <w:rsid w:val="00A33C49"/>
    <w:rsid w:val="00A33E43"/>
    <w:rsid w:val="00A34226"/>
    <w:rsid w:val="00A3460C"/>
    <w:rsid w:val="00A34A8F"/>
    <w:rsid w:val="00A354D4"/>
    <w:rsid w:val="00A35500"/>
    <w:rsid w:val="00A35737"/>
    <w:rsid w:val="00A35B39"/>
    <w:rsid w:val="00A35BCA"/>
    <w:rsid w:val="00A360FB"/>
    <w:rsid w:val="00A3635D"/>
    <w:rsid w:val="00A36409"/>
    <w:rsid w:val="00A3651F"/>
    <w:rsid w:val="00A372C7"/>
    <w:rsid w:val="00A37F79"/>
    <w:rsid w:val="00A40429"/>
    <w:rsid w:val="00A407EB"/>
    <w:rsid w:val="00A40ABF"/>
    <w:rsid w:val="00A40B6E"/>
    <w:rsid w:val="00A40F7D"/>
    <w:rsid w:val="00A423AC"/>
    <w:rsid w:val="00A423C0"/>
    <w:rsid w:val="00A423F1"/>
    <w:rsid w:val="00A42556"/>
    <w:rsid w:val="00A42B1F"/>
    <w:rsid w:val="00A42CAC"/>
    <w:rsid w:val="00A43727"/>
    <w:rsid w:val="00A439A1"/>
    <w:rsid w:val="00A44324"/>
    <w:rsid w:val="00A4436A"/>
    <w:rsid w:val="00A44C83"/>
    <w:rsid w:val="00A44DEA"/>
    <w:rsid w:val="00A4539E"/>
    <w:rsid w:val="00A45732"/>
    <w:rsid w:val="00A457EF"/>
    <w:rsid w:val="00A45FF7"/>
    <w:rsid w:val="00A460DC"/>
    <w:rsid w:val="00A4676C"/>
    <w:rsid w:val="00A46B8C"/>
    <w:rsid w:val="00A477C6"/>
    <w:rsid w:val="00A47812"/>
    <w:rsid w:val="00A47E90"/>
    <w:rsid w:val="00A501CE"/>
    <w:rsid w:val="00A50634"/>
    <w:rsid w:val="00A5091B"/>
    <w:rsid w:val="00A51278"/>
    <w:rsid w:val="00A51BA5"/>
    <w:rsid w:val="00A51D03"/>
    <w:rsid w:val="00A51D3E"/>
    <w:rsid w:val="00A51FC5"/>
    <w:rsid w:val="00A51FC8"/>
    <w:rsid w:val="00A521F3"/>
    <w:rsid w:val="00A5276C"/>
    <w:rsid w:val="00A53385"/>
    <w:rsid w:val="00A53A00"/>
    <w:rsid w:val="00A53CCE"/>
    <w:rsid w:val="00A53DF5"/>
    <w:rsid w:val="00A53E65"/>
    <w:rsid w:val="00A54157"/>
    <w:rsid w:val="00A544AC"/>
    <w:rsid w:val="00A55664"/>
    <w:rsid w:val="00A55697"/>
    <w:rsid w:val="00A55922"/>
    <w:rsid w:val="00A56248"/>
    <w:rsid w:val="00A56563"/>
    <w:rsid w:val="00A5685B"/>
    <w:rsid w:val="00A570EA"/>
    <w:rsid w:val="00A57262"/>
    <w:rsid w:val="00A5756C"/>
    <w:rsid w:val="00A57A62"/>
    <w:rsid w:val="00A5B78B"/>
    <w:rsid w:val="00A60944"/>
    <w:rsid w:val="00A610D6"/>
    <w:rsid w:val="00A61110"/>
    <w:rsid w:val="00A61497"/>
    <w:rsid w:val="00A61895"/>
    <w:rsid w:val="00A61B96"/>
    <w:rsid w:val="00A6200F"/>
    <w:rsid w:val="00A620CD"/>
    <w:rsid w:val="00A62381"/>
    <w:rsid w:val="00A63164"/>
    <w:rsid w:val="00A63B83"/>
    <w:rsid w:val="00A63DCA"/>
    <w:rsid w:val="00A63F73"/>
    <w:rsid w:val="00A64414"/>
    <w:rsid w:val="00A646DB"/>
    <w:rsid w:val="00A647FF"/>
    <w:rsid w:val="00A64917"/>
    <w:rsid w:val="00A6499E"/>
    <w:rsid w:val="00A64CBA"/>
    <w:rsid w:val="00A64CD3"/>
    <w:rsid w:val="00A64FBD"/>
    <w:rsid w:val="00A65BBD"/>
    <w:rsid w:val="00A65F21"/>
    <w:rsid w:val="00A66CF4"/>
    <w:rsid w:val="00A67EAF"/>
    <w:rsid w:val="00A703C8"/>
    <w:rsid w:val="00A70D64"/>
    <w:rsid w:val="00A70E69"/>
    <w:rsid w:val="00A71678"/>
    <w:rsid w:val="00A71BCC"/>
    <w:rsid w:val="00A71C6D"/>
    <w:rsid w:val="00A71EE2"/>
    <w:rsid w:val="00A7232C"/>
    <w:rsid w:val="00A72629"/>
    <w:rsid w:val="00A729C5"/>
    <w:rsid w:val="00A72EEA"/>
    <w:rsid w:val="00A73040"/>
    <w:rsid w:val="00A73834"/>
    <w:rsid w:val="00A73891"/>
    <w:rsid w:val="00A73B66"/>
    <w:rsid w:val="00A7413E"/>
    <w:rsid w:val="00A7432C"/>
    <w:rsid w:val="00A7439F"/>
    <w:rsid w:val="00A747C7"/>
    <w:rsid w:val="00A748AA"/>
    <w:rsid w:val="00A74C1B"/>
    <w:rsid w:val="00A74D38"/>
    <w:rsid w:val="00A74E42"/>
    <w:rsid w:val="00A74E9F"/>
    <w:rsid w:val="00A7508A"/>
    <w:rsid w:val="00A7553C"/>
    <w:rsid w:val="00A76335"/>
    <w:rsid w:val="00A76652"/>
    <w:rsid w:val="00A76938"/>
    <w:rsid w:val="00A76A78"/>
    <w:rsid w:val="00A76D13"/>
    <w:rsid w:val="00A77003"/>
    <w:rsid w:val="00A77A6C"/>
    <w:rsid w:val="00A806D2"/>
    <w:rsid w:val="00A81583"/>
    <w:rsid w:val="00A81D57"/>
    <w:rsid w:val="00A82096"/>
    <w:rsid w:val="00A820B7"/>
    <w:rsid w:val="00A8278D"/>
    <w:rsid w:val="00A82E00"/>
    <w:rsid w:val="00A83381"/>
    <w:rsid w:val="00A833EE"/>
    <w:rsid w:val="00A837C2"/>
    <w:rsid w:val="00A838D4"/>
    <w:rsid w:val="00A848BF"/>
    <w:rsid w:val="00A84D33"/>
    <w:rsid w:val="00A850C2"/>
    <w:rsid w:val="00A855D9"/>
    <w:rsid w:val="00A85D5E"/>
    <w:rsid w:val="00A85DCF"/>
    <w:rsid w:val="00A85DD5"/>
    <w:rsid w:val="00A860A1"/>
    <w:rsid w:val="00A86851"/>
    <w:rsid w:val="00A86B44"/>
    <w:rsid w:val="00A87316"/>
    <w:rsid w:val="00A87324"/>
    <w:rsid w:val="00A874BF"/>
    <w:rsid w:val="00A87533"/>
    <w:rsid w:val="00A87CE9"/>
    <w:rsid w:val="00A87D02"/>
    <w:rsid w:val="00A9012A"/>
    <w:rsid w:val="00A90786"/>
    <w:rsid w:val="00A91A16"/>
    <w:rsid w:val="00A91CFB"/>
    <w:rsid w:val="00A920F9"/>
    <w:rsid w:val="00A922B2"/>
    <w:rsid w:val="00A92A93"/>
    <w:rsid w:val="00A92C0B"/>
    <w:rsid w:val="00A92DDC"/>
    <w:rsid w:val="00A92F2B"/>
    <w:rsid w:val="00A92FE9"/>
    <w:rsid w:val="00A93608"/>
    <w:rsid w:val="00A9394A"/>
    <w:rsid w:val="00A93E34"/>
    <w:rsid w:val="00A9440F"/>
    <w:rsid w:val="00A94944"/>
    <w:rsid w:val="00A94A1C"/>
    <w:rsid w:val="00A94BBD"/>
    <w:rsid w:val="00A950A7"/>
    <w:rsid w:val="00A954B7"/>
    <w:rsid w:val="00A9589F"/>
    <w:rsid w:val="00A959D2"/>
    <w:rsid w:val="00A95F0F"/>
    <w:rsid w:val="00A9608E"/>
    <w:rsid w:val="00A96107"/>
    <w:rsid w:val="00A96887"/>
    <w:rsid w:val="00A96B9E"/>
    <w:rsid w:val="00A96F4F"/>
    <w:rsid w:val="00A973AD"/>
    <w:rsid w:val="00A977A6"/>
    <w:rsid w:val="00A97920"/>
    <w:rsid w:val="00AA01E6"/>
    <w:rsid w:val="00AA1BC1"/>
    <w:rsid w:val="00AA1DCF"/>
    <w:rsid w:val="00AA25FD"/>
    <w:rsid w:val="00AA2626"/>
    <w:rsid w:val="00AA26A5"/>
    <w:rsid w:val="00AA35A4"/>
    <w:rsid w:val="00AA35FB"/>
    <w:rsid w:val="00AA36A1"/>
    <w:rsid w:val="00AA3E8A"/>
    <w:rsid w:val="00AA3F6A"/>
    <w:rsid w:val="00AA42CA"/>
    <w:rsid w:val="00AA4D3A"/>
    <w:rsid w:val="00AA508F"/>
    <w:rsid w:val="00AA50F1"/>
    <w:rsid w:val="00AA5816"/>
    <w:rsid w:val="00AA6096"/>
    <w:rsid w:val="00AA6284"/>
    <w:rsid w:val="00AA62CD"/>
    <w:rsid w:val="00AA68B0"/>
    <w:rsid w:val="00AA6988"/>
    <w:rsid w:val="00AA744D"/>
    <w:rsid w:val="00AA76E8"/>
    <w:rsid w:val="00AB0667"/>
    <w:rsid w:val="00AB0764"/>
    <w:rsid w:val="00AB078B"/>
    <w:rsid w:val="00AB0B34"/>
    <w:rsid w:val="00AB1676"/>
    <w:rsid w:val="00AB17A6"/>
    <w:rsid w:val="00AB1E66"/>
    <w:rsid w:val="00AB21B0"/>
    <w:rsid w:val="00AB2B42"/>
    <w:rsid w:val="00AB2CEE"/>
    <w:rsid w:val="00AB30FD"/>
    <w:rsid w:val="00AB323B"/>
    <w:rsid w:val="00AB347A"/>
    <w:rsid w:val="00AB34DE"/>
    <w:rsid w:val="00AB39D1"/>
    <w:rsid w:val="00AB3D05"/>
    <w:rsid w:val="00AB3EF6"/>
    <w:rsid w:val="00AB409E"/>
    <w:rsid w:val="00AB4649"/>
    <w:rsid w:val="00AB481B"/>
    <w:rsid w:val="00AB4934"/>
    <w:rsid w:val="00AB49FD"/>
    <w:rsid w:val="00AB4BD1"/>
    <w:rsid w:val="00AB4C50"/>
    <w:rsid w:val="00AB5059"/>
    <w:rsid w:val="00AB536C"/>
    <w:rsid w:val="00AB54A4"/>
    <w:rsid w:val="00AB6339"/>
    <w:rsid w:val="00AB6BE4"/>
    <w:rsid w:val="00AB6C4D"/>
    <w:rsid w:val="00AB6E56"/>
    <w:rsid w:val="00AB71D0"/>
    <w:rsid w:val="00AB73CB"/>
    <w:rsid w:val="00AB7522"/>
    <w:rsid w:val="00AB79FF"/>
    <w:rsid w:val="00AB7D28"/>
    <w:rsid w:val="00AB7D31"/>
    <w:rsid w:val="00AB7D50"/>
    <w:rsid w:val="00AC0142"/>
    <w:rsid w:val="00AC046D"/>
    <w:rsid w:val="00AC065F"/>
    <w:rsid w:val="00AC093D"/>
    <w:rsid w:val="00AC10AE"/>
    <w:rsid w:val="00AC14BB"/>
    <w:rsid w:val="00AC16B5"/>
    <w:rsid w:val="00AC18CE"/>
    <w:rsid w:val="00AC1AEF"/>
    <w:rsid w:val="00AC1F62"/>
    <w:rsid w:val="00AC25DD"/>
    <w:rsid w:val="00AC29F8"/>
    <w:rsid w:val="00AC2A14"/>
    <w:rsid w:val="00AC2A8D"/>
    <w:rsid w:val="00AC2EEB"/>
    <w:rsid w:val="00AC3A7A"/>
    <w:rsid w:val="00AC3C11"/>
    <w:rsid w:val="00AC4424"/>
    <w:rsid w:val="00AC4C80"/>
    <w:rsid w:val="00AC4CB4"/>
    <w:rsid w:val="00AC5199"/>
    <w:rsid w:val="00AC5669"/>
    <w:rsid w:val="00AC573D"/>
    <w:rsid w:val="00AC5895"/>
    <w:rsid w:val="00AC5B5E"/>
    <w:rsid w:val="00AC5C2F"/>
    <w:rsid w:val="00AC6B36"/>
    <w:rsid w:val="00AC6BBA"/>
    <w:rsid w:val="00AC6D53"/>
    <w:rsid w:val="00AC6D9E"/>
    <w:rsid w:val="00AC6E8C"/>
    <w:rsid w:val="00AC729A"/>
    <w:rsid w:val="00AC739B"/>
    <w:rsid w:val="00AC7661"/>
    <w:rsid w:val="00AC7C7A"/>
    <w:rsid w:val="00AD0112"/>
    <w:rsid w:val="00AD0793"/>
    <w:rsid w:val="00AD0A79"/>
    <w:rsid w:val="00AD0D27"/>
    <w:rsid w:val="00AD0F02"/>
    <w:rsid w:val="00AD1539"/>
    <w:rsid w:val="00AD15BE"/>
    <w:rsid w:val="00AD1652"/>
    <w:rsid w:val="00AD1D88"/>
    <w:rsid w:val="00AD2075"/>
    <w:rsid w:val="00AD3068"/>
    <w:rsid w:val="00AD31FA"/>
    <w:rsid w:val="00AD341C"/>
    <w:rsid w:val="00AD3726"/>
    <w:rsid w:val="00AD3876"/>
    <w:rsid w:val="00AD3D56"/>
    <w:rsid w:val="00AD4212"/>
    <w:rsid w:val="00AD4B27"/>
    <w:rsid w:val="00AD4B3B"/>
    <w:rsid w:val="00AD532B"/>
    <w:rsid w:val="00AD5352"/>
    <w:rsid w:val="00AD557F"/>
    <w:rsid w:val="00AD5772"/>
    <w:rsid w:val="00AD5926"/>
    <w:rsid w:val="00AD5B42"/>
    <w:rsid w:val="00AD680F"/>
    <w:rsid w:val="00AD6ADD"/>
    <w:rsid w:val="00AD75D8"/>
    <w:rsid w:val="00AD7842"/>
    <w:rsid w:val="00AD7A99"/>
    <w:rsid w:val="00AD7A9C"/>
    <w:rsid w:val="00AD7B49"/>
    <w:rsid w:val="00AE055A"/>
    <w:rsid w:val="00AE07ED"/>
    <w:rsid w:val="00AE0C9C"/>
    <w:rsid w:val="00AE0EFB"/>
    <w:rsid w:val="00AE11FF"/>
    <w:rsid w:val="00AE1211"/>
    <w:rsid w:val="00AE1E85"/>
    <w:rsid w:val="00AE26BB"/>
    <w:rsid w:val="00AE2B2B"/>
    <w:rsid w:val="00AE3831"/>
    <w:rsid w:val="00AE3AC4"/>
    <w:rsid w:val="00AE3BAB"/>
    <w:rsid w:val="00AE3CBE"/>
    <w:rsid w:val="00AE3F15"/>
    <w:rsid w:val="00AE3F86"/>
    <w:rsid w:val="00AE41D0"/>
    <w:rsid w:val="00AE4554"/>
    <w:rsid w:val="00AE490D"/>
    <w:rsid w:val="00AE4D12"/>
    <w:rsid w:val="00AE4E80"/>
    <w:rsid w:val="00AE4FD8"/>
    <w:rsid w:val="00AE5352"/>
    <w:rsid w:val="00AE601D"/>
    <w:rsid w:val="00AE607C"/>
    <w:rsid w:val="00AE6967"/>
    <w:rsid w:val="00AE7822"/>
    <w:rsid w:val="00AE7945"/>
    <w:rsid w:val="00AE7C42"/>
    <w:rsid w:val="00AF0422"/>
    <w:rsid w:val="00AF07BC"/>
    <w:rsid w:val="00AF08A5"/>
    <w:rsid w:val="00AF0C0A"/>
    <w:rsid w:val="00AF15AE"/>
    <w:rsid w:val="00AF1835"/>
    <w:rsid w:val="00AF1C1B"/>
    <w:rsid w:val="00AF1C42"/>
    <w:rsid w:val="00AF1E53"/>
    <w:rsid w:val="00AF22B9"/>
    <w:rsid w:val="00AF27E8"/>
    <w:rsid w:val="00AF321A"/>
    <w:rsid w:val="00AF328B"/>
    <w:rsid w:val="00AF3614"/>
    <w:rsid w:val="00AF37D9"/>
    <w:rsid w:val="00AF3BF1"/>
    <w:rsid w:val="00AF3E59"/>
    <w:rsid w:val="00AF3F45"/>
    <w:rsid w:val="00AF4233"/>
    <w:rsid w:val="00AF4F6E"/>
    <w:rsid w:val="00AF5160"/>
    <w:rsid w:val="00AF599F"/>
    <w:rsid w:val="00AF5B29"/>
    <w:rsid w:val="00AF5F2C"/>
    <w:rsid w:val="00AF615B"/>
    <w:rsid w:val="00AF6662"/>
    <w:rsid w:val="00AF6D40"/>
    <w:rsid w:val="00AF6F8D"/>
    <w:rsid w:val="00AF73F5"/>
    <w:rsid w:val="00AF7544"/>
    <w:rsid w:val="00B0045E"/>
    <w:rsid w:val="00B005F2"/>
    <w:rsid w:val="00B00DCA"/>
    <w:rsid w:val="00B00E75"/>
    <w:rsid w:val="00B0101B"/>
    <w:rsid w:val="00B0116D"/>
    <w:rsid w:val="00B011BA"/>
    <w:rsid w:val="00B014DE"/>
    <w:rsid w:val="00B0170C"/>
    <w:rsid w:val="00B01953"/>
    <w:rsid w:val="00B0196E"/>
    <w:rsid w:val="00B01C7A"/>
    <w:rsid w:val="00B01D7C"/>
    <w:rsid w:val="00B01DFB"/>
    <w:rsid w:val="00B01EBD"/>
    <w:rsid w:val="00B02092"/>
    <w:rsid w:val="00B02FE9"/>
    <w:rsid w:val="00B03194"/>
    <w:rsid w:val="00B0376F"/>
    <w:rsid w:val="00B03908"/>
    <w:rsid w:val="00B03BA4"/>
    <w:rsid w:val="00B03C48"/>
    <w:rsid w:val="00B049CD"/>
    <w:rsid w:val="00B04F84"/>
    <w:rsid w:val="00B05195"/>
    <w:rsid w:val="00B05335"/>
    <w:rsid w:val="00B059E7"/>
    <w:rsid w:val="00B05B46"/>
    <w:rsid w:val="00B05F08"/>
    <w:rsid w:val="00B06032"/>
    <w:rsid w:val="00B063C2"/>
    <w:rsid w:val="00B06802"/>
    <w:rsid w:val="00B06942"/>
    <w:rsid w:val="00B07042"/>
    <w:rsid w:val="00B071A5"/>
    <w:rsid w:val="00B079EE"/>
    <w:rsid w:val="00B07D35"/>
    <w:rsid w:val="00B07D4F"/>
    <w:rsid w:val="00B0EAA1"/>
    <w:rsid w:val="00B1022F"/>
    <w:rsid w:val="00B105AB"/>
    <w:rsid w:val="00B1062A"/>
    <w:rsid w:val="00B1094B"/>
    <w:rsid w:val="00B1098B"/>
    <w:rsid w:val="00B10D6A"/>
    <w:rsid w:val="00B11457"/>
    <w:rsid w:val="00B1167F"/>
    <w:rsid w:val="00B11B5E"/>
    <w:rsid w:val="00B11C5C"/>
    <w:rsid w:val="00B12704"/>
    <w:rsid w:val="00B12C5E"/>
    <w:rsid w:val="00B137C8"/>
    <w:rsid w:val="00B14038"/>
    <w:rsid w:val="00B14800"/>
    <w:rsid w:val="00B14B50"/>
    <w:rsid w:val="00B14C39"/>
    <w:rsid w:val="00B14C45"/>
    <w:rsid w:val="00B1516D"/>
    <w:rsid w:val="00B15757"/>
    <w:rsid w:val="00B16D4F"/>
    <w:rsid w:val="00B1777E"/>
    <w:rsid w:val="00B1780A"/>
    <w:rsid w:val="00B1791D"/>
    <w:rsid w:val="00B17A33"/>
    <w:rsid w:val="00B17ADF"/>
    <w:rsid w:val="00B2123F"/>
    <w:rsid w:val="00B21378"/>
    <w:rsid w:val="00B2140A"/>
    <w:rsid w:val="00B21638"/>
    <w:rsid w:val="00B217A2"/>
    <w:rsid w:val="00B218E3"/>
    <w:rsid w:val="00B21BF6"/>
    <w:rsid w:val="00B21ED9"/>
    <w:rsid w:val="00B22031"/>
    <w:rsid w:val="00B22352"/>
    <w:rsid w:val="00B22569"/>
    <w:rsid w:val="00B22639"/>
    <w:rsid w:val="00B22991"/>
    <w:rsid w:val="00B22A1B"/>
    <w:rsid w:val="00B22AA7"/>
    <w:rsid w:val="00B22EF8"/>
    <w:rsid w:val="00B233E7"/>
    <w:rsid w:val="00B2362A"/>
    <w:rsid w:val="00B23A9A"/>
    <w:rsid w:val="00B23F73"/>
    <w:rsid w:val="00B2406D"/>
    <w:rsid w:val="00B241D1"/>
    <w:rsid w:val="00B2447A"/>
    <w:rsid w:val="00B24648"/>
    <w:rsid w:val="00B24D93"/>
    <w:rsid w:val="00B24EEC"/>
    <w:rsid w:val="00B25187"/>
    <w:rsid w:val="00B2521E"/>
    <w:rsid w:val="00B25703"/>
    <w:rsid w:val="00B25A86"/>
    <w:rsid w:val="00B25D1D"/>
    <w:rsid w:val="00B2638A"/>
    <w:rsid w:val="00B265A0"/>
    <w:rsid w:val="00B2685F"/>
    <w:rsid w:val="00B26E79"/>
    <w:rsid w:val="00B27695"/>
    <w:rsid w:val="00B27DDC"/>
    <w:rsid w:val="00B30091"/>
    <w:rsid w:val="00B300F1"/>
    <w:rsid w:val="00B301A8"/>
    <w:rsid w:val="00B3032A"/>
    <w:rsid w:val="00B3032E"/>
    <w:rsid w:val="00B3053E"/>
    <w:rsid w:val="00B305AD"/>
    <w:rsid w:val="00B30EA8"/>
    <w:rsid w:val="00B31AF7"/>
    <w:rsid w:val="00B31B35"/>
    <w:rsid w:val="00B31CF7"/>
    <w:rsid w:val="00B31D7D"/>
    <w:rsid w:val="00B323F6"/>
    <w:rsid w:val="00B32440"/>
    <w:rsid w:val="00B32CBC"/>
    <w:rsid w:val="00B33006"/>
    <w:rsid w:val="00B3363D"/>
    <w:rsid w:val="00B339D3"/>
    <w:rsid w:val="00B33BAF"/>
    <w:rsid w:val="00B33C30"/>
    <w:rsid w:val="00B33DCE"/>
    <w:rsid w:val="00B33F9A"/>
    <w:rsid w:val="00B345AE"/>
    <w:rsid w:val="00B35088"/>
    <w:rsid w:val="00B3521B"/>
    <w:rsid w:val="00B35296"/>
    <w:rsid w:val="00B355F4"/>
    <w:rsid w:val="00B35840"/>
    <w:rsid w:val="00B35B2A"/>
    <w:rsid w:val="00B35CA3"/>
    <w:rsid w:val="00B35D07"/>
    <w:rsid w:val="00B364C3"/>
    <w:rsid w:val="00B3668C"/>
    <w:rsid w:val="00B367DD"/>
    <w:rsid w:val="00B36869"/>
    <w:rsid w:val="00B36948"/>
    <w:rsid w:val="00B36C5B"/>
    <w:rsid w:val="00B36CE4"/>
    <w:rsid w:val="00B36EE4"/>
    <w:rsid w:val="00B373BA"/>
    <w:rsid w:val="00B37949"/>
    <w:rsid w:val="00B37A7D"/>
    <w:rsid w:val="00B4010E"/>
    <w:rsid w:val="00B401E8"/>
    <w:rsid w:val="00B403E9"/>
    <w:rsid w:val="00B40639"/>
    <w:rsid w:val="00B40841"/>
    <w:rsid w:val="00B4090A"/>
    <w:rsid w:val="00B40A8D"/>
    <w:rsid w:val="00B40F5A"/>
    <w:rsid w:val="00B4175F"/>
    <w:rsid w:val="00B41C79"/>
    <w:rsid w:val="00B41CE4"/>
    <w:rsid w:val="00B41D78"/>
    <w:rsid w:val="00B421EE"/>
    <w:rsid w:val="00B42A84"/>
    <w:rsid w:val="00B42B44"/>
    <w:rsid w:val="00B43C0C"/>
    <w:rsid w:val="00B44131"/>
    <w:rsid w:val="00B443AD"/>
    <w:rsid w:val="00B447D4"/>
    <w:rsid w:val="00B44814"/>
    <w:rsid w:val="00B44989"/>
    <w:rsid w:val="00B44B1A"/>
    <w:rsid w:val="00B44C69"/>
    <w:rsid w:val="00B44CAC"/>
    <w:rsid w:val="00B45463"/>
    <w:rsid w:val="00B45547"/>
    <w:rsid w:val="00B45A0D"/>
    <w:rsid w:val="00B45D60"/>
    <w:rsid w:val="00B45FB0"/>
    <w:rsid w:val="00B46158"/>
    <w:rsid w:val="00B46262"/>
    <w:rsid w:val="00B4633A"/>
    <w:rsid w:val="00B46E10"/>
    <w:rsid w:val="00B47A0D"/>
    <w:rsid w:val="00B47BB0"/>
    <w:rsid w:val="00B47D2A"/>
    <w:rsid w:val="00B50410"/>
    <w:rsid w:val="00B50718"/>
    <w:rsid w:val="00B50DC5"/>
    <w:rsid w:val="00B511D2"/>
    <w:rsid w:val="00B51A1D"/>
    <w:rsid w:val="00B51C2C"/>
    <w:rsid w:val="00B52295"/>
    <w:rsid w:val="00B52468"/>
    <w:rsid w:val="00B5256A"/>
    <w:rsid w:val="00B52859"/>
    <w:rsid w:val="00B52D62"/>
    <w:rsid w:val="00B53179"/>
    <w:rsid w:val="00B53A18"/>
    <w:rsid w:val="00B544ED"/>
    <w:rsid w:val="00B5511F"/>
    <w:rsid w:val="00B551F5"/>
    <w:rsid w:val="00B556E3"/>
    <w:rsid w:val="00B559A3"/>
    <w:rsid w:val="00B55F4F"/>
    <w:rsid w:val="00B561A9"/>
    <w:rsid w:val="00B56224"/>
    <w:rsid w:val="00B5626F"/>
    <w:rsid w:val="00B56768"/>
    <w:rsid w:val="00B56B4A"/>
    <w:rsid w:val="00B56B98"/>
    <w:rsid w:val="00B602ED"/>
    <w:rsid w:val="00B60304"/>
    <w:rsid w:val="00B6037B"/>
    <w:rsid w:val="00B6038B"/>
    <w:rsid w:val="00B603B9"/>
    <w:rsid w:val="00B60984"/>
    <w:rsid w:val="00B615A6"/>
    <w:rsid w:val="00B615F9"/>
    <w:rsid w:val="00B61756"/>
    <w:rsid w:val="00B61AE3"/>
    <w:rsid w:val="00B61DF9"/>
    <w:rsid w:val="00B6237B"/>
    <w:rsid w:val="00B6266E"/>
    <w:rsid w:val="00B6267D"/>
    <w:rsid w:val="00B62CB9"/>
    <w:rsid w:val="00B630F9"/>
    <w:rsid w:val="00B63271"/>
    <w:rsid w:val="00B63306"/>
    <w:rsid w:val="00B63969"/>
    <w:rsid w:val="00B63A2C"/>
    <w:rsid w:val="00B63A42"/>
    <w:rsid w:val="00B63ADC"/>
    <w:rsid w:val="00B63EC9"/>
    <w:rsid w:val="00B64A2F"/>
    <w:rsid w:val="00B64E8C"/>
    <w:rsid w:val="00B65CDD"/>
    <w:rsid w:val="00B65EE4"/>
    <w:rsid w:val="00B66022"/>
    <w:rsid w:val="00B66391"/>
    <w:rsid w:val="00B66660"/>
    <w:rsid w:val="00B6675D"/>
    <w:rsid w:val="00B670B7"/>
    <w:rsid w:val="00B67B7D"/>
    <w:rsid w:val="00B67CD8"/>
    <w:rsid w:val="00B70113"/>
    <w:rsid w:val="00B71023"/>
    <w:rsid w:val="00B71359"/>
    <w:rsid w:val="00B71CB3"/>
    <w:rsid w:val="00B72198"/>
    <w:rsid w:val="00B728E8"/>
    <w:rsid w:val="00B735BD"/>
    <w:rsid w:val="00B73DFA"/>
    <w:rsid w:val="00B745B0"/>
    <w:rsid w:val="00B74961"/>
    <w:rsid w:val="00B756E1"/>
    <w:rsid w:val="00B7577B"/>
    <w:rsid w:val="00B75DF6"/>
    <w:rsid w:val="00B75F7E"/>
    <w:rsid w:val="00B76031"/>
    <w:rsid w:val="00B761B9"/>
    <w:rsid w:val="00B76357"/>
    <w:rsid w:val="00B770B8"/>
    <w:rsid w:val="00B7725B"/>
    <w:rsid w:val="00B772F4"/>
    <w:rsid w:val="00B778ED"/>
    <w:rsid w:val="00B8077D"/>
    <w:rsid w:val="00B8096E"/>
    <w:rsid w:val="00B8100F"/>
    <w:rsid w:val="00B82658"/>
    <w:rsid w:val="00B82D15"/>
    <w:rsid w:val="00B82D7D"/>
    <w:rsid w:val="00B8330D"/>
    <w:rsid w:val="00B83642"/>
    <w:rsid w:val="00B837E6"/>
    <w:rsid w:val="00B83CFB"/>
    <w:rsid w:val="00B84057"/>
    <w:rsid w:val="00B85073"/>
    <w:rsid w:val="00B85082"/>
    <w:rsid w:val="00B850A5"/>
    <w:rsid w:val="00B853A2"/>
    <w:rsid w:val="00B858BB"/>
    <w:rsid w:val="00B85936"/>
    <w:rsid w:val="00B85DD8"/>
    <w:rsid w:val="00B85DFE"/>
    <w:rsid w:val="00B866BB"/>
    <w:rsid w:val="00B86B56"/>
    <w:rsid w:val="00B86B8E"/>
    <w:rsid w:val="00B86D45"/>
    <w:rsid w:val="00B86F32"/>
    <w:rsid w:val="00B8706D"/>
    <w:rsid w:val="00B871FE"/>
    <w:rsid w:val="00B876EC"/>
    <w:rsid w:val="00B87955"/>
    <w:rsid w:val="00B87C27"/>
    <w:rsid w:val="00B87EB9"/>
    <w:rsid w:val="00B87F80"/>
    <w:rsid w:val="00B9141F"/>
    <w:rsid w:val="00B916DC"/>
    <w:rsid w:val="00B91F21"/>
    <w:rsid w:val="00B92267"/>
    <w:rsid w:val="00B926EC"/>
    <w:rsid w:val="00B92C33"/>
    <w:rsid w:val="00B92DC7"/>
    <w:rsid w:val="00B92E84"/>
    <w:rsid w:val="00B93AD6"/>
    <w:rsid w:val="00B93AE0"/>
    <w:rsid w:val="00B93C4C"/>
    <w:rsid w:val="00B941A7"/>
    <w:rsid w:val="00B94E89"/>
    <w:rsid w:val="00B95093"/>
    <w:rsid w:val="00B951DE"/>
    <w:rsid w:val="00B95E99"/>
    <w:rsid w:val="00B964C9"/>
    <w:rsid w:val="00B96AC2"/>
    <w:rsid w:val="00B96B0A"/>
    <w:rsid w:val="00B96D8D"/>
    <w:rsid w:val="00BA037F"/>
    <w:rsid w:val="00BA057C"/>
    <w:rsid w:val="00BA06DB"/>
    <w:rsid w:val="00BA07F6"/>
    <w:rsid w:val="00BA0996"/>
    <w:rsid w:val="00BA1634"/>
    <w:rsid w:val="00BA175C"/>
    <w:rsid w:val="00BA1868"/>
    <w:rsid w:val="00BA1C50"/>
    <w:rsid w:val="00BA1E50"/>
    <w:rsid w:val="00BA1F78"/>
    <w:rsid w:val="00BA2958"/>
    <w:rsid w:val="00BA2971"/>
    <w:rsid w:val="00BA2B1B"/>
    <w:rsid w:val="00BA2EBD"/>
    <w:rsid w:val="00BA2F96"/>
    <w:rsid w:val="00BA3375"/>
    <w:rsid w:val="00BA4519"/>
    <w:rsid w:val="00BA4635"/>
    <w:rsid w:val="00BA4AAC"/>
    <w:rsid w:val="00BA4BA4"/>
    <w:rsid w:val="00BA4FEE"/>
    <w:rsid w:val="00BA63CE"/>
    <w:rsid w:val="00BA63FF"/>
    <w:rsid w:val="00BA64EB"/>
    <w:rsid w:val="00BA6877"/>
    <w:rsid w:val="00BA6938"/>
    <w:rsid w:val="00BA6C04"/>
    <w:rsid w:val="00BA6DC4"/>
    <w:rsid w:val="00BA6DD6"/>
    <w:rsid w:val="00BA6EB6"/>
    <w:rsid w:val="00BA73E7"/>
    <w:rsid w:val="00BA7532"/>
    <w:rsid w:val="00BA773D"/>
    <w:rsid w:val="00BA7BC6"/>
    <w:rsid w:val="00BB0405"/>
    <w:rsid w:val="00BB0464"/>
    <w:rsid w:val="00BB0FB1"/>
    <w:rsid w:val="00BB1740"/>
    <w:rsid w:val="00BB1DB6"/>
    <w:rsid w:val="00BB26F0"/>
    <w:rsid w:val="00BB2727"/>
    <w:rsid w:val="00BB3208"/>
    <w:rsid w:val="00BB3399"/>
    <w:rsid w:val="00BB43DA"/>
    <w:rsid w:val="00BB5220"/>
    <w:rsid w:val="00BB5B2F"/>
    <w:rsid w:val="00BB6D97"/>
    <w:rsid w:val="00BB6F03"/>
    <w:rsid w:val="00BB7249"/>
    <w:rsid w:val="00BC0028"/>
    <w:rsid w:val="00BC049C"/>
    <w:rsid w:val="00BC099D"/>
    <w:rsid w:val="00BC0A1E"/>
    <w:rsid w:val="00BC1305"/>
    <w:rsid w:val="00BC16A0"/>
    <w:rsid w:val="00BC1925"/>
    <w:rsid w:val="00BC252F"/>
    <w:rsid w:val="00BC2984"/>
    <w:rsid w:val="00BC2B12"/>
    <w:rsid w:val="00BC2CE9"/>
    <w:rsid w:val="00BC314F"/>
    <w:rsid w:val="00BC3448"/>
    <w:rsid w:val="00BC3B56"/>
    <w:rsid w:val="00BC3DF6"/>
    <w:rsid w:val="00BC440C"/>
    <w:rsid w:val="00BC48AE"/>
    <w:rsid w:val="00BC4AE4"/>
    <w:rsid w:val="00BC5288"/>
    <w:rsid w:val="00BC5528"/>
    <w:rsid w:val="00BC570E"/>
    <w:rsid w:val="00BC586D"/>
    <w:rsid w:val="00BC58B0"/>
    <w:rsid w:val="00BC5EC1"/>
    <w:rsid w:val="00BC60FE"/>
    <w:rsid w:val="00BC67BF"/>
    <w:rsid w:val="00BC6832"/>
    <w:rsid w:val="00BC6A10"/>
    <w:rsid w:val="00BC722C"/>
    <w:rsid w:val="00BC7351"/>
    <w:rsid w:val="00BC762B"/>
    <w:rsid w:val="00BC7AA0"/>
    <w:rsid w:val="00BC7C2F"/>
    <w:rsid w:val="00BD022D"/>
    <w:rsid w:val="00BD073E"/>
    <w:rsid w:val="00BD0988"/>
    <w:rsid w:val="00BD1985"/>
    <w:rsid w:val="00BD1CD8"/>
    <w:rsid w:val="00BD2190"/>
    <w:rsid w:val="00BD21AB"/>
    <w:rsid w:val="00BD299C"/>
    <w:rsid w:val="00BD36DF"/>
    <w:rsid w:val="00BD3918"/>
    <w:rsid w:val="00BD3AB3"/>
    <w:rsid w:val="00BD3B7F"/>
    <w:rsid w:val="00BD3C35"/>
    <w:rsid w:val="00BD3ED2"/>
    <w:rsid w:val="00BD44A8"/>
    <w:rsid w:val="00BD4893"/>
    <w:rsid w:val="00BD4989"/>
    <w:rsid w:val="00BD4A14"/>
    <w:rsid w:val="00BD5CE2"/>
    <w:rsid w:val="00BD6144"/>
    <w:rsid w:val="00BD6178"/>
    <w:rsid w:val="00BD66E6"/>
    <w:rsid w:val="00BD6C01"/>
    <w:rsid w:val="00BD6F39"/>
    <w:rsid w:val="00BD7594"/>
    <w:rsid w:val="00BE004D"/>
    <w:rsid w:val="00BE014B"/>
    <w:rsid w:val="00BE08AF"/>
    <w:rsid w:val="00BE0A8C"/>
    <w:rsid w:val="00BE1065"/>
    <w:rsid w:val="00BE108F"/>
    <w:rsid w:val="00BE126B"/>
    <w:rsid w:val="00BE19A7"/>
    <w:rsid w:val="00BE1E72"/>
    <w:rsid w:val="00BE203B"/>
    <w:rsid w:val="00BE21A4"/>
    <w:rsid w:val="00BE294C"/>
    <w:rsid w:val="00BE2A34"/>
    <w:rsid w:val="00BE2A7B"/>
    <w:rsid w:val="00BE3013"/>
    <w:rsid w:val="00BE30F7"/>
    <w:rsid w:val="00BE31E8"/>
    <w:rsid w:val="00BE3320"/>
    <w:rsid w:val="00BE3CC6"/>
    <w:rsid w:val="00BE3EC2"/>
    <w:rsid w:val="00BE49C2"/>
    <w:rsid w:val="00BE4A01"/>
    <w:rsid w:val="00BE5145"/>
    <w:rsid w:val="00BE549A"/>
    <w:rsid w:val="00BE5862"/>
    <w:rsid w:val="00BE5B46"/>
    <w:rsid w:val="00BE629B"/>
    <w:rsid w:val="00BE6533"/>
    <w:rsid w:val="00BE6E49"/>
    <w:rsid w:val="00BE6F24"/>
    <w:rsid w:val="00BE72DB"/>
    <w:rsid w:val="00BE7CAF"/>
    <w:rsid w:val="00BE7CFB"/>
    <w:rsid w:val="00BE7D8B"/>
    <w:rsid w:val="00BE7E27"/>
    <w:rsid w:val="00BF0073"/>
    <w:rsid w:val="00BF0080"/>
    <w:rsid w:val="00BF017D"/>
    <w:rsid w:val="00BF12EA"/>
    <w:rsid w:val="00BF21CB"/>
    <w:rsid w:val="00BF2611"/>
    <w:rsid w:val="00BF27B1"/>
    <w:rsid w:val="00BF2D3A"/>
    <w:rsid w:val="00BF3B53"/>
    <w:rsid w:val="00BF3D4B"/>
    <w:rsid w:val="00BF45C8"/>
    <w:rsid w:val="00BF46B6"/>
    <w:rsid w:val="00BF4729"/>
    <w:rsid w:val="00BF4E4E"/>
    <w:rsid w:val="00BF4FAE"/>
    <w:rsid w:val="00BF5024"/>
    <w:rsid w:val="00BF572D"/>
    <w:rsid w:val="00BF5CFA"/>
    <w:rsid w:val="00BF615D"/>
    <w:rsid w:val="00BF6186"/>
    <w:rsid w:val="00BF6A7C"/>
    <w:rsid w:val="00BF6CA5"/>
    <w:rsid w:val="00BF6CB8"/>
    <w:rsid w:val="00BF6EB1"/>
    <w:rsid w:val="00BF70D9"/>
    <w:rsid w:val="00BF7144"/>
    <w:rsid w:val="00BF7BB2"/>
    <w:rsid w:val="00BF7D49"/>
    <w:rsid w:val="00BF7FD1"/>
    <w:rsid w:val="00C007C6"/>
    <w:rsid w:val="00C00859"/>
    <w:rsid w:val="00C00C63"/>
    <w:rsid w:val="00C01250"/>
    <w:rsid w:val="00C01A39"/>
    <w:rsid w:val="00C0283A"/>
    <w:rsid w:val="00C034DF"/>
    <w:rsid w:val="00C036EE"/>
    <w:rsid w:val="00C03EC4"/>
    <w:rsid w:val="00C03FDC"/>
    <w:rsid w:val="00C04C5E"/>
    <w:rsid w:val="00C05DDA"/>
    <w:rsid w:val="00C05FBD"/>
    <w:rsid w:val="00C06A1D"/>
    <w:rsid w:val="00C06B3C"/>
    <w:rsid w:val="00C07301"/>
    <w:rsid w:val="00C07D17"/>
    <w:rsid w:val="00C07E33"/>
    <w:rsid w:val="00C100B2"/>
    <w:rsid w:val="00C1038B"/>
    <w:rsid w:val="00C103C0"/>
    <w:rsid w:val="00C103C3"/>
    <w:rsid w:val="00C10682"/>
    <w:rsid w:val="00C108DA"/>
    <w:rsid w:val="00C1122E"/>
    <w:rsid w:val="00C11830"/>
    <w:rsid w:val="00C11A8E"/>
    <w:rsid w:val="00C120C5"/>
    <w:rsid w:val="00C12255"/>
    <w:rsid w:val="00C122A4"/>
    <w:rsid w:val="00C1230D"/>
    <w:rsid w:val="00C12CE2"/>
    <w:rsid w:val="00C12E9C"/>
    <w:rsid w:val="00C13312"/>
    <w:rsid w:val="00C13C96"/>
    <w:rsid w:val="00C1447A"/>
    <w:rsid w:val="00C14481"/>
    <w:rsid w:val="00C14C9A"/>
    <w:rsid w:val="00C15636"/>
    <w:rsid w:val="00C158DF"/>
    <w:rsid w:val="00C16267"/>
    <w:rsid w:val="00C1654D"/>
    <w:rsid w:val="00C165D1"/>
    <w:rsid w:val="00C16A1D"/>
    <w:rsid w:val="00C17EAE"/>
    <w:rsid w:val="00C2058F"/>
    <w:rsid w:val="00C20AD9"/>
    <w:rsid w:val="00C20B9E"/>
    <w:rsid w:val="00C211C7"/>
    <w:rsid w:val="00C21A8D"/>
    <w:rsid w:val="00C21AC8"/>
    <w:rsid w:val="00C21F0C"/>
    <w:rsid w:val="00C22628"/>
    <w:rsid w:val="00C226D7"/>
    <w:rsid w:val="00C2274D"/>
    <w:rsid w:val="00C23069"/>
    <w:rsid w:val="00C23558"/>
    <w:rsid w:val="00C2398F"/>
    <w:rsid w:val="00C23BDD"/>
    <w:rsid w:val="00C23C82"/>
    <w:rsid w:val="00C24201"/>
    <w:rsid w:val="00C24346"/>
    <w:rsid w:val="00C24633"/>
    <w:rsid w:val="00C2495F"/>
    <w:rsid w:val="00C24BA8"/>
    <w:rsid w:val="00C2525C"/>
    <w:rsid w:val="00C258D9"/>
    <w:rsid w:val="00C25B6D"/>
    <w:rsid w:val="00C2664E"/>
    <w:rsid w:val="00C2678B"/>
    <w:rsid w:val="00C26934"/>
    <w:rsid w:val="00C26AE1"/>
    <w:rsid w:val="00C26E85"/>
    <w:rsid w:val="00C273F6"/>
    <w:rsid w:val="00C27900"/>
    <w:rsid w:val="00C27945"/>
    <w:rsid w:val="00C27CE1"/>
    <w:rsid w:val="00C27DD6"/>
    <w:rsid w:val="00C27E80"/>
    <w:rsid w:val="00C27FC6"/>
    <w:rsid w:val="00C3009C"/>
    <w:rsid w:val="00C303C9"/>
    <w:rsid w:val="00C309B5"/>
    <w:rsid w:val="00C309E4"/>
    <w:rsid w:val="00C30AD4"/>
    <w:rsid w:val="00C30CBE"/>
    <w:rsid w:val="00C315C0"/>
    <w:rsid w:val="00C321E3"/>
    <w:rsid w:val="00C33231"/>
    <w:rsid w:val="00C33530"/>
    <w:rsid w:val="00C335CF"/>
    <w:rsid w:val="00C33D2A"/>
    <w:rsid w:val="00C33E3F"/>
    <w:rsid w:val="00C343D0"/>
    <w:rsid w:val="00C34F79"/>
    <w:rsid w:val="00C34FFE"/>
    <w:rsid w:val="00C35027"/>
    <w:rsid w:val="00C353FC"/>
    <w:rsid w:val="00C354AD"/>
    <w:rsid w:val="00C35D36"/>
    <w:rsid w:val="00C35F4D"/>
    <w:rsid w:val="00C3615A"/>
    <w:rsid w:val="00C361CE"/>
    <w:rsid w:val="00C36284"/>
    <w:rsid w:val="00C366E7"/>
    <w:rsid w:val="00C367AC"/>
    <w:rsid w:val="00C36BE4"/>
    <w:rsid w:val="00C36C7D"/>
    <w:rsid w:val="00C37352"/>
    <w:rsid w:val="00C377F4"/>
    <w:rsid w:val="00C3797E"/>
    <w:rsid w:val="00C37B31"/>
    <w:rsid w:val="00C37D44"/>
    <w:rsid w:val="00C40592"/>
    <w:rsid w:val="00C407D8"/>
    <w:rsid w:val="00C409AF"/>
    <w:rsid w:val="00C4140F"/>
    <w:rsid w:val="00C414DD"/>
    <w:rsid w:val="00C416C7"/>
    <w:rsid w:val="00C41941"/>
    <w:rsid w:val="00C419BE"/>
    <w:rsid w:val="00C41BF2"/>
    <w:rsid w:val="00C421E6"/>
    <w:rsid w:val="00C4279F"/>
    <w:rsid w:val="00C42E4E"/>
    <w:rsid w:val="00C431C7"/>
    <w:rsid w:val="00C432B2"/>
    <w:rsid w:val="00C434E4"/>
    <w:rsid w:val="00C4362D"/>
    <w:rsid w:val="00C43C41"/>
    <w:rsid w:val="00C43D79"/>
    <w:rsid w:val="00C440D7"/>
    <w:rsid w:val="00C44BDD"/>
    <w:rsid w:val="00C46319"/>
    <w:rsid w:val="00C4647D"/>
    <w:rsid w:val="00C46639"/>
    <w:rsid w:val="00C46863"/>
    <w:rsid w:val="00C468F4"/>
    <w:rsid w:val="00C46BFE"/>
    <w:rsid w:val="00C47269"/>
    <w:rsid w:val="00C4797A"/>
    <w:rsid w:val="00C479E1"/>
    <w:rsid w:val="00C500B8"/>
    <w:rsid w:val="00C50127"/>
    <w:rsid w:val="00C50A56"/>
    <w:rsid w:val="00C51048"/>
    <w:rsid w:val="00C5149F"/>
    <w:rsid w:val="00C51509"/>
    <w:rsid w:val="00C52719"/>
    <w:rsid w:val="00C52AE5"/>
    <w:rsid w:val="00C52AFC"/>
    <w:rsid w:val="00C52B13"/>
    <w:rsid w:val="00C52BA7"/>
    <w:rsid w:val="00C52BAA"/>
    <w:rsid w:val="00C52D76"/>
    <w:rsid w:val="00C53819"/>
    <w:rsid w:val="00C5462B"/>
    <w:rsid w:val="00C54D07"/>
    <w:rsid w:val="00C551AB"/>
    <w:rsid w:val="00C55968"/>
    <w:rsid w:val="00C55ADF"/>
    <w:rsid w:val="00C560E5"/>
    <w:rsid w:val="00C562BA"/>
    <w:rsid w:val="00C565E0"/>
    <w:rsid w:val="00C567ED"/>
    <w:rsid w:val="00C5695B"/>
    <w:rsid w:val="00C569E1"/>
    <w:rsid w:val="00C56C20"/>
    <w:rsid w:val="00C5765F"/>
    <w:rsid w:val="00C57BC7"/>
    <w:rsid w:val="00C60F3E"/>
    <w:rsid w:val="00C61909"/>
    <w:rsid w:val="00C63620"/>
    <w:rsid w:val="00C63EF2"/>
    <w:rsid w:val="00C640A5"/>
    <w:rsid w:val="00C64B07"/>
    <w:rsid w:val="00C64E27"/>
    <w:rsid w:val="00C64F4A"/>
    <w:rsid w:val="00C65622"/>
    <w:rsid w:val="00C6576C"/>
    <w:rsid w:val="00C65B95"/>
    <w:rsid w:val="00C65F44"/>
    <w:rsid w:val="00C65FF3"/>
    <w:rsid w:val="00C661CA"/>
    <w:rsid w:val="00C6630C"/>
    <w:rsid w:val="00C66476"/>
    <w:rsid w:val="00C665F1"/>
    <w:rsid w:val="00C66D98"/>
    <w:rsid w:val="00C672D7"/>
    <w:rsid w:val="00C6759B"/>
    <w:rsid w:val="00C6765E"/>
    <w:rsid w:val="00C67837"/>
    <w:rsid w:val="00C702F7"/>
    <w:rsid w:val="00C704B3"/>
    <w:rsid w:val="00C704B4"/>
    <w:rsid w:val="00C70769"/>
    <w:rsid w:val="00C707FD"/>
    <w:rsid w:val="00C708ED"/>
    <w:rsid w:val="00C70DCC"/>
    <w:rsid w:val="00C70FA7"/>
    <w:rsid w:val="00C71840"/>
    <w:rsid w:val="00C71A0B"/>
    <w:rsid w:val="00C71D31"/>
    <w:rsid w:val="00C71F86"/>
    <w:rsid w:val="00C724A1"/>
    <w:rsid w:val="00C73631"/>
    <w:rsid w:val="00C73896"/>
    <w:rsid w:val="00C73D9E"/>
    <w:rsid w:val="00C73E82"/>
    <w:rsid w:val="00C7459D"/>
    <w:rsid w:val="00C74D54"/>
    <w:rsid w:val="00C74EBC"/>
    <w:rsid w:val="00C74FB4"/>
    <w:rsid w:val="00C7503E"/>
    <w:rsid w:val="00C75B46"/>
    <w:rsid w:val="00C76206"/>
    <w:rsid w:val="00C76725"/>
    <w:rsid w:val="00C76DE7"/>
    <w:rsid w:val="00C772F6"/>
    <w:rsid w:val="00C7784E"/>
    <w:rsid w:val="00C804B5"/>
    <w:rsid w:val="00C805F9"/>
    <w:rsid w:val="00C809DF"/>
    <w:rsid w:val="00C80AC9"/>
    <w:rsid w:val="00C80C6D"/>
    <w:rsid w:val="00C80D3E"/>
    <w:rsid w:val="00C80ED6"/>
    <w:rsid w:val="00C811A3"/>
    <w:rsid w:val="00C811F6"/>
    <w:rsid w:val="00C813ED"/>
    <w:rsid w:val="00C81A44"/>
    <w:rsid w:val="00C82312"/>
    <w:rsid w:val="00C82D5F"/>
    <w:rsid w:val="00C82FB0"/>
    <w:rsid w:val="00C831CC"/>
    <w:rsid w:val="00C831F0"/>
    <w:rsid w:val="00C835AB"/>
    <w:rsid w:val="00C83FA6"/>
    <w:rsid w:val="00C8472D"/>
    <w:rsid w:val="00C84B97"/>
    <w:rsid w:val="00C84CF0"/>
    <w:rsid w:val="00C84D0B"/>
    <w:rsid w:val="00C8520B"/>
    <w:rsid w:val="00C86000"/>
    <w:rsid w:val="00C86189"/>
    <w:rsid w:val="00C867A4"/>
    <w:rsid w:val="00C86F23"/>
    <w:rsid w:val="00C872A5"/>
    <w:rsid w:val="00C872AE"/>
    <w:rsid w:val="00C87347"/>
    <w:rsid w:val="00C87AE7"/>
    <w:rsid w:val="00C87C42"/>
    <w:rsid w:val="00C87F0C"/>
    <w:rsid w:val="00C90381"/>
    <w:rsid w:val="00C904B1"/>
    <w:rsid w:val="00C90563"/>
    <w:rsid w:val="00C909B7"/>
    <w:rsid w:val="00C913B8"/>
    <w:rsid w:val="00C92622"/>
    <w:rsid w:val="00C929AD"/>
    <w:rsid w:val="00C9331B"/>
    <w:rsid w:val="00C93AA7"/>
    <w:rsid w:val="00C93F96"/>
    <w:rsid w:val="00C941F9"/>
    <w:rsid w:val="00C94D81"/>
    <w:rsid w:val="00C95018"/>
    <w:rsid w:val="00C95500"/>
    <w:rsid w:val="00C95620"/>
    <w:rsid w:val="00C9583C"/>
    <w:rsid w:val="00C95CE5"/>
    <w:rsid w:val="00C960B6"/>
    <w:rsid w:val="00C9618A"/>
    <w:rsid w:val="00C968C2"/>
    <w:rsid w:val="00C96E60"/>
    <w:rsid w:val="00C977D6"/>
    <w:rsid w:val="00C978B6"/>
    <w:rsid w:val="00C97F6B"/>
    <w:rsid w:val="00CA0344"/>
    <w:rsid w:val="00CA0453"/>
    <w:rsid w:val="00CA05E7"/>
    <w:rsid w:val="00CA0EC4"/>
    <w:rsid w:val="00CA1628"/>
    <w:rsid w:val="00CA2393"/>
    <w:rsid w:val="00CA25AD"/>
    <w:rsid w:val="00CA27F4"/>
    <w:rsid w:val="00CA287D"/>
    <w:rsid w:val="00CA28F6"/>
    <w:rsid w:val="00CA29AE"/>
    <w:rsid w:val="00CA2FE5"/>
    <w:rsid w:val="00CA3272"/>
    <w:rsid w:val="00CA3476"/>
    <w:rsid w:val="00CA3727"/>
    <w:rsid w:val="00CA3988"/>
    <w:rsid w:val="00CA3E9A"/>
    <w:rsid w:val="00CA3F9E"/>
    <w:rsid w:val="00CA4979"/>
    <w:rsid w:val="00CA4C4E"/>
    <w:rsid w:val="00CA50E9"/>
    <w:rsid w:val="00CA5749"/>
    <w:rsid w:val="00CA5977"/>
    <w:rsid w:val="00CA5A76"/>
    <w:rsid w:val="00CA5A7A"/>
    <w:rsid w:val="00CA667D"/>
    <w:rsid w:val="00CA66DD"/>
    <w:rsid w:val="00CA6794"/>
    <w:rsid w:val="00CA7019"/>
    <w:rsid w:val="00CA763C"/>
    <w:rsid w:val="00CA77F5"/>
    <w:rsid w:val="00CA793E"/>
    <w:rsid w:val="00CB0490"/>
    <w:rsid w:val="00CB0B2C"/>
    <w:rsid w:val="00CB1CDD"/>
    <w:rsid w:val="00CB1D86"/>
    <w:rsid w:val="00CB1E98"/>
    <w:rsid w:val="00CB2474"/>
    <w:rsid w:val="00CB2478"/>
    <w:rsid w:val="00CB24F7"/>
    <w:rsid w:val="00CB2F75"/>
    <w:rsid w:val="00CB33F3"/>
    <w:rsid w:val="00CB39E3"/>
    <w:rsid w:val="00CB3D0E"/>
    <w:rsid w:val="00CB3E59"/>
    <w:rsid w:val="00CB461E"/>
    <w:rsid w:val="00CB466D"/>
    <w:rsid w:val="00CB4FCF"/>
    <w:rsid w:val="00CB5B4A"/>
    <w:rsid w:val="00CB5E5E"/>
    <w:rsid w:val="00CB604B"/>
    <w:rsid w:val="00CB63E0"/>
    <w:rsid w:val="00CB6869"/>
    <w:rsid w:val="00CB6AA6"/>
    <w:rsid w:val="00CB74DB"/>
    <w:rsid w:val="00CB7E1E"/>
    <w:rsid w:val="00CC00E3"/>
    <w:rsid w:val="00CC0289"/>
    <w:rsid w:val="00CC02F2"/>
    <w:rsid w:val="00CC0811"/>
    <w:rsid w:val="00CC0E00"/>
    <w:rsid w:val="00CC0F7C"/>
    <w:rsid w:val="00CC10C1"/>
    <w:rsid w:val="00CC1253"/>
    <w:rsid w:val="00CC13DD"/>
    <w:rsid w:val="00CC142E"/>
    <w:rsid w:val="00CC1E35"/>
    <w:rsid w:val="00CC214D"/>
    <w:rsid w:val="00CC26CF"/>
    <w:rsid w:val="00CC2858"/>
    <w:rsid w:val="00CC2CD7"/>
    <w:rsid w:val="00CC30A4"/>
    <w:rsid w:val="00CC318C"/>
    <w:rsid w:val="00CC3420"/>
    <w:rsid w:val="00CC3555"/>
    <w:rsid w:val="00CC3F86"/>
    <w:rsid w:val="00CC4522"/>
    <w:rsid w:val="00CC53A8"/>
    <w:rsid w:val="00CC5953"/>
    <w:rsid w:val="00CC6056"/>
    <w:rsid w:val="00CC611B"/>
    <w:rsid w:val="00CC611E"/>
    <w:rsid w:val="00CC61FE"/>
    <w:rsid w:val="00CC64E3"/>
    <w:rsid w:val="00CC66F3"/>
    <w:rsid w:val="00CC6818"/>
    <w:rsid w:val="00CC68CB"/>
    <w:rsid w:val="00CC69E6"/>
    <w:rsid w:val="00CC7164"/>
    <w:rsid w:val="00CC74E1"/>
    <w:rsid w:val="00CC7E16"/>
    <w:rsid w:val="00CD0263"/>
    <w:rsid w:val="00CD0808"/>
    <w:rsid w:val="00CD09F9"/>
    <w:rsid w:val="00CD0BAC"/>
    <w:rsid w:val="00CD0F81"/>
    <w:rsid w:val="00CD13C2"/>
    <w:rsid w:val="00CD1456"/>
    <w:rsid w:val="00CD1741"/>
    <w:rsid w:val="00CD1DFA"/>
    <w:rsid w:val="00CD2157"/>
    <w:rsid w:val="00CD264E"/>
    <w:rsid w:val="00CD2BA1"/>
    <w:rsid w:val="00CD3294"/>
    <w:rsid w:val="00CD3944"/>
    <w:rsid w:val="00CD3976"/>
    <w:rsid w:val="00CD39F8"/>
    <w:rsid w:val="00CD3CD7"/>
    <w:rsid w:val="00CD4276"/>
    <w:rsid w:val="00CD42A9"/>
    <w:rsid w:val="00CD533D"/>
    <w:rsid w:val="00CD549D"/>
    <w:rsid w:val="00CD55A3"/>
    <w:rsid w:val="00CD59DF"/>
    <w:rsid w:val="00CD5C48"/>
    <w:rsid w:val="00CD5EBB"/>
    <w:rsid w:val="00CD5FC8"/>
    <w:rsid w:val="00CD67DB"/>
    <w:rsid w:val="00CD6811"/>
    <w:rsid w:val="00CD6F23"/>
    <w:rsid w:val="00CD705B"/>
    <w:rsid w:val="00CD71FA"/>
    <w:rsid w:val="00CD78A0"/>
    <w:rsid w:val="00CD78A9"/>
    <w:rsid w:val="00CE0238"/>
    <w:rsid w:val="00CE092E"/>
    <w:rsid w:val="00CE0A47"/>
    <w:rsid w:val="00CE0B97"/>
    <w:rsid w:val="00CE0FA4"/>
    <w:rsid w:val="00CE1915"/>
    <w:rsid w:val="00CE22C8"/>
    <w:rsid w:val="00CE22D3"/>
    <w:rsid w:val="00CE2DBD"/>
    <w:rsid w:val="00CE3206"/>
    <w:rsid w:val="00CE327D"/>
    <w:rsid w:val="00CE3318"/>
    <w:rsid w:val="00CE3325"/>
    <w:rsid w:val="00CE33A2"/>
    <w:rsid w:val="00CE388F"/>
    <w:rsid w:val="00CE3D3D"/>
    <w:rsid w:val="00CE40D9"/>
    <w:rsid w:val="00CE4111"/>
    <w:rsid w:val="00CE4947"/>
    <w:rsid w:val="00CE511B"/>
    <w:rsid w:val="00CE5690"/>
    <w:rsid w:val="00CE5B6F"/>
    <w:rsid w:val="00CE5D5A"/>
    <w:rsid w:val="00CE5E1F"/>
    <w:rsid w:val="00CE5F9D"/>
    <w:rsid w:val="00CE6209"/>
    <w:rsid w:val="00CE7F48"/>
    <w:rsid w:val="00CF02A2"/>
    <w:rsid w:val="00CF0995"/>
    <w:rsid w:val="00CF15D4"/>
    <w:rsid w:val="00CF1814"/>
    <w:rsid w:val="00CF18B4"/>
    <w:rsid w:val="00CF18C8"/>
    <w:rsid w:val="00CF1900"/>
    <w:rsid w:val="00CF19DB"/>
    <w:rsid w:val="00CF20B1"/>
    <w:rsid w:val="00CF33B4"/>
    <w:rsid w:val="00CF3619"/>
    <w:rsid w:val="00CF38CC"/>
    <w:rsid w:val="00CF3A09"/>
    <w:rsid w:val="00CF3A31"/>
    <w:rsid w:val="00CF3A45"/>
    <w:rsid w:val="00CF3C51"/>
    <w:rsid w:val="00CF4122"/>
    <w:rsid w:val="00CF4194"/>
    <w:rsid w:val="00CF4281"/>
    <w:rsid w:val="00CF4A34"/>
    <w:rsid w:val="00CF4D6A"/>
    <w:rsid w:val="00CF53B5"/>
    <w:rsid w:val="00CF60CD"/>
    <w:rsid w:val="00CF60E4"/>
    <w:rsid w:val="00CF6135"/>
    <w:rsid w:val="00CF69A4"/>
    <w:rsid w:val="00CF6BA1"/>
    <w:rsid w:val="00CF769A"/>
    <w:rsid w:val="00CF7ADE"/>
    <w:rsid w:val="00CF7FA6"/>
    <w:rsid w:val="00D00201"/>
    <w:rsid w:val="00D00326"/>
    <w:rsid w:val="00D00853"/>
    <w:rsid w:val="00D01226"/>
    <w:rsid w:val="00D0153F"/>
    <w:rsid w:val="00D01C83"/>
    <w:rsid w:val="00D01CBB"/>
    <w:rsid w:val="00D01DA8"/>
    <w:rsid w:val="00D023D0"/>
    <w:rsid w:val="00D02668"/>
    <w:rsid w:val="00D028DD"/>
    <w:rsid w:val="00D02B50"/>
    <w:rsid w:val="00D03478"/>
    <w:rsid w:val="00D03686"/>
    <w:rsid w:val="00D039A2"/>
    <w:rsid w:val="00D03C69"/>
    <w:rsid w:val="00D03DB1"/>
    <w:rsid w:val="00D042AF"/>
    <w:rsid w:val="00D0438B"/>
    <w:rsid w:val="00D04492"/>
    <w:rsid w:val="00D04CBF"/>
    <w:rsid w:val="00D05355"/>
    <w:rsid w:val="00D053D7"/>
    <w:rsid w:val="00D05EDF"/>
    <w:rsid w:val="00D0601D"/>
    <w:rsid w:val="00D06030"/>
    <w:rsid w:val="00D065F3"/>
    <w:rsid w:val="00D06605"/>
    <w:rsid w:val="00D06AAB"/>
    <w:rsid w:val="00D06BAA"/>
    <w:rsid w:val="00D07207"/>
    <w:rsid w:val="00D0755C"/>
    <w:rsid w:val="00D07AFF"/>
    <w:rsid w:val="00D07CD8"/>
    <w:rsid w:val="00D07D57"/>
    <w:rsid w:val="00D07FF8"/>
    <w:rsid w:val="00D10BD7"/>
    <w:rsid w:val="00D113E6"/>
    <w:rsid w:val="00D116A4"/>
    <w:rsid w:val="00D1174D"/>
    <w:rsid w:val="00D11C4C"/>
    <w:rsid w:val="00D11CAA"/>
    <w:rsid w:val="00D11E60"/>
    <w:rsid w:val="00D11EEF"/>
    <w:rsid w:val="00D12AD4"/>
    <w:rsid w:val="00D12ADD"/>
    <w:rsid w:val="00D12D6E"/>
    <w:rsid w:val="00D12ED3"/>
    <w:rsid w:val="00D13135"/>
    <w:rsid w:val="00D13731"/>
    <w:rsid w:val="00D13752"/>
    <w:rsid w:val="00D13F99"/>
    <w:rsid w:val="00D14765"/>
    <w:rsid w:val="00D147EE"/>
    <w:rsid w:val="00D148F5"/>
    <w:rsid w:val="00D14ABF"/>
    <w:rsid w:val="00D1553B"/>
    <w:rsid w:val="00D15D8E"/>
    <w:rsid w:val="00D15EB3"/>
    <w:rsid w:val="00D1658B"/>
    <w:rsid w:val="00D1672C"/>
    <w:rsid w:val="00D17215"/>
    <w:rsid w:val="00D177B2"/>
    <w:rsid w:val="00D17C6F"/>
    <w:rsid w:val="00D20361"/>
    <w:rsid w:val="00D20E8E"/>
    <w:rsid w:val="00D21AA0"/>
    <w:rsid w:val="00D21CEE"/>
    <w:rsid w:val="00D21E42"/>
    <w:rsid w:val="00D220F2"/>
    <w:rsid w:val="00D223F1"/>
    <w:rsid w:val="00D22524"/>
    <w:rsid w:val="00D2284C"/>
    <w:rsid w:val="00D229CA"/>
    <w:rsid w:val="00D22F9F"/>
    <w:rsid w:val="00D233C7"/>
    <w:rsid w:val="00D2348A"/>
    <w:rsid w:val="00D23724"/>
    <w:rsid w:val="00D23A8B"/>
    <w:rsid w:val="00D23FE7"/>
    <w:rsid w:val="00D24047"/>
    <w:rsid w:val="00D2404D"/>
    <w:rsid w:val="00D243E3"/>
    <w:rsid w:val="00D24586"/>
    <w:rsid w:val="00D24BA7"/>
    <w:rsid w:val="00D24BDC"/>
    <w:rsid w:val="00D24C0F"/>
    <w:rsid w:val="00D25393"/>
    <w:rsid w:val="00D256B5"/>
    <w:rsid w:val="00D257F8"/>
    <w:rsid w:val="00D25985"/>
    <w:rsid w:val="00D26075"/>
    <w:rsid w:val="00D26CC6"/>
    <w:rsid w:val="00D26CCA"/>
    <w:rsid w:val="00D26D33"/>
    <w:rsid w:val="00D26DBC"/>
    <w:rsid w:val="00D26E3C"/>
    <w:rsid w:val="00D27B7C"/>
    <w:rsid w:val="00D27DFD"/>
    <w:rsid w:val="00D30BCC"/>
    <w:rsid w:val="00D30E37"/>
    <w:rsid w:val="00D30EB0"/>
    <w:rsid w:val="00D31698"/>
    <w:rsid w:val="00D31964"/>
    <w:rsid w:val="00D32195"/>
    <w:rsid w:val="00D32457"/>
    <w:rsid w:val="00D32D2F"/>
    <w:rsid w:val="00D33055"/>
    <w:rsid w:val="00D34193"/>
    <w:rsid w:val="00D345C8"/>
    <w:rsid w:val="00D34EA7"/>
    <w:rsid w:val="00D35268"/>
    <w:rsid w:val="00D358C0"/>
    <w:rsid w:val="00D35B00"/>
    <w:rsid w:val="00D3638D"/>
    <w:rsid w:val="00D363B8"/>
    <w:rsid w:val="00D364D1"/>
    <w:rsid w:val="00D36E6A"/>
    <w:rsid w:val="00D37617"/>
    <w:rsid w:val="00D37921"/>
    <w:rsid w:val="00D37B5B"/>
    <w:rsid w:val="00D37BE6"/>
    <w:rsid w:val="00D400FC"/>
    <w:rsid w:val="00D401BC"/>
    <w:rsid w:val="00D402F7"/>
    <w:rsid w:val="00D40662"/>
    <w:rsid w:val="00D40D57"/>
    <w:rsid w:val="00D40FB6"/>
    <w:rsid w:val="00D41861"/>
    <w:rsid w:val="00D4187D"/>
    <w:rsid w:val="00D41A71"/>
    <w:rsid w:val="00D41ED9"/>
    <w:rsid w:val="00D42E32"/>
    <w:rsid w:val="00D43345"/>
    <w:rsid w:val="00D4382B"/>
    <w:rsid w:val="00D43860"/>
    <w:rsid w:val="00D43E01"/>
    <w:rsid w:val="00D43F7B"/>
    <w:rsid w:val="00D4471F"/>
    <w:rsid w:val="00D44981"/>
    <w:rsid w:val="00D4535C"/>
    <w:rsid w:val="00D45E3F"/>
    <w:rsid w:val="00D469C1"/>
    <w:rsid w:val="00D479AE"/>
    <w:rsid w:val="00D47D6C"/>
    <w:rsid w:val="00D50399"/>
    <w:rsid w:val="00D5080B"/>
    <w:rsid w:val="00D50E20"/>
    <w:rsid w:val="00D51245"/>
    <w:rsid w:val="00D5175E"/>
    <w:rsid w:val="00D51BEB"/>
    <w:rsid w:val="00D51E98"/>
    <w:rsid w:val="00D52198"/>
    <w:rsid w:val="00D527DB"/>
    <w:rsid w:val="00D53761"/>
    <w:rsid w:val="00D53C48"/>
    <w:rsid w:val="00D53E21"/>
    <w:rsid w:val="00D53E65"/>
    <w:rsid w:val="00D543B3"/>
    <w:rsid w:val="00D549F2"/>
    <w:rsid w:val="00D54B66"/>
    <w:rsid w:val="00D54F53"/>
    <w:rsid w:val="00D55094"/>
    <w:rsid w:val="00D55172"/>
    <w:rsid w:val="00D551D8"/>
    <w:rsid w:val="00D554EB"/>
    <w:rsid w:val="00D55529"/>
    <w:rsid w:val="00D555A2"/>
    <w:rsid w:val="00D55647"/>
    <w:rsid w:val="00D558F1"/>
    <w:rsid w:val="00D55971"/>
    <w:rsid w:val="00D56E87"/>
    <w:rsid w:val="00D57294"/>
    <w:rsid w:val="00D57448"/>
    <w:rsid w:val="00D57569"/>
    <w:rsid w:val="00D577D2"/>
    <w:rsid w:val="00D57971"/>
    <w:rsid w:val="00D57ECC"/>
    <w:rsid w:val="00D57F34"/>
    <w:rsid w:val="00D60A57"/>
    <w:rsid w:val="00D60C18"/>
    <w:rsid w:val="00D6104D"/>
    <w:rsid w:val="00D61126"/>
    <w:rsid w:val="00D626DF"/>
    <w:rsid w:val="00D62ABD"/>
    <w:rsid w:val="00D630F2"/>
    <w:rsid w:val="00D6332B"/>
    <w:rsid w:val="00D63992"/>
    <w:rsid w:val="00D64097"/>
    <w:rsid w:val="00D644FC"/>
    <w:rsid w:val="00D64CE7"/>
    <w:rsid w:val="00D64ED9"/>
    <w:rsid w:val="00D65198"/>
    <w:rsid w:val="00D652E9"/>
    <w:rsid w:val="00D6579E"/>
    <w:rsid w:val="00D65EAF"/>
    <w:rsid w:val="00D66276"/>
    <w:rsid w:val="00D66624"/>
    <w:rsid w:val="00D66B34"/>
    <w:rsid w:val="00D670CD"/>
    <w:rsid w:val="00D675DE"/>
    <w:rsid w:val="00D679E7"/>
    <w:rsid w:val="00D70394"/>
    <w:rsid w:val="00D703D8"/>
    <w:rsid w:val="00D70F3E"/>
    <w:rsid w:val="00D70F6E"/>
    <w:rsid w:val="00D71308"/>
    <w:rsid w:val="00D7159D"/>
    <w:rsid w:val="00D7175C"/>
    <w:rsid w:val="00D7196C"/>
    <w:rsid w:val="00D71ADA"/>
    <w:rsid w:val="00D71C3F"/>
    <w:rsid w:val="00D7222C"/>
    <w:rsid w:val="00D730FF"/>
    <w:rsid w:val="00D7321A"/>
    <w:rsid w:val="00D73288"/>
    <w:rsid w:val="00D73628"/>
    <w:rsid w:val="00D73A15"/>
    <w:rsid w:val="00D73AEA"/>
    <w:rsid w:val="00D73B00"/>
    <w:rsid w:val="00D73D21"/>
    <w:rsid w:val="00D73E45"/>
    <w:rsid w:val="00D7420C"/>
    <w:rsid w:val="00D74820"/>
    <w:rsid w:val="00D74B94"/>
    <w:rsid w:val="00D75607"/>
    <w:rsid w:val="00D76083"/>
    <w:rsid w:val="00D7616A"/>
    <w:rsid w:val="00D76274"/>
    <w:rsid w:val="00D76659"/>
    <w:rsid w:val="00D77105"/>
    <w:rsid w:val="00D773C9"/>
    <w:rsid w:val="00D77469"/>
    <w:rsid w:val="00D775E6"/>
    <w:rsid w:val="00D77695"/>
    <w:rsid w:val="00D803FD"/>
    <w:rsid w:val="00D81076"/>
    <w:rsid w:val="00D8163F"/>
    <w:rsid w:val="00D81B4F"/>
    <w:rsid w:val="00D820BE"/>
    <w:rsid w:val="00D82161"/>
    <w:rsid w:val="00D8232F"/>
    <w:rsid w:val="00D82639"/>
    <w:rsid w:val="00D82955"/>
    <w:rsid w:val="00D82DAA"/>
    <w:rsid w:val="00D83949"/>
    <w:rsid w:val="00D842B9"/>
    <w:rsid w:val="00D84913"/>
    <w:rsid w:val="00D851C5"/>
    <w:rsid w:val="00D851F8"/>
    <w:rsid w:val="00D85C15"/>
    <w:rsid w:val="00D8625B"/>
    <w:rsid w:val="00D867D7"/>
    <w:rsid w:val="00D868B8"/>
    <w:rsid w:val="00D86C14"/>
    <w:rsid w:val="00D86CF8"/>
    <w:rsid w:val="00D86D46"/>
    <w:rsid w:val="00D87572"/>
    <w:rsid w:val="00D87AB2"/>
    <w:rsid w:val="00D90537"/>
    <w:rsid w:val="00D90664"/>
    <w:rsid w:val="00D90807"/>
    <w:rsid w:val="00D9080F"/>
    <w:rsid w:val="00D90A30"/>
    <w:rsid w:val="00D90AC5"/>
    <w:rsid w:val="00D915D1"/>
    <w:rsid w:val="00D918E7"/>
    <w:rsid w:val="00D91905"/>
    <w:rsid w:val="00D91D48"/>
    <w:rsid w:val="00D91ECD"/>
    <w:rsid w:val="00D923AB"/>
    <w:rsid w:val="00D9252C"/>
    <w:rsid w:val="00D9302D"/>
    <w:rsid w:val="00D93178"/>
    <w:rsid w:val="00D93844"/>
    <w:rsid w:val="00D93AE2"/>
    <w:rsid w:val="00D9441B"/>
    <w:rsid w:val="00D94757"/>
    <w:rsid w:val="00D94791"/>
    <w:rsid w:val="00D94806"/>
    <w:rsid w:val="00D94F66"/>
    <w:rsid w:val="00D94FE0"/>
    <w:rsid w:val="00D95558"/>
    <w:rsid w:val="00D9583B"/>
    <w:rsid w:val="00D95EA0"/>
    <w:rsid w:val="00D95FE7"/>
    <w:rsid w:val="00D9652F"/>
    <w:rsid w:val="00D9689F"/>
    <w:rsid w:val="00D96C45"/>
    <w:rsid w:val="00D976AA"/>
    <w:rsid w:val="00D97A8D"/>
    <w:rsid w:val="00D97EE0"/>
    <w:rsid w:val="00DA0169"/>
    <w:rsid w:val="00DA035B"/>
    <w:rsid w:val="00DA079A"/>
    <w:rsid w:val="00DA09FE"/>
    <w:rsid w:val="00DA0AFE"/>
    <w:rsid w:val="00DA0B08"/>
    <w:rsid w:val="00DA154B"/>
    <w:rsid w:val="00DA1BC8"/>
    <w:rsid w:val="00DA1C5A"/>
    <w:rsid w:val="00DA1DF1"/>
    <w:rsid w:val="00DA20AB"/>
    <w:rsid w:val="00DA255C"/>
    <w:rsid w:val="00DA2710"/>
    <w:rsid w:val="00DA27B2"/>
    <w:rsid w:val="00DA2B23"/>
    <w:rsid w:val="00DA303D"/>
    <w:rsid w:val="00DA3898"/>
    <w:rsid w:val="00DA391A"/>
    <w:rsid w:val="00DA3ED6"/>
    <w:rsid w:val="00DA406E"/>
    <w:rsid w:val="00DA42C3"/>
    <w:rsid w:val="00DA4316"/>
    <w:rsid w:val="00DA4369"/>
    <w:rsid w:val="00DA43B7"/>
    <w:rsid w:val="00DA496F"/>
    <w:rsid w:val="00DA4B9A"/>
    <w:rsid w:val="00DA4DD4"/>
    <w:rsid w:val="00DA50AB"/>
    <w:rsid w:val="00DA5F8F"/>
    <w:rsid w:val="00DA5FD4"/>
    <w:rsid w:val="00DA6307"/>
    <w:rsid w:val="00DA6BE4"/>
    <w:rsid w:val="00DA6E16"/>
    <w:rsid w:val="00DA6E53"/>
    <w:rsid w:val="00DA76A7"/>
    <w:rsid w:val="00DB0041"/>
    <w:rsid w:val="00DB08C0"/>
    <w:rsid w:val="00DB0FBB"/>
    <w:rsid w:val="00DB15BA"/>
    <w:rsid w:val="00DB2364"/>
    <w:rsid w:val="00DB284A"/>
    <w:rsid w:val="00DB288C"/>
    <w:rsid w:val="00DB2ACD"/>
    <w:rsid w:val="00DB35C7"/>
    <w:rsid w:val="00DB3E85"/>
    <w:rsid w:val="00DB4371"/>
    <w:rsid w:val="00DB43EC"/>
    <w:rsid w:val="00DB4BC6"/>
    <w:rsid w:val="00DB4C56"/>
    <w:rsid w:val="00DB5D3B"/>
    <w:rsid w:val="00DB5DC4"/>
    <w:rsid w:val="00DB68C9"/>
    <w:rsid w:val="00DB7547"/>
    <w:rsid w:val="00DB7818"/>
    <w:rsid w:val="00DC0514"/>
    <w:rsid w:val="00DC0555"/>
    <w:rsid w:val="00DC093F"/>
    <w:rsid w:val="00DC0B10"/>
    <w:rsid w:val="00DC1270"/>
    <w:rsid w:val="00DC1A0F"/>
    <w:rsid w:val="00DC1A5F"/>
    <w:rsid w:val="00DC1B33"/>
    <w:rsid w:val="00DC1D29"/>
    <w:rsid w:val="00DC1EF4"/>
    <w:rsid w:val="00DC23A5"/>
    <w:rsid w:val="00DC271E"/>
    <w:rsid w:val="00DC2802"/>
    <w:rsid w:val="00DC2C60"/>
    <w:rsid w:val="00DC2F56"/>
    <w:rsid w:val="00DC3B93"/>
    <w:rsid w:val="00DC417B"/>
    <w:rsid w:val="00DC54C2"/>
    <w:rsid w:val="00DC5667"/>
    <w:rsid w:val="00DC56C4"/>
    <w:rsid w:val="00DC5D79"/>
    <w:rsid w:val="00DC678F"/>
    <w:rsid w:val="00DC6801"/>
    <w:rsid w:val="00DC6AA8"/>
    <w:rsid w:val="00DC6E08"/>
    <w:rsid w:val="00DC724A"/>
    <w:rsid w:val="00DC7373"/>
    <w:rsid w:val="00DC769F"/>
    <w:rsid w:val="00DD0699"/>
    <w:rsid w:val="00DD077A"/>
    <w:rsid w:val="00DD14A5"/>
    <w:rsid w:val="00DD1B3A"/>
    <w:rsid w:val="00DD1BEC"/>
    <w:rsid w:val="00DD2089"/>
    <w:rsid w:val="00DD22FD"/>
    <w:rsid w:val="00DD2549"/>
    <w:rsid w:val="00DD26EB"/>
    <w:rsid w:val="00DD273E"/>
    <w:rsid w:val="00DD2899"/>
    <w:rsid w:val="00DD2F61"/>
    <w:rsid w:val="00DD3424"/>
    <w:rsid w:val="00DD3AA1"/>
    <w:rsid w:val="00DD3B66"/>
    <w:rsid w:val="00DD3DE4"/>
    <w:rsid w:val="00DD4C25"/>
    <w:rsid w:val="00DD529E"/>
    <w:rsid w:val="00DD55A5"/>
    <w:rsid w:val="00DD6688"/>
    <w:rsid w:val="00DD6C94"/>
    <w:rsid w:val="00DD6DF2"/>
    <w:rsid w:val="00DD6EB3"/>
    <w:rsid w:val="00DD6EE3"/>
    <w:rsid w:val="00DD7142"/>
    <w:rsid w:val="00DD7176"/>
    <w:rsid w:val="00DD7449"/>
    <w:rsid w:val="00DD7807"/>
    <w:rsid w:val="00DD7AC3"/>
    <w:rsid w:val="00DD7AD0"/>
    <w:rsid w:val="00DD7C71"/>
    <w:rsid w:val="00DD7E91"/>
    <w:rsid w:val="00DE0387"/>
    <w:rsid w:val="00DE0480"/>
    <w:rsid w:val="00DE04EE"/>
    <w:rsid w:val="00DE074E"/>
    <w:rsid w:val="00DE08E6"/>
    <w:rsid w:val="00DE0A89"/>
    <w:rsid w:val="00DE1479"/>
    <w:rsid w:val="00DE1719"/>
    <w:rsid w:val="00DE18F4"/>
    <w:rsid w:val="00DE1A68"/>
    <w:rsid w:val="00DE3462"/>
    <w:rsid w:val="00DE36DA"/>
    <w:rsid w:val="00DE3AC4"/>
    <w:rsid w:val="00DE40E5"/>
    <w:rsid w:val="00DE457D"/>
    <w:rsid w:val="00DE47BC"/>
    <w:rsid w:val="00DE4807"/>
    <w:rsid w:val="00DE5B5C"/>
    <w:rsid w:val="00DE5E63"/>
    <w:rsid w:val="00DE616B"/>
    <w:rsid w:val="00DE6599"/>
    <w:rsid w:val="00DE6798"/>
    <w:rsid w:val="00DE7852"/>
    <w:rsid w:val="00DE7C44"/>
    <w:rsid w:val="00DF04F8"/>
    <w:rsid w:val="00DF105F"/>
    <w:rsid w:val="00DF1213"/>
    <w:rsid w:val="00DF1522"/>
    <w:rsid w:val="00DF16AF"/>
    <w:rsid w:val="00DF1905"/>
    <w:rsid w:val="00DF199E"/>
    <w:rsid w:val="00DF1AD7"/>
    <w:rsid w:val="00DF1BFE"/>
    <w:rsid w:val="00DF1F81"/>
    <w:rsid w:val="00DF205D"/>
    <w:rsid w:val="00DF27BD"/>
    <w:rsid w:val="00DF27ED"/>
    <w:rsid w:val="00DF2A77"/>
    <w:rsid w:val="00DF30F2"/>
    <w:rsid w:val="00DF3122"/>
    <w:rsid w:val="00DF3593"/>
    <w:rsid w:val="00DF35BF"/>
    <w:rsid w:val="00DF36BE"/>
    <w:rsid w:val="00DF3953"/>
    <w:rsid w:val="00DF3BDF"/>
    <w:rsid w:val="00DF3F77"/>
    <w:rsid w:val="00DF3F79"/>
    <w:rsid w:val="00DF4443"/>
    <w:rsid w:val="00DF4A89"/>
    <w:rsid w:val="00DF4CFA"/>
    <w:rsid w:val="00DF6104"/>
    <w:rsid w:val="00DF6A50"/>
    <w:rsid w:val="00DF6E83"/>
    <w:rsid w:val="00DF7346"/>
    <w:rsid w:val="00DF7410"/>
    <w:rsid w:val="00DF7FE1"/>
    <w:rsid w:val="00E005AE"/>
    <w:rsid w:val="00E0089E"/>
    <w:rsid w:val="00E00A0B"/>
    <w:rsid w:val="00E01025"/>
    <w:rsid w:val="00E01050"/>
    <w:rsid w:val="00E012DF"/>
    <w:rsid w:val="00E015A1"/>
    <w:rsid w:val="00E01760"/>
    <w:rsid w:val="00E01A89"/>
    <w:rsid w:val="00E01CBE"/>
    <w:rsid w:val="00E01F1B"/>
    <w:rsid w:val="00E02514"/>
    <w:rsid w:val="00E02636"/>
    <w:rsid w:val="00E02AD6"/>
    <w:rsid w:val="00E02B92"/>
    <w:rsid w:val="00E02D85"/>
    <w:rsid w:val="00E03B92"/>
    <w:rsid w:val="00E04029"/>
    <w:rsid w:val="00E04090"/>
    <w:rsid w:val="00E0424A"/>
    <w:rsid w:val="00E04C6E"/>
    <w:rsid w:val="00E04CA4"/>
    <w:rsid w:val="00E04EEF"/>
    <w:rsid w:val="00E05090"/>
    <w:rsid w:val="00E0509D"/>
    <w:rsid w:val="00E056CD"/>
    <w:rsid w:val="00E058C5"/>
    <w:rsid w:val="00E05922"/>
    <w:rsid w:val="00E059FB"/>
    <w:rsid w:val="00E0635A"/>
    <w:rsid w:val="00E063C7"/>
    <w:rsid w:val="00E067DB"/>
    <w:rsid w:val="00E06AD3"/>
    <w:rsid w:val="00E06E62"/>
    <w:rsid w:val="00E0718D"/>
    <w:rsid w:val="00E07508"/>
    <w:rsid w:val="00E076C2"/>
    <w:rsid w:val="00E101A5"/>
    <w:rsid w:val="00E104D1"/>
    <w:rsid w:val="00E1050C"/>
    <w:rsid w:val="00E10523"/>
    <w:rsid w:val="00E10F5C"/>
    <w:rsid w:val="00E11481"/>
    <w:rsid w:val="00E120E3"/>
    <w:rsid w:val="00E125F6"/>
    <w:rsid w:val="00E12969"/>
    <w:rsid w:val="00E12C8B"/>
    <w:rsid w:val="00E12E56"/>
    <w:rsid w:val="00E12F41"/>
    <w:rsid w:val="00E1309D"/>
    <w:rsid w:val="00E130A4"/>
    <w:rsid w:val="00E13142"/>
    <w:rsid w:val="00E136C6"/>
    <w:rsid w:val="00E13B39"/>
    <w:rsid w:val="00E13DC4"/>
    <w:rsid w:val="00E142A6"/>
    <w:rsid w:val="00E14405"/>
    <w:rsid w:val="00E146AD"/>
    <w:rsid w:val="00E14F49"/>
    <w:rsid w:val="00E159C1"/>
    <w:rsid w:val="00E15A32"/>
    <w:rsid w:val="00E15DD3"/>
    <w:rsid w:val="00E1643A"/>
    <w:rsid w:val="00E169C1"/>
    <w:rsid w:val="00E16AA9"/>
    <w:rsid w:val="00E16F65"/>
    <w:rsid w:val="00E17043"/>
    <w:rsid w:val="00E177E1"/>
    <w:rsid w:val="00E179D9"/>
    <w:rsid w:val="00E1D8D7"/>
    <w:rsid w:val="00E20923"/>
    <w:rsid w:val="00E2115D"/>
    <w:rsid w:val="00E217FC"/>
    <w:rsid w:val="00E22989"/>
    <w:rsid w:val="00E2299D"/>
    <w:rsid w:val="00E229C5"/>
    <w:rsid w:val="00E22C74"/>
    <w:rsid w:val="00E22DD2"/>
    <w:rsid w:val="00E231AC"/>
    <w:rsid w:val="00E237E1"/>
    <w:rsid w:val="00E2385E"/>
    <w:rsid w:val="00E23971"/>
    <w:rsid w:val="00E23B8F"/>
    <w:rsid w:val="00E23E4E"/>
    <w:rsid w:val="00E242B0"/>
    <w:rsid w:val="00E249C9"/>
    <w:rsid w:val="00E24CC0"/>
    <w:rsid w:val="00E24F51"/>
    <w:rsid w:val="00E2508B"/>
    <w:rsid w:val="00E25215"/>
    <w:rsid w:val="00E2569F"/>
    <w:rsid w:val="00E259A7"/>
    <w:rsid w:val="00E25C67"/>
    <w:rsid w:val="00E261CB"/>
    <w:rsid w:val="00E2625F"/>
    <w:rsid w:val="00E2636D"/>
    <w:rsid w:val="00E266C8"/>
    <w:rsid w:val="00E266DA"/>
    <w:rsid w:val="00E26A97"/>
    <w:rsid w:val="00E27161"/>
    <w:rsid w:val="00E27332"/>
    <w:rsid w:val="00E27581"/>
    <w:rsid w:val="00E278E2"/>
    <w:rsid w:val="00E27D26"/>
    <w:rsid w:val="00E3032D"/>
    <w:rsid w:val="00E30B80"/>
    <w:rsid w:val="00E30C22"/>
    <w:rsid w:val="00E30E46"/>
    <w:rsid w:val="00E312E1"/>
    <w:rsid w:val="00E31D5B"/>
    <w:rsid w:val="00E31F5F"/>
    <w:rsid w:val="00E3242D"/>
    <w:rsid w:val="00E3292B"/>
    <w:rsid w:val="00E32A93"/>
    <w:rsid w:val="00E32D3F"/>
    <w:rsid w:val="00E32DB4"/>
    <w:rsid w:val="00E34977"/>
    <w:rsid w:val="00E34E1E"/>
    <w:rsid w:val="00E3526D"/>
    <w:rsid w:val="00E35410"/>
    <w:rsid w:val="00E355ED"/>
    <w:rsid w:val="00E35A1A"/>
    <w:rsid w:val="00E35BC8"/>
    <w:rsid w:val="00E35BD8"/>
    <w:rsid w:val="00E35CDB"/>
    <w:rsid w:val="00E36104"/>
    <w:rsid w:val="00E3650D"/>
    <w:rsid w:val="00E367D0"/>
    <w:rsid w:val="00E368E6"/>
    <w:rsid w:val="00E36AB7"/>
    <w:rsid w:val="00E3724B"/>
    <w:rsid w:val="00E374BA"/>
    <w:rsid w:val="00E377E2"/>
    <w:rsid w:val="00E37842"/>
    <w:rsid w:val="00E378D8"/>
    <w:rsid w:val="00E401B9"/>
    <w:rsid w:val="00E402C5"/>
    <w:rsid w:val="00E403A3"/>
    <w:rsid w:val="00E407E4"/>
    <w:rsid w:val="00E4080D"/>
    <w:rsid w:val="00E40D41"/>
    <w:rsid w:val="00E40DE6"/>
    <w:rsid w:val="00E4102B"/>
    <w:rsid w:val="00E41165"/>
    <w:rsid w:val="00E4118B"/>
    <w:rsid w:val="00E41219"/>
    <w:rsid w:val="00E413FF"/>
    <w:rsid w:val="00E41557"/>
    <w:rsid w:val="00E41E25"/>
    <w:rsid w:val="00E41F3A"/>
    <w:rsid w:val="00E42527"/>
    <w:rsid w:val="00E426D9"/>
    <w:rsid w:val="00E42952"/>
    <w:rsid w:val="00E42DF4"/>
    <w:rsid w:val="00E43429"/>
    <w:rsid w:val="00E437FD"/>
    <w:rsid w:val="00E43810"/>
    <w:rsid w:val="00E43B35"/>
    <w:rsid w:val="00E43E60"/>
    <w:rsid w:val="00E43EDC"/>
    <w:rsid w:val="00E4433B"/>
    <w:rsid w:val="00E443D2"/>
    <w:rsid w:val="00E44749"/>
    <w:rsid w:val="00E44B45"/>
    <w:rsid w:val="00E45020"/>
    <w:rsid w:val="00E45133"/>
    <w:rsid w:val="00E45B1D"/>
    <w:rsid w:val="00E4669B"/>
    <w:rsid w:val="00E46C5B"/>
    <w:rsid w:val="00E46D98"/>
    <w:rsid w:val="00E4746B"/>
    <w:rsid w:val="00E474FA"/>
    <w:rsid w:val="00E4763A"/>
    <w:rsid w:val="00E47784"/>
    <w:rsid w:val="00E47793"/>
    <w:rsid w:val="00E47B19"/>
    <w:rsid w:val="00E47E0F"/>
    <w:rsid w:val="00E507C0"/>
    <w:rsid w:val="00E508EE"/>
    <w:rsid w:val="00E50A1D"/>
    <w:rsid w:val="00E50F22"/>
    <w:rsid w:val="00E50F5E"/>
    <w:rsid w:val="00E51446"/>
    <w:rsid w:val="00E51582"/>
    <w:rsid w:val="00E51A26"/>
    <w:rsid w:val="00E51BC3"/>
    <w:rsid w:val="00E51EDD"/>
    <w:rsid w:val="00E51F8E"/>
    <w:rsid w:val="00E52171"/>
    <w:rsid w:val="00E52FEA"/>
    <w:rsid w:val="00E53070"/>
    <w:rsid w:val="00E53368"/>
    <w:rsid w:val="00E535B2"/>
    <w:rsid w:val="00E53651"/>
    <w:rsid w:val="00E53668"/>
    <w:rsid w:val="00E53761"/>
    <w:rsid w:val="00E54098"/>
    <w:rsid w:val="00E5425E"/>
    <w:rsid w:val="00E5453F"/>
    <w:rsid w:val="00E549E0"/>
    <w:rsid w:val="00E5505C"/>
    <w:rsid w:val="00E55166"/>
    <w:rsid w:val="00E55208"/>
    <w:rsid w:val="00E553E7"/>
    <w:rsid w:val="00E55766"/>
    <w:rsid w:val="00E55A08"/>
    <w:rsid w:val="00E55B04"/>
    <w:rsid w:val="00E55C20"/>
    <w:rsid w:val="00E55CFE"/>
    <w:rsid w:val="00E5622B"/>
    <w:rsid w:val="00E562BC"/>
    <w:rsid w:val="00E56788"/>
    <w:rsid w:val="00E568E7"/>
    <w:rsid w:val="00E5747F"/>
    <w:rsid w:val="00E574DB"/>
    <w:rsid w:val="00E57CC7"/>
    <w:rsid w:val="00E57D61"/>
    <w:rsid w:val="00E6011E"/>
    <w:rsid w:val="00E60D25"/>
    <w:rsid w:val="00E60DA4"/>
    <w:rsid w:val="00E60E0F"/>
    <w:rsid w:val="00E6110B"/>
    <w:rsid w:val="00E611D2"/>
    <w:rsid w:val="00E61C94"/>
    <w:rsid w:val="00E621BE"/>
    <w:rsid w:val="00E627C9"/>
    <w:rsid w:val="00E6297A"/>
    <w:rsid w:val="00E62DA4"/>
    <w:rsid w:val="00E638C0"/>
    <w:rsid w:val="00E63D2E"/>
    <w:rsid w:val="00E63D4B"/>
    <w:rsid w:val="00E63F4E"/>
    <w:rsid w:val="00E640B6"/>
    <w:rsid w:val="00E6417F"/>
    <w:rsid w:val="00E6429E"/>
    <w:rsid w:val="00E646E9"/>
    <w:rsid w:val="00E65020"/>
    <w:rsid w:val="00E65517"/>
    <w:rsid w:val="00E655B7"/>
    <w:rsid w:val="00E660AC"/>
    <w:rsid w:val="00E6637C"/>
    <w:rsid w:val="00E66583"/>
    <w:rsid w:val="00E668C4"/>
    <w:rsid w:val="00E66C2A"/>
    <w:rsid w:val="00E6720A"/>
    <w:rsid w:val="00E67524"/>
    <w:rsid w:val="00E67B4A"/>
    <w:rsid w:val="00E7040F"/>
    <w:rsid w:val="00E70750"/>
    <w:rsid w:val="00E7098E"/>
    <w:rsid w:val="00E70D37"/>
    <w:rsid w:val="00E70D64"/>
    <w:rsid w:val="00E7135C"/>
    <w:rsid w:val="00E71392"/>
    <w:rsid w:val="00E71DED"/>
    <w:rsid w:val="00E72122"/>
    <w:rsid w:val="00E72C07"/>
    <w:rsid w:val="00E72CE9"/>
    <w:rsid w:val="00E72D9D"/>
    <w:rsid w:val="00E72DA6"/>
    <w:rsid w:val="00E7352D"/>
    <w:rsid w:val="00E7381F"/>
    <w:rsid w:val="00E73D88"/>
    <w:rsid w:val="00E740F9"/>
    <w:rsid w:val="00E74647"/>
    <w:rsid w:val="00E75029"/>
    <w:rsid w:val="00E7508E"/>
    <w:rsid w:val="00E75788"/>
    <w:rsid w:val="00E75EF8"/>
    <w:rsid w:val="00E763A9"/>
    <w:rsid w:val="00E76D59"/>
    <w:rsid w:val="00E76E28"/>
    <w:rsid w:val="00E77079"/>
    <w:rsid w:val="00E77332"/>
    <w:rsid w:val="00E77694"/>
    <w:rsid w:val="00E7782F"/>
    <w:rsid w:val="00E77946"/>
    <w:rsid w:val="00E77D7A"/>
    <w:rsid w:val="00E77E7A"/>
    <w:rsid w:val="00E80278"/>
    <w:rsid w:val="00E80790"/>
    <w:rsid w:val="00E80CC7"/>
    <w:rsid w:val="00E80F9A"/>
    <w:rsid w:val="00E81110"/>
    <w:rsid w:val="00E8173F"/>
    <w:rsid w:val="00E8180F"/>
    <w:rsid w:val="00E8197F"/>
    <w:rsid w:val="00E81C24"/>
    <w:rsid w:val="00E81CE1"/>
    <w:rsid w:val="00E81DBD"/>
    <w:rsid w:val="00E81E76"/>
    <w:rsid w:val="00E825A4"/>
    <w:rsid w:val="00E826F7"/>
    <w:rsid w:val="00E82C44"/>
    <w:rsid w:val="00E8313C"/>
    <w:rsid w:val="00E83BB0"/>
    <w:rsid w:val="00E83BFF"/>
    <w:rsid w:val="00E83D53"/>
    <w:rsid w:val="00E83DF3"/>
    <w:rsid w:val="00E83E1C"/>
    <w:rsid w:val="00E84001"/>
    <w:rsid w:val="00E8404B"/>
    <w:rsid w:val="00E8457F"/>
    <w:rsid w:val="00E8462F"/>
    <w:rsid w:val="00E84A10"/>
    <w:rsid w:val="00E84BCE"/>
    <w:rsid w:val="00E85035"/>
    <w:rsid w:val="00E85B54"/>
    <w:rsid w:val="00E862D6"/>
    <w:rsid w:val="00E8645A"/>
    <w:rsid w:val="00E868AC"/>
    <w:rsid w:val="00E86BAE"/>
    <w:rsid w:val="00E86DB1"/>
    <w:rsid w:val="00E871ED"/>
    <w:rsid w:val="00E87279"/>
    <w:rsid w:val="00E877C6"/>
    <w:rsid w:val="00E87E56"/>
    <w:rsid w:val="00E87E8D"/>
    <w:rsid w:val="00E90750"/>
    <w:rsid w:val="00E909E8"/>
    <w:rsid w:val="00E90CAE"/>
    <w:rsid w:val="00E90CB1"/>
    <w:rsid w:val="00E90FD1"/>
    <w:rsid w:val="00E9195A"/>
    <w:rsid w:val="00E92C59"/>
    <w:rsid w:val="00E92DD2"/>
    <w:rsid w:val="00E92E67"/>
    <w:rsid w:val="00E931E4"/>
    <w:rsid w:val="00E93207"/>
    <w:rsid w:val="00E93779"/>
    <w:rsid w:val="00E938B2"/>
    <w:rsid w:val="00E93D54"/>
    <w:rsid w:val="00E942E0"/>
    <w:rsid w:val="00E94436"/>
    <w:rsid w:val="00E945EC"/>
    <w:rsid w:val="00E9468C"/>
    <w:rsid w:val="00E955DB"/>
    <w:rsid w:val="00E957B5"/>
    <w:rsid w:val="00E958A4"/>
    <w:rsid w:val="00E95B78"/>
    <w:rsid w:val="00E95D11"/>
    <w:rsid w:val="00E95D3F"/>
    <w:rsid w:val="00E9672C"/>
    <w:rsid w:val="00E96B7F"/>
    <w:rsid w:val="00E97AB7"/>
    <w:rsid w:val="00E97B88"/>
    <w:rsid w:val="00EA0587"/>
    <w:rsid w:val="00EA0893"/>
    <w:rsid w:val="00EA0D8F"/>
    <w:rsid w:val="00EA132C"/>
    <w:rsid w:val="00EA1398"/>
    <w:rsid w:val="00EA1918"/>
    <w:rsid w:val="00EA25DE"/>
    <w:rsid w:val="00EA26D0"/>
    <w:rsid w:val="00EA2848"/>
    <w:rsid w:val="00EA2FAD"/>
    <w:rsid w:val="00EA31DC"/>
    <w:rsid w:val="00EA346C"/>
    <w:rsid w:val="00EA39B7"/>
    <w:rsid w:val="00EA3B42"/>
    <w:rsid w:val="00EA3DDD"/>
    <w:rsid w:val="00EA469D"/>
    <w:rsid w:val="00EA46EE"/>
    <w:rsid w:val="00EA4D89"/>
    <w:rsid w:val="00EA4E2C"/>
    <w:rsid w:val="00EA5333"/>
    <w:rsid w:val="00EA62F8"/>
    <w:rsid w:val="00EA6818"/>
    <w:rsid w:val="00EA6A40"/>
    <w:rsid w:val="00EA6D5E"/>
    <w:rsid w:val="00EA703F"/>
    <w:rsid w:val="00EA7735"/>
    <w:rsid w:val="00EA785E"/>
    <w:rsid w:val="00EA7B39"/>
    <w:rsid w:val="00EA7BC5"/>
    <w:rsid w:val="00EB03D6"/>
    <w:rsid w:val="00EB0B05"/>
    <w:rsid w:val="00EB0C4C"/>
    <w:rsid w:val="00EB0CE9"/>
    <w:rsid w:val="00EB18DC"/>
    <w:rsid w:val="00EB1BEF"/>
    <w:rsid w:val="00EB1E74"/>
    <w:rsid w:val="00EB1EB5"/>
    <w:rsid w:val="00EB2090"/>
    <w:rsid w:val="00EB249A"/>
    <w:rsid w:val="00EB26E6"/>
    <w:rsid w:val="00EB2991"/>
    <w:rsid w:val="00EB2A77"/>
    <w:rsid w:val="00EB2EF9"/>
    <w:rsid w:val="00EB37CE"/>
    <w:rsid w:val="00EB3DED"/>
    <w:rsid w:val="00EB3EF9"/>
    <w:rsid w:val="00EB4AF5"/>
    <w:rsid w:val="00EB4E78"/>
    <w:rsid w:val="00EB5020"/>
    <w:rsid w:val="00EB55EB"/>
    <w:rsid w:val="00EB56DB"/>
    <w:rsid w:val="00EB57EE"/>
    <w:rsid w:val="00EB6055"/>
    <w:rsid w:val="00EB6246"/>
    <w:rsid w:val="00EB6C64"/>
    <w:rsid w:val="00EB6C8E"/>
    <w:rsid w:val="00EB6CD1"/>
    <w:rsid w:val="00EB7286"/>
    <w:rsid w:val="00EB731D"/>
    <w:rsid w:val="00EB76E1"/>
    <w:rsid w:val="00EB7E51"/>
    <w:rsid w:val="00EB7EED"/>
    <w:rsid w:val="00EB7FD8"/>
    <w:rsid w:val="00EC18E1"/>
    <w:rsid w:val="00EC20C1"/>
    <w:rsid w:val="00EC21C4"/>
    <w:rsid w:val="00EC37CE"/>
    <w:rsid w:val="00EC3AFE"/>
    <w:rsid w:val="00EC3B87"/>
    <w:rsid w:val="00EC3EA3"/>
    <w:rsid w:val="00EC4E11"/>
    <w:rsid w:val="00EC4EDC"/>
    <w:rsid w:val="00EC50DC"/>
    <w:rsid w:val="00EC5243"/>
    <w:rsid w:val="00EC5479"/>
    <w:rsid w:val="00EC55F1"/>
    <w:rsid w:val="00EC583D"/>
    <w:rsid w:val="00EC5F28"/>
    <w:rsid w:val="00EC6810"/>
    <w:rsid w:val="00EC690A"/>
    <w:rsid w:val="00EC6AFC"/>
    <w:rsid w:val="00EC6D54"/>
    <w:rsid w:val="00EC70DF"/>
    <w:rsid w:val="00EC76A9"/>
    <w:rsid w:val="00EC7923"/>
    <w:rsid w:val="00EC7D5B"/>
    <w:rsid w:val="00ED00E4"/>
    <w:rsid w:val="00ED09C6"/>
    <w:rsid w:val="00ED0A6D"/>
    <w:rsid w:val="00ED0C13"/>
    <w:rsid w:val="00ED171F"/>
    <w:rsid w:val="00ED1946"/>
    <w:rsid w:val="00ED1C14"/>
    <w:rsid w:val="00ED1D32"/>
    <w:rsid w:val="00ED1FD5"/>
    <w:rsid w:val="00ED1FF0"/>
    <w:rsid w:val="00ED228C"/>
    <w:rsid w:val="00ED2860"/>
    <w:rsid w:val="00ED28E4"/>
    <w:rsid w:val="00ED2C6F"/>
    <w:rsid w:val="00ED2D40"/>
    <w:rsid w:val="00ED367B"/>
    <w:rsid w:val="00ED36BE"/>
    <w:rsid w:val="00ED3C24"/>
    <w:rsid w:val="00ED3DD7"/>
    <w:rsid w:val="00ED40B6"/>
    <w:rsid w:val="00ED470B"/>
    <w:rsid w:val="00ED4844"/>
    <w:rsid w:val="00ED4E3C"/>
    <w:rsid w:val="00ED4FA1"/>
    <w:rsid w:val="00ED60F1"/>
    <w:rsid w:val="00ED6AF4"/>
    <w:rsid w:val="00ED6C88"/>
    <w:rsid w:val="00ED6CF1"/>
    <w:rsid w:val="00ED7290"/>
    <w:rsid w:val="00ED7F11"/>
    <w:rsid w:val="00EE04D0"/>
    <w:rsid w:val="00EE0788"/>
    <w:rsid w:val="00EE0846"/>
    <w:rsid w:val="00EE0B6A"/>
    <w:rsid w:val="00EE0C58"/>
    <w:rsid w:val="00EE0E37"/>
    <w:rsid w:val="00EE17F3"/>
    <w:rsid w:val="00EE1947"/>
    <w:rsid w:val="00EE1C27"/>
    <w:rsid w:val="00EE1C53"/>
    <w:rsid w:val="00EE1F2D"/>
    <w:rsid w:val="00EE240A"/>
    <w:rsid w:val="00EE240B"/>
    <w:rsid w:val="00EE2856"/>
    <w:rsid w:val="00EE2CDF"/>
    <w:rsid w:val="00EE325C"/>
    <w:rsid w:val="00EE37CB"/>
    <w:rsid w:val="00EE382D"/>
    <w:rsid w:val="00EE38D7"/>
    <w:rsid w:val="00EE3ECC"/>
    <w:rsid w:val="00EE4021"/>
    <w:rsid w:val="00EE40F8"/>
    <w:rsid w:val="00EE41BE"/>
    <w:rsid w:val="00EE4412"/>
    <w:rsid w:val="00EE4567"/>
    <w:rsid w:val="00EE4F43"/>
    <w:rsid w:val="00EE5341"/>
    <w:rsid w:val="00EE535B"/>
    <w:rsid w:val="00EE5C10"/>
    <w:rsid w:val="00EE5D88"/>
    <w:rsid w:val="00EE63F7"/>
    <w:rsid w:val="00EE6AC9"/>
    <w:rsid w:val="00EE70AF"/>
    <w:rsid w:val="00EE7C41"/>
    <w:rsid w:val="00EE7E9A"/>
    <w:rsid w:val="00EF0805"/>
    <w:rsid w:val="00EF089A"/>
    <w:rsid w:val="00EF0DAB"/>
    <w:rsid w:val="00EF0F72"/>
    <w:rsid w:val="00EF164D"/>
    <w:rsid w:val="00EF1A3C"/>
    <w:rsid w:val="00EF1B77"/>
    <w:rsid w:val="00EF1B9A"/>
    <w:rsid w:val="00EF1C3E"/>
    <w:rsid w:val="00EF2133"/>
    <w:rsid w:val="00EF25B5"/>
    <w:rsid w:val="00EF2781"/>
    <w:rsid w:val="00EF2958"/>
    <w:rsid w:val="00EF2A66"/>
    <w:rsid w:val="00EF3020"/>
    <w:rsid w:val="00EF3156"/>
    <w:rsid w:val="00EF31FB"/>
    <w:rsid w:val="00EF3272"/>
    <w:rsid w:val="00EF389B"/>
    <w:rsid w:val="00EF3F29"/>
    <w:rsid w:val="00EF4B40"/>
    <w:rsid w:val="00EF4BA9"/>
    <w:rsid w:val="00EF4E5E"/>
    <w:rsid w:val="00EF5271"/>
    <w:rsid w:val="00EF54DC"/>
    <w:rsid w:val="00EF572E"/>
    <w:rsid w:val="00EF5973"/>
    <w:rsid w:val="00EF5A23"/>
    <w:rsid w:val="00EF5B6C"/>
    <w:rsid w:val="00EF618B"/>
    <w:rsid w:val="00EF674F"/>
    <w:rsid w:val="00EF6948"/>
    <w:rsid w:val="00EF780B"/>
    <w:rsid w:val="00EF797B"/>
    <w:rsid w:val="00F001D9"/>
    <w:rsid w:val="00F00778"/>
    <w:rsid w:val="00F00878"/>
    <w:rsid w:val="00F00E21"/>
    <w:rsid w:val="00F01318"/>
    <w:rsid w:val="00F01536"/>
    <w:rsid w:val="00F019C9"/>
    <w:rsid w:val="00F01D14"/>
    <w:rsid w:val="00F01FC8"/>
    <w:rsid w:val="00F028CE"/>
    <w:rsid w:val="00F030A6"/>
    <w:rsid w:val="00F03341"/>
    <w:rsid w:val="00F03458"/>
    <w:rsid w:val="00F03551"/>
    <w:rsid w:val="00F037F7"/>
    <w:rsid w:val="00F03A46"/>
    <w:rsid w:val="00F03BCB"/>
    <w:rsid w:val="00F043A8"/>
    <w:rsid w:val="00F0473B"/>
    <w:rsid w:val="00F04B0E"/>
    <w:rsid w:val="00F04F47"/>
    <w:rsid w:val="00F0530A"/>
    <w:rsid w:val="00F05A11"/>
    <w:rsid w:val="00F05D93"/>
    <w:rsid w:val="00F05E28"/>
    <w:rsid w:val="00F05ECA"/>
    <w:rsid w:val="00F061F4"/>
    <w:rsid w:val="00F06613"/>
    <w:rsid w:val="00F06630"/>
    <w:rsid w:val="00F066E8"/>
    <w:rsid w:val="00F06783"/>
    <w:rsid w:val="00F06A56"/>
    <w:rsid w:val="00F07C12"/>
    <w:rsid w:val="00F1026D"/>
    <w:rsid w:val="00F1030A"/>
    <w:rsid w:val="00F1050D"/>
    <w:rsid w:val="00F10B8F"/>
    <w:rsid w:val="00F110F3"/>
    <w:rsid w:val="00F11179"/>
    <w:rsid w:val="00F11642"/>
    <w:rsid w:val="00F11997"/>
    <w:rsid w:val="00F11D41"/>
    <w:rsid w:val="00F11E17"/>
    <w:rsid w:val="00F11F77"/>
    <w:rsid w:val="00F12101"/>
    <w:rsid w:val="00F12343"/>
    <w:rsid w:val="00F1275A"/>
    <w:rsid w:val="00F12C5B"/>
    <w:rsid w:val="00F130C7"/>
    <w:rsid w:val="00F13A15"/>
    <w:rsid w:val="00F144CF"/>
    <w:rsid w:val="00F144F8"/>
    <w:rsid w:val="00F146F6"/>
    <w:rsid w:val="00F148FA"/>
    <w:rsid w:val="00F1499A"/>
    <w:rsid w:val="00F14B6C"/>
    <w:rsid w:val="00F14DCA"/>
    <w:rsid w:val="00F1591B"/>
    <w:rsid w:val="00F15ABA"/>
    <w:rsid w:val="00F16673"/>
    <w:rsid w:val="00F16C2E"/>
    <w:rsid w:val="00F16CF2"/>
    <w:rsid w:val="00F16FD4"/>
    <w:rsid w:val="00F177E8"/>
    <w:rsid w:val="00F17A78"/>
    <w:rsid w:val="00F2015F"/>
    <w:rsid w:val="00F2027C"/>
    <w:rsid w:val="00F20B85"/>
    <w:rsid w:val="00F20D8B"/>
    <w:rsid w:val="00F20DB1"/>
    <w:rsid w:val="00F2100A"/>
    <w:rsid w:val="00F2114D"/>
    <w:rsid w:val="00F2178C"/>
    <w:rsid w:val="00F2185B"/>
    <w:rsid w:val="00F21860"/>
    <w:rsid w:val="00F2198C"/>
    <w:rsid w:val="00F219D7"/>
    <w:rsid w:val="00F21C97"/>
    <w:rsid w:val="00F21DFC"/>
    <w:rsid w:val="00F228C4"/>
    <w:rsid w:val="00F22BA4"/>
    <w:rsid w:val="00F22DB4"/>
    <w:rsid w:val="00F22EDC"/>
    <w:rsid w:val="00F22FC9"/>
    <w:rsid w:val="00F2337D"/>
    <w:rsid w:val="00F23D36"/>
    <w:rsid w:val="00F242D4"/>
    <w:rsid w:val="00F24E34"/>
    <w:rsid w:val="00F256E5"/>
    <w:rsid w:val="00F259D3"/>
    <w:rsid w:val="00F25F1F"/>
    <w:rsid w:val="00F269D2"/>
    <w:rsid w:val="00F26C22"/>
    <w:rsid w:val="00F26EBD"/>
    <w:rsid w:val="00F276F6"/>
    <w:rsid w:val="00F2792C"/>
    <w:rsid w:val="00F27CD8"/>
    <w:rsid w:val="00F27D0F"/>
    <w:rsid w:val="00F27FDD"/>
    <w:rsid w:val="00F30181"/>
    <w:rsid w:val="00F30347"/>
    <w:rsid w:val="00F30A5A"/>
    <w:rsid w:val="00F30F7E"/>
    <w:rsid w:val="00F31089"/>
    <w:rsid w:val="00F3113F"/>
    <w:rsid w:val="00F3139C"/>
    <w:rsid w:val="00F316AA"/>
    <w:rsid w:val="00F31890"/>
    <w:rsid w:val="00F319F5"/>
    <w:rsid w:val="00F31A31"/>
    <w:rsid w:val="00F31BA5"/>
    <w:rsid w:val="00F31BBA"/>
    <w:rsid w:val="00F31E03"/>
    <w:rsid w:val="00F32C70"/>
    <w:rsid w:val="00F32CB2"/>
    <w:rsid w:val="00F33070"/>
    <w:rsid w:val="00F334A9"/>
    <w:rsid w:val="00F338EF"/>
    <w:rsid w:val="00F33BFA"/>
    <w:rsid w:val="00F33D37"/>
    <w:rsid w:val="00F33FFE"/>
    <w:rsid w:val="00F34341"/>
    <w:rsid w:val="00F345B6"/>
    <w:rsid w:val="00F346CF"/>
    <w:rsid w:val="00F34A1A"/>
    <w:rsid w:val="00F34BDC"/>
    <w:rsid w:val="00F34D8B"/>
    <w:rsid w:val="00F34F30"/>
    <w:rsid w:val="00F35C6F"/>
    <w:rsid w:val="00F35C7E"/>
    <w:rsid w:val="00F35E68"/>
    <w:rsid w:val="00F360BF"/>
    <w:rsid w:val="00F36359"/>
    <w:rsid w:val="00F363DF"/>
    <w:rsid w:val="00F364EF"/>
    <w:rsid w:val="00F36BA7"/>
    <w:rsid w:val="00F36F8E"/>
    <w:rsid w:val="00F37307"/>
    <w:rsid w:val="00F3740A"/>
    <w:rsid w:val="00F3745A"/>
    <w:rsid w:val="00F3783D"/>
    <w:rsid w:val="00F37957"/>
    <w:rsid w:val="00F37B47"/>
    <w:rsid w:val="00F40334"/>
    <w:rsid w:val="00F408FB"/>
    <w:rsid w:val="00F409BF"/>
    <w:rsid w:val="00F40B0C"/>
    <w:rsid w:val="00F4118A"/>
    <w:rsid w:val="00F41546"/>
    <w:rsid w:val="00F42026"/>
    <w:rsid w:val="00F422DD"/>
    <w:rsid w:val="00F42539"/>
    <w:rsid w:val="00F425F4"/>
    <w:rsid w:val="00F427E1"/>
    <w:rsid w:val="00F43397"/>
    <w:rsid w:val="00F4363A"/>
    <w:rsid w:val="00F43A04"/>
    <w:rsid w:val="00F44A2A"/>
    <w:rsid w:val="00F44D3D"/>
    <w:rsid w:val="00F45644"/>
    <w:rsid w:val="00F45995"/>
    <w:rsid w:val="00F45A44"/>
    <w:rsid w:val="00F45C87"/>
    <w:rsid w:val="00F46AE8"/>
    <w:rsid w:val="00F46CE3"/>
    <w:rsid w:val="00F46F76"/>
    <w:rsid w:val="00F47230"/>
    <w:rsid w:val="00F473FE"/>
    <w:rsid w:val="00F47A0C"/>
    <w:rsid w:val="00F506E2"/>
    <w:rsid w:val="00F50E5E"/>
    <w:rsid w:val="00F50E75"/>
    <w:rsid w:val="00F5122B"/>
    <w:rsid w:val="00F51327"/>
    <w:rsid w:val="00F51A50"/>
    <w:rsid w:val="00F51A5C"/>
    <w:rsid w:val="00F522DC"/>
    <w:rsid w:val="00F52B9A"/>
    <w:rsid w:val="00F52E4D"/>
    <w:rsid w:val="00F52F09"/>
    <w:rsid w:val="00F5314D"/>
    <w:rsid w:val="00F53509"/>
    <w:rsid w:val="00F536D3"/>
    <w:rsid w:val="00F5371C"/>
    <w:rsid w:val="00F5378F"/>
    <w:rsid w:val="00F53D6B"/>
    <w:rsid w:val="00F54B37"/>
    <w:rsid w:val="00F54CF5"/>
    <w:rsid w:val="00F564B4"/>
    <w:rsid w:val="00F56873"/>
    <w:rsid w:val="00F56FAE"/>
    <w:rsid w:val="00F57242"/>
    <w:rsid w:val="00F57708"/>
    <w:rsid w:val="00F57A22"/>
    <w:rsid w:val="00F60B14"/>
    <w:rsid w:val="00F60E59"/>
    <w:rsid w:val="00F612EB"/>
    <w:rsid w:val="00F61311"/>
    <w:rsid w:val="00F617EA"/>
    <w:rsid w:val="00F6195D"/>
    <w:rsid w:val="00F638C9"/>
    <w:rsid w:val="00F63AE5"/>
    <w:rsid w:val="00F63C18"/>
    <w:rsid w:val="00F63F84"/>
    <w:rsid w:val="00F6448A"/>
    <w:rsid w:val="00F64FE6"/>
    <w:rsid w:val="00F6523B"/>
    <w:rsid w:val="00F655E8"/>
    <w:rsid w:val="00F6566B"/>
    <w:rsid w:val="00F66333"/>
    <w:rsid w:val="00F674A2"/>
    <w:rsid w:val="00F67715"/>
    <w:rsid w:val="00F677A2"/>
    <w:rsid w:val="00F67995"/>
    <w:rsid w:val="00F67BCD"/>
    <w:rsid w:val="00F703BC"/>
    <w:rsid w:val="00F70FA7"/>
    <w:rsid w:val="00F713EF"/>
    <w:rsid w:val="00F715BC"/>
    <w:rsid w:val="00F716FC"/>
    <w:rsid w:val="00F71B47"/>
    <w:rsid w:val="00F71F53"/>
    <w:rsid w:val="00F72474"/>
    <w:rsid w:val="00F72549"/>
    <w:rsid w:val="00F72577"/>
    <w:rsid w:val="00F7275A"/>
    <w:rsid w:val="00F72DA6"/>
    <w:rsid w:val="00F73170"/>
    <w:rsid w:val="00F73D19"/>
    <w:rsid w:val="00F7418B"/>
    <w:rsid w:val="00F7462A"/>
    <w:rsid w:val="00F74DDA"/>
    <w:rsid w:val="00F751DB"/>
    <w:rsid w:val="00F754B6"/>
    <w:rsid w:val="00F7573C"/>
    <w:rsid w:val="00F7594B"/>
    <w:rsid w:val="00F75BF1"/>
    <w:rsid w:val="00F76095"/>
    <w:rsid w:val="00F76263"/>
    <w:rsid w:val="00F762AE"/>
    <w:rsid w:val="00F76585"/>
    <w:rsid w:val="00F779A0"/>
    <w:rsid w:val="00F779F5"/>
    <w:rsid w:val="00F77B7E"/>
    <w:rsid w:val="00F77D8E"/>
    <w:rsid w:val="00F77E43"/>
    <w:rsid w:val="00F802A2"/>
    <w:rsid w:val="00F807DE"/>
    <w:rsid w:val="00F80D0A"/>
    <w:rsid w:val="00F8119A"/>
    <w:rsid w:val="00F81B97"/>
    <w:rsid w:val="00F81D1D"/>
    <w:rsid w:val="00F823DD"/>
    <w:rsid w:val="00F8261A"/>
    <w:rsid w:val="00F827D2"/>
    <w:rsid w:val="00F828D9"/>
    <w:rsid w:val="00F82AC6"/>
    <w:rsid w:val="00F82B9F"/>
    <w:rsid w:val="00F82C3B"/>
    <w:rsid w:val="00F82DD1"/>
    <w:rsid w:val="00F82F51"/>
    <w:rsid w:val="00F82F56"/>
    <w:rsid w:val="00F8352A"/>
    <w:rsid w:val="00F83ABF"/>
    <w:rsid w:val="00F83C35"/>
    <w:rsid w:val="00F83D1B"/>
    <w:rsid w:val="00F83F61"/>
    <w:rsid w:val="00F84176"/>
    <w:rsid w:val="00F84558"/>
    <w:rsid w:val="00F845CC"/>
    <w:rsid w:val="00F84909"/>
    <w:rsid w:val="00F84946"/>
    <w:rsid w:val="00F84F3B"/>
    <w:rsid w:val="00F8518C"/>
    <w:rsid w:val="00F858A8"/>
    <w:rsid w:val="00F85D27"/>
    <w:rsid w:val="00F85E5D"/>
    <w:rsid w:val="00F86443"/>
    <w:rsid w:val="00F8673D"/>
    <w:rsid w:val="00F86A8B"/>
    <w:rsid w:val="00F86BC2"/>
    <w:rsid w:val="00F86FD9"/>
    <w:rsid w:val="00F870E4"/>
    <w:rsid w:val="00F87690"/>
    <w:rsid w:val="00F87CAC"/>
    <w:rsid w:val="00F90489"/>
    <w:rsid w:val="00F90A16"/>
    <w:rsid w:val="00F90D09"/>
    <w:rsid w:val="00F90F79"/>
    <w:rsid w:val="00F9135E"/>
    <w:rsid w:val="00F914C2"/>
    <w:rsid w:val="00F919C4"/>
    <w:rsid w:val="00F921B2"/>
    <w:rsid w:val="00F92949"/>
    <w:rsid w:val="00F92CFB"/>
    <w:rsid w:val="00F92EAC"/>
    <w:rsid w:val="00F92F7D"/>
    <w:rsid w:val="00F93596"/>
    <w:rsid w:val="00F93D54"/>
    <w:rsid w:val="00F93E22"/>
    <w:rsid w:val="00F93F0B"/>
    <w:rsid w:val="00F9408F"/>
    <w:rsid w:val="00F9427D"/>
    <w:rsid w:val="00F945FE"/>
    <w:rsid w:val="00F94629"/>
    <w:rsid w:val="00F946F1"/>
    <w:rsid w:val="00F9495B"/>
    <w:rsid w:val="00F9496B"/>
    <w:rsid w:val="00F94C8E"/>
    <w:rsid w:val="00F94EF4"/>
    <w:rsid w:val="00F952D5"/>
    <w:rsid w:val="00F954CF"/>
    <w:rsid w:val="00F95792"/>
    <w:rsid w:val="00F965E4"/>
    <w:rsid w:val="00F96B82"/>
    <w:rsid w:val="00F96E4E"/>
    <w:rsid w:val="00F97125"/>
    <w:rsid w:val="00F97579"/>
    <w:rsid w:val="00F978DA"/>
    <w:rsid w:val="00F97B61"/>
    <w:rsid w:val="00F97D3B"/>
    <w:rsid w:val="00F97E93"/>
    <w:rsid w:val="00FA0142"/>
    <w:rsid w:val="00FA0515"/>
    <w:rsid w:val="00FA07BA"/>
    <w:rsid w:val="00FA08A7"/>
    <w:rsid w:val="00FA0922"/>
    <w:rsid w:val="00FA0EA3"/>
    <w:rsid w:val="00FA0F32"/>
    <w:rsid w:val="00FA12E1"/>
    <w:rsid w:val="00FA137D"/>
    <w:rsid w:val="00FA164E"/>
    <w:rsid w:val="00FA1881"/>
    <w:rsid w:val="00FA1A26"/>
    <w:rsid w:val="00FA22F1"/>
    <w:rsid w:val="00FA2358"/>
    <w:rsid w:val="00FA252C"/>
    <w:rsid w:val="00FA264A"/>
    <w:rsid w:val="00FA2708"/>
    <w:rsid w:val="00FA2C5D"/>
    <w:rsid w:val="00FA3181"/>
    <w:rsid w:val="00FA3272"/>
    <w:rsid w:val="00FA33DA"/>
    <w:rsid w:val="00FA3C69"/>
    <w:rsid w:val="00FA3FCE"/>
    <w:rsid w:val="00FA4185"/>
    <w:rsid w:val="00FA49A9"/>
    <w:rsid w:val="00FA4F68"/>
    <w:rsid w:val="00FA4F6D"/>
    <w:rsid w:val="00FA5412"/>
    <w:rsid w:val="00FA5A0E"/>
    <w:rsid w:val="00FA5C59"/>
    <w:rsid w:val="00FA5CB8"/>
    <w:rsid w:val="00FA5CD5"/>
    <w:rsid w:val="00FA5F79"/>
    <w:rsid w:val="00FA6173"/>
    <w:rsid w:val="00FA61F4"/>
    <w:rsid w:val="00FA67EB"/>
    <w:rsid w:val="00FA6FAB"/>
    <w:rsid w:val="00FA7042"/>
    <w:rsid w:val="00FA73D7"/>
    <w:rsid w:val="00FA7945"/>
    <w:rsid w:val="00FB0000"/>
    <w:rsid w:val="00FB0140"/>
    <w:rsid w:val="00FB0589"/>
    <w:rsid w:val="00FB06E9"/>
    <w:rsid w:val="00FB0CB0"/>
    <w:rsid w:val="00FB0DE3"/>
    <w:rsid w:val="00FB13C5"/>
    <w:rsid w:val="00FB19B3"/>
    <w:rsid w:val="00FB1E88"/>
    <w:rsid w:val="00FB2524"/>
    <w:rsid w:val="00FB2CCB"/>
    <w:rsid w:val="00FB2F30"/>
    <w:rsid w:val="00FB3336"/>
    <w:rsid w:val="00FB3536"/>
    <w:rsid w:val="00FB3AC0"/>
    <w:rsid w:val="00FB3C15"/>
    <w:rsid w:val="00FB4018"/>
    <w:rsid w:val="00FB5022"/>
    <w:rsid w:val="00FB538B"/>
    <w:rsid w:val="00FB5462"/>
    <w:rsid w:val="00FB55EC"/>
    <w:rsid w:val="00FB5606"/>
    <w:rsid w:val="00FB5753"/>
    <w:rsid w:val="00FB60C7"/>
    <w:rsid w:val="00FB6190"/>
    <w:rsid w:val="00FB622C"/>
    <w:rsid w:val="00FB6803"/>
    <w:rsid w:val="00FB6E84"/>
    <w:rsid w:val="00FB7C83"/>
    <w:rsid w:val="00FB7F61"/>
    <w:rsid w:val="00FC02CF"/>
    <w:rsid w:val="00FC09A2"/>
    <w:rsid w:val="00FC0E3D"/>
    <w:rsid w:val="00FC0FA8"/>
    <w:rsid w:val="00FC17A3"/>
    <w:rsid w:val="00FC17F4"/>
    <w:rsid w:val="00FC1B78"/>
    <w:rsid w:val="00FC1FF6"/>
    <w:rsid w:val="00FC2460"/>
    <w:rsid w:val="00FC26CA"/>
    <w:rsid w:val="00FC2D4F"/>
    <w:rsid w:val="00FC2FE2"/>
    <w:rsid w:val="00FC31FB"/>
    <w:rsid w:val="00FC33D6"/>
    <w:rsid w:val="00FC33F5"/>
    <w:rsid w:val="00FC3912"/>
    <w:rsid w:val="00FC39C6"/>
    <w:rsid w:val="00FC3B5D"/>
    <w:rsid w:val="00FC3D87"/>
    <w:rsid w:val="00FC4AF0"/>
    <w:rsid w:val="00FC5342"/>
    <w:rsid w:val="00FC5944"/>
    <w:rsid w:val="00FC5D04"/>
    <w:rsid w:val="00FC5F6A"/>
    <w:rsid w:val="00FC60BB"/>
    <w:rsid w:val="00FC70BD"/>
    <w:rsid w:val="00FC723C"/>
    <w:rsid w:val="00FC7BCF"/>
    <w:rsid w:val="00FC7DE1"/>
    <w:rsid w:val="00FC7F10"/>
    <w:rsid w:val="00FD067A"/>
    <w:rsid w:val="00FD0D10"/>
    <w:rsid w:val="00FD10BE"/>
    <w:rsid w:val="00FD1109"/>
    <w:rsid w:val="00FD1527"/>
    <w:rsid w:val="00FD176C"/>
    <w:rsid w:val="00FD18E7"/>
    <w:rsid w:val="00FD18FA"/>
    <w:rsid w:val="00FD1DB3"/>
    <w:rsid w:val="00FD1F38"/>
    <w:rsid w:val="00FD22E4"/>
    <w:rsid w:val="00FD2460"/>
    <w:rsid w:val="00FD2C9D"/>
    <w:rsid w:val="00FD2F95"/>
    <w:rsid w:val="00FD3245"/>
    <w:rsid w:val="00FD33BF"/>
    <w:rsid w:val="00FD35D8"/>
    <w:rsid w:val="00FD3686"/>
    <w:rsid w:val="00FD3A8B"/>
    <w:rsid w:val="00FD407D"/>
    <w:rsid w:val="00FD44BC"/>
    <w:rsid w:val="00FD4998"/>
    <w:rsid w:val="00FD5631"/>
    <w:rsid w:val="00FD6031"/>
    <w:rsid w:val="00FD6363"/>
    <w:rsid w:val="00FD647A"/>
    <w:rsid w:val="00FD6526"/>
    <w:rsid w:val="00FD6651"/>
    <w:rsid w:val="00FD6813"/>
    <w:rsid w:val="00FD69EF"/>
    <w:rsid w:val="00FD6A7E"/>
    <w:rsid w:val="00FD7141"/>
    <w:rsid w:val="00FD7290"/>
    <w:rsid w:val="00FD7624"/>
    <w:rsid w:val="00FD76D6"/>
    <w:rsid w:val="00FD7B72"/>
    <w:rsid w:val="00FE021E"/>
    <w:rsid w:val="00FE053F"/>
    <w:rsid w:val="00FE05BE"/>
    <w:rsid w:val="00FE08D5"/>
    <w:rsid w:val="00FE0B98"/>
    <w:rsid w:val="00FE0D9A"/>
    <w:rsid w:val="00FE0DAA"/>
    <w:rsid w:val="00FE0F3A"/>
    <w:rsid w:val="00FE0F83"/>
    <w:rsid w:val="00FE12E4"/>
    <w:rsid w:val="00FE1328"/>
    <w:rsid w:val="00FE1898"/>
    <w:rsid w:val="00FE1C6A"/>
    <w:rsid w:val="00FE2EF8"/>
    <w:rsid w:val="00FE39E9"/>
    <w:rsid w:val="00FE3B21"/>
    <w:rsid w:val="00FE3C63"/>
    <w:rsid w:val="00FE3CC0"/>
    <w:rsid w:val="00FE3CEC"/>
    <w:rsid w:val="00FE3E58"/>
    <w:rsid w:val="00FE3E83"/>
    <w:rsid w:val="00FE3F1F"/>
    <w:rsid w:val="00FE4101"/>
    <w:rsid w:val="00FE4C77"/>
    <w:rsid w:val="00FE4CDA"/>
    <w:rsid w:val="00FE57A6"/>
    <w:rsid w:val="00FE5887"/>
    <w:rsid w:val="00FE58C4"/>
    <w:rsid w:val="00FE5BB2"/>
    <w:rsid w:val="00FE605D"/>
    <w:rsid w:val="00FE609E"/>
    <w:rsid w:val="00FE651F"/>
    <w:rsid w:val="00FE678D"/>
    <w:rsid w:val="00FE67AD"/>
    <w:rsid w:val="00FE6C69"/>
    <w:rsid w:val="00FE724E"/>
    <w:rsid w:val="00FE747C"/>
    <w:rsid w:val="00FE7807"/>
    <w:rsid w:val="00FE7854"/>
    <w:rsid w:val="00FE7EE8"/>
    <w:rsid w:val="00FF06BD"/>
    <w:rsid w:val="00FF0A45"/>
    <w:rsid w:val="00FF0C56"/>
    <w:rsid w:val="00FF13E6"/>
    <w:rsid w:val="00FF1709"/>
    <w:rsid w:val="00FF17F9"/>
    <w:rsid w:val="00FF1D39"/>
    <w:rsid w:val="00FF1DD2"/>
    <w:rsid w:val="00FF1E10"/>
    <w:rsid w:val="00FF2F79"/>
    <w:rsid w:val="00FF311F"/>
    <w:rsid w:val="00FF33DA"/>
    <w:rsid w:val="00FF4037"/>
    <w:rsid w:val="00FF40FE"/>
    <w:rsid w:val="00FF4737"/>
    <w:rsid w:val="00FF4B8D"/>
    <w:rsid w:val="00FF5DE9"/>
    <w:rsid w:val="00FF5F9F"/>
    <w:rsid w:val="00FF620E"/>
    <w:rsid w:val="00FF66A9"/>
    <w:rsid w:val="00FF6BE9"/>
    <w:rsid w:val="00FF716E"/>
    <w:rsid w:val="00FF719A"/>
    <w:rsid w:val="00FF71E4"/>
    <w:rsid w:val="00FF7211"/>
    <w:rsid w:val="00FF728E"/>
    <w:rsid w:val="00FF78E4"/>
    <w:rsid w:val="00FF7BEE"/>
    <w:rsid w:val="00FF7F43"/>
    <w:rsid w:val="010126C3"/>
    <w:rsid w:val="0129D4B4"/>
    <w:rsid w:val="012CE5AE"/>
    <w:rsid w:val="013DEBC0"/>
    <w:rsid w:val="013F6A5E"/>
    <w:rsid w:val="014430FA"/>
    <w:rsid w:val="014ABC53"/>
    <w:rsid w:val="015670A8"/>
    <w:rsid w:val="0165A73B"/>
    <w:rsid w:val="016CB644"/>
    <w:rsid w:val="01B28B6A"/>
    <w:rsid w:val="01CD8B9E"/>
    <w:rsid w:val="01D4972A"/>
    <w:rsid w:val="01E95E51"/>
    <w:rsid w:val="01F44A6D"/>
    <w:rsid w:val="02045422"/>
    <w:rsid w:val="020804C0"/>
    <w:rsid w:val="0219D6F2"/>
    <w:rsid w:val="02222612"/>
    <w:rsid w:val="022A23AB"/>
    <w:rsid w:val="02323AFC"/>
    <w:rsid w:val="02400A44"/>
    <w:rsid w:val="0245A918"/>
    <w:rsid w:val="0245BF8B"/>
    <w:rsid w:val="024D6D35"/>
    <w:rsid w:val="025985C4"/>
    <w:rsid w:val="025DF56D"/>
    <w:rsid w:val="025E913D"/>
    <w:rsid w:val="026B3D2F"/>
    <w:rsid w:val="0276F5B1"/>
    <w:rsid w:val="028DDE71"/>
    <w:rsid w:val="029D5542"/>
    <w:rsid w:val="02AFBDEE"/>
    <w:rsid w:val="02B6E91E"/>
    <w:rsid w:val="02D684D8"/>
    <w:rsid w:val="02E40DE6"/>
    <w:rsid w:val="02EEC502"/>
    <w:rsid w:val="03049975"/>
    <w:rsid w:val="030F5263"/>
    <w:rsid w:val="03129362"/>
    <w:rsid w:val="0318C746"/>
    <w:rsid w:val="03198B60"/>
    <w:rsid w:val="0337A90A"/>
    <w:rsid w:val="033F92FA"/>
    <w:rsid w:val="0340ABD4"/>
    <w:rsid w:val="0343AB71"/>
    <w:rsid w:val="034606D7"/>
    <w:rsid w:val="0358541B"/>
    <w:rsid w:val="036C6BA2"/>
    <w:rsid w:val="038606F5"/>
    <w:rsid w:val="03AE9C13"/>
    <w:rsid w:val="03B64B2B"/>
    <w:rsid w:val="03B9FFAF"/>
    <w:rsid w:val="03D0147F"/>
    <w:rsid w:val="03D74484"/>
    <w:rsid w:val="03F09154"/>
    <w:rsid w:val="03F1E91A"/>
    <w:rsid w:val="03F56ED8"/>
    <w:rsid w:val="040D3048"/>
    <w:rsid w:val="0412D307"/>
    <w:rsid w:val="0439C095"/>
    <w:rsid w:val="0452E14D"/>
    <w:rsid w:val="045BB524"/>
    <w:rsid w:val="046D8202"/>
    <w:rsid w:val="04730E27"/>
    <w:rsid w:val="04736914"/>
    <w:rsid w:val="04954219"/>
    <w:rsid w:val="04B119DF"/>
    <w:rsid w:val="04BEA611"/>
    <w:rsid w:val="04BEA9C9"/>
    <w:rsid w:val="04C1AC76"/>
    <w:rsid w:val="04D094A3"/>
    <w:rsid w:val="04D2C3E9"/>
    <w:rsid w:val="04D6C953"/>
    <w:rsid w:val="04D7623D"/>
    <w:rsid w:val="04D8F390"/>
    <w:rsid w:val="04EBEAB1"/>
    <w:rsid w:val="04F4A2C8"/>
    <w:rsid w:val="04F8F38C"/>
    <w:rsid w:val="0526EFEC"/>
    <w:rsid w:val="05300CC6"/>
    <w:rsid w:val="053106A2"/>
    <w:rsid w:val="054B6C01"/>
    <w:rsid w:val="054BBC4E"/>
    <w:rsid w:val="0566AB27"/>
    <w:rsid w:val="05672B7F"/>
    <w:rsid w:val="05777F70"/>
    <w:rsid w:val="058C1707"/>
    <w:rsid w:val="0599393B"/>
    <w:rsid w:val="05A3D089"/>
    <w:rsid w:val="05AAEC4C"/>
    <w:rsid w:val="05BC1C9A"/>
    <w:rsid w:val="05BD7C51"/>
    <w:rsid w:val="05D13B2D"/>
    <w:rsid w:val="05D97A01"/>
    <w:rsid w:val="05DDEDC2"/>
    <w:rsid w:val="05F56B20"/>
    <w:rsid w:val="05F8C218"/>
    <w:rsid w:val="0600AE52"/>
    <w:rsid w:val="0604513F"/>
    <w:rsid w:val="06056C36"/>
    <w:rsid w:val="060B5639"/>
    <w:rsid w:val="0614F8DE"/>
    <w:rsid w:val="0618C326"/>
    <w:rsid w:val="06458F0B"/>
    <w:rsid w:val="06587D73"/>
    <w:rsid w:val="0660FA91"/>
    <w:rsid w:val="067B8D9D"/>
    <w:rsid w:val="06952DC9"/>
    <w:rsid w:val="06994F9A"/>
    <w:rsid w:val="069B0922"/>
    <w:rsid w:val="06AE252E"/>
    <w:rsid w:val="06BB576F"/>
    <w:rsid w:val="06CA79B8"/>
    <w:rsid w:val="06D822DE"/>
    <w:rsid w:val="06E6C966"/>
    <w:rsid w:val="06F97D49"/>
    <w:rsid w:val="070E4383"/>
    <w:rsid w:val="073D0AAA"/>
    <w:rsid w:val="076678B2"/>
    <w:rsid w:val="0768B3DB"/>
    <w:rsid w:val="0784748D"/>
    <w:rsid w:val="078C88B3"/>
    <w:rsid w:val="07AC2283"/>
    <w:rsid w:val="07BFF614"/>
    <w:rsid w:val="07C9A9D9"/>
    <w:rsid w:val="07DB7BA5"/>
    <w:rsid w:val="07DC9BBB"/>
    <w:rsid w:val="07DCE492"/>
    <w:rsid w:val="07DEB094"/>
    <w:rsid w:val="07F2C755"/>
    <w:rsid w:val="07FB321F"/>
    <w:rsid w:val="081F7BC6"/>
    <w:rsid w:val="08221974"/>
    <w:rsid w:val="08316BEB"/>
    <w:rsid w:val="0832EF4E"/>
    <w:rsid w:val="08341BF5"/>
    <w:rsid w:val="0836FB03"/>
    <w:rsid w:val="08481993"/>
    <w:rsid w:val="085079CE"/>
    <w:rsid w:val="0872F293"/>
    <w:rsid w:val="0876E40E"/>
    <w:rsid w:val="0884385D"/>
    <w:rsid w:val="088F286E"/>
    <w:rsid w:val="08AD2C3E"/>
    <w:rsid w:val="08C03796"/>
    <w:rsid w:val="08E4CF4D"/>
    <w:rsid w:val="0900BAA7"/>
    <w:rsid w:val="092CD96D"/>
    <w:rsid w:val="0939C79C"/>
    <w:rsid w:val="094C288D"/>
    <w:rsid w:val="094F690E"/>
    <w:rsid w:val="0955A88F"/>
    <w:rsid w:val="0964A598"/>
    <w:rsid w:val="0966C48D"/>
    <w:rsid w:val="096ADE4E"/>
    <w:rsid w:val="096CB929"/>
    <w:rsid w:val="09A57CBB"/>
    <w:rsid w:val="09A6C8E4"/>
    <w:rsid w:val="09B43A89"/>
    <w:rsid w:val="09B8FDD3"/>
    <w:rsid w:val="09B9CC08"/>
    <w:rsid w:val="09CD2822"/>
    <w:rsid w:val="09E848CB"/>
    <w:rsid w:val="09F12AF2"/>
    <w:rsid w:val="09F41775"/>
    <w:rsid w:val="09F66562"/>
    <w:rsid w:val="09FC9ADA"/>
    <w:rsid w:val="09FD9044"/>
    <w:rsid w:val="0A111728"/>
    <w:rsid w:val="0A18F49F"/>
    <w:rsid w:val="0A1B0C83"/>
    <w:rsid w:val="0A2AEC15"/>
    <w:rsid w:val="0A3B7F3B"/>
    <w:rsid w:val="0A6F6D89"/>
    <w:rsid w:val="0A9FAAD4"/>
    <w:rsid w:val="0AB0B6CF"/>
    <w:rsid w:val="0ABF39BA"/>
    <w:rsid w:val="0B08DF5D"/>
    <w:rsid w:val="0B0CF291"/>
    <w:rsid w:val="0B0FD924"/>
    <w:rsid w:val="0B2C0599"/>
    <w:rsid w:val="0B48E33F"/>
    <w:rsid w:val="0B51DCF7"/>
    <w:rsid w:val="0B53122B"/>
    <w:rsid w:val="0B6F73F5"/>
    <w:rsid w:val="0B711A0D"/>
    <w:rsid w:val="0B80686B"/>
    <w:rsid w:val="0B940CF6"/>
    <w:rsid w:val="0B944040"/>
    <w:rsid w:val="0BA3FB18"/>
    <w:rsid w:val="0BA5C50D"/>
    <w:rsid w:val="0BA5ECB1"/>
    <w:rsid w:val="0BA85231"/>
    <w:rsid w:val="0BAD10BB"/>
    <w:rsid w:val="0BBAFAC2"/>
    <w:rsid w:val="0BCD06CF"/>
    <w:rsid w:val="0BE283AE"/>
    <w:rsid w:val="0BF5ABDC"/>
    <w:rsid w:val="0C046DE8"/>
    <w:rsid w:val="0C22F3B2"/>
    <w:rsid w:val="0C26FE48"/>
    <w:rsid w:val="0C399323"/>
    <w:rsid w:val="0C484897"/>
    <w:rsid w:val="0C4B3058"/>
    <w:rsid w:val="0C580D4A"/>
    <w:rsid w:val="0C6D9CBB"/>
    <w:rsid w:val="0C79482A"/>
    <w:rsid w:val="0C7E652D"/>
    <w:rsid w:val="0C81B8E8"/>
    <w:rsid w:val="0C8EB1D7"/>
    <w:rsid w:val="0C8FA41A"/>
    <w:rsid w:val="0CAE639D"/>
    <w:rsid w:val="0CC0AD70"/>
    <w:rsid w:val="0CCCA7DC"/>
    <w:rsid w:val="0CD3773E"/>
    <w:rsid w:val="0CEB786A"/>
    <w:rsid w:val="0CF427E7"/>
    <w:rsid w:val="0D00CB4E"/>
    <w:rsid w:val="0D0A90BE"/>
    <w:rsid w:val="0D0BE1E8"/>
    <w:rsid w:val="0D0E88CC"/>
    <w:rsid w:val="0D125991"/>
    <w:rsid w:val="0D287588"/>
    <w:rsid w:val="0D362A53"/>
    <w:rsid w:val="0D603920"/>
    <w:rsid w:val="0D650B6E"/>
    <w:rsid w:val="0D69E330"/>
    <w:rsid w:val="0D77ED1B"/>
    <w:rsid w:val="0D7B7B24"/>
    <w:rsid w:val="0D7F9282"/>
    <w:rsid w:val="0D82889C"/>
    <w:rsid w:val="0D87997D"/>
    <w:rsid w:val="0D8DB15E"/>
    <w:rsid w:val="0D8F1159"/>
    <w:rsid w:val="0D905342"/>
    <w:rsid w:val="0D9CF006"/>
    <w:rsid w:val="0D9E3501"/>
    <w:rsid w:val="0DAA9306"/>
    <w:rsid w:val="0DAF3440"/>
    <w:rsid w:val="0DB3783F"/>
    <w:rsid w:val="0DB3E68B"/>
    <w:rsid w:val="0DB6418E"/>
    <w:rsid w:val="0DD74714"/>
    <w:rsid w:val="0DDE13FB"/>
    <w:rsid w:val="0DEB4608"/>
    <w:rsid w:val="0DEC1559"/>
    <w:rsid w:val="0DF51465"/>
    <w:rsid w:val="0DF70C9E"/>
    <w:rsid w:val="0E2485C5"/>
    <w:rsid w:val="0E4AE88A"/>
    <w:rsid w:val="0E59B5FE"/>
    <w:rsid w:val="0E5DAB54"/>
    <w:rsid w:val="0E68E6DB"/>
    <w:rsid w:val="0E723BD9"/>
    <w:rsid w:val="0E76816F"/>
    <w:rsid w:val="0E7E34D7"/>
    <w:rsid w:val="0E8A5979"/>
    <w:rsid w:val="0E8FD4F5"/>
    <w:rsid w:val="0E9C753A"/>
    <w:rsid w:val="0ED501B3"/>
    <w:rsid w:val="0EDB16CF"/>
    <w:rsid w:val="0EE62D2A"/>
    <w:rsid w:val="0EE68358"/>
    <w:rsid w:val="0EE6EA71"/>
    <w:rsid w:val="0EF3AF84"/>
    <w:rsid w:val="0F083F23"/>
    <w:rsid w:val="0F1C9937"/>
    <w:rsid w:val="0F2EC515"/>
    <w:rsid w:val="0F3B3B4E"/>
    <w:rsid w:val="0F3D6A39"/>
    <w:rsid w:val="0F52C200"/>
    <w:rsid w:val="0F6D0152"/>
    <w:rsid w:val="0F9DA9FB"/>
    <w:rsid w:val="0FA0E2D3"/>
    <w:rsid w:val="0FACED7A"/>
    <w:rsid w:val="0FAEC34A"/>
    <w:rsid w:val="0FBA831A"/>
    <w:rsid w:val="0FD10E5F"/>
    <w:rsid w:val="0FDB4024"/>
    <w:rsid w:val="0FE35411"/>
    <w:rsid w:val="0FE647B7"/>
    <w:rsid w:val="100B33F0"/>
    <w:rsid w:val="100EF544"/>
    <w:rsid w:val="103A3A90"/>
    <w:rsid w:val="103FBD70"/>
    <w:rsid w:val="1045205B"/>
    <w:rsid w:val="104F41CB"/>
    <w:rsid w:val="105D0284"/>
    <w:rsid w:val="10796368"/>
    <w:rsid w:val="10A61EFA"/>
    <w:rsid w:val="10BD9A31"/>
    <w:rsid w:val="10CC118F"/>
    <w:rsid w:val="10D06237"/>
    <w:rsid w:val="10DEBE7E"/>
    <w:rsid w:val="10F441D7"/>
    <w:rsid w:val="10F44AC2"/>
    <w:rsid w:val="10F9AD4E"/>
    <w:rsid w:val="114C167D"/>
    <w:rsid w:val="1160CD34"/>
    <w:rsid w:val="1163A541"/>
    <w:rsid w:val="11902BA5"/>
    <w:rsid w:val="119B7DEE"/>
    <w:rsid w:val="119C2F71"/>
    <w:rsid w:val="119C7687"/>
    <w:rsid w:val="11BD2279"/>
    <w:rsid w:val="11DCBCA0"/>
    <w:rsid w:val="11E1A306"/>
    <w:rsid w:val="11E2B883"/>
    <w:rsid w:val="11F7ACAA"/>
    <w:rsid w:val="12083161"/>
    <w:rsid w:val="1210F4F2"/>
    <w:rsid w:val="1213A5B9"/>
    <w:rsid w:val="122B8E6F"/>
    <w:rsid w:val="12316F62"/>
    <w:rsid w:val="12371A31"/>
    <w:rsid w:val="12538283"/>
    <w:rsid w:val="126882B6"/>
    <w:rsid w:val="12793CE9"/>
    <w:rsid w:val="12825450"/>
    <w:rsid w:val="12842B28"/>
    <w:rsid w:val="128D662A"/>
    <w:rsid w:val="12930078"/>
    <w:rsid w:val="12988761"/>
    <w:rsid w:val="129CDBA4"/>
    <w:rsid w:val="12B7DF85"/>
    <w:rsid w:val="12DE90B1"/>
    <w:rsid w:val="12EF7B48"/>
    <w:rsid w:val="12F5C335"/>
    <w:rsid w:val="12FF47F7"/>
    <w:rsid w:val="130E73DC"/>
    <w:rsid w:val="13150984"/>
    <w:rsid w:val="132C75F1"/>
    <w:rsid w:val="133E3B36"/>
    <w:rsid w:val="1356986E"/>
    <w:rsid w:val="1371CADE"/>
    <w:rsid w:val="1379A88D"/>
    <w:rsid w:val="13CBC356"/>
    <w:rsid w:val="13EF1ECF"/>
    <w:rsid w:val="13F9A4AA"/>
    <w:rsid w:val="13FD07E1"/>
    <w:rsid w:val="140518A7"/>
    <w:rsid w:val="1408A207"/>
    <w:rsid w:val="1428A0F4"/>
    <w:rsid w:val="1445F022"/>
    <w:rsid w:val="144D4C99"/>
    <w:rsid w:val="14736AE2"/>
    <w:rsid w:val="1485F8B8"/>
    <w:rsid w:val="14873241"/>
    <w:rsid w:val="1493FE89"/>
    <w:rsid w:val="14B0FAAC"/>
    <w:rsid w:val="14B9CCD3"/>
    <w:rsid w:val="14C3281A"/>
    <w:rsid w:val="14C423AA"/>
    <w:rsid w:val="14C62C6C"/>
    <w:rsid w:val="14D48471"/>
    <w:rsid w:val="14D62007"/>
    <w:rsid w:val="14DB9628"/>
    <w:rsid w:val="14E7038A"/>
    <w:rsid w:val="14F75E3D"/>
    <w:rsid w:val="14F76F01"/>
    <w:rsid w:val="1511AD13"/>
    <w:rsid w:val="1524F80A"/>
    <w:rsid w:val="154FDAAC"/>
    <w:rsid w:val="155AD2BB"/>
    <w:rsid w:val="1565419E"/>
    <w:rsid w:val="157F3749"/>
    <w:rsid w:val="15865BBB"/>
    <w:rsid w:val="159D6352"/>
    <w:rsid w:val="15A977E7"/>
    <w:rsid w:val="15B5FA7A"/>
    <w:rsid w:val="15BB5BF3"/>
    <w:rsid w:val="15D07E58"/>
    <w:rsid w:val="15D38FCA"/>
    <w:rsid w:val="15DFB4B1"/>
    <w:rsid w:val="15E6D2BE"/>
    <w:rsid w:val="15E7232E"/>
    <w:rsid w:val="1607591D"/>
    <w:rsid w:val="160911A9"/>
    <w:rsid w:val="162028DE"/>
    <w:rsid w:val="162EEEC7"/>
    <w:rsid w:val="164FF38F"/>
    <w:rsid w:val="16529590"/>
    <w:rsid w:val="1665E14B"/>
    <w:rsid w:val="1671FA7F"/>
    <w:rsid w:val="1698809A"/>
    <w:rsid w:val="16A3CF74"/>
    <w:rsid w:val="16AE5971"/>
    <w:rsid w:val="16CC12B7"/>
    <w:rsid w:val="16DF1A50"/>
    <w:rsid w:val="16F6697C"/>
    <w:rsid w:val="17070DD3"/>
    <w:rsid w:val="17094F0B"/>
    <w:rsid w:val="171A6405"/>
    <w:rsid w:val="1740126B"/>
    <w:rsid w:val="17448086"/>
    <w:rsid w:val="1750BF75"/>
    <w:rsid w:val="175481BD"/>
    <w:rsid w:val="17603181"/>
    <w:rsid w:val="17682CB8"/>
    <w:rsid w:val="1786B882"/>
    <w:rsid w:val="178CAEE7"/>
    <w:rsid w:val="17B9E5BC"/>
    <w:rsid w:val="17C02423"/>
    <w:rsid w:val="17C0B8A4"/>
    <w:rsid w:val="17C7F44A"/>
    <w:rsid w:val="17C94A09"/>
    <w:rsid w:val="17D3E63A"/>
    <w:rsid w:val="17E79EE5"/>
    <w:rsid w:val="17E81320"/>
    <w:rsid w:val="17F5994C"/>
    <w:rsid w:val="180F6D7C"/>
    <w:rsid w:val="18248187"/>
    <w:rsid w:val="182DFACB"/>
    <w:rsid w:val="1845BDF4"/>
    <w:rsid w:val="184CD720"/>
    <w:rsid w:val="184DEAD2"/>
    <w:rsid w:val="185472CB"/>
    <w:rsid w:val="18726E49"/>
    <w:rsid w:val="18793768"/>
    <w:rsid w:val="1882B410"/>
    <w:rsid w:val="18882720"/>
    <w:rsid w:val="188D54D4"/>
    <w:rsid w:val="1896AD32"/>
    <w:rsid w:val="18A17442"/>
    <w:rsid w:val="18B1819D"/>
    <w:rsid w:val="18B693E9"/>
    <w:rsid w:val="18C33712"/>
    <w:rsid w:val="18CA3528"/>
    <w:rsid w:val="18CFDBE2"/>
    <w:rsid w:val="18D4C6C0"/>
    <w:rsid w:val="18F51BC1"/>
    <w:rsid w:val="1904C436"/>
    <w:rsid w:val="190F8602"/>
    <w:rsid w:val="1922F59F"/>
    <w:rsid w:val="192BA399"/>
    <w:rsid w:val="19342E89"/>
    <w:rsid w:val="196AEFBA"/>
    <w:rsid w:val="1972581A"/>
    <w:rsid w:val="198BF7CB"/>
    <w:rsid w:val="199D135D"/>
    <w:rsid w:val="19A40046"/>
    <w:rsid w:val="19A876C3"/>
    <w:rsid w:val="19C65C84"/>
    <w:rsid w:val="19C6BA6E"/>
    <w:rsid w:val="19CDC787"/>
    <w:rsid w:val="19EB2722"/>
    <w:rsid w:val="19F0DB66"/>
    <w:rsid w:val="19F11171"/>
    <w:rsid w:val="19F13A1A"/>
    <w:rsid w:val="19F6B6BA"/>
    <w:rsid w:val="19FAF430"/>
    <w:rsid w:val="1A037F2F"/>
    <w:rsid w:val="1A12F8FD"/>
    <w:rsid w:val="1A177220"/>
    <w:rsid w:val="1A184087"/>
    <w:rsid w:val="1A1AC114"/>
    <w:rsid w:val="1A1B9FED"/>
    <w:rsid w:val="1A284185"/>
    <w:rsid w:val="1A392AD7"/>
    <w:rsid w:val="1A41168F"/>
    <w:rsid w:val="1A448140"/>
    <w:rsid w:val="1A5451A7"/>
    <w:rsid w:val="1A5D5F2E"/>
    <w:rsid w:val="1A6BBA89"/>
    <w:rsid w:val="1A70C4BC"/>
    <w:rsid w:val="1A711DE1"/>
    <w:rsid w:val="1A8DFAC7"/>
    <w:rsid w:val="1A99762F"/>
    <w:rsid w:val="1AB80815"/>
    <w:rsid w:val="1AC4D469"/>
    <w:rsid w:val="1ACD1928"/>
    <w:rsid w:val="1AE2BB01"/>
    <w:rsid w:val="1AE4ED4E"/>
    <w:rsid w:val="1AFFDE04"/>
    <w:rsid w:val="1B119CF3"/>
    <w:rsid w:val="1B35E717"/>
    <w:rsid w:val="1B4264CA"/>
    <w:rsid w:val="1B5318C7"/>
    <w:rsid w:val="1B6EA994"/>
    <w:rsid w:val="1B72B494"/>
    <w:rsid w:val="1B784791"/>
    <w:rsid w:val="1B7BE416"/>
    <w:rsid w:val="1B847A88"/>
    <w:rsid w:val="1B89907A"/>
    <w:rsid w:val="1B8D6100"/>
    <w:rsid w:val="1B8F5F40"/>
    <w:rsid w:val="1B94515C"/>
    <w:rsid w:val="1B9864BD"/>
    <w:rsid w:val="1B98C657"/>
    <w:rsid w:val="1BA18F5F"/>
    <w:rsid w:val="1BACC262"/>
    <w:rsid w:val="1BB072FE"/>
    <w:rsid w:val="1BC20BDD"/>
    <w:rsid w:val="1BD7815D"/>
    <w:rsid w:val="1BF7198C"/>
    <w:rsid w:val="1C0782C7"/>
    <w:rsid w:val="1C0F9973"/>
    <w:rsid w:val="1C1B2934"/>
    <w:rsid w:val="1C1C804A"/>
    <w:rsid w:val="1C21CD8D"/>
    <w:rsid w:val="1C3D65B1"/>
    <w:rsid w:val="1C45A1FF"/>
    <w:rsid w:val="1C45FE36"/>
    <w:rsid w:val="1C4C6092"/>
    <w:rsid w:val="1C5EFD5B"/>
    <w:rsid w:val="1C74936A"/>
    <w:rsid w:val="1C86073E"/>
    <w:rsid w:val="1C8E45B0"/>
    <w:rsid w:val="1CBD0656"/>
    <w:rsid w:val="1CC8467D"/>
    <w:rsid w:val="1CCA2B4D"/>
    <w:rsid w:val="1CD291E1"/>
    <w:rsid w:val="1CF11F47"/>
    <w:rsid w:val="1D2B66A8"/>
    <w:rsid w:val="1D507F98"/>
    <w:rsid w:val="1D52567C"/>
    <w:rsid w:val="1D638195"/>
    <w:rsid w:val="1D72B3BC"/>
    <w:rsid w:val="1D7375BB"/>
    <w:rsid w:val="1D73A2AD"/>
    <w:rsid w:val="1D89066E"/>
    <w:rsid w:val="1D8CA63D"/>
    <w:rsid w:val="1DA4AA66"/>
    <w:rsid w:val="1DA6D50C"/>
    <w:rsid w:val="1DA9B853"/>
    <w:rsid w:val="1DC8CFA1"/>
    <w:rsid w:val="1DDBDEE1"/>
    <w:rsid w:val="1DE29880"/>
    <w:rsid w:val="1DFC49D2"/>
    <w:rsid w:val="1E110102"/>
    <w:rsid w:val="1E3E55FB"/>
    <w:rsid w:val="1E435C79"/>
    <w:rsid w:val="1E4F7A14"/>
    <w:rsid w:val="1E71E215"/>
    <w:rsid w:val="1E795B43"/>
    <w:rsid w:val="1E7C65A4"/>
    <w:rsid w:val="1E824B26"/>
    <w:rsid w:val="1E93AFB6"/>
    <w:rsid w:val="1E995CD4"/>
    <w:rsid w:val="1EC15A06"/>
    <w:rsid w:val="1ED81C97"/>
    <w:rsid w:val="1ED9F153"/>
    <w:rsid w:val="1EE297D6"/>
    <w:rsid w:val="1EE4F4D9"/>
    <w:rsid w:val="1EF391B5"/>
    <w:rsid w:val="1EFC5DD6"/>
    <w:rsid w:val="1EFECB39"/>
    <w:rsid w:val="1F5DC71C"/>
    <w:rsid w:val="1F7F9D05"/>
    <w:rsid w:val="1F8DA785"/>
    <w:rsid w:val="1FA6369E"/>
    <w:rsid w:val="1FB705A0"/>
    <w:rsid w:val="1FE486CF"/>
    <w:rsid w:val="1FF33C33"/>
    <w:rsid w:val="1FF61534"/>
    <w:rsid w:val="1FFF5E0F"/>
    <w:rsid w:val="200AA21F"/>
    <w:rsid w:val="200FB41E"/>
    <w:rsid w:val="20151297"/>
    <w:rsid w:val="201ED0ED"/>
    <w:rsid w:val="20342A2D"/>
    <w:rsid w:val="20344DE9"/>
    <w:rsid w:val="204FD189"/>
    <w:rsid w:val="205FE984"/>
    <w:rsid w:val="206F9ABE"/>
    <w:rsid w:val="20783710"/>
    <w:rsid w:val="2086D16B"/>
    <w:rsid w:val="208A1341"/>
    <w:rsid w:val="208C2E3E"/>
    <w:rsid w:val="2093F010"/>
    <w:rsid w:val="20953C0D"/>
    <w:rsid w:val="209B2E34"/>
    <w:rsid w:val="20B3BA79"/>
    <w:rsid w:val="20B54020"/>
    <w:rsid w:val="20E9DC90"/>
    <w:rsid w:val="20F8D25F"/>
    <w:rsid w:val="20F9942C"/>
    <w:rsid w:val="20FEFC6D"/>
    <w:rsid w:val="21072AC7"/>
    <w:rsid w:val="2107EDAA"/>
    <w:rsid w:val="2113E4D0"/>
    <w:rsid w:val="2120D41A"/>
    <w:rsid w:val="213C69D7"/>
    <w:rsid w:val="215B0FFF"/>
    <w:rsid w:val="21753C5E"/>
    <w:rsid w:val="21829061"/>
    <w:rsid w:val="21898F76"/>
    <w:rsid w:val="218CF4F0"/>
    <w:rsid w:val="2191E354"/>
    <w:rsid w:val="21CA7C1D"/>
    <w:rsid w:val="21ED9837"/>
    <w:rsid w:val="222551D6"/>
    <w:rsid w:val="22337160"/>
    <w:rsid w:val="224054A6"/>
    <w:rsid w:val="22662CDF"/>
    <w:rsid w:val="227B353F"/>
    <w:rsid w:val="2282D605"/>
    <w:rsid w:val="229892B3"/>
    <w:rsid w:val="230DA83D"/>
    <w:rsid w:val="2311B662"/>
    <w:rsid w:val="23155C35"/>
    <w:rsid w:val="232A1691"/>
    <w:rsid w:val="232CE493"/>
    <w:rsid w:val="235370B7"/>
    <w:rsid w:val="23663352"/>
    <w:rsid w:val="2366B2A7"/>
    <w:rsid w:val="236A69A0"/>
    <w:rsid w:val="23735C52"/>
    <w:rsid w:val="23837627"/>
    <w:rsid w:val="23915E1D"/>
    <w:rsid w:val="2393AB71"/>
    <w:rsid w:val="23A66BB6"/>
    <w:rsid w:val="23B1301E"/>
    <w:rsid w:val="23B8D09D"/>
    <w:rsid w:val="23BBDB29"/>
    <w:rsid w:val="23C5E1BE"/>
    <w:rsid w:val="23E1D134"/>
    <w:rsid w:val="23F24458"/>
    <w:rsid w:val="23F65A72"/>
    <w:rsid w:val="2403C488"/>
    <w:rsid w:val="2433A467"/>
    <w:rsid w:val="24384A22"/>
    <w:rsid w:val="244B9954"/>
    <w:rsid w:val="24553E01"/>
    <w:rsid w:val="2457CE67"/>
    <w:rsid w:val="2464286C"/>
    <w:rsid w:val="2465BD6C"/>
    <w:rsid w:val="249013A2"/>
    <w:rsid w:val="24904ACE"/>
    <w:rsid w:val="2490F5F6"/>
    <w:rsid w:val="24955F1A"/>
    <w:rsid w:val="249A0D6E"/>
    <w:rsid w:val="24C080A2"/>
    <w:rsid w:val="24EA1C9F"/>
    <w:rsid w:val="24F6F920"/>
    <w:rsid w:val="2514E59A"/>
    <w:rsid w:val="251ACED1"/>
    <w:rsid w:val="2527AF86"/>
    <w:rsid w:val="25371AB8"/>
    <w:rsid w:val="253FA96F"/>
    <w:rsid w:val="255A8E65"/>
    <w:rsid w:val="255E3884"/>
    <w:rsid w:val="256CFC58"/>
    <w:rsid w:val="2575A8DE"/>
    <w:rsid w:val="25888CBE"/>
    <w:rsid w:val="258C1263"/>
    <w:rsid w:val="25A8DC0B"/>
    <w:rsid w:val="25A98F3F"/>
    <w:rsid w:val="25AC1134"/>
    <w:rsid w:val="25C5E2E0"/>
    <w:rsid w:val="25ECF662"/>
    <w:rsid w:val="25ED0418"/>
    <w:rsid w:val="25F43E68"/>
    <w:rsid w:val="25F6CDBC"/>
    <w:rsid w:val="25F9BCDC"/>
    <w:rsid w:val="260C724D"/>
    <w:rsid w:val="26233508"/>
    <w:rsid w:val="262510AA"/>
    <w:rsid w:val="262FC03B"/>
    <w:rsid w:val="2633FD17"/>
    <w:rsid w:val="263D4909"/>
    <w:rsid w:val="266D09D8"/>
    <w:rsid w:val="267F07D7"/>
    <w:rsid w:val="2685F06C"/>
    <w:rsid w:val="26889215"/>
    <w:rsid w:val="2699A24E"/>
    <w:rsid w:val="26A37A6B"/>
    <w:rsid w:val="26B731E6"/>
    <w:rsid w:val="26C7E594"/>
    <w:rsid w:val="26C8FEA7"/>
    <w:rsid w:val="26C90A17"/>
    <w:rsid w:val="26DDC8B3"/>
    <w:rsid w:val="26EB2927"/>
    <w:rsid w:val="26F12141"/>
    <w:rsid w:val="26F49620"/>
    <w:rsid w:val="271B0D4D"/>
    <w:rsid w:val="273A549B"/>
    <w:rsid w:val="273D6BE5"/>
    <w:rsid w:val="273E4D26"/>
    <w:rsid w:val="274BEF68"/>
    <w:rsid w:val="275D96A9"/>
    <w:rsid w:val="2761910E"/>
    <w:rsid w:val="2767B6AA"/>
    <w:rsid w:val="276D4CF1"/>
    <w:rsid w:val="278C3C13"/>
    <w:rsid w:val="2798FED7"/>
    <w:rsid w:val="27995FBE"/>
    <w:rsid w:val="27E1B4B3"/>
    <w:rsid w:val="2801E6F3"/>
    <w:rsid w:val="280E3B7C"/>
    <w:rsid w:val="28106DB6"/>
    <w:rsid w:val="281F2D2F"/>
    <w:rsid w:val="28471DFA"/>
    <w:rsid w:val="284E2F28"/>
    <w:rsid w:val="284F71E8"/>
    <w:rsid w:val="2850B19B"/>
    <w:rsid w:val="2862C839"/>
    <w:rsid w:val="28656E0F"/>
    <w:rsid w:val="286BDAA5"/>
    <w:rsid w:val="2875FCFC"/>
    <w:rsid w:val="28893532"/>
    <w:rsid w:val="289BD508"/>
    <w:rsid w:val="28A9399C"/>
    <w:rsid w:val="28B33BC7"/>
    <w:rsid w:val="28B45D02"/>
    <w:rsid w:val="28C2C0CA"/>
    <w:rsid w:val="28C34209"/>
    <w:rsid w:val="28D47849"/>
    <w:rsid w:val="28EF4AB2"/>
    <w:rsid w:val="28F37674"/>
    <w:rsid w:val="28FDCFDB"/>
    <w:rsid w:val="290003CF"/>
    <w:rsid w:val="291998F4"/>
    <w:rsid w:val="292860CF"/>
    <w:rsid w:val="29470632"/>
    <w:rsid w:val="29476CAA"/>
    <w:rsid w:val="2950964F"/>
    <w:rsid w:val="2969F61F"/>
    <w:rsid w:val="2978A528"/>
    <w:rsid w:val="298B99B3"/>
    <w:rsid w:val="2996907C"/>
    <w:rsid w:val="299A7D6E"/>
    <w:rsid w:val="299CCDB6"/>
    <w:rsid w:val="29AF16DF"/>
    <w:rsid w:val="29CDB854"/>
    <w:rsid w:val="29DFCB52"/>
    <w:rsid w:val="29EDACD1"/>
    <w:rsid w:val="29FDCE16"/>
    <w:rsid w:val="2A2D31F1"/>
    <w:rsid w:val="2A335183"/>
    <w:rsid w:val="2A3817BE"/>
    <w:rsid w:val="2A45907A"/>
    <w:rsid w:val="2A5E0430"/>
    <w:rsid w:val="2A62A294"/>
    <w:rsid w:val="2A62A62F"/>
    <w:rsid w:val="2A86B33B"/>
    <w:rsid w:val="2A8E6D51"/>
    <w:rsid w:val="2AC1CCAA"/>
    <w:rsid w:val="2AE46726"/>
    <w:rsid w:val="2AEF4474"/>
    <w:rsid w:val="2B08C495"/>
    <w:rsid w:val="2B201E18"/>
    <w:rsid w:val="2B271ED4"/>
    <w:rsid w:val="2B2F1EBB"/>
    <w:rsid w:val="2B31428F"/>
    <w:rsid w:val="2B52C4F4"/>
    <w:rsid w:val="2B54EDD0"/>
    <w:rsid w:val="2B67F080"/>
    <w:rsid w:val="2B6A05B6"/>
    <w:rsid w:val="2B6C6FFA"/>
    <w:rsid w:val="2B700F11"/>
    <w:rsid w:val="2B815A0D"/>
    <w:rsid w:val="2B863050"/>
    <w:rsid w:val="2B867918"/>
    <w:rsid w:val="2B89DDBE"/>
    <w:rsid w:val="2BBF9DC2"/>
    <w:rsid w:val="2BBFDCBE"/>
    <w:rsid w:val="2BE5468B"/>
    <w:rsid w:val="2BF5EE45"/>
    <w:rsid w:val="2C05C637"/>
    <w:rsid w:val="2C1A3F09"/>
    <w:rsid w:val="2C1F8126"/>
    <w:rsid w:val="2C2CD306"/>
    <w:rsid w:val="2C4417EF"/>
    <w:rsid w:val="2C6E58A1"/>
    <w:rsid w:val="2C803FCE"/>
    <w:rsid w:val="2C8E2DBD"/>
    <w:rsid w:val="2C949AF9"/>
    <w:rsid w:val="2CA2B699"/>
    <w:rsid w:val="2CB44F74"/>
    <w:rsid w:val="2CB4B3B3"/>
    <w:rsid w:val="2CBB5031"/>
    <w:rsid w:val="2CC7BD9C"/>
    <w:rsid w:val="2CD31ABD"/>
    <w:rsid w:val="2CDE47C3"/>
    <w:rsid w:val="2CDFCF12"/>
    <w:rsid w:val="2CE35CAF"/>
    <w:rsid w:val="2CE69E65"/>
    <w:rsid w:val="2D01E78E"/>
    <w:rsid w:val="2D2F5D3D"/>
    <w:rsid w:val="2D4A5060"/>
    <w:rsid w:val="2D59F75A"/>
    <w:rsid w:val="2D5A0133"/>
    <w:rsid w:val="2D693E81"/>
    <w:rsid w:val="2D7E2F89"/>
    <w:rsid w:val="2D8639DD"/>
    <w:rsid w:val="2D866719"/>
    <w:rsid w:val="2DAF11DA"/>
    <w:rsid w:val="2DB3B775"/>
    <w:rsid w:val="2DB840BC"/>
    <w:rsid w:val="2DBC118E"/>
    <w:rsid w:val="2DD46CC9"/>
    <w:rsid w:val="2DE80AB2"/>
    <w:rsid w:val="2DF2D79D"/>
    <w:rsid w:val="2DF907AD"/>
    <w:rsid w:val="2E0C5A64"/>
    <w:rsid w:val="2E1EEC4D"/>
    <w:rsid w:val="2E35F337"/>
    <w:rsid w:val="2E3DA2B4"/>
    <w:rsid w:val="2E4C58F2"/>
    <w:rsid w:val="2E5F2394"/>
    <w:rsid w:val="2E61F11F"/>
    <w:rsid w:val="2E734381"/>
    <w:rsid w:val="2E7812A0"/>
    <w:rsid w:val="2E7F4937"/>
    <w:rsid w:val="2EBDB563"/>
    <w:rsid w:val="2EC394D5"/>
    <w:rsid w:val="2EDFEA33"/>
    <w:rsid w:val="2EF786A6"/>
    <w:rsid w:val="2F059606"/>
    <w:rsid w:val="2F1E4875"/>
    <w:rsid w:val="2F1E7004"/>
    <w:rsid w:val="2F3108EC"/>
    <w:rsid w:val="2F358235"/>
    <w:rsid w:val="2F42787E"/>
    <w:rsid w:val="2F8211FD"/>
    <w:rsid w:val="2F91B731"/>
    <w:rsid w:val="2F99CCE8"/>
    <w:rsid w:val="2F9FA903"/>
    <w:rsid w:val="2FD78349"/>
    <w:rsid w:val="2FE537D2"/>
    <w:rsid w:val="2FE83CBA"/>
    <w:rsid w:val="2FE8AB1B"/>
    <w:rsid w:val="2FE8B59F"/>
    <w:rsid w:val="2FF7221C"/>
    <w:rsid w:val="2FFDF880"/>
    <w:rsid w:val="300C1B6F"/>
    <w:rsid w:val="300F6EA3"/>
    <w:rsid w:val="3028AAA1"/>
    <w:rsid w:val="30484E69"/>
    <w:rsid w:val="306A1241"/>
    <w:rsid w:val="3077FE17"/>
    <w:rsid w:val="30AA325F"/>
    <w:rsid w:val="30B651B2"/>
    <w:rsid w:val="30C75A46"/>
    <w:rsid w:val="30C95AA5"/>
    <w:rsid w:val="30D2937C"/>
    <w:rsid w:val="30E5BB7C"/>
    <w:rsid w:val="30FEE587"/>
    <w:rsid w:val="31025D6E"/>
    <w:rsid w:val="310AACDB"/>
    <w:rsid w:val="310D57E1"/>
    <w:rsid w:val="3120A8A2"/>
    <w:rsid w:val="31321B61"/>
    <w:rsid w:val="313D650A"/>
    <w:rsid w:val="314384F0"/>
    <w:rsid w:val="314A5C10"/>
    <w:rsid w:val="315799A3"/>
    <w:rsid w:val="31627DB4"/>
    <w:rsid w:val="31700606"/>
    <w:rsid w:val="3175A6DA"/>
    <w:rsid w:val="317FAE64"/>
    <w:rsid w:val="31801BDB"/>
    <w:rsid w:val="3184CC22"/>
    <w:rsid w:val="318B5F2C"/>
    <w:rsid w:val="3190E2A7"/>
    <w:rsid w:val="3192D995"/>
    <w:rsid w:val="31A7959A"/>
    <w:rsid w:val="31B0A9B0"/>
    <w:rsid w:val="31B999B6"/>
    <w:rsid w:val="31BA3174"/>
    <w:rsid w:val="31BD60C2"/>
    <w:rsid w:val="31C23AF8"/>
    <w:rsid w:val="31CA4569"/>
    <w:rsid w:val="31CC67D6"/>
    <w:rsid w:val="31D17128"/>
    <w:rsid w:val="31DF3A81"/>
    <w:rsid w:val="31E2CD9A"/>
    <w:rsid w:val="31F6B8F2"/>
    <w:rsid w:val="3203159F"/>
    <w:rsid w:val="320B7EB5"/>
    <w:rsid w:val="321052F2"/>
    <w:rsid w:val="32301917"/>
    <w:rsid w:val="323BF2B2"/>
    <w:rsid w:val="324FEF0F"/>
    <w:rsid w:val="325BAD9B"/>
    <w:rsid w:val="32850D6B"/>
    <w:rsid w:val="32C24780"/>
    <w:rsid w:val="32CC39A1"/>
    <w:rsid w:val="32CCE81B"/>
    <w:rsid w:val="32CFAA2D"/>
    <w:rsid w:val="32D0A745"/>
    <w:rsid w:val="32D151A8"/>
    <w:rsid w:val="32EB1A09"/>
    <w:rsid w:val="32F9481F"/>
    <w:rsid w:val="330317F2"/>
    <w:rsid w:val="331AC1C1"/>
    <w:rsid w:val="331B8DD7"/>
    <w:rsid w:val="331DE8B2"/>
    <w:rsid w:val="33220DC6"/>
    <w:rsid w:val="3329FFC3"/>
    <w:rsid w:val="332CBC61"/>
    <w:rsid w:val="3346CDC1"/>
    <w:rsid w:val="334BEB08"/>
    <w:rsid w:val="335C6E67"/>
    <w:rsid w:val="336DEB6B"/>
    <w:rsid w:val="337DD906"/>
    <w:rsid w:val="337F4040"/>
    <w:rsid w:val="33A0190D"/>
    <w:rsid w:val="33BBE1FF"/>
    <w:rsid w:val="33BDA860"/>
    <w:rsid w:val="33EC9E1E"/>
    <w:rsid w:val="3401E696"/>
    <w:rsid w:val="341FC5EF"/>
    <w:rsid w:val="342D2887"/>
    <w:rsid w:val="3452AAF3"/>
    <w:rsid w:val="345D6430"/>
    <w:rsid w:val="345D910F"/>
    <w:rsid w:val="3463F0ED"/>
    <w:rsid w:val="3485D69E"/>
    <w:rsid w:val="34A0399B"/>
    <w:rsid w:val="34A61070"/>
    <w:rsid w:val="34BEFD0B"/>
    <w:rsid w:val="34E086AA"/>
    <w:rsid w:val="35077E96"/>
    <w:rsid w:val="3510FBC7"/>
    <w:rsid w:val="35197219"/>
    <w:rsid w:val="352D3399"/>
    <w:rsid w:val="353D8230"/>
    <w:rsid w:val="3553ABA6"/>
    <w:rsid w:val="355AFEB8"/>
    <w:rsid w:val="3576C83B"/>
    <w:rsid w:val="359C5E95"/>
    <w:rsid w:val="35AF05D7"/>
    <w:rsid w:val="35B03309"/>
    <w:rsid w:val="35B1B104"/>
    <w:rsid w:val="35C7D14B"/>
    <w:rsid w:val="35D229A9"/>
    <w:rsid w:val="35DE9F6F"/>
    <w:rsid w:val="361534BA"/>
    <w:rsid w:val="36159DCE"/>
    <w:rsid w:val="3621F6F0"/>
    <w:rsid w:val="36240DA1"/>
    <w:rsid w:val="3638BED2"/>
    <w:rsid w:val="36495B4A"/>
    <w:rsid w:val="36499B63"/>
    <w:rsid w:val="36554F76"/>
    <w:rsid w:val="3668BFCD"/>
    <w:rsid w:val="366B0DD4"/>
    <w:rsid w:val="366E44E8"/>
    <w:rsid w:val="36765203"/>
    <w:rsid w:val="3687C271"/>
    <w:rsid w:val="36A2349D"/>
    <w:rsid w:val="36A6E3BE"/>
    <w:rsid w:val="36BFF81A"/>
    <w:rsid w:val="36CFD52B"/>
    <w:rsid w:val="36D0DB75"/>
    <w:rsid w:val="36D17B25"/>
    <w:rsid w:val="36D47B78"/>
    <w:rsid w:val="36DB3BC4"/>
    <w:rsid w:val="36FA75BE"/>
    <w:rsid w:val="36FFF57C"/>
    <w:rsid w:val="3702DEFF"/>
    <w:rsid w:val="370CAFE3"/>
    <w:rsid w:val="371E3B0F"/>
    <w:rsid w:val="37427857"/>
    <w:rsid w:val="374C9029"/>
    <w:rsid w:val="3758E107"/>
    <w:rsid w:val="376D370B"/>
    <w:rsid w:val="3772D4AA"/>
    <w:rsid w:val="377BFFE4"/>
    <w:rsid w:val="377E598F"/>
    <w:rsid w:val="3781077E"/>
    <w:rsid w:val="3789A561"/>
    <w:rsid w:val="378AD057"/>
    <w:rsid w:val="37A00857"/>
    <w:rsid w:val="37ADB693"/>
    <w:rsid w:val="37BD8E62"/>
    <w:rsid w:val="37CE14F3"/>
    <w:rsid w:val="37D1D5E7"/>
    <w:rsid w:val="37DC0649"/>
    <w:rsid w:val="37DCF9AD"/>
    <w:rsid w:val="37F7D2D0"/>
    <w:rsid w:val="381004AA"/>
    <w:rsid w:val="381E393F"/>
    <w:rsid w:val="3821351A"/>
    <w:rsid w:val="3824AA69"/>
    <w:rsid w:val="383E0964"/>
    <w:rsid w:val="38507A1F"/>
    <w:rsid w:val="385654F4"/>
    <w:rsid w:val="38592244"/>
    <w:rsid w:val="38635512"/>
    <w:rsid w:val="3868C62D"/>
    <w:rsid w:val="3889B6AB"/>
    <w:rsid w:val="3895ED5C"/>
    <w:rsid w:val="389B475F"/>
    <w:rsid w:val="389F1296"/>
    <w:rsid w:val="389F4587"/>
    <w:rsid w:val="38B43DC7"/>
    <w:rsid w:val="38BF41DE"/>
    <w:rsid w:val="38DC0078"/>
    <w:rsid w:val="38DFC885"/>
    <w:rsid w:val="38E42598"/>
    <w:rsid w:val="38E4D2AD"/>
    <w:rsid w:val="38F951DC"/>
    <w:rsid w:val="3912656D"/>
    <w:rsid w:val="392B6C0B"/>
    <w:rsid w:val="394FE5A6"/>
    <w:rsid w:val="3965B44B"/>
    <w:rsid w:val="396A886E"/>
    <w:rsid w:val="396D5229"/>
    <w:rsid w:val="39905B91"/>
    <w:rsid w:val="399D7440"/>
    <w:rsid w:val="39AFA805"/>
    <w:rsid w:val="39B90B80"/>
    <w:rsid w:val="39BBC98F"/>
    <w:rsid w:val="39D02030"/>
    <w:rsid w:val="39D1E388"/>
    <w:rsid w:val="39D54EFB"/>
    <w:rsid w:val="39F070DC"/>
    <w:rsid w:val="3A024C23"/>
    <w:rsid w:val="3A248009"/>
    <w:rsid w:val="3A32AB25"/>
    <w:rsid w:val="3A37CF01"/>
    <w:rsid w:val="3A3F0FAA"/>
    <w:rsid w:val="3A48CC2E"/>
    <w:rsid w:val="3A6B07EE"/>
    <w:rsid w:val="3A6FC03B"/>
    <w:rsid w:val="3A7A6F66"/>
    <w:rsid w:val="3A932805"/>
    <w:rsid w:val="3AD254D9"/>
    <w:rsid w:val="3AD26581"/>
    <w:rsid w:val="3AEB7A9C"/>
    <w:rsid w:val="3AF2607F"/>
    <w:rsid w:val="3B2787CA"/>
    <w:rsid w:val="3B359A51"/>
    <w:rsid w:val="3B4A7302"/>
    <w:rsid w:val="3B5F8BB9"/>
    <w:rsid w:val="3B6AFA6B"/>
    <w:rsid w:val="3B7493D5"/>
    <w:rsid w:val="3B81B0CE"/>
    <w:rsid w:val="3B8795A2"/>
    <w:rsid w:val="3B88AE9E"/>
    <w:rsid w:val="3B9C29BD"/>
    <w:rsid w:val="3BAA0E8B"/>
    <w:rsid w:val="3BB18392"/>
    <w:rsid w:val="3BB511F9"/>
    <w:rsid w:val="3BB86539"/>
    <w:rsid w:val="3BB8F38D"/>
    <w:rsid w:val="3BBAF340"/>
    <w:rsid w:val="3BF71F1F"/>
    <w:rsid w:val="3C045133"/>
    <w:rsid w:val="3C0FFD75"/>
    <w:rsid w:val="3C223DA7"/>
    <w:rsid w:val="3C2B6849"/>
    <w:rsid w:val="3C2D3124"/>
    <w:rsid w:val="3C3EC02B"/>
    <w:rsid w:val="3C3F69D4"/>
    <w:rsid w:val="3C4242F6"/>
    <w:rsid w:val="3C453324"/>
    <w:rsid w:val="3C4B6559"/>
    <w:rsid w:val="3C544E4A"/>
    <w:rsid w:val="3C566638"/>
    <w:rsid w:val="3C5A17EC"/>
    <w:rsid w:val="3C684DD4"/>
    <w:rsid w:val="3C7D350F"/>
    <w:rsid w:val="3C7EF4C0"/>
    <w:rsid w:val="3CA3A6F4"/>
    <w:rsid w:val="3CBF2D03"/>
    <w:rsid w:val="3CDB2B72"/>
    <w:rsid w:val="3CF095E8"/>
    <w:rsid w:val="3CF34E5A"/>
    <w:rsid w:val="3CF558CD"/>
    <w:rsid w:val="3CF71CA4"/>
    <w:rsid w:val="3D06189C"/>
    <w:rsid w:val="3D0CCA2C"/>
    <w:rsid w:val="3D2ED268"/>
    <w:rsid w:val="3D6E5904"/>
    <w:rsid w:val="3D6EC45E"/>
    <w:rsid w:val="3D7CE828"/>
    <w:rsid w:val="3D83E71E"/>
    <w:rsid w:val="3DB3CBEA"/>
    <w:rsid w:val="3DB59A07"/>
    <w:rsid w:val="3DBBF13F"/>
    <w:rsid w:val="3DE65A3B"/>
    <w:rsid w:val="3E151091"/>
    <w:rsid w:val="3E16C916"/>
    <w:rsid w:val="3E1DAC06"/>
    <w:rsid w:val="3E427D23"/>
    <w:rsid w:val="3E43555A"/>
    <w:rsid w:val="3E48FA92"/>
    <w:rsid w:val="3E679799"/>
    <w:rsid w:val="3E726644"/>
    <w:rsid w:val="3E8214F6"/>
    <w:rsid w:val="3EA05955"/>
    <w:rsid w:val="3EA91937"/>
    <w:rsid w:val="3EAFBAD8"/>
    <w:rsid w:val="3EB58A82"/>
    <w:rsid w:val="3EBBF9AB"/>
    <w:rsid w:val="3ECF99DB"/>
    <w:rsid w:val="3ED85A21"/>
    <w:rsid w:val="3EE0328A"/>
    <w:rsid w:val="3EE5AC67"/>
    <w:rsid w:val="3EE907FB"/>
    <w:rsid w:val="3F0C5F6A"/>
    <w:rsid w:val="3F1C81A9"/>
    <w:rsid w:val="3F1EADEF"/>
    <w:rsid w:val="3F41AF69"/>
    <w:rsid w:val="3F51C9FA"/>
    <w:rsid w:val="3F59CE62"/>
    <w:rsid w:val="3F721208"/>
    <w:rsid w:val="3F94DAC6"/>
    <w:rsid w:val="3FA67267"/>
    <w:rsid w:val="3FA90CD6"/>
    <w:rsid w:val="3FAADE6C"/>
    <w:rsid w:val="3FB4BAB2"/>
    <w:rsid w:val="3FBF8599"/>
    <w:rsid w:val="3FC3D556"/>
    <w:rsid w:val="3FC997E8"/>
    <w:rsid w:val="3FDBDCCB"/>
    <w:rsid w:val="3FE7FC6C"/>
    <w:rsid w:val="3FE86FBA"/>
    <w:rsid w:val="3FE932B6"/>
    <w:rsid w:val="3FEC9939"/>
    <w:rsid w:val="400A9003"/>
    <w:rsid w:val="400F9680"/>
    <w:rsid w:val="4019EBE6"/>
    <w:rsid w:val="401C7641"/>
    <w:rsid w:val="40401B98"/>
    <w:rsid w:val="4053ED49"/>
    <w:rsid w:val="405AE851"/>
    <w:rsid w:val="4065C7B4"/>
    <w:rsid w:val="4067BFDE"/>
    <w:rsid w:val="409C58ED"/>
    <w:rsid w:val="40AA359E"/>
    <w:rsid w:val="40BDC82E"/>
    <w:rsid w:val="40D4FE08"/>
    <w:rsid w:val="40D6E51E"/>
    <w:rsid w:val="40D7491C"/>
    <w:rsid w:val="40E81059"/>
    <w:rsid w:val="40EDD56C"/>
    <w:rsid w:val="40F9FBEB"/>
    <w:rsid w:val="4119EA91"/>
    <w:rsid w:val="411AB6EB"/>
    <w:rsid w:val="41387EA8"/>
    <w:rsid w:val="414D2356"/>
    <w:rsid w:val="41577997"/>
    <w:rsid w:val="416D97AA"/>
    <w:rsid w:val="416DE235"/>
    <w:rsid w:val="41778320"/>
    <w:rsid w:val="4180CA5E"/>
    <w:rsid w:val="419DB89F"/>
    <w:rsid w:val="41B6064C"/>
    <w:rsid w:val="41D1607D"/>
    <w:rsid w:val="41D57F7E"/>
    <w:rsid w:val="41D7DED8"/>
    <w:rsid w:val="41DB0F29"/>
    <w:rsid w:val="41FE8A2F"/>
    <w:rsid w:val="420862D2"/>
    <w:rsid w:val="4216B147"/>
    <w:rsid w:val="421C15C7"/>
    <w:rsid w:val="421FA4B4"/>
    <w:rsid w:val="4249AF27"/>
    <w:rsid w:val="4268C3C8"/>
    <w:rsid w:val="42743765"/>
    <w:rsid w:val="427F6732"/>
    <w:rsid w:val="42834771"/>
    <w:rsid w:val="42896F71"/>
    <w:rsid w:val="428D2982"/>
    <w:rsid w:val="42B45936"/>
    <w:rsid w:val="42BF11BA"/>
    <w:rsid w:val="42DC4E3D"/>
    <w:rsid w:val="42E5AB8E"/>
    <w:rsid w:val="42FB8598"/>
    <w:rsid w:val="432DA7F6"/>
    <w:rsid w:val="4333F376"/>
    <w:rsid w:val="43390F75"/>
    <w:rsid w:val="433940AC"/>
    <w:rsid w:val="433EB08E"/>
    <w:rsid w:val="434D772E"/>
    <w:rsid w:val="4355129E"/>
    <w:rsid w:val="4363573E"/>
    <w:rsid w:val="437296BE"/>
    <w:rsid w:val="437B42D4"/>
    <w:rsid w:val="438049EC"/>
    <w:rsid w:val="438F4ECF"/>
    <w:rsid w:val="43C519C8"/>
    <w:rsid w:val="43D79537"/>
    <w:rsid w:val="43E05718"/>
    <w:rsid w:val="43E5148D"/>
    <w:rsid w:val="4408974D"/>
    <w:rsid w:val="440B9295"/>
    <w:rsid w:val="441A2F27"/>
    <w:rsid w:val="441BAEED"/>
    <w:rsid w:val="4427F8AD"/>
    <w:rsid w:val="4428646C"/>
    <w:rsid w:val="442BC1B3"/>
    <w:rsid w:val="4452252A"/>
    <w:rsid w:val="44732E0D"/>
    <w:rsid w:val="447FE6E6"/>
    <w:rsid w:val="449C3F89"/>
    <w:rsid w:val="44A6EC87"/>
    <w:rsid w:val="44B11BC5"/>
    <w:rsid w:val="44B9084F"/>
    <w:rsid w:val="44BD88EB"/>
    <w:rsid w:val="44CFCE79"/>
    <w:rsid w:val="44D0F6FE"/>
    <w:rsid w:val="44E38FE0"/>
    <w:rsid w:val="451C8697"/>
    <w:rsid w:val="451C9EEA"/>
    <w:rsid w:val="451E6AE8"/>
    <w:rsid w:val="45280CAB"/>
    <w:rsid w:val="45462B7F"/>
    <w:rsid w:val="45574289"/>
    <w:rsid w:val="455D8733"/>
    <w:rsid w:val="455E0FDF"/>
    <w:rsid w:val="4571182F"/>
    <w:rsid w:val="458452D7"/>
    <w:rsid w:val="458D4160"/>
    <w:rsid w:val="459DED27"/>
    <w:rsid w:val="45A99D63"/>
    <w:rsid w:val="45B3C674"/>
    <w:rsid w:val="45B7C0CC"/>
    <w:rsid w:val="45C0C6BF"/>
    <w:rsid w:val="45E91A10"/>
    <w:rsid w:val="45ECF652"/>
    <w:rsid w:val="45EDE7A5"/>
    <w:rsid w:val="45F0D37A"/>
    <w:rsid w:val="45FB7E3C"/>
    <w:rsid w:val="460D4574"/>
    <w:rsid w:val="4620152D"/>
    <w:rsid w:val="46216C66"/>
    <w:rsid w:val="462D512A"/>
    <w:rsid w:val="46575D11"/>
    <w:rsid w:val="46606BD6"/>
    <w:rsid w:val="46661DFA"/>
    <w:rsid w:val="466F6B99"/>
    <w:rsid w:val="46AD3154"/>
    <w:rsid w:val="46B8441D"/>
    <w:rsid w:val="46D9B18F"/>
    <w:rsid w:val="46DCA9F2"/>
    <w:rsid w:val="46DE3284"/>
    <w:rsid w:val="46E4BF94"/>
    <w:rsid w:val="46F58161"/>
    <w:rsid w:val="470B8856"/>
    <w:rsid w:val="4715790E"/>
    <w:rsid w:val="472290D8"/>
    <w:rsid w:val="472F2803"/>
    <w:rsid w:val="47357BB5"/>
    <w:rsid w:val="473CA4B1"/>
    <w:rsid w:val="476CF3E0"/>
    <w:rsid w:val="47944F07"/>
    <w:rsid w:val="47B0BD67"/>
    <w:rsid w:val="47B5A101"/>
    <w:rsid w:val="47B5F774"/>
    <w:rsid w:val="47DEB3D4"/>
    <w:rsid w:val="47EF8803"/>
    <w:rsid w:val="47F80C75"/>
    <w:rsid w:val="47F9A70F"/>
    <w:rsid w:val="4807C848"/>
    <w:rsid w:val="482FC3BD"/>
    <w:rsid w:val="48361513"/>
    <w:rsid w:val="4849BBEC"/>
    <w:rsid w:val="484F03F7"/>
    <w:rsid w:val="4852DB04"/>
    <w:rsid w:val="4853533C"/>
    <w:rsid w:val="48581356"/>
    <w:rsid w:val="4859F53F"/>
    <w:rsid w:val="486C51E9"/>
    <w:rsid w:val="4870D63B"/>
    <w:rsid w:val="4877B40C"/>
    <w:rsid w:val="488A6CD2"/>
    <w:rsid w:val="488C8FEB"/>
    <w:rsid w:val="48A38736"/>
    <w:rsid w:val="48B25BA0"/>
    <w:rsid w:val="48C3D010"/>
    <w:rsid w:val="48C488E6"/>
    <w:rsid w:val="48C56178"/>
    <w:rsid w:val="48C77643"/>
    <w:rsid w:val="48D5224A"/>
    <w:rsid w:val="48DE6A7B"/>
    <w:rsid w:val="48DEC15D"/>
    <w:rsid w:val="48EEDF77"/>
    <w:rsid w:val="48FF3E92"/>
    <w:rsid w:val="4920494F"/>
    <w:rsid w:val="4920CBAE"/>
    <w:rsid w:val="4934B5EA"/>
    <w:rsid w:val="493A5E0F"/>
    <w:rsid w:val="4944A0C7"/>
    <w:rsid w:val="4945496F"/>
    <w:rsid w:val="4954028B"/>
    <w:rsid w:val="4956138E"/>
    <w:rsid w:val="495C5EC0"/>
    <w:rsid w:val="496FD48D"/>
    <w:rsid w:val="49C0367E"/>
    <w:rsid w:val="49C7DF2E"/>
    <w:rsid w:val="49DA86D4"/>
    <w:rsid w:val="49EBCA19"/>
    <w:rsid w:val="49F4BC7C"/>
    <w:rsid w:val="49FE5F28"/>
    <w:rsid w:val="4A0EAFE0"/>
    <w:rsid w:val="4A14460F"/>
    <w:rsid w:val="4A17B3FB"/>
    <w:rsid w:val="4A259DA4"/>
    <w:rsid w:val="4A2C0D49"/>
    <w:rsid w:val="4A51B75C"/>
    <w:rsid w:val="4A5B9428"/>
    <w:rsid w:val="4A6EDE57"/>
    <w:rsid w:val="4A8B396D"/>
    <w:rsid w:val="4A9D80D8"/>
    <w:rsid w:val="4AC057B8"/>
    <w:rsid w:val="4AC20964"/>
    <w:rsid w:val="4ADE6C1B"/>
    <w:rsid w:val="4AE50A3D"/>
    <w:rsid w:val="4AED333C"/>
    <w:rsid w:val="4AF5D898"/>
    <w:rsid w:val="4AF999D4"/>
    <w:rsid w:val="4B0433C9"/>
    <w:rsid w:val="4B0A5620"/>
    <w:rsid w:val="4B0B5F73"/>
    <w:rsid w:val="4B0C0905"/>
    <w:rsid w:val="4B12EB70"/>
    <w:rsid w:val="4B1F0604"/>
    <w:rsid w:val="4B6FC406"/>
    <w:rsid w:val="4B87C989"/>
    <w:rsid w:val="4BA2B9E2"/>
    <w:rsid w:val="4BC3603E"/>
    <w:rsid w:val="4BCB4218"/>
    <w:rsid w:val="4BDD57E3"/>
    <w:rsid w:val="4BF3133F"/>
    <w:rsid w:val="4BFB9429"/>
    <w:rsid w:val="4C12AA97"/>
    <w:rsid w:val="4C1866C5"/>
    <w:rsid w:val="4C3E4934"/>
    <w:rsid w:val="4C55997E"/>
    <w:rsid w:val="4C56938F"/>
    <w:rsid w:val="4C65D0A1"/>
    <w:rsid w:val="4C66F489"/>
    <w:rsid w:val="4C7651D7"/>
    <w:rsid w:val="4C7DCD00"/>
    <w:rsid w:val="4C84807A"/>
    <w:rsid w:val="4C96B681"/>
    <w:rsid w:val="4C9A1629"/>
    <w:rsid w:val="4CA0E156"/>
    <w:rsid w:val="4CB6B104"/>
    <w:rsid w:val="4CD0A9A5"/>
    <w:rsid w:val="4CDE1D0B"/>
    <w:rsid w:val="4CE1452A"/>
    <w:rsid w:val="4CE51198"/>
    <w:rsid w:val="4CE86EE8"/>
    <w:rsid w:val="4D0E2944"/>
    <w:rsid w:val="4D123EBB"/>
    <w:rsid w:val="4D3F0792"/>
    <w:rsid w:val="4D506176"/>
    <w:rsid w:val="4D62ED55"/>
    <w:rsid w:val="4D653B70"/>
    <w:rsid w:val="4DA9C46A"/>
    <w:rsid w:val="4DAE2914"/>
    <w:rsid w:val="4DB198DE"/>
    <w:rsid w:val="4DBF48EE"/>
    <w:rsid w:val="4DC39677"/>
    <w:rsid w:val="4DD9E59C"/>
    <w:rsid w:val="4DDE8CC0"/>
    <w:rsid w:val="4DE5C4B4"/>
    <w:rsid w:val="4DFDB65D"/>
    <w:rsid w:val="4E0250F7"/>
    <w:rsid w:val="4E0AD2CA"/>
    <w:rsid w:val="4E1043E1"/>
    <w:rsid w:val="4E2473CB"/>
    <w:rsid w:val="4E38C577"/>
    <w:rsid w:val="4E3DFE03"/>
    <w:rsid w:val="4E48EC89"/>
    <w:rsid w:val="4E542DFA"/>
    <w:rsid w:val="4E57BB56"/>
    <w:rsid w:val="4E5E2B80"/>
    <w:rsid w:val="4E65BBED"/>
    <w:rsid w:val="4E82CA31"/>
    <w:rsid w:val="4E8892CE"/>
    <w:rsid w:val="4EA006A4"/>
    <w:rsid w:val="4EA92BA1"/>
    <w:rsid w:val="4EAD884B"/>
    <w:rsid w:val="4EB35443"/>
    <w:rsid w:val="4ED624B4"/>
    <w:rsid w:val="4EF51F4C"/>
    <w:rsid w:val="4EFE2ED5"/>
    <w:rsid w:val="4F0BC15F"/>
    <w:rsid w:val="4F0D30E6"/>
    <w:rsid w:val="4F1D82B0"/>
    <w:rsid w:val="4F220F6F"/>
    <w:rsid w:val="4F25EE25"/>
    <w:rsid w:val="4F267EB8"/>
    <w:rsid w:val="4F543087"/>
    <w:rsid w:val="4F56CE07"/>
    <w:rsid w:val="4F678D30"/>
    <w:rsid w:val="4FCD474E"/>
    <w:rsid w:val="4FF31AF0"/>
    <w:rsid w:val="4FF7DAE6"/>
    <w:rsid w:val="501035B4"/>
    <w:rsid w:val="501E7380"/>
    <w:rsid w:val="5026458A"/>
    <w:rsid w:val="5049CAD0"/>
    <w:rsid w:val="507536F9"/>
    <w:rsid w:val="507AE90C"/>
    <w:rsid w:val="508EB419"/>
    <w:rsid w:val="509301DE"/>
    <w:rsid w:val="50A2A2E0"/>
    <w:rsid w:val="50AEFD9E"/>
    <w:rsid w:val="50C781FD"/>
    <w:rsid w:val="50E1410F"/>
    <w:rsid w:val="50EF8FBE"/>
    <w:rsid w:val="50F6CE4E"/>
    <w:rsid w:val="510B7C34"/>
    <w:rsid w:val="510B84FB"/>
    <w:rsid w:val="51106AAE"/>
    <w:rsid w:val="51164E25"/>
    <w:rsid w:val="5121F92C"/>
    <w:rsid w:val="514229D5"/>
    <w:rsid w:val="5144BBF1"/>
    <w:rsid w:val="514F4336"/>
    <w:rsid w:val="514F9D6D"/>
    <w:rsid w:val="5150606E"/>
    <w:rsid w:val="51562644"/>
    <w:rsid w:val="51662BAA"/>
    <w:rsid w:val="517217D7"/>
    <w:rsid w:val="51975EB6"/>
    <w:rsid w:val="519EFC39"/>
    <w:rsid w:val="51BB4146"/>
    <w:rsid w:val="51D3AD30"/>
    <w:rsid w:val="51DBDE78"/>
    <w:rsid w:val="51DF8E57"/>
    <w:rsid w:val="51FC276A"/>
    <w:rsid w:val="5237D75F"/>
    <w:rsid w:val="5242408B"/>
    <w:rsid w:val="5246284A"/>
    <w:rsid w:val="5246C40F"/>
    <w:rsid w:val="52537B07"/>
    <w:rsid w:val="5264728F"/>
    <w:rsid w:val="5277D32C"/>
    <w:rsid w:val="527FF213"/>
    <w:rsid w:val="528A63A2"/>
    <w:rsid w:val="529E7F59"/>
    <w:rsid w:val="52B29F89"/>
    <w:rsid w:val="52D3FFE7"/>
    <w:rsid w:val="530D6781"/>
    <w:rsid w:val="5321E27F"/>
    <w:rsid w:val="533D3BFC"/>
    <w:rsid w:val="53508A45"/>
    <w:rsid w:val="535A5668"/>
    <w:rsid w:val="535CFD3B"/>
    <w:rsid w:val="5362C5E1"/>
    <w:rsid w:val="53634B10"/>
    <w:rsid w:val="53880827"/>
    <w:rsid w:val="539BB419"/>
    <w:rsid w:val="53D09B7B"/>
    <w:rsid w:val="53DC7698"/>
    <w:rsid w:val="53EB9AD2"/>
    <w:rsid w:val="53EDEBA6"/>
    <w:rsid w:val="53F7ED68"/>
    <w:rsid w:val="53FAD364"/>
    <w:rsid w:val="5400863C"/>
    <w:rsid w:val="544BCAFC"/>
    <w:rsid w:val="54707BDA"/>
    <w:rsid w:val="547EB53F"/>
    <w:rsid w:val="5484DBA5"/>
    <w:rsid w:val="5487D7F8"/>
    <w:rsid w:val="548FE753"/>
    <w:rsid w:val="549ECB4E"/>
    <w:rsid w:val="54A3E79D"/>
    <w:rsid w:val="54B50154"/>
    <w:rsid w:val="54CA4B5C"/>
    <w:rsid w:val="54D7217B"/>
    <w:rsid w:val="54E18D7E"/>
    <w:rsid w:val="54FEC54C"/>
    <w:rsid w:val="5501A741"/>
    <w:rsid w:val="55121259"/>
    <w:rsid w:val="5512927A"/>
    <w:rsid w:val="551C2BFF"/>
    <w:rsid w:val="5520589F"/>
    <w:rsid w:val="555797FB"/>
    <w:rsid w:val="555AA4C3"/>
    <w:rsid w:val="55656D22"/>
    <w:rsid w:val="556BCBFD"/>
    <w:rsid w:val="557075BF"/>
    <w:rsid w:val="557D165B"/>
    <w:rsid w:val="55865E18"/>
    <w:rsid w:val="55BC3BEF"/>
    <w:rsid w:val="55E03BB2"/>
    <w:rsid w:val="55F5DE65"/>
    <w:rsid w:val="55FD72DD"/>
    <w:rsid w:val="560DF347"/>
    <w:rsid w:val="560F91E8"/>
    <w:rsid w:val="563A974F"/>
    <w:rsid w:val="563E78C7"/>
    <w:rsid w:val="5644BD36"/>
    <w:rsid w:val="56617FA0"/>
    <w:rsid w:val="567D0992"/>
    <w:rsid w:val="56AA046B"/>
    <w:rsid w:val="56B9A2A0"/>
    <w:rsid w:val="56C01AC1"/>
    <w:rsid w:val="56C4ECA1"/>
    <w:rsid w:val="56C65F61"/>
    <w:rsid w:val="56C9A874"/>
    <w:rsid w:val="56EE1BAD"/>
    <w:rsid w:val="56F25B1F"/>
    <w:rsid w:val="56FBE575"/>
    <w:rsid w:val="570B205C"/>
    <w:rsid w:val="5721C228"/>
    <w:rsid w:val="5727E5F4"/>
    <w:rsid w:val="5729453A"/>
    <w:rsid w:val="572F181D"/>
    <w:rsid w:val="574208E3"/>
    <w:rsid w:val="5752D193"/>
    <w:rsid w:val="575CAD9B"/>
    <w:rsid w:val="576184E2"/>
    <w:rsid w:val="57738EBD"/>
    <w:rsid w:val="577E3897"/>
    <w:rsid w:val="5781B227"/>
    <w:rsid w:val="5784FEA3"/>
    <w:rsid w:val="578C60DE"/>
    <w:rsid w:val="57960E21"/>
    <w:rsid w:val="57B89579"/>
    <w:rsid w:val="57D7BB97"/>
    <w:rsid w:val="57DD9697"/>
    <w:rsid w:val="57E8C540"/>
    <w:rsid w:val="57E928C1"/>
    <w:rsid w:val="57FD76C8"/>
    <w:rsid w:val="5820CFCA"/>
    <w:rsid w:val="582EC70A"/>
    <w:rsid w:val="583B5F4B"/>
    <w:rsid w:val="585766BE"/>
    <w:rsid w:val="586791BB"/>
    <w:rsid w:val="5873A651"/>
    <w:rsid w:val="5878AFF5"/>
    <w:rsid w:val="5890012E"/>
    <w:rsid w:val="5891FE76"/>
    <w:rsid w:val="5895BE0F"/>
    <w:rsid w:val="58B47569"/>
    <w:rsid w:val="58DD22FF"/>
    <w:rsid w:val="58E4D3E8"/>
    <w:rsid w:val="58E564F0"/>
    <w:rsid w:val="58EB721E"/>
    <w:rsid w:val="58EC6FFA"/>
    <w:rsid w:val="58F02466"/>
    <w:rsid w:val="59049054"/>
    <w:rsid w:val="5918A24E"/>
    <w:rsid w:val="592D0D10"/>
    <w:rsid w:val="593508B3"/>
    <w:rsid w:val="593BF822"/>
    <w:rsid w:val="594029A2"/>
    <w:rsid w:val="5942E81B"/>
    <w:rsid w:val="5945E8A1"/>
    <w:rsid w:val="594BF8E3"/>
    <w:rsid w:val="5953F2FC"/>
    <w:rsid w:val="5961AB44"/>
    <w:rsid w:val="5964FC26"/>
    <w:rsid w:val="596EDA90"/>
    <w:rsid w:val="597B08D1"/>
    <w:rsid w:val="598B476A"/>
    <w:rsid w:val="599F02F3"/>
    <w:rsid w:val="59A79FDB"/>
    <w:rsid w:val="59D23C66"/>
    <w:rsid w:val="59F920A2"/>
    <w:rsid w:val="5A32D6A6"/>
    <w:rsid w:val="5A40815D"/>
    <w:rsid w:val="5A53B72E"/>
    <w:rsid w:val="5A59A265"/>
    <w:rsid w:val="5A5AC7F3"/>
    <w:rsid w:val="5A75AE23"/>
    <w:rsid w:val="5A8102A9"/>
    <w:rsid w:val="5A829BAB"/>
    <w:rsid w:val="5A875FE6"/>
    <w:rsid w:val="5A8FFCA0"/>
    <w:rsid w:val="5AA3CC83"/>
    <w:rsid w:val="5AC22713"/>
    <w:rsid w:val="5AC33717"/>
    <w:rsid w:val="5AC73B9C"/>
    <w:rsid w:val="5AE1A487"/>
    <w:rsid w:val="5AEF652F"/>
    <w:rsid w:val="5AF0C9B9"/>
    <w:rsid w:val="5B17EA05"/>
    <w:rsid w:val="5B3404DA"/>
    <w:rsid w:val="5B4544B3"/>
    <w:rsid w:val="5B4B6B11"/>
    <w:rsid w:val="5B6DE9DA"/>
    <w:rsid w:val="5B73F951"/>
    <w:rsid w:val="5B8CE80E"/>
    <w:rsid w:val="5B9AC83B"/>
    <w:rsid w:val="5BA2DD1F"/>
    <w:rsid w:val="5BAB0EA4"/>
    <w:rsid w:val="5BFAB7C1"/>
    <w:rsid w:val="5C111BDD"/>
    <w:rsid w:val="5C3097AF"/>
    <w:rsid w:val="5C3FB477"/>
    <w:rsid w:val="5C4E7B02"/>
    <w:rsid w:val="5C4ECBC4"/>
    <w:rsid w:val="5C6063A4"/>
    <w:rsid w:val="5C666E22"/>
    <w:rsid w:val="5C7C0316"/>
    <w:rsid w:val="5C8948C4"/>
    <w:rsid w:val="5C8EA89C"/>
    <w:rsid w:val="5C99B8EA"/>
    <w:rsid w:val="5CA4DD23"/>
    <w:rsid w:val="5CC0758E"/>
    <w:rsid w:val="5CC49E6C"/>
    <w:rsid w:val="5CD4E344"/>
    <w:rsid w:val="5CEB5C69"/>
    <w:rsid w:val="5CED2BF9"/>
    <w:rsid w:val="5CFC6116"/>
    <w:rsid w:val="5CFE4124"/>
    <w:rsid w:val="5D05A749"/>
    <w:rsid w:val="5D09F2E5"/>
    <w:rsid w:val="5D0FDB9A"/>
    <w:rsid w:val="5D1259B3"/>
    <w:rsid w:val="5D1F2963"/>
    <w:rsid w:val="5D29CF4B"/>
    <w:rsid w:val="5D3B83AE"/>
    <w:rsid w:val="5D412190"/>
    <w:rsid w:val="5D4C84DF"/>
    <w:rsid w:val="5D53D4DA"/>
    <w:rsid w:val="5DA362D1"/>
    <w:rsid w:val="5DB48E80"/>
    <w:rsid w:val="5DC2FD93"/>
    <w:rsid w:val="5DF51803"/>
    <w:rsid w:val="5E045D5D"/>
    <w:rsid w:val="5E0A7D53"/>
    <w:rsid w:val="5E0A8F6D"/>
    <w:rsid w:val="5E3CA56F"/>
    <w:rsid w:val="5E3DFD60"/>
    <w:rsid w:val="5E4495BC"/>
    <w:rsid w:val="5E493A66"/>
    <w:rsid w:val="5E608662"/>
    <w:rsid w:val="5E6ADD26"/>
    <w:rsid w:val="5E7395C6"/>
    <w:rsid w:val="5E73D2FA"/>
    <w:rsid w:val="5E874E99"/>
    <w:rsid w:val="5E8A13D0"/>
    <w:rsid w:val="5E939F53"/>
    <w:rsid w:val="5EA8D4F0"/>
    <w:rsid w:val="5EAB74F4"/>
    <w:rsid w:val="5EB8D92A"/>
    <w:rsid w:val="5EBA1B71"/>
    <w:rsid w:val="5EDEEF87"/>
    <w:rsid w:val="5F031BE7"/>
    <w:rsid w:val="5F1F8017"/>
    <w:rsid w:val="5F2677BC"/>
    <w:rsid w:val="5F2E1143"/>
    <w:rsid w:val="5F30D8F6"/>
    <w:rsid w:val="5F5F0559"/>
    <w:rsid w:val="5F6C9CCA"/>
    <w:rsid w:val="5F71243A"/>
    <w:rsid w:val="5F88ED9C"/>
    <w:rsid w:val="5FA29A10"/>
    <w:rsid w:val="5FC1ACBE"/>
    <w:rsid w:val="5FC480C3"/>
    <w:rsid w:val="5FD959BE"/>
    <w:rsid w:val="5FDDF780"/>
    <w:rsid w:val="5FEBC604"/>
    <w:rsid w:val="5FEDB2FD"/>
    <w:rsid w:val="5FF6F00E"/>
    <w:rsid w:val="600211B3"/>
    <w:rsid w:val="6007A51C"/>
    <w:rsid w:val="6017876E"/>
    <w:rsid w:val="601C79BE"/>
    <w:rsid w:val="60272631"/>
    <w:rsid w:val="6057B4ED"/>
    <w:rsid w:val="60589D53"/>
    <w:rsid w:val="6059FE3D"/>
    <w:rsid w:val="606DD50C"/>
    <w:rsid w:val="607A384D"/>
    <w:rsid w:val="60814B22"/>
    <w:rsid w:val="608E4396"/>
    <w:rsid w:val="6095AF52"/>
    <w:rsid w:val="609E243F"/>
    <w:rsid w:val="60C093DA"/>
    <w:rsid w:val="60C63741"/>
    <w:rsid w:val="60DEEE22"/>
    <w:rsid w:val="60EA8361"/>
    <w:rsid w:val="60F8F7AB"/>
    <w:rsid w:val="6106A554"/>
    <w:rsid w:val="610FCDD8"/>
    <w:rsid w:val="61111D10"/>
    <w:rsid w:val="61395ED6"/>
    <w:rsid w:val="613E2235"/>
    <w:rsid w:val="614B99B6"/>
    <w:rsid w:val="615EB181"/>
    <w:rsid w:val="61679949"/>
    <w:rsid w:val="61687C49"/>
    <w:rsid w:val="616D013D"/>
    <w:rsid w:val="6174983F"/>
    <w:rsid w:val="617B2CFB"/>
    <w:rsid w:val="61850A40"/>
    <w:rsid w:val="61924F51"/>
    <w:rsid w:val="6193DBF9"/>
    <w:rsid w:val="619567AD"/>
    <w:rsid w:val="61A0E99B"/>
    <w:rsid w:val="61A6BA7C"/>
    <w:rsid w:val="61B13771"/>
    <w:rsid w:val="61D0BEB6"/>
    <w:rsid w:val="61D7DB59"/>
    <w:rsid w:val="61E74006"/>
    <w:rsid w:val="61F36683"/>
    <w:rsid w:val="6201B484"/>
    <w:rsid w:val="621A034A"/>
    <w:rsid w:val="621D6534"/>
    <w:rsid w:val="624F6103"/>
    <w:rsid w:val="62503948"/>
    <w:rsid w:val="6257F203"/>
    <w:rsid w:val="625DA5D3"/>
    <w:rsid w:val="62691664"/>
    <w:rsid w:val="6274E53B"/>
    <w:rsid w:val="6275C192"/>
    <w:rsid w:val="6277EF80"/>
    <w:rsid w:val="627EFAFB"/>
    <w:rsid w:val="6282893C"/>
    <w:rsid w:val="62A5CFF0"/>
    <w:rsid w:val="62A6CE2C"/>
    <w:rsid w:val="62DB8D6D"/>
    <w:rsid w:val="62E05869"/>
    <w:rsid w:val="62E59CE2"/>
    <w:rsid w:val="62EF7BD1"/>
    <w:rsid w:val="62F168AA"/>
    <w:rsid w:val="62FFC396"/>
    <w:rsid w:val="630193A9"/>
    <w:rsid w:val="630D6E79"/>
    <w:rsid w:val="63224C26"/>
    <w:rsid w:val="63248EFC"/>
    <w:rsid w:val="632FD282"/>
    <w:rsid w:val="63378A57"/>
    <w:rsid w:val="63463CFB"/>
    <w:rsid w:val="636F2647"/>
    <w:rsid w:val="637EAA10"/>
    <w:rsid w:val="6395ADFE"/>
    <w:rsid w:val="639DBCE7"/>
    <w:rsid w:val="639E762E"/>
    <w:rsid w:val="63B39538"/>
    <w:rsid w:val="63C36A42"/>
    <w:rsid w:val="63CEB4BE"/>
    <w:rsid w:val="63DAAE13"/>
    <w:rsid w:val="63DE9DBA"/>
    <w:rsid w:val="63E3D7BE"/>
    <w:rsid w:val="63F7DEF9"/>
    <w:rsid w:val="641E2E68"/>
    <w:rsid w:val="642631A5"/>
    <w:rsid w:val="64387BAC"/>
    <w:rsid w:val="6440FC7C"/>
    <w:rsid w:val="645A4367"/>
    <w:rsid w:val="645AC3CF"/>
    <w:rsid w:val="6460AAB2"/>
    <w:rsid w:val="6472280D"/>
    <w:rsid w:val="64761A10"/>
    <w:rsid w:val="647F0E9E"/>
    <w:rsid w:val="6482988D"/>
    <w:rsid w:val="649585FE"/>
    <w:rsid w:val="64A8B8A4"/>
    <w:rsid w:val="64AFD7BD"/>
    <w:rsid w:val="64B01F6B"/>
    <w:rsid w:val="64B6A624"/>
    <w:rsid w:val="64B92BE0"/>
    <w:rsid w:val="64C70E15"/>
    <w:rsid w:val="64D05422"/>
    <w:rsid w:val="64DB2FA4"/>
    <w:rsid w:val="64F03599"/>
    <w:rsid w:val="64FCB25F"/>
    <w:rsid w:val="65117DE2"/>
    <w:rsid w:val="6513F0CF"/>
    <w:rsid w:val="65161807"/>
    <w:rsid w:val="6533F31C"/>
    <w:rsid w:val="6551E555"/>
    <w:rsid w:val="6559B905"/>
    <w:rsid w:val="656229E3"/>
    <w:rsid w:val="65921D39"/>
    <w:rsid w:val="65968186"/>
    <w:rsid w:val="65B25B52"/>
    <w:rsid w:val="65BC5BE9"/>
    <w:rsid w:val="66316333"/>
    <w:rsid w:val="66397632"/>
    <w:rsid w:val="6672F01F"/>
    <w:rsid w:val="6686FED3"/>
    <w:rsid w:val="6691ED08"/>
    <w:rsid w:val="6694647B"/>
    <w:rsid w:val="66A75F1A"/>
    <w:rsid w:val="66C7455A"/>
    <w:rsid w:val="66D0878E"/>
    <w:rsid w:val="66E0F384"/>
    <w:rsid w:val="671AB711"/>
    <w:rsid w:val="67786A4B"/>
    <w:rsid w:val="677EC6A2"/>
    <w:rsid w:val="6798C053"/>
    <w:rsid w:val="67A07ED4"/>
    <w:rsid w:val="67BD2DBE"/>
    <w:rsid w:val="67D0714F"/>
    <w:rsid w:val="67D0CD11"/>
    <w:rsid w:val="67D17757"/>
    <w:rsid w:val="67D8EB3D"/>
    <w:rsid w:val="67D972D9"/>
    <w:rsid w:val="67E684C5"/>
    <w:rsid w:val="67E7D022"/>
    <w:rsid w:val="67EAD4A7"/>
    <w:rsid w:val="67F1F078"/>
    <w:rsid w:val="67FFE055"/>
    <w:rsid w:val="6810C1EB"/>
    <w:rsid w:val="68379BAD"/>
    <w:rsid w:val="6846C92E"/>
    <w:rsid w:val="684F22B4"/>
    <w:rsid w:val="68593E6C"/>
    <w:rsid w:val="686F6993"/>
    <w:rsid w:val="688DC74B"/>
    <w:rsid w:val="68926A18"/>
    <w:rsid w:val="6894C6CE"/>
    <w:rsid w:val="68958EB2"/>
    <w:rsid w:val="689E8D07"/>
    <w:rsid w:val="68A67D49"/>
    <w:rsid w:val="68A6BDE1"/>
    <w:rsid w:val="68B29481"/>
    <w:rsid w:val="68C942C8"/>
    <w:rsid w:val="68D70EFA"/>
    <w:rsid w:val="68D7B483"/>
    <w:rsid w:val="68F14F37"/>
    <w:rsid w:val="68F80206"/>
    <w:rsid w:val="68FEED1D"/>
    <w:rsid w:val="68FFD99B"/>
    <w:rsid w:val="6905B192"/>
    <w:rsid w:val="691E4024"/>
    <w:rsid w:val="6939BC44"/>
    <w:rsid w:val="694C72FC"/>
    <w:rsid w:val="695E4C4F"/>
    <w:rsid w:val="69602CC2"/>
    <w:rsid w:val="696C0129"/>
    <w:rsid w:val="697473C5"/>
    <w:rsid w:val="697DFDA9"/>
    <w:rsid w:val="699787FD"/>
    <w:rsid w:val="69A946D7"/>
    <w:rsid w:val="69BE9345"/>
    <w:rsid w:val="69D8C925"/>
    <w:rsid w:val="69E3CD52"/>
    <w:rsid w:val="69E7956A"/>
    <w:rsid w:val="69EF31B6"/>
    <w:rsid w:val="69F2E330"/>
    <w:rsid w:val="69FA45BF"/>
    <w:rsid w:val="6A1F7BC7"/>
    <w:rsid w:val="6A2792B9"/>
    <w:rsid w:val="6A7E1910"/>
    <w:rsid w:val="6A842D4F"/>
    <w:rsid w:val="6A9F79AD"/>
    <w:rsid w:val="6ABF2816"/>
    <w:rsid w:val="6AC06A6E"/>
    <w:rsid w:val="6AC3BD57"/>
    <w:rsid w:val="6AC7E3F0"/>
    <w:rsid w:val="6ACBD90E"/>
    <w:rsid w:val="6ADED8FB"/>
    <w:rsid w:val="6AE9F992"/>
    <w:rsid w:val="6AF2B673"/>
    <w:rsid w:val="6AFAEEBA"/>
    <w:rsid w:val="6B032808"/>
    <w:rsid w:val="6B1174A7"/>
    <w:rsid w:val="6B271C99"/>
    <w:rsid w:val="6B349AB1"/>
    <w:rsid w:val="6B5093B7"/>
    <w:rsid w:val="6B5D7506"/>
    <w:rsid w:val="6B62530B"/>
    <w:rsid w:val="6B689E75"/>
    <w:rsid w:val="6B77823D"/>
    <w:rsid w:val="6B84DF71"/>
    <w:rsid w:val="6B8516E5"/>
    <w:rsid w:val="6B88E6F3"/>
    <w:rsid w:val="6B8E4DB6"/>
    <w:rsid w:val="6B8E994B"/>
    <w:rsid w:val="6B9E4E4D"/>
    <w:rsid w:val="6BA4E2A8"/>
    <w:rsid w:val="6BB00CE5"/>
    <w:rsid w:val="6BB05BE6"/>
    <w:rsid w:val="6BD5A5B9"/>
    <w:rsid w:val="6C0891A6"/>
    <w:rsid w:val="6C101398"/>
    <w:rsid w:val="6C1DC863"/>
    <w:rsid w:val="6C23B6D7"/>
    <w:rsid w:val="6C265223"/>
    <w:rsid w:val="6C2BAFC6"/>
    <w:rsid w:val="6C2E1AA5"/>
    <w:rsid w:val="6C3CD9C0"/>
    <w:rsid w:val="6C41D5C7"/>
    <w:rsid w:val="6C437E73"/>
    <w:rsid w:val="6C500A02"/>
    <w:rsid w:val="6C5045F0"/>
    <w:rsid w:val="6C5DE0B7"/>
    <w:rsid w:val="6C5FA1BD"/>
    <w:rsid w:val="6C89E962"/>
    <w:rsid w:val="6C9F21DC"/>
    <w:rsid w:val="6CA626EC"/>
    <w:rsid w:val="6CA7C076"/>
    <w:rsid w:val="6CAFBEFF"/>
    <w:rsid w:val="6CDDB669"/>
    <w:rsid w:val="6CE22072"/>
    <w:rsid w:val="6CE831A1"/>
    <w:rsid w:val="6CFC94D2"/>
    <w:rsid w:val="6D024476"/>
    <w:rsid w:val="6D3B9205"/>
    <w:rsid w:val="6D3D218F"/>
    <w:rsid w:val="6D4CD618"/>
    <w:rsid w:val="6D5621FF"/>
    <w:rsid w:val="6D73FA16"/>
    <w:rsid w:val="6D819886"/>
    <w:rsid w:val="6D88ECD0"/>
    <w:rsid w:val="6D92EDB6"/>
    <w:rsid w:val="6D97C25F"/>
    <w:rsid w:val="6DA125B3"/>
    <w:rsid w:val="6DAA5C5E"/>
    <w:rsid w:val="6DD37F1D"/>
    <w:rsid w:val="6DD500FB"/>
    <w:rsid w:val="6DD64949"/>
    <w:rsid w:val="6DD8EAFC"/>
    <w:rsid w:val="6DE3AD64"/>
    <w:rsid w:val="6E006929"/>
    <w:rsid w:val="6E01514C"/>
    <w:rsid w:val="6E129B11"/>
    <w:rsid w:val="6E21D58F"/>
    <w:rsid w:val="6E248223"/>
    <w:rsid w:val="6E2AC6B8"/>
    <w:rsid w:val="6E3DA59E"/>
    <w:rsid w:val="6E486C24"/>
    <w:rsid w:val="6E4AA609"/>
    <w:rsid w:val="6E4F9537"/>
    <w:rsid w:val="6E717772"/>
    <w:rsid w:val="6E7F97EA"/>
    <w:rsid w:val="6E89B24B"/>
    <w:rsid w:val="6E8C1DC2"/>
    <w:rsid w:val="6E90A907"/>
    <w:rsid w:val="6E992C58"/>
    <w:rsid w:val="6EA1DFD6"/>
    <w:rsid w:val="6EA7E290"/>
    <w:rsid w:val="6EB78ED1"/>
    <w:rsid w:val="6EBE58FD"/>
    <w:rsid w:val="6EC13FC2"/>
    <w:rsid w:val="6EEA2F85"/>
    <w:rsid w:val="6EFD69E2"/>
    <w:rsid w:val="6F0C30D4"/>
    <w:rsid w:val="6F222FB1"/>
    <w:rsid w:val="6F28F087"/>
    <w:rsid w:val="6F2F3B00"/>
    <w:rsid w:val="6F321389"/>
    <w:rsid w:val="6F3E8DA6"/>
    <w:rsid w:val="6F62EDE7"/>
    <w:rsid w:val="6F7346DF"/>
    <w:rsid w:val="6F7C14E7"/>
    <w:rsid w:val="6F7C802D"/>
    <w:rsid w:val="6F7DA0D3"/>
    <w:rsid w:val="6F80E830"/>
    <w:rsid w:val="6F9E1C5B"/>
    <w:rsid w:val="6FBA0C2A"/>
    <w:rsid w:val="6FCCC539"/>
    <w:rsid w:val="6FE22053"/>
    <w:rsid w:val="6FE26BBB"/>
    <w:rsid w:val="6FF4A421"/>
    <w:rsid w:val="6FFE87A9"/>
    <w:rsid w:val="7003340E"/>
    <w:rsid w:val="7019A020"/>
    <w:rsid w:val="70214BEB"/>
    <w:rsid w:val="70257FAD"/>
    <w:rsid w:val="70404BFE"/>
    <w:rsid w:val="704EC2DB"/>
    <w:rsid w:val="705FECF7"/>
    <w:rsid w:val="70999567"/>
    <w:rsid w:val="70AA22A3"/>
    <w:rsid w:val="70C33F95"/>
    <w:rsid w:val="70C5DABE"/>
    <w:rsid w:val="70C890C1"/>
    <w:rsid w:val="70E11A25"/>
    <w:rsid w:val="70F34A59"/>
    <w:rsid w:val="70FA63A3"/>
    <w:rsid w:val="711251CE"/>
    <w:rsid w:val="7114B0E2"/>
    <w:rsid w:val="71328B72"/>
    <w:rsid w:val="7143C7B6"/>
    <w:rsid w:val="714B1FFB"/>
    <w:rsid w:val="7164D46D"/>
    <w:rsid w:val="716F0531"/>
    <w:rsid w:val="717056FF"/>
    <w:rsid w:val="71781D22"/>
    <w:rsid w:val="719503B8"/>
    <w:rsid w:val="71BFE2ED"/>
    <w:rsid w:val="71C80F4B"/>
    <w:rsid w:val="71CD931D"/>
    <w:rsid w:val="71CF89D7"/>
    <w:rsid w:val="71FD6A5A"/>
    <w:rsid w:val="722BFF15"/>
    <w:rsid w:val="72344BAB"/>
    <w:rsid w:val="72397B08"/>
    <w:rsid w:val="7243119C"/>
    <w:rsid w:val="724595F3"/>
    <w:rsid w:val="724D00E0"/>
    <w:rsid w:val="724E57F3"/>
    <w:rsid w:val="727C83A2"/>
    <w:rsid w:val="727EC7D3"/>
    <w:rsid w:val="72806515"/>
    <w:rsid w:val="7290C268"/>
    <w:rsid w:val="7296460F"/>
    <w:rsid w:val="72B92432"/>
    <w:rsid w:val="72C58667"/>
    <w:rsid w:val="72C72302"/>
    <w:rsid w:val="72D1743F"/>
    <w:rsid w:val="72F3B832"/>
    <w:rsid w:val="72FB3DB1"/>
    <w:rsid w:val="7303EF98"/>
    <w:rsid w:val="73138253"/>
    <w:rsid w:val="7325AFAD"/>
    <w:rsid w:val="7330021C"/>
    <w:rsid w:val="7334D6DC"/>
    <w:rsid w:val="73A15CAE"/>
    <w:rsid w:val="73A705D5"/>
    <w:rsid w:val="73AD0CC9"/>
    <w:rsid w:val="73B303D7"/>
    <w:rsid w:val="73C34851"/>
    <w:rsid w:val="73D33D8C"/>
    <w:rsid w:val="73DF5392"/>
    <w:rsid w:val="73F3F7F1"/>
    <w:rsid w:val="73FE920F"/>
    <w:rsid w:val="740889D6"/>
    <w:rsid w:val="7411CCE2"/>
    <w:rsid w:val="7426DBE8"/>
    <w:rsid w:val="742A0368"/>
    <w:rsid w:val="74303097"/>
    <w:rsid w:val="7443DD28"/>
    <w:rsid w:val="745BB786"/>
    <w:rsid w:val="745CCA0E"/>
    <w:rsid w:val="7494CBCB"/>
    <w:rsid w:val="749740CB"/>
    <w:rsid w:val="74B08D85"/>
    <w:rsid w:val="75017184"/>
    <w:rsid w:val="751EB740"/>
    <w:rsid w:val="7523D9CE"/>
    <w:rsid w:val="7538E034"/>
    <w:rsid w:val="75402763"/>
    <w:rsid w:val="75447789"/>
    <w:rsid w:val="755CEEC9"/>
    <w:rsid w:val="7561C9B3"/>
    <w:rsid w:val="7570AE4A"/>
    <w:rsid w:val="7570D4DA"/>
    <w:rsid w:val="757256D5"/>
    <w:rsid w:val="7575CDD3"/>
    <w:rsid w:val="758E36E6"/>
    <w:rsid w:val="75994739"/>
    <w:rsid w:val="759F39B6"/>
    <w:rsid w:val="75A57D0F"/>
    <w:rsid w:val="75B9BD93"/>
    <w:rsid w:val="75CEE778"/>
    <w:rsid w:val="75FE57CB"/>
    <w:rsid w:val="7612679D"/>
    <w:rsid w:val="76173B2F"/>
    <w:rsid w:val="761F5017"/>
    <w:rsid w:val="762E75A6"/>
    <w:rsid w:val="7635BA9E"/>
    <w:rsid w:val="763A8949"/>
    <w:rsid w:val="7653FAD4"/>
    <w:rsid w:val="7660CB68"/>
    <w:rsid w:val="7666A6C3"/>
    <w:rsid w:val="767F8B01"/>
    <w:rsid w:val="767FAE88"/>
    <w:rsid w:val="76877133"/>
    <w:rsid w:val="769141BE"/>
    <w:rsid w:val="769DBC8F"/>
    <w:rsid w:val="76A69F87"/>
    <w:rsid w:val="76A823C7"/>
    <w:rsid w:val="76AFB03C"/>
    <w:rsid w:val="76C9A294"/>
    <w:rsid w:val="76D052EE"/>
    <w:rsid w:val="76DDBC99"/>
    <w:rsid w:val="76EEB4CD"/>
    <w:rsid w:val="76F114CC"/>
    <w:rsid w:val="76F4F338"/>
    <w:rsid w:val="76F65871"/>
    <w:rsid w:val="770AA099"/>
    <w:rsid w:val="7712B53C"/>
    <w:rsid w:val="773360E9"/>
    <w:rsid w:val="773E23BE"/>
    <w:rsid w:val="774C0E2D"/>
    <w:rsid w:val="774FC739"/>
    <w:rsid w:val="77961E49"/>
    <w:rsid w:val="779C28AF"/>
    <w:rsid w:val="77B71BD0"/>
    <w:rsid w:val="77BFC9EE"/>
    <w:rsid w:val="77E1517D"/>
    <w:rsid w:val="77EAA8E3"/>
    <w:rsid w:val="78015988"/>
    <w:rsid w:val="7810F0D0"/>
    <w:rsid w:val="78207E87"/>
    <w:rsid w:val="782ACFB1"/>
    <w:rsid w:val="782DFFA1"/>
    <w:rsid w:val="7834E3DE"/>
    <w:rsid w:val="7852CB77"/>
    <w:rsid w:val="786215DC"/>
    <w:rsid w:val="786D689D"/>
    <w:rsid w:val="788BB3B4"/>
    <w:rsid w:val="78A4CD71"/>
    <w:rsid w:val="78B126AC"/>
    <w:rsid w:val="78B1F0F5"/>
    <w:rsid w:val="78BA888F"/>
    <w:rsid w:val="78D43CEA"/>
    <w:rsid w:val="78DBD31C"/>
    <w:rsid w:val="78E47059"/>
    <w:rsid w:val="78ED2496"/>
    <w:rsid w:val="78EF6BA6"/>
    <w:rsid w:val="78FD31F4"/>
    <w:rsid w:val="78FD5A9A"/>
    <w:rsid w:val="79029892"/>
    <w:rsid w:val="79039CFF"/>
    <w:rsid w:val="791CAC77"/>
    <w:rsid w:val="7938400F"/>
    <w:rsid w:val="794B237C"/>
    <w:rsid w:val="7956140E"/>
    <w:rsid w:val="795BE339"/>
    <w:rsid w:val="795DAE9A"/>
    <w:rsid w:val="7960630D"/>
    <w:rsid w:val="79ACDC83"/>
    <w:rsid w:val="79B18867"/>
    <w:rsid w:val="79B52BC7"/>
    <w:rsid w:val="79C3B9E1"/>
    <w:rsid w:val="79CB42D2"/>
    <w:rsid w:val="79DCB31F"/>
    <w:rsid w:val="79E36C0B"/>
    <w:rsid w:val="79FA3BE0"/>
    <w:rsid w:val="7A2DBF24"/>
    <w:rsid w:val="7A5B841D"/>
    <w:rsid w:val="7A6410D8"/>
    <w:rsid w:val="7A6D7742"/>
    <w:rsid w:val="7A6E2AB3"/>
    <w:rsid w:val="7A71D119"/>
    <w:rsid w:val="7A72B619"/>
    <w:rsid w:val="7A8AD174"/>
    <w:rsid w:val="7A9929B4"/>
    <w:rsid w:val="7AAA12A5"/>
    <w:rsid w:val="7AABB8E0"/>
    <w:rsid w:val="7AB9F524"/>
    <w:rsid w:val="7AC4E435"/>
    <w:rsid w:val="7ACFEF00"/>
    <w:rsid w:val="7AD0D265"/>
    <w:rsid w:val="7AD52725"/>
    <w:rsid w:val="7ADA935D"/>
    <w:rsid w:val="7AF448D5"/>
    <w:rsid w:val="7B14F7B4"/>
    <w:rsid w:val="7B1DDA90"/>
    <w:rsid w:val="7B2B8032"/>
    <w:rsid w:val="7B38E6D2"/>
    <w:rsid w:val="7B44DF15"/>
    <w:rsid w:val="7B740845"/>
    <w:rsid w:val="7B7ABF83"/>
    <w:rsid w:val="7B831DD3"/>
    <w:rsid w:val="7BBEA732"/>
    <w:rsid w:val="7BD0D039"/>
    <w:rsid w:val="7BE2038E"/>
    <w:rsid w:val="7C094136"/>
    <w:rsid w:val="7C0D22B9"/>
    <w:rsid w:val="7C1EACBD"/>
    <w:rsid w:val="7C3A487D"/>
    <w:rsid w:val="7C45973B"/>
    <w:rsid w:val="7C4B0688"/>
    <w:rsid w:val="7C5198BD"/>
    <w:rsid w:val="7C5EBDA1"/>
    <w:rsid w:val="7C6405A4"/>
    <w:rsid w:val="7C79C0FA"/>
    <w:rsid w:val="7CAF85BB"/>
    <w:rsid w:val="7CBC422B"/>
    <w:rsid w:val="7CD30916"/>
    <w:rsid w:val="7CDD9CAC"/>
    <w:rsid w:val="7CF2712D"/>
    <w:rsid w:val="7CF5404E"/>
    <w:rsid w:val="7CF6DF48"/>
    <w:rsid w:val="7D0595BC"/>
    <w:rsid w:val="7D0D3C23"/>
    <w:rsid w:val="7D148462"/>
    <w:rsid w:val="7D460B90"/>
    <w:rsid w:val="7D6B2FD3"/>
    <w:rsid w:val="7D6C27B3"/>
    <w:rsid w:val="7D6C9C57"/>
    <w:rsid w:val="7D77F9B6"/>
    <w:rsid w:val="7D7A2839"/>
    <w:rsid w:val="7D849AB7"/>
    <w:rsid w:val="7D9ED187"/>
    <w:rsid w:val="7DA51D61"/>
    <w:rsid w:val="7DAB4BB8"/>
    <w:rsid w:val="7DAE61B0"/>
    <w:rsid w:val="7DAEAF5B"/>
    <w:rsid w:val="7DBEFA6E"/>
    <w:rsid w:val="7DCA1936"/>
    <w:rsid w:val="7DE70335"/>
    <w:rsid w:val="7DF3E0C0"/>
    <w:rsid w:val="7E17F79B"/>
    <w:rsid w:val="7E315131"/>
    <w:rsid w:val="7E3D59AE"/>
    <w:rsid w:val="7E405BE3"/>
    <w:rsid w:val="7E44327A"/>
    <w:rsid w:val="7E495616"/>
    <w:rsid w:val="7E6BD882"/>
    <w:rsid w:val="7E70DBAB"/>
    <w:rsid w:val="7E87EB36"/>
    <w:rsid w:val="7EC0B68B"/>
    <w:rsid w:val="7ECAB19D"/>
    <w:rsid w:val="7EE1CBFE"/>
    <w:rsid w:val="7EFA536A"/>
    <w:rsid w:val="7EFF66D2"/>
    <w:rsid w:val="7F46B4E3"/>
    <w:rsid w:val="7F602202"/>
    <w:rsid w:val="7F60528D"/>
    <w:rsid w:val="7F7D0A02"/>
    <w:rsid w:val="7F8BD304"/>
    <w:rsid w:val="7F8BEC41"/>
    <w:rsid w:val="7FBAA724"/>
    <w:rsid w:val="7FCB4A4F"/>
    <w:rsid w:val="7FCEAD9E"/>
    <w:rsid w:val="7FE0D023"/>
    <w:rsid w:val="7FF60B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0281D"/>
  <w15:docId w15:val="{83E5253F-3703-4463-982C-42517A20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qFormat="1"/>
    <w:lsdException w:name="heading 6" w:semiHidden="1" w:qFormat="1"/>
    <w:lsdException w:name="heading 7" w:semiHidden="1" w:qFormat="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semiHidden="1"/>
    <w:lsdException w:name="footer" w:semiHidden="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nhideWhenUsed="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1219"/>
    <w:pPr>
      <w:spacing w:after="0" w:line="240" w:lineRule="auto"/>
    </w:pPr>
    <w:rPr>
      <w:rFonts w:ascii="Arial" w:hAnsi="Arial" w:cs="Arial"/>
      <w:sz w:val="18"/>
      <w:szCs w:val="18"/>
      <w:lang w:val="en-GB"/>
    </w:rPr>
  </w:style>
  <w:style w:type="paragraph" w:styleId="Heading1">
    <w:name w:val="heading 1"/>
    <w:basedOn w:val="Normal"/>
    <w:next w:val="BodyText"/>
    <w:link w:val="Heading1Char"/>
    <w:uiPriority w:val="9"/>
    <w:qFormat/>
    <w:rsid w:val="00BD073E"/>
    <w:pPr>
      <w:keepNext/>
      <w:pageBreakBefore/>
      <w:numPr>
        <w:numId w:val="2"/>
      </w:numPr>
      <w:outlineLvl w:val="0"/>
    </w:pPr>
    <w:rPr>
      <w:b/>
      <w:caps/>
      <w:color w:val="0F204B"/>
      <w:sz w:val="26"/>
    </w:rPr>
  </w:style>
  <w:style w:type="paragraph" w:styleId="Heading2">
    <w:name w:val="heading 2"/>
    <w:basedOn w:val="Normal"/>
    <w:next w:val="BodyText"/>
    <w:link w:val="Heading2Char"/>
    <w:uiPriority w:val="9"/>
    <w:qFormat/>
    <w:rsid w:val="004B2AE9"/>
    <w:pPr>
      <w:keepNext/>
      <w:numPr>
        <w:ilvl w:val="1"/>
        <w:numId w:val="2"/>
      </w:numPr>
      <w:spacing w:before="280"/>
      <w:outlineLvl w:val="1"/>
    </w:pPr>
    <w:rPr>
      <w:b/>
      <w:color w:val="0F204B"/>
      <w:sz w:val="26"/>
    </w:rPr>
  </w:style>
  <w:style w:type="paragraph" w:styleId="Heading3">
    <w:name w:val="heading 3"/>
    <w:basedOn w:val="Normal"/>
    <w:next w:val="BodyText"/>
    <w:link w:val="Heading3Char"/>
    <w:uiPriority w:val="9"/>
    <w:qFormat/>
    <w:rsid w:val="00AE0EFB"/>
    <w:pPr>
      <w:keepNext/>
      <w:numPr>
        <w:ilvl w:val="2"/>
        <w:numId w:val="2"/>
      </w:numPr>
      <w:spacing w:before="240"/>
      <w:outlineLvl w:val="2"/>
    </w:pPr>
    <w:rPr>
      <w:color w:val="0F204B"/>
      <w:sz w:val="26"/>
    </w:rPr>
  </w:style>
  <w:style w:type="paragraph" w:styleId="Heading4">
    <w:name w:val="heading 4"/>
    <w:basedOn w:val="Normal"/>
    <w:next w:val="BodyText"/>
    <w:link w:val="Heading4Char"/>
    <w:uiPriority w:val="9"/>
    <w:qFormat/>
    <w:rsid w:val="00BB3399"/>
    <w:pPr>
      <w:keepNext/>
      <w:numPr>
        <w:ilvl w:val="3"/>
        <w:numId w:val="2"/>
      </w:numPr>
      <w:spacing w:before="180"/>
      <w:outlineLvl w:val="3"/>
    </w:pPr>
    <w:rPr>
      <w:b/>
      <w:color w:val="0F204B"/>
      <w:sz w:val="22"/>
    </w:rPr>
  </w:style>
  <w:style w:type="paragraph" w:styleId="Heading5">
    <w:name w:val="heading 5"/>
    <w:basedOn w:val="Normal"/>
    <w:next w:val="BodyText"/>
    <w:link w:val="Heading5Char"/>
    <w:uiPriority w:val="99"/>
    <w:qFormat/>
    <w:rsid w:val="006B1B99"/>
    <w:pPr>
      <w:keepNext/>
      <w:keepLines/>
      <w:numPr>
        <w:ilvl w:val="4"/>
        <w:numId w:val="2"/>
      </w:numPr>
      <w:spacing w:before="180" w:after="60" w:line="240" w:lineRule="atLeast"/>
      <w:outlineLvl w:val="4"/>
    </w:pPr>
    <w:rPr>
      <w:color w:val="0F204B" w:themeColor="accent1"/>
      <w:sz w:val="22"/>
    </w:rPr>
  </w:style>
  <w:style w:type="paragraph" w:styleId="Heading6">
    <w:name w:val="heading 6"/>
    <w:basedOn w:val="Heading1"/>
    <w:next w:val="BodyText"/>
    <w:link w:val="Heading6Char"/>
    <w:uiPriority w:val="99"/>
    <w:qFormat/>
    <w:rsid w:val="007319F6"/>
    <w:pPr>
      <w:numPr>
        <w:numId w:val="0"/>
      </w:numPr>
      <w:outlineLvl w:val="5"/>
    </w:pPr>
    <w:rPr>
      <w:i/>
      <w:iCs/>
      <w:caps w:val="0"/>
      <w:sz w:val="20"/>
      <w:szCs w:val="20"/>
    </w:rPr>
  </w:style>
  <w:style w:type="paragraph" w:styleId="Heading7">
    <w:name w:val="heading 7"/>
    <w:basedOn w:val="Heading1"/>
    <w:next w:val="BodyText"/>
    <w:link w:val="Heading7Char"/>
    <w:uiPriority w:val="99"/>
    <w:qFormat/>
    <w:rsid w:val="00ED1FD5"/>
    <w:pPr>
      <w:numPr>
        <w:numId w:val="14"/>
      </w:numPr>
      <w:tabs>
        <w:tab w:val="left" w:pos="1800"/>
      </w:tabs>
      <w:ind w:left="0" w:firstLine="0"/>
      <w:outlineLvl w:val="6"/>
    </w:pPr>
  </w:style>
  <w:style w:type="paragraph" w:styleId="Heading8">
    <w:name w:val="heading 8"/>
    <w:basedOn w:val="Heading3"/>
    <w:next w:val="BodyText"/>
    <w:link w:val="Heading8Char"/>
    <w:uiPriority w:val="99"/>
    <w:rsid w:val="00866BDC"/>
    <w:pPr>
      <w:numPr>
        <w:ilvl w:val="0"/>
        <w:numId w:val="0"/>
      </w:numPr>
      <w:outlineLvl w:val="7"/>
    </w:pPr>
  </w:style>
  <w:style w:type="paragraph" w:styleId="Heading9">
    <w:name w:val="heading 9"/>
    <w:basedOn w:val="Heading4"/>
    <w:next w:val="BodyText"/>
    <w:link w:val="Heading9Char"/>
    <w:uiPriority w:val="99"/>
    <w:rsid w:val="00866BDC"/>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73E"/>
    <w:rPr>
      <w:rFonts w:ascii="Arial" w:hAnsi="Arial" w:cs="Arial"/>
      <w:b/>
      <w:caps/>
      <w:color w:val="0F204B"/>
      <w:sz w:val="26"/>
      <w:szCs w:val="18"/>
      <w:lang w:val="en-GB"/>
    </w:rPr>
  </w:style>
  <w:style w:type="character" w:customStyle="1" w:styleId="Heading2Char">
    <w:name w:val="Heading 2 Char"/>
    <w:basedOn w:val="DefaultParagraphFont"/>
    <w:link w:val="Heading2"/>
    <w:uiPriority w:val="9"/>
    <w:rsid w:val="00866BDC"/>
    <w:rPr>
      <w:rFonts w:ascii="Arial" w:hAnsi="Arial" w:cs="Arial"/>
      <w:b/>
      <w:color w:val="0F204B"/>
      <w:sz w:val="26"/>
      <w:szCs w:val="18"/>
      <w:lang w:val="en-GB"/>
    </w:rPr>
  </w:style>
  <w:style w:type="character" w:customStyle="1" w:styleId="Heading3Char">
    <w:name w:val="Heading 3 Char"/>
    <w:basedOn w:val="DefaultParagraphFont"/>
    <w:link w:val="Heading3"/>
    <w:uiPriority w:val="9"/>
    <w:rsid w:val="00512A57"/>
    <w:rPr>
      <w:rFonts w:ascii="Arial" w:hAnsi="Arial" w:cs="Arial"/>
      <w:color w:val="0F204B"/>
      <w:sz w:val="26"/>
      <w:szCs w:val="18"/>
      <w:lang w:val="en-GB"/>
    </w:rPr>
  </w:style>
  <w:style w:type="character" w:customStyle="1" w:styleId="Heading4Char">
    <w:name w:val="Heading 4 Char"/>
    <w:basedOn w:val="DefaultParagraphFont"/>
    <w:link w:val="Heading4"/>
    <w:uiPriority w:val="9"/>
    <w:rsid w:val="00866BDC"/>
    <w:rPr>
      <w:rFonts w:ascii="Arial" w:hAnsi="Arial" w:cs="Arial"/>
      <w:b/>
      <w:color w:val="0F204B"/>
      <w:szCs w:val="18"/>
      <w:lang w:val="en-GB"/>
    </w:rPr>
  </w:style>
  <w:style w:type="paragraph" w:styleId="BodyText">
    <w:name w:val="Body Text"/>
    <w:basedOn w:val="Normal"/>
    <w:link w:val="BodyTextChar"/>
    <w:qFormat/>
    <w:rsid w:val="00866BDC"/>
    <w:pPr>
      <w:spacing w:before="40" w:after="140" w:line="280" w:lineRule="atLeast"/>
    </w:pPr>
  </w:style>
  <w:style w:type="character" w:customStyle="1" w:styleId="BodyTextChar">
    <w:name w:val="Body Text Char"/>
    <w:basedOn w:val="DefaultParagraphFont"/>
    <w:link w:val="BodyText"/>
    <w:rsid w:val="00866BDC"/>
    <w:rPr>
      <w:rFonts w:ascii="Arial" w:hAnsi="Arial" w:cs="Arial"/>
      <w:sz w:val="18"/>
      <w:szCs w:val="18"/>
      <w:lang w:val="en-GB"/>
    </w:rPr>
  </w:style>
  <w:style w:type="character" w:styleId="PlaceholderText">
    <w:name w:val="Placeholder Text"/>
    <w:basedOn w:val="DefaultParagraphFont"/>
    <w:uiPriority w:val="99"/>
    <w:rsid w:val="00866BDC"/>
    <w:rPr>
      <w:noProof/>
      <w:vanish/>
      <w:color w:val="808080"/>
      <w:lang w:val="en-GB"/>
    </w:rPr>
  </w:style>
  <w:style w:type="character" w:customStyle="1" w:styleId="Heading5Char">
    <w:name w:val="Heading 5 Char"/>
    <w:basedOn w:val="DefaultParagraphFont"/>
    <w:link w:val="Heading5"/>
    <w:uiPriority w:val="99"/>
    <w:rsid w:val="007319F6"/>
    <w:rPr>
      <w:rFonts w:ascii="Arial" w:hAnsi="Arial" w:cs="Arial"/>
      <w:color w:val="0F204B" w:themeColor="accent1"/>
      <w:szCs w:val="18"/>
      <w:lang w:val="en-GB"/>
    </w:rPr>
  </w:style>
  <w:style w:type="character" w:customStyle="1" w:styleId="Heading6Char">
    <w:name w:val="Heading 6 Char"/>
    <w:basedOn w:val="DefaultParagraphFont"/>
    <w:link w:val="Heading6"/>
    <w:uiPriority w:val="99"/>
    <w:rsid w:val="007319F6"/>
    <w:rPr>
      <w:rFonts w:ascii="Arial" w:hAnsi="Arial" w:cs="Arial"/>
      <w:b/>
      <w:i/>
      <w:iCs/>
      <w:color w:val="0F204B"/>
      <w:sz w:val="20"/>
      <w:szCs w:val="20"/>
      <w:lang w:val="en-GB"/>
    </w:rPr>
  </w:style>
  <w:style w:type="character" w:customStyle="1" w:styleId="Heading7Char">
    <w:name w:val="Heading 7 Char"/>
    <w:basedOn w:val="DefaultParagraphFont"/>
    <w:link w:val="Heading7"/>
    <w:uiPriority w:val="99"/>
    <w:rsid w:val="00ED1FD5"/>
    <w:rPr>
      <w:rFonts w:ascii="Arial" w:hAnsi="Arial" w:cs="Arial"/>
      <w:b/>
      <w:caps/>
      <w:color w:val="0F204B"/>
      <w:sz w:val="26"/>
      <w:szCs w:val="18"/>
      <w:lang w:val="en-GB"/>
    </w:rPr>
  </w:style>
  <w:style w:type="character" w:customStyle="1" w:styleId="Heading8Char">
    <w:name w:val="Heading 8 Char"/>
    <w:basedOn w:val="DefaultParagraphFont"/>
    <w:link w:val="Heading8"/>
    <w:uiPriority w:val="99"/>
    <w:rsid w:val="00866BDC"/>
    <w:rPr>
      <w:rFonts w:ascii="Arial" w:hAnsi="Arial" w:cs="Arial"/>
      <w:color w:val="0F204B"/>
      <w:sz w:val="26"/>
      <w:szCs w:val="18"/>
      <w:lang w:val="en-GB"/>
    </w:rPr>
  </w:style>
  <w:style w:type="character" w:customStyle="1" w:styleId="Heading9Char">
    <w:name w:val="Heading 9 Char"/>
    <w:basedOn w:val="DefaultParagraphFont"/>
    <w:link w:val="Heading9"/>
    <w:uiPriority w:val="99"/>
    <w:rsid w:val="00866BDC"/>
    <w:rPr>
      <w:rFonts w:ascii="Arial" w:hAnsi="Arial" w:cs="Arial"/>
      <w:b/>
      <w:color w:val="0F204B"/>
      <w:szCs w:val="18"/>
      <w:lang w:val="en-GB"/>
    </w:rPr>
  </w:style>
  <w:style w:type="paragraph" w:styleId="TOC1">
    <w:name w:val="toc 1"/>
    <w:basedOn w:val="Normal"/>
    <w:uiPriority w:val="39"/>
    <w:unhideWhenUsed/>
    <w:rsid w:val="00866BDC"/>
    <w:pPr>
      <w:tabs>
        <w:tab w:val="right" w:leader="dot" w:pos="9581"/>
      </w:tabs>
      <w:spacing w:before="240"/>
      <w:ind w:left="850" w:right="850" w:hanging="850"/>
    </w:pPr>
    <w:rPr>
      <w:caps/>
      <w:noProof/>
    </w:rPr>
  </w:style>
  <w:style w:type="paragraph" w:styleId="TOC2">
    <w:name w:val="toc 2"/>
    <w:basedOn w:val="Normal"/>
    <w:uiPriority w:val="39"/>
    <w:unhideWhenUsed/>
    <w:rsid w:val="00866BDC"/>
    <w:pPr>
      <w:tabs>
        <w:tab w:val="right" w:pos="9581"/>
      </w:tabs>
      <w:spacing w:before="60"/>
      <w:ind w:left="850" w:right="850" w:hanging="850"/>
    </w:pPr>
    <w:rPr>
      <w:noProof/>
    </w:rPr>
  </w:style>
  <w:style w:type="paragraph" w:styleId="TOC3">
    <w:name w:val="toc 3"/>
    <w:basedOn w:val="Normal"/>
    <w:uiPriority w:val="99"/>
    <w:unhideWhenUsed/>
    <w:rsid w:val="00866BDC"/>
    <w:pPr>
      <w:tabs>
        <w:tab w:val="right" w:pos="9581"/>
      </w:tabs>
      <w:ind w:left="1134" w:right="850" w:hanging="1134"/>
    </w:pPr>
    <w:rPr>
      <w:noProof/>
    </w:rPr>
  </w:style>
  <w:style w:type="paragraph" w:styleId="TOC4">
    <w:name w:val="toc 4"/>
    <w:basedOn w:val="Normal"/>
    <w:uiPriority w:val="99"/>
    <w:semiHidden/>
    <w:unhideWhenUsed/>
    <w:rsid w:val="00866BDC"/>
    <w:pPr>
      <w:tabs>
        <w:tab w:val="right" w:pos="9581"/>
      </w:tabs>
      <w:ind w:left="1417" w:right="850" w:hanging="1417"/>
    </w:pPr>
    <w:rPr>
      <w:noProof/>
    </w:rPr>
  </w:style>
  <w:style w:type="paragraph" w:styleId="TOC5">
    <w:name w:val="toc 5"/>
    <w:basedOn w:val="Normal"/>
    <w:uiPriority w:val="99"/>
    <w:semiHidden/>
    <w:unhideWhenUsed/>
    <w:rsid w:val="00866BDC"/>
    <w:pPr>
      <w:tabs>
        <w:tab w:val="right" w:pos="9581"/>
      </w:tabs>
      <w:ind w:left="1417" w:right="850" w:hanging="1417"/>
    </w:pPr>
    <w:rPr>
      <w:noProof/>
    </w:rPr>
  </w:style>
  <w:style w:type="paragraph" w:styleId="TOC6">
    <w:name w:val="toc 6"/>
    <w:basedOn w:val="TOC1"/>
    <w:uiPriority w:val="99"/>
    <w:semiHidden/>
    <w:unhideWhenUsed/>
    <w:rsid w:val="00866BDC"/>
  </w:style>
  <w:style w:type="paragraph" w:styleId="TOC7">
    <w:name w:val="toc 7"/>
    <w:basedOn w:val="TOC2"/>
    <w:uiPriority w:val="99"/>
    <w:semiHidden/>
    <w:unhideWhenUsed/>
    <w:rsid w:val="00866BDC"/>
  </w:style>
  <w:style w:type="paragraph" w:styleId="TOC8">
    <w:name w:val="toc 8"/>
    <w:basedOn w:val="TOC4"/>
    <w:uiPriority w:val="99"/>
    <w:semiHidden/>
    <w:unhideWhenUsed/>
    <w:rsid w:val="00866BDC"/>
  </w:style>
  <w:style w:type="paragraph" w:styleId="Header">
    <w:name w:val="header"/>
    <w:basedOn w:val="Normal"/>
    <w:link w:val="HeaderChar"/>
    <w:uiPriority w:val="99"/>
    <w:rsid w:val="00866BDC"/>
    <w:rPr>
      <w:noProof/>
    </w:rPr>
  </w:style>
  <w:style w:type="character" w:customStyle="1" w:styleId="HeaderChar">
    <w:name w:val="Header Char"/>
    <w:basedOn w:val="DefaultParagraphFont"/>
    <w:link w:val="Header"/>
    <w:uiPriority w:val="99"/>
    <w:rsid w:val="00866BDC"/>
    <w:rPr>
      <w:rFonts w:ascii="Arial" w:hAnsi="Arial" w:cs="Arial"/>
      <w:noProof/>
      <w:sz w:val="18"/>
      <w:szCs w:val="18"/>
      <w:lang w:val="en-GB"/>
    </w:rPr>
  </w:style>
  <w:style w:type="paragraph" w:styleId="Footer">
    <w:name w:val="footer"/>
    <w:basedOn w:val="Normal"/>
    <w:link w:val="FooterChar"/>
    <w:uiPriority w:val="99"/>
    <w:rsid w:val="00866BDC"/>
    <w:pPr>
      <w:spacing w:line="160" w:lineRule="atLeast"/>
    </w:pPr>
    <w:rPr>
      <w:noProof/>
      <w:sz w:val="13"/>
    </w:rPr>
  </w:style>
  <w:style w:type="character" w:customStyle="1" w:styleId="FooterChar">
    <w:name w:val="Footer Char"/>
    <w:basedOn w:val="DefaultParagraphFont"/>
    <w:link w:val="Footer"/>
    <w:uiPriority w:val="99"/>
    <w:rsid w:val="00866BDC"/>
    <w:rPr>
      <w:rFonts w:ascii="Arial" w:hAnsi="Arial" w:cs="Arial"/>
      <w:noProof/>
      <w:sz w:val="13"/>
      <w:szCs w:val="18"/>
      <w:lang w:val="en-GB"/>
    </w:rPr>
  </w:style>
  <w:style w:type="paragraph" w:styleId="Caption">
    <w:name w:val="caption"/>
    <w:aliases w:val="Table Caption Char,Table Caption,Char,_Main body - Caption,Podpis nad obiektem,_Main body - Caption figure"/>
    <w:basedOn w:val="Normal"/>
    <w:next w:val="BodyText"/>
    <w:link w:val="CaptionChar"/>
    <w:uiPriority w:val="35"/>
    <w:qFormat/>
    <w:rsid w:val="00866BDC"/>
    <w:rPr>
      <w:b/>
    </w:rPr>
  </w:style>
  <w:style w:type="paragraph" w:styleId="ListBullet">
    <w:name w:val="List Bullet"/>
    <w:basedOn w:val="Normal"/>
    <w:uiPriority w:val="99"/>
    <w:rsid w:val="008575B3"/>
    <w:pPr>
      <w:numPr>
        <w:numId w:val="3"/>
      </w:numPr>
      <w:tabs>
        <w:tab w:val="clear" w:pos="360"/>
        <w:tab w:val="num" w:pos="926"/>
        <w:tab w:val="num" w:pos="1209"/>
      </w:tabs>
      <w:spacing w:after="140" w:line="280" w:lineRule="atLeast"/>
      <w:ind w:left="1209"/>
      <w:contextualSpacing/>
    </w:pPr>
  </w:style>
  <w:style w:type="paragraph" w:styleId="ListNumber">
    <w:name w:val="List Number"/>
    <w:basedOn w:val="Normal"/>
    <w:uiPriority w:val="99"/>
    <w:rsid w:val="006F37FC"/>
    <w:pPr>
      <w:numPr>
        <w:numId w:val="4"/>
      </w:numPr>
      <w:tabs>
        <w:tab w:val="clear" w:pos="360"/>
        <w:tab w:val="num" w:pos="1209"/>
        <w:tab w:val="num" w:pos="1492"/>
      </w:tabs>
      <w:spacing w:after="140" w:line="280" w:lineRule="atLeast"/>
      <w:ind w:left="1492"/>
      <w:contextualSpacing/>
    </w:pPr>
  </w:style>
  <w:style w:type="paragraph" w:styleId="FootnoteText">
    <w:name w:val="footnote text"/>
    <w:aliases w:val="DFSListFootnote,Footnote Text1 Char,Footnote Text Char Ch,Footnote Text Char Ch Char Char Char,Footnote Text Char Ch Char Char,Footnote Text1 Char Char Char,Footnote Text Char Ch Char,DFSListFootnote1,Footnote Text1 Char1,DFSListFootnote2"/>
    <w:basedOn w:val="Normal"/>
    <w:link w:val="FootnoteTextChar"/>
    <w:uiPriority w:val="99"/>
    <w:qFormat/>
    <w:rsid w:val="00866BDC"/>
    <w:pPr>
      <w:ind w:left="397" w:hanging="397"/>
    </w:pPr>
    <w:rPr>
      <w:sz w:val="13"/>
    </w:rPr>
  </w:style>
  <w:style w:type="character" w:customStyle="1" w:styleId="FootnoteTextChar">
    <w:name w:val="Footnote Text Char"/>
    <w:aliases w:val="DFSListFootnote Char,Footnote Text1 Char Char,Footnote Text Char Ch Char1,Footnote Text Char Ch Char Char Char Char,Footnote Text Char Ch Char Char Char1,Footnote Text1 Char Char Char Char,Footnote Text Char Ch Char Char1"/>
    <w:basedOn w:val="DefaultParagraphFont"/>
    <w:link w:val="FootnoteText"/>
    <w:uiPriority w:val="99"/>
    <w:rsid w:val="00866BDC"/>
    <w:rPr>
      <w:rFonts w:ascii="Arial" w:hAnsi="Arial" w:cs="Arial"/>
      <w:sz w:val="13"/>
      <w:szCs w:val="18"/>
      <w:lang w:val="en-GB"/>
    </w:rPr>
  </w:style>
  <w:style w:type="character" w:styleId="FootnoteReference">
    <w:name w:val="footnote reference"/>
    <w:aliases w:val="o,Footnote_Reference,fr,Char Char Char Char,o1,o2,o3,o4,o5,o6,o11,o21,o7,0 PIER Footnote Reference,Style 3,o + Times New Roman,0 PIER Footnote Text,Footnote Reference1"/>
    <w:basedOn w:val="DefaultParagraphFont"/>
    <w:uiPriority w:val="99"/>
    <w:unhideWhenUsed/>
    <w:qFormat/>
    <w:rsid w:val="00866BDC"/>
    <w:rPr>
      <w:sz w:val="18"/>
      <w:vertAlign w:val="superscript"/>
    </w:rPr>
  </w:style>
  <w:style w:type="paragraph" w:customStyle="1" w:styleId="DNVGL-Hidden">
    <w:name w:val="DNVGL-Hidden"/>
    <w:basedOn w:val="Normal"/>
    <w:next w:val="BodyText"/>
    <w:link w:val="DNVGL-HiddenChar"/>
    <w:uiPriority w:val="99"/>
    <w:rsid w:val="00866BDC"/>
    <w:rPr>
      <w:noProof/>
      <w:vanish/>
      <w:color w:val="FF0000"/>
    </w:rPr>
  </w:style>
  <w:style w:type="character" w:customStyle="1" w:styleId="DNVGL-HiddenChar">
    <w:name w:val="DNVGL-Hidden Char"/>
    <w:basedOn w:val="DefaultParagraphFont"/>
    <w:link w:val="DNVGL-Hidden"/>
    <w:uiPriority w:val="99"/>
    <w:rsid w:val="00866BDC"/>
    <w:rPr>
      <w:rFonts w:ascii="Arial" w:hAnsi="Arial" w:cs="Arial"/>
      <w:noProof/>
      <w:vanish/>
      <w:color w:val="FF0000"/>
      <w:sz w:val="18"/>
      <w:szCs w:val="18"/>
      <w:lang w:val="en-GB"/>
    </w:rPr>
  </w:style>
  <w:style w:type="paragraph" w:customStyle="1" w:styleId="DNVGL-HQDetails">
    <w:name w:val="DNVGL-HQ Details"/>
    <w:basedOn w:val="Normal"/>
    <w:link w:val="DNVGL-HQDetailsChar"/>
    <w:uiPriority w:val="99"/>
    <w:rsid w:val="00866BDC"/>
    <w:pPr>
      <w:spacing w:after="240" w:line="200" w:lineRule="atLeast"/>
    </w:pPr>
    <w:rPr>
      <w:noProof/>
      <w:color w:val="0F204B"/>
      <w:sz w:val="16"/>
    </w:rPr>
  </w:style>
  <w:style w:type="character" w:customStyle="1" w:styleId="DNVGL-HQDetailsChar">
    <w:name w:val="DNVGL-HQ Details Char"/>
    <w:basedOn w:val="DefaultParagraphFont"/>
    <w:link w:val="DNVGL-HQDetails"/>
    <w:uiPriority w:val="99"/>
    <w:rsid w:val="00866BDC"/>
    <w:rPr>
      <w:rFonts w:ascii="Arial" w:hAnsi="Arial" w:cs="Arial"/>
      <w:noProof/>
      <w:color w:val="0F204B"/>
      <w:sz w:val="16"/>
      <w:szCs w:val="18"/>
      <w:lang w:val="en-GB"/>
    </w:rPr>
  </w:style>
  <w:style w:type="paragraph" w:customStyle="1" w:styleId="DNVGL-Address-receiver">
    <w:name w:val="DNVGL-Address - receiver"/>
    <w:basedOn w:val="Normal"/>
    <w:link w:val="DNVGL-Address-receiverChar"/>
    <w:uiPriority w:val="99"/>
    <w:rsid w:val="00866BDC"/>
    <w:pPr>
      <w:keepLines/>
      <w:spacing w:line="280" w:lineRule="atLeast"/>
    </w:pPr>
    <w:rPr>
      <w:noProof/>
    </w:rPr>
  </w:style>
  <w:style w:type="character" w:customStyle="1" w:styleId="DNVGL-Address-receiverChar">
    <w:name w:val="DNVGL-Address - receiver Char"/>
    <w:basedOn w:val="DefaultParagraphFont"/>
    <w:link w:val="DNVGL-Address-receiver"/>
    <w:uiPriority w:val="99"/>
    <w:rsid w:val="00866BDC"/>
    <w:rPr>
      <w:rFonts w:ascii="Arial" w:hAnsi="Arial" w:cs="Arial"/>
      <w:noProof/>
      <w:sz w:val="18"/>
      <w:szCs w:val="18"/>
      <w:lang w:val="en-GB"/>
    </w:rPr>
  </w:style>
  <w:style w:type="paragraph" w:customStyle="1" w:styleId="DNVGL-Address-sender">
    <w:name w:val="DNVGL-Address - sender"/>
    <w:basedOn w:val="Normal"/>
    <w:link w:val="DNVGL-Address-senderChar"/>
    <w:uiPriority w:val="99"/>
    <w:rsid w:val="00866BDC"/>
    <w:pPr>
      <w:keepLines/>
      <w:spacing w:line="280" w:lineRule="atLeast"/>
    </w:pPr>
    <w:rPr>
      <w:noProof/>
    </w:rPr>
  </w:style>
  <w:style w:type="character" w:customStyle="1" w:styleId="DNVGL-Address-senderChar">
    <w:name w:val="DNVGL-Address - sender Char"/>
    <w:basedOn w:val="DefaultParagraphFont"/>
    <w:link w:val="DNVGL-Address-sender"/>
    <w:uiPriority w:val="99"/>
    <w:rsid w:val="00866BDC"/>
    <w:rPr>
      <w:rFonts w:ascii="Arial" w:hAnsi="Arial" w:cs="Arial"/>
      <w:noProof/>
      <w:sz w:val="18"/>
      <w:szCs w:val="18"/>
      <w:lang w:val="en-GB"/>
    </w:rPr>
  </w:style>
  <w:style w:type="paragraph" w:customStyle="1" w:styleId="DNVGL-Details">
    <w:name w:val="DNVGL-Details"/>
    <w:basedOn w:val="Normal"/>
    <w:link w:val="DNVGL-DetailsChar"/>
    <w:uiPriority w:val="99"/>
    <w:rsid w:val="00221210"/>
    <w:pPr>
      <w:keepLines/>
      <w:spacing w:line="280" w:lineRule="atLeast"/>
    </w:pPr>
  </w:style>
  <w:style w:type="character" w:customStyle="1" w:styleId="DNVGL-DetailsChar">
    <w:name w:val="DNVGL-Details Char"/>
    <w:basedOn w:val="DefaultParagraphFont"/>
    <w:link w:val="DNVGL-Details"/>
    <w:uiPriority w:val="99"/>
    <w:rsid w:val="00221210"/>
    <w:rPr>
      <w:rFonts w:ascii="Arial" w:hAnsi="Arial" w:cs="Arial"/>
      <w:sz w:val="18"/>
      <w:szCs w:val="18"/>
      <w:lang w:val="en-GB"/>
    </w:rPr>
  </w:style>
  <w:style w:type="paragraph" w:customStyle="1" w:styleId="DNVGL-Revisionrow">
    <w:name w:val="DNVGL-Revision row"/>
    <w:basedOn w:val="Normal"/>
    <w:link w:val="DNVGL-RevisionrowChar"/>
    <w:uiPriority w:val="99"/>
    <w:rsid w:val="00866BDC"/>
    <w:pPr>
      <w:keepLines/>
      <w:spacing w:line="280" w:lineRule="atLeast"/>
    </w:pPr>
    <w:rPr>
      <w:sz w:val="14"/>
    </w:rPr>
  </w:style>
  <w:style w:type="character" w:customStyle="1" w:styleId="DNVGL-RevisionrowChar">
    <w:name w:val="DNVGL-Revision row Char"/>
    <w:basedOn w:val="DefaultParagraphFont"/>
    <w:link w:val="DNVGL-Revisionrow"/>
    <w:uiPriority w:val="99"/>
    <w:rsid w:val="00866BDC"/>
    <w:rPr>
      <w:rFonts w:ascii="Arial" w:hAnsi="Arial" w:cs="Arial"/>
      <w:sz w:val="14"/>
      <w:szCs w:val="18"/>
      <w:lang w:val="en-GB"/>
    </w:rPr>
  </w:style>
  <w:style w:type="paragraph" w:customStyle="1" w:styleId="DNVGL-Revisionheadingrow">
    <w:name w:val="DNVGL-Revision heading row"/>
    <w:basedOn w:val="Normal"/>
    <w:link w:val="DNVGL-RevisionheadingrowChar"/>
    <w:uiPriority w:val="99"/>
    <w:rsid w:val="00866BDC"/>
    <w:pPr>
      <w:keepLines/>
    </w:pPr>
    <w:rPr>
      <w:sz w:val="14"/>
    </w:rPr>
  </w:style>
  <w:style w:type="character" w:customStyle="1" w:styleId="DNVGL-RevisionheadingrowChar">
    <w:name w:val="DNVGL-Revision heading row Char"/>
    <w:basedOn w:val="DefaultParagraphFont"/>
    <w:link w:val="DNVGL-Revisionheadingrow"/>
    <w:uiPriority w:val="99"/>
    <w:rsid w:val="00866BDC"/>
    <w:rPr>
      <w:rFonts w:ascii="Arial" w:hAnsi="Arial" w:cs="Arial"/>
      <w:sz w:val="14"/>
      <w:szCs w:val="18"/>
      <w:lang w:val="en-GB"/>
    </w:rPr>
  </w:style>
  <w:style w:type="paragraph" w:customStyle="1" w:styleId="DNVGL-Signature">
    <w:name w:val="DNVGL-Signature"/>
    <w:basedOn w:val="Normal"/>
    <w:link w:val="DNVGL-SignatureChar"/>
    <w:uiPriority w:val="99"/>
    <w:rsid w:val="00866BDC"/>
    <w:pPr>
      <w:keepLines/>
      <w:contextualSpacing/>
    </w:pPr>
    <w:rPr>
      <w:noProof/>
    </w:rPr>
  </w:style>
  <w:style w:type="character" w:customStyle="1" w:styleId="DNVGL-SignatureChar">
    <w:name w:val="DNVGL-Signature Char"/>
    <w:basedOn w:val="DefaultParagraphFont"/>
    <w:link w:val="DNVGL-Signature"/>
    <w:uiPriority w:val="99"/>
    <w:rsid w:val="00866BDC"/>
    <w:rPr>
      <w:rFonts w:ascii="Arial" w:hAnsi="Arial" w:cs="Arial"/>
      <w:noProof/>
      <w:sz w:val="18"/>
      <w:szCs w:val="18"/>
      <w:lang w:val="en-GB"/>
    </w:rPr>
  </w:style>
  <w:style w:type="paragraph" w:customStyle="1" w:styleId="DNVGL-Signaturesmall">
    <w:name w:val="DNVGL-Signature (small)"/>
    <w:basedOn w:val="DNVGL-Signature"/>
    <w:link w:val="DNVGL-SignaturesmallChar"/>
    <w:uiPriority w:val="99"/>
    <w:rsid w:val="00866BDC"/>
    <w:rPr>
      <w:sz w:val="14"/>
    </w:rPr>
  </w:style>
  <w:style w:type="character" w:customStyle="1" w:styleId="DNVGL-SignaturesmallChar">
    <w:name w:val="DNVGL-Signature (small) Char"/>
    <w:basedOn w:val="DefaultParagraphFont"/>
    <w:link w:val="DNVGL-Signaturesmall"/>
    <w:uiPriority w:val="99"/>
    <w:rsid w:val="00866BDC"/>
    <w:rPr>
      <w:rFonts w:ascii="Arial" w:hAnsi="Arial" w:cs="Arial"/>
      <w:noProof/>
      <w:sz w:val="14"/>
      <w:szCs w:val="18"/>
      <w:lang w:val="en-GB"/>
    </w:rPr>
  </w:style>
  <w:style w:type="paragraph" w:customStyle="1" w:styleId="DNVGL-Closing">
    <w:name w:val="DNVGL-Closing"/>
    <w:basedOn w:val="Normal"/>
    <w:next w:val="DNVGL-Signature"/>
    <w:link w:val="DNVGL-ClosingChar"/>
    <w:uiPriority w:val="99"/>
    <w:rsid w:val="00866BDC"/>
    <w:pPr>
      <w:keepNext/>
      <w:keepLines/>
      <w:spacing w:before="480" w:after="720" w:line="280" w:lineRule="atLeast"/>
      <w:contextualSpacing/>
    </w:pPr>
    <w:rPr>
      <w:noProof/>
    </w:rPr>
  </w:style>
  <w:style w:type="character" w:customStyle="1" w:styleId="DNVGL-ClosingChar">
    <w:name w:val="DNVGL-Closing Char"/>
    <w:basedOn w:val="DefaultParagraphFont"/>
    <w:link w:val="DNVGL-Closing"/>
    <w:uiPriority w:val="99"/>
    <w:rsid w:val="00866BDC"/>
    <w:rPr>
      <w:rFonts w:ascii="Arial" w:hAnsi="Arial" w:cs="Arial"/>
      <w:noProof/>
      <w:sz w:val="18"/>
      <w:szCs w:val="18"/>
      <w:lang w:val="en-GB"/>
    </w:rPr>
  </w:style>
  <w:style w:type="paragraph" w:customStyle="1" w:styleId="CMCHeading">
    <w:name w:val="CMCHeading"/>
    <w:basedOn w:val="Normal"/>
    <w:next w:val="Normal"/>
    <w:link w:val="CMCHeadingChar"/>
    <w:uiPriority w:val="99"/>
    <w:rsid w:val="00866BDC"/>
    <w:rPr>
      <w:b/>
      <w:sz w:val="22"/>
    </w:rPr>
  </w:style>
  <w:style w:type="character" w:customStyle="1" w:styleId="CMCHeadingChar">
    <w:name w:val="CMCHeading Char"/>
    <w:basedOn w:val="DefaultParagraphFont"/>
    <w:link w:val="CMCHeading"/>
    <w:uiPriority w:val="99"/>
    <w:rsid w:val="00866BDC"/>
    <w:rPr>
      <w:rFonts w:ascii="Arial" w:hAnsi="Arial" w:cs="Arial"/>
      <w:b/>
      <w:szCs w:val="18"/>
      <w:lang w:val="en-GB"/>
    </w:rPr>
  </w:style>
  <w:style w:type="paragraph" w:customStyle="1" w:styleId="CMCConfidential">
    <w:name w:val="CMCConfidential"/>
    <w:basedOn w:val="Normal"/>
    <w:link w:val="CMCConfidentialChar"/>
    <w:uiPriority w:val="99"/>
    <w:rsid w:val="00866BDC"/>
    <w:rPr>
      <w:color w:val="FF0000"/>
    </w:rPr>
  </w:style>
  <w:style w:type="character" w:customStyle="1" w:styleId="CMCConfidentialChar">
    <w:name w:val="CMCConfidential Char"/>
    <w:basedOn w:val="DefaultParagraphFont"/>
    <w:link w:val="CMCConfidential"/>
    <w:uiPriority w:val="99"/>
    <w:rsid w:val="00866BDC"/>
    <w:rPr>
      <w:rFonts w:ascii="Arial" w:hAnsi="Arial" w:cs="Arial"/>
      <w:color w:val="FF0000"/>
      <w:sz w:val="18"/>
      <w:szCs w:val="18"/>
      <w:lang w:val="en-GB"/>
    </w:rPr>
  </w:style>
  <w:style w:type="paragraph" w:customStyle="1" w:styleId="CMCConfidentialText">
    <w:name w:val="CMCConfidentialText"/>
    <w:basedOn w:val="CMCConfidential"/>
    <w:link w:val="CMCConfidentialTextChar"/>
    <w:uiPriority w:val="99"/>
    <w:rsid w:val="00866BDC"/>
  </w:style>
  <w:style w:type="character" w:customStyle="1" w:styleId="CMCConfidentialTextChar">
    <w:name w:val="CMCConfidentialText Char"/>
    <w:basedOn w:val="DefaultParagraphFont"/>
    <w:link w:val="CMCConfidentialText"/>
    <w:rsid w:val="00866BDC"/>
    <w:rPr>
      <w:rFonts w:ascii="Arial" w:hAnsi="Arial" w:cs="Arial"/>
      <w:color w:val="FF0000"/>
      <w:sz w:val="18"/>
      <w:szCs w:val="18"/>
      <w:lang w:val="en-GB"/>
    </w:rPr>
  </w:style>
  <w:style w:type="paragraph" w:customStyle="1" w:styleId="DNVGL-AppListing">
    <w:name w:val="DNVGL-App Listing"/>
    <w:basedOn w:val="Normal"/>
    <w:link w:val="DNVGL-AppListingChar"/>
    <w:uiPriority w:val="99"/>
    <w:rsid w:val="00866BDC"/>
    <w:pPr>
      <w:keepLines/>
      <w:numPr>
        <w:numId w:val="5"/>
      </w:numPr>
      <w:tabs>
        <w:tab w:val="num" w:pos="643"/>
        <w:tab w:val="num" w:pos="1492"/>
      </w:tabs>
      <w:ind w:left="643" w:hanging="360"/>
    </w:pPr>
    <w:rPr>
      <w:color w:val="0F204B"/>
    </w:rPr>
  </w:style>
  <w:style w:type="character" w:customStyle="1" w:styleId="DNVGL-AppListingChar">
    <w:name w:val="DNVGL-App Listing Char"/>
    <w:basedOn w:val="DefaultParagraphFont"/>
    <w:link w:val="DNVGL-AppListing"/>
    <w:uiPriority w:val="99"/>
    <w:rsid w:val="00866BDC"/>
    <w:rPr>
      <w:rFonts w:ascii="Arial" w:hAnsi="Arial" w:cs="Arial"/>
      <w:color w:val="0F204B"/>
      <w:sz w:val="18"/>
      <w:szCs w:val="18"/>
      <w:lang w:val="en-GB"/>
    </w:rPr>
  </w:style>
  <w:style w:type="paragraph" w:customStyle="1" w:styleId="DNVGL-AppText">
    <w:name w:val="DNVGL-App Text"/>
    <w:basedOn w:val="Normal"/>
    <w:next w:val="BodyText"/>
    <w:link w:val="DNVGL-AppTextChar"/>
    <w:uiPriority w:val="99"/>
    <w:rsid w:val="00866BDC"/>
    <w:pPr>
      <w:spacing w:after="120"/>
    </w:pPr>
    <w:rPr>
      <w:b/>
      <w:color w:val="0F204B"/>
      <w:sz w:val="26"/>
    </w:rPr>
  </w:style>
  <w:style w:type="character" w:customStyle="1" w:styleId="DNVGL-AppTextChar">
    <w:name w:val="DNVGL-App Text Char"/>
    <w:basedOn w:val="DefaultParagraphFont"/>
    <w:link w:val="DNVGL-AppText"/>
    <w:uiPriority w:val="99"/>
    <w:rsid w:val="00866BDC"/>
    <w:rPr>
      <w:rFonts w:ascii="Arial" w:hAnsi="Arial" w:cs="Arial"/>
      <w:b/>
      <w:color w:val="0F204B"/>
      <w:sz w:val="26"/>
      <w:szCs w:val="18"/>
      <w:lang w:val="en-GB"/>
    </w:rPr>
  </w:style>
  <w:style w:type="paragraph" w:customStyle="1" w:styleId="DNVGL-Appendix">
    <w:name w:val="DNVGL-Appendix"/>
    <w:basedOn w:val="Normal"/>
    <w:next w:val="BodyText"/>
    <w:link w:val="DNVGL-AppendixChar"/>
    <w:uiPriority w:val="99"/>
    <w:rsid w:val="00866BDC"/>
    <w:pPr>
      <w:pBdr>
        <w:bottom w:val="single" w:sz="6" w:space="0" w:color="009FDA"/>
      </w:pBdr>
    </w:pPr>
    <w:rPr>
      <w:b/>
      <w:caps/>
      <w:noProof/>
      <w:color w:val="0F204B"/>
      <w:sz w:val="26"/>
    </w:rPr>
  </w:style>
  <w:style w:type="character" w:customStyle="1" w:styleId="DNVGL-AppendixChar">
    <w:name w:val="DNVGL-Appendix Char"/>
    <w:basedOn w:val="DefaultParagraphFont"/>
    <w:link w:val="DNVGL-Appendix"/>
    <w:uiPriority w:val="99"/>
    <w:rsid w:val="00866BDC"/>
    <w:rPr>
      <w:rFonts w:ascii="Arial" w:hAnsi="Arial" w:cs="Arial"/>
      <w:b/>
      <w:caps/>
      <w:noProof/>
      <w:color w:val="0F204B"/>
      <w:sz w:val="26"/>
      <w:szCs w:val="18"/>
      <w:lang w:val="en-GB"/>
    </w:rPr>
  </w:style>
  <w:style w:type="paragraph" w:customStyle="1" w:styleId="DNVGL-BackcoverTitle">
    <w:name w:val="DNVGL-Backcover Title"/>
    <w:basedOn w:val="Normal"/>
    <w:next w:val="BodyText"/>
    <w:link w:val="DNVGL-BackcoverTitleChar"/>
    <w:uiPriority w:val="99"/>
    <w:rsid w:val="00866BDC"/>
    <w:rPr>
      <w:b/>
      <w:noProof/>
      <w:color w:val="0F204B"/>
      <w:sz w:val="26"/>
    </w:rPr>
  </w:style>
  <w:style w:type="character" w:customStyle="1" w:styleId="DNVGL-BackcoverTitleChar">
    <w:name w:val="DNVGL-Backcover Title Char"/>
    <w:basedOn w:val="DefaultParagraphFont"/>
    <w:link w:val="DNVGL-BackcoverTitle"/>
    <w:uiPriority w:val="99"/>
    <w:rsid w:val="00866BDC"/>
    <w:rPr>
      <w:rFonts w:ascii="Arial" w:hAnsi="Arial" w:cs="Arial"/>
      <w:b/>
      <w:noProof/>
      <w:color w:val="0F204B"/>
      <w:sz w:val="26"/>
      <w:szCs w:val="18"/>
      <w:lang w:val="en-GB"/>
    </w:rPr>
  </w:style>
  <w:style w:type="paragraph" w:customStyle="1" w:styleId="Bodytexthighlight">
    <w:name w:val="Body text highlight"/>
    <w:basedOn w:val="BodyText"/>
    <w:link w:val="BodytexthighlightChar"/>
    <w:uiPriority w:val="99"/>
    <w:rsid w:val="00866BDC"/>
    <w:pPr>
      <w:shd w:val="clear" w:color="auto" w:fill="FFFF99"/>
    </w:pPr>
    <w:rPr>
      <w:color w:val="0F204B"/>
    </w:rPr>
  </w:style>
  <w:style w:type="character" w:customStyle="1" w:styleId="BodytexthighlightChar">
    <w:name w:val="Body text highlight Char"/>
    <w:basedOn w:val="DefaultParagraphFont"/>
    <w:link w:val="Bodytexthighlight"/>
    <w:uiPriority w:val="99"/>
    <w:rsid w:val="00866BDC"/>
    <w:rPr>
      <w:rFonts w:ascii="Arial" w:hAnsi="Arial" w:cs="Arial"/>
      <w:color w:val="0F204B"/>
      <w:sz w:val="18"/>
      <w:szCs w:val="18"/>
      <w:shd w:val="clear" w:color="auto" w:fill="FFFF99"/>
      <w:lang w:val="en-GB"/>
    </w:rPr>
  </w:style>
  <w:style w:type="paragraph" w:customStyle="1" w:styleId="DNVGL-capEquation">
    <w:name w:val="DNVGL-capEquation"/>
    <w:basedOn w:val="Normal"/>
    <w:next w:val="BodyText"/>
    <w:link w:val="DNVGL-capEquationChar"/>
    <w:uiPriority w:val="99"/>
    <w:rsid w:val="00866BDC"/>
    <w:pPr>
      <w:keepLines/>
      <w:spacing w:before="120" w:after="120"/>
      <w:ind w:left="142" w:right="113" w:hanging="142"/>
    </w:pPr>
    <w:rPr>
      <w:b/>
    </w:rPr>
  </w:style>
  <w:style w:type="character" w:customStyle="1" w:styleId="DNVGL-capEquationChar">
    <w:name w:val="DNVGL-capEquation Char"/>
    <w:basedOn w:val="DefaultParagraphFont"/>
    <w:link w:val="DNVGL-capEquation"/>
    <w:uiPriority w:val="99"/>
    <w:rsid w:val="00866BDC"/>
    <w:rPr>
      <w:rFonts w:ascii="Arial" w:hAnsi="Arial" w:cs="Arial"/>
      <w:b/>
      <w:sz w:val="18"/>
      <w:szCs w:val="18"/>
      <w:lang w:val="en-GB"/>
    </w:rPr>
  </w:style>
  <w:style w:type="paragraph" w:customStyle="1" w:styleId="DNVGL-capFigure">
    <w:name w:val="DNVGL-capFigure"/>
    <w:basedOn w:val="Normal"/>
    <w:next w:val="BodyText"/>
    <w:link w:val="DNVGL-capFigureChar"/>
    <w:uiPriority w:val="99"/>
    <w:rsid w:val="00866BDC"/>
    <w:pPr>
      <w:keepNext/>
    </w:pPr>
    <w:rPr>
      <w:b/>
    </w:rPr>
  </w:style>
  <w:style w:type="character" w:customStyle="1" w:styleId="DNVGL-capFigureChar">
    <w:name w:val="DNVGL-capFigure Char"/>
    <w:basedOn w:val="DefaultParagraphFont"/>
    <w:link w:val="DNVGL-capFigure"/>
    <w:uiPriority w:val="99"/>
    <w:rsid w:val="00866BDC"/>
    <w:rPr>
      <w:rFonts w:ascii="Arial" w:hAnsi="Arial" w:cs="Arial"/>
      <w:b/>
      <w:sz w:val="18"/>
      <w:szCs w:val="18"/>
      <w:lang w:val="en-GB"/>
    </w:rPr>
  </w:style>
  <w:style w:type="paragraph" w:customStyle="1" w:styleId="DNVGL-capTable">
    <w:name w:val="DNVGL-capTable"/>
    <w:basedOn w:val="Normal"/>
    <w:next w:val="BodyText"/>
    <w:link w:val="DNVGL-capTableChar"/>
    <w:uiPriority w:val="99"/>
    <w:rsid w:val="00866BDC"/>
    <w:pPr>
      <w:keepNext/>
      <w:spacing w:before="100" w:after="60" w:line="280" w:lineRule="atLeast"/>
    </w:pPr>
    <w:rPr>
      <w:b/>
    </w:rPr>
  </w:style>
  <w:style w:type="character" w:customStyle="1" w:styleId="DNVGL-capTableChar">
    <w:name w:val="DNVGL-capTable Char"/>
    <w:basedOn w:val="DefaultParagraphFont"/>
    <w:link w:val="DNVGL-capTable"/>
    <w:uiPriority w:val="99"/>
    <w:rsid w:val="00866BDC"/>
    <w:rPr>
      <w:rFonts w:ascii="Arial" w:hAnsi="Arial" w:cs="Arial"/>
      <w:b/>
      <w:sz w:val="18"/>
      <w:szCs w:val="18"/>
      <w:lang w:val="en-GB"/>
    </w:rPr>
  </w:style>
  <w:style w:type="paragraph" w:customStyle="1" w:styleId="DNVGL-FigureComment">
    <w:name w:val="DNVGL-FigureComment"/>
    <w:basedOn w:val="Normal"/>
    <w:link w:val="DNVGL-FigureCommentChar"/>
    <w:uiPriority w:val="99"/>
    <w:rsid w:val="00866BDC"/>
    <w:pPr>
      <w:keepLines/>
      <w:spacing w:after="180"/>
      <w:ind w:left="142" w:hanging="142"/>
      <w:contextualSpacing/>
    </w:pPr>
    <w:rPr>
      <w:sz w:val="13"/>
    </w:rPr>
  </w:style>
  <w:style w:type="character" w:customStyle="1" w:styleId="DNVGL-FigureCommentChar">
    <w:name w:val="DNVGL-FigureComment Char"/>
    <w:basedOn w:val="DefaultParagraphFont"/>
    <w:link w:val="DNVGL-FigureComment"/>
    <w:uiPriority w:val="99"/>
    <w:rsid w:val="00866BDC"/>
    <w:rPr>
      <w:rFonts w:ascii="Arial" w:hAnsi="Arial" w:cs="Arial"/>
      <w:sz w:val="13"/>
      <w:szCs w:val="18"/>
      <w:lang w:val="en-GB"/>
    </w:rPr>
  </w:style>
  <w:style w:type="paragraph" w:customStyle="1" w:styleId="DNVGL-TableComment">
    <w:name w:val="DNVGL-TableComment"/>
    <w:basedOn w:val="Normal"/>
    <w:link w:val="DNVGL-TableCommentChar"/>
    <w:uiPriority w:val="99"/>
    <w:rsid w:val="00866BDC"/>
    <w:pPr>
      <w:keepLines/>
      <w:spacing w:after="180"/>
      <w:ind w:left="142" w:hanging="142"/>
      <w:contextualSpacing/>
    </w:pPr>
    <w:rPr>
      <w:sz w:val="13"/>
    </w:rPr>
  </w:style>
  <w:style w:type="character" w:customStyle="1" w:styleId="DNVGL-TableCommentChar">
    <w:name w:val="DNVGL-TableComment Char"/>
    <w:basedOn w:val="DefaultParagraphFont"/>
    <w:link w:val="DNVGL-TableComment"/>
    <w:uiPriority w:val="99"/>
    <w:rsid w:val="00866BDC"/>
    <w:rPr>
      <w:rFonts w:ascii="Arial" w:hAnsi="Arial" w:cs="Arial"/>
      <w:sz w:val="13"/>
      <w:szCs w:val="18"/>
      <w:lang w:val="en-GB"/>
    </w:rPr>
  </w:style>
  <w:style w:type="paragraph" w:customStyle="1" w:styleId="DNVGL-TableText">
    <w:name w:val="DNVGL-TableText"/>
    <w:basedOn w:val="Normal"/>
    <w:link w:val="DNVGL-TableTextChar"/>
    <w:uiPriority w:val="99"/>
    <w:rsid w:val="00866BDC"/>
    <w:pPr>
      <w:keepNext/>
      <w:keepLines/>
      <w:spacing w:before="20" w:after="20"/>
    </w:pPr>
    <w:rPr>
      <w:sz w:val="16"/>
    </w:rPr>
  </w:style>
  <w:style w:type="character" w:customStyle="1" w:styleId="DNVGL-TableTextChar">
    <w:name w:val="DNVGL-TableText Char"/>
    <w:basedOn w:val="DefaultParagraphFont"/>
    <w:link w:val="DNVGL-TableText"/>
    <w:uiPriority w:val="99"/>
    <w:rsid w:val="00866BDC"/>
    <w:rPr>
      <w:rFonts w:ascii="Arial" w:hAnsi="Arial" w:cs="Arial"/>
      <w:sz w:val="16"/>
      <w:szCs w:val="18"/>
      <w:lang w:val="en-GB"/>
    </w:rPr>
  </w:style>
  <w:style w:type="paragraph" w:customStyle="1" w:styleId="DNVGL-TableHeadingText">
    <w:name w:val="DNVGL-TableHeadingText"/>
    <w:basedOn w:val="DNVGL-TableText"/>
    <w:link w:val="DNVGL-TableHeadingTextChar"/>
    <w:uiPriority w:val="99"/>
    <w:rsid w:val="00866BDC"/>
    <w:rPr>
      <w:b/>
    </w:rPr>
  </w:style>
  <w:style w:type="character" w:customStyle="1" w:styleId="DNVGL-TableHeadingTextChar">
    <w:name w:val="DNVGL-TableHeadingText Char"/>
    <w:basedOn w:val="DefaultParagraphFont"/>
    <w:link w:val="DNVGL-TableHeadingText"/>
    <w:uiPriority w:val="99"/>
    <w:rsid w:val="00866BDC"/>
    <w:rPr>
      <w:rFonts w:ascii="Arial" w:hAnsi="Arial" w:cs="Arial"/>
      <w:b/>
      <w:sz w:val="16"/>
      <w:szCs w:val="18"/>
      <w:lang w:val="en-GB"/>
    </w:rPr>
  </w:style>
  <w:style w:type="paragraph" w:customStyle="1" w:styleId="DNVGL-TOCHeading">
    <w:name w:val="DNVGL-TOC Heading"/>
    <w:basedOn w:val="Normal"/>
    <w:next w:val="Normal"/>
    <w:link w:val="DNVGL-TOCHeadingChar"/>
    <w:uiPriority w:val="99"/>
    <w:rsid w:val="00866BDC"/>
    <w:pPr>
      <w:keepNext/>
      <w:pageBreakBefore/>
      <w:spacing w:before="180"/>
      <w:outlineLvl w:val="0"/>
    </w:pPr>
    <w:rPr>
      <w:sz w:val="26"/>
    </w:rPr>
  </w:style>
  <w:style w:type="character" w:customStyle="1" w:styleId="DNVGL-TOCHeadingChar">
    <w:name w:val="DNVGL-TOC Heading Char"/>
    <w:basedOn w:val="DefaultParagraphFont"/>
    <w:link w:val="DNVGL-TOCHeading"/>
    <w:uiPriority w:val="99"/>
    <w:rsid w:val="00866BDC"/>
    <w:rPr>
      <w:rFonts w:ascii="Arial" w:hAnsi="Arial" w:cs="Arial"/>
      <w:sz w:val="26"/>
      <w:szCs w:val="18"/>
      <w:lang w:val="en-GB"/>
    </w:rPr>
  </w:style>
  <w:style w:type="paragraph" w:customStyle="1" w:styleId="DNVGL-Cover-ProjectName">
    <w:name w:val="DNVGL-Cover-ProjectName"/>
    <w:basedOn w:val="Normal"/>
    <w:link w:val="DNVGL-Cover-ProjectNameChar"/>
    <w:uiPriority w:val="99"/>
    <w:rsid w:val="00221210"/>
    <w:pPr>
      <w:keepNext/>
      <w:keepLines/>
      <w:contextualSpacing/>
    </w:pPr>
    <w:rPr>
      <w:b/>
      <w:caps/>
      <w:color w:val="565655"/>
      <w:sz w:val="26"/>
    </w:rPr>
  </w:style>
  <w:style w:type="character" w:customStyle="1" w:styleId="DNVGL-Cover-ProjectNameChar">
    <w:name w:val="DNVGL-Cover-ProjectName Char"/>
    <w:basedOn w:val="DefaultParagraphFont"/>
    <w:link w:val="DNVGL-Cover-ProjectName"/>
    <w:uiPriority w:val="99"/>
    <w:rsid w:val="00221210"/>
    <w:rPr>
      <w:rFonts w:ascii="Arial" w:hAnsi="Arial" w:cs="Arial"/>
      <w:b/>
      <w:caps/>
      <w:color w:val="565655"/>
      <w:sz w:val="26"/>
      <w:szCs w:val="18"/>
      <w:lang w:val="en-GB"/>
    </w:rPr>
  </w:style>
  <w:style w:type="paragraph" w:customStyle="1" w:styleId="DNVGL-Cover-ReportTitle">
    <w:name w:val="DNVGL-Cover-ReportTitle"/>
    <w:basedOn w:val="Normal"/>
    <w:link w:val="DNVGL-Cover-ReportTitleChar"/>
    <w:uiPriority w:val="99"/>
    <w:rsid w:val="00221210"/>
    <w:pPr>
      <w:keepNext/>
      <w:keepLines/>
      <w:spacing w:after="240"/>
      <w:contextualSpacing/>
    </w:pPr>
    <w:rPr>
      <w:b/>
      <w:color w:val="0F204B"/>
      <w:sz w:val="56"/>
    </w:rPr>
  </w:style>
  <w:style w:type="character" w:customStyle="1" w:styleId="DNVGL-Cover-ReportTitleChar">
    <w:name w:val="DNVGL-Cover-ReportTitle Char"/>
    <w:basedOn w:val="DefaultParagraphFont"/>
    <w:link w:val="DNVGL-Cover-ReportTitle"/>
    <w:uiPriority w:val="99"/>
    <w:rsid w:val="00221210"/>
    <w:rPr>
      <w:rFonts w:ascii="Arial" w:hAnsi="Arial" w:cs="Arial"/>
      <w:b/>
      <w:color w:val="0F204B"/>
      <w:sz w:val="56"/>
      <w:szCs w:val="18"/>
      <w:lang w:val="en-GB"/>
    </w:rPr>
  </w:style>
  <w:style w:type="paragraph" w:customStyle="1" w:styleId="DNVGL-Cover-Company">
    <w:name w:val="DNVGL-Cover-Company"/>
    <w:basedOn w:val="Normal"/>
    <w:link w:val="DNVGL-Cover-CompanyChar"/>
    <w:uiPriority w:val="99"/>
    <w:rsid w:val="00221210"/>
    <w:pPr>
      <w:keepNext/>
      <w:keepLines/>
      <w:contextualSpacing/>
    </w:pPr>
    <w:rPr>
      <w:b/>
      <w:color w:val="565655"/>
      <w:sz w:val="28"/>
    </w:rPr>
  </w:style>
  <w:style w:type="character" w:customStyle="1" w:styleId="DNVGL-Cover-CompanyChar">
    <w:name w:val="DNVGL-Cover-Company Char"/>
    <w:basedOn w:val="DefaultParagraphFont"/>
    <w:link w:val="DNVGL-Cover-Company"/>
    <w:uiPriority w:val="99"/>
    <w:rsid w:val="00221210"/>
    <w:rPr>
      <w:rFonts w:ascii="Arial" w:hAnsi="Arial" w:cs="Arial"/>
      <w:b/>
      <w:color w:val="565655"/>
      <w:sz w:val="28"/>
      <w:szCs w:val="18"/>
      <w:lang w:val="en-GB"/>
    </w:rPr>
  </w:style>
  <w:style w:type="paragraph" w:styleId="BalloonText">
    <w:name w:val="Balloon Text"/>
    <w:basedOn w:val="Normal"/>
    <w:link w:val="BalloonTextChar"/>
    <w:uiPriority w:val="99"/>
    <w:semiHidden/>
    <w:unhideWhenUsed/>
    <w:rsid w:val="00866BDC"/>
    <w:rPr>
      <w:rFonts w:ascii="Tahoma" w:hAnsi="Tahoma" w:cs="Tahoma"/>
      <w:sz w:val="16"/>
      <w:szCs w:val="16"/>
    </w:rPr>
  </w:style>
  <w:style w:type="character" w:customStyle="1" w:styleId="BalloonTextChar">
    <w:name w:val="Balloon Text Char"/>
    <w:basedOn w:val="DefaultParagraphFont"/>
    <w:link w:val="BalloonText"/>
    <w:uiPriority w:val="99"/>
    <w:semiHidden/>
    <w:rsid w:val="00866BDC"/>
    <w:rPr>
      <w:rFonts w:ascii="Tahoma" w:hAnsi="Tahoma" w:cs="Tahoma"/>
      <w:sz w:val="16"/>
      <w:szCs w:val="16"/>
      <w:lang w:val="en-GB"/>
    </w:rPr>
  </w:style>
  <w:style w:type="paragraph" w:styleId="Bibliography">
    <w:name w:val="Bibliography"/>
    <w:basedOn w:val="Normal"/>
    <w:next w:val="Normal"/>
    <w:uiPriority w:val="99"/>
    <w:semiHidden/>
    <w:unhideWhenUsed/>
    <w:rsid w:val="00866BDC"/>
  </w:style>
  <w:style w:type="paragraph" w:styleId="BlockText">
    <w:name w:val="Block Text"/>
    <w:basedOn w:val="Normal"/>
    <w:uiPriority w:val="99"/>
    <w:semiHidden/>
    <w:unhideWhenUsed/>
    <w:rsid w:val="00866BDC"/>
    <w:pPr>
      <w:pBdr>
        <w:top w:val="single" w:sz="2" w:space="10" w:color="0F204B" w:themeColor="accent1" w:frame="1"/>
        <w:left w:val="single" w:sz="2" w:space="10" w:color="0F204B" w:themeColor="accent1" w:frame="1"/>
        <w:bottom w:val="single" w:sz="2" w:space="10" w:color="0F204B" w:themeColor="accent1" w:frame="1"/>
        <w:right w:val="single" w:sz="2" w:space="10" w:color="0F204B" w:themeColor="accent1" w:frame="1"/>
      </w:pBdr>
      <w:ind w:left="1152" w:right="1152"/>
    </w:pPr>
    <w:rPr>
      <w:rFonts w:asciiTheme="minorHAnsi" w:hAnsiTheme="minorHAnsi" w:cstheme="minorBidi"/>
      <w:i/>
      <w:iCs/>
      <w:color w:val="0F204B" w:themeColor="accent1"/>
    </w:rPr>
  </w:style>
  <w:style w:type="paragraph" w:styleId="BodyText2">
    <w:name w:val="Body Text 2"/>
    <w:basedOn w:val="Normal"/>
    <w:link w:val="BodyText2Char"/>
    <w:uiPriority w:val="99"/>
    <w:semiHidden/>
    <w:unhideWhenUsed/>
    <w:rsid w:val="00866BDC"/>
    <w:pPr>
      <w:spacing w:after="120" w:line="480" w:lineRule="auto"/>
    </w:pPr>
  </w:style>
  <w:style w:type="character" w:customStyle="1" w:styleId="BodyText2Char">
    <w:name w:val="Body Text 2 Char"/>
    <w:basedOn w:val="DefaultParagraphFont"/>
    <w:link w:val="BodyText2"/>
    <w:uiPriority w:val="99"/>
    <w:semiHidden/>
    <w:rsid w:val="00866BDC"/>
    <w:rPr>
      <w:rFonts w:ascii="Arial" w:hAnsi="Arial" w:cs="Arial"/>
      <w:sz w:val="18"/>
      <w:szCs w:val="18"/>
      <w:lang w:val="en-GB"/>
    </w:rPr>
  </w:style>
  <w:style w:type="paragraph" w:styleId="BodyText3">
    <w:name w:val="Body Text 3"/>
    <w:basedOn w:val="Normal"/>
    <w:link w:val="BodyText3Char"/>
    <w:uiPriority w:val="99"/>
    <w:semiHidden/>
    <w:unhideWhenUsed/>
    <w:rsid w:val="00866BDC"/>
    <w:pPr>
      <w:spacing w:after="120"/>
    </w:pPr>
    <w:rPr>
      <w:sz w:val="16"/>
      <w:szCs w:val="16"/>
    </w:rPr>
  </w:style>
  <w:style w:type="character" w:customStyle="1" w:styleId="BodyText3Char">
    <w:name w:val="Body Text 3 Char"/>
    <w:basedOn w:val="DefaultParagraphFont"/>
    <w:link w:val="BodyText3"/>
    <w:uiPriority w:val="99"/>
    <w:semiHidden/>
    <w:rsid w:val="00866BDC"/>
    <w:rPr>
      <w:rFonts w:ascii="Arial" w:hAnsi="Arial" w:cs="Arial"/>
      <w:sz w:val="16"/>
      <w:szCs w:val="16"/>
      <w:lang w:val="en-GB"/>
    </w:rPr>
  </w:style>
  <w:style w:type="paragraph" w:styleId="BodyTextFirstIndent">
    <w:name w:val="Body Text First Indent"/>
    <w:basedOn w:val="BodyText"/>
    <w:link w:val="BodyTextFirstIndentChar"/>
    <w:uiPriority w:val="99"/>
    <w:semiHidden/>
    <w:unhideWhenUsed/>
    <w:rsid w:val="00866BDC"/>
    <w:pPr>
      <w:spacing w:before="0" w:after="0" w:line="240" w:lineRule="auto"/>
      <w:ind w:firstLine="360"/>
    </w:pPr>
  </w:style>
  <w:style w:type="character" w:customStyle="1" w:styleId="BodyTextFirstIndentChar">
    <w:name w:val="Body Text First Indent Char"/>
    <w:basedOn w:val="BodyTextChar"/>
    <w:link w:val="BodyTextFirstIndent"/>
    <w:uiPriority w:val="99"/>
    <w:semiHidden/>
    <w:rsid w:val="00866BDC"/>
    <w:rPr>
      <w:rFonts w:ascii="Arial" w:hAnsi="Arial" w:cs="Arial"/>
      <w:sz w:val="18"/>
      <w:szCs w:val="18"/>
      <w:lang w:val="en-GB"/>
    </w:rPr>
  </w:style>
  <w:style w:type="paragraph" w:styleId="BodyTextIndent">
    <w:name w:val="Body Text Indent"/>
    <w:basedOn w:val="Normal"/>
    <w:link w:val="BodyTextIndentChar"/>
    <w:uiPriority w:val="99"/>
    <w:semiHidden/>
    <w:unhideWhenUsed/>
    <w:rsid w:val="00866BDC"/>
    <w:pPr>
      <w:spacing w:after="120"/>
      <w:ind w:left="283"/>
    </w:pPr>
  </w:style>
  <w:style w:type="character" w:customStyle="1" w:styleId="BodyTextIndentChar">
    <w:name w:val="Body Text Indent Char"/>
    <w:basedOn w:val="DefaultParagraphFont"/>
    <w:link w:val="BodyTextIndent"/>
    <w:uiPriority w:val="99"/>
    <w:semiHidden/>
    <w:rsid w:val="00866BDC"/>
    <w:rPr>
      <w:rFonts w:ascii="Arial" w:hAnsi="Arial" w:cs="Arial"/>
      <w:sz w:val="18"/>
      <w:szCs w:val="18"/>
      <w:lang w:val="en-GB"/>
    </w:rPr>
  </w:style>
  <w:style w:type="paragraph" w:styleId="BodyTextFirstIndent2">
    <w:name w:val="Body Text First Indent 2"/>
    <w:basedOn w:val="BodyTextIndent"/>
    <w:link w:val="BodyTextFirstIndent2Char"/>
    <w:uiPriority w:val="99"/>
    <w:semiHidden/>
    <w:unhideWhenUsed/>
    <w:rsid w:val="00866BDC"/>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6BDC"/>
    <w:rPr>
      <w:rFonts w:ascii="Arial" w:hAnsi="Arial" w:cs="Arial"/>
      <w:sz w:val="18"/>
      <w:szCs w:val="18"/>
      <w:lang w:val="en-GB"/>
    </w:rPr>
  </w:style>
  <w:style w:type="paragraph" w:styleId="BodyTextIndent2">
    <w:name w:val="Body Text Indent 2"/>
    <w:basedOn w:val="Normal"/>
    <w:link w:val="BodyTextIndent2Char"/>
    <w:uiPriority w:val="99"/>
    <w:semiHidden/>
    <w:unhideWhenUsed/>
    <w:rsid w:val="00866BDC"/>
    <w:pPr>
      <w:spacing w:after="120" w:line="480" w:lineRule="auto"/>
      <w:ind w:left="283"/>
    </w:pPr>
  </w:style>
  <w:style w:type="character" w:customStyle="1" w:styleId="BodyTextIndent2Char">
    <w:name w:val="Body Text Indent 2 Char"/>
    <w:basedOn w:val="DefaultParagraphFont"/>
    <w:link w:val="BodyTextIndent2"/>
    <w:uiPriority w:val="99"/>
    <w:semiHidden/>
    <w:rsid w:val="00866BDC"/>
    <w:rPr>
      <w:rFonts w:ascii="Arial" w:hAnsi="Arial" w:cs="Arial"/>
      <w:sz w:val="18"/>
      <w:szCs w:val="18"/>
      <w:lang w:val="en-GB"/>
    </w:rPr>
  </w:style>
  <w:style w:type="paragraph" w:styleId="BodyTextIndent3">
    <w:name w:val="Body Text Indent 3"/>
    <w:basedOn w:val="Normal"/>
    <w:link w:val="BodyTextIndent3Char"/>
    <w:uiPriority w:val="99"/>
    <w:semiHidden/>
    <w:unhideWhenUsed/>
    <w:rsid w:val="00866BD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6BDC"/>
    <w:rPr>
      <w:rFonts w:ascii="Arial" w:hAnsi="Arial" w:cs="Arial"/>
      <w:sz w:val="16"/>
      <w:szCs w:val="16"/>
      <w:lang w:val="en-GB"/>
    </w:rPr>
  </w:style>
  <w:style w:type="character" w:styleId="BookTitle">
    <w:name w:val="Book Title"/>
    <w:basedOn w:val="DefaultParagraphFont"/>
    <w:uiPriority w:val="99"/>
    <w:semiHidden/>
    <w:unhideWhenUsed/>
    <w:rsid w:val="00866BDC"/>
    <w:rPr>
      <w:b/>
      <w:bCs/>
      <w:smallCaps/>
      <w:spacing w:val="5"/>
    </w:rPr>
  </w:style>
  <w:style w:type="paragraph" w:styleId="Closing">
    <w:name w:val="Closing"/>
    <w:basedOn w:val="Normal"/>
    <w:link w:val="ClosingChar"/>
    <w:uiPriority w:val="99"/>
    <w:semiHidden/>
    <w:unhideWhenUsed/>
    <w:rsid w:val="00866BDC"/>
    <w:pPr>
      <w:ind w:left="4252"/>
    </w:pPr>
  </w:style>
  <w:style w:type="character" w:customStyle="1" w:styleId="ClosingChar">
    <w:name w:val="Closing Char"/>
    <w:basedOn w:val="DefaultParagraphFont"/>
    <w:link w:val="Closing"/>
    <w:uiPriority w:val="99"/>
    <w:semiHidden/>
    <w:rsid w:val="00866BDC"/>
    <w:rPr>
      <w:rFonts w:ascii="Arial" w:hAnsi="Arial" w:cs="Arial"/>
      <w:sz w:val="18"/>
      <w:szCs w:val="18"/>
      <w:lang w:val="en-GB"/>
    </w:rPr>
  </w:style>
  <w:style w:type="character" w:styleId="CommentReference">
    <w:name w:val="annotation reference"/>
    <w:basedOn w:val="DefaultParagraphFont"/>
    <w:uiPriority w:val="99"/>
    <w:semiHidden/>
    <w:unhideWhenUsed/>
    <w:rsid w:val="00866BDC"/>
    <w:rPr>
      <w:sz w:val="16"/>
      <w:szCs w:val="16"/>
    </w:rPr>
  </w:style>
  <w:style w:type="paragraph" w:styleId="CommentText">
    <w:name w:val="annotation text"/>
    <w:basedOn w:val="Normal"/>
    <w:link w:val="CommentTextChar"/>
    <w:uiPriority w:val="99"/>
    <w:unhideWhenUsed/>
    <w:rsid w:val="00866BDC"/>
    <w:rPr>
      <w:sz w:val="20"/>
      <w:szCs w:val="20"/>
    </w:rPr>
  </w:style>
  <w:style w:type="character" w:customStyle="1" w:styleId="CommentTextChar">
    <w:name w:val="Comment Text Char"/>
    <w:basedOn w:val="DefaultParagraphFont"/>
    <w:link w:val="CommentText"/>
    <w:uiPriority w:val="99"/>
    <w:rsid w:val="00866BDC"/>
    <w:rPr>
      <w:rFonts w:ascii="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66BDC"/>
    <w:rPr>
      <w:b/>
      <w:bCs/>
    </w:rPr>
  </w:style>
  <w:style w:type="character" w:customStyle="1" w:styleId="CommentSubjectChar">
    <w:name w:val="Comment Subject Char"/>
    <w:basedOn w:val="CommentTextChar"/>
    <w:link w:val="CommentSubject"/>
    <w:uiPriority w:val="99"/>
    <w:semiHidden/>
    <w:rsid w:val="00866BDC"/>
    <w:rPr>
      <w:rFonts w:ascii="Arial" w:hAnsi="Arial" w:cs="Arial"/>
      <w:b/>
      <w:bCs/>
      <w:sz w:val="20"/>
      <w:szCs w:val="20"/>
      <w:lang w:val="en-GB"/>
    </w:rPr>
  </w:style>
  <w:style w:type="paragraph" w:styleId="Date">
    <w:name w:val="Date"/>
    <w:basedOn w:val="Normal"/>
    <w:next w:val="Normal"/>
    <w:link w:val="DateChar"/>
    <w:uiPriority w:val="99"/>
    <w:semiHidden/>
    <w:unhideWhenUsed/>
    <w:rsid w:val="00866BDC"/>
  </w:style>
  <w:style w:type="character" w:customStyle="1" w:styleId="DateChar">
    <w:name w:val="Date Char"/>
    <w:basedOn w:val="DefaultParagraphFont"/>
    <w:link w:val="Date"/>
    <w:uiPriority w:val="99"/>
    <w:semiHidden/>
    <w:rsid w:val="00866BDC"/>
    <w:rPr>
      <w:rFonts w:ascii="Arial" w:hAnsi="Arial" w:cs="Arial"/>
      <w:sz w:val="18"/>
      <w:szCs w:val="18"/>
      <w:lang w:val="en-GB"/>
    </w:rPr>
  </w:style>
  <w:style w:type="paragraph" w:styleId="DocumentMap">
    <w:name w:val="Document Map"/>
    <w:basedOn w:val="Normal"/>
    <w:link w:val="DocumentMapChar"/>
    <w:uiPriority w:val="99"/>
    <w:semiHidden/>
    <w:unhideWhenUsed/>
    <w:rsid w:val="00866BDC"/>
    <w:rPr>
      <w:rFonts w:ascii="Tahoma" w:hAnsi="Tahoma" w:cs="Tahoma"/>
      <w:sz w:val="16"/>
      <w:szCs w:val="16"/>
    </w:rPr>
  </w:style>
  <w:style w:type="character" w:customStyle="1" w:styleId="DocumentMapChar">
    <w:name w:val="Document Map Char"/>
    <w:basedOn w:val="DefaultParagraphFont"/>
    <w:link w:val="DocumentMap"/>
    <w:uiPriority w:val="99"/>
    <w:semiHidden/>
    <w:rsid w:val="00866BD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866BDC"/>
  </w:style>
  <w:style w:type="character" w:customStyle="1" w:styleId="E-mailSignatureChar">
    <w:name w:val="E-mail Signature Char"/>
    <w:basedOn w:val="DefaultParagraphFont"/>
    <w:link w:val="E-mailSignature"/>
    <w:uiPriority w:val="99"/>
    <w:semiHidden/>
    <w:rsid w:val="00866BDC"/>
    <w:rPr>
      <w:rFonts w:ascii="Arial" w:hAnsi="Arial" w:cs="Arial"/>
      <w:sz w:val="18"/>
      <w:szCs w:val="18"/>
      <w:lang w:val="en-GB"/>
    </w:rPr>
  </w:style>
  <w:style w:type="character" w:styleId="Emphasis">
    <w:name w:val="Emphasis"/>
    <w:basedOn w:val="DefaultParagraphFont"/>
    <w:uiPriority w:val="20"/>
    <w:unhideWhenUsed/>
    <w:qFormat/>
    <w:rsid w:val="00866BDC"/>
    <w:rPr>
      <w:i/>
      <w:iCs/>
    </w:rPr>
  </w:style>
  <w:style w:type="character" w:styleId="EndnoteReference">
    <w:name w:val="endnote reference"/>
    <w:basedOn w:val="DefaultParagraphFont"/>
    <w:uiPriority w:val="99"/>
    <w:semiHidden/>
    <w:unhideWhenUsed/>
    <w:rsid w:val="00866BDC"/>
    <w:rPr>
      <w:vertAlign w:val="superscript"/>
    </w:rPr>
  </w:style>
  <w:style w:type="paragraph" w:styleId="EndnoteText">
    <w:name w:val="endnote text"/>
    <w:basedOn w:val="Normal"/>
    <w:link w:val="EndnoteTextChar"/>
    <w:uiPriority w:val="99"/>
    <w:semiHidden/>
    <w:unhideWhenUsed/>
    <w:rsid w:val="00866BDC"/>
    <w:rPr>
      <w:sz w:val="20"/>
      <w:szCs w:val="20"/>
    </w:rPr>
  </w:style>
  <w:style w:type="character" w:customStyle="1" w:styleId="EndnoteTextChar">
    <w:name w:val="Endnote Text Char"/>
    <w:basedOn w:val="DefaultParagraphFont"/>
    <w:link w:val="EndnoteText"/>
    <w:uiPriority w:val="99"/>
    <w:semiHidden/>
    <w:rsid w:val="00866BDC"/>
    <w:rPr>
      <w:rFonts w:ascii="Arial" w:hAnsi="Arial" w:cs="Arial"/>
      <w:sz w:val="20"/>
      <w:szCs w:val="20"/>
      <w:lang w:val="en-GB"/>
    </w:rPr>
  </w:style>
  <w:style w:type="paragraph" w:styleId="EnvelopeAddress">
    <w:name w:val="envelope address"/>
    <w:basedOn w:val="Normal"/>
    <w:uiPriority w:val="99"/>
    <w:semiHidden/>
    <w:unhideWhenUsed/>
    <w:rsid w:val="00866BD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6BDC"/>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66BDC"/>
    <w:rPr>
      <w:color w:val="3F9C35" w:themeColor="followedHyperlink"/>
      <w:u w:val="single"/>
    </w:rPr>
  </w:style>
  <w:style w:type="character" w:styleId="HTMLAcronym">
    <w:name w:val="HTML Acronym"/>
    <w:basedOn w:val="DefaultParagraphFont"/>
    <w:uiPriority w:val="99"/>
    <w:semiHidden/>
    <w:unhideWhenUsed/>
    <w:rsid w:val="00866BDC"/>
  </w:style>
  <w:style w:type="paragraph" w:styleId="HTMLAddress">
    <w:name w:val="HTML Address"/>
    <w:basedOn w:val="Normal"/>
    <w:link w:val="HTMLAddressChar"/>
    <w:uiPriority w:val="99"/>
    <w:semiHidden/>
    <w:unhideWhenUsed/>
    <w:rsid w:val="00866BDC"/>
    <w:rPr>
      <w:i/>
      <w:iCs/>
    </w:rPr>
  </w:style>
  <w:style w:type="character" w:customStyle="1" w:styleId="HTMLAddressChar">
    <w:name w:val="HTML Address Char"/>
    <w:basedOn w:val="DefaultParagraphFont"/>
    <w:link w:val="HTMLAddress"/>
    <w:uiPriority w:val="99"/>
    <w:semiHidden/>
    <w:rsid w:val="00866BDC"/>
    <w:rPr>
      <w:rFonts w:ascii="Arial" w:hAnsi="Arial" w:cs="Arial"/>
      <w:i/>
      <w:iCs/>
      <w:sz w:val="18"/>
      <w:szCs w:val="18"/>
      <w:lang w:val="en-GB"/>
    </w:rPr>
  </w:style>
  <w:style w:type="character" w:styleId="HTMLCite">
    <w:name w:val="HTML Cite"/>
    <w:basedOn w:val="DefaultParagraphFont"/>
    <w:uiPriority w:val="99"/>
    <w:semiHidden/>
    <w:unhideWhenUsed/>
    <w:rsid w:val="00866BDC"/>
    <w:rPr>
      <w:i/>
      <w:iCs/>
    </w:rPr>
  </w:style>
  <w:style w:type="character" w:styleId="HTMLCode">
    <w:name w:val="HTML Code"/>
    <w:basedOn w:val="DefaultParagraphFont"/>
    <w:uiPriority w:val="99"/>
    <w:semiHidden/>
    <w:unhideWhenUsed/>
    <w:rsid w:val="00866BDC"/>
    <w:rPr>
      <w:rFonts w:ascii="Consolas" w:hAnsi="Consolas"/>
      <w:sz w:val="20"/>
      <w:szCs w:val="20"/>
    </w:rPr>
  </w:style>
  <w:style w:type="character" w:styleId="HTMLDefinition">
    <w:name w:val="HTML Definition"/>
    <w:basedOn w:val="DefaultParagraphFont"/>
    <w:uiPriority w:val="99"/>
    <w:semiHidden/>
    <w:unhideWhenUsed/>
    <w:rsid w:val="00866BDC"/>
    <w:rPr>
      <w:i/>
      <w:iCs/>
    </w:rPr>
  </w:style>
  <w:style w:type="character" w:styleId="HTMLKeyboard">
    <w:name w:val="HTML Keyboard"/>
    <w:basedOn w:val="DefaultParagraphFont"/>
    <w:uiPriority w:val="99"/>
    <w:semiHidden/>
    <w:unhideWhenUsed/>
    <w:rsid w:val="00866BDC"/>
    <w:rPr>
      <w:rFonts w:ascii="Consolas" w:hAnsi="Consolas"/>
      <w:sz w:val="20"/>
      <w:szCs w:val="20"/>
    </w:rPr>
  </w:style>
  <w:style w:type="paragraph" w:styleId="HTMLPreformatted">
    <w:name w:val="HTML Preformatted"/>
    <w:basedOn w:val="Normal"/>
    <w:link w:val="HTMLPreformattedChar"/>
    <w:uiPriority w:val="99"/>
    <w:semiHidden/>
    <w:unhideWhenUsed/>
    <w:rsid w:val="00866BD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6BDC"/>
    <w:rPr>
      <w:rFonts w:ascii="Consolas" w:hAnsi="Consolas" w:cs="Arial"/>
      <w:sz w:val="20"/>
      <w:szCs w:val="20"/>
      <w:lang w:val="en-GB"/>
    </w:rPr>
  </w:style>
  <w:style w:type="character" w:styleId="HTMLSample">
    <w:name w:val="HTML Sample"/>
    <w:basedOn w:val="DefaultParagraphFont"/>
    <w:uiPriority w:val="99"/>
    <w:semiHidden/>
    <w:unhideWhenUsed/>
    <w:rsid w:val="00866BDC"/>
    <w:rPr>
      <w:rFonts w:ascii="Consolas" w:hAnsi="Consolas"/>
      <w:sz w:val="24"/>
      <w:szCs w:val="24"/>
    </w:rPr>
  </w:style>
  <w:style w:type="character" w:styleId="HTMLTypewriter">
    <w:name w:val="HTML Typewriter"/>
    <w:basedOn w:val="DefaultParagraphFont"/>
    <w:uiPriority w:val="99"/>
    <w:semiHidden/>
    <w:unhideWhenUsed/>
    <w:rsid w:val="00866BDC"/>
    <w:rPr>
      <w:rFonts w:ascii="Consolas" w:hAnsi="Consolas"/>
      <w:sz w:val="20"/>
      <w:szCs w:val="20"/>
    </w:rPr>
  </w:style>
  <w:style w:type="character" w:styleId="HTMLVariable">
    <w:name w:val="HTML Variable"/>
    <w:basedOn w:val="DefaultParagraphFont"/>
    <w:uiPriority w:val="99"/>
    <w:semiHidden/>
    <w:unhideWhenUsed/>
    <w:rsid w:val="00866BDC"/>
    <w:rPr>
      <w:i/>
      <w:iCs/>
    </w:rPr>
  </w:style>
  <w:style w:type="character" w:styleId="Hyperlink">
    <w:name w:val="Hyperlink"/>
    <w:basedOn w:val="DefaultParagraphFont"/>
    <w:uiPriority w:val="99"/>
    <w:unhideWhenUsed/>
    <w:rsid w:val="00866BDC"/>
    <w:rPr>
      <w:color w:val="009FDA" w:themeColor="hyperlink"/>
      <w:u w:val="single"/>
    </w:rPr>
  </w:style>
  <w:style w:type="paragraph" w:styleId="Index1">
    <w:name w:val="index 1"/>
    <w:basedOn w:val="Normal"/>
    <w:next w:val="Normal"/>
    <w:autoRedefine/>
    <w:uiPriority w:val="99"/>
    <w:semiHidden/>
    <w:unhideWhenUsed/>
    <w:rsid w:val="00866BDC"/>
    <w:pPr>
      <w:ind w:left="180" w:hanging="180"/>
    </w:pPr>
  </w:style>
  <w:style w:type="paragraph" w:styleId="Index2">
    <w:name w:val="index 2"/>
    <w:basedOn w:val="Normal"/>
    <w:next w:val="Normal"/>
    <w:autoRedefine/>
    <w:uiPriority w:val="99"/>
    <w:semiHidden/>
    <w:unhideWhenUsed/>
    <w:rsid w:val="00866BDC"/>
    <w:pPr>
      <w:ind w:left="360" w:hanging="180"/>
    </w:pPr>
  </w:style>
  <w:style w:type="paragraph" w:styleId="Index3">
    <w:name w:val="index 3"/>
    <w:basedOn w:val="Normal"/>
    <w:next w:val="Normal"/>
    <w:autoRedefine/>
    <w:uiPriority w:val="99"/>
    <w:semiHidden/>
    <w:unhideWhenUsed/>
    <w:rsid w:val="00866BDC"/>
    <w:pPr>
      <w:ind w:left="540" w:hanging="180"/>
    </w:pPr>
  </w:style>
  <w:style w:type="paragraph" w:styleId="Index4">
    <w:name w:val="index 4"/>
    <w:basedOn w:val="Normal"/>
    <w:next w:val="Normal"/>
    <w:autoRedefine/>
    <w:uiPriority w:val="99"/>
    <w:semiHidden/>
    <w:unhideWhenUsed/>
    <w:rsid w:val="00866BDC"/>
    <w:pPr>
      <w:ind w:left="720" w:hanging="180"/>
    </w:pPr>
  </w:style>
  <w:style w:type="paragraph" w:styleId="Index5">
    <w:name w:val="index 5"/>
    <w:basedOn w:val="Normal"/>
    <w:next w:val="Normal"/>
    <w:autoRedefine/>
    <w:uiPriority w:val="99"/>
    <w:semiHidden/>
    <w:unhideWhenUsed/>
    <w:rsid w:val="00866BDC"/>
    <w:pPr>
      <w:ind w:left="900" w:hanging="180"/>
    </w:pPr>
  </w:style>
  <w:style w:type="paragraph" w:styleId="Index6">
    <w:name w:val="index 6"/>
    <w:basedOn w:val="Normal"/>
    <w:next w:val="Normal"/>
    <w:autoRedefine/>
    <w:uiPriority w:val="99"/>
    <w:semiHidden/>
    <w:unhideWhenUsed/>
    <w:rsid w:val="00866BDC"/>
    <w:pPr>
      <w:ind w:left="1080" w:hanging="180"/>
    </w:pPr>
  </w:style>
  <w:style w:type="paragraph" w:styleId="Index7">
    <w:name w:val="index 7"/>
    <w:basedOn w:val="Normal"/>
    <w:next w:val="Normal"/>
    <w:autoRedefine/>
    <w:uiPriority w:val="99"/>
    <w:semiHidden/>
    <w:unhideWhenUsed/>
    <w:rsid w:val="00866BDC"/>
    <w:pPr>
      <w:ind w:left="1260" w:hanging="180"/>
    </w:pPr>
  </w:style>
  <w:style w:type="paragraph" w:styleId="Index8">
    <w:name w:val="index 8"/>
    <w:basedOn w:val="Normal"/>
    <w:next w:val="Normal"/>
    <w:autoRedefine/>
    <w:uiPriority w:val="99"/>
    <w:semiHidden/>
    <w:unhideWhenUsed/>
    <w:rsid w:val="00866BDC"/>
    <w:pPr>
      <w:ind w:left="1440" w:hanging="180"/>
    </w:pPr>
  </w:style>
  <w:style w:type="paragraph" w:styleId="Index9">
    <w:name w:val="index 9"/>
    <w:basedOn w:val="Normal"/>
    <w:next w:val="Normal"/>
    <w:autoRedefine/>
    <w:uiPriority w:val="99"/>
    <w:semiHidden/>
    <w:unhideWhenUsed/>
    <w:rsid w:val="00866BDC"/>
    <w:pPr>
      <w:ind w:left="1620" w:hanging="180"/>
    </w:pPr>
  </w:style>
  <w:style w:type="paragraph" w:styleId="IndexHeading">
    <w:name w:val="index heading"/>
    <w:basedOn w:val="Normal"/>
    <w:next w:val="Index1"/>
    <w:uiPriority w:val="99"/>
    <w:semiHidden/>
    <w:unhideWhenUsed/>
    <w:rsid w:val="00866BDC"/>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866BDC"/>
    <w:rPr>
      <w:b/>
      <w:bCs/>
      <w:i/>
      <w:iCs/>
      <w:color w:val="0F204B" w:themeColor="accent1"/>
    </w:rPr>
  </w:style>
  <w:style w:type="paragraph" w:styleId="IntenseQuote">
    <w:name w:val="Intense Quote"/>
    <w:basedOn w:val="Normal"/>
    <w:next w:val="Normal"/>
    <w:link w:val="IntenseQuoteChar"/>
    <w:uiPriority w:val="99"/>
    <w:semiHidden/>
    <w:unhideWhenUsed/>
    <w:rsid w:val="00866BDC"/>
    <w:pPr>
      <w:pBdr>
        <w:bottom w:val="single" w:sz="4" w:space="4" w:color="0F204B" w:themeColor="accent1"/>
      </w:pBdr>
      <w:spacing w:before="200" w:after="280"/>
      <w:ind w:left="936" w:right="936"/>
    </w:pPr>
    <w:rPr>
      <w:b/>
      <w:bCs/>
      <w:i/>
      <w:iCs/>
      <w:color w:val="0F204B" w:themeColor="accent1"/>
    </w:rPr>
  </w:style>
  <w:style w:type="character" w:customStyle="1" w:styleId="IntenseQuoteChar">
    <w:name w:val="Intense Quote Char"/>
    <w:basedOn w:val="DefaultParagraphFont"/>
    <w:link w:val="IntenseQuote"/>
    <w:uiPriority w:val="30"/>
    <w:rsid w:val="00866BDC"/>
    <w:rPr>
      <w:rFonts w:ascii="Arial" w:hAnsi="Arial" w:cs="Arial"/>
      <w:b/>
      <w:bCs/>
      <w:i/>
      <w:iCs/>
      <w:color w:val="0F204B" w:themeColor="accent1"/>
      <w:sz w:val="18"/>
      <w:szCs w:val="18"/>
      <w:lang w:val="en-GB"/>
    </w:rPr>
  </w:style>
  <w:style w:type="character" w:styleId="IntenseReference">
    <w:name w:val="Intense Reference"/>
    <w:basedOn w:val="DefaultParagraphFont"/>
    <w:uiPriority w:val="99"/>
    <w:semiHidden/>
    <w:unhideWhenUsed/>
    <w:rsid w:val="00866BDC"/>
    <w:rPr>
      <w:b/>
      <w:bCs/>
      <w:smallCaps/>
      <w:color w:val="99D9F0" w:themeColor="accent2"/>
      <w:spacing w:val="5"/>
      <w:u w:val="single"/>
    </w:rPr>
  </w:style>
  <w:style w:type="character" w:styleId="LineNumber">
    <w:name w:val="line number"/>
    <w:basedOn w:val="DefaultParagraphFont"/>
    <w:uiPriority w:val="99"/>
    <w:semiHidden/>
    <w:unhideWhenUsed/>
    <w:rsid w:val="00866BDC"/>
  </w:style>
  <w:style w:type="paragraph" w:styleId="List">
    <w:name w:val="List"/>
    <w:basedOn w:val="Normal"/>
    <w:uiPriority w:val="99"/>
    <w:semiHidden/>
    <w:unhideWhenUsed/>
    <w:rsid w:val="00866BDC"/>
    <w:pPr>
      <w:ind w:left="283" w:hanging="283"/>
      <w:contextualSpacing/>
    </w:pPr>
  </w:style>
  <w:style w:type="paragraph" w:styleId="List2">
    <w:name w:val="List 2"/>
    <w:basedOn w:val="Normal"/>
    <w:uiPriority w:val="99"/>
    <w:semiHidden/>
    <w:unhideWhenUsed/>
    <w:rsid w:val="00866BDC"/>
    <w:pPr>
      <w:ind w:left="566" w:hanging="283"/>
      <w:contextualSpacing/>
    </w:pPr>
  </w:style>
  <w:style w:type="paragraph" w:styleId="List3">
    <w:name w:val="List 3"/>
    <w:basedOn w:val="Normal"/>
    <w:uiPriority w:val="99"/>
    <w:semiHidden/>
    <w:unhideWhenUsed/>
    <w:rsid w:val="00866BDC"/>
    <w:pPr>
      <w:ind w:left="849" w:hanging="283"/>
      <w:contextualSpacing/>
    </w:pPr>
  </w:style>
  <w:style w:type="paragraph" w:styleId="List4">
    <w:name w:val="List 4"/>
    <w:basedOn w:val="Normal"/>
    <w:uiPriority w:val="99"/>
    <w:semiHidden/>
    <w:unhideWhenUsed/>
    <w:rsid w:val="00866BDC"/>
    <w:pPr>
      <w:ind w:left="1132" w:hanging="283"/>
      <w:contextualSpacing/>
    </w:pPr>
  </w:style>
  <w:style w:type="paragraph" w:styleId="List5">
    <w:name w:val="List 5"/>
    <w:basedOn w:val="Normal"/>
    <w:uiPriority w:val="99"/>
    <w:semiHidden/>
    <w:unhideWhenUsed/>
    <w:rsid w:val="00866BDC"/>
    <w:pPr>
      <w:ind w:left="1415" w:hanging="283"/>
      <w:contextualSpacing/>
    </w:pPr>
  </w:style>
  <w:style w:type="paragraph" w:styleId="ListBullet2">
    <w:name w:val="List Bullet 2"/>
    <w:basedOn w:val="Normal"/>
    <w:uiPriority w:val="99"/>
    <w:semiHidden/>
    <w:unhideWhenUsed/>
    <w:rsid w:val="00540A26"/>
    <w:pPr>
      <w:tabs>
        <w:tab w:val="num" w:pos="926"/>
      </w:tabs>
      <w:spacing w:after="140" w:line="280" w:lineRule="atLeast"/>
      <w:ind w:left="648" w:hanging="360"/>
      <w:contextualSpacing/>
    </w:pPr>
  </w:style>
  <w:style w:type="paragraph" w:styleId="ListBullet3">
    <w:name w:val="List Bullet 3"/>
    <w:basedOn w:val="Normal"/>
    <w:uiPriority w:val="99"/>
    <w:semiHidden/>
    <w:unhideWhenUsed/>
    <w:rsid w:val="00EA3B42"/>
    <w:pPr>
      <w:tabs>
        <w:tab w:val="num" w:pos="1209"/>
      </w:tabs>
      <w:spacing w:after="140" w:line="280" w:lineRule="atLeast"/>
      <w:ind w:left="922" w:hanging="360"/>
      <w:contextualSpacing/>
    </w:pPr>
  </w:style>
  <w:style w:type="paragraph" w:styleId="ListBullet4">
    <w:name w:val="List Bullet 4"/>
    <w:basedOn w:val="Normal"/>
    <w:uiPriority w:val="99"/>
    <w:semiHidden/>
    <w:unhideWhenUsed/>
    <w:rsid w:val="00EA3B42"/>
    <w:pPr>
      <w:tabs>
        <w:tab w:val="num" w:pos="1492"/>
      </w:tabs>
      <w:spacing w:after="140" w:line="280" w:lineRule="atLeast"/>
      <w:ind w:left="1210"/>
      <w:contextualSpacing/>
    </w:pPr>
  </w:style>
  <w:style w:type="paragraph" w:styleId="ListBullet5">
    <w:name w:val="List Bullet 5"/>
    <w:basedOn w:val="Normal"/>
    <w:uiPriority w:val="99"/>
    <w:semiHidden/>
    <w:unhideWhenUsed/>
    <w:rsid w:val="00EA3B42"/>
    <w:pPr>
      <w:numPr>
        <w:numId w:val="9"/>
      </w:numPr>
      <w:tabs>
        <w:tab w:val="clear" w:pos="1492"/>
      </w:tabs>
      <w:spacing w:after="140" w:line="280" w:lineRule="atLeast"/>
      <w:ind w:left="1498"/>
      <w:contextualSpacing/>
    </w:pPr>
  </w:style>
  <w:style w:type="paragraph" w:styleId="ListContinue">
    <w:name w:val="List Continue"/>
    <w:basedOn w:val="Normal"/>
    <w:uiPriority w:val="99"/>
    <w:semiHidden/>
    <w:unhideWhenUsed/>
    <w:rsid w:val="00866BDC"/>
    <w:pPr>
      <w:spacing w:after="120"/>
      <w:ind w:left="283"/>
      <w:contextualSpacing/>
    </w:pPr>
  </w:style>
  <w:style w:type="paragraph" w:styleId="ListContinue2">
    <w:name w:val="List Continue 2"/>
    <w:basedOn w:val="Normal"/>
    <w:uiPriority w:val="99"/>
    <w:semiHidden/>
    <w:unhideWhenUsed/>
    <w:rsid w:val="00866BDC"/>
    <w:pPr>
      <w:spacing w:after="120"/>
      <w:ind w:left="566"/>
      <w:contextualSpacing/>
    </w:pPr>
  </w:style>
  <w:style w:type="paragraph" w:styleId="ListContinue3">
    <w:name w:val="List Continue 3"/>
    <w:basedOn w:val="Normal"/>
    <w:uiPriority w:val="99"/>
    <w:semiHidden/>
    <w:unhideWhenUsed/>
    <w:rsid w:val="00866BDC"/>
    <w:pPr>
      <w:spacing w:after="120"/>
      <w:ind w:left="849"/>
      <w:contextualSpacing/>
    </w:pPr>
  </w:style>
  <w:style w:type="paragraph" w:styleId="ListContinue4">
    <w:name w:val="List Continue 4"/>
    <w:basedOn w:val="Normal"/>
    <w:uiPriority w:val="99"/>
    <w:semiHidden/>
    <w:unhideWhenUsed/>
    <w:rsid w:val="00866BDC"/>
    <w:pPr>
      <w:spacing w:after="120"/>
      <w:ind w:left="1132"/>
      <w:contextualSpacing/>
    </w:pPr>
  </w:style>
  <w:style w:type="paragraph" w:styleId="ListContinue5">
    <w:name w:val="List Continue 5"/>
    <w:basedOn w:val="Normal"/>
    <w:uiPriority w:val="99"/>
    <w:semiHidden/>
    <w:unhideWhenUsed/>
    <w:rsid w:val="00866BDC"/>
    <w:pPr>
      <w:spacing w:after="120"/>
      <w:ind w:left="1415"/>
      <w:contextualSpacing/>
    </w:pPr>
  </w:style>
  <w:style w:type="paragraph" w:styleId="ListNumber2">
    <w:name w:val="List Number 2"/>
    <w:basedOn w:val="Normal"/>
    <w:uiPriority w:val="99"/>
    <w:semiHidden/>
    <w:unhideWhenUsed/>
    <w:rsid w:val="00690D3F"/>
    <w:pPr>
      <w:numPr>
        <w:numId w:val="10"/>
      </w:numPr>
      <w:tabs>
        <w:tab w:val="clear" w:pos="643"/>
      </w:tabs>
      <w:spacing w:after="140" w:line="280" w:lineRule="atLeast"/>
      <w:ind w:left="648"/>
      <w:contextualSpacing/>
    </w:pPr>
  </w:style>
  <w:style w:type="paragraph" w:styleId="ListNumber3">
    <w:name w:val="List Number 3"/>
    <w:basedOn w:val="Normal"/>
    <w:uiPriority w:val="99"/>
    <w:semiHidden/>
    <w:unhideWhenUsed/>
    <w:rsid w:val="00EA3B42"/>
    <w:pPr>
      <w:numPr>
        <w:numId w:val="11"/>
      </w:numPr>
      <w:tabs>
        <w:tab w:val="clear" w:pos="926"/>
      </w:tabs>
      <w:spacing w:after="140" w:line="280" w:lineRule="atLeast"/>
      <w:ind w:left="922" w:firstLine="0"/>
      <w:contextualSpacing/>
    </w:pPr>
  </w:style>
  <w:style w:type="paragraph" w:styleId="ListNumber4">
    <w:name w:val="List Number 4"/>
    <w:basedOn w:val="Normal"/>
    <w:uiPriority w:val="99"/>
    <w:semiHidden/>
    <w:unhideWhenUsed/>
    <w:rsid w:val="00EA3B42"/>
    <w:pPr>
      <w:numPr>
        <w:numId w:val="12"/>
      </w:numPr>
      <w:tabs>
        <w:tab w:val="clear" w:pos="1209"/>
      </w:tabs>
      <w:spacing w:after="140" w:line="280" w:lineRule="atLeast"/>
      <w:ind w:left="1210"/>
      <w:contextualSpacing/>
    </w:pPr>
  </w:style>
  <w:style w:type="paragraph" w:styleId="ListNumber5">
    <w:name w:val="List Number 5"/>
    <w:basedOn w:val="Normal"/>
    <w:uiPriority w:val="99"/>
    <w:semiHidden/>
    <w:unhideWhenUsed/>
    <w:rsid w:val="00EA3B42"/>
    <w:pPr>
      <w:numPr>
        <w:numId w:val="13"/>
      </w:numPr>
      <w:tabs>
        <w:tab w:val="clear" w:pos="1492"/>
        <w:tab w:val="num" w:pos="720"/>
      </w:tabs>
      <w:spacing w:after="140" w:line="280" w:lineRule="atLeast"/>
      <w:ind w:left="1498"/>
      <w:contextualSpacing/>
    </w:pPr>
  </w:style>
  <w:style w:type="paragraph" w:styleId="ListParagraph">
    <w:name w:val="List Paragraph"/>
    <w:basedOn w:val="Normal"/>
    <w:uiPriority w:val="99"/>
    <w:unhideWhenUsed/>
    <w:qFormat/>
    <w:rsid w:val="00866BDC"/>
    <w:pPr>
      <w:ind w:left="720"/>
      <w:contextualSpacing/>
    </w:pPr>
  </w:style>
  <w:style w:type="paragraph" w:styleId="MacroText">
    <w:name w:val="macro"/>
    <w:link w:val="MacroTextChar"/>
    <w:uiPriority w:val="99"/>
    <w:semiHidden/>
    <w:unhideWhenUsed/>
    <w:rsid w:val="00866BD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Arial"/>
      <w:sz w:val="20"/>
      <w:szCs w:val="20"/>
      <w:lang w:val="en-GB"/>
    </w:rPr>
  </w:style>
  <w:style w:type="character" w:customStyle="1" w:styleId="MacroTextChar">
    <w:name w:val="Macro Text Char"/>
    <w:basedOn w:val="DefaultParagraphFont"/>
    <w:link w:val="MacroText"/>
    <w:uiPriority w:val="99"/>
    <w:semiHidden/>
    <w:rsid w:val="00866BDC"/>
    <w:rPr>
      <w:rFonts w:ascii="Consolas" w:hAnsi="Consolas" w:cs="Arial"/>
      <w:sz w:val="20"/>
      <w:szCs w:val="20"/>
      <w:lang w:val="en-GB"/>
    </w:rPr>
  </w:style>
  <w:style w:type="paragraph" w:styleId="MessageHeader">
    <w:name w:val="Message Header"/>
    <w:basedOn w:val="Normal"/>
    <w:link w:val="MessageHeaderChar"/>
    <w:uiPriority w:val="99"/>
    <w:semiHidden/>
    <w:unhideWhenUsed/>
    <w:rsid w:val="00866BD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6BDC"/>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unhideWhenUsed/>
    <w:rsid w:val="00866BDC"/>
    <w:pPr>
      <w:spacing w:after="0" w:line="240" w:lineRule="auto"/>
    </w:pPr>
    <w:rPr>
      <w:rFonts w:ascii="Arial" w:hAnsi="Arial" w:cs="Arial"/>
      <w:sz w:val="18"/>
      <w:szCs w:val="18"/>
      <w:lang w:val="en-GB"/>
    </w:rPr>
  </w:style>
  <w:style w:type="paragraph" w:styleId="NormalWeb">
    <w:name w:val="Normal (Web)"/>
    <w:basedOn w:val="Normal"/>
    <w:uiPriority w:val="99"/>
    <w:semiHidden/>
    <w:unhideWhenUsed/>
    <w:rsid w:val="00866BDC"/>
    <w:rPr>
      <w:rFonts w:ascii="Times New Roman" w:hAnsi="Times New Roman" w:cs="Times New Roman"/>
      <w:sz w:val="24"/>
      <w:szCs w:val="24"/>
    </w:rPr>
  </w:style>
  <w:style w:type="paragraph" w:styleId="NormalIndent">
    <w:name w:val="Normal Indent"/>
    <w:basedOn w:val="Normal"/>
    <w:uiPriority w:val="99"/>
    <w:semiHidden/>
    <w:unhideWhenUsed/>
    <w:rsid w:val="00866BDC"/>
    <w:pPr>
      <w:ind w:left="720"/>
    </w:pPr>
  </w:style>
  <w:style w:type="paragraph" w:styleId="NoteHeading">
    <w:name w:val="Note Heading"/>
    <w:basedOn w:val="Normal"/>
    <w:next w:val="Normal"/>
    <w:link w:val="NoteHeadingChar"/>
    <w:uiPriority w:val="99"/>
    <w:semiHidden/>
    <w:unhideWhenUsed/>
    <w:rsid w:val="00866BDC"/>
  </w:style>
  <w:style w:type="character" w:customStyle="1" w:styleId="NoteHeadingChar">
    <w:name w:val="Note Heading Char"/>
    <w:basedOn w:val="DefaultParagraphFont"/>
    <w:link w:val="NoteHeading"/>
    <w:uiPriority w:val="99"/>
    <w:semiHidden/>
    <w:rsid w:val="00866BDC"/>
    <w:rPr>
      <w:rFonts w:ascii="Arial" w:hAnsi="Arial" w:cs="Arial"/>
      <w:sz w:val="18"/>
      <w:szCs w:val="18"/>
      <w:lang w:val="en-GB"/>
    </w:rPr>
  </w:style>
  <w:style w:type="character" w:styleId="PageNumber">
    <w:name w:val="page number"/>
    <w:basedOn w:val="DefaultParagraphFont"/>
    <w:uiPriority w:val="99"/>
    <w:semiHidden/>
    <w:unhideWhenUsed/>
    <w:rsid w:val="00866BDC"/>
  </w:style>
  <w:style w:type="paragraph" w:styleId="PlainText">
    <w:name w:val="Plain Text"/>
    <w:basedOn w:val="Normal"/>
    <w:link w:val="PlainTextChar"/>
    <w:uiPriority w:val="99"/>
    <w:semiHidden/>
    <w:unhideWhenUsed/>
    <w:rsid w:val="00866BDC"/>
    <w:rPr>
      <w:rFonts w:ascii="Consolas" w:hAnsi="Consolas"/>
      <w:sz w:val="21"/>
      <w:szCs w:val="21"/>
    </w:rPr>
  </w:style>
  <w:style w:type="character" w:customStyle="1" w:styleId="PlainTextChar">
    <w:name w:val="Plain Text Char"/>
    <w:basedOn w:val="DefaultParagraphFont"/>
    <w:link w:val="PlainText"/>
    <w:uiPriority w:val="99"/>
    <w:semiHidden/>
    <w:rsid w:val="00866BDC"/>
    <w:rPr>
      <w:rFonts w:ascii="Consolas" w:hAnsi="Consolas" w:cs="Arial"/>
      <w:sz w:val="21"/>
      <w:szCs w:val="21"/>
      <w:lang w:val="en-GB"/>
    </w:rPr>
  </w:style>
  <w:style w:type="paragraph" w:styleId="Quote">
    <w:name w:val="Quote"/>
    <w:basedOn w:val="Normal"/>
    <w:next w:val="Normal"/>
    <w:link w:val="QuoteChar"/>
    <w:uiPriority w:val="99"/>
    <w:semiHidden/>
    <w:unhideWhenUsed/>
    <w:rsid w:val="00866BDC"/>
    <w:rPr>
      <w:i/>
      <w:iCs/>
      <w:color w:val="000000" w:themeColor="text1"/>
    </w:rPr>
  </w:style>
  <w:style w:type="character" w:customStyle="1" w:styleId="QuoteChar">
    <w:name w:val="Quote Char"/>
    <w:basedOn w:val="DefaultParagraphFont"/>
    <w:link w:val="Quote"/>
    <w:uiPriority w:val="29"/>
    <w:rsid w:val="00866BDC"/>
    <w:rPr>
      <w:rFonts w:ascii="Arial" w:hAnsi="Arial" w:cs="Arial"/>
      <w:i/>
      <w:iCs/>
      <w:color w:val="000000" w:themeColor="text1"/>
      <w:sz w:val="18"/>
      <w:szCs w:val="18"/>
      <w:lang w:val="en-GB"/>
    </w:rPr>
  </w:style>
  <w:style w:type="paragraph" w:styleId="Salutation">
    <w:name w:val="Salutation"/>
    <w:basedOn w:val="Normal"/>
    <w:next w:val="Normal"/>
    <w:link w:val="SalutationChar"/>
    <w:uiPriority w:val="99"/>
    <w:semiHidden/>
    <w:unhideWhenUsed/>
    <w:rsid w:val="00866BDC"/>
  </w:style>
  <w:style w:type="character" w:customStyle="1" w:styleId="SalutationChar">
    <w:name w:val="Salutation Char"/>
    <w:basedOn w:val="DefaultParagraphFont"/>
    <w:link w:val="Salutation"/>
    <w:uiPriority w:val="99"/>
    <w:semiHidden/>
    <w:rsid w:val="00866BDC"/>
    <w:rPr>
      <w:rFonts w:ascii="Arial" w:hAnsi="Arial" w:cs="Arial"/>
      <w:sz w:val="18"/>
      <w:szCs w:val="18"/>
      <w:lang w:val="en-GB"/>
    </w:rPr>
  </w:style>
  <w:style w:type="paragraph" w:styleId="Signature">
    <w:name w:val="Signature"/>
    <w:basedOn w:val="Normal"/>
    <w:link w:val="SignatureChar"/>
    <w:uiPriority w:val="99"/>
    <w:semiHidden/>
    <w:unhideWhenUsed/>
    <w:rsid w:val="00866BDC"/>
    <w:pPr>
      <w:ind w:left="4252"/>
    </w:pPr>
  </w:style>
  <w:style w:type="character" w:customStyle="1" w:styleId="SignatureChar">
    <w:name w:val="Signature Char"/>
    <w:basedOn w:val="DefaultParagraphFont"/>
    <w:link w:val="Signature"/>
    <w:uiPriority w:val="99"/>
    <w:semiHidden/>
    <w:rsid w:val="00866BDC"/>
    <w:rPr>
      <w:rFonts w:ascii="Arial" w:hAnsi="Arial" w:cs="Arial"/>
      <w:sz w:val="18"/>
      <w:szCs w:val="18"/>
      <w:lang w:val="en-GB"/>
    </w:rPr>
  </w:style>
  <w:style w:type="character" w:styleId="Strong">
    <w:name w:val="Strong"/>
    <w:basedOn w:val="DefaultParagraphFont"/>
    <w:uiPriority w:val="22"/>
    <w:unhideWhenUsed/>
    <w:qFormat/>
    <w:rsid w:val="00866BDC"/>
    <w:rPr>
      <w:b/>
      <w:bCs/>
    </w:rPr>
  </w:style>
  <w:style w:type="paragraph" w:styleId="Subtitle">
    <w:name w:val="Subtitle"/>
    <w:basedOn w:val="Normal"/>
    <w:next w:val="Normal"/>
    <w:link w:val="SubtitleChar"/>
    <w:uiPriority w:val="99"/>
    <w:semiHidden/>
    <w:unhideWhenUsed/>
    <w:rsid w:val="00866BDC"/>
    <w:pPr>
      <w:numPr>
        <w:ilvl w:val="1"/>
      </w:numPr>
    </w:pPr>
    <w:rPr>
      <w:rFonts w:asciiTheme="majorHAnsi" w:eastAsiaTheme="majorEastAsia" w:hAnsiTheme="majorHAnsi" w:cstheme="majorBidi"/>
      <w:i/>
      <w:iCs/>
      <w:color w:val="0F204B" w:themeColor="accent1"/>
      <w:spacing w:val="15"/>
      <w:sz w:val="24"/>
      <w:szCs w:val="24"/>
    </w:rPr>
  </w:style>
  <w:style w:type="character" w:customStyle="1" w:styleId="SubtitleChar">
    <w:name w:val="Subtitle Char"/>
    <w:basedOn w:val="DefaultParagraphFont"/>
    <w:link w:val="Subtitle"/>
    <w:uiPriority w:val="11"/>
    <w:rsid w:val="00866BDC"/>
    <w:rPr>
      <w:rFonts w:asciiTheme="majorHAnsi" w:eastAsiaTheme="majorEastAsia" w:hAnsiTheme="majorHAnsi" w:cstheme="majorBidi"/>
      <w:i/>
      <w:iCs/>
      <w:color w:val="0F204B" w:themeColor="accent1"/>
      <w:spacing w:val="15"/>
      <w:sz w:val="24"/>
      <w:szCs w:val="24"/>
      <w:lang w:val="en-GB"/>
    </w:rPr>
  </w:style>
  <w:style w:type="character" w:styleId="SubtleEmphasis">
    <w:name w:val="Subtle Emphasis"/>
    <w:basedOn w:val="DefaultParagraphFont"/>
    <w:uiPriority w:val="99"/>
    <w:semiHidden/>
    <w:unhideWhenUsed/>
    <w:rsid w:val="00866BDC"/>
    <w:rPr>
      <w:i/>
      <w:iCs/>
      <w:color w:val="808080" w:themeColor="text1" w:themeTint="7F"/>
    </w:rPr>
  </w:style>
  <w:style w:type="character" w:styleId="SubtleReference">
    <w:name w:val="Subtle Reference"/>
    <w:basedOn w:val="DefaultParagraphFont"/>
    <w:uiPriority w:val="99"/>
    <w:semiHidden/>
    <w:unhideWhenUsed/>
    <w:rsid w:val="00866BDC"/>
    <w:rPr>
      <w:smallCaps/>
      <w:color w:val="99D9F0" w:themeColor="accent2"/>
      <w:u w:val="single"/>
    </w:rPr>
  </w:style>
  <w:style w:type="paragraph" w:styleId="TableofAuthorities">
    <w:name w:val="table of authorities"/>
    <w:basedOn w:val="Normal"/>
    <w:next w:val="Normal"/>
    <w:uiPriority w:val="99"/>
    <w:semiHidden/>
    <w:unhideWhenUsed/>
    <w:rsid w:val="00866BDC"/>
    <w:pPr>
      <w:ind w:left="180" w:hanging="180"/>
    </w:pPr>
  </w:style>
  <w:style w:type="paragraph" w:styleId="TableofFigures">
    <w:name w:val="table of figures"/>
    <w:basedOn w:val="Normal"/>
    <w:next w:val="Normal"/>
    <w:uiPriority w:val="99"/>
    <w:unhideWhenUsed/>
    <w:rsid w:val="00866BDC"/>
  </w:style>
  <w:style w:type="paragraph" w:styleId="Title">
    <w:name w:val="Title"/>
    <w:basedOn w:val="Normal"/>
    <w:next w:val="Normal"/>
    <w:link w:val="TitleChar"/>
    <w:uiPriority w:val="99"/>
    <w:semiHidden/>
    <w:unhideWhenUsed/>
    <w:rsid w:val="00866BDC"/>
    <w:pPr>
      <w:pBdr>
        <w:bottom w:val="single" w:sz="8" w:space="4" w:color="0F204B" w:themeColor="accent1"/>
      </w:pBdr>
      <w:spacing w:after="300"/>
      <w:contextualSpacing/>
    </w:pPr>
    <w:rPr>
      <w:rFonts w:asciiTheme="majorHAnsi" w:eastAsiaTheme="majorEastAsia" w:hAnsiTheme="majorHAnsi" w:cstheme="majorBidi"/>
      <w:color w:val="0B1738" w:themeColor="text2" w:themeShade="BF"/>
      <w:spacing w:val="5"/>
      <w:kern w:val="28"/>
      <w:sz w:val="52"/>
      <w:szCs w:val="52"/>
    </w:rPr>
  </w:style>
  <w:style w:type="character" w:customStyle="1" w:styleId="TitleChar">
    <w:name w:val="Title Char"/>
    <w:basedOn w:val="DefaultParagraphFont"/>
    <w:link w:val="Title"/>
    <w:uiPriority w:val="10"/>
    <w:rsid w:val="00866BDC"/>
    <w:rPr>
      <w:rFonts w:asciiTheme="majorHAnsi" w:eastAsiaTheme="majorEastAsia" w:hAnsiTheme="majorHAnsi" w:cstheme="majorBidi"/>
      <w:color w:val="0B1738" w:themeColor="text2" w:themeShade="BF"/>
      <w:spacing w:val="5"/>
      <w:kern w:val="28"/>
      <w:sz w:val="52"/>
      <w:szCs w:val="52"/>
      <w:lang w:val="en-GB"/>
    </w:rPr>
  </w:style>
  <w:style w:type="paragraph" w:styleId="TOAHeading">
    <w:name w:val="toa heading"/>
    <w:basedOn w:val="Normal"/>
    <w:next w:val="Normal"/>
    <w:uiPriority w:val="99"/>
    <w:semiHidden/>
    <w:unhideWhenUsed/>
    <w:rsid w:val="00866BDC"/>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99"/>
    <w:semiHidden/>
    <w:unhideWhenUsed/>
    <w:rsid w:val="00866BDC"/>
    <w:pPr>
      <w:spacing w:after="100"/>
      <w:ind w:left="1440"/>
    </w:pPr>
  </w:style>
  <w:style w:type="paragraph" w:styleId="TOCHeading">
    <w:name w:val="TOC Heading"/>
    <w:basedOn w:val="Heading1"/>
    <w:next w:val="Normal"/>
    <w:uiPriority w:val="99"/>
    <w:unhideWhenUsed/>
    <w:qFormat/>
    <w:rsid w:val="002700D8"/>
    <w:pPr>
      <w:keepLines/>
      <w:pageBreakBefore w:val="0"/>
      <w:numPr>
        <w:numId w:val="0"/>
      </w:numPr>
      <w:spacing w:before="480"/>
      <w:outlineLvl w:val="9"/>
    </w:pPr>
    <w:rPr>
      <w:rFonts w:asciiTheme="majorHAnsi" w:eastAsiaTheme="majorEastAsia" w:hAnsiTheme="majorHAnsi" w:cstheme="majorBidi"/>
      <w:bCs/>
      <w:caps w:val="0"/>
      <w:color w:val="0B1738" w:themeColor="accent1" w:themeShade="BF"/>
      <w:sz w:val="28"/>
      <w:szCs w:val="28"/>
    </w:rPr>
  </w:style>
  <w:style w:type="numbering" w:styleId="111111">
    <w:name w:val="Outline List 2"/>
    <w:basedOn w:val="NoList"/>
    <w:uiPriority w:val="99"/>
    <w:semiHidden/>
    <w:unhideWhenUsed/>
    <w:rsid w:val="009D630C"/>
    <w:pPr>
      <w:numPr>
        <w:numId w:val="6"/>
      </w:numPr>
    </w:pPr>
  </w:style>
  <w:style w:type="numbering" w:styleId="1ai">
    <w:name w:val="Outline List 1"/>
    <w:basedOn w:val="NoList"/>
    <w:uiPriority w:val="99"/>
    <w:semiHidden/>
    <w:unhideWhenUsed/>
    <w:rsid w:val="009D630C"/>
    <w:pPr>
      <w:numPr>
        <w:numId w:val="7"/>
      </w:numPr>
    </w:pPr>
  </w:style>
  <w:style w:type="numbering" w:styleId="ArticleSection">
    <w:name w:val="Outline List 3"/>
    <w:basedOn w:val="NoList"/>
    <w:uiPriority w:val="99"/>
    <w:semiHidden/>
    <w:unhideWhenUsed/>
    <w:rsid w:val="009D630C"/>
    <w:pPr>
      <w:numPr>
        <w:numId w:val="8"/>
      </w:numPr>
    </w:pPr>
  </w:style>
  <w:style w:type="table" w:styleId="ColorfulGrid">
    <w:name w:val="Colorful Grid"/>
    <w:basedOn w:val="TableNormal"/>
    <w:uiPriority w:val="99"/>
    <w:semiHidden/>
    <w:unhideWhenUsed/>
    <w:rsid w:val="009D63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D63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9C8F1" w:themeFill="accent1" w:themeFillTint="33"/>
    </w:tcPr>
    <w:tblStylePr w:type="firstRow">
      <w:rPr>
        <w:b/>
        <w:bCs/>
      </w:rPr>
      <w:tblPr/>
      <w:tcPr>
        <w:shd w:val="clear" w:color="auto" w:fill="7392E3" w:themeFill="accent1" w:themeFillTint="66"/>
      </w:tcPr>
    </w:tblStylePr>
    <w:tblStylePr w:type="lastRow">
      <w:rPr>
        <w:b/>
        <w:bCs/>
        <w:color w:val="000000" w:themeColor="text1"/>
      </w:rPr>
      <w:tblPr/>
      <w:tcPr>
        <w:shd w:val="clear" w:color="auto" w:fill="7392E3" w:themeFill="accent1" w:themeFillTint="66"/>
      </w:tcPr>
    </w:tblStylePr>
    <w:tblStylePr w:type="firstCol">
      <w:rPr>
        <w:color w:val="FFFFFF" w:themeColor="background1"/>
      </w:rPr>
      <w:tblPr/>
      <w:tcPr>
        <w:shd w:val="clear" w:color="auto" w:fill="0B1738" w:themeFill="accent1" w:themeFillShade="BF"/>
      </w:tcPr>
    </w:tblStylePr>
    <w:tblStylePr w:type="lastCol">
      <w:rPr>
        <w:color w:val="FFFFFF" w:themeColor="background1"/>
      </w:rPr>
      <w:tblPr/>
      <w:tcPr>
        <w:shd w:val="clear" w:color="auto" w:fill="0B1738" w:themeFill="accent1" w:themeFillShade="BF"/>
      </w:tc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ColorfulGrid-Accent2">
    <w:name w:val="Colorful Grid Accent 2"/>
    <w:basedOn w:val="TableNormal"/>
    <w:uiPriority w:val="99"/>
    <w:semiHidden/>
    <w:unhideWhenUsed/>
    <w:rsid w:val="009D630C"/>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99"/>
    <w:semiHidden/>
    <w:unhideWhenUsed/>
    <w:rsid w:val="009D630C"/>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99"/>
    <w:semiHidden/>
    <w:unhideWhenUsed/>
    <w:rsid w:val="009D630C"/>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99"/>
    <w:semiHidden/>
    <w:unhideWhenUsed/>
    <w:rsid w:val="009D630C"/>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99"/>
    <w:semiHidden/>
    <w:unhideWhenUsed/>
    <w:rsid w:val="009D630C"/>
    <w:pPr>
      <w:spacing w:after="0" w:line="240" w:lineRule="auto"/>
    </w:pPr>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List">
    <w:name w:val="Colorful List"/>
    <w:basedOn w:val="TableNormal"/>
    <w:uiPriority w:val="99"/>
    <w:semiHidden/>
    <w:unhideWhenUsed/>
    <w:rsid w:val="009D630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D630C"/>
    <w:pPr>
      <w:spacing w:after="0" w:line="240" w:lineRule="auto"/>
    </w:pPr>
    <w:rPr>
      <w:color w:val="000000" w:themeColor="text1"/>
    </w:rPr>
    <w:tblPr>
      <w:tblStyleRowBandSize w:val="1"/>
      <w:tblStyleColBandSize w:val="1"/>
    </w:tblPr>
    <w:tcPr>
      <w:shd w:val="clear" w:color="auto" w:fill="DCE4F8" w:themeFill="accent1"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BBED" w:themeFill="accent1" w:themeFillTint="3F"/>
      </w:tcPr>
    </w:tblStylePr>
    <w:tblStylePr w:type="band1Horz">
      <w:tblPr/>
      <w:tcPr>
        <w:shd w:val="clear" w:color="auto" w:fill="B9C8F1" w:themeFill="accent1" w:themeFillTint="33"/>
      </w:tcPr>
    </w:tblStylePr>
  </w:style>
  <w:style w:type="table" w:styleId="ColorfulList-Accent2">
    <w:name w:val="Colorful List Accent 2"/>
    <w:basedOn w:val="TableNormal"/>
    <w:uiPriority w:val="99"/>
    <w:semiHidden/>
    <w:unhideWhenUsed/>
    <w:rsid w:val="009D630C"/>
    <w:pPr>
      <w:spacing w:after="0" w:line="240" w:lineRule="auto"/>
    </w:pPr>
    <w:rPr>
      <w:color w:val="000000" w:themeColor="text1"/>
    </w:rPr>
    <w:tblPr>
      <w:tblStyleRowBandSize w:val="1"/>
      <w:tblStyleColBandSize w:val="1"/>
    </w:tblPr>
    <w:tcPr>
      <w:shd w:val="clear" w:color="auto" w:fill="F4FBFD" w:themeFill="accent2" w:themeFillTint="19"/>
    </w:tcPr>
    <w:tblStylePr w:type="firstRow">
      <w:rPr>
        <w:b/>
        <w:bCs/>
        <w:color w:val="FFFFFF" w:themeColor="background1"/>
      </w:rPr>
      <w:tblPr/>
      <w:tcPr>
        <w:tcBorders>
          <w:bottom w:val="single" w:sz="12" w:space="0" w:color="FFFFFF" w:themeColor="background1"/>
        </w:tcBorders>
        <w:shd w:val="clear" w:color="auto" w:fill="54BFE6" w:themeFill="accent2" w:themeFillShade="CC"/>
      </w:tcPr>
    </w:tblStylePr>
    <w:tblStylePr w:type="lastRow">
      <w:rPr>
        <w:b/>
        <w:bCs/>
        <w:color w:val="54BFE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5FB" w:themeFill="accent2" w:themeFillTint="3F"/>
      </w:tcPr>
    </w:tblStylePr>
    <w:tblStylePr w:type="band1Horz">
      <w:tblPr/>
      <w:tcPr>
        <w:shd w:val="clear" w:color="auto" w:fill="EAF7FC" w:themeFill="accent2" w:themeFillTint="33"/>
      </w:tcPr>
    </w:tblStylePr>
  </w:style>
  <w:style w:type="table" w:styleId="ColorfulList-Accent3">
    <w:name w:val="Colorful List Accent 3"/>
    <w:basedOn w:val="TableNormal"/>
    <w:uiPriority w:val="99"/>
    <w:semiHidden/>
    <w:unhideWhenUsed/>
    <w:rsid w:val="009D630C"/>
    <w:pPr>
      <w:spacing w:after="0" w:line="240" w:lineRule="auto"/>
    </w:pPr>
    <w:rPr>
      <w:color w:val="000000" w:themeColor="text1"/>
    </w:rPr>
    <w:tblPr>
      <w:tblStyleRowBandSize w:val="1"/>
      <w:tblStyleColBandSize w:val="1"/>
    </w:tblPr>
    <w:tcPr>
      <w:shd w:val="clear" w:color="auto" w:fill="DBE8FF" w:themeFill="accent3" w:themeFillTint="19"/>
    </w:tcPr>
    <w:tblStylePr w:type="firstRow">
      <w:rPr>
        <w:b/>
        <w:bCs/>
        <w:color w:val="FFFFFF" w:themeColor="background1"/>
      </w:rPr>
      <w:tblPr/>
      <w:tcPr>
        <w:tcBorders>
          <w:bottom w:val="single" w:sz="12" w:space="0" w:color="FFFFFF" w:themeColor="background1"/>
        </w:tcBorders>
        <w:shd w:val="clear" w:color="auto" w:fill="007EAE" w:themeFill="accent4" w:themeFillShade="CC"/>
      </w:tcPr>
    </w:tblStylePr>
    <w:tblStylePr w:type="lastRow">
      <w:rPr>
        <w:b/>
        <w:bCs/>
        <w:color w:val="007E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C5FF" w:themeFill="accent3" w:themeFillTint="3F"/>
      </w:tcPr>
    </w:tblStylePr>
    <w:tblStylePr w:type="band1Horz">
      <w:tblPr/>
      <w:tcPr>
        <w:shd w:val="clear" w:color="auto" w:fill="B6D0FF" w:themeFill="accent3" w:themeFillTint="33"/>
      </w:tcPr>
    </w:tblStylePr>
  </w:style>
  <w:style w:type="table" w:styleId="ColorfulList-Accent4">
    <w:name w:val="Colorful List Accent 4"/>
    <w:basedOn w:val="TableNormal"/>
    <w:uiPriority w:val="99"/>
    <w:semiHidden/>
    <w:unhideWhenUsed/>
    <w:rsid w:val="009D630C"/>
    <w:pPr>
      <w:spacing w:after="0" w:line="240" w:lineRule="auto"/>
    </w:pPr>
    <w:rPr>
      <w:color w:val="000000" w:themeColor="text1"/>
    </w:rPr>
    <w:tblPr>
      <w:tblStyleRowBandSize w:val="1"/>
      <w:tblStyleColBandSize w:val="1"/>
    </w:tblPr>
    <w:tcPr>
      <w:shd w:val="clear" w:color="auto" w:fill="E2F7FF" w:themeFill="accent4" w:themeFillTint="19"/>
    </w:tcPr>
    <w:tblStylePr w:type="firstRow">
      <w:rPr>
        <w:b/>
        <w:bCs/>
        <w:color w:val="FFFFFF" w:themeColor="background1"/>
      </w:rPr>
      <w:tblPr/>
      <w:tcPr>
        <w:tcBorders>
          <w:bottom w:val="single" w:sz="12" w:space="0" w:color="FFFFFF" w:themeColor="background1"/>
        </w:tcBorders>
        <w:shd w:val="clear" w:color="auto" w:fill="002A74" w:themeFill="accent3" w:themeFillShade="CC"/>
      </w:tcPr>
    </w:tblStylePr>
    <w:tblStylePr w:type="lastRow">
      <w:rPr>
        <w:b/>
        <w:bCs/>
        <w:color w:val="002A7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4" w:themeFillTint="3F"/>
      </w:tcPr>
    </w:tblStylePr>
    <w:tblStylePr w:type="band1Horz">
      <w:tblPr/>
      <w:tcPr>
        <w:shd w:val="clear" w:color="auto" w:fill="C4EEFF" w:themeFill="accent4" w:themeFillTint="33"/>
      </w:tcPr>
    </w:tblStylePr>
  </w:style>
  <w:style w:type="table" w:styleId="ColorfulList-Accent5">
    <w:name w:val="Colorful List Accent 5"/>
    <w:basedOn w:val="TableNormal"/>
    <w:uiPriority w:val="99"/>
    <w:semiHidden/>
    <w:unhideWhenUsed/>
    <w:rsid w:val="009D630C"/>
    <w:pPr>
      <w:spacing w:after="0" w:line="240" w:lineRule="auto"/>
    </w:pPr>
    <w:rPr>
      <w:color w:val="000000" w:themeColor="text1"/>
    </w:rPr>
    <w:tblPr>
      <w:tblStyleRowBandSize w:val="1"/>
      <w:tblStyleColBandSize w:val="1"/>
    </w:tblPr>
    <w:tcPr>
      <w:shd w:val="clear" w:color="auto" w:fill="F4FFF7" w:themeFill="accent5" w:themeFillTint="19"/>
    </w:tcPr>
    <w:tblStylePr w:type="firstRow">
      <w:rPr>
        <w:b/>
        <w:bCs/>
        <w:color w:val="FFFFFF" w:themeColor="background1"/>
      </w:rPr>
      <w:tblPr/>
      <w:tcPr>
        <w:tcBorders>
          <w:bottom w:val="single" w:sz="12" w:space="0" w:color="FFFFFF" w:themeColor="background1"/>
        </w:tcBorders>
        <w:shd w:val="clear" w:color="auto" w:fill="327C2A" w:themeFill="accent6" w:themeFillShade="CC"/>
      </w:tcPr>
    </w:tblStylePr>
    <w:tblStylePr w:type="lastRow">
      <w:rPr>
        <w:b/>
        <w:bCs/>
        <w:color w:val="327C2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EC" w:themeFill="accent5" w:themeFillTint="3F"/>
      </w:tcPr>
    </w:tblStylePr>
    <w:tblStylePr w:type="band1Horz">
      <w:tblPr/>
      <w:tcPr>
        <w:shd w:val="clear" w:color="auto" w:fill="E9FFEF" w:themeFill="accent5" w:themeFillTint="33"/>
      </w:tcPr>
    </w:tblStylePr>
  </w:style>
  <w:style w:type="table" w:styleId="ColorfulList-Accent6">
    <w:name w:val="Colorful List Accent 6"/>
    <w:basedOn w:val="TableNormal"/>
    <w:uiPriority w:val="99"/>
    <w:semiHidden/>
    <w:unhideWhenUsed/>
    <w:rsid w:val="009D630C"/>
    <w:pPr>
      <w:spacing w:after="0" w:line="240" w:lineRule="auto"/>
    </w:pPr>
    <w:rPr>
      <w:color w:val="000000" w:themeColor="text1"/>
    </w:rPr>
    <w:tblPr>
      <w:tblStyleRowBandSize w:val="1"/>
      <w:tblStyleColBandSize w:val="1"/>
    </w:tblPr>
    <w:tcPr>
      <w:shd w:val="clear" w:color="auto" w:fill="EAF7E8" w:themeFill="accent6" w:themeFillTint="19"/>
    </w:tcPr>
    <w:tblStylePr w:type="firstRow">
      <w:rPr>
        <w:b/>
        <w:bCs/>
        <w:color w:val="FFFFFF" w:themeColor="background1"/>
      </w:rPr>
      <w:tblPr/>
      <w:tcPr>
        <w:tcBorders>
          <w:bottom w:val="single" w:sz="12" w:space="0" w:color="FFFFFF" w:themeColor="background1"/>
        </w:tcBorders>
        <w:shd w:val="clear" w:color="auto" w:fill="41FF7D" w:themeFill="accent5" w:themeFillShade="CC"/>
      </w:tcPr>
    </w:tblStylePr>
    <w:tblStylePr w:type="lastRow">
      <w:rPr>
        <w:b/>
        <w:bCs/>
        <w:color w:val="41FF7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CC7" w:themeFill="accent6" w:themeFillTint="3F"/>
      </w:tcPr>
    </w:tblStylePr>
    <w:tblStylePr w:type="band1Horz">
      <w:tblPr/>
      <w:tcPr>
        <w:shd w:val="clear" w:color="auto" w:fill="D4EFD1" w:themeFill="accent6" w:themeFillTint="33"/>
      </w:tcPr>
    </w:tblStylePr>
  </w:style>
  <w:style w:type="table" w:styleId="ColorfulShading">
    <w:name w:val="Colorful Shading"/>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DCE4F8" w:themeFill="accent1"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32D" w:themeFill="accent1" w:themeFillShade="99"/>
      </w:tcPr>
    </w:tblStylePr>
    <w:tblStylePr w:type="firstCol">
      <w:rPr>
        <w:color w:val="FFFFFF" w:themeColor="background1"/>
      </w:rPr>
      <w:tblPr/>
      <w:tcPr>
        <w:tcBorders>
          <w:top w:val="nil"/>
          <w:left w:val="nil"/>
          <w:bottom w:val="nil"/>
          <w:right w:val="nil"/>
          <w:insideH w:val="single" w:sz="4" w:space="0" w:color="09132D" w:themeColor="accent1" w:themeShade="99"/>
          <w:insideV w:val="nil"/>
        </w:tcBorders>
        <w:shd w:val="clear" w:color="auto" w:fill="09132D"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4FBFD" w:themeFill="accent2" w:themeFillTint="19"/>
    </w:tcPr>
    <w:tblStylePr w:type="firstRow">
      <w:rPr>
        <w:b/>
        <w:bCs/>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9ECD" w:themeFill="accent2" w:themeFillShade="99"/>
      </w:tcPr>
    </w:tblStylePr>
    <w:tblStylePr w:type="firstCol">
      <w:rPr>
        <w:color w:val="FFFFFF" w:themeColor="background1"/>
      </w:rPr>
      <w:tblPr/>
      <w:tcPr>
        <w:tcBorders>
          <w:top w:val="nil"/>
          <w:left w:val="nil"/>
          <w:bottom w:val="nil"/>
          <w:right w:val="nil"/>
          <w:insideH w:val="single" w:sz="4" w:space="0" w:color="1E9ECD" w:themeColor="accent2" w:themeShade="99"/>
          <w:insideV w:val="nil"/>
        </w:tcBorders>
        <w:shd w:val="clear" w:color="auto" w:fill="1E9ECD"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DBE8FF" w:themeFill="accent3" w:themeFillTint="19"/>
    </w:tcPr>
    <w:tblStylePr w:type="firstRow">
      <w:rPr>
        <w:b/>
        <w:bCs/>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57" w:themeFill="accent3" w:themeFillShade="99"/>
      </w:tcPr>
    </w:tblStylePr>
    <w:tblStylePr w:type="firstCol">
      <w:rPr>
        <w:color w:val="FFFFFF" w:themeColor="background1"/>
      </w:rPr>
      <w:tblPr/>
      <w:tcPr>
        <w:tcBorders>
          <w:top w:val="nil"/>
          <w:left w:val="nil"/>
          <w:bottom w:val="nil"/>
          <w:right w:val="nil"/>
          <w:insideH w:val="single" w:sz="4" w:space="0" w:color="001F57" w:themeColor="accent3" w:themeShade="99"/>
          <w:insideV w:val="nil"/>
        </w:tcBorders>
        <w:shd w:val="clear" w:color="auto" w:fill="001F57" w:themeFill="accent3" w:themeFillShade="99"/>
      </w:tcPr>
    </w:tblStylePr>
    <w:tblStylePr w:type="lastCol">
      <w:rPr>
        <w:color w:val="FFFFFF" w:themeColor="background1"/>
      </w:rPr>
    </w:tblStylePr>
  </w:style>
  <w:style w:type="table" w:styleId="ColorfulShading-Accent4">
    <w:name w:val="Colorful Shading Accent 4"/>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2F7FF" w:themeFill="accent4" w:themeFillTint="19"/>
    </w:tcPr>
    <w:tblStylePr w:type="firstRow">
      <w:rPr>
        <w:b/>
        <w:bCs/>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4" w:themeFillShade="99"/>
      </w:tcPr>
    </w:tblStylePr>
    <w:tblStylePr w:type="firstCol">
      <w:rPr>
        <w:color w:val="FFFFFF" w:themeColor="background1"/>
      </w:rPr>
      <w:tblPr/>
      <w:tcPr>
        <w:tcBorders>
          <w:top w:val="nil"/>
          <w:left w:val="nil"/>
          <w:bottom w:val="nil"/>
          <w:right w:val="nil"/>
          <w:insideH w:val="single" w:sz="4" w:space="0" w:color="005E82" w:themeColor="accent4" w:themeShade="99"/>
          <w:insideV w:val="nil"/>
        </w:tcBorders>
        <w:shd w:val="clear" w:color="auto" w:fill="005E8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4FFF7" w:themeFill="accent5" w:themeFillTint="19"/>
    </w:tcPr>
    <w:tblStylePr w:type="firstRow">
      <w:rPr>
        <w:b/>
        <w:bCs/>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F04C" w:themeFill="accent5" w:themeFillShade="99"/>
      </w:tcPr>
    </w:tblStylePr>
    <w:tblStylePr w:type="firstCol">
      <w:rPr>
        <w:color w:val="FFFFFF" w:themeColor="background1"/>
      </w:rPr>
      <w:tblPr/>
      <w:tcPr>
        <w:tcBorders>
          <w:top w:val="nil"/>
          <w:left w:val="nil"/>
          <w:bottom w:val="nil"/>
          <w:right w:val="nil"/>
          <w:insideH w:val="single" w:sz="4" w:space="0" w:color="00F04C" w:themeColor="accent5" w:themeShade="99"/>
          <w:insideV w:val="nil"/>
        </w:tcBorders>
        <w:shd w:val="clear" w:color="auto" w:fill="00F04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AF7E8" w:themeFill="accent6" w:themeFillTint="19"/>
    </w:tcPr>
    <w:tblStylePr w:type="firstRow">
      <w:rPr>
        <w:b/>
        <w:bCs/>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1F" w:themeFill="accent6" w:themeFillShade="99"/>
      </w:tcPr>
    </w:tblStylePr>
    <w:tblStylePr w:type="firstCol">
      <w:rPr>
        <w:color w:val="FFFFFF" w:themeColor="background1"/>
      </w:rPr>
      <w:tblPr/>
      <w:tcPr>
        <w:tcBorders>
          <w:top w:val="nil"/>
          <w:left w:val="nil"/>
          <w:bottom w:val="nil"/>
          <w:right w:val="nil"/>
          <w:insideH w:val="single" w:sz="4" w:space="0" w:color="255D1F" w:themeColor="accent6" w:themeShade="99"/>
          <w:insideV w:val="nil"/>
        </w:tcBorders>
        <w:shd w:val="clear" w:color="auto" w:fill="255D1F"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unhideWhenUsed/>
    <w:rsid w:val="009D630C"/>
    <w:pPr>
      <w:spacing w:after="0" w:line="240" w:lineRule="auto"/>
    </w:pPr>
    <w:rPr>
      <w:color w:val="FFFFFF" w:themeColor="background1"/>
    </w:rPr>
    <w:tblPr/>
    <w:tblStylePr w:type="firstRow">
      <w:rPr>
        <w:b/>
        <w:bCs/>
      </w:rPr>
    </w:tblStylePr>
  </w:style>
  <w:style w:type="table" w:styleId="DarkList-Accent1">
    <w:name w:val="Dark List Accent 1"/>
    <w:basedOn w:val="TableNormal"/>
    <w:uiPriority w:val="99"/>
    <w:semiHidden/>
    <w:unhideWhenUsed/>
    <w:rsid w:val="009D630C"/>
    <w:pPr>
      <w:spacing w:after="0" w:line="240" w:lineRule="auto"/>
    </w:pPr>
    <w:rPr>
      <w:color w:val="FFFFFF" w:themeColor="background1"/>
    </w:rPr>
    <w:tblPr/>
    <w:tblStylePr w:type="firstRow">
      <w:rPr>
        <w:b/>
        <w:bCs/>
      </w:rPr>
    </w:tblStylePr>
  </w:style>
  <w:style w:type="table" w:styleId="DarkList-Accent2">
    <w:name w:val="Dark List Accent 2"/>
    <w:basedOn w:val="TableNormal"/>
    <w:uiPriority w:val="99"/>
    <w:semiHidden/>
    <w:unhideWhenUsed/>
    <w:rsid w:val="009D630C"/>
    <w:pPr>
      <w:spacing w:after="0" w:line="240" w:lineRule="auto"/>
    </w:pPr>
    <w:rPr>
      <w:color w:val="FFFFFF" w:themeColor="background1"/>
    </w:rPr>
    <w:tblPr/>
    <w:tblStylePr w:type="firstRow">
      <w:rPr>
        <w:b/>
        <w:bCs/>
      </w:rPr>
    </w:tblStylePr>
  </w:style>
  <w:style w:type="table" w:styleId="DarkList-Accent3">
    <w:name w:val="Dark List Accent 3"/>
    <w:basedOn w:val="TableNormal"/>
    <w:uiPriority w:val="99"/>
    <w:semiHidden/>
    <w:unhideWhenUsed/>
    <w:rsid w:val="009D630C"/>
    <w:pPr>
      <w:spacing w:after="0" w:line="240" w:lineRule="auto"/>
    </w:pPr>
    <w:rPr>
      <w:color w:val="FFFFFF" w:themeColor="background1"/>
    </w:rPr>
    <w:tblPr/>
    <w:tblStylePr w:type="firstRow">
      <w:rPr>
        <w:b/>
        <w:bCs/>
      </w:rPr>
    </w:tblStylePr>
  </w:style>
  <w:style w:type="table" w:styleId="DarkList-Accent4">
    <w:name w:val="Dark List Accent 4"/>
    <w:basedOn w:val="TableNormal"/>
    <w:uiPriority w:val="99"/>
    <w:semiHidden/>
    <w:unhideWhenUsed/>
    <w:rsid w:val="009D630C"/>
    <w:pPr>
      <w:spacing w:after="0" w:line="240" w:lineRule="auto"/>
    </w:pPr>
    <w:rPr>
      <w:color w:val="FFFFFF" w:themeColor="background1"/>
    </w:rPr>
    <w:tblPr/>
    <w:tblStylePr w:type="firstRow">
      <w:rPr>
        <w:b/>
        <w:bCs/>
      </w:rPr>
    </w:tblStylePr>
  </w:style>
  <w:style w:type="table" w:styleId="DarkList-Accent5">
    <w:name w:val="Dark List Accent 5"/>
    <w:basedOn w:val="TableNormal"/>
    <w:uiPriority w:val="99"/>
    <w:semiHidden/>
    <w:unhideWhenUsed/>
    <w:rsid w:val="009D630C"/>
    <w:pPr>
      <w:spacing w:after="0" w:line="240" w:lineRule="auto"/>
    </w:pPr>
    <w:rPr>
      <w:color w:val="FFFFFF" w:themeColor="background1"/>
    </w:rPr>
    <w:tblPr/>
    <w:tblStylePr w:type="firstRow">
      <w:rPr>
        <w:b/>
        <w:bCs/>
      </w:rPr>
    </w:tblStylePr>
  </w:style>
  <w:style w:type="table" w:styleId="DarkList-Accent6">
    <w:name w:val="Dark List Accent 6"/>
    <w:basedOn w:val="TableNormal"/>
    <w:uiPriority w:val="99"/>
    <w:semiHidden/>
    <w:unhideWhenUsed/>
    <w:rsid w:val="009D630C"/>
    <w:pPr>
      <w:spacing w:after="0" w:line="240" w:lineRule="auto"/>
    </w:pPr>
    <w:rPr>
      <w:color w:val="FFFFFF" w:themeColor="background1"/>
    </w:rPr>
    <w:tblPr/>
    <w:tblStylePr w:type="firstRow">
      <w:rPr>
        <w:b/>
        <w:bCs/>
      </w:rPr>
    </w:tblStylePr>
  </w:style>
  <w:style w:type="table" w:styleId="GridTable1Light">
    <w:name w:val="Grid Table 1 Light"/>
    <w:basedOn w:val="TableNormal"/>
    <w:uiPriority w:val="99"/>
    <w:rsid w:val="009D63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D630C"/>
    <w:pPr>
      <w:spacing w:after="0" w:line="240" w:lineRule="auto"/>
    </w:pPr>
    <w:tblPr>
      <w:tblStyleRowBandSize w:val="1"/>
      <w:tblStyleColBandSize w:val="1"/>
      <w:tblBorders>
        <w:top w:val="single" w:sz="4" w:space="0" w:color="7392E3" w:themeColor="accent1" w:themeTint="66"/>
        <w:left w:val="single" w:sz="4" w:space="0" w:color="7392E3" w:themeColor="accent1" w:themeTint="66"/>
        <w:bottom w:val="single" w:sz="4" w:space="0" w:color="7392E3" w:themeColor="accent1" w:themeTint="66"/>
        <w:right w:val="single" w:sz="4" w:space="0" w:color="7392E3" w:themeColor="accent1" w:themeTint="66"/>
        <w:insideH w:val="single" w:sz="4" w:space="0" w:color="7392E3" w:themeColor="accent1" w:themeTint="66"/>
        <w:insideV w:val="single" w:sz="4" w:space="0" w:color="7392E3" w:themeColor="accent1" w:themeTint="66"/>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2" w:space="0" w:color="2D5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D630C"/>
    <w:pPr>
      <w:spacing w:after="0" w:line="240" w:lineRule="auto"/>
    </w:pPr>
    <w:tblPr>
      <w:tblStyleRowBandSize w:val="1"/>
      <w:tblStyleColBandSize w:val="1"/>
      <w:tblBorders>
        <w:top w:val="single" w:sz="4" w:space="0" w:color="D6EFF9" w:themeColor="accent2" w:themeTint="66"/>
        <w:left w:val="single" w:sz="4" w:space="0" w:color="D6EFF9" w:themeColor="accent2" w:themeTint="66"/>
        <w:bottom w:val="single" w:sz="4" w:space="0" w:color="D6EFF9" w:themeColor="accent2" w:themeTint="66"/>
        <w:right w:val="single" w:sz="4" w:space="0" w:color="D6EFF9" w:themeColor="accent2" w:themeTint="66"/>
        <w:insideH w:val="single" w:sz="4" w:space="0" w:color="D6EFF9" w:themeColor="accent2" w:themeTint="66"/>
        <w:insideV w:val="single" w:sz="4" w:space="0" w:color="D6EFF9" w:themeColor="accent2" w:themeTint="66"/>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2" w:space="0" w:color="C1E8F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D630C"/>
    <w:pPr>
      <w:spacing w:after="0" w:line="240" w:lineRule="auto"/>
    </w:pPr>
    <w:tblPr>
      <w:tblStyleRowBandSize w:val="1"/>
      <w:tblStyleColBandSize w:val="1"/>
      <w:tblBorders>
        <w:top w:val="single" w:sz="4" w:space="0" w:color="6DA2FF" w:themeColor="accent3" w:themeTint="66"/>
        <w:left w:val="single" w:sz="4" w:space="0" w:color="6DA2FF" w:themeColor="accent3" w:themeTint="66"/>
        <w:bottom w:val="single" w:sz="4" w:space="0" w:color="6DA2FF" w:themeColor="accent3" w:themeTint="66"/>
        <w:right w:val="single" w:sz="4" w:space="0" w:color="6DA2FF" w:themeColor="accent3" w:themeTint="66"/>
        <w:insideH w:val="single" w:sz="4" w:space="0" w:color="6DA2FF" w:themeColor="accent3" w:themeTint="66"/>
        <w:insideV w:val="single" w:sz="4" w:space="0" w:color="6DA2FF" w:themeColor="accent3" w:themeTint="66"/>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2" w:space="0" w:color="247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D630C"/>
    <w:pPr>
      <w:spacing w:after="0" w:line="240" w:lineRule="auto"/>
    </w:pPr>
    <w:tblPr>
      <w:tblStyleRowBandSize w:val="1"/>
      <w:tblStyleColBandSize w:val="1"/>
      <w:tblBorders>
        <w:top w:val="single" w:sz="4" w:space="0" w:color="8ADEFF" w:themeColor="accent4" w:themeTint="66"/>
        <w:left w:val="single" w:sz="4" w:space="0" w:color="8ADEFF" w:themeColor="accent4" w:themeTint="66"/>
        <w:bottom w:val="single" w:sz="4" w:space="0" w:color="8ADEFF" w:themeColor="accent4" w:themeTint="66"/>
        <w:right w:val="single" w:sz="4" w:space="0" w:color="8ADEFF" w:themeColor="accent4" w:themeTint="66"/>
        <w:insideH w:val="single" w:sz="4" w:space="0" w:color="8ADEFF" w:themeColor="accent4" w:themeTint="66"/>
        <w:insideV w:val="single" w:sz="4" w:space="0" w:color="8ADEFF" w:themeColor="accent4" w:themeTint="66"/>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2" w:space="0" w:color="4FCE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D630C"/>
    <w:pPr>
      <w:spacing w:after="0" w:line="240" w:lineRule="auto"/>
    </w:pPr>
    <w:tblPr>
      <w:tblStyleRowBandSize w:val="1"/>
      <w:tblStyleColBandSize w:val="1"/>
      <w:tblBorders>
        <w:top w:val="single" w:sz="4" w:space="0" w:color="D3FFE0" w:themeColor="accent5" w:themeTint="66"/>
        <w:left w:val="single" w:sz="4" w:space="0" w:color="D3FFE0" w:themeColor="accent5" w:themeTint="66"/>
        <w:bottom w:val="single" w:sz="4" w:space="0" w:color="D3FFE0" w:themeColor="accent5" w:themeTint="66"/>
        <w:right w:val="single" w:sz="4" w:space="0" w:color="D3FFE0" w:themeColor="accent5" w:themeTint="66"/>
        <w:insideH w:val="single" w:sz="4" w:space="0" w:color="D3FFE0" w:themeColor="accent5" w:themeTint="66"/>
        <w:insideV w:val="single" w:sz="4" w:space="0" w:color="D3FFE0" w:themeColor="accent5" w:themeTint="66"/>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2" w:space="0" w:color="BDFFD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D630C"/>
    <w:pPr>
      <w:spacing w:after="0" w:line="240" w:lineRule="auto"/>
    </w:pPr>
    <w:tblPr>
      <w:tblStyleRowBandSize w:val="1"/>
      <w:tblStyleColBandSize w:val="1"/>
      <w:tblBorders>
        <w:top w:val="single" w:sz="4" w:space="0" w:color="AAE0A4" w:themeColor="accent6" w:themeTint="66"/>
        <w:left w:val="single" w:sz="4" w:space="0" w:color="AAE0A4" w:themeColor="accent6" w:themeTint="66"/>
        <w:bottom w:val="single" w:sz="4" w:space="0" w:color="AAE0A4" w:themeColor="accent6" w:themeTint="66"/>
        <w:right w:val="single" w:sz="4" w:space="0" w:color="AAE0A4" w:themeColor="accent6" w:themeTint="66"/>
        <w:insideH w:val="single" w:sz="4" w:space="0" w:color="AAE0A4" w:themeColor="accent6" w:themeTint="66"/>
        <w:insideV w:val="single" w:sz="4" w:space="0" w:color="AAE0A4" w:themeColor="accent6" w:themeTint="66"/>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2" w:space="0" w:color="80D17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D63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9D630C"/>
    <w:pPr>
      <w:spacing w:after="0" w:line="240" w:lineRule="auto"/>
    </w:pPr>
    <w:tblPr>
      <w:tblStyleRowBandSize w:val="1"/>
      <w:tblStyleColBandSize w:val="1"/>
      <w:tblBorders>
        <w:top w:val="single" w:sz="2" w:space="0" w:color="2D5CD5" w:themeColor="accent1" w:themeTint="99"/>
        <w:bottom w:val="single" w:sz="2" w:space="0" w:color="2D5CD5" w:themeColor="accent1" w:themeTint="99"/>
        <w:insideH w:val="single" w:sz="2" w:space="0" w:color="2D5CD5" w:themeColor="accent1" w:themeTint="99"/>
        <w:insideV w:val="single" w:sz="2" w:space="0" w:color="2D5CD5" w:themeColor="accent1" w:themeTint="99"/>
      </w:tblBorders>
    </w:tblPr>
    <w:tblStylePr w:type="firstRow">
      <w:rPr>
        <w:b/>
        <w:bCs/>
      </w:rPr>
      <w:tblPr/>
      <w:tcPr>
        <w:tcBorders>
          <w:top w:val="nil"/>
          <w:bottom w:val="single" w:sz="12" w:space="0" w:color="2D5CD5" w:themeColor="accent1" w:themeTint="99"/>
          <w:insideH w:val="nil"/>
          <w:insideV w:val="nil"/>
        </w:tcBorders>
        <w:shd w:val="clear" w:color="auto" w:fill="FFFFFF" w:themeFill="background1"/>
      </w:tcPr>
    </w:tblStylePr>
    <w:tblStylePr w:type="lastRow">
      <w:rPr>
        <w:b/>
        <w:bCs/>
      </w:rPr>
      <w:tblPr/>
      <w:tcPr>
        <w:tcBorders>
          <w:top w:val="double" w:sz="2" w:space="0" w:color="2D5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2-Accent2">
    <w:name w:val="Grid Table 2 Accent 2"/>
    <w:basedOn w:val="TableNormal"/>
    <w:uiPriority w:val="99"/>
    <w:rsid w:val="009D630C"/>
    <w:pPr>
      <w:spacing w:after="0" w:line="240" w:lineRule="auto"/>
    </w:pPr>
    <w:tblPr>
      <w:tblStyleRowBandSize w:val="1"/>
      <w:tblStyleColBandSize w:val="1"/>
      <w:tblBorders>
        <w:top w:val="single" w:sz="2" w:space="0" w:color="C1E8F6" w:themeColor="accent2" w:themeTint="99"/>
        <w:bottom w:val="single" w:sz="2" w:space="0" w:color="C1E8F6" w:themeColor="accent2" w:themeTint="99"/>
        <w:insideH w:val="single" w:sz="2" w:space="0" w:color="C1E8F6" w:themeColor="accent2" w:themeTint="99"/>
        <w:insideV w:val="single" w:sz="2" w:space="0" w:color="C1E8F6" w:themeColor="accent2" w:themeTint="99"/>
      </w:tblBorders>
    </w:tblPr>
    <w:tblStylePr w:type="firstRow">
      <w:rPr>
        <w:b/>
        <w:bCs/>
      </w:rPr>
      <w:tblPr/>
      <w:tcPr>
        <w:tcBorders>
          <w:top w:val="nil"/>
          <w:bottom w:val="single" w:sz="12" w:space="0" w:color="C1E8F6" w:themeColor="accent2" w:themeTint="99"/>
          <w:insideH w:val="nil"/>
          <w:insideV w:val="nil"/>
        </w:tcBorders>
        <w:shd w:val="clear" w:color="auto" w:fill="FFFFFF" w:themeFill="background1"/>
      </w:tcPr>
    </w:tblStylePr>
    <w:tblStylePr w:type="lastRow">
      <w:rPr>
        <w:b/>
        <w:bCs/>
      </w:rPr>
      <w:tblPr/>
      <w:tcPr>
        <w:tcBorders>
          <w:top w:val="double" w:sz="2" w:space="0" w:color="C1E8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2-Accent3">
    <w:name w:val="Grid Table 2 Accent 3"/>
    <w:basedOn w:val="TableNormal"/>
    <w:uiPriority w:val="99"/>
    <w:rsid w:val="009D630C"/>
    <w:pPr>
      <w:spacing w:after="0" w:line="240" w:lineRule="auto"/>
    </w:pPr>
    <w:tblPr>
      <w:tblStyleRowBandSize w:val="1"/>
      <w:tblStyleColBandSize w:val="1"/>
      <w:tblBorders>
        <w:top w:val="single" w:sz="2" w:space="0" w:color="2473FF" w:themeColor="accent3" w:themeTint="99"/>
        <w:bottom w:val="single" w:sz="2" w:space="0" w:color="2473FF" w:themeColor="accent3" w:themeTint="99"/>
        <w:insideH w:val="single" w:sz="2" w:space="0" w:color="2473FF" w:themeColor="accent3" w:themeTint="99"/>
        <w:insideV w:val="single" w:sz="2" w:space="0" w:color="2473FF" w:themeColor="accent3" w:themeTint="99"/>
      </w:tblBorders>
    </w:tblPr>
    <w:tblStylePr w:type="firstRow">
      <w:rPr>
        <w:b/>
        <w:bCs/>
      </w:rPr>
      <w:tblPr/>
      <w:tcPr>
        <w:tcBorders>
          <w:top w:val="nil"/>
          <w:bottom w:val="single" w:sz="12" w:space="0" w:color="2473FF" w:themeColor="accent3" w:themeTint="99"/>
          <w:insideH w:val="nil"/>
          <w:insideV w:val="nil"/>
        </w:tcBorders>
        <w:shd w:val="clear" w:color="auto" w:fill="FFFFFF" w:themeFill="background1"/>
      </w:tcPr>
    </w:tblStylePr>
    <w:tblStylePr w:type="lastRow">
      <w:rPr>
        <w:b/>
        <w:bCs/>
      </w:rPr>
      <w:tblPr/>
      <w:tcPr>
        <w:tcBorders>
          <w:top w:val="double" w:sz="2" w:space="0" w:color="247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2-Accent4">
    <w:name w:val="Grid Table 2 Accent 4"/>
    <w:basedOn w:val="TableNormal"/>
    <w:uiPriority w:val="99"/>
    <w:rsid w:val="009D630C"/>
    <w:pPr>
      <w:spacing w:after="0" w:line="240" w:lineRule="auto"/>
    </w:pPr>
    <w:tblPr>
      <w:tblStyleRowBandSize w:val="1"/>
      <w:tblStyleColBandSize w:val="1"/>
      <w:tblBorders>
        <w:top w:val="single" w:sz="2" w:space="0" w:color="4FCEFF" w:themeColor="accent4" w:themeTint="99"/>
        <w:bottom w:val="single" w:sz="2" w:space="0" w:color="4FCEFF" w:themeColor="accent4" w:themeTint="99"/>
        <w:insideH w:val="single" w:sz="2" w:space="0" w:color="4FCEFF" w:themeColor="accent4" w:themeTint="99"/>
        <w:insideV w:val="single" w:sz="2" w:space="0" w:color="4FCEFF" w:themeColor="accent4" w:themeTint="99"/>
      </w:tblBorders>
    </w:tblPr>
    <w:tblStylePr w:type="firstRow">
      <w:rPr>
        <w:b/>
        <w:bCs/>
      </w:rPr>
      <w:tblPr/>
      <w:tcPr>
        <w:tcBorders>
          <w:top w:val="nil"/>
          <w:bottom w:val="single" w:sz="12" w:space="0" w:color="4FCEFF" w:themeColor="accent4" w:themeTint="99"/>
          <w:insideH w:val="nil"/>
          <w:insideV w:val="nil"/>
        </w:tcBorders>
        <w:shd w:val="clear" w:color="auto" w:fill="FFFFFF" w:themeFill="background1"/>
      </w:tcPr>
    </w:tblStylePr>
    <w:tblStylePr w:type="lastRow">
      <w:rPr>
        <w:b/>
        <w:bCs/>
      </w:rPr>
      <w:tblPr/>
      <w:tcPr>
        <w:tcBorders>
          <w:top w:val="double" w:sz="2" w:space="0" w:color="4FCE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2-Accent5">
    <w:name w:val="Grid Table 2 Accent 5"/>
    <w:basedOn w:val="TableNormal"/>
    <w:uiPriority w:val="99"/>
    <w:rsid w:val="009D630C"/>
    <w:pPr>
      <w:spacing w:after="0" w:line="240" w:lineRule="auto"/>
    </w:pPr>
    <w:tblPr>
      <w:tblStyleRowBandSize w:val="1"/>
      <w:tblStyleColBandSize w:val="1"/>
      <w:tblBorders>
        <w:top w:val="single" w:sz="2" w:space="0" w:color="BDFFD1" w:themeColor="accent5" w:themeTint="99"/>
        <w:bottom w:val="single" w:sz="2" w:space="0" w:color="BDFFD1" w:themeColor="accent5" w:themeTint="99"/>
        <w:insideH w:val="single" w:sz="2" w:space="0" w:color="BDFFD1" w:themeColor="accent5" w:themeTint="99"/>
        <w:insideV w:val="single" w:sz="2" w:space="0" w:color="BDFFD1" w:themeColor="accent5" w:themeTint="99"/>
      </w:tblBorders>
    </w:tblPr>
    <w:tblStylePr w:type="firstRow">
      <w:rPr>
        <w:b/>
        <w:bCs/>
      </w:rPr>
      <w:tblPr/>
      <w:tcPr>
        <w:tcBorders>
          <w:top w:val="nil"/>
          <w:bottom w:val="single" w:sz="12" w:space="0" w:color="BDFFD1" w:themeColor="accent5" w:themeTint="99"/>
          <w:insideH w:val="nil"/>
          <w:insideV w:val="nil"/>
        </w:tcBorders>
        <w:shd w:val="clear" w:color="auto" w:fill="FFFFFF" w:themeFill="background1"/>
      </w:tcPr>
    </w:tblStylePr>
    <w:tblStylePr w:type="lastRow">
      <w:rPr>
        <w:b/>
        <w:bCs/>
      </w:rPr>
      <w:tblPr/>
      <w:tcPr>
        <w:tcBorders>
          <w:top w:val="double" w:sz="2" w:space="0" w:color="BDFF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2-Accent6">
    <w:name w:val="Grid Table 2 Accent 6"/>
    <w:basedOn w:val="TableNormal"/>
    <w:uiPriority w:val="99"/>
    <w:rsid w:val="009D630C"/>
    <w:pPr>
      <w:spacing w:after="0" w:line="240" w:lineRule="auto"/>
    </w:pPr>
    <w:tblPr>
      <w:tblStyleRowBandSize w:val="1"/>
      <w:tblStyleColBandSize w:val="1"/>
      <w:tblBorders>
        <w:top w:val="single" w:sz="2" w:space="0" w:color="80D178" w:themeColor="accent6" w:themeTint="99"/>
        <w:bottom w:val="single" w:sz="2" w:space="0" w:color="80D178" w:themeColor="accent6" w:themeTint="99"/>
        <w:insideH w:val="single" w:sz="2" w:space="0" w:color="80D178" w:themeColor="accent6" w:themeTint="99"/>
        <w:insideV w:val="single" w:sz="2" w:space="0" w:color="80D178" w:themeColor="accent6" w:themeTint="99"/>
      </w:tblBorders>
    </w:tblPr>
    <w:tblStylePr w:type="firstRow">
      <w:rPr>
        <w:b/>
        <w:bCs/>
      </w:rPr>
      <w:tblPr/>
      <w:tcPr>
        <w:tcBorders>
          <w:top w:val="nil"/>
          <w:bottom w:val="single" w:sz="12" w:space="0" w:color="80D178" w:themeColor="accent6" w:themeTint="99"/>
          <w:insideH w:val="nil"/>
          <w:insideV w:val="nil"/>
        </w:tcBorders>
        <w:shd w:val="clear" w:color="auto" w:fill="FFFFFF" w:themeFill="background1"/>
      </w:tcPr>
    </w:tblStylePr>
    <w:tblStylePr w:type="lastRow">
      <w:rPr>
        <w:b/>
        <w:bCs/>
      </w:rPr>
      <w:tblPr/>
      <w:tcPr>
        <w:tcBorders>
          <w:top w:val="double" w:sz="2" w:space="0" w:color="80D1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3">
    <w:name w:val="Grid Table 3"/>
    <w:basedOn w:val="TableNormal"/>
    <w:uiPriority w:val="99"/>
    <w:rsid w:val="009D63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D630C"/>
    <w:pPr>
      <w:spacing w:after="0" w:line="240" w:lineRule="auto"/>
    </w:p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3-Accent2">
    <w:name w:val="Grid Table 3 Accent 2"/>
    <w:basedOn w:val="TableNormal"/>
    <w:uiPriority w:val="99"/>
    <w:rsid w:val="009D630C"/>
    <w:pPr>
      <w:spacing w:after="0" w:line="240" w:lineRule="auto"/>
    </w:p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3-Accent3">
    <w:name w:val="Grid Table 3 Accent 3"/>
    <w:basedOn w:val="TableNormal"/>
    <w:uiPriority w:val="99"/>
    <w:rsid w:val="009D630C"/>
    <w:pPr>
      <w:spacing w:after="0" w:line="240" w:lineRule="auto"/>
    </w:p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3-Accent4">
    <w:name w:val="Grid Table 3 Accent 4"/>
    <w:basedOn w:val="TableNormal"/>
    <w:uiPriority w:val="99"/>
    <w:rsid w:val="009D630C"/>
    <w:pPr>
      <w:spacing w:after="0" w:line="240" w:lineRule="auto"/>
    </w:p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3-Accent5">
    <w:name w:val="Grid Table 3 Accent 5"/>
    <w:basedOn w:val="TableNormal"/>
    <w:uiPriority w:val="99"/>
    <w:rsid w:val="009D630C"/>
    <w:pPr>
      <w:spacing w:after="0" w:line="240" w:lineRule="auto"/>
    </w:p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3-Accent6">
    <w:name w:val="Grid Table 3 Accent 6"/>
    <w:basedOn w:val="TableNormal"/>
    <w:uiPriority w:val="99"/>
    <w:rsid w:val="009D630C"/>
    <w:pPr>
      <w:spacing w:after="0" w:line="240" w:lineRule="auto"/>
    </w:p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table" w:styleId="GridTable4">
    <w:name w:val="Grid Table 4"/>
    <w:basedOn w:val="TableNormal"/>
    <w:uiPriority w:val="99"/>
    <w:rsid w:val="009D63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9D630C"/>
    <w:pPr>
      <w:spacing w:after="0" w:line="240" w:lineRule="auto"/>
    </w:p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insideV w:val="nil"/>
        </w:tcBorders>
        <w:shd w:val="clear" w:color="auto" w:fill="0F204B" w:themeFill="accent1"/>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4-Accent2">
    <w:name w:val="Grid Table 4 Accent 2"/>
    <w:basedOn w:val="TableNormal"/>
    <w:uiPriority w:val="99"/>
    <w:rsid w:val="009D630C"/>
    <w:pPr>
      <w:spacing w:after="0" w:line="240" w:lineRule="auto"/>
    </w:p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insideV w:val="nil"/>
        </w:tcBorders>
        <w:shd w:val="clear" w:color="auto" w:fill="99D9F0" w:themeFill="accent2"/>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4-Accent3">
    <w:name w:val="Grid Table 4 Accent 3"/>
    <w:basedOn w:val="TableNormal"/>
    <w:uiPriority w:val="99"/>
    <w:rsid w:val="009D630C"/>
    <w:pPr>
      <w:spacing w:after="0" w:line="240" w:lineRule="auto"/>
    </w:p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insideV w:val="nil"/>
        </w:tcBorders>
        <w:shd w:val="clear" w:color="auto" w:fill="003591" w:themeFill="accent3"/>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4-Accent4">
    <w:name w:val="Grid Table 4 Accent 4"/>
    <w:basedOn w:val="TableNormal"/>
    <w:uiPriority w:val="99"/>
    <w:rsid w:val="009D630C"/>
    <w:pPr>
      <w:spacing w:after="0" w:line="240" w:lineRule="auto"/>
    </w:p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insideV w:val="nil"/>
        </w:tcBorders>
        <w:shd w:val="clear" w:color="auto" w:fill="009FDA" w:themeFill="accent4"/>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4-Accent5">
    <w:name w:val="Grid Table 4 Accent 5"/>
    <w:basedOn w:val="TableNormal"/>
    <w:uiPriority w:val="99"/>
    <w:rsid w:val="009D630C"/>
    <w:pPr>
      <w:spacing w:after="0" w:line="240" w:lineRule="auto"/>
    </w:p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insideV w:val="nil"/>
        </w:tcBorders>
        <w:shd w:val="clear" w:color="auto" w:fill="91FFB4" w:themeFill="accent5"/>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4-Accent6">
    <w:name w:val="Grid Table 4 Accent 6"/>
    <w:basedOn w:val="TableNormal"/>
    <w:uiPriority w:val="99"/>
    <w:rsid w:val="009D630C"/>
    <w:pPr>
      <w:spacing w:after="0" w:line="240" w:lineRule="auto"/>
    </w:p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insideV w:val="nil"/>
        </w:tcBorders>
        <w:shd w:val="clear" w:color="auto" w:fill="3F9C35" w:themeFill="accent6"/>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5Dark">
    <w:name w:val="Grid Table 5 Dark"/>
    <w:basedOn w:val="TableNormal"/>
    <w:uiPriority w:val="99"/>
    <w:rsid w:val="009D63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9D63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8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20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20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20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204B" w:themeFill="accent1"/>
      </w:tcPr>
    </w:tblStylePr>
    <w:tblStylePr w:type="band1Vert">
      <w:tblPr/>
      <w:tcPr>
        <w:shd w:val="clear" w:color="auto" w:fill="7392E3" w:themeFill="accent1" w:themeFillTint="66"/>
      </w:tcPr>
    </w:tblStylePr>
    <w:tblStylePr w:type="band1Horz">
      <w:tblPr/>
      <w:tcPr>
        <w:shd w:val="clear" w:color="auto" w:fill="7392E3" w:themeFill="accent1" w:themeFillTint="66"/>
      </w:tcPr>
    </w:tblStylePr>
  </w:style>
  <w:style w:type="table" w:styleId="GridTable5Dark-Accent2">
    <w:name w:val="Grid Table 5 Dark Accent 2"/>
    <w:basedOn w:val="TableNormal"/>
    <w:uiPriority w:val="99"/>
    <w:rsid w:val="009D63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D9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D9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D9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D9F0" w:themeFill="accent2"/>
      </w:tcPr>
    </w:tblStylePr>
    <w:tblStylePr w:type="band1Vert">
      <w:tblPr/>
      <w:tcPr>
        <w:shd w:val="clear" w:color="auto" w:fill="D6EFF9" w:themeFill="accent2" w:themeFillTint="66"/>
      </w:tcPr>
    </w:tblStylePr>
    <w:tblStylePr w:type="band1Horz">
      <w:tblPr/>
      <w:tcPr>
        <w:shd w:val="clear" w:color="auto" w:fill="D6EFF9" w:themeFill="accent2" w:themeFillTint="66"/>
      </w:tcPr>
    </w:tblStylePr>
  </w:style>
  <w:style w:type="table" w:styleId="GridTable5Dark-Accent3">
    <w:name w:val="Grid Table 5 Dark Accent 3"/>
    <w:basedOn w:val="TableNormal"/>
    <w:uiPriority w:val="99"/>
    <w:rsid w:val="009D63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59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59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59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591" w:themeFill="accent3"/>
      </w:tcPr>
    </w:tblStylePr>
    <w:tblStylePr w:type="band1Vert">
      <w:tblPr/>
      <w:tcPr>
        <w:shd w:val="clear" w:color="auto" w:fill="6DA2FF" w:themeFill="accent3" w:themeFillTint="66"/>
      </w:tcPr>
    </w:tblStylePr>
    <w:tblStylePr w:type="band1Horz">
      <w:tblPr/>
      <w:tcPr>
        <w:shd w:val="clear" w:color="auto" w:fill="6DA2FF" w:themeFill="accent3" w:themeFillTint="66"/>
      </w:tcPr>
    </w:tblStylePr>
  </w:style>
  <w:style w:type="table" w:styleId="GridTable5Dark-Accent4">
    <w:name w:val="Grid Table 5 Dark Accent 4"/>
    <w:basedOn w:val="TableNormal"/>
    <w:uiPriority w:val="99"/>
    <w:rsid w:val="009D63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4"/>
      </w:tcPr>
    </w:tblStylePr>
    <w:tblStylePr w:type="band1Vert">
      <w:tblPr/>
      <w:tcPr>
        <w:shd w:val="clear" w:color="auto" w:fill="8ADEFF" w:themeFill="accent4" w:themeFillTint="66"/>
      </w:tcPr>
    </w:tblStylePr>
    <w:tblStylePr w:type="band1Horz">
      <w:tblPr/>
      <w:tcPr>
        <w:shd w:val="clear" w:color="auto" w:fill="8ADEFF" w:themeFill="accent4" w:themeFillTint="66"/>
      </w:tcPr>
    </w:tblStylePr>
  </w:style>
  <w:style w:type="table" w:styleId="GridTable5Dark-Accent5">
    <w:name w:val="Grid Table 5 Dark Accent 5"/>
    <w:basedOn w:val="TableNormal"/>
    <w:uiPriority w:val="99"/>
    <w:rsid w:val="009D63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F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FFB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FFB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FFB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FFB4" w:themeFill="accent5"/>
      </w:tcPr>
    </w:tblStylePr>
    <w:tblStylePr w:type="band1Vert">
      <w:tblPr/>
      <w:tcPr>
        <w:shd w:val="clear" w:color="auto" w:fill="D3FFE0" w:themeFill="accent5" w:themeFillTint="66"/>
      </w:tcPr>
    </w:tblStylePr>
    <w:tblStylePr w:type="band1Horz">
      <w:tblPr/>
      <w:tcPr>
        <w:shd w:val="clear" w:color="auto" w:fill="D3FFE0" w:themeFill="accent5" w:themeFillTint="66"/>
      </w:tcPr>
    </w:tblStylePr>
  </w:style>
  <w:style w:type="table" w:styleId="GridTable5Dark-Accent6">
    <w:name w:val="Grid Table 5 Dark Accent 6"/>
    <w:basedOn w:val="TableNormal"/>
    <w:uiPriority w:val="99"/>
    <w:rsid w:val="009D63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FD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9C3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9C3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9C3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9C35" w:themeFill="accent6"/>
      </w:tcPr>
    </w:tblStylePr>
    <w:tblStylePr w:type="band1Vert">
      <w:tblPr/>
      <w:tcPr>
        <w:shd w:val="clear" w:color="auto" w:fill="AAE0A4" w:themeFill="accent6" w:themeFillTint="66"/>
      </w:tcPr>
    </w:tblStylePr>
    <w:tblStylePr w:type="band1Horz">
      <w:tblPr/>
      <w:tcPr>
        <w:shd w:val="clear" w:color="auto" w:fill="AAE0A4" w:themeFill="accent6" w:themeFillTint="66"/>
      </w:tcPr>
    </w:tblStylePr>
  </w:style>
  <w:style w:type="table" w:styleId="GridTable6Colorful">
    <w:name w:val="Grid Table 6 Colorful"/>
    <w:basedOn w:val="TableNormal"/>
    <w:uiPriority w:val="99"/>
    <w:rsid w:val="009D63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D630C"/>
    <w:pPr>
      <w:spacing w:after="0" w:line="240" w:lineRule="auto"/>
    </w:pPr>
    <w:rPr>
      <w:color w:val="0B1738" w:themeColor="accent1" w:themeShade="BF"/>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bottom w:val="single" w:sz="12" w:space="0" w:color="2D5CD5" w:themeColor="accent1" w:themeTint="99"/>
        </w:tcBorders>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GridTable6Colorful-Accent2">
    <w:name w:val="Grid Table 6 Colorful Accent 2"/>
    <w:basedOn w:val="TableNormal"/>
    <w:uiPriority w:val="99"/>
    <w:rsid w:val="009D630C"/>
    <w:pPr>
      <w:spacing w:after="0" w:line="240" w:lineRule="auto"/>
    </w:pPr>
    <w:rPr>
      <w:color w:val="43B8E3" w:themeColor="accent2" w:themeShade="BF"/>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bottom w:val="single" w:sz="12" w:space="0" w:color="C1E8F6" w:themeColor="accent2" w:themeTint="99"/>
        </w:tcBorders>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GridTable6Colorful-Accent3">
    <w:name w:val="Grid Table 6 Colorful Accent 3"/>
    <w:basedOn w:val="TableNormal"/>
    <w:uiPriority w:val="99"/>
    <w:rsid w:val="009D630C"/>
    <w:pPr>
      <w:spacing w:after="0" w:line="240" w:lineRule="auto"/>
    </w:pPr>
    <w:rPr>
      <w:color w:val="00276C" w:themeColor="accent3" w:themeShade="BF"/>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bottom w:val="single" w:sz="12" w:space="0" w:color="2473FF" w:themeColor="accent3" w:themeTint="99"/>
        </w:tcBorders>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GridTable6Colorful-Accent4">
    <w:name w:val="Grid Table 6 Colorful Accent 4"/>
    <w:basedOn w:val="TableNormal"/>
    <w:uiPriority w:val="99"/>
    <w:rsid w:val="009D630C"/>
    <w:pPr>
      <w:spacing w:after="0" w:line="240" w:lineRule="auto"/>
    </w:pPr>
    <w:rPr>
      <w:color w:val="0076A3" w:themeColor="accent4" w:themeShade="BF"/>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bottom w:val="single" w:sz="12" w:space="0" w:color="4FCEFF" w:themeColor="accent4" w:themeTint="99"/>
        </w:tcBorders>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GridTable6Colorful-Accent5">
    <w:name w:val="Grid Table 6 Colorful Accent 5"/>
    <w:basedOn w:val="TableNormal"/>
    <w:uiPriority w:val="99"/>
    <w:rsid w:val="009D630C"/>
    <w:pPr>
      <w:spacing w:after="0" w:line="240" w:lineRule="auto"/>
    </w:pPr>
    <w:rPr>
      <w:color w:val="2CFF6F" w:themeColor="accent5" w:themeShade="BF"/>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bottom w:val="single" w:sz="12" w:space="0" w:color="BDFFD1" w:themeColor="accent5" w:themeTint="99"/>
        </w:tcBorders>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GridTable6Colorful-Accent6">
    <w:name w:val="Grid Table 6 Colorful Accent 6"/>
    <w:basedOn w:val="TableNormal"/>
    <w:uiPriority w:val="99"/>
    <w:rsid w:val="009D630C"/>
    <w:pPr>
      <w:spacing w:after="0" w:line="240" w:lineRule="auto"/>
    </w:pPr>
    <w:rPr>
      <w:color w:val="2E7427" w:themeColor="accent6" w:themeShade="BF"/>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bottom w:val="single" w:sz="12" w:space="0" w:color="80D178" w:themeColor="accent6" w:themeTint="99"/>
        </w:tcBorders>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GridTable7Colorful">
    <w:name w:val="Grid Table 7 Colorful"/>
    <w:basedOn w:val="TableNormal"/>
    <w:uiPriority w:val="99"/>
    <w:rsid w:val="009D63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D630C"/>
    <w:pPr>
      <w:spacing w:after="0" w:line="240" w:lineRule="auto"/>
    </w:pPr>
    <w:rPr>
      <w:color w:val="0B1738" w:themeColor="accent1" w:themeShade="BF"/>
    </w:r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insideV w:val="single" w:sz="4" w:space="0" w:color="2D5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1" w:themeFillTint="33"/>
      </w:tcPr>
    </w:tblStylePr>
    <w:tblStylePr w:type="band1Horz">
      <w:tblPr/>
      <w:tcPr>
        <w:shd w:val="clear" w:color="auto" w:fill="B9C8F1" w:themeFill="accent1" w:themeFillTint="33"/>
      </w:tcPr>
    </w:tblStylePr>
    <w:tblStylePr w:type="neCell">
      <w:tblPr/>
      <w:tcPr>
        <w:tcBorders>
          <w:bottom w:val="single" w:sz="4" w:space="0" w:color="2D5CD5" w:themeColor="accent1" w:themeTint="99"/>
        </w:tcBorders>
      </w:tcPr>
    </w:tblStylePr>
    <w:tblStylePr w:type="nwCell">
      <w:tblPr/>
      <w:tcPr>
        <w:tcBorders>
          <w:bottom w:val="single" w:sz="4" w:space="0" w:color="2D5CD5" w:themeColor="accent1" w:themeTint="99"/>
        </w:tcBorders>
      </w:tcPr>
    </w:tblStylePr>
    <w:tblStylePr w:type="seCell">
      <w:tblPr/>
      <w:tcPr>
        <w:tcBorders>
          <w:top w:val="single" w:sz="4" w:space="0" w:color="2D5CD5" w:themeColor="accent1" w:themeTint="99"/>
        </w:tcBorders>
      </w:tcPr>
    </w:tblStylePr>
    <w:tblStylePr w:type="swCell">
      <w:tblPr/>
      <w:tcPr>
        <w:tcBorders>
          <w:top w:val="single" w:sz="4" w:space="0" w:color="2D5CD5" w:themeColor="accent1" w:themeTint="99"/>
        </w:tcBorders>
      </w:tcPr>
    </w:tblStylePr>
  </w:style>
  <w:style w:type="table" w:styleId="GridTable7Colorful-Accent2">
    <w:name w:val="Grid Table 7 Colorful Accent 2"/>
    <w:basedOn w:val="TableNormal"/>
    <w:uiPriority w:val="99"/>
    <w:rsid w:val="009D630C"/>
    <w:pPr>
      <w:spacing w:after="0" w:line="240" w:lineRule="auto"/>
    </w:pPr>
    <w:rPr>
      <w:color w:val="43B8E3" w:themeColor="accent2" w:themeShade="BF"/>
    </w:r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insideV w:val="single" w:sz="4" w:space="0" w:color="C1E8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FC" w:themeFill="accent2" w:themeFillTint="33"/>
      </w:tcPr>
    </w:tblStylePr>
    <w:tblStylePr w:type="band1Horz">
      <w:tblPr/>
      <w:tcPr>
        <w:shd w:val="clear" w:color="auto" w:fill="EAF7FC" w:themeFill="accent2" w:themeFillTint="33"/>
      </w:tcPr>
    </w:tblStylePr>
    <w:tblStylePr w:type="neCell">
      <w:tblPr/>
      <w:tcPr>
        <w:tcBorders>
          <w:bottom w:val="single" w:sz="4" w:space="0" w:color="C1E8F6" w:themeColor="accent2" w:themeTint="99"/>
        </w:tcBorders>
      </w:tcPr>
    </w:tblStylePr>
    <w:tblStylePr w:type="nwCell">
      <w:tblPr/>
      <w:tcPr>
        <w:tcBorders>
          <w:bottom w:val="single" w:sz="4" w:space="0" w:color="C1E8F6" w:themeColor="accent2" w:themeTint="99"/>
        </w:tcBorders>
      </w:tcPr>
    </w:tblStylePr>
    <w:tblStylePr w:type="seCell">
      <w:tblPr/>
      <w:tcPr>
        <w:tcBorders>
          <w:top w:val="single" w:sz="4" w:space="0" w:color="C1E8F6" w:themeColor="accent2" w:themeTint="99"/>
        </w:tcBorders>
      </w:tcPr>
    </w:tblStylePr>
    <w:tblStylePr w:type="swCell">
      <w:tblPr/>
      <w:tcPr>
        <w:tcBorders>
          <w:top w:val="single" w:sz="4" w:space="0" w:color="C1E8F6" w:themeColor="accent2" w:themeTint="99"/>
        </w:tcBorders>
      </w:tcPr>
    </w:tblStylePr>
  </w:style>
  <w:style w:type="table" w:styleId="GridTable7Colorful-Accent3">
    <w:name w:val="Grid Table 7 Colorful Accent 3"/>
    <w:basedOn w:val="TableNormal"/>
    <w:uiPriority w:val="99"/>
    <w:rsid w:val="009D630C"/>
    <w:pPr>
      <w:spacing w:after="0" w:line="240" w:lineRule="auto"/>
    </w:pPr>
    <w:rPr>
      <w:color w:val="00276C" w:themeColor="accent3" w:themeShade="BF"/>
    </w:r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insideV w:val="single" w:sz="4" w:space="0" w:color="247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0FF" w:themeFill="accent3" w:themeFillTint="33"/>
      </w:tcPr>
    </w:tblStylePr>
    <w:tblStylePr w:type="band1Horz">
      <w:tblPr/>
      <w:tcPr>
        <w:shd w:val="clear" w:color="auto" w:fill="B6D0FF" w:themeFill="accent3" w:themeFillTint="33"/>
      </w:tcPr>
    </w:tblStylePr>
    <w:tblStylePr w:type="neCell">
      <w:tblPr/>
      <w:tcPr>
        <w:tcBorders>
          <w:bottom w:val="single" w:sz="4" w:space="0" w:color="2473FF" w:themeColor="accent3" w:themeTint="99"/>
        </w:tcBorders>
      </w:tcPr>
    </w:tblStylePr>
    <w:tblStylePr w:type="nwCell">
      <w:tblPr/>
      <w:tcPr>
        <w:tcBorders>
          <w:bottom w:val="single" w:sz="4" w:space="0" w:color="2473FF" w:themeColor="accent3" w:themeTint="99"/>
        </w:tcBorders>
      </w:tcPr>
    </w:tblStylePr>
    <w:tblStylePr w:type="seCell">
      <w:tblPr/>
      <w:tcPr>
        <w:tcBorders>
          <w:top w:val="single" w:sz="4" w:space="0" w:color="2473FF" w:themeColor="accent3" w:themeTint="99"/>
        </w:tcBorders>
      </w:tcPr>
    </w:tblStylePr>
    <w:tblStylePr w:type="swCell">
      <w:tblPr/>
      <w:tcPr>
        <w:tcBorders>
          <w:top w:val="single" w:sz="4" w:space="0" w:color="2473FF" w:themeColor="accent3" w:themeTint="99"/>
        </w:tcBorders>
      </w:tcPr>
    </w:tblStylePr>
  </w:style>
  <w:style w:type="table" w:styleId="GridTable7Colorful-Accent4">
    <w:name w:val="Grid Table 7 Colorful Accent 4"/>
    <w:basedOn w:val="TableNormal"/>
    <w:uiPriority w:val="99"/>
    <w:rsid w:val="009D630C"/>
    <w:pPr>
      <w:spacing w:after="0" w:line="240" w:lineRule="auto"/>
    </w:pPr>
    <w:rPr>
      <w:color w:val="0076A3" w:themeColor="accent4" w:themeShade="BF"/>
    </w:r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insideV w:val="single" w:sz="4" w:space="0" w:color="4FCE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4" w:themeFillTint="33"/>
      </w:tcPr>
    </w:tblStylePr>
    <w:tblStylePr w:type="band1Horz">
      <w:tblPr/>
      <w:tcPr>
        <w:shd w:val="clear" w:color="auto" w:fill="C4EEFF" w:themeFill="accent4" w:themeFillTint="33"/>
      </w:tcPr>
    </w:tblStylePr>
    <w:tblStylePr w:type="neCell">
      <w:tblPr/>
      <w:tcPr>
        <w:tcBorders>
          <w:bottom w:val="single" w:sz="4" w:space="0" w:color="4FCEFF" w:themeColor="accent4" w:themeTint="99"/>
        </w:tcBorders>
      </w:tcPr>
    </w:tblStylePr>
    <w:tblStylePr w:type="nwCell">
      <w:tblPr/>
      <w:tcPr>
        <w:tcBorders>
          <w:bottom w:val="single" w:sz="4" w:space="0" w:color="4FCEFF" w:themeColor="accent4" w:themeTint="99"/>
        </w:tcBorders>
      </w:tcPr>
    </w:tblStylePr>
    <w:tblStylePr w:type="seCell">
      <w:tblPr/>
      <w:tcPr>
        <w:tcBorders>
          <w:top w:val="single" w:sz="4" w:space="0" w:color="4FCEFF" w:themeColor="accent4" w:themeTint="99"/>
        </w:tcBorders>
      </w:tcPr>
    </w:tblStylePr>
    <w:tblStylePr w:type="swCell">
      <w:tblPr/>
      <w:tcPr>
        <w:tcBorders>
          <w:top w:val="single" w:sz="4" w:space="0" w:color="4FCEFF" w:themeColor="accent4" w:themeTint="99"/>
        </w:tcBorders>
      </w:tcPr>
    </w:tblStylePr>
  </w:style>
  <w:style w:type="table" w:styleId="GridTable7Colorful-Accent5">
    <w:name w:val="Grid Table 7 Colorful Accent 5"/>
    <w:basedOn w:val="TableNormal"/>
    <w:uiPriority w:val="99"/>
    <w:rsid w:val="009D630C"/>
    <w:pPr>
      <w:spacing w:after="0" w:line="240" w:lineRule="auto"/>
    </w:pPr>
    <w:rPr>
      <w:color w:val="2CFF6F" w:themeColor="accent5" w:themeShade="BF"/>
    </w:r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insideV w:val="single" w:sz="4" w:space="0" w:color="BDFFD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FEF" w:themeFill="accent5" w:themeFillTint="33"/>
      </w:tcPr>
    </w:tblStylePr>
    <w:tblStylePr w:type="band1Horz">
      <w:tblPr/>
      <w:tcPr>
        <w:shd w:val="clear" w:color="auto" w:fill="E9FFEF" w:themeFill="accent5" w:themeFillTint="33"/>
      </w:tcPr>
    </w:tblStylePr>
    <w:tblStylePr w:type="neCell">
      <w:tblPr/>
      <w:tcPr>
        <w:tcBorders>
          <w:bottom w:val="single" w:sz="4" w:space="0" w:color="BDFFD1" w:themeColor="accent5" w:themeTint="99"/>
        </w:tcBorders>
      </w:tcPr>
    </w:tblStylePr>
    <w:tblStylePr w:type="nwCell">
      <w:tblPr/>
      <w:tcPr>
        <w:tcBorders>
          <w:bottom w:val="single" w:sz="4" w:space="0" w:color="BDFFD1" w:themeColor="accent5" w:themeTint="99"/>
        </w:tcBorders>
      </w:tcPr>
    </w:tblStylePr>
    <w:tblStylePr w:type="seCell">
      <w:tblPr/>
      <w:tcPr>
        <w:tcBorders>
          <w:top w:val="single" w:sz="4" w:space="0" w:color="BDFFD1" w:themeColor="accent5" w:themeTint="99"/>
        </w:tcBorders>
      </w:tcPr>
    </w:tblStylePr>
    <w:tblStylePr w:type="swCell">
      <w:tblPr/>
      <w:tcPr>
        <w:tcBorders>
          <w:top w:val="single" w:sz="4" w:space="0" w:color="BDFFD1" w:themeColor="accent5" w:themeTint="99"/>
        </w:tcBorders>
      </w:tcPr>
    </w:tblStylePr>
  </w:style>
  <w:style w:type="table" w:styleId="GridTable7Colorful-Accent6">
    <w:name w:val="Grid Table 7 Colorful Accent 6"/>
    <w:basedOn w:val="TableNormal"/>
    <w:uiPriority w:val="99"/>
    <w:rsid w:val="009D630C"/>
    <w:pPr>
      <w:spacing w:after="0" w:line="240" w:lineRule="auto"/>
    </w:pPr>
    <w:rPr>
      <w:color w:val="2E7427" w:themeColor="accent6" w:themeShade="BF"/>
    </w:r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insideV w:val="single" w:sz="4" w:space="0" w:color="80D1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FD1" w:themeFill="accent6" w:themeFillTint="33"/>
      </w:tcPr>
    </w:tblStylePr>
    <w:tblStylePr w:type="band1Horz">
      <w:tblPr/>
      <w:tcPr>
        <w:shd w:val="clear" w:color="auto" w:fill="D4EFD1" w:themeFill="accent6" w:themeFillTint="33"/>
      </w:tcPr>
    </w:tblStylePr>
    <w:tblStylePr w:type="neCell">
      <w:tblPr/>
      <w:tcPr>
        <w:tcBorders>
          <w:bottom w:val="single" w:sz="4" w:space="0" w:color="80D178" w:themeColor="accent6" w:themeTint="99"/>
        </w:tcBorders>
      </w:tcPr>
    </w:tblStylePr>
    <w:tblStylePr w:type="nwCell">
      <w:tblPr/>
      <w:tcPr>
        <w:tcBorders>
          <w:bottom w:val="single" w:sz="4" w:space="0" w:color="80D178" w:themeColor="accent6" w:themeTint="99"/>
        </w:tcBorders>
      </w:tcPr>
    </w:tblStylePr>
    <w:tblStylePr w:type="seCell">
      <w:tblPr/>
      <w:tcPr>
        <w:tcBorders>
          <w:top w:val="single" w:sz="4" w:space="0" w:color="80D178" w:themeColor="accent6" w:themeTint="99"/>
        </w:tcBorders>
      </w:tcPr>
    </w:tblStylePr>
    <w:tblStylePr w:type="swCell">
      <w:tblPr/>
      <w:tcPr>
        <w:tcBorders>
          <w:top w:val="single" w:sz="4" w:space="0" w:color="80D178" w:themeColor="accent6" w:themeTint="99"/>
        </w:tcBorders>
      </w:tcPr>
    </w:tblStylePr>
  </w:style>
  <w:style w:type="character" w:styleId="Hashtag">
    <w:name w:val="Hashtag"/>
    <w:basedOn w:val="DefaultParagraphFont"/>
    <w:uiPriority w:val="99"/>
    <w:semiHidden/>
    <w:unhideWhenUsed/>
    <w:rsid w:val="009D630C"/>
    <w:rPr>
      <w:color w:val="2B579A"/>
      <w:shd w:val="clear" w:color="auto" w:fill="E1DFDD"/>
    </w:rPr>
  </w:style>
  <w:style w:type="table" w:styleId="LightGrid">
    <w:name w:val="Light Grid"/>
    <w:basedOn w:val="TableNormal"/>
    <w:uiPriority w:val="99"/>
    <w:semiHidden/>
    <w:unhideWhenUsed/>
    <w:rsid w:val="009D630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D630C"/>
    <w:pPr>
      <w:spacing w:after="0" w:line="240" w:lineRule="auto"/>
    </w:p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18" w:space="0" w:color="0F204B" w:themeColor="accent1"/>
          <w:right w:val="single" w:sz="8" w:space="0" w:color="0F204B" w:themeColor="accent1"/>
          <w:insideH w:val="nil"/>
          <w:insideV w:val="single" w:sz="8" w:space="0" w:color="0F20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insideH w:val="nil"/>
          <w:insideV w:val="single" w:sz="8" w:space="0" w:color="0F20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shd w:val="clear" w:color="auto" w:fill="A8BBED" w:themeFill="accent1" w:themeFillTint="3F"/>
      </w:tcPr>
    </w:tblStylePr>
    <w:tblStylePr w:type="band1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shd w:val="clear" w:color="auto" w:fill="A8BBED" w:themeFill="accent1" w:themeFillTint="3F"/>
      </w:tcPr>
    </w:tblStylePr>
    <w:tblStylePr w:type="band2Horz">
      <w:tblPr/>
      <w:tcPr>
        <w:tcBorders>
          <w:top w:val="single" w:sz="8" w:space="0" w:color="0F204B" w:themeColor="accent1"/>
          <w:left w:val="single" w:sz="8" w:space="0" w:color="0F204B" w:themeColor="accent1"/>
          <w:bottom w:val="single" w:sz="8" w:space="0" w:color="0F204B" w:themeColor="accent1"/>
          <w:right w:val="single" w:sz="8" w:space="0" w:color="0F204B" w:themeColor="accent1"/>
          <w:insideV w:val="single" w:sz="8" w:space="0" w:color="0F204B" w:themeColor="accent1"/>
        </w:tcBorders>
      </w:tcPr>
    </w:tblStylePr>
  </w:style>
  <w:style w:type="table" w:styleId="LightGrid-Accent2">
    <w:name w:val="Light Grid Accent 2"/>
    <w:basedOn w:val="TableNormal"/>
    <w:uiPriority w:val="99"/>
    <w:semiHidden/>
    <w:unhideWhenUsed/>
    <w:rsid w:val="009D630C"/>
    <w:pPr>
      <w:spacing w:after="0" w:line="240" w:lineRule="auto"/>
    </w:p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18" w:space="0" w:color="99D9F0" w:themeColor="accent2"/>
          <w:right w:val="single" w:sz="8" w:space="0" w:color="99D9F0" w:themeColor="accent2"/>
          <w:insideH w:val="nil"/>
          <w:insideV w:val="single" w:sz="8" w:space="0" w:color="99D9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insideH w:val="nil"/>
          <w:insideV w:val="single" w:sz="8" w:space="0" w:color="99D9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shd w:val="clear" w:color="auto" w:fill="E5F5FB" w:themeFill="accent2" w:themeFillTint="3F"/>
      </w:tcPr>
    </w:tblStylePr>
    <w:tblStylePr w:type="band1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shd w:val="clear" w:color="auto" w:fill="E5F5FB" w:themeFill="accent2" w:themeFillTint="3F"/>
      </w:tcPr>
    </w:tblStylePr>
    <w:tblStylePr w:type="band2Horz">
      <w:tblPr/>
      <w:tcPr>
        <w:tcBorders>
          <w:top w:val="single" w:sz="8" w:space="0" w:color="99D9F0" w:themeColor="accent2"/>
          <w:left w:val="single" w:sz="8" w:space="0" w:color="99D9F0" w:themeColor="accent2"/>
          <w:bottom w:val="single" w:sz="8" w:space="0" w:color="99D9F0" w:themeColor="accent2"/>
          <w:right w:val="single" w:sz="8" w:space="0" w:color="99D9F0" w:themeColor="accent2"/>
          <w:insideV w:val="single" w:sz="8" w:space="0" w:color="99D9F0" w:themeColor="accent2"/>
        </w:tcBorders>
      </w:tcPr>
    </w:tblStylePr>
  </w:style>
  <w:style w:type="table" w:styleId="LightGrid-Accent3">
    <w:name w:val="Light Grid Accent 3"/>
    <w:basedOn w:val="TableNormal"/>
    <w:uiPriority w:val="99"/>
    <w:semiHidden/>
    <w:unhideWhenUsed/>
    <w:rsid w:val="009D630C"/>
    <w:pPr>
      <w:spacing w:after="0" w:line="240" w:lineRule="auto"/>
    </w:p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18" w:space="0" w:color="003591" w:themeColor="accent3"/>
          <w:right w:val="single" w:sz="8" w:space="0" w:color="003591" w:themeColor="accent3"/>
          <w:insideH w:val="nil"/>
          <w:insideV w:val="single" w:sz="8" w:space="0" w:color="00359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insideH w:val="nil"/>
          <w:insideV w:val="single" w:sz="8" w:space="0" w:color="00359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shd w:val="clear" w:color="auto" w:fill="A4C5FF" w:themeFill="accent3" w:themeFillTint="3F"/>
      </w:tcPr>
    </w:tblStylePr>
    <w:tblStylePr w:type="band1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shd w:val="clear" w:color="auto" w:fill="A4C5FF" w:themeFill="accent3" w:themeFillTint="3F"/>
      </w:tcPr>
    </w:tblStylePr>
    <w:tblStylePr w:type="band2Horz">
      <w:tblPr/>
      <w:tcPr>
        <w:tcBorders>
          <w:top w:val="single" w:sz="8" w:space="0" w:color="003591" w:themeColor="accent3"/>
          <w:left w:val="single" w:sz="8" w:space="0" w:color="003591" w:themeColor="accent3"/>
          <w:bottom w:val="single" w:sz="8" w:space="0" w:color="003591" w:themeColor="accent3"/>
          <w:right w:val="single" w:sz="8" w:space="0" w:color="003591" w:themeColor="accent3"/>
          <w:insideV w:val="single" w:sz="8" w:space="0" w:color="003591" w:themeColor="accent3"/>
        </w:tcBorders>
      </w:tcPr>
    </w:tblStylePr>
  </w:style>
  <w:style w:type="table" w:styleId="LightGrid-Accent4">
    <w:name w:val="Light Grid Accent 4"/>
    <w:basedOn w:val="TableNormal"/>
    <w:uiPriority w:val="99"/>
    <w:semiHidden/>
    <w:unhideWhenUsed/>
    <w:rsid w:val="009D630C"/>
    <w:pPr>
      <w:spacing w:after="0" w:line="240" w:lineRule="auto"/>
    </w:p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18" w:space="0" w:color="009FDA" w:themeColor="accent4"/>
          <w:right w:val="single" w:sz="8" w:space="0" w:color="009FDA" w:themeColor="accent4"/>
          <w:insideH w:val="nil"/>
          <w:insideV w:val="single" w:sz="8" w:space="0" w:color="009FD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insideH w:val="nil"/>
          <w:insideV w:val="single" w:sz="8" w:space="0" w:color="009FD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shd w:val="clear" w:color="auto" w:fill="B6EBFF" w:themeFill="accent4" w:themeFillTint="3F"/>
      </w:tcPr>
    </w:tblStylePr>
    <w:tblStylePr w:type="band1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shd w:val="clear" w:color="auto" w:fill="B6EBFF" w:themeFill="accent4" w:themeFillTint="3F"/>
      </w:tcPr>
    </w:tblStylePr>
    <w:tblStylePr w:type="band2Horz">
      <w:tblPr/>
      <w:tcPr>
        <w:tcBorders>
          <w:top w:val="single" w:sz="8" w:space="0" w:color="009FDA" w:themeColor="accent4"/>
          <w:left w:val="single" w:sz="8" w:space="0" w:color="009FDA" w:themeColor="accent4"/>
          <w:bottom w:val="single" w:sz="8" w:space="0" w:color="009FDA" w:themeColor="accent4"/>
          <w:right w:val="single" w:sz="8" w:space="0" w:color="009FDA" w:themeColor="accent4"/>
          <w:insideV w:val="single" w:sz="8" w:space="0" w:color="009FDA" w:themeColor="accent4"/>
        </w:tcBorders>
      </w:tcPr>
    </w:tblStylePr>
  </w:style>
  <w:style w:type="table" w:styleId="LightGrid-Accent5">
    <w:name w:val="Light Grid Accent 5"/>
    <w:basedOn w:val="TableNormal"/>
    <w:uiPriority w:val="99"/>
    <w:semiHidden/>
    <w:unhideWhenUsed/>
    <w:rsid w:val="009D630C"/>
    <w:pPr>
      <w:spacing w:after="0" w:line="240" w:lineRule="auto"/>
    </w:p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18" w:space="0" w:color="91FFB4" w:themeColor="accent5"/>
          <w:right w:val="single" w:sz="8" w:space="0" w:color="91FFB4" w:themeColor="accent5"/>
          <w:insideH w:val="nil"/>
          <w:insideV w:val="single" w:sz="8" w:space="0" w:color="91FFB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insideH w:val="nil"/>
          <w:insideV w:val="single" w:sz="8" w:space="0" w:color="91FFB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shd w:val="clear" w:color="auto" w:fill="E3FFEC" w:themeFill="accent5" w:themeFillTint="3F"/>
      </w:tcPr>
    </w:tblStylePr>
    <w:tblStylePr w:type="band1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shd w:val="clear" w:color="auto" w:fill="E3FFEC" w:themeFill="accent5" w:themeFillTint="3F"/>
      </w:tcPr>
    </w:tblStylePr>
    <w:tblStylePr w:type="band2Horz">
      <w:tblPr/>
      <w:tcPr>
        <w:tcBorders>
          <w:top w:val="single" w:sz="8" w:space="0" w:color="91FFB4" w:themeColor="accent5"/>
          <w:left w:val="single" w:sz="8" w:space="0" w:color="91FFB4" w:themeColor="accent5"/>
          <w:bottom w:val="single" w:sz="8" w:space="0" w:color="91FFB4" w:themeColor="accent5"/>
          <w:right w:val="single" w:sz="8" w:space="0" w:color="91FFB4" w:themeColor="accent5"/>
          <w:insideV w:val="single" w:sz="8" w:space="0" w:color="91FFB4" w:themeColor="accent5"/>
        </w:tcBorders>
      </w:tcPr>
    </w:tblStylePr>
  </w:style>
  <w:style w:type="table" w:styleId="LightGrid-Accent6">
    <w:name w:val="Light Grid Accent 6"/>
    <w:basedOn w:val="TableNormal"/>
    <w:uiPriority w:val="99"/>
    <w:semiHidden/>
    <w:unhideWhenUsed/>
    <w:rsid w:val="009D630C"/>
    <w:pPr>
      <w:spacing w:after="0" w:line="240" w:lineRule="auto"/>
    </w:p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18" w:space="0" w:color="3F9C35" w:themeColor="accent6"/>
          <w:right w:val="single" w:sz="8" w:space="0" w:color="3F9C35" w:themeColor="accent6"/>
          <w:insideH w:val="nil"/>
          <w:insideV w:val="single" w:sz="8" w:space="0" w:color="3F9C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insideH w:val="nil"/>
          <w:insideV w:val="single" w:sz="8" w:space="0" w:color="3F9C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shd w:val="clear" w:color="auto" w:fill="CAECC7" w:themeFill="accent6" w:themeFillTint="3F"/>
      </w:tcPr>
    </w:tblStylePr>
    <w:tblStylePr w:type="band1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shd w:val="clear" w:color="auto" w:fill="CAECC7" w:themeFill="accent6" w:themeFillTint="3F"/>
      </w:tcPr>
    </w:tblStylePr>
    <w:tblStylePr w:type="band2Horz">
      <w:tblPr/>
      <w:tcPr>
        <w:tcBorders>
          <w:top w:val="single" w:sz="8" w:space="0" w:color="3F9C35" w:themeColor="accent6"/>
          <w:left w:val="single" w:sz="8" w:space="0" w:color="3F9C35" w:themeColor="accent6"/>
          <w:bottom w:val="single" w:sz="8" w:space="0" w:color="3F9C35" w:themeColor="accent6"/>
          <w:right w:val="single" w:sz="8" w:space="0" w:color="3F9C35" w:themeColor="accent6"/>
          <w:insideV w:val="single" w:sz="8" w:space="0" w:color="3F9C35" w:themeColor="accent6"/>
        </w:tcBorders>
      </w:tcPr>
    </w:tblStylePr>
  </w:style>
  <w:style w:type="table" w:styleId="LightList">
    <w:name w:val="Light List"/>
    <w:basedOn w:val="TableNormal"/>
    <w:uiPriority w:val="99"/>
    <w:semiHidden/>
    <w:unhideWhenUsed/>
    <w:rsid w:val="009D630C"/>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9D630C"/>
    <w:pPr>
      <w:spacing w:after="0" w:line="240" w:lineRule="auto"/>
    </w:pPr>
    <w:tblPr>
      <w:tblStyleRowBandSize w:val="1"/>
      <w:tblStyleColBandSize w:val="1"/>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type="firstRow">
      <w:pPr>
        <w:spacing w:before="0" w:after="0" w:line="240" w:lineRule="auto"/>
      </w:pPr>
      <w:rPr>
        <w:b/>
        <w:bCs/>
        <w:color w:val="FFFFFF" w:themeColor="background1"/>
      </w:rPr>
      <w:tblPr/>
      <w:tcPr>
        <w:shd w:val="clear" w:color="auto" w:fill="0F204B" w:themeFill="accent1"/>
      </w:tcPr>
    </w:tblStylePr>
    <w:tblStylePr w:type="lastRow">
      <w:pPr>
        <w:spacing w:before="0" w:after="0" w:line="240" w:lineRule="auto"/>
      </w:pPr>
      <w:rPr>
        <w:b/>
        <w:bCs/>
      </w:rPr>
      <w:tblPr/>
      <w:tcPr>
        <w:tcBorders>
          <w:top w:val="double" w:sz="6" w:space="0" w:color="0F204B" w:themeColor="accent1"/>
          <w:left w:val="single" w:sz="8" w:space="0" w:color="0F204B" w:themeColor="accent1"/>
          <w:bottom w:val="single" w:sz="8" w:space="0" w:color="0F204B" w:themeColor="accent1"/>
          <w:right w:val="single" w:sz="8" w:space="0" w:color="0F204B" w:themeColor="accent1"/>
        </w:tcBorders>
      </w:tcPr>
    </w:tblStylePr>
    <w:tblStylePr w:type="firstCol">
      <w:rPr>
        <w:b/>
        <w:bCs/>
      </w:rPr>
    </w:tblStylePr>
    <w:tblStylePr w:type="lastCol">
      <w:rPr>
        <w:b/>
        <w:bCs/>
      </w:rPr>
    </w:tblStylePr>
    <w:tblStylePr w:type="band1Vert">
      <w:tblPr/>
      <w:tcPr>
        <w:tcBorders>
          <w:top w:val="single" w:sz="8" w:space="0" w:color="0F204B" w:themeColor="accent1"/>
          <w:left w:val="single" w:sz="8" w:space="0" w:color="0F204B" w:themeColor="accent1"/>
          <w:bottom w:val="single" w:sz="8" w:space="0" w:color="0F204B" w:themeColor="accent1"/>
          <w:right w:val="single" w:sz="8" w:space="0" w:color="0F204B" w:themeColor="accent1"/>
        </w:tcBorders>
      </w:tcPr>
    </w:tblStylePr>
  </w:style>
  <w:style w:type="table" w:styleId="LightList-Accent2">
    <w:name w:val="Light List Accent 2"/>
    <w:basedOn w:val="TableNormal"/>
    <w:uiPriority w:val="99"/>
    <w:semiHidden/>
    <w:unhideWhenUsed/>
    <w:rsid w:val="009D630C"/>
    <w:pPr>
      <w:spacing w:after="0" w:line="240" w:lineRule="auto"/>
    </w:pPr>
    <w:tblPr>
      <w:tblStyleRowBandSize w:val="1"/>
      <w:tblStyleColBandSize w:val="1"/>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type="firstRow">
      <w:pPr>
        <w:spacing w:before="0" w:after="0" w:line="240" w:lineRule="auto"/>
      </w:pPr>
      <w:rPr>
        <w:b/>
        <w:bCs/>
        <w:color w:val="FFFFFF" w:themeColor="background1"/>
      </w:rPr>
      <w:tblPr/>
      <w:tcPr>
        <w:shd w:val="clear" w:color="auto" w:fill="99D9F0" w:themeFill="accent2"/>
      </w:tcPr>
    </w:tblStylePr>
    <w:tblStylePr w:type="lastRow">
      <w:pPr>
        <w:spacing w:before="0" w:after="0" w:line="240" w:lineRule="auto"/>
      </w:pPr>
      <w:rPr>
        <w:b/>
        <w:bCs/>
      </w:rPr>
      <w:tblPr/>
      <w:tcPr>
        <w:tcBorders>
          <w:top w:val="double" w:sz="6" w:space="0" w:color="99D9F0" w:themeColor="accent2"/>
          <w:left w:val="single" w:sz="8" w:space="0" w:color="99D9F0" w:themeColor="accent2"/>
          <w:bottom w:val="single" w:sz="8" w:space="0" w:color="99D9F0" w:themeColor="accent2"/>
          <w:right w:val="single" w:sz="8" w:space="0" w:color="99D9F0" w:themeColor="accent2"/>
        </w:tcBorders>
      </w:tcPr>
    </w:tblStylePr>
    <w:tblStylePr w:type="firstCol">
      <w:rPr>
        <w:b/>
        <w:bCs/>
      </w:rPr>
    </w:tblStylePr>
    <w:tblStylePr w:type="lastCol">
      <w:rPr>
        <w:b/>
        <w:bCs/>
      </w:rPr>
    </w:tblStylePr>
    <w:tblStylePr w:type="band1Vert">
      <w:tblPr/>
      <w:tcPr>
        <w:tcBorders>
          <w:top w:val="single" w:sz="8" w:space="0" w:color="99D9F0" w:themeColor="accent2"/>
          <w:left w:val="single" w:sz="8" w:space="0" w:color="99D9F0" w:themeColor="accent2"/>
          <w:bottom w:val="single" w:sz="8" w:space="0" w:color="99D9F0" w:themeColor="accent2"/>
          <w:right w:val="single" w:sz="8" w:space="0" w:color="99D9F0" w:themeColor="accent2"/>
        </w:tcBorders>
      </w:tcPr>
    </w:tblStylePr>
  </w:style>
  <w:style w:type="table" w:styleId="LightList-Accent3">
    <w:name w:val="Light List Accent 3"/>
    <w:basedOn w:val="TableNormal"/>
    <w:uiPriority w:val="99"/>
    <w:semiHidden/>
    <w:unhideWhenUsed/>
    <w:rsid w:val="009D630C"/>
    <w:pPr>
      <w:spacing w:after="0" w:line="240" w:lineRule="auto"/>
    </w:pPr>
    <w:tblPr>
      <w:tblStyleRowBandSize w:val="1"/>
      <w:tblStyleColBandSize w:val="1"/>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type="firstRow">
      <w:pPr>
        <w:spacing w:before="0" w:after="0" w:line="240" w:lineRule="auto"/>
      </w:pPr>
      <w:rPr>
        <w:b/>
        <w:bCs/>
        <w:color w:val="FFFFFF" w:themeColor="background1"/>
      </w:rPr>
      <w:tblPr/>
      <w:tcPr>
        <w:shd w:val="clear" w:color="auto" w:fill="003591" w:themeFill="accent3"/>
      </w:tcPr>
    </w:tblStylePr>
    <w:tblStylePr w:type="lastRow">
      <w:pPr>
        <w:spacing w:before="0" w:after="0" w:line="240" w:lineRule="auto"/>
      </w:pPr>
      <w:rPr>
        <w:b/>
        <w:bCs/>
      </w:rPr>
      <w:tblPr/>
      <w:tcPr>
        <w:tcBorders>
          <w:top w:val="double" w:sz="6" w:space="0" w:color="003591" w:themeColor="accent3"/>
          <w:left w:val="single" w:sz="8" w:space="0" w:color="003591" w:themeColor="accent3"/>
          <w:bottom w:val="single" w:sz="8" w:space="0" w:color="003591" w:themeColor="accent3"/>
          <w:right w:val="single" w:sz="8" w:space="0" w:color="003591" w:themeColor="accent3"/>
        </w:tcBorders>
      </w:tcPr>
    </w:tblStylePr>
    <w:tblStylePr w:type="firstCol">
      <w:rPr>
        <w:b/>
        <w:bCs/>
      </w:rPr>
    </w:tblStylePr>
    <w:tblStylePr w:type="lastCol">
      <w:rPr>
        <w:b/>
        <w:bCs/>
      </w:rPr>
    </w:tblStylePr>
    <w:tblStylePr w:type="band1Vert">
      <w:tblPr/>
      <w:tcPr>
        <w:tcBorders>
          <w:top w:val="single" w:sz="8" w:space="0" w:color="003591" w:themeColor="accent3"/>
          <w:left w:val="single" w:sz="8" w:space="0" w:color="003591" w:themeColor="accent3"/>
          <w:bottom w:val="single" w:sz="8" w:space="0" w:color="003591" w:themeColor="accent3"/>
          <w:right w:val="single" w:sz="8" w:space="0" w:color="003591" w:themeColor="accent3"/>
        </w:tcBorders>
      </w:tcPr>
    </w:tblStylePr>
  </w:style>
  <w:style w:type="table" w:styleId="LightList-Accent4">
    <w:name w:val="Light List Accent 4"/>
    <w:basedOn w:val="TableNormal"/>
    <w:uiPriority w:val="99"/>
    <w:semiHidden/>
    <w:unhideWhenUsed/>
    <w:rsid w:val="009D630C"/>
    <w:pPr>
      <w:spacing w:after="0" w:line="240" w:lineRule="auto"/>
    </w:pPr>
    <w:tblPr>
      <w:tblStyleRowBandSize w:val="1"/>
      <w:tblStyleColBandSize w:val="1"/>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type="firstRow">
      <w:pPr>
        <w:spacing w:before="0" w:after="0" w:line="240" w:lineRule="auto"/>
      </w:pPr>
      <w:rPr>
        <w:b/>
        <w:bCs/>
        <w:color w:val="FFFFFF" w:themeColor="background1"/>
      </w:rPr>
      <w:tblPr/>
      <w:tcPr>
        <w:shd w:val="clear" w:color="auto" w:fill="009FDA" w:themeFill="accent4"/>
      </w:tcPr>
    </w:tblStylePr>
    <w:tblStylePr w:type="lastRow">
      <w:pPr>
        <w:spacing w:before="0" w:after="0" w:line="240" w:lineRule="auto"/>
      </w:pPr>
      <w:rPr>
        <w:b/>
        <w:bCs/>
      </w:rPr>
      <w:tblPr/>
      <w:tcPr>
        <w:tcBorders>
          <w:top w:val="double" w:sz="6" w:space="0" w:color="009FDA" w:themeColor="accent4"/>
          <w:left w:val="single" w:sz="8" w:space="0" w:color="009FDA" w:themeColor="accent4"/>
          <w:bottom w:val="single" w:sz="8" w:space="0" w:color="009FDA" w:themeColor="accent4"/>
          <w:right w:val="single" w:sz="8" w:space="0" w:color="009FDA" w:themeColor="accent4"/>
        </w:tcBorders>
      </w:tcPr>
    </w:tblStylePr>
    <w:tblStylePr w:type="firstCol">
      <w:rPr>
        <w:b/>
        <w:bCs/>
      </w:rPr>
    </w:tblStylePr>
    <w:tblStylePr w:type="lastCol">
      <w:rPr>
        <w:b/>
        <w:bCs/>
      </w:rPr>
    </w:tblStylePr>
    <w:tblStylePr w:type="band1Vert">
      <w:tblPr/>
      <w:tcPr>
        <w:tcBorders>
          <w:top w:val="single" w:sz="8" w:space="0" w:color="009FDA" w:themeColor="accent4"/>
          <w:left w:val="single" w:sz="8" w:space="0" w:color="009FDA" w:themeColor="accent4"/>
          <w:bottom w:val="single" w:sz="8" w:space="0" w:color="009FDA" w:themeColor="accent4"/>
          <w:right w:val="single" w:sz="8" w:space="0" w:color="009FDA" w:themeColor="accent4"/>
        </w:tcBorders>
      </w:tcPr>
    </w:tblStylePr>
  </w:style>
  <w:style w:type="table" w:styleId="LightList-Accent5">
    <w:name w:val="Light List Accent 5"/>
    <w:basedOn w:val="TableNormal"/>
    <w:uiPriority w:val="99"/>
    <w:semiHidden/>
    <w:unhideWhenUsed/>
    <w:rsid w:val="009D630C"/>
    <w:pPr>
      <w:spacing w:after="0" w:line="240" w:lineRule="auto"/>
    </w:pPr>
    <w:tblPr>
      <w:tblStyleRowBandSize w:val="1"/>
      <w:tblStyleColBandSize w:val="1"/>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type="firstRow">
      <w:pPr>
        <w:spacing w:before="0" w:after="0" w:line="240" w:lineRule="auto"/>
      </w:pPr>
      <w:rPr>
        <w:b/>
        <w:bCs/>
        <w:color w:val="FFFFFF" w:themeColor="background1"/>
      </w:rPr>
      <w:tblPr/>
      <w:tcPr>
        <w:shd w:val="clear" w:color="auto" w:fill="91FFB4" w:themeFill="accent5"/>
      </w:tcPr>
    </w:tblStylePr>
    <w:tblStylePr w:type="lastRow">
      <w:pPr>
        <w:spacing w:before="0" w:after="0" w:line="240" w:lineRule="auto"/>
      </w:pPr>
      <w:rPr>
        <w:b/>
        <w:bCs/>
      </w:rPr>
      <w:tblPr/>
      <w:tcPr>
        <w:tcBorders>
          <w:top w:val="double" w:sz="6" w:space="0" w:color="91FFB4" w:themeColor="accent5"/>
          <w:left w:val="single" w:sz="8" w:space="0" w:color="91FFB4" w:themeColor="accent5"/>
          <w:bottom w:val="single" w:sz="8" w:space="0" w:color="91FFB4" w:themeColor="accent5"/>
          <w:right w:val="single" w:sz="8" w:space="0" w:color="91FFB4" w:themeColor="accent5"/>
        </w:tcBorders>
      </w:tcPr>
    </w:tblStylePr>
    <w:tblStylePr w:type="firstCol">
      <w:rPr>
        <w:b/>
        <w:bCs/>
      </w:rPr>
    </w:tblStylePr>
    <w:tblStylePr w:type="lastCol">
      <w:rPr>
        <w:b/>
        <w:bCs/>
      </w:rPr>
    </w:tblStylePr>
    <w:tblStylePr w:type="band1Vert">
      <w:tblPr/>
      <w:tcPr>
        <w:tcBorders>
          <w:top w:val="single" w:sz="8" w:space="0" w:color="91FFB4" w:themeColor="accent5"/>
          <w:left w:val="single" w:sz="8" w:space="0" w:color="91FFB4" w:themeColor="accent5"/>
          <w:bottom w:val="single" w:sz="8" w:space="0" w:color="91FFB4" w:themeColor="accent5"/>
          <w:right w:val="single" w:sz="8" w:space="0" w:color="91FFB4" w:themeColor="accent5"/>
        </w:tcBorders>
      </w:tcPr>
    </w:tblStylePr>
  </w:style>
  <w:style w:type="table" w:styleId="LightList-Accent6">
    <w:name w:val="Light List Accent 6"/>
    <w:basedOn w:val="TableNormal"/>
    <w:uiPriority w:val="99"/>
    <w:semiHidden/>
    <w:unhideWhenUsed/>
    <w:rsid w:val="009D630C"/>
    <w:pPr>
      <w:spacing w:after="0" w:line="240" w:lineRule="auto"/>
    </w:pPr>
    <w:tblPr>
      <w:tblStyleRowBandSize w:val="1"/>
      <w:tblStyleColBandSize w:val="1"/>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type="firstRow">
      <w:pPr>
        <w:spacing w:before="0" w:after="0" w:line="240" w:lineRule="auto"/>
      </w:pPr>
      <w:rPr>
        <w:b/>
        <w:bCs/>
        <w:color w:val="FFFFFF" w:themeColor="background1"/>
      </w:rPr>
      <w:tblPr/>
      <w:tcPr>
        <w:shd w:val="clear" w:color="auto" w:fill="3F9C35" w:themeFill="accent6"/>
      </w:tcPr>
    </w:tblStylePr>
    <w:tblStylePr w:type="lastRow">
      <w:pPr>
        <w:spacing w:before="0" w:after="0" w:line="240" w:lineRule="auto"/>
      </w:pPr>
      <w:rPr>
        <w:b/>
        <w:bCs/>
      </w:rPr>
      <w:tblPr/>
      <w:tcPr>
        <w:tcBorders>
          <w:top w:val="double" w:sz="6" w:space="0" w:color="3F9C35" w:themeColor="accent6"/>
          <w:left w:val="single" w:sz="8" w:space="0" w:color="3F9C35" w:themeColor="accent6"/>
          <w:bottom w:val="single" w:sz="8" w:space="0" w:color="3F9C35" w:themeColor="accent6"/>
          <w:right w:val="single" w:sz="8" w:space="0" w:color="3F9C35" w:themeColor="accent6"/>
        </w:tcBorders>
      </w:tcPr>
    </w:tblStylePr>
    <w:tblStylePr w:type="firstCol">
      <w:rPr>
        <w:b/>
        <w:bCs/>
      </w:rPr>
    </w:tblStylePr>
    <w:tblStylePr w:type="lastCol">
      <w:rPr>
        <w:b/>
        <w:bCs/>
      </w:rPr>
    </w:tblStylePr>
    <w:tblStylePr w:type="band1Vert">
      <w:tblPr/>
      <w:tcPr>
        <w:tcBorders>
          <w:top w:val="single" w:sz="8" w:space="0" w:color="3F9C35" w:themeColor="accent6"/>
          <w:left w:val="single" w:sz="8" w:space="0" w:color="3F9C35" w:themeColor="accent6"/>
          <w:bottom w:val="single" w:sz="8" w:space="0" w:color="3F9C35" w:themeColor="accent6"/>
          <w:right w:val="single" w:sz="8" w:space="0" w:color="3F9C35" w:themeColor="accent6"/>
        </w:tcBorders>
      </w:tcPr>
    </w:tblStylePr>
  </w:style>
  <w:style w:type="table" w:styleId="LightShading">
    <w:name w:val="Light Shading"/>
    <w:basedOn w:val="TableNormal"/>
    <w:uiPriority w:val="99"/>
    <w:semiHidden/>
    <w:unhideWhenUsed/>
    <w:rsid w:val="009D63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D630C"/>
    <w:pPr>
      <w:spacing w:after="0" w:line="240" w:lineRule="auto"/>
    </w:pPr>
    <w:rPr>
      <w:color w:val="0B1738" w:themeColor="accent1" w:themeShade="BF"/>
    </w:rPr>
    <w:tblPr>
      <w:tblStyleRowBandSize w:val="1"/>
      <w:tblStyleColBandSize w:val="1"/>
      <w:tblBorders>
        <w:top w:val="single" w:sz="8" w:space="0" w:color="0F204B" w:themeColor="accent1"/>
        <w:bottom w:val="single" w:sz="8" w:space="0" w:color="0F204B" w:themeColor="accent1"/>
      </w:tblBorders>
    </w:tblPr>
    <w:tblStylePr w:type="fir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lastRow">
      <w:pPr>
        <w:spacing w:before="0" w:after="0" w:line="240" w:lineRule="auto"/>
      </w:pPr>
      <w:rPr>
        <w:b/>
        <w:bCs/>
      </w:rPr>
      <w:tblPr/>
      <w:tcPr>
        <w:tcBorders>
          <w:top w:val="single" w:sz="8" w:space="0" w:color="0F204B" w:themeColor="accent1"/>
          <w:left w:val="nil"/>
          <w:bottom w:val="single" w:sz="8" w:space="0" w:color="0F20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left w:val="nil"/>
          <w:right w:val="nil"/>
          <w:insideH w:val="nil"/>
          <w:insideV w:val="nil"/>
        </w:tcBorders>
        <w:shd w:val="clear" w:color="auto" w:fill="A8BBED" w:themeFill="accent1" w:themeFillTint="3F"/>
      </w:tcPr>
    </w:tblStylePr>
  </w:style>
  <w:style w:type="table" w:styleId="LightShading-Accent2">
    <w:name w:val="Light Shading Accent 2"/>
    <w:basedOn w:val="TableNormal"/>
    <w:uiPriority w:val="99"/>
    <w:semiHidden/>
    <w:unhideWhenUsed/>
    <w:rsid w:val="009D630C"/>
    <w:pPr>
      <w:spacing w:after="0" w:line="240" w:lineRule="auto"/>
    </w:pPr>
    <w:rPr>
      <w:color w:val="43B8E3" w:themeColor="accent2" w:themeShade="BF"/>
    </w:rPr>
    <w:tblPr>
      <w:tblStyleRowBandSize w:val="1"/>
      <w:tblStyleColBandSize w:val="1"/>
      <w:tblBorders>
        <w:top w:val="single" w:sz="8" w:space="0" w:color="99D9F0" w:themeColor="accent2"/>
        <w:bottom w:val="single" w:sz="8" w:space="0" w:color="99D9F0" w:themeColor="accent2"/>
      </w:tblBorders>
    </w:tblPr>
    <w:tblStylePr w:type="fir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lastRow">
      <w:pPr>
        <w:spacing w:before="0" w:after="0" w:line="240" w:lineRule="auto"/>
      </w:pPr>
      <w:rPr>
        <w:b/>
        <w:bCs/>
      </w:rPr>
      <w:tblPr/>
      <w:tcPr>
        <w:tcBorders>
          <w:top w:val="single" w:sz="8" w:space="0" w:color="99D9F0" w:themeColor="accent2"/>
          <w:left w:val="nil"/>
          <w:bottom w:val="single" w:sz="8" w:space="0" w:color="99D9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left w:val="nil"/>
          <w:right w:val="nil"/>
          <w:insideH w:val="nil"/>
          <w:insideV w:val="nil"/>
        </w:tcBorders>
        <w:shd w:val="clear" w:color="auto" w:fill="E5F5FB" w:themeFill="accent2" w:themeFillTint="3F"/>
      </w:tcPr>
    </w:tblStylePr>
  </w:style>
  <w:style w:type="table" w:styleId="LightShading-Accent3">
    <w:name w:val="Light Shading Accent 3"/>
    <w:basedOn w:val="TableNormal"/>
    <w:uiPriority w:val="99"/>
    <w:semiHidden/>
    <w:unhideWhenUsed/>
    <w:rsid w:val="009D630C"/>
    <w:pPr>
      <w:spacing w:after="0" w:line="240" w:lineRule="auto"/>
    </w:pPr>
    <w:rPr>
      <w:color w:val="00276C" w:themeColor="accent3" w:themeShade="BF"/>
    </w:rPr>
    <w:tblPr>
      <w:tblStyleRowBandSize w:val="1"/>
      <w:tblStyleColBandSize w:val="1"/>
      <w:tblBorders>
        <w:top w:val="single" w:sz="8" w:space="0" w:color="003591" w:themeColor="accent3"/>
        <w:bottom w:val="single" w:sz="8" w:space="0" w:color="003591" w:themeColor="accent3"/>
      </w:tblBorders>
    </w:tblPr>
    <w:tblStylePr w:type="fir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lastRow">
      <w:pPr>
        <w:spacing w:before="0" w:after="0" w:line="240" w:lineRule="auto"/>
      </w:pPr>
      <w:rPr>
        <w:b/>
        <w:bCs/>
      </w:rPr>
      <w:tblPr/>
      <w:tcPr>
        <w:tcBorders>
          <w:top w:val="single" w:sz="8" w:space="0" w:color="003591" w:themeColor="accent3"/>
          <w:left w:val="nil"/>
          <w:bottom w:val="single" w:sz="8" w:space="0" w:color="00359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left w:val="nil"/>
          <w:right w:val="nil"/>
          <w:insideH w:val="nil"/>
          <w:insideV w:val="nil"/>
        </w:tcBorders>
        <w:shd w:val="clear" w:color="auto" w:fill="A4C5FF" w:themeFill="accent3" w:themeFillTint="3F"/>
      </w:tcPr>
    </w:tblStylePr>
  </w:style>
  <w:style w:type="table" w:styleId="LightShading-Accent4">
    <w:name w:val="Light Shading Accent 4"/>
    <w:basedOn w:val="TableNormal"/>
    <w:uiPriority w:val="99"/>
    <w:semiHidden/>
    <w:unhideWhenUsed/>
    <w:rsid w:val="009D630C"/>
    <w:pPr>
      <w:spacing w:after="0" w:line="240" w:lineRule="auto"/>
    </w:pPr>
    <w:rPr>
      <w:color w:val="0076A3" w:themeColor="accent4" w:themeShade="BF"/>
    </w:rPr>
    <w:tblPr>
      <w:tblStyleRowBandSize w:val="1"/>
      <w:tblStyleColBandSize w:val="1"/>
      <w:tblBorders>
        <w:top w:val="single" w:sz="8" w:space="0" w:color="009FDA" w:themeColor="accent4"/>
        <w:bottom w:val="single" w:sz="8" w:space="0" w:color="009FDA" w:themeColor="accent4"/>
      </w:tblBorders>
    </w:tblPr>
    <w:tblStylePr w:type="fir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lastRow">
      <w:pPr>
        <w:spacing w:before="0" w:after="0" w:line="240" w:lineRule="auto"/>
      </w:pPr>
      <w:rPr>
        <w:b/>
        <w:bCs/>
      </w:rPr>
      <w:tblPr/>
      <w:tcPr>
        <w:tcBorders>
          <w:top w:val="single" w:sz="8" w:space="0" w:color="009FDA" w:themeColor="accent4"/>
          <w:left w:val="nil"/>
          <w:bottom w:val="single" w:sz="8" w:space="0" w:color="009FD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left w:val="nil"/>
          <w:right w:val="nil"/>
          <w:insideH w:val="nil"/>
          <w:insideV w:val="nil"/>
        </w:tcBorders>
        <w:shd w:val="clear" w:color="auto" w:fill="B6EBFF" w:themeFill="accent4" w:themeFillTint="3F"/>
      </w:tcPr>
    </w:tblStylePr>
  </w:style>
  <w:style w:type="table" w:styleId="LightShading-Accent5">
    <w:name w:val="Light Shading Accent 5"/>
    <w:basedOn w:val="TableNormal"/>
    <w:uiPriority w:val="99"/>
    <w:semiHidden/>
    <w:unhideWhenUsed/>
    <w:rsid w:val="009D630C"/>
    <w:pPr>
      <w:spacing w:after="0" w:line="240" w:lineRule="auto"/>
    </w:pPr>
    <w:rPr>
      <w:color w:val="2CFF6F" w:themeColor="accent5" w:themeShade="BF"/>
    </w:rPr>
    <w:tblPr>
      <w:tblStyleRowBandSize w:val="1"/>
      <w:tblStyleColBandSize w:val="1"/>
      <w:tblBorders>
        <w:top w:val="single" w:sz="8" w:space="0" w:color="91FFB4" w:themeColor="accent5"/>
        <w:bottom w:val="single" w:sz="8" w:space="0" w:color="91FFB4" w:themeColor="accent5"/>
      </w:tblBorders>
    </w:tblPr>
    <w:tblStylePr w:type="fir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lastRow">
      <w:pPr>
        <w:spacing w:before="0" w:after="0" w:line="240" w:lineRule="auto"/>
      </w:pPr>
      <w:rPr>
        <w:b/>
        <w:bCs/>
      </w:rPr>
      <w:tblPr/>
      <w:tcPr>
        <w:tcBorders>
          <w:top w:val="single" w:sz="8" w:space="0" w:color="91FFB4" w:themeColor="accent5"/>
          <w:left w:val="nil"/>
          <w:bottom w:val="single" w:sz="8" w:space="0" w:color="91FFB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left w:val="nil"/>
          <w:right w:val="nil"/>
          <w:insideH w:val="nil"/>
          <w:insideV w:val="nil"/>
        </w:tcBorders>
        <w:shd w:val="clear" w:color="auto" w:fill="E3FFEC" w:themeFill="accent5" w:themeFillTint="3F"/>
      </w:tcPr>
    </w:tblStylePr>
  </w:style>
  <w:style w:type="table" w:styleId="LightShading-Accent6">
    <w:name w:val="Light Shading Accent 6"/>
    <w:basedOn w:val="TableNormal"/>
    <w:uiPriority w:val="99"/>
    <w:semiHidden/>
    <w:unhideWhenUsed/>
    <w:rsid w:val="009D630C"/>
    <w:pPr>
      <w:spacing w:after="0" w:line="240" w:lineRule="auto"/>
    </w:pPr>
    <w:rPr>
      <w:color w:val="2E7427" w:themeColor="accent6" w:themeShade="BF"/>
    </w:rPr>
    <w:tblPr>
      <w:tblStyleRowBandSize w:val="1"/>
      <w:tblStyleColBandSize w:val="1"/>
      <w:tblBorders>
        <w:top w:val="single" w:sz="8" w:space="0" w:color="3F9C35" w:themeColor="accent6"/>
        <w:bottom w:val="single" w:sz="8" w:space="0" w:color="3F9C35" w:themeColor="accent6"/>
      </w:tblBorders>
    </w:tblPr>
    <w:tblStylePr w:type="fir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lastRow">
      <w:pPr>
        <w:spacing w:before="0" w:after="0" w:line="240" w:lineRule="auto"/>
      </w:pPr>
      <w:rPr>
        <w:b/>
        <w:bCs/>
      </w:rPr>
      <w:tblPr/>
      <w:tcPr>
        <w:tcBorders>
          <w:top w:val="single" w:sz="8" w:space="0" w:color="3F9C35" w:themeColor="accent6"/>
          <w:left w:val="nil"/>
          <w:bottom w:val="single" w:sz="8" w:space="0" w:color="3F9C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left w:val="nil"/>
          <w:right w:val="nil"/>
          <w:insideH w:val="nil"/>
          <w:insideV w:val="nil"/>
        </w:tcBorders>
        <w:shd w:val="clear" w:color="auto" w:fill="CAECC7" w:themeFill="accent6" w:themeFillTint="3F"/>
      </w:tcPr>
    </w:tblStylePr>
  </w:style>
  <w:style w:type="table" w:styleId="ListTable1Light">
    <w:name w:val="List Table 1 Light"/>
    <w:basedOn w:val="TableNormal"/>
    <w:uiPriority w:val="99"/>
    <w:rsid w:val="009D63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D630C"/>
    <w:pPr>
      <w:spacing w:after="0" w:line="240" w:lineRule="auto"/>
    </w:pPr>
    <w:tblPr>
      <w:tblStyleRowBandSize w:val="1"/>
      <w:tblStyleColBandSize w:val="1"/>
    </w:tblPr>
    <w:tblStylePr w:type="firstRow">
      <w:rPr>
        <w:b/>
        <w:bCs/>
      </w:rPr>
      <w:tblPr/>
      <w:tcPr>
        <w:tcBorders>
          <w:bottom w:val="single" w:sz="4" w:space="0" w:color="2D5CD5" w:themeColor="accent1" w:themeTint="99"/>
        </w:tcBorders>
      </w:tcPr>
    </w:tblStylePr>
    <w:tblStylePr w:type="lastRow">
      <w:rPr>
        <w:b/>
        <w:bCs/>
      </w:rPr>
      <w:tblPr/>
      <w:tcPr>
        <w:tcBorders>
          <w:top w:val="sing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1Light-Accent2">
    <w:name w:val="List Table 1 Light Accent 2"/>
    <w:basedOn w:val="TableNormal"/>
    <w:uiPriority w:val="99"/>
    <w:rsid w:val="009D630C"/>
    <w:pPr>
      <w:spacing w:after="0" w:line="240" w:lineRule="auto"/>
    </w:pPr>
    <w:tblPr>
      <w:tblStyleRowBandSize w:val="1"/>
      <w:tblStyleColBandSize w:val="1"/>
    </w:tblPr>
    <w:tblStylePr w:type="firstRow">
      <w:rPr>
        <w:b/>
        <w:bCs/>
      </w:rPr>
      <w:tblPr/>
      <w:tcPr>
        <w:tcBorders>
          <w:bottom w:val="single" w:sz="4" w:space="0" w:color="C1E8F6" w:themeColor="accent2" w:themeTint="99"/>
        </w:tcBorders>
      </w:tcPr>
    </w:tblStylePr>
    <w:tblStylePr w:type="lastRow">
      <w:rPr>
        <w:b/>
        <w:bCs/>
      </w:rPr>
      <w:tblPr/>
      <w:tcPr>
        <w:tcBorders>
          <w:top w:val="sing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1Light-Accent3">
    <w:name w:val="List Table 1 Light Accent 3"/>
    <w:basedOn w:val="TableNormal"/>
    <w:uiPriority w:val="99"/>
    <w:rsid w:val="009D630C"/>
    <w:pPr>
      <w:spacing w:after="0" w:line="240" w:lineRule="auto"/>
    </w:pPr>
    <w:tblPr>
      <w:tblStyleRowBandSize w:val="1"/>
      <w:tblStyleColBandSize w:val="1"/>
    </w:tblPr>
    <w:tblStylePr w:type="firstRow">
      <w:rPr>
        <w:b/>
        <w:bCs/>
      </w:rPr>
      <w:tblPr/>
      <w:tcPr>
        <w:tcBorders>
          <w:bottom w:val="single" w:sz="4" w:space="0" w:color="2473FF" w:themeColor="accent3" w:themeTint="99"/>
        </w:tcBorders>
      </w:tcPr>
    </w:tblStylePr>
    <w:tblStylePr w:type="lastRow">
      <w:rPr>
        <w:b/>
        <w:bCs/>
      </w:rPr>
      <w:tblPr/>
      <w:tcPr>
        <w:tcBorders>
          <w:top w:val="sing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1Light-Accent4">
    <w:name w:val="List Table 1 Light Accent 4"/>
    <w:basedOn w:val="TableNormal"/>
    <w:uiPriority w:val="99"/>
    <w:rsid w:val="009D630C"/>
    <w:pPr>
      <w:spacing w:after="0" w:line="240" w:lineRule="auto"/>
    </w:pPr>
    <w:tblPr>
      <w:tblStyleRowBandSize w:val="1"/>
      <w:tblStyleColBandSize w:val="1"/>
    </w:tblPr>
    <w:tblStylePr w:type="firstRow">
      <w:rPr>
        <w:b/>
        <w:bCs/>
      </w:rPr>
      <w:tblPr/>
      <w:tcPr>
        <w:tcBorders>
          <w:bottom w:val="single" w:sz="4" w:space="0" w:color="4FCEFF" w:themeColor="accent4" w:themeTint="99"/>
        </w:tcBorders>
      </w:tcPr>
    </w:tblStylePr>
    <w:tblStylePr w:type="lastRow">
      <w:rPr>
        <w:b/>
        <w:bCs/>
      </w:rPr>
      <w:tblPr/>
      <w:tcPr>
        <w:tcBorders>
          <w:top w:val="sing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1Light-Accent5">
    <w:name w:val="List Table 1 Light Accent 5"/>
    <w:basedOn w:val="TableNormal"/>
    <w:uiPriority w:val="99"/>
    <w:rsid w:val="009D630C"/>
    <w:pPr>
      <w:spacing w:after="0" w:line="240" w:lineRule="auto"/>
    </w:pPr>
    <w:tblPr>
      <w:tblStyleRowBandSize w:val="1"/>
      <w:tblStyleColBandSize w:val="1"/>
    </w:tblPr>
    <w:tblStylePr w:type="firstRow">
      <w:rPr>
        <w:b/>
        <w:bCs/>
      </w:rPr>
      <w:tblPr/>
      <w:tcPr>
        <w:tcBorders>
          <w:bottom w:val="single" w:sz="4" w:space="0" w:color="BDFFD1" w:themeColor="accent5" w:themeTint="99"/>
        </w:tcBorders>
      </w:tcPr>
    </w:tblStylePr>
    <w:tblStylePr w:type="lastRow">
      <w:rPr>
        <w:b/>
        <w:bCs/>
      </w:rPr>
      <w:tblPr/>
      <w:tcPr>
        <w:tcBorders>
          <w:top w:val="sing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1Light-Accent6">
    <w:name w:val="List Table 1 Light Accent 6"/>
    <w:basedOn w:val="TableNormal"/>
    <w:uiPriority w:val="99"/>
    <w:rsid w:val="009D630C"/>
    <w:pPr>
      <w:spacing w:after="0" w:line="240" w:lineRule="auto"/>
    </w:pPr>
    <w:tblPr>
      <w:tblStyleRowBandSize w:val="1"/>
      <w:tblStyleColBandSize w:val="1"/>
    </w:tblPr>
    <w:tblStylePr w:type="firstRow">
      <w:rPr>
        <w:b/>
        <w:bCs/>
      </w:rPr>
      <w:tblPr/>
      <w:tcPr>
        <w:tcBorders>
          <w:bottom w:val="single" w:sz="4" w:space="0" w:color="80D178" w:themeColor="accent6" w:themeTint="99"/>
        </w:tcBorders>
      </w:tcPr>
    </w:tblStylePr>
    <w:tblStylePr w:type="lastRow">
      <w:rPr>
        <w:b/>
        <w:bCs/>
      </w:rPr>
      <w:tblPr/>
      <w:tcPr>
        <w:tcBorders>
          <w:top w:val="sing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2">
    <w:name w:val="List Table 2"/>
    <w:basedOn w:val="TableNormal"/>
    <w:uiPriority w:val="99"/>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99"/>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99"/>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99"/>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99"/>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99"/>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99"/>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99"/>
    <w:rsid w:val="009D63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D630C"/>
    <w:pPr>
      <w:spacing w:after="0" w:line="240" w:lineRule="auto"/>
    </w:pPr>
    <w:tblPr>
      <w:tblStyleRowBandSize w:val="1"/>
      <w:tblStyleColBandSize w:val="1"/>
      <w:tblBorders>
        <w:top w:val="single" w:sz="4" w:space="0" w:color="0F204B" w:themeColor="accent1"/>
        <w:left w:val="single" w:sz="4" w:space="0" w:color="0F204B" w:themeColor="accent1"/>
        <w:bottom w:val="single" w:sz="4" w:space="0" w:color="0F204B" w:themeColor="accent1"/>
        <w:right w:val="single" w:sz="4" w:space="0" w:color="0F204B" w:themeColor="accent1"/>
      </w:tblBorders>
    </w:tblPr>
    <w:tblStylePr w:type="firstRow">
      <w:rPr>
        <w:b/>
        <w:bCs/>
        <w:color w:val="FFFFFF" w:themeColor="background1"/>
      </w:rPr>
      <w:tblPr/>
      <w:tcPr>
        <w:shd w:val="clear" w:color="auto" w:fill="0F204B" w:themeFill="accent1"/>
      </w:tcPr>
    </w:tblStylePr>
    <w:tblStylePr w:type="lastRow">
      <w:rPr>
        <w:b/>
        <w:bCs/>
      </w:rPr>
      <w:tblPr/>
      <w:tcPr>
        <w:tcBorders>
          <w:top w:val="double" w:sz="4" w:space="0" w:color="0F20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04B" w:themeColor="accent1"/>
          <w:right w:val="single" w:sz="4" w:space="0" w:color="0F204B" w:themeColor="accent1"/>
        </w:tcBorders>
      </w:tcPr>
    </w:tblStylePr>
    <w:tblStylePr w:type="band1Horz">
      <w:tblPr/>
      <w:tcPr>
        <w:tcBorders>
          <w:top w:val="single" w:sz="4" w:space="0" w:color="0F204B" w:themeColor="accent1"/>
          <w:bottom w:val="single" w:sz="4" w:space="0" w:color="0F20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04B" w:themeColor="accent1"/>
          <w:left w:val="nil"/>
        </w:tcBorders>
      </w:tcPr>
    </w:tblStylePr>
    <w:tblStylePr w:type="swCell">
      <w:tblPr/>
      <w:tcPr>
        <w:tcBorders>
          <w:top w:val="double" w:sz="4" w:space="0" w:color="0F204B" w:themeColor="accent1"/>
          <w:right w:val="nil"/>
        </w:tcBorders>
      </w:tcPr>
    </w:tblStylePr>
  </w:style>
  <w:style w:type="table" w:styleId="ListTable3-Accent2">
    <w:name w:val="List Table 3 Accent 2"/>
    <w:basedOn w:val="TableNormal"/>
    <w:uiPriority w:val="99"/>
    <w:rsid w:val="009D630C"/>
    <w:pPr>
      <w:spacing w:after="0" w:line="240" w:lineRule="auto"/>
    </w:pPr>
    <w:tblPr>
      <w:tblStyleRowBandSize w:val="1"/>
      <w:tblStyleColBandSize w:val="1"/>
      <w:tblBorders>
        <w:top w:val="single" w:sz="4" w:space="0" w:color="99D9F0" w:themeColor="accent2"/>
        <w:left w:val="single" w:sz="4" w:space="0" w:color="99D9F0" w:themeColor="accent2"/>
        <w:bottom w:val="single" w:sz="4" w:space="0" w:color="99D9F0" w:themeColor="accent2"/>
        <w:right w:val="single" w:sz="4" w:space="0" w:color="99D9F0" w:themeColor="accent2"/>
      </w:tblBorders>
    </w:tblPr>
    <w:tblStylePr w:type="firstRow">
      <w:rPr>
        <w:b/>
        <w:bCs/>
        <w:color w:val="FFFFFF" w:themeColor="background1"/>
      </w:rPr>
      <w:tblPr/>
      <w:tcPr>
        <w:shd w:val="clear" w:color="auto" w:fill="99D9F0" w:themeFill="accent2"/>
      </w:tcPr>
    </w:tblStylePr>
    <w:tblStylePr w:type="lastRow">
      <w:rPr>
        <w:b/>
        <w:bCs/>
      </w:rPr>
      <w:tblPr/>
      <w:tcPr>
        <w:tcBorders>
          <w:top w:val="double" w:sz="4" w:space="0" w:color="99D9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D9F0" w:themeColor="accent2"/>
          <w:right w:val="single" w:sz="4" w:space="0" w:color="99D9F0" w:themeColor="accent2"/>
        </w:tcBorders>
      </w:tcPr>
    </w:tblStylePr>
    <w:tblStylePr w:type="band1Horz">
      <w:tblPr/>
      <w:tcPr>
        <w:tcBorders>
          <w:top w:val="single" w:sz="4" w:space="0" w:color="99D9F0" w:themeColor="accent2"/>
          <w:bottom w:val="single" w:sz="4" w:space="0" w:color="99D9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D9F0" w:themeColor="accent2"/>
          <w:left w:val="nil"/>
        </w:tcBorders>
      </w:tcPr>
    </w:tblStylePr>
    <w:tblStylePr w:type="swCell">
      <w:tblPr/>
      <w:tcPr>
        <w:tcBorders>
          <w:top w:val="double" w:sz="4" w:space="0" w:color="99D9F0" w:themeColor="accent2"/>
          <w:right w:val="nil"/>
        </w:tcBorders>
      </w:tcPr>
    </w:tblStylePr>
  </w:style>
  <w:style w:type="table" w:styleId="ListTable3-Accent3">
    <w:name w:val="List Table 3 Accent 3"/>
    <w:basedOn w:val="TableNormal"/>
    <w:uiPriority w:val="99"/>
    <w:rsid w:val="009D630C"/>
    <w:pPr>
      <w:spacing w:after="0" w:line="240" w:lineRule="auto"/>
    </w:pPr>
    <w:tblPr>
      <w:tblStyleRowBandSize w:val="1"/>
      <w:tblStyleColBandSize w:val="1"/>
      <w:tblBorders>
        <w:top w:val="single" w:sz="4" w:space="0" w:color="003591" w:themeColor="accent3"/>
        <w:left w:val="single" w:sz="4" w:space="0" w:color="003591" w:themeColor="accent3"/>
        <w:bottom w:val="single" w:sz="4" w:space="0" w:color="003591" w:themeColor="accent3"/>
        <w:right w:val="single" w:sz="4" w:space="0" w:color="003591" w:themeColor="accent3"/>
      </w:tblBorders>
    </w:tblPr>
    <w:tblStylePr w:type="firstRow">
      <w:rPr>
        <w:b/>
        <w:bCs/>
        <w:color w:val="FFFFFF" w:themeColor="background1"/>
      </w:rPr>
      <w:tblPr/>
      <w:tcPr>
        <w:shd w:val="clear" w:color="auto" w:fill="003591" w:themeFill="accent3"/>
      </w:tcPr>
    </w:tblStylePr>
    <w:tblStylePr w:type="lastRow">
      <w:rPr>
        <w:b/>
        <w:bCs/>
      </w:rPr>
      <w:tblPr/>
      <w:tcPr>
        <w:tcBorders>
          <w:top w:val="double" w:sz="4" w:space="0" w:color="00359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591" w:themeColor="accent3"/>
          <w:right w:val="single" w:sz="4" w:space="0" w:color="003591" w:themeColor="accent3"/>
        </w:tcBorders>
      </w:tcPr>
    </w:tblStylePr>
    <w:tblStylePr w:type="band1Horz">
      <w:tblPr/>
      <w:tcPr>
        <w:tcBorders>
          <w:top w:val="single" w:sz="4" w:space="0" w:color="003591" w:themeColor="accent3"/>
          <w:bottom w:val="single" w:sz="4" w:space="0" w:color="00359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591" w:themeColor="accent3"/>
          <w:left w:val="nil"/>
        </w:tcBorders>
      </w:tcPr>
    </w:tblStylePr>
    <w:tblStylePr w:type="swCell">
      <w:tblPr/>
      <w:tcPr>
        <w:tcBorders>
          <w:top w:val="double" w:sz="4" w:space="0" w:color="003591" w:themeColor="accent3"/>
          <w:right w:val="nil"/>
        </w:tcBorders>
      </w:tcPr>
    </w:tblStylePr>
  </w:style>
  <w:style w:type="table" w:styleId="ListTable3-Accent4">
    <w:name w:val="List Table 3 Accent 4"/>
    <w:basedOn w:val="TableNormal"/>
    <w:uiPriority w:val="99"/>
    <w:rsid w:val="009D630C"/>
    <w:pPr>
      <w:spacing w:after="0" w:line="240" w:lineRule="auto"/>
    </w:pPr>
    <w:tblPr>
      <w:tblStyleRowBandSize w:val="1"/>
      <w:tblStyleColBandSize w:val="1"/>
      <w:tblBorders>
        <w:top w:val="single" w:sz="4" w:space="0" w:color="009FDA" w:themeColor="accent4"/>
        <w:left w:val="single" w:sz="4" w:space="0" w:color="009FDA" w:themeColor="accent4"/>
        <w:bottom w:val="single" w:sz="4" w:space="0" w:color="009FDA" w:themeColor="accent4"/>
        <w:right w:val="single" w:sz="4" w:space="0" w:color="009FDA" w:themeColor="accent4"/>
      </w:tblBorders>
    </w:tblPr>
    <w:tblStylePr w:type="firstRow">
      <w:rPr>
        <w:b/>
        <w:bCs/>
        <w:color w:val="FFFFFF" w:themeColor="background1"/>
      </w:rPr>
      <w:tblPr/>
      <w:tcPr>
        <w:shd w:val="clear" w:color="auto" w:fill="009FDA" w:themeFill="accent4"/>
      </w:tcPr>
    </w:tblStylePr>
    <w:tblStylePr w:type="lastRow">
      <w:rPr>
        <w:b/>
        <w:bCs/>
      </w:rPr>
      <w:tblPr/>
      <w:tcPr>
        <w:tcBorders>
          <w:top w:val="double" w:sz="4" w:space="0" w:color="009FD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4"/>
          <w:right w:val="single" w:sz="4" w:space="0" w:color="009FDA" w:themeColor="accent4"/>
        </w:tcBorders>
      </w:tcPr>
    </w:tblStylePr>
    <w:tblStylePr w:type="band1Horz">
      <w:tblPr/>
      <w:tcPr>
        <w:tcBorders>
          <w:top w:val="single" w:sz="4" w:space="0" w:color="009FDA" w:themeColor="accent4"/>
          <w:bottom w:val="single" w:sz="4" w:space="0" w:color="009FD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4"/>
          <w:left w:val="nil"/>
        </w:tcBorders>
      </w:tcPr>
    </w:tblStylePr>
    <w:tblStylePr w:type="swCell">
      <w:tblPr/>
      <w:tcPr>
        <w:tcBorders>
          <w:top w:val="double" w:sz="4" w:space="0" w:color="009FDA" w:themeColor="accent4"/>
          <w:right w:val="nil"/>
        </w:tcBorders>
      </w:tcPr>
    </w:tblStylePr>
  </w:style>
  <w:style w:type="table" w:styleId="ListTable3-Accent5">
    <w:name w:val="List Table 3 Accent 5"/>
    <w:basedOn w:val="TableNormal"/>
    <w:uiPriority w:val="99"/>
    <w:rsid w:val="009D630C"/>
    <w:pPr>
      <w:spacing w:after="0" w:line="240" w:lineRule="auto"/>
    </w:pPr>
    <w:tblPr>
      <w:tblStyleRowBandSize w:val="1"/>
      <w:tblStyleColBandSize w:val="1"/>
      <w:tblBorders>
        <w:top w:val="single" w:sz="4" w:space="0" w:color="91FFB4" w:themeColor="accent5"/>
        <w:left w:val="single" w:sz="4" w:space="0" w:color="91FFB4" w:themeColor="accent5"/>
        <w:bottom w:val="single" w:sz="4" w:space="0" w:color="91FFB4" w:themeColor="accent5"/>
        <w:right w:val="single" w:sz="4" w:space="0" w:color="91FFB4" w:themeColor="accent5"/>
      </w:tblBorders>
    </w:tblPr>
    <w:tblStylePr w:type="firstRow">
      <w:rPr>
        <w:b/>
        <w:bCs/>
        <w:color w:val="FFFFFF" w:themeColor="background1"/>
      </w:rPr>
      <w:tblPr/>
      <w:tcPr>
        <w:shd w:val="clear" w:color="auto" w:fill="91FFB4" w:themeFill="accent5"/>
      </w:tcPr>
    </w:tblStylePr>
    <w:tblStylePr w:type="lastRow">
      <w:rPr>
        <w:b/>
        <w:bCs/>
      </w:rPr>
      <w:tblPr/>
      <w:tcPr>
        <w:tcBorders>
          <w:top w:val="double" w:sz="4" w:space="0" w:color="91FF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FFB4" w:themeColor="accent5"/>
          <w:right w:val="single" w:sz="4" w:space="0" w:color="91FFB4" w:themeColor="accent5"/>
        </w:tcBorders>
      </w:tcPr>
    </w:tblStylePr>
    <w:tblStylePr w:type="band1Horz">
      <w:tblPr/>
      <w:tcPr>
        <w:tcBorders>
          <w:top w:val="single" w:sz="4" w:space="0" w:color="91FFB4" w:themeColor="accent5"/>
          <w:bottom w:val="single" w:sz="4" w:space="0" w:color="91FF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FFB4" w:themeColor="accent5"/>
          <w:left w:val="nil"/>
        </w:tcBorders>
      </w:tcPr>
    </w:tblStylePr>
    <w:tblStylePr w:type="swCell">
      <w:tblPr/>
      <w:tcPr>
        <w:tcBorders>
          <w:top w:val="double" w:sz="4" w:space="0" w:color="91FFB4" w:themeColor="accent5"/>
          <w:right w:val="nil"/>
        </w:tcBorders>
      </w:tcPr>
    </w:tblStylePr>
  </w:style>
  <w:style w:type="table" w:styleId="ListTable3-Accent6">
    <w:name w:val="List Table 3 Accent 6"/>
    <w:basedOn w:val="TableNormal"/>
    <w:uiPriority w:val="99"/>
    <w:rsid w:val="009D630C"/>
    <w:pPr>
      <w:spacing w:after="0" w:line="240" w:lineRule="auto"/>
    </w:pPr>
    <w:tblPr>
      <w:tblStyleRowBandSize w:val="1"/>
      <w:tblStyleColBandSize w:val="1"/>
      <w:tblBorders>
        <w:top w:val="single" w:sz="4" w:space="0" w:color="3F9C35" w:themeColor="accent6"/>
        <w:left w:val="single" w:sz="4" w:space="0" w:color="3F9C35" w:themeColor="accent6"/>
        <w:bottom w:val="single" w:sz="4" w:space="0" w:color="3F9C35" w:themeColor="accent6"/>
        <w:right w:val="single" w:sz="4" w:space="0" w:color="3F9C35" w:themeColor="accent6"/>
      </w:tblBorders>
    </w:tblPr>
    <w:tblStylePr w:type="firstRow">
      <w:rPr>
        <w:b/>
        <w:bCs/>
        <w:color w:val="FFFFFF" w:themeColor="background1"/>
      </w:rPr>
      <w:tblPr/>
      <w:tcPr>
        <w:shd w:val="clear" w:color="auto" w:fill="3F9C35" w:themeFill="accent6"/>
      </w:tcPr>
    </w:tblStylePr>
    <w:tblStylePr w:type="lastRow">
      <w:rPr>
        <w:b/>
        <w:bCs/>
      </w:rPr>
      <w:tblPr/>
      <w:tcPr>
        <w:tcBorders>
          <w:top w:val="double" w:sz="4" w:space="0" w:color="3F9C3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9C35" w:themeColor="accent6"/>
          <w:right w:val="single" w:sz="4" w:space="0" w:color="3F9C35" w:themeColor="accent6"/>
        </w:tcBorders>
      </w:tcPr>
    </w:tblStylePr>
    <w:tblStylePr w:type="band1Horz">
      <w:tblPr/>
      <w:tcPr>
        <w:tcBorders>
          <w:top w:val="single" w:sz="4" w:space="0" w:color="3F9C35" w:themeColor="accent6"/>
          <w:bottom w:val="single" w:sz="4" w:space="0" w:color="3F9C3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9C35" w:themeColor="accent6"/>
          <w:left w:val="nil"/>
        </w:tcBorders>
      </w:tcPr>
    </w:tblStylePr>
    <w:tblStylePr w:type="swCell">
      <w:tblPr/>
      <w:tcPr>
        <w:tcBorders>
          <w:top w:val="double" w:sz="4" w:space="0" w:color="3F9C35" w:themeColor="accent6"/>
          <w:right w:val="nil"/>
        </w:tcBorders>
      </w:tcPr>
    </w:tblStylePr>
  </w:style>
  <w:style w:type="table" w:styleId="ListTable4">
    <w:name w:val="List Table 4"/>
    <w:basedOn w:val="TableNormal"/>
    <w:uiPriority w:val="99"/>
    <w:rsid w:val="009D63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D630C"/>
    <w:pPr>
      <w:spacing w:after="0" w:line="240" w:lineRule="auto"/>
    </w:pPr>
    <w:tblPr>
      <w:tblStyleRowBandSize w:val="1"/>
      <w:tblStyleColBandSize w:val="1"/>
      <w:tblBorders>
        <w:top w:val="single" w:sz="4" w:space="0" w:color="2D5CD5" w:themeColor="accent1" w:themeTint="99"/>
        <w:left w:val="single" w:sz="4" w:space="0" w:color="2D5CD5" w:themeColor="accent1" w:themeTint="99"/>
        <w:bottom w:val="single" w:sz="4" w:space="0" w:color="2D5CD5" w:themeColor="accent1" w:themeTint="99"/>
        <w:right w:val="single" w:sz="4" w:space="0" w:color="2D5CD5" w:themeColor="accent1" w:themeTint="99"/>
        <w:insideH w:val="single" w:sz="4" w:space="0" w:color="2D5CD5" w:themeColor="accent1" w:themeTint="99"/>
      </w:tblBorders>
    </w:tblPr>
    <w:tblStylePr w:type="firstRow">
      <w:rPr>
        <w:b/>
        <w:bCs/>
        <w:color w:val="FFFFFF" w:themeColor="background1"/>
      </w:rPr>
      <w:tblPr/>
      <w:tcPr>
        <w:tcBorders>
          <w:top w:val="single" w:sz="4" w:space="0" w:color="0F204B" w:themeColor="accent1"/>
          <w:left w:val="single" w:sz="4" w:space="0" w:color="0F204B" w:themeColor="accent1"/>
          <w:bottom w:val="single" w:sz="4" w:space="0" w:color="0F204B" w:themeColor="accent1"/>
          <w:right w:val="single" w:sz="4" w:space="0" w:color="0F204B" w:themeColor="accent1"/>
          <w:insideH w:val="nil"/>
        </w:tcBorders>
        <w:shd w:val="clear" w:color="auto" w:fill="0F204B" w:themeFill="accent1"/>
      </w:tcPr>
    </w:tblStylePr>
    <w:tblStylePr w:type="lastRow">
      <w:rPr>
        <w:b/>
        <w:bCs/>
      </w:rPr>
      <w:tblPr/>
      <w:tcPr>
        <w:tcBorders>
          <w:top w:val="double" w:sz="4" w:space="0" w:color="2D5CD5" w:themeColor="accent1" w:themeTint="99"/>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4-Accent2">
    <w:name w:val="List Table 4 Accent 2"/>
    <w:basedOn w:val="TableNormal"/>
    <w:uiPriority w:val="99"/>
    <w:rsid w:val="009D630C"/>
    <w:pPr>
      <w:spacing w:after="0" w:line="240" w:lineRule="auto"/>
    </w:pPr>
    <w:tblPr>
      <w:tblStyleRowBandSize w:val="1"/>
      <w:tblStyleColBandSize w:val="1"/>
      <w:tblBorders>
        <w:top w:val="single" w:sz="4" w:space="0" w:color="C1E8F6" w:themeColor="accent2" w:themeTint="99"/>
        <w:left w:val="single" w:sz="4" w:space="0" w:color="C1E8F6" w:themeColor="accent2" w:themeTint="99"/>
        <w:bottom w:val="single" w:sz="4" w:space="0" w:color="C1E8F6" w:themeColor="accent2" w:themeTint="99"/>
        <w:right w:val="single" w:sz="4" w:space="0" w:color="C1E8F6" w:themeColor="accent2" w:themeTint="99"/>
        <w:insideH w:val="single" w:sz="4" w:space="0" w:color="C1E8F6" w:themeColor="accent2" w:themeTint="99"/>
      </w:tblBorders>
    </w:tblPr>
    <w:tblStylePr w:type="firstRow">
      <w:rPr>
        <w:b/>
        <w:bCs/>
        <w:color w:val="FFFFFF" w:themeColor="background1"/>
      </w:rPr>
      <w:tblPr/>
      <w:tcPr>
        <w:tcBorders>
          <w:top w:val="single" w:sz="4" w:space="0" w:color="99D9F0" w:themeColor="accent2"/>
          <w:left w:val="single" w:sz="4" w:space="0" w:color="99D9F0" w:themeColor="accent2"/>
          <w:bottom w:val="single" w:sz="4" w:space="0" w:color="99D9F0" w:themeColor="accent2"/>
          <w:right w:val="single" w:sz="4" w:space="0" w:color="99D9F0" w:themeColor="accent2"/>
          <w:insideH w:val="nil"/>
        </w:tcBorders>
        <w:shd w:val="clear" w:color="auto" w:fill="99D9F0" w:themeFill="accent2"/>
      </w:tcPr>
    </w:tblStylePr>
    <w:tblStylePr w:type="lastRow">
      <w:rPr>
        <w:b/>
        <w:bCs/>
      </w:rPr>
      <w:tblPr/>
      <w:tcPr>
        <w:tcBorders>
          <w:top w:val="double" w:sz="4" w:space="0" w:color="C1E8F6" w:themeColor="accent2" w:themeTint="99"/>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4-Accent3">
    <w:name w:val="List Table 4 Accent 3"/>
    <w:basedOn w:val="TableNormal"/>
    <w:uiPriority w:val="99"/>
    <w:rsid w:val="009D630C"/>
    <w:pPr>
      <w:spacing w:after="0" w:line="240" w:lineRule="auto"/>
    </w:pPr>
    <w:tblPr>
      <w:tblStyleRowBandSize w:val="1"/>
      <w:tblStyleColBandSize w:val="1"/>
      <w:tblBorders>
        <w:top w:val="single" w:sz="4" w:space="0" w:color="2473FF" w:themeColor="accent3" w:themeTint="99"/>
        <w:left w:val="single" w:sz="4" w:space="0" w:color="2473FF" w:themeColor="accent3" w:themeTint="99"/>
        <w:bottom w:val="single" w:sz="4" w:space="0" w:color="2473FF" w:themeColor="accent3" w:themeTint="99"/>
        <w:right w:val="single" w:sz="4" w:space="0" w:color="2473FF" w:themeColor="accent3" w:themeTint="99"/>
        <w:insideH w:val="single" w:sz="4" w:space="0" w:color="2473FF" w:themeColor="accent3" w:themeTint="99"/>
      </w:tblBorders>
    </w:tblPr>
    <w:tblStylePr w:type="firstRow">
      <w:rPr>
        <w:b/>
        <w:bCs/>
        <w:color w:val="FFFFFF" w:themeColor="background1"/>
      </w:rPr>
      <w:tblPr/>
      <w:tcPr>
        <w:tcBorders>
          <w:top w:val="single" w:sz="4" w:space="0" w:color="003591" w:themeColor="accent3"/>
          <w:left w:val="single" w:sz="4" w:space="0" w:color="003591" w:themeColor="accent3"/>
          <w:bottom w:val="single" w:sz="4" w:space="0" w:color="003591" w:themeColor="accent3"/>
          <w:right w:val="single" w:sz="4" w:space="0" w:color="003591" w:themeColor="accent3"/>
          <w:insideH w:val="nil"/>
        </w:tcBorders>
        <w:shd w:val="clear" w:color="auto" w:fill="003591" w:themeFill="accent3"/>
      </w:tcPr>
    </w:tblStylePr>
    <w:tblStylePr w:type="lastRow">
      <w:rPr>
        <w:b/>
        <w:bCs/>
      </w:rPr>
      <w:tblPr/>
      <w:tcPr>
        <w:tcBorders>
          <w:top w:val="double" w:sz="4" w:space="0" w:color="2473FF" w:themeColor="accent3" w:themeTint="99"/>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4-Accent4">
    <w:name w:val="List Table 4 Accent 4"/>
    <w:basedOn w:val="TableNormal"/>
    <w:uiPriority w:val="99"/>
    <w:rsid w:val="009D630C"/>
    <w:pPr>
      <w:spacing w:after="0" w:line="240" w:lineRule="auto"/>
    </w:pPr>
    <w:tblPr>
      <w:tblStyleRowBandSize w:val="1"/>
      <w:tblStyleColBandSize w:val="1"/>
      <w:tblBorders>
        <w:top w:val="single" w:sz="4" w:space="0" w:color="4FCEFF" w:themeColor="accent4" w:themeTint="99"/>
        <w:left w:val="single" w:sz="4" w:space="0" w:color="4FCEFF" w:themeColor="accent4" w:themeTint="99"/>
        <w:bottom w:val="single" w:sz="4" w:space="0" w:color="4FCEFF" w:themeColor="accent4" w:themeTint="99"/>
        <w:right w:val="single" w:sz="4" w:space="0" w:color="4FCEFF" w:themeColor="accent4" w:themeTint="99"/>
        <w:insideH w:val="single" w:sz="4" w:space="0" w:color="4FCEFF" w:themeColor="accent4" w:themeTint="99"/>
      </w:tblBorders>
    </w:tblPr>
    <w:tblStylePr w:type="firstRow">
      <w:rPr>
        <w:b/>
        <w:bCs/>
        <w:color w:val="FFFFFF" w:themeColor="background1"/>
      </w:rPr>
      <w:tblPr/>
      <w:tcPr>
        <w:tcBorders>
          <w:top w:val="single" w:sz="4" w:space="0" w:color="009FDA" w:themeColor="accent4"/>
          <w:left w:val="single" w:sz="4" w:space="0" w:color="009FDA" w:themeColor="accent4"/>
          <w:bottom w:val="single" w:sz="4" w:space="0" w:color="009FDA" w:themeColor="accent4"/>
          <w:right w:val="single" w:sz="4" w:space="0" w:color="009FDA" w:themeColor="accent4"/>
          <w:insideH w:val="nil"/>
        </w:tcBorders>
        <w:shd w:val="clear" w:color="auto" w:fill="009FDA" w:themeFill="accent4"/>
      </w:tcPr>
    </w:tblStylePr>
    <w:tblStylePr w:type="lastRow">
      <w:rPr>
        <w:b/>
        <w:bCs/>
      </w:rPr>
      <w:tblPr/>
      <w:tcPr>
        <w:tcBorders>
          <w:top w:val="double" w:sz="4" w:space="0" w:color="4FCEFF" w:themeColor="accent4" w:themeTint="99"/>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4-Accent5">
    <w:name w:val="List Table 4 Accent 5"/>
    <w:basedOn w:val="TableNormal"/>
    <w:uiPriority w:val="99"/>
    <w:rsid w:val="009D630C"/>
    <w:pPr>
      <w:spacing w:after="0" w:line="240" w:lineRule="auto"/>
    </w:pPr>
    <w:tblPr>
      <w:tblStyleRowBandSize w:val="1"/>
      <w:tblStyleColBandSize w:val="1"/>
      <w:tblBorders>
        <w:top w:val="single" w:sz="4" w:space="0" w:color="BDFFD1" w:themeColor="accent5" w:themeTint="99"/>
        <w:left w:val="single" w:sz="4" w:space="0" w:color="BDFFD1" w:themeColor="accent5" w:themeTint="99"/>
        <w:bottom w:val="single" w:sz="4" w:space="0" w:color="BDFFD1" w:themeColor="accent5" w:themeTint="99"/>
        <w:right w:val="single" w:sz="4" w:space="0" w:color="BDFFD1" w:themeColor="accent5" w:themeTint="99"/>
        <w:insideH w:val="single" w:sz="4" w:space="0" w:color="BDFFD1" w:themeColor="accent5" w:themeTint="99"/>
      </w:tblBorders>
    </w:tblPr>
    <w:tblStylePr w:type="firstRow">
      <w:rPr>
        <w:b/>
        <w:bCs/>
        <w:color w:val="FFFFFF" w:themeColor="background1"/>
      </w:rPr>
      <w:tblPr/>
      <w:tcPr>
        <w:tcBorders>
          <w:top w:val="single" w:sz="4" w:space="0" w:color="91FFB4" w:themeColor="accent5"/>
          <w:left w:val="single" w:sz="4" w:space="0" w:color="91FFB4" w:themeColor="accent5"/>
          <w:bottom w:val="single" w:sz="4" w:space="0" w:color="91FFB4" w:themeColor="accent5"/>
          <w:right w:val="single" w:sz="4" w:space="0" w:color="91FFB4" w:themeColor="accent5"/>
          <w:insideH w:val="nil"/>
        </w:tcBorders>
        <w:shd w:val="clear" w:color="auto" w:fill="91FFB4" w:themeFill="accent5"/>
      </w:tcPr>
    </w:tblStylePr>
    <w:tblStylePr w:type="lastRow">
      <w:rPr>
        <w:b/>
        <w:bCs/>
      </w:rPr>
      <w:tblPr/>
      <w:tcPr>
        <w:tcBorders>
          <w:top w:val="double" w:sz="4" w:space="0" w:color="BDFFD1" w:themeColor="accent5" w:themeTint="99"/>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4-Accent6">
    <w:name w:val="List Table 4 Accent 6"/>
    <w:basedOn w:val="TableNormal"/>
    <w:uiPriority w:val="99"/>
    <w:rsid w:val="009D630C"/>
    <w:pPr>
      <w:spacing w:after="0" w:line="240" w:lineRule="auto"/>
    </w:pPr>
    <w:tblPr>
      <w:tblStyleRowBandSize w:val="1"/>
      <w:tblStyleColBandSize w:val="1"/>
      <w:tblBorders>
        <w:top w:val="single" w:sz="4" w:space="0" w:color="80D178" w:themeColor="accent6" w:themeTint="99"/>
        <w:left w:val="single" w:sz="4" w:space="0" w:color="80D178" w:themeColor="accent6" w:themeTint="99"/>
        <w:bottom w:val="single" w:sz="4" w:space="0" w:color="80D178" w:themeColor="accent6" w:themeTint="99"/>
        <w:right w:val="single" w:sz="4" w:space="0" w:color="80D178" w:themeColor="accent6" w:themeTint="99"/>
        <w:insideH w:val="single" w:sz="4" w:space="0" w:color="80D178" w:themeColor="accent6" w:themeTint="99"/>
      </w:tblBorders>
    </w:tblPr>
    <w:tblStylePr w:type="firstRow">
      <w:rPr>
        <w:b/>
        <w:bCs/>
        <w:color w:val="FFFFFF" w:themeColor="background1"/>
      </w:rPr>
      <w:tblPr/>
      <w:tcPr>
        <w:tcBorders>
          <w:top w:val="single" w:sz="4" w:space="0" w:color="3F9C35" w:themeColor="accent6"/>
          <w:left w:val="single" w:sz="4" w:space="0" w:color="3F9C35" w:themeColor="accent6"/>
          <w:bottom w:val="single" w:sz="4" w:space="0" w:color="3F9C35" w:themeColor="accent6"/>
          <w:right w:val="single" w:sz="4" w:space="0" w:color="3F9C35" w:themeColor="accent6"/>
          <w:insideH w:val="nil"/>
        </w:tcBorders>
        <w:shd w:val="clear" w:color="auto" w:fill="3F9C35" w:themeFill="accent6"/>
      </w:tcPr>
    </w:tblStylePr>
    <w:tblStylePr w:type="lastRow">
      <w:rPr>
        <w:b/>
        <w:bCs/>
      </w:rPr>
      <w:tblPr/>
      <w:tcPr>
        <w:tcBorders>
          <w:top w:val="double" w:sz="4" w:space="0" w:color="80D178" w:themeColor="accent6" w:themeTint="99"/>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5Dark">
    <w:name w:val="List Table 5 Dark"/>
    <w:basedOn w:val="TableNormal"/>
    <w:uiPriority w:val="99"/>
    <w:rsid w:val="009D630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D630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F20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D630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9D9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D630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359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D630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9FD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D630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91FFB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D630C"/>
    <w:pPr>
      <w:spacing w:after="0"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3F9C3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D630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D630C"/>
    <w:pPr>
      <w:spacing w:after="0" w:line="240" w:lineRule="auto"/>
    </w:pPr>
    <w:rPr>
      <w:color w:val="0B1738" w:themeColor="accent1" w:themeShade="BF"/>
    </w:rPr>
    <w:tblPr>
      <w:tblStyleRowBandSize w:val="1"/>
      <w:tblStyleColBandSize w:val="1"/>
      <w:tblBorders>
        <w:top w:val="single" w:sz="4" w:space="0" w:color="0F204B" w:themeColor="accent1"/>
        <w:bottom w:val="single" w:sz="4" w:space="0" w:color="0F204B" w:themeColor="accent1"/>
      </w:tblBorders>
    </w:tblPr>
    <w:tblStylePr w:type="firstRow">
      <w:rPr>
        <w:b/>
        <w:bCs/>
      </w:rPr>
      <w:tblPr/>
      <w:tcPr>
        <w:tcBorders>
          <w:bottom w:val="single" w:sz="4" w:space="0" w:color="0F204B" w:themeColor="accent1"/>
        </w:tcBorders>
      </w:tcPr>
    </w:tblStylePr>
    <w:tblStylePr w:type="lastRow">
      <w:rPr>
        <w:b/>
        <w:bCs/>
      </w:rPr>
      <w:tblPr/>
      <w:tcPr>
        <w:tcBorders>
          <w:top w:val="double" w:sz="4" w:space="0" w:color="0F204B" w:themeColor="accent1"/>
        </w:tcBorders>
      </w:tcPr>
    </w:tblStylePr>
    <w:tblStylePr w:type="firstCol">
      <w:rPr>
        <w:b/>
        <w:bCs/>
      </w:rPr>
    </w:tblStylePr>
    <w:tblStylePr w:type="lastCol">
      <w:rPr>
        <w:b/>
        <w:bCs/>
      </w:rPr>
    </w:tblStylePr>
    <w:tblStylePr w:type="band1Vert">
      <w:tblPr/>
      <w:tcPr>
        <w:shd w:val="clear" w:color="auto" w:fill="B9C8F1" w:themeFill="accent1" w:themeFillTint="33"/>
      </w:tcPr>
    </w:tblStylePr>
    <w:tblStylePr w:type="band1Horz">
      <w:tblPr/>
      <w:tcPr>
        <w:shd w:val="clear" w:color="auto" w:fill="B9C8F1" w:themeFill="accent1" w:themeFillTint="33"/>
      </w:tcPr>
    </w:tblStylePr>
  </w:style>
  <w:style w:type="table" w:styleId="ListTable6Colorful-Accent2">
    <w:name w:val="List Table 6 Colorful Accent 2"/>
    <w:basedOn w:val="TableNormal"/>
    <w:uiPriority w:val="99"/>
    <w:rsid w:val="009D630C"/>
    <w:pPr>
      <w:spacing w:after="0" w:line="240" w:lineRule="auto"/>
    </w:pPr>
    <w:rPr>
      <w:color w:val="43B8E3" w:themeColor="accent2" w:themeShade="BF"/>
    </w:rPr>
    <w:tblPr>
      <w:tblStyleRowBandSize w:val="1"/>
      <w:tblStyleColBandSize w:val="1"/>
      <w:tblBorders>
        <w:top w:val="single" w:sz="4" w:space="0" w:color="99D9F0" w:themeColor="accent2"/>
        <w:bottom w:val="single" w:sz="4" w:space="0" w:color="99D9F0" w:themeColor="accent2"/>
      </w:tblBorders>
    </w:tblPr>
    <w:tblStylePr w:type="firstRow">
      <w:rPr>
        <w:b/>
        <w:bCs/>
      </w:rPr>
      <w:tblPr/>
      <w:tcPr>
        <w:tcBorders>
          <w:bottom w:val="single" w:sz="4" w:space="0" w:color="99D9F0" w:themeColor="accent2"/>
        </w:tcBorders>
      </w:tcPr>
    </w:tblStylePr>
    <w:tblStylePr w:type="lastRow">
      <w:rPr>
        <w:b/>
        <w:bCs/>
      </w:rPr>
      <w:tblPr/>
      <w:tcPr>
        <w:tcBorders>
          <w:top w:val="double" w:sz="4" w:space="0" w:color="99D9F0" w:themeColor="accent2"/>
        </w:tcBorders>
      </w:tcPr>
    </w:tblStylePr>
    <w:tblStylePr w:type="firstCol">
      <w:rPr>
        <w:b/>
        <w:bCs/>
      </w:rPr>
    </w:tblStylePr>
    <w:tblStylePr w:type="lastCol">
      <w:rPr>
        <w:b/>
        <w:bCs/>
      </w:rPr>
    </w:tblStylePr>
    <w:tblStylePr w:type="band1Vert">
      <w:tblPr/>
      <w:tcPr>
        <w:shd w:val="clear" w:color="auto" w:fill="EAF7FC" w:themeFill="accent2" w:themeFillTint="33"/>
      </w:tcPr>
    </w:tblStylePr>
    <w:tblStylePr w:type="band1Horz">
      <w:tblPr/>
      <w:tcPr>
        <w:shd w:val="clear" w:color="auto" w:fill="EAF7FC" w:themeFill="accent2" w:themeFillTint="33"/>
      </w:tcPr>
    </w:tblStylePr>
  </w:style>
  <w:style w:type="table" w:styleId="ListTable6Colorful-Accent3">
    <w:name w:val="List Table 6 Colorful Accent 3"/>
    <w:basedOn w:val="TableNormal"/>
    <w:uiPriority w:val="99"/>
    <w:rsid w:val="009D630C"/>
    <w:pPr>
      <w:spacing w:after="0" w:line="240" w:lineRule="auto"/>
    </w:pPr>
    <w:rPr>
      <w:color w:val="00276C" w:themeColor="accent3" w:themeShade="BF"/>
    </w:rPr>
    <w:tblPr>
      <w:tblStyleRowBandSize w:val="1"/>
      <w:tblStyleColBandSize w:val="1"/>
      <w:tblBorders>
        <w:top w:val="single" w:sz="4" w:space="0" w:color="003591" w:themeColor="accent3"/>
        <w:bottom w:val="single" w:sz="4" w:space="0" w:color="003591" w:themeColor="accent3"/>
      </w:tblBorders>
    </w:tblPr>
    <w:tblStylePr w:type="firstRow">
      <w:rPr>
        <w:b/>
        <w:bCs/>
      </w:rPr>
      <w:tblPr/>
      <w:tcPr>
        <w:tcBorders>
          <w:bottom w:val="single" w:sz="4" w:space="0" w:color="003591" w:themeColor="accent3"/>
        </w:tcBorders>
      </w:tcPr>
    </w:tblStylePr>
    <w:tblStylePr w:type="lastRow">
      <w:rPr>
        <w:b/>
        <w:bCs/>
      </w:rPr>
      <w:tblPr/>
      <w:tcPr>
        <w:tcBorders>
          <w:top w:val="double" w:sz="4" w:space="0" w:color="003591" w:themeColor="accent3"/>
        </w:tcBorders>
      </w:tcPr>
    </w:tblStylePr>
    <w:tblStylePr w:type="firstCol">
      <w:rPr>
        <w:b/>
        <w:bCs/>
      </w:rPr>
    </w:tblStylePr>
    <w:tblStylePr w:type="lastCol">
      <w:rPr>
        <w:b/>
        <w:bCs/>
      </w:rPr>
    </w:tblStylePr>
    <w:tblStylePr w:type="band1Vert">
      <w:tblPr/>
      <w:tcPr>
        <w:shd w:val="clear" w:color="auto" w:fill="B6D0FF" w:themeFill="accent3" w:themeFillTint="33"/>
      </w:tcPr>
    </w:tblStylePr>
    <w:tblStylePr w:type="band1Horz">
      <w:tblPr/>
      <w:tcPr>
        <w:shd w:val="clear" w:color="auto" w:fill="B6D0FF" w:themeFill="accent3" w:themeFillTint="33"/>
      </w:tcPr>
    </w:tblStylePr>
  </w:style>
  <w:style w:type="table" w:styleId="ListTable6Colorful-Accent4">
    <w:name w:val="List Table 6 Colorful Accent 4"/>
    <w:basedOn w:val="TableNormal"/>
    <w:uiPriority w:val="99"/>
    <w:rsid w:val="009D630C"/>
    <w:pPr>
      <w:spacing w:after="0" w:line="240" w:lineRule="auto"/>
    </w:pPr>
    <w:rPr>
      <w:color w:val="0076A3" w:themeColor="accent4" w:themeShade="BF"/>
    </w:rPr>
    <w:tblPr>
      <w:tblStyleRowBandSize w:val="1"/>
      <w:tblStyleColBandSize w:val="1"/>
      <w:tblBorders>
        <w:top w:val="single" w:sz="4" w:space="0" w:color="009FDA" w:themeColor="accent4"/>
        <w:bottom w:val="single" w:sz="4" w:space="0" w:color="009FDA" w:themeColor="accent4"/>
      </w:tblBorders>
    </w:tblPr>
    <w:tblStylePr w:type="firstRow">
      <w:rPr>
        <w:b/>
        <w:bCs/>
      </w:rPr>
      <w:tblPr/>
      <w:tcPr>
        <w:tcBorders>
          <w:bottom w:val="single" w:sz="4" w:space="0" w:color="009FDA" w:themeColor="accent4"/>
        </w:tcBorders>
      </w:tcPr>
    </w:tblStylePr>
    <w:tblStylePr w:type="lastRow">
      <w:rPr>
        <w:b/>
        <w:bCs/>
      </w:rPr>
      <w:tblPr/>
      <w:tcPr>
        <w:tcBorders>
          <w:top w:val="double" w:sz="4" w:space="0" w:color="009FDA" w:themeColor="accent4"/>
        </w:tcBorders>
      </w:tcPr>
    </w:tblStylePr>
    <w:tblStylePr w:type="firstCol">
      <w:rPr>
        <w:b/>
        <w:bCs/>
      </w:rPr>
    </w:tblStylePr>
    <w:tblStylePr w:type="lastCol">
      <w:rPr>
        <w:b/>
        <w:bCs/>
      </w:rPr>
    </w:tblStylePr>
    <w:tblStylePr w:type="band1Vert">
      <w:tblPr/>
      <w:tcPr>
        <w:shd w:val="clear" w:color="auto" w:fill="C4EEFF" w:themeFill="accent4" w:themeFillTint="33"/>
      </w:tcPr>
    </w:tblStylePr>
    <w:tblStylePr w:type="band1Horz">
      <w:tblPr/>
      <w:tcPr>
        <w:shd w:val="clear" w:color="auto" w:fill="C4EEFF" w:themeFill="accent4" w:themeFillTint="33"/>
      </w:tcPr>
    </w:tblStylePr>
  </w:style>
  <w:style w:type="table" w:styleId="ListTable6Colorful-Accent5">
    <w:name w:val="List Table 6 Colorful Accent 5"/>
    <w:basedOn w:val="TableNormal"/>
    <w:uiPriority w:val="99"/>
    <w:rsid w:val="009D630C"/>
    <w:pPr>
      <w:spacing w:after="0" w:line="240" w:lineRule="auto"/>
    </w:pPr>
    <w:rPr>
      <w:color w:val="2CFF6F" w:themeColor="accent5" w:themeShade="BF"/>
    </w:rPr>
    <w:tblPr>
      <w:tblStyleRowBandSize w:val="1"/>
      <w:tblStyleColBandSize w:val="1"/>
      <w:tblBorders>
        <w:top w:val="single" w:sz="4" w:space="0" w:color="91FFB4" w:themeColor="accent5"/>
        <w:bottom w:val="single" w:sz="4" w:space="0" w:color="91FFB4" w:themeColor="accent5"/>
      </w:tblBorders>
    </w:tblPr>
    <w:tblStylePr w:type="firstRow">
      <w:rPr>
        <w:b/>
        <w:bCs/>
      </w:rPr>
      <w:tblPr/>
      <w:tcPr>
        <w:tcBorders>
          <w:bottom w:val="single" w:sz="4" w:space="0" w:color="91FFB4" w:themeColor="accent5"/>
        </w:tcBorders>
      </w:tcPr>
    </w:tblStylePr>
    <w:tblStylePr w:type="lastRow">
      <w:rPr>
        <w:b/>
        <w:bCs/>
      </w:rPr>
      <w:tblPr/>
      <w:tcPr>
        <w:tcBorders>
          <w:top w:val="double" w:sz="4" w:space="0" w:color="91FFB4" w:themeColor="accent5"/>
        </w:tcBorders>
      </w:tcPr>
    </w:tblStylePr>
    <w:tblStylePr w:type="firstCol">
      <w:rPr>
        <w:b/>
        <w:bCs/>
      </w:rPr>
    </w:tblStylePr>
    <w:tblStylePr w:type="lastCol">
      <w:rPr>
        <w:b/>
        <w:bCs/>
      </w:rPr>
    </w:tblStylePr>
    <w:tblStylePr w:type="band1Vert">
      <w:tblPr/>
      <w:tcPr>
        <w:shd w:val="clear" w:color="auto" w:fill="E9FFEF" w:themeFill="accent5" w:themeFillTint="33"/>
      </w:tcPr>
    </w:tblStylePr>
    <w:tblStylePr w:type="band1Horz">
      <w:tblPr/>
      <w:tcPr>
        <w:shd w:val="clear" w:color="auto" w:fill="E9FFEF" w:themeFill="accent5" w:themeFillTint="33"/>
      </w:tcPr>
    </w:tblStylePr>
  </w:style>
  <w:style w:type="table" w:styleId="ListTable6Colorful-Accent6">
    <w:name w:val="List Table 6 Colorful Accent 6"/>
    <w:basedOn w:val="TableNormal"/>
    <w:uiPriority w:val="99"/>
    <w:rsid w:val="009D630C"/>
    <w:pPr>
      <w:spacing w:after="0" w:line="240" w:lineRule="auto"/>
    </w:pPr>
    <w:rPr>
      <w:color w:val="2E7427" w:themeColor="accent6" w:themeShade="BF"/>
    </w:rPr>
    <w:tblPr>
      <w:tblStyleRowBandSize w:val="1"/>
      <w:tblStyleColBandSize w:val="1"/>
      <w:tblBorders>
        <w:top w:val="single" w:sz="4" w:space="0" w:color="3F9C35" w:themeColor="accent6"/>
        <w:bottom w:val="single" w:sz="4" w:space="0" w:color="3F9C35" w:themeColor="accent6"/>
      </w:tblBorders>
    </w:tblPr>
    <w:tblStylePr w:type="firstRow">
      <w:rPr>
        <w:b/>
        <w:bCs/>
      </w:rPr>
      <w:tblPr/>
      <w:tcPr>
        <w:tcBorders>
          <w:bottom w:val="single" w:sz="4" w:space="0" w:color="3F9C35" w:themeColor="accent6"/>
        </w:tcBorders>
      </w:tcPr>
    </w:tblStylePr>
    <w:tblStylePr w:type="lastRow">
      <w:rPr>
        <w:b/>
        <w:bCs/>
      </w:rPr>
      <w:tblPr/>
      <w:tcPr>
        <w:tcBorders>
          <w:top w:val="double" w:sz="4" w:space="0" w:color="3F9C35" w:themeColor="accent6"/>
        </w:tcBorders>
      </w:tcPr>
    </w:tblStylePr>
    <w:tblStylePr w:type="firstCol">
      <w:rPr>
        <w:b/>
        <w:bCs/>
      </w:rPr>
    </w:tblStylePr>
    <w:tblStylePr w:type="lastCol">
      <w:rPr>
        <w:b/>
        <w:bCs/>
      </w:rPr>
    </w:tblStylePr>
    <w:tblStylePr w:type="band1Vert">
      <w:tblPr/>
      <w:tcPr>
        <w:shd w:val="clear" w:color="auto" w:fill="D4EFD1" w:themeFill="accent6" w:themeFillTint="33"/>
      </w:tcPr>
    </w:tblStylePr>
    <w:tblStylePr w:type="band1Horz">
      <w:tblPr/>
      <w:tcPr>
        <w:shd w:val="clear" w:color="auto" w:fill="D4EFD1" w:themeFill="accent6" w:themeFillTint="33"/>
      </w:tcPr>
    </w:tblStylePr>
  </w:style>
  <w:style w:type="table" w:styleId="ListTable7Colorful">
    <w:name w:val="List Table 7 Colorful"/>
    <w:basedOn w:val="TableNormal"/>
    <w:uiPriority w:val="99"/>
    <w:rsid w:val="009D630C"/>
    <w:pPr>
      <w:spacing w:after="0" w:line="240" w:lineRule="auto"/>
    </w:pPr>
    <w:rPr>
      <w:color w:val="000000" w:themeColor="text1"/>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1">
    <w:name w:val="List Table 7 Colorful Accent 1"/>
    <w:basedOn w:val="TableNormal"/>
    <w:uiPriority w:val="99"/>
    <w:rsid w:val="009D630C"/>
    <w:pPr>
      <w:spacing w:after="0" w:line="240" w:lineRule="auto"/>
    </w:pPr>
    <w:rPr>
      <w:color w:val="0B1738" w:themeColor="accent1"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2">
    <w:name w:val="List Table 7 Colorful Accent 2"/>
    <w:basedOn w:val="TableNormal"/>
    <w:uiPriority w:val="99"/>
    <w:rsid w:val="009D630C"/>
    <w:pPr>
      <w:spacing w:after="0" w:line="240" w:lineRule="auto"/>
    </w:pPr>
    <w:rPr>
      <w:color w:val="43B8E3" w:themeColor="accent2"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3">
    <w:name w:val="List Table 7 Colorful Accent 3"/>
    <w:basedOn w:val="TableNormal"/>
    <w:uiPriority w:val="99"/>
    <w:rsid w:val="009D630C"/>
    <w:pPr>
      <w:spacing w:after="0" w:line="240" w:lineRule="auto"/>
    </w:pPr>
    <w:rPr>
      <w:color w:val="00276C" w:themeColor="accent3"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4">
    <w:name w:val="List Table 7 Colorful Accent 4"/>
    <w:basedOn w:val="TableNormal"/>
    <w:uiPriority w:val="99"/>
    <w:rsid w:val="009D630C"/>
    <w:pPr>
      <w:spacing w:after="0" w:line="240" w:lineRule="auto"/>
    </w:pPr>
    <w:rPr>
      <w:color w:val="0076A3" w:themeColor="accent4"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5">
    <w:name w:val="List Table 7 Colorful Accent 5"/>
    <w:basedOn w:val="TableNormal"/>
    <w:uiPriority w:val="99"/>
    <w:rsid w:val="009D630C"/>
    <w:pPr>
      <w:spacing w:after="0" w:line="240" w:lineRule="auto"/>
    </w:pPr>
    <w:rPr>
      <w:color w:val="2CFF6F" w:themeColor="accent5"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ListTable7Colorful-Accent6">
    <w:name w:val="List Table 7 Colorful Accent 6"/>
    <w:basedOn w:val="TableNormal"/>
    <w:uiPriority w:val="99"/>
    <w:rsid w:val="009D630C"/>
    <w:pPr>
      <w:spacing w:after="0" w:line="240" w:lineRule="auto"/>
    </w:pPr>
    <w:rPr>
      <w:color w:val="2E7427" w:themeColor="accent6" w:themeShade="BF"/>
    </w:rPr>
    <w:tbl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style>
  <w:style w:type="table" w:styleId="MediumGrid1">
    <w:name w:val="Medium Grid 1"/>
    <w:basedOn w:val="TableNormal"/>
    <w:uiPriority w:val="99"/>
    <w:semiHidden/>
    <w:unhideWhenUsed/>
    <w:rsid w:val="009D63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D630C"/>
    <w:pPr>
      <w:spacing w:after="0" w:line="240" w:lineRule="auto"/>
    </w:pPr>
    <w:tblPr>
      <w:tblStyleRowBandSize w:val="1"/>
      <w:tblStyleColBandSize w:val="1"/>
      <w:tblBorders>
        <w:top w:val="single" w:sz="8" w:space="0" w:color="2045A2" w:themeColor="accent1" w:themeTint="BF"/>
        <w:left w:val="single" w:sz="8" w:space="0" w:color="2045A2" w:themeColor="accent1" w:themeTint="BF"/>
        <w:bottom w:val="single" w:sz="8" w:space="0" w:color="2045A2" w:themeColor="accent1" w:themeTint="BF"/>
        <w:right w:val="single" w:sz="8" w:space="0" w:color="2045A2" w:themeColor="accent1" w:themeTint="BF"/>
        <w:insideH w:val="single" w:sz="8" w:space="0" w:color="2045A2" w:themeColor="accent1" w:themeTint="BF"/>
        <w:insideV w:val="single" w:sz="8" w:space="0" w:color="2045A2" w:themeColor="accent1" w:themeTint="BF"/>
      </w:tblBorders>
    </w:tblPr>
    <w:tcPr>
      <w:shd w:val="clear" w:color="auto" w:fill="A8BBED" w:themeFill="accent1" w:themeFillTint="3F"/>
    </w:tcPr>
    <w:tblStylePr w:type="firstRow">
      <w:rPr>
        <w:b/>
        <w:bCs/>
      </w:rPr>
    </w:tblStylePr>
    <w:tblStylePr w:type="lastRow">
      <w:rPr>
        <w:b/>
        <w:bCs/>
      </w:rPr>
      <w:tblPr/>
      <w:tcPr>
        <w:tcBorders>
          <w:top w:val="single" w:sz="18" w:space="0" w:color="2045A2" w:themeColor="accent1" w:themeTint="BF"/>
        </w:tcBorders>
      </w:tcPr>
    </w:tblStylePr>
    <w:tblStylePr w:type="firstCol">
      <w:rPr>
        <w:b/>
        <w:bCs/>
      </w:rPr>
    </w:tblStylePr>
    <w:tblStylePr w:type="lastCol">
      <w:rPr>
        <w:b/>
        <w:bCs/>
      </w:rPr>
    </w:tblStylePr>
    <w:tblStylePr w:type="band1Vert">
      <w:tblPr/>
      <w:tcPr>
        <w:shd w:val="clear" w:color="auto" w:fill="5077DC" w:themeFill="accent1" w:themeFillTint="7F"/>
      </w:tcPr>
    </w:tblStylePr>
    <w:tblStylePr w:type="band1Horz">
      <w:tblPr/>
      <w:tcPr>
        <w:shd w:val="clear" w:color="auto" w:fill="5077DC" w:themeFill="accent1" w:themeFillTint="7F"/>
      </w:tcPr>
    </w:tblStylePr>
  </w:style>
  <w:style w:type="table" w:styleId="MediumGrid1-Accent2">
    <w:name w:val="Medium Grid 1 Accent 2"/>
    <w:basedOn w:val="TableNormal"/>
    <w:uiPriority w:val="99"/>
    <w:semiHidden/>
    <w:unhideWhenUsed/>
    <w:rsid w:val="009D630C"/>
    <w:pPr>
      <w:spacing w:after="0" w:line="240" w:lineRule="auto"/>
    </w:pPr>
    <w:tblPr>
      <w:tblStyleRowBandSize w:val="1"/>
      <w:tblStyleColBandSize w:val="1"/>
      <w:tblBorders>
        <w:top w:val="single" w:sz="8" w:space="0" w:color="B2E2F3" w:themeColor="accent2" w:themeTint="BF"/>
        <w:left w:val="single" w:sz="8" w:space="0" w:color="B2E2F3" w:themeColor="accent2" w:themeTint="BF"/>
        <w:bottom w:val="single" w:sz="8" w:space="0" w:color="B2E2F3" w:themeColor="accent2" w:themeTint="BF"/>
        <w:right w:val="single" w:sz="8" w:space="0" w:color="B2E2F3" w:themeColor="accent2" w:themeTint="BF"/>
        <w:insideH w:val="single" w:sz="8" w:space="0" w:color="B2E2F3" w:themeColor="accent2" w:themeTint="BF"/>
        <w:insideV w:val="single" w:sz="8" w:space="0" w:color="B2E2F3" w:themeColor="accent2" w:themeTint="BF"/>
      </w:tblBorders>
    </w:tblPr>
    <w:tcPr>
      <w:shd w:val="clear" w:color="auto" w:fill="E5F5FB" w:themeFill="accent2" w:themeFillTint="3F"/>
    </w:tcPr>
    <w:tblStylePr w:type="firstRow">
      <w:rPr>
        <w:b/>
        <w:bCs/>
      </w:rPr>
    </w:tblStylePr>
    <w:tblStylePr w:type="lastRow">
      <w:rPr>
        <w:b/>
        <w:bCs/>
      </w:rPr>
      <w:tblPr/>
      <w:tcPr>
        <w:tcBorders>
          <w:top w:val="single" w:sz="18" w:space="0" w:color="B2E2F3" w:themeColor="accent2" w:themeTint="BF"/>
        </w:tcBorders>
      </w:tcPr>
    </w:tblStylePr>
    <w:tblStylePr w:type="firstCol">
      <w:rPr>
        <w:b/>
        <w:bCs/>
      </w:rPr>
    </w:tblStylePr>
    <w:tblStylePr w:type="lastCol">
      <w:rPr>
        <w:b/>
        <w:bCs/>
      </w:rPr>
    </w:tblStylePr>
    <w:tblStylePr w:type="band1Vert">
      <w:tblPr/>
      <w:tcPr>
        <w:shd w:val="clear" w:color="auto" w:fill="CCECF7" w:themeFill="accent2" w:themeFillTint="7F"/>
      </w:tcPr>
    </w:tblStylePr>
    <w:tblStylePr w:type="band1Horz">
      <w:tblPr/>
      <w:tcPr>
        <w:shd w:val="clear" w:color="auto" w:fill="CCECF7" w:themeFill="accent2" w:themeFillTint="7F"/>
      </w:tcPr>
    </w:tblStylePr>
  </w:style>
  <w:style w:type="table" w:styleId="MediumGrid1-Accent3">
    <w:name w:val="Medium Grid 1 Accent 3"/>
    <w:basedOn w:val="TableNormal"/>
    <w:uiPriority w:val="99"/>
    <w:semiHidden/>
    <w:unhideWhenUsed/>
    <w:rsid w:val="009D630C"/>
    <w:pPr>
      <w:spacing w:after="0" w:line="240" w:lineRule="auto"/>
    </w:pPr>
    <w:tblPr>
      <w:tblStyleRowBandSize w:val="1"/>
      <w:tblStyleColBandSize w:val="1"/>
      <w:tblBorders>
        <w:top w:val="single" w:sz="8" w:space="0" w:color="0056EC" w:themeColor="accent3" w:themeTint="BF"/>
        <w:left w:val="single" w:sz="8" w:space="0" w:color="0056EC" w:themeColor="accent3" w:themeTint="BF"/>
        <w:bottom w:val="single" w:sz="8" w:space="0" w:color="0056EC" w:themeColor="accent3" w:themeTint="BF"/>
        <w:right w:val="single" w:sz="8" w:space="0" w:color="0056EC" w:themeColor="accent3" w:themeTint="BF"/>
        <w:insideH w:val="single" w:sz="8" w:space="0" w:color="0056EC" w:themeColor="accent3" w:themeTint="BF"/>
        <w:insideV w:val="single" w:sz="8" w:space="0" w:color="0056EC" w:themeColor="accent3" w:themeTint="BF"/>
      </w:tblBorders>
    </w:tblPr>
    <w:tcPr>
      <w:shd w:val="clear" w:color="auto" w:fill="A4C5FF" w:themeFill="accent3" w:themeFillTint="3F"/>
    </w:tcPr>
    <w:tblStylePr w:type="firstRow">
      <w:rPr>
        <w:b/>
        <w:bCs/>
      </w:rPr>
    </w:tblStylePr>
    <w:tblStylePr w:type="lastRow">
      <w:rPr>
        <w:b/>
        <w:bCs/>
      </w:rPr>
      <w:tblPr/>
      <w:tcPr>
        <w:tcBorders>
          <w:top w:val="single" w:sz="18" w:space="0" w:color="0056EC" w:themeColor="accent3" w:themeTint="BF"/>
        </w:tcBorders>
      </w:tcPr>
    </w:tblStylePr>
    <w:tblStylePr w:type="firstCol">
      <w:rPr>
        <w:b/>
        <w:bCs/>
      </w:rPr>
    </w:tblStylePr>
    <w:tblStylePr w:type="lastCol">
      <w:rPr>
        <w:b/>
        <w:bCs/>
      </w:rPr>
    </w:tblStylePr>
    <w:tblStylePr w:type="band1Vert">
      <w:tblPr/>
      <w:tcPr>
        <w:shd w:val="clear" w:color="auto" w:fill="498BFF" w:themeFill="accent3" w:themeFillTint="7F"/>
      </w:tcPr>
    </w:tblStylePr>
    <w:tblStylePr w:type="band1Horz">
      <w:tblPr/>
      <w:tcPr>
        <w:shd w:val="clear" w:color="auto" w:fill="498BFF" w:themeFill="accent3" w:themeFillTint="7F"/>
      </w:tcPr>
    </w:tblStylePr>
  </w:style>
  <w:style w:type="table" w:styleId="MediumGrid1-Accent4">
    <w:name w:val="Medium Grid 1 Accent 4"/>
    <w:basedOn w:val="TableNormal"/>
    <w:uiPriority w:val="99"/>
    <w:semiHidden/>
    <w:unhideWhenUsed/>
    <w:rsid w:val="009D630C"/>
    <w:pPr>
      <w:spacing w:after="0" w:line="240" w:lineRule="auto"/>
    </w:pPr>
    <w:tblPr>
      <w:tblStyleRowBandSize w:val="1"/>
      <w:tblStyleColBandSize w:val="1"/>
      <w:tblBorders>
        <w:top w:val="single" w:sz="8" w:space="0" w:color="24C2FF" w:themeColor="accent4" w:themeTint="BF"/>
        <w:left w:val="single" w:sz="8" w:space="0" w:color="24C2FF" w:themeColor="accent4" w:themeTint="BF"/>
        <w:bottom w:val="single" w:sz="8" w:space="0" w:color="24C2FF" w:themeColor="accent4" w:themeTint="BF"/>
        <w:right w:val="single" w:sz="8" w:space="0" w:color="24C2FF" w:themeColor="accent4" w:themeTint="BF"/>
        <w:insideH w:val="single" w:sz="8" w:space="0" w:color="24C2FF" w:themeColor="accent4" w:themeTint="BF"/>
        <w:insideV w:val="single" w:sz="8" w:space="0" w:color="24C2FF" w:themeColor="accent4" w:themeTint="BF"/>
      </w:tblBorders>
    </w:tblPr>
    <w:tcPr>
      <w:shd w:val="clear" w:color="auto" w:fill="B6EBFF" w:themeFill="accent4" w:themeFillTint="3F"/>
    </w:tcPr>
    <w:tblStylePr w:type="firstRow">
      <w:rPr>
        <w:b/>
        <w:bCs/>
      </w:rPr>
    </w:tblStylePr>
    <w:tblStylePr w:type="lastRow">
      <w:rPr>
        <w:b/>
        <w:bCs/>
      </w:rPr>
      <w:tblPr/>
      <w:tcPr>
        <w:tcBorders>
          <w:top w:val="single" w:sz="18" w:space="0" w:color="24C2FF" w:themeColor="accent4" w:themeTint="BF"/>
        </w:tcBorders>
      </w:tcPr>
    </w:tblStylePr>
    <w:tblStylePr w:type="firstCol">
      <w:rPr>
        <w:b/>
        <w:bCs/>
      </w:rPr>
    </w:tblStylePr>
    <w:tblStylePr w:type="lastCol">
      <w:rPr>
        <w:b/>
        <w:bCs/>
      </w:rPr>
    </w:tblStylePr>
    <w:tblStylePr w:type="band1Vert">
      <w:tblPr/>
      <w:tcPr>
        <w:shd w:val="clear" w:color="auto" w:fill="6DD7FF" w:themeFill="accent4" w:themeFillTint="7F"/>
      </w:tcPr>
    </w:tblStylePr>
    <w:tblStylePr w:type="band1Horz">
      <w:tblPr/>
      <w:tcPr>
        <w:shd w:val="clear" w:color="auto" w:fill="6DD7FF" w:themeFill="accent4" w:themeFillTint="7F"/>
      </w:tcPr>
    </w:tblStylePr>
  </w:style>
  <w:style w:type="table" w:styleId="MediumGrid1-Accent5">
    <w:name w:val="Medium Grid 1 Accent 5"/>
    <w:basedOn w:val="TableNormal"/>
    <w:uiPriority w:val="99"/>
    <w:semiHidden/>
    <w:unhideWhenUsed/>
    <w:rsid w:val="009D630C"/>
    <w:pPr>
      <w:spacing w:after="0" w:line="240" w:lineRule="auto"/>
    </w:pPr>
    <w:tblPr>
      <w:tblStyleRowBandSize w:val="1"/>
      <w:tblStyleColBandSize w:val="1"/>
      <w:tblBorders>
        <w:top w:val="single" w:sz="8" w:space="0" w:color="ACFFC6" w:themeColor="accent5" w:themeTint="BF"/>
        <w:left w:val="single" w:sz="8" w:space="0" w:color="ACFFC6" w:themeColor="accent5" w:themeTint="BF"/>
        <w:bottom w:val="single" w:sz="8" w:space="0" w:color="ACFFC6" w:themeColor="accent5" w:themeTint="BF"/>
        <w:right w:val="single" w:sz="8" w:space="0" w:color="ACFFC6" w:themeColor="accent5" w:themeTint="BF"/>
        <w:insideH w:val="single" w:sz="8" w:space="0" w:color="ACFFC6" w:themeColor="accent5" w:themeTint="BF"/>
        <w:insideV w:val="single" w:sz="8" w:space="0" w:color="ACFFC6" w:themeColor="accent5" w:themeTint="BF"/>
      </w:tblBorders>
    </w:tblPr>
    <w:tcPr>
      <w:shd w:val="clear" w:color="auto" w:fill="E3FFEC" w:themeFill="accent5" w:themeFillTint="3F"/>
    </w:tcPr>
    <w:tblStylePr w:type="firstRow">
      <w:rPr>
        <w:b/>
        <w:bCs/>
      </w:rPr>
    </w:tblStylePr>
    <w:tblStylePr w:type="lastRow">
      <w:rPr>
        <w:b/>
        <w:bCs/>
      </w:rPr>
      <w:tblPr/>
      <w:tcPr>
        <w:tcBorders>
          <w:top w:val="single" w:sz="18" w:space="0" w:color="ACFFC6" w:themeColor="accent5" w:themeTint="BF"/>
        </w:tcBorders>
      </w:tcPr>
    </w:tblStylePr>
    <w:tblStylePr w:type="firstCol">
      <w:rPr>
        <w:b/>
        <w:bCs/>
      </w:rPr>
    </w:tblStylePr>
    <w:tblStylePr w:type="lastCol">
      <w:rPr>
        <w:b/>
        <w:bCs/>
      </w:rPr>
    </w:tblStylePr>
    <w:tblStylePr w:type="band1Vert">
      <w:tblPr/>
      <w:tcPr>
        <w:shd w:val="clear" w:color="auto" w:fill="C8FFD9" w:themeFill="accent5" w:themeFillTint="7F"/>
      </w:tcPr>
    </w:tblStylePr>
    <w:tblStylePr w:type="band1Horz">
      <w:tblPr/>
      <w:tcPr>
        <w:shd w:val="clear" w:color="auto" w:fill="C8FFD9" w:themeFill="accent5" w:themeFillTint="7F"/>
      </w:tcPr>
    </w:tblStylePr>
  </w:style>
  <w:style w:type="table" w:styleId="MediumGrid1-Accent6">
    <w:name w:val="Medium Grid 1 Accent 6"/>
    <w:basedOn w:val="TableNormal"/>
    <w:uiPriority w:val="99"/>
    <w:semiHidden/>
    <w:unhideWhenUsed/>
    <w:rsid w:val="009D630C"/>
    <w:pPr>
      <w:spacing w:after="0" w:line="240" w:lineRule="auto"/>
    </w:pPr>
    <w:tblPr>
      <w:tblStyleRowBandSize w:val="1"/>
      <w:tblStyleColBandSize w:val="1"/>
      <w:tblBorders>
        <w:top w:val="single" w:sz="8" w:space="0" w:color="60C556" w:themeColor="accent6" w:themeTint="BF"/>
        <w:left w:val="single" w:sz="8" w:space="0" w:color="60C556" w:themeColor="accent6" w:themeTint="BF"/>
        <w:bottom w:val="single" w:sz="8" w:space="0" w:color="60C556" w:themeColor="accent6" w:themeTint="BF"/>
        <w:right w:val="single" w:sz="8" w:space="0" w:color="60C556" w:themeColor="accent6" w:themeTint="BF"/>
        <w:insideH w:val="single" w:sz="8" w:space="0" w:color="60C556" w:themeColor="accent6" w:themeTint="BF"/>
        <w:insideV w:val="single" w:sz="8" w:space="0" w:color="60C556" w:themeColor="accent6" w:themeTint="BF"/>
      </w:tblBorders>
    </w:tblPr>
    <w:tcPr>
      <w:shd w:val="clear" w:color="auto" w:fill="CAECC7" w:themeFill="accent6" w:themeFillTint="3F"/>
    </w:tcPr>
    <w:tblStylePr w:type="firstRow">
      <w:rPr>
        <w:b/>
        <w:bCs/>
      </w:rPr>
    </w:tblStylePr>
    <w:tblStylePr w:type="lastRow">
      <w:rPr>
        <w:b/>
        <w:bCs/>
      </w:rPr>
      <w:tblPr/>
      <w:tcPr>
        <w:tcBorders>
          <w:top w:val="single" w:sz="18" w:space="0" w:color="60C556" w:themeColor="accent6" w:themeTint="BF"/>
        </w:tcBorders>
      </w:tcPr>
    </w:tblStylePr>
    <w:tblStylePr w:type="firstCol">
      <w:rPr>
        <w:b/>
        <w:bCs/>
      </w:rPr>
    </w:tblStylePr>
    <w:tblStylePr w:type="lastCol">
      <w:rPr>
        <w:b/>
        <w:bCs/>
      </w:rPr>
    </w:tblStylePr>
    <w:tblStylePr w:type="band1Vert">
      <w:tblPr/>
      <w:tcPr>
        <w:shd w:val="clear" w:color="auto" w:fill="95D98F" w:themeFill="accent6" w:themeFillTint="7F"/>
      </w:tcPr>
    </w:tblStylePr>
    <w:tblStylePr w:type="band1Horz">
      <w:tblPr/>
      <w:tcPr>
        <w:shd w:val="clear" w:color="auto" w:fill="95D98F" w:themeFill="accent6" w:themeFillTint="7F"/>
      </w:tcPr>
    </w:tblStylePr>
  </w:style>
  <w:style w:type="table" w:styleId="MediumGrid2">
    <w:name w:val="Medium Grid 2"/>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insideH w:val="single" w:sz="8" w:space="0" w:color="0F204B" w:themeColor="accent1"/>
        <w:insideV w:val="single" w:sz="8" w:space="0" w:color="0F204B" w:themeColor="accent1"/>
      </w:tblBorders>
    </w:tblPr>
    <w:tcPr>
      <w:shd w:val="clear" w:color="auto" w:fill="A8BBED" w:themeFill="accent1" w:themeFillTint="3F"/>
    </w:tcPr>
    <w:tblStylePr w:type="firstRow">
      <w:rPr>
        <w:b/>
        <w:bCs/>
        <w:color w:val="000000" w:themeColor="text1"/>
      </w:rPr>
      <w:tblPr/>
      <w:tcPr>
        <w:shd w:val="clear" w:color="auto" w:fill="DCE4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8F1" w:themeFill="accent1" w:themeFillTint="33"/>
      </w:tcPr>
    </w:tblStylePr>
    <w:tblStylePr w:type="band1Vert">
      <w:tblPr/>
      <w:tcPr>
        <w:shd w:val="clear" w:color="auto" w:fill="5077DC" w:themeFill="accent1" w:themeFillTint="7F"/>
      </w:tcPr>
    </w:tblStylePr>
    <w:tblStylePr w:type="band1Horz">
      <w:tblPr/>
      <w:tcPr>
        <w:tcBorders>
          <w:insideH w:val="single" w:sz="6" w:space="0" w:color="0F204B" w:themeColor="accent1"/>
          <w:insideV w:val="single" w:sz="6" w:space="0" w:color="0F204B" w:themeColor="accent1"/>
        </w:tcBorders>
        <w:shd w:val="clear" w:color="auto" w:fill="5077D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insideH w:val="single" w:sz="8" w:space="0" w:color="99D9F0" w:themeColor="accent2"/>
        <w:insideV w:val="single" w:sz="8" w:space="0" w:color="99D9F0" w:themeColor="accent2"/>
      </w:tblBorders>
    </w:tblPr>
    <w:tcPr>
      <w:shd w:val="clear" w:color="auto" w:fill="E5F5FB" w:themeFill="accent2" w:themeFillTint="3F"/>
    </w:tcPr>
    <w:tblStylePr w:type="firstRow">
      <w:rPr>
        <w:b/>
        <w:bCs/>
        <w:color w:val="000000" w:themeColor="text1"/>
      </w:rPr>
      <w:tblPr/>
      <w:tcPr>
        <w:shd w:val="clear" w:color="auto" w:fill="F4FB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FC" w:themeFill="accent2" w:themeFillTint="33"/>
      </w:tcPr>
    </w:tblStylePr>
    <w:tblStylePr w:type="band1Vert">
      <w:tblPr/>
      <w:tcPr>
        <w:shd w:val="clear" w:color="auto" w:fill="CCECF7" w:themeFill="accent2" w:themeFillTint="7F"/>
      </w:tcPr>
    </w:tblStylePr>
    <w:tblStylePr w:type="band1Horz">
      <w:tblPr/>
      <w:tcPr>
        <w:tcBorders>
          <w:insideH w:val="single" w:sz="6" w:space="0" w:color="99D9F0" w:themeColor="accent2"/>
          <w:insideV w:val="single" w:sz="6" w:space="0" w:color="99D9F0" w:themeColor="accent2"/>
        </w:tcBorders>
        <w:shd w:val="clear" w:color="auto" w:fill="CCEC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insideH w:val="single" w:sz="8" w:space="0" w:color="003591" w:themeColor="accent3"/>
        <w:insideV w:val="single" w:sz="8" w:space="0" w:color="003591" w:themeColor="accent3"/>
      </w:tblBorders>
    </w:tblPr>
    <w:tcPr>
      <w:shd w:val="clear" w:color="auto" w:fill="A4C5FF" w:themeFill="accent3" w:themeFillTint="3F"/>
    </w:tcPr>
    <w:tblStylePr w:type="firstRow">
      <w:rPr>
        <w:b/>
        <w:bCs/>
        <w:color w:val="000000" w:themeColor="text1"/>
      </w:rPr>
      <w:tblPr/>
      <w:tcPr>
        <w:shd w:val="clear" w:color="auto" w:fill="DB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0FF" w:themeFill="accent3" w:themeFillTint="33"/>
      </w:tcPr>
    </w:tblStylePr>
    <w:tblStylePr w:type="band1Vert">
      <w:tblPr/>
      <w:tcPr>
        <w:shd w:val="clear" w:color="auto" w:fill="498BFF" w:themeFill="accent3" w:themeFillTint="7F"/>
      </w:tcPr>
    </w:tblStylePr>
    <w:tblStylePr w:type="band1Horz">
      <w:tblPr/>
      <w:tcPr>
        <w:tcBorders>
          <w:insideH w:val="single" w:sz="6" w:space="0" w:color="003591" w:themeColor="accent3"/>
          <w:insideV w:val="single" w:sz="6" w:space="0" w:color="003591" w:themeColor="accent3"/>
        </w:tcBorders>
        <w:shd w:val="clear" w:color="auto" w:fill="498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insideH w:val="single" w:sz="8" w:space="0" w:color="009FDA" w:themeColor="accent4"/>
        <w:insideV w:val="single" w:sz="8" w:space="0" w:color="009FDA" w:themeColor="accent4"/>
      </w:tblBorders>
    </w:tblPr>
    <w:tcPr>
      <w:shd w:val="clear" w:color="auto" w:fill="B6EBFF" w:themeFill="accent4" w:themeFillTint="3F"/>
    </w:tcPr>
    <w:tblStylePr w:type="firstRow">
      <w:rPr>
        <w:b/>
        <w:bCs/>
        <w:color w:val="000000" w:themeColor="text1"/>
      </w:rPr>
      <w:tblPr/>
      <w:tcPr>
        <w:shd w:val="clear" w:color="auto" w:fill="E2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4" w:themeFillTint="33"/>
      </w:tcPr>
    </w:tblStylePr>
    <w:tblStylePr w:type="band1Vert">
      <w:tblPr/>
      <w:tcPr>
        <w:shd w:val="clear" w:color="auto" w:fill="6DD7FF" w:themeFill="accent4" w:themeFillTint="7F"/>
      </w:tcPr>
    </w:tblStylePr>
    <w:tblStylePr w:type="band1Horz">
      <w:tblPr/>
      <w:tcPr>
        <w:tcBorders>
          <w:insideH w:val="single" w:sz="6" w:space="0" w:color="009FDA" w:themeColor="accent4"/>
          <w:insideV w:val="single" w:sz="6" w:space="0" w:color="009FDA" w:themeColor="accent4"/>
        </w:tcBorders>
        <w:shd w:val="clear" w:color="auto" w:fill="6D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insideH w:val="single" w:sz="8" w:space="0" w:color="91FFB4" w:themeColor="accent5"/>
        <w:insideV w:val="single" w:sz="8" w:space="0" w:color="91FFB4" w:themeColor="accent5"/>
      </w:tblBorders>
    </w:tblPr>
    <w:tcPr>
      <w:shd w:val="clear" w:color="auto" w:fill="E3FFEC" w:themeFill="accent5" w:themeFillTint="3F"/>
    </w:tcPr>
    <w:tblStylePr w:type="firstRow">
      <w:rPr>
        <w:b/>
        <w:bCs/>
        <w:color w:val="000000" w:themeColor="text1"/>
      </w:rPr>
      <w:tblPr/>
      <w:tcPr>
        <w:shd w:val="clear" w:color="auto" w:fill="F4FF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FEF" w:themeFill="accent5" w:themeFillTint="33"/>
      </w:tcPr>
    </w:tblStylePr>
    <w:tblStylePr w:type="band1Vert">
      <w:tblPr/>
      <w:tcPr>
        <w:shd w:val="clear" w:color="auto" w:fill="C8FFD9" w:themeFill="accent5" w:themeFillTint="7F"/>
      </w:tcPr>
    </w:tblStylePr>
    <w:tblStylePr w:type="band1Horz">
      <w:tblPr/>
      <w:tcPr>
        <w:tcBorders>
          <w:insideH w:val="single" w:sz="6" w:space="0" w:color="91FFB4" w:themeColor="accent5"/>
          <w:insideV w:val="single" w:sz="6" w:space="0" w:color="91FFB4" w:themeColor="accent5"/>
        </w:tcBorders>
        <w:shd w:val="clear" w:color="auto" w:fill="C8FF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insideH w:val="single" w:sz="8" w:space="0" w:color="3F9C35" w:themeColor="accent6"/>
        <w:insideV w:val="single" w:sz="8" w:space="0" w:color="3F9C35" w:themeColor="accent6"/>
      </w:tblBorders>
    </w:tblPr>
    <w:tcPr>
      <w:shd w:val="clear" w:color="auto" w:fill="CAECC7" w:themeFill="accent6" w:themeFillTint="3F"/>
    </w:tcPr>
    <w:tblStylePr w:type="firstRow">
      <w:rPr>
        <w:b/>
        <w:bCs/>
        <w:color w:val="000000" w:themeColor="text1"/>
      </w:rPr>
      <w:tblPr/>
      <w:tcPr>
        <w:shd w:val="clear" w:color="auto" w:fill="EAF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FD1" w:themeFill="accent6" w:themeFillTint="33"/>
      </w:tcPr>
    </w:tblStylePr>
    <w:tblStylePr w:type="band1Vert">
      <w:tblPr/>
      <w:tcPr>
        <w:shd w:val="clear" w:color="auto" w:fill="95D98F" w:themeFill="accent6" w:themeFillTint="7F"/>
      </w:tcPr>
    </w:tblStylePr>
    <w:tblStylePr w:type="band1Horz">
      <w:tblPr/>
      <w:tcPr>
        <w:tcBorders>
          <w:insideH w:val="single" w:sz="6" w:space="0" w:color="3F9C35" w:themeColor="accent6"/>
          <w:insideV w:val="single" w:sz="6" w:space="0" w:color="3F9C35" w:themeColor="accent6"/>
        </w:tcBorders>
        <w:shd w:val="clear" w:color="auto" w:fill="95D9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D630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99"/>
    <w:semiHidden/>
    <w:unhideWhenUsed/>
    <w:rsid w:val="009D630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8BB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20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20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20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77DC" w:themeFill="accent1" w:themeFillTint="7F"/>
      </w:tcPr>
    </w:tblStylePr>
  </w:style>
  <w:style w:type="table" w:styleId="MediumGrid3-Accent2">
    <w:name w:val="Medium Grid 3 Accent 2"/>
    <w:basedOn w:val="TableNormal"/>
    <w:uiPriority w:val="99"/>
    <w:semiHidden/>
    <w:unhideWhenUsed/>
    <w:rsid w:val="009D630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5F5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D9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D9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D9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CF7" w:themeFill="accent2" w:themeFillTint="7F"/>
      </w:tcPr>
    </w:tblStylePr>
  </w:style>
  <w:style w:type="table" w:styleId="MediumGrid3-Accent3">
    <w:name w:val="Medium Grid 3 Accent 3"/>
    <w:basedOn w:val="TableNormal"/>
    <w:uiPriority w:val="99"/>
    <w:semiHidden/>
    <w:unhideWhenUsed/>
    <w:rsid w:val="009D630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4C5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9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9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9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8BFF" w:themeFill="accent3" w:themeFillTint="7F"/>
      </w:tcPr>
    </w:tblStylePr>
  </w:style>
  <w:style w:type="table" w:styleId="MediumGrid3-Accent4">
    <w:name w:val="Medium Grid 3 Accent 4"/>
    <w:basedOn w:val="TableNormal"/>
    <w:uiPriority w:val="99"/>
    <w:semiHidden/>
    <w:unhideWhenUsed/>
    <w:rsid w:val="009D630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6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4" w:themeFillTint="7F"/>
      </w:tcPr>
    </w:tblStylePr>
  </w:style>
  <w:style w:type="table" w:styleId="MediumGrid3-Accent5">
    <w:name w:val="Medium Grid 3 Accent 5"/>
    <w:basedOn w:val="TableNormal"/>
    <w:uiPriority w:val="99"/>
    <w:semiHidden/>
    <w:unhideWhenUsed/>
    <w:rsid w:val="009D630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3FF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FFB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FFB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FFB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D9" w:themeFill="accent5" w:themeFillTint="7F"/>
      </w:tcPr>
    </w:tblStylePr>
  </w:style>
  <w:style w:type="table" w:styleId="MediumGrid3-Accent6">
    <w:name w:val="Medium Grid 3 Accent 6"/>
    <w:basedOn w:val="TableNormal"/>
    <w:uiPriority w:val="99"/>
    <w:semiHidden/>
    <w:unhideWhenUsed/>
    <w:rsid w:val="009D630C"/>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AEC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9C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9C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9C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D98F" w:themeFill="accent6" w:themeFillTint="7F"/>
      </w:tcPr>
    </w:tblStylePr>
  </w:style>
  <w:style w:type="table" w:styleId="MediumList1">
    <w:name w:val="Medium List 1"/>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2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StylePr>
  </w:style>
  <w:style w:type="table" w:styleId="MediumList1-Accent1">
    <w:name w:val="Medium List 1 Accent 1"/>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single" w:sz="8" w:space="0" w:color="0F204B" w:themeColor="accent1"/>
        <w:bottom w:val="single" w:sz="8" w:space="0" w:color="0F204B" w:themeColor="accent1"/>
      </w:tcBorders>
      <w:shd w:val="clear" w:color="auto" w:fill="A8BBED" w:themeFill="accent1" w:themeFillTint="3F"/>
    </w:tcPr>
    <w:tblStylePr w:type="firstRow">
      <w:rPr>
        <w:rFonts w:asciiTheme="majorHAnsi" w:eastAsiaTheme="majorEastAsia" w:hAnsiTheme="majorHAnsi" w:cstheme="majorBidi"/>
      </w:rPr>
      <w:tblPr/>
      <w:tcPr>
        <w:tcBorders>
          <w:top w:val="nil"/>
          <w:bottom w:val="single" w:sz="8" w:space="0" w:color="0F204B" w:themeColor="accent1"/>
        </w:tcBorders>
      </w:tcPr>
    </w:tblStylePr>
    <w:tblStylePr w:type="lastRow">
      <w:rPr>
        <w:b/>
        <w:bCs/>
        <w:color w:val="0F204B" w:themeColor="text2"/>
      </w:rPr>
      <w:tblPr/>
      <w:tcPr>
        <w:tcBorders>
          <w:top w:val="single" w:sz="8" w:space="0" w:color="0F204B" w:themeColor="accent1"/>
          <w:bottom w:val="single" w:sz="8" w:space="0" w:color="0F204B" w:themeColor="accent1"/>
        </w:tcBorders>
      </w:tcPr>
    </w:tblStylePr>
    <w:tblStylePr w:type="firstCol">
      <w:rPr>
        <w:b/>
        <w:bCs/>
      </w:rPr>
    </w:tblStylePr>
    <w:tblStylePr w:type="lastCol">
      <w:rPr>
        <w:b/>
        <w:bCs/>
      </w:rPr>
    </w:tblStylePr>
  </w:style>
  <w:style w:type="table" w:styleId="MediumList1-Accent2">
    <w:name w:val="Medium List 1 Accent 2"/>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single" w:sz="8" w:space="0" w:color="99D9F0" w:themeColor="accent2"/>
        <w:bottom w:val="single" w:sz="8" w:space="0" w:color="99D9F0" w:themeColor="accent2"/>
      </w:tcBorders>
      <w:shd w:val="clear" w:color="auto" w:fill="E5F5FB" w:themeFill="accent2" w:themeFillTint="3F"/>
    </w:tcPr>
    <w:tblStylePr w:type="firstRow">
      <w:rPr>
        <w:rFonts w:asciiTheme="majorHAnsi" w:eastAsiaTheme="majorEastAsia" w:hAnsiTheme="majorHAnsi" w:cstheme="majorBidi"/>
      </w:rPr>
      <w:tblPr/>
      <w:tcPr>
        <w:tcBorders>
          <w:top w:val="nil"/>
          <w:bottom w:val="single" w:sz="8" w:space="0" w:color="99D9F0" w:themeColor="accent2"/>
        </w:tcBorders>
      </w:tcPr>
    </w:tblStylePr>
    <w:tblStylePr w:type="lastRow">
      <w:rPr>
        <w:b/>
        <w:bCs/>
        <w:color w:val="0F204B" w:themeColor="text2"/>
      </w:rPr>
      <w:tblPr/>
      <w:tcPr>
        <w:tcBorders>
          <w:top w:val="single" w:sz="8" w:space="0" w:color="99D9F0" w:themeColor="accent2"/>
          <w:bottom w:val="single" w:sz="8" w:space="0" w:color="99D9F0" w:themeColor="accent2"/>
        </w:tcBorders>
      </w:tcPr>
    </w:tblStylePr>
    <w:tblStylePr w:type="firstCol">
      <w:rPr>
        <w:b/>
        <w:bCs/>
      </w:rPr>
    </w:tblStylePr>
    <w:tblStylePr w:type="lastCol">
      <w:rPr>
        <w:b/>
        <w:bCs/>
      </w:rPr>
    </w:tblStylePr>
  </w:style>
  <w:style w:type="table" w:styleId="MediumList1-Accent3">
    <w:name w:val="Medium List 1 Accent 3"/>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single" w:sz="8" w:space="0" w:color="003591" w:themeColor="accent3"/>
        <w:bottom w:val="single" w:sz="8" w:space="0" w:color="003591" w:themeColor="accent3"/>
      </w:tcBorders>
      <w:shd w:val="clear" w:color="auto" w:fill="A4C5FF" w:themeFill="accent3" w:themeFillTint="3F"/>
    </w:tcPr>
    <w:tblStylePr w:type="firstRow">
      <w:rPr>
        <w:rFonts w:asciiTheme="majorHAnsi" w:eastAsiaTheme="majorEastAsia" w:hAnsiTheme="majorHAnsi" w:cstheme="majorBidi"/>
      </w:rPr>
      <w:tblPr/>
      <w:tcPr>
        <w:tcBorders>
          <w:top w:val="nil"/>
          <w:bottom w:val="single" w:sz="8" w:space="0" w:color="003591" w:themeColor="accent3"/>
        </w:tcBorders>
      </w:tcPr>
    </w:tblStylePr>
    <w:tblStylePr w:type="lastRow">
      <w:rPr>
        <w:b/>
        <w:bCs/>
        <w:color w:val="0F204B" w:themeColor="text2"/>
      </w:rPr>
      <w:tblPr/>
      <w:tcPr>
        <w:tcBorders>
          <w:top w:val="single" w:sz="8" w:space="0" w:color="003591" w:themeColor="accent3"/>
          <w:bottom w:val="single" w:sz="8" w:space="0" w:color="003591" w:themeColor="accent3"/>
        </w:tcBorders>
      </w:tcPr>
    </w:tblStylePr>
    <w:tblStylePr w:type="firstCol">
      <w:rPr>
        <w:b/>
        <w:bCs/>
      </w:rPr>
    </w:tblStylePr>
    <w:tblStylePr w:type="lastCol">
      <w:rPr>
        <w:b/>
        <w:bCs/>
      </w:rPr>
    </w:tblStylePr>
  </w:style>
  <w:style w:type="table" w:styleId="MediumList1-Accent4">
    <w:name w:val="Medium List 1 Accent 4"/>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single" w:sz="8" w:space="0" w:color="009FDA" w:themeColor="accent4"/>
        <w:bottom w:val="single" w:sz="8" w:space="0" w:color="009FDA" w:themeColor="accent4"/>
      </w:tcBorders>
      <w:shd w:val="clear" w:color="auto" w:fill="B6EBFF" w:themeFill="accent4" w:themeFillTint="3F"/>
    </w:tcPr>
    <w:tblStylePr w:type="firstRow">
      <w:rPr>
        <w:rFonts w:asciiTheme="majorHAnsi" w:eastAsiaTheme="majorEastAsia" w:hAnsiTheme="majorHAnsi" w:cstheme="majorBidi"/>
      </w:rPr>
      <w:tblPr/>
      <w:tcPr>
        <w:tcBorders>
          <w:top w:val="nil"/>
          <w:bottom w:val="single" w:sz="8" w:space="0" w:color="009FDA" w:themeColor="accent4"/>
        </w:tcBorders>
      </w:tcPr>
    </w:tblStylePr>
    <w:tblStylePr w:type="lastRow">
      <w:rPr>
        <w:b/>
        <w:bCs/>
        <w:color w:val="0F204B" w:themeColor="text2"/>
      </w:rPr>
      <w:tblPr/>
      <w:tcPr>
        <w:tcBorders>
          <w:top w:val="single" w:sz="8" w:space="0" w:color="009FDA" w:themeColor="accent4"/>
          <w:bottom w:val="single" w:sz="8" w:space="0" w:color="009FDA" w:themeColor="accent4"/>
        </w:tcBorders>
      </w:tcPr>
    </w:tblStylePr>
    <w:tblStylePr w:type="firstCol">
      <w:rPr>
        <w:b/>
        <w:bCs/>
      </w:rPr>
    </w:tblStylePr>
    <w:tblStylePr w:type="lastCol">
      <w:rPr>
        <w:b/>
        <w:bCs/>
      </w:rPr>
    </w:tblStylePr>
  </w:style>
  <w:style w:type="table" w:styleId="MediumList1-Accent5">
    <w:name w:val="Medium List 1 Accent 5"/>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single" w:sz="8" w:space="0" w:color="91FFB4" w:themeColor="accent5"/>
        <w:bottom w:val="single" w:sz="8" w:space="0" w:color="91FFB4" w:themeColor="accent5"/>
      </w:tcBorders>
      <w:shd w:val="clear" w:color="auto" w:fill="E3FFEC" w:themeFill="accent5" w:themeFillTint="3F"/>
    </w:tcPr>
    <w:tblStylePr w:type="firstRow">
      <w:rPr>
        <w:rFonts w:asciiTheme="majorHAnsi" w:eastAsiaTheme="majorEastAsia" w:hAnsiTheme="majorHAnsi" w:cstheme="majorBidi"/>
      </w:rPr>
      <w:tblPr/>
      <w:tcPr>
        <w:tcBorders>
          <w:top w:val="nil"/>
          <w:bottom w:val="single" w:sz="8" w:space="0" w:color="91FFB4" w:themeColor="accent5"/>
        </w:tcBorders>
      </w:tcPr>
    </w:tblStylePr>
    <w:tblStylePr w:type="lastRow">
      <w:rPr>
        <w:b/>
        <w:bCs/>
        <w:color w:val="0F204B" w:themeColor="text2"/>
      </w:rPr>
      <w:tblPr/>
      <w:tcPr>
        <w:tcBorders>
          <w:top w:val="single" w:sz="8" w:space="0" w:color="91FFB4" w:themeColor="accent5"/>
          <w:bottom w:val="single" w:sz="8" w:space="0" w:color="91FFB4" w:themeColor="accent5"/>
        </w:tcBorders>
      </w:tcPr>
    </w:tblStylePr>
    <w:tblStylePr w:type="firstCol">
      <w:rPr>
        <w:b/>
        <w:bCs/>
      </w:rPr>
    </w:tblStylePr>
    <w:tblStylePr w:type="lastCol">
      <w:rPr>
        <w:b/>
        <w:bCs/>
      </w:rPr>
    </w:tblStylePr>
  </w:style>
  <w:style w:type="table" w:styleId="MediumList1-Accent6">
    <w:name w:val="Medium List 1 Accent 6"/>
    <w:basedOn w:val="TableNormal"/>
    <w:uiPriority w:val="99"/>
    <w:semiHidden/>
    <w:unhideWhenUsed/>
    <w:rsid w:val="009D630C"/>
    <w:pPr>
      <w:spacing w:after="0" w:line="240" w:lineRule="auto"/>
    </w:pPr>
    <w:rPr>
      <w:color w:val="000000" w:themeColor="text1"/>
    </w:rPr>
    <w:tblPr>
      <w:tblStyleRowBandSize w:val="1"/>
      <w:tblStyleColBandSize w:val="1"/>
    </w:tblPr>
    <w:tcPr>
      <w:tcBorders>
        <w:top w:val="single" w:sz="8" w:space="0" w:color="3F9C35" w:themeColor="accent6"/>
        <w:bottom w:val="single" w:sz="8" w:space="0" w:color="3F9C35" w:themeColor="accent6"/>
      </w:tcBorders>
      <w:shd w:val="clear" w:color="auto" w:fill="CAECC7" w:themeFill="accent6" w:themeFillTint="3F"/>
    </w:tcPr>
    <w:tblStylePr w:type="firstRow">
      <w:rPr>
        <w:rFonts w:asciiTheme="majorHAnsi" w:eastAsiaTheme="majorEastAsia" w:hAnsiTheme="majorHAnsi" w:cstheme="majorBidi"/>
      </w:rPr>
      <w:tblPr/>
      <w:tcPr>
        <w:tcBorders>
          <w:top w:val="nil"/>
          <w:bottom w:val="single" w:sz="8" w:space="0" w:color="3F9C35" w:themeColor="accent6"/>
        </w:tcBorders>
      </w:tcPr>
    </w:tblStylePr>
    <w:tblStylePr w:type="lastRow">
      <w:rPr>
        <w:b/>
        <w:bCs/>
        <w:color w:val="0F204B" w:themeColor="text2"/>
      </w:rPr>
      <w:tblPr/>
      <w:tcPr>
        <w:tcBorders>
          <w:top w:val="single" w:sz="8" w:space="0" w:color="3F9C35" w:themeColor="accent6"/>
          <w:bottom w:val="single" w:sz="8" w:space="0" w:color="3F9C35" w:themeColor="accent6"/>
        </w:tcBorders>
      </w:tcPr>
    </w:tblStylePr>
    <w:tblStylePr w:type="firstCol">
      <w:rPr>
        <w:b/>
        <w:bCs/>
      </w:rPr>
    </w:tblStylePr>
    <w:tblStylePr w:type="lastCol">
      <w:rPr>
        <w:b/>
        <w:bCs/>
      </w:rPr>
    </w:tblStylePr>
  </w:style>
  <w:style w:type="table" w:styleId="MediumList2">
    <w:name w:val="Medium List 2"/>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204B" w:themeColor="accent1"/>
        <w:left w:val="single" w:sz="8" w:space="0" w:color="0F204B" w:themeColor="accent1"/>
        <w:bottom w:val="single" w:sz="8" w:space="0" w:color="0F204B" w:themeColor="accent1"/>
        <w:right w:val="single" w:sz="8" w:space="0" w:color="0F204B" w:themeColor="accent1"/>
      </w:tblBorders>
    </w:tblPr>
    <w:tblStylePr w:type="firstRow">
      <w:rPr>
        <w:sz w:val="24"/>
        <w:szCs w:val="24"/>
      </w:rPr>
      <w:tblPr/>
      <w:tcPr>
        <w:tcBorders>
          <w:top w:val="nil"/>
          <w:left w:val="nil"/>
          <w:bottom w:val="single" w:sz="24" w:space="0" w:color="0F204B" w:themeColor="accent1"/>
          <w:right w:val="nil"/>
          <w:insideH w:val="nil"/>
          <w:insideV w:val="nil"/>
        </w:tcBorders>
        <w:shd w:val="clear" w:color="auto" w:fill="FFFFFF" w:themeFill="background1"/>
      </w:tcPr>
    </w:tblStylePr>
    <w:tblStylePr w:type="lastRow">
      <w:tblPr/>
      <w:tcPr>
        <w:tcBorders>
          <w:top w:val="single" w:sz="8" w:space="0" w:color="0F20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04B" w:themeColor="accent1"/>
          <w:insideH w:val="nil"/>
          <w:insideV w:val="nil"/>
        </w:tcBorders>
        <w:shd w:val="clear" w:color="auto" w:fill="FFFFFF" w:themeFill="background1"/>
      </w:tcPr>
    </w:tblStylePr>
    <w:tblStylePr w:type="lastCol">
      <w:tblPr/>
      <w:tcPr>
        <w:tcBorders>
          <w:top w:val="nil"/>
          <w:left w:val="single" w:sz="8" w:space="0" w:color="0F20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BBED" w:themeFill="accent1" w:themeFillTint="3F"/>
      </w:tcPr>
    </w:tblStylePr>
    <w:tblStylePr w:type="band1Horz">
      <w:tblPr/>
      <w:tcPr>
        <w:tcBorders>
          <w:top w:val="nil"/>
          <w:bottom w:val="nil"/>
          <w:insideH w:val="nil"/>
          <w:insideV w:val="nil"/>
        </w:tcBorders>
        <w:shd w:val="clear" w:color="auto" w:fill="A8BB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D9F0" w:themeColor="accent2"/>
        <w:left w:val="single" w:sz="8" w:space="0" w:color="99D9F0" w:themeColor="accent2"/>
        <w:bottom w:val="single" w:sz="8" w:space="0" w:color="99D9F0" w:themeColor="accent2"/>
        <w:right w:val="single" w:sz="8" w:space="0" w:color="99D9F0" w:themeColor="accent2"/>
      </w:tblBorders>
    </w:tblPr>
    <w:tblStylePr w:type="firstRow">
      <w:rPr>
        <w:sz w:val="24"/>
        <w:szCs w:val="24"/>
      </w:rPr>
      <w:tblPr/>
      <w:tcPr>
        <w:tcBorders>
          <w:top w:val="nil"/>
          <w:left w:val="nil"/>
          <w:bottom w:val="single" w:sz="24" w:space="0" w:color="99D9F0" w:themeColor="accent2"/>
          <w:right w:val="nil"/>
          <w:insideH w:val="nil"/>
          <w:insideV w:val="nil"/>
        </w:tcBorders>
        <w:shd w:val="clear" w:color="auto" w:fill="FFFFFF" w:themeFill="background1"/>
      </w:tcPr>
    </w:tblStylePr>
    <w:tblStylePr w:type="lastRow">
      <w:tblPr/>
      <w:tcPr>
        <w:tcBorders>
          <w:top w:val="single" w:sz="8" w:space="0" w:color="99D9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D9F0" w:themeColor="accent2"/>
          <w:insideH w:val="nil"/>
          <w:insideV w:val="nil"/>
        </w:tcBorders>
        <w:shd w:val="clear" w:color="auto" w:fill="FFFFFF" w:themeFill="background1"/>
      </w:tcPr>
    </w:tblStylePr>
    <w:tblStylePr w:type="lastCol">
      <w:tblPr/>
      <w:tcPr>
        <w:tcBorders>
          <w:top w:val="nil"/>
          <w:left w:val="single" w:sz="8" w:space="0" w:color="99D9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5FB" w:themeFill="accent2" w:themeFillTint="3F"/>
      </w:tcPr>
    </w:tblStylePr>
    <w:tblStylePr w:type="band1Horz">
      <w:tblPr/>
      <w:tcPr>
        <w:tcBorders>
          <w:top w:val="nil"/>
          <w:bottom w:val="nil"/>
          <w:insideH w:val="nil"/>
          <w:insideV w:val="nil"/>
        </w:tcBorders>
        <w:shd w:val="clear" w:color="auto" w:fill="E5F5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591" w:themeColor="accent3"/>
        <w:left w:val="single" w:sz="8" w:space="0" w:color="003591" w:themeColor="accent3"/>
        <w:bottom w:val="single" w:sz="8" w:space="0" w:color="003591" w:themeColor="accent3"/>
        <w:right w:val="single" w:sz="8" w:space="0" w:color="003591" w:themeColor="accent3"/>
      </w:tblBorders>
    </w:tblPr>
    <w:tblStylePr w:type="firstRow">
      <w:rPr>
        <w:sz w:val="24"/>
        <w:szCs w:val="24"/>
      </w:rPr>
      <w:tblPr/>
      <w:tcPr>
        <w:tcBorders>
          <w:top w:val="nil"/>
          <w:left w:val="nil"/>
          <w:bottom w:val="single" w:sz="24" w:space="0" w:color="003591" w:themeColor="accent3"/>
          <w:right w:val="nil"/>
          <w:insideH w:val="nil"/>
          <w:insideV w:val="nil"/>
        </w:tcBorders>
        <w:shd w:val="clear" w:color="auto" w:fill="FFFFFF" w:themeFill="background1"/>
      </w:tcPr>
    </w:tblStylePr>
    <w:tblStylePr w:type="lastRow">
      <w:tblPr/>
      <w:tcPr>
        <w:tcBorders>
          <w:top w:val="single" w:sz="8" w:space="0" w:color="00359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91" w:themeColor="accent3"/>
          <w:insideH w:val="nil"/>
          <w:insideV w:val="nil"/>
        </w:tcBorders>
        <w:shd w:val="clear" w:color="auto" w:fill="FFFFFF" w:themeFill="background1"/>
      </w:tcPr>
    </w:tblStylePr>
    <w:tblStylePr w:type="lastCol">
      <w:tblPr/>
      <w:tcPr>
        <w:tcBorders>
          <w:top w:val="nil"/>
          <w:left w:val="single" w:sz="8" w:space="0" w:color="00359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C5FF" w:themeFill="accent3" w:themeFillTint="3F"/>
      </w:tcPr>
    </w:tblStylePr>
    <w:tblStylePr w:type="band1Horz">
      <w:tblPr/>
      <w:tcPr>
        <w:tcBorders>
          <w:top w:val="nil"/>
          <w:bottom w:val="nil"/>
          <w:insideH w:val="nil"/>
          <w:insideV w:val="nil"/>
        </w:tcBorders>
        <w:shd w:val="clear" w:color="auto" w:fill="A4C5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4"/>
        <w:left w:val="single" w:sz="8" w:space="0" w:color="009FDA" w:themeColor="accent4"/>
        <w:bottom w:val="single" w:sz="8" w:space="0" w:color="009FDA" w:themeColor="accent4"/>
        <w:right w:val="single" w:sz="8" w:space="0" w:color="009FDA" w:themeColor="accent4"/>
      </w:tblBorders>
    </w:tblPr>
    <w:tblStylePr w:type="firstRow">
      <w:rPr>
        <w:sz w:val="24"/>
        <w:szCs w:val="24"/>
      </w:rPr>
      <w:tblPr/>
      <w:tcPr>
        <w:tcBorders>
          <w:top w:val="nil"/>
          <w:left w:val="nil"/>
          <w:bottom w:val="single" w:sz="24" w:space="0" w:color="009FDA" w:themeColor="accent4"/>
          <w:right w:val="nil"/>
          <w:insideH w:val="nil"/>
          <w:insideV w:val="nil"/>
        </w:tcBorders>
        <w:shd w:val="clear" w:color="auto" w:fill="FFFFFF" w:themeFill="background1"/>
      </w:tcPr>
    </w:tblStylePr>
    <w:tblStylePr w:type="lastRow">
      <w:tblPr/>
      <w:tcPr>
        <w:tcBorders>
          <w:top w:val="single" w:sz="8" w:space="0" w:color="009FD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4"/>
          <w:insideH w:val="nil"/>
          <w:insideV w:val="nil"/>
        </w:tcBorders>
        <w:shd w:val="clear" w:color="auto" w:fill="FFFFFF" w:themeFill="background1"/>
      </w:tcPr>
    </w:tblStylePr>
    <w:tblStylePr w:type="lastCol">
      <w:tblPr/>
      <w:tcPr>
        <w:tcBorders>
          <w:top w:val="nil"/>
          <w:left w:val="single" w:sz="8" w:space="0" w:color="009FD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4" w:themeFillTint="3F"/>
      </w:tcPr>
    </w:tblStylePr>
    <w:tblStylePr w:type="band1Horz">
      <w:tblPr/>
      <w:tcPr>
        <w:tcBorders>
          <w:top w:val="nil"/>
          <w:bottom w:val="nil"/>
          <w:insideH w:val="nil"/>
          <w:insideV w:val="nil"/>
        </w:tcBorders>
        <w:shd w:val="clear" w:color="auto" w:fill="B6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FFB4" w:themeColor="accent5"/>
        <w:left w:val="single" w:sz="8" w:space="0" w:color="91FFB4" w:themeColor="accent5"/>
        <w:bottom w:val="single" w:sz="8" w:space="0" w:color="91FFB4" w:themeColor="accent5"/>
        <w:right w:val="single" w:sz="8" w:space="0" w:color="91FFB4" w:themeColor="accent5"/>
      </w:tblBorders>
    </w:tblPr>
    <w:tblStylePr w:type="firstRow">
      <w:rPr>
        <w:sz w:val="24"/>
        <w:szCs w:val="24"/>
      </w:rPr>
      <w:tblPr/>
      <w:tcPr>
        <w:tcBorders>
          <w:top w:val="nil"/>
          <w:left w:val="nil"/>
          <w:bottom w:val="single" w:sz="24" w:space="0" w:color="91FFB4" w:themeColor="accent5"/>
          <w:right w:val="nil"/>
          <w:insideH w:val="nil"/>
          <w:insideV w:val="nil"/>
        </w:tcBorders>
        <w:shd w:val="clear" w:color="auto" w:fill="FFFFFF" w:themeFill="background1"/>
      </w:tcPr>
    </w:tblStylePr>
    <w:tblStylePr w:type="lastRow">
      <w:tblPr/>
      <w:tcPr>
        <w:tcBorders>
          <w:top w:val="single" w:sz="8" w:space="0" w:color="91FFB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FFB4" w:themeColor="accent5"/>
          <w:insideH w:val="nil"/>
          <w:insideV w:val="nil"/>
        </w:tcBorders>
        <w:shd w:val="clear" w:color="auto" w:fill="FFFFFF" w:themeFill="background1"/>
      </w:tcPr>
    </w:tblStylePr>
    <w:tblStylePr w:type="lastCol">
      <w:tblPr/>
      <w:tcPr>
        <w:tcBorders>
          <w:top w:val="nil"/>
          <w:left w:val="single" w:sz="8" w:space="0" w:color="91FFB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EC" w:themeFill="accent5" w:themeFillTint="3F"/>
      </w:tcPr>
    </w:tblStylePr>
    <w:tblStylePr w:type="band1Horz">
      <w:tblPr/>
      <w:tcPr>
        <w:tcBorders>
          <w:top w:val="nil"/>
          <w:bottom w:val="nil"/>
          <w:insideH w:val="nil"/>
          <w:insideV w:val="nil"/>
        </w:tcBorders>
        <w:shd w:val="clear" w:color="auto" w:fill="E3FF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D63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F9C35" w:themeColor="accent6"/>
        <w:left w:val="single" w:sz="8" w:space="0" w:color="3F9C35" w:themeColor="accent6"/>
        <w:bottom w:val="single" w:sz="8" w:space="0" w:color="3F9C35" w:themeColor="accent6"/>
        <w:right w:val="single" w:sz="8" w:space="0" w:color="3F9C35" w:themeColor="accent6"/>
      </w:tblBorders>
    </w:tblPr>
    <w:tblStylePr w:type="firstRow">
      <w:rPr>
        <w:sz w:val="24"/>
        <w:szCs w:val="24"/>
      </w:rPr>
      <w:tblPr/>
      <w:tcPr>
        <w:tcBorders>
          <w:top w:val="nil"/>
          <w:left w:val="nil"/>
          <w:bottom w:val="single" w:sz="24" w:space="0" w:color="3F9C35" w:themeColor="accent6"/>
          <w:right w:val="nil"/>
          <w:insideH w:val="nil"/>
          <w:insideV w:val="nil"/>
        </w:tcBorders>
        <w:shd w:val="clear" w:color="auto" w:fill="FFFFFF" w:themeFill="background1"/>
      </w:tcPr>
    </w:tblStylePr>
    <w:tblStylePr w:type="lastRow">
      <w:tblPr/>
      <w:tcPr>
        <w:tcBorders>
          <w:top w:val="single" w:sz="8" w:space="0" w:color="3F9C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9C35" w:themeColor="accent6"/>
          <w:insideH w:val="nil"/>
          <w:insideV w:val="nil"/>
        </w:tcBorders>
        <w:shd w:val="clear" w:color="auto" w:fill="FFFFFF" w:themeFill="background1"/>
      </w:tcPr>
    </w:tblStylePr>
    <w:tblStylePr w:type="lastCol">
      <w:tblPr/>
      <w:tcPr>
        <w:tcBorders>
          <w:top w:val="nil"/>
          <w:left w:val="single" w:sz="8" w:space="0" w:color="3F9C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CC7" w:themeFill="accent6" w:themeFillTint="3F"/>
      </w:tcPr>
    </w:tblStylePr>
    <w:tblStylePr w:type="band1Horz">
      <w:tblPr/>
      <w:tcPr>
        <w:tcBorders>
          <w:top w:val="nil"/>
          <w:bottom w:val="nil"/>
          <w:insideH w:val="nil"/>
          <w:insideV w:val="nil"/>
        </w:tcBorders>
        <w:shd w:val="clear" w:color="auto" w:fill="CAEC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D630C"/>
    <w:pPr>
      <w:spacing w:after="0" w:line="240" w:lineRule="auto"/>
    </w:pPr>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99"/>
    <w:semiHidden/>
    <w:unhideWhenUsed/>
    <w:rsid w:val="009D630C"/>
    <w:pPr>
      <w:spacing w:after="0" w:line="240" w:lineRule="auto"/>
    </w:pPr>
    <w:tblPr>
      <w:tblStyleRowBandSize w:val="1"/>
      <w:tblStyleColBandSize w:val="1"/>
    </w:tblPr>
    <w:tcPr>
      <w:tcBorders>
        <w:left w:val="single" w:sz="8" w:space="0" w:color="2045A2" w:themeColor="accent1" w:themeTint="BF"/>
        <w:right w:val="single" w:sz="8" w:space="0" w:color="2045A2" w:themeColor="accent1" w:themeTint="BF"/>
      </w:tcBorders>
      <w:shd w:val="clear" w:color="auto" w:fill="A8BBED"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99"/>
    <w:semiHidden/>
    <w:unhideWhenUsed/>
    <w:rsid w:val="009D630C"/>
    <w:pPr>
      <w:spacing w:after="0" w:line="240" w:lineRule="auto"/>
    </w:pPr>
    <w:tblPr>
      <w:tblStyleRowBandSize w:val="1"/>
      <w:tblStyleColBandSize w:val="1"/>
    </w:tblPr>
    <w:tcPr>
      <w:tcBorders>
        <w:left w:val="single" w:sz="8" w:space="0" w:color="B2E2F3" w:themeColor="accent2" w:themeTint="BF"/>
        <w:right w:val="single" w:sz="8" w:space="0" w:color="B2E2F3" w:themeColor="accent2" w:themeTint="BF"/>
      </w:tcBorders>
      <w:shd w:val="clear" w:color="auto" w:fill="E5F5FB"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99"/>
    <w:semiHidden/>
    <w:unhideWhenUsed/>
    <w:rsid w:val="009D630C"/>
    <w:pPr>
      <w:spacing w:after="0" w:line="240" w:lineRule="auto"/>
    </w:pPr>
    <w:tblPr>
      <w:tblStyleRowBandSize w:val="1"/>
      <w:tblStyleColBandSize w:val="1"/>
    </w:tblPr>
    <w:tcPr>
      <w:tcBorders>
        <w:left w:val="single" w:sz="8" w:space="0" w:color="0056EC" w:themeColor="accent3" w:themeTint="BF"/>
        <w:right w:val="single" w:sz="8" w:space="0" w:color="0056EC" w:themeColor="accent3" w:themeTint="BF"/>
      </w:tcBorders>
      <w:shd w:val="clear" w:color="auto" w:fill="A4C5FF"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99"/>
    <w:semiHidden/>
    <w:unhideWhenUsed/>
    <w:rsid w:val="009D630C"/>
    <w:pPr>
      <w:spacing w:after="0" w:line="240" w:lineRule="auto"/>
    </w:pPr>
    <w:tblPr>
      <w:tblStyleRowBandSize w:val="1"/>
      <w:tblStyleColBandSize w:val="1"/>
    </w:tblPr>
    <w:tcPr>
      <w:tcBorders>
        <w:left w:val="single" w:sz="8" w:space="0" w:color="24C2FF" w:themeColor="accent4" w:themeTint="BF"/>
        <w:right w:val="single" w:sz="8" w:space="0" w:color="24C2FF" w:themeColor="accent4" w:themeTint="BF"/>
      </w:tcBorders>
      <w:shd w:val="clear" w:color="auto" w:fill="B6EBFF"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99"/>
    <w:semiHidden/>
    <w:unhideWhenUsed/>
    <w:rsid w:val="009D630C"/>
    <w:pPr>
      <w:spacing w:after="0" w:line="240" w:lineRule="auto"/>
    </w:pPr>
    <w:tblPr>
      <w:tblStyleRowBandSize w:val="1"/>
      <w:tblStyleColBandSize w:val="1"/>
    </w:tblPr>
    <w:tcPr>
      <w:tcBorders>
        <w:left w:val="single" w:sz="8" w:space="0" w:color="ACFFC6" w:themeColor="accent5" w:themeTint="BF"/>
        <w:right w:val="single" w:sz="8" w:space="0" w:color="ACFFC6" w:themeColor="accent5" w:themeTint="BF"/>
      </w:tcBorders>
      <w:shd w:val="clear" w:color="auto" w:fill="E3FFEC"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99"/>
    <w:semiHidden/>
    <w:unhideWhenUsed/>
    <w:rsid w:val="009D630C"/>
    <w:pPr>
      <w:spacing w:after="0" w:line="240" w:lineRule="auto"/>
    </w:pPr>
    <w:tblPr>
      <w:tblStyleRowBandSize w:val="1"/>
      <w:tblStyleColBandSize w:val="1"/>
    </w:tblPr>
    <w:tcPr>
      <w:tcBorders>
        <w:left w:val="single" w:sz="8" w:space="0" w:color="60C556" w:themeColor="accent6" w:themeTint="BF"/>
        <w:right w:val="single" w:sz="8" w:space="0" w:color="60C556" w:themeColor="accent6" w:themeTint="BF"/>
      </w:tcBorders>
      <w:shd w:val="clear" w:color="auto" w:fill="CAECC7"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99"/>
    <w:semiHidden/>
    <w:unhideWhenUsed/>
    <w:rsid w:val="009D63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D63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20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204B" w:themeFill="accent1"/>
      </w:tcPr>
    </w:tblStylePr>
    <w:tblStylePr w:type="lastCol">
      <w:rPr>
        <w:b/>
        <w:bCs/>
        <w:color w:val="FFFFFF" w:themeColor="background1"/>
      </w:rPr>
      <w:tblPr/>
      <w:tcPr>
        <w:tcBorders>
          <w:left w:val="nil"/>
          <w:right w:val="nil"/>
          <w:insideH w:val="nil"/>
          <w:insideV w:val="nil"/>
        </w:tcBorders>
        <w:shd w:val="clear" w:color="auto" w:fill="0F20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D63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D9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D9F0" w:themeFill="accent2"/>
      </w:tcPr>
    </w:tblStylePr>
    <w:tblStylePr w:type="lastCol">
      <w:rPr>
        <w:b/>
        <w:bCs/>
        <w:color w:val="FFFFFF" w:themeColor="background1"/>
      </w:rPr>
      <w:tblPr/>
      <w:tcPr>
        <w:tcBorders>
          <w:left w:val="nil"/>
          <w:right w:val="nil"/>
          <w:insideH w:val="nil"/>
          <w:insideV w:val="nil"/>
        </w:tcBorders>
        <w:shd w:val="clear" w:color="auto" w:fill="99D9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D63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9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91" w:themeFill="accent3"/>
      </w:tcPr>
    </w:tblStylePr>
    <w:tblStylePr w:type="lastCol">
      <w:rPr>
        <w:b/>
        <w:bCs/>
        <w:color w:val="FFFFFF" w:themeColor="background1"/>
      </w:rPr>
      <w:tblPr/>
      <w:tcPr>
        <w:tcBorders>
          <w:left w:val="nil"/>
          <w:right w:val="nil"/>
          <w:insideH w:val="nil"/>
          <w:insideV w:val="nil"/>
        </w:tcBorders>
        <w:shd w:val="clear" w:color="auto" w:fill="00359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D63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4"/>
      </w:tcPr>
    </w:tblStylePr>
    <w:tblStylePr w:type="lastCol">
      <w:rPr>
        <w:b/>
        <w:bCs/>
        <w:color w:val="FFFFFF" w:themeColor="background1"/>
      </w:rPr>
      <w:tblPr/>
      <w:tcPr>
        <w:tcBorders>
          <w:left w:val="nil"/>
          <w:right w:val="nil"/>
          <w:insideH w:val="nil"/>
          <w:insideV w:val="nil"/>
        </w:tcBorders>
        <w:shd w:val="clear" w:color="auto" w:fill="009FD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D63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FFB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FFB4" w:themeFill="accent5"/>
      </w:tcPr>
    </w:tblStylePr>
    <w:tblStylePr w:type="lastCol">
      <w:rPr>
        <w:b/>
        <w:bCs/>
        <w:color w:val="FFFFFF" w:themeColor="background1"/>
      </w:rPr>
      <w:tblPr/>
      <w:tcPr>
        <w:tcBorders>
          <w:left w:val="nil"/>
          <w:right w:val="nil"/>
          <w:insideH w:val="nil"/>
          <w:insideV w:val="nil"/>
        </w:tcBorders>
        <w:shd w:val="clear" w:color="auto" w:fill="91FFB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D63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9C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9C35" w:themeFill="accent6"/>
      </w:tcPr>
    </w:tblStylePr>
    <w:tblStylePr w:type="lastCol">
      <w:rPr>
        <w:b/>
        <w:bCs/>
        <w:color w:val="FFFFFF" w:themeColor="background1"/>
      </w:rPr>
      <w:tblPr/>
      <w:tcPr>
        <w:tcBorders>
          <w:left w:val="nil"/>
          <w:right w:val="nil"/>
          <w:insideH w:val="nil"/>
          <w:insideV w:val="nil"/>
        </w:tcBorders>
        <w:shd w:val="clear" w:color="auto" w:fill="3F9C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9D630C"/>
    <w:rPr>
      <w:color w:val="2B579A"/>
      <w:shd w:val="clear" w:color="auto" w:fill="E1DFDD"/>
    </w:rPr>
  </w:style>
  <w:style w:type="table" w:styleId="PlainTable1">
    <w:name w:val="Plain Table 1"/>
    <w:basedOn w:val="TableNormal"/>
    <w:uiPriority w:val="99"/>
    <w:rsid w:val="009D630C"/>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2">
    <w:name w:val="Plain Table 2"/>
    <w:basedOn w:val="TableNormal"/>
    <w:uiPriority w:val="99"/>
    <w:rsid w:val="009D63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D630C"/>
    <w:pPr>
      <w:spacing w:after="0" w:line="240" w:lineRule="auto"/>
    </w:p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4">
    <w:name w:val="Plain Table 4"/>
    <w:basedOn w:val="TableNormal"/>
    <w:uiPriority w:val="99"/>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99"/>
    <w:rsid w:val="009D630C"/>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9D630C"/>
    <w:rPr>
      <w:u w:val="dotted"/>
    </w:rPr>
  </w:style>
  <w:style w:type="character" w:styleId="SmartLink">
    <w:name w:val="Smart Link"/>
    <w:basedOn w:val="DefaultParagraphFont"/>
    <w:uiPriority w:val="99"/>
    <w:semiHidden/>
    <w:unhideWhenUsed/>
    <w:rsid w:val="009D630C"/>
    <w:rPr>
      <w:color w:val="0000FF"/>
      <w:u w:val="single"/>
      <w:shd w:val="clear" w:color="auto" w:fill="F3F2F1"/>
    </w:rPr>
  </w:style>
  <w:style w:type="table" w:styleId="Table3Deffects1">
    <w:name w:val="Table 3D effects 1"/>
    <w:basedOn w:val="TableNormal"/>
    <w:uiPriority w:val="99"/>
    <w:semiHidden/>
    <w:unhideWhenUsed/>
    <w:rsid w:val="009D630C"/>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630C"/>
    <w:pPr>
      <w:spacing w:after="0" w:line="240" w:lineRule="auto"/>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630C"/>
    <w:pPr>
      <w:spacing w:after="0" w:line="240" w:lineRule="auto"/>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uiPriority w:val="99"/>
    <w:semiHidden/>
    <w:unhideWhenUsed/>
    <w:rsid w:val="009D630C"/>
    <w:pPr>
      <w:spacing w:after="0" w:line="240" w:lineRule="auto"/>
    </w:pPr>
    <w:tblPr/>
    <w:tcPr>
      <w:tcBorders>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630C"/>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630C"/>
    <w:pPr>
      <w:spacing w:after="0" w:line="240" w:lineRule="auto"/>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D630C"/>
    <w:pPr>
      <w:spacing w:after="0" w:line="240" w:lineRule="auto"/>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D630C"/>
    <w:pPr>
      <w:spacing w:after="0" w:line="240" w:lineRule="auto"/>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D630C"/>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630C"/>
    <w:pPr>
      <w:spacing w:after="0" w:line="240" w:lineRule="auto"/>
    </w:pPr>
    <w:tblPr/>
    <w:tblStylePr w:type="nwCell">
      <w:rPr>
        <w:b/>
        <w:bCs/>
        <w:color w:val="FFFFFF"/>
      </w:rPr>
    </w:tblStylePr>
  </w:style>
  <w:style w:type="table" w:styleId="TableColumns1">
    <w:name w:val="Table Columns 1"/>
    <w:basedOn w:val="TableNormal"/>
    <w:uiPriority w:val="99"/>
    <w:semiHidden/>
    <w:unhideWhenUsed/>
    <w:rsid w:val="009D630C"/>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630C"/>
    <w:pPr>
      <w:spacing w:after="0" w:line="240" w:lineRule="auto"/>
    </w:pPr>
    <w:rPr>
      <w:b/>
      <w:bCs/>
    </w:rPr>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D630C"/>
    <w:pPr>
      <w:spacing w:after="0" w:line="240" w:lineRule="auto"/>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D630C"/>
    <w:pPr>
      <w:spacing w:after="0" w:line="240" w:lineRule="auto"/>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D630C"/>
    <w:pPr>
      <w:spacing w:after="0" w:line="240" w:lineRule="auto"/>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D630C"/>
    <w:pPr>
      <w:spacing w:after="0" w:line="240" w:lineRule="auto"/>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D630C"/>
    <w:pPr>
      <w:spacing w:after="0" w:line="240" w:lineRule="auto"/>
    </w:pPr>
    <w:tblPr/>
    <w:tblStylePr w:type="firstRow">
      <w:rPr>
        <w:caps/>
        <w:color w:val="auto"/>
      </w:rPr>
    </w:tblStylePr>
  </w:style>
  <w:style w:type="table" w:styleId="TableGrid">
    <w:name w:val="Table Grid"/>
    <w:basedOn w:val="TableNormal"/>
    <w:uiPriority w:val="99"/>
    <w:rsid w:val="009D630C"/>
    <w:pPr>
      <w:spacing w:after="0" w:line="240" w:lineRule="auto"/>
    </w:pPr>
    <w:tblPr/>
  </w:style>
  <w:style w:type="table" w:styleId="TableGrid1">
    <w:name w:val="Table Grid 1"/>
    <w:basedOn w:val="TableNormal"/>
    <w:uiPriority w:val="99"/>
    <w:semiHidden/>
    <w:unhideWhenUsed/>
    <w:rsid w:val="009D630C"/>
    <w:pPr>
      <w:spacing w:after="0" w:line="240" w:lineRule="auto"/>
    </w:pPr>
    <w:tblPr/>
    <w:tblStylePr w:type="lastRow">
      <w:rPr>
        <w:i/>
        <w:iCs/>
      </w:rPr>
    </w:tblStylePr>
    <w:tblStylePr w:type="lastCol">
      <w:rPr>
        <w:i/>
        <w:iCs/>
      </w:rPr>
    </w:tblStylePr>
  </w:style>
  <w:style w:type="table" w:styleId="TableGrid2">
    <w:name w:val="Table Grid 2"/>
    <w:basedOn w:val="TableNormal"/>
    <w:uiPriority w:val="99"/>
    <w:semiHidden/>
    <w:unhideWhenUsed/>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D630C"/>
    <w:pPr>
      <w:spacing w:after="0" w:line="240" w:lineRule="auto"/>
    </w:pPr>
    <w:tblPr/>
    <w:tblStylePr w:type="lastRow">
      <w:rPr>
        <w:b/>
        <w:bCs/>
      </w:rPr>
    </w:tblStylePr>
    <w:tblStylePr w:type="lastCol">
      <w:rPr>
        <w:b/>
        <w:bCs/>
      </w:rPr>
    </w:tblStylePr>
  </w:style>
  <w:style w:type="table" w:styleId="TableGrid4">
    <w:name w:val="Table Grid 4"/>
    <w:basedOn w:val="TableNormal"/>
    <w:uiPriority w:val="99"/>
    <w:semiHidden/>
    <w:unhideWhenUsed/>
    <w:rsid w:val="009D630C"/>
    <w:pPr>
      <w:spacing w:after="0" w:line="240" w:lineRule="auto"/>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D630C"/>
    <w:pPr>
      <w:spacing w:after="0" w:line="240" w:lineRule="auto"/>
    </w:pPr>
    <w:tblPr/>
    <w:tblStylePr w:type="lastRow">
      <w:rPr>
        <w:b/>
        <w:bCs/>
      </w:rPr>
    </w:tblStylePr>
    <w:tblStylePr w:type="lastCol">
      <w:rPr>
        <w:b/>
        <w:bCs/>
      </w:rPr>
    </w:tblStylePr>
  </w:style>
  <w:style w:type="table" w:styleId="TableGrid6">
    <w:name w:val="Table Grid 6"/>
    <w:basedOn w:val="TableNormal"/>
    <w:uiPriority w:val="99"/>
    <w:semiHidden/>
    <w:unhideWhenUsed/>
    <w:rsid w:val="009D630C"/>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630C"/>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630C"/>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D630C"/>
    <w:pPr>
      <w:spacing w:after="0" w:line="240" w:lineRule="auto"/>
    </w:pPr>
    <w:tblPr/>
  </w:style>
  <w:style w:type="table" w:styleId="TableList1">
    <w:name w:val="Table List 1"/>
    <w:basedOn w:val="TableNormal"/>
    <w:uiPriority w:val="99"/>
    <w:semiHidden/>
    <w:unhideWhenUsed/>
    <w:rsid w:val="009D630C"/>
    <w:pPr>
      <w:spacing w:after="0" w:line="240" w:lineRule="auto"/>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D630C"/>
    <w:pPr>
      <w:spacing w:after="0" w:line="240" w:lineRule="auto"/>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D630C"/>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630C"/>
    <w:pPr>
      <w:spacing w:after="0" w:line="240" w:lineRule="auto"/>
    </w:pPr>
    <w:tblPr/>
    <w:tblStylePr w:type="firstRow">
      <w:rPr>
        <w:b/>
        <w:bCs/>
        <w:color w:val="FFFFFF"/>
      </w:rPr>
    </w:tblStylePr>
  </w:style>
  <w:style w:type="table" w:styleId="TableList5">
    <w:name w:val="Table List 5"/>
    <w:basedOn w:val="TableNormal"/>
    <w:uiPriority w:val="99"/>
    <w:semiHidden/>
    <w:unhideWhenUsed/>
    <w:rsid w:val="009D630C"/>
    <w:pPr>
      <w:spacing w:after="0" w:line="240" w:lineRule="auto"/>
    </w:pPr>
    <w:tblPr/>
    <w:tblStylePr w:type="firstRow">
      <w:rPr>
        <w:b/>
        <w:bCs/>
      </w:rPr>
    </w:tblStylePr>
    <w:tblStylePr w:type="firstCol">
      <w:rPr>
        <w:b/>
        <w:bCs/>
      </w:rPr>
    </w:tblStylePr>
  </w:style>
  <w:style w:type="table" w:styleId="TableList6">
    <w:name w:val="Table List 6"/>
    <w:basedOn w:val="TableNormal"/>
    <w:uiPriority w:val="99"/>
    <w:semiHidden/>
    <w:unhideWhenUsed/>
    <w:rsid w:val="009D630C"/>
    <w:pPr>
      <w:spacing w:after="0" w:line="240" w:lineRule="auto"/>
    </w:p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D630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9D630C"/>
    <w:pPr>
      <w:spacing w:after="0" w:line="240" w:lineRule="auto"/>
    </w:pPr>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D630C"/>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630C"/>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630C"/>
    <w:pPr>
      <w:spacing w:after="0" w:line="240" w:lineRule="auto"/>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D630C"/>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630C"/>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630C"/>
    <w:pPr>
      <w:spacing w:after="0" w:line="240" w:lineRule="auto"/>
    </w:pPr>
    <w:tblPr/>
    <w:tcPr>
      <w:tcBorders>
        <w:top w:val="single" w:sz="12" w:space="0" w:color="000000"/>
        <w:left w:val="single" w:sz="12" w:space="0" w:color="000000"/>
      </w:tcBorders>
      <w:shd w:val="pct25" w:color="808000" w:fill="FFFFFF"/>
    </w:tcPr>
    <w:tblStylePr w:type="neCell">
      <w:rPr>
        <w:b/>
        <w:bCs/>
      </w:rPr>
    </w:tblStylePr>
    <w:tblStylePr w:type="swCell">
      <w:rPr>
        <w:b/>
        <w:bCs/>
      </w:rPr>
    </w:tblStylePr>
  </w:style>
  <w:style w:type="table" w:styleId="TableTheme">
    <w:name w:val="Table Theme"/>
    <w:basedOn w:val="TableNormal"/>
    <w:uiPriority w:val="99"/>
    <w:semiHidden/>
    <w:unhideWhenUsed/>
    <w:rsid w:val="009D630C"/>
    <w:pPr>
      <w:spacing w:after="0" w:line="240" w:lineRule="auto"/>
    </w:pPr>
    <w:tblPr/>
  </w:style>
  <w:style w:type="table" w:styleId="TableWeb1">
    <w:name w:val="Table Web 1"/>
    <w:basedOn w:val="TableNormal"/>
    <w:uiPriority w:val="99"/>
    <w:semiHidden/>
    <w:unhideWhenUsed/>
    <w:rsid w:val="009D630C"/>
    <w:pPr>
      <w:spacing w:after="0" w:line="240" w:lineRule="auto"/>
    </w:pPr>
    <w:tblPr/>
    <w:tblStylePr w:type="firstRow">
      <w:rPr>
        <w:color w:val="auto"/>
      </w:rPr>
    </w:tblStylePr>
  </w:style>
  <w:style w:type="table" w:styleId="TableWeb2">
    <w:name w:val="Table Web 2"/>
    <w:basedOn w:val="TableNormal"/>
    <w:uiPriority w:val="99"/>
    <w:semiHidden/>
    <w:unhideWhenUsed/>
    <w:rsid w:val="009D630C"/>
    <w:pPr>
      <w:spacing w:after="0" w:line="240" w:lineRule="auto"/>
    </w:pPr>
    <w:tblPr/>
    <w:tblStylePr w:type="firstRow">
      <w:rPr>
        <w:color w:val="auto"/>
      </w:rPr>
    </w:tblStylePr>
  </w:style>
  <w:style w:type="table" w:styleId="TableWeb3">
    <w:name w:val="Table Web 3"/>
    <w:basedOn w:val="TableNormal"/>
    <w:uiPriority w:val="99"/>
    <w:semiHidden/>
    <w:unhideWhenUsed/>
    <w:rsid w:val="009D630C"/>
    <w:pPr>
      <w:spacing w:after="0" w:line="240" w:lineRule="auto"/>
    </w:pPr>
    <w:tblPr/>
    <w:tblStylePr w:type="firstRow">
      <w:rPr>
        <w:color w:val="auto"/>
      </w:rPr>
    </w:tblStylePr>
  </w:style>
  <w:style w:type="character" w:styleId="UnresolvedMention">
    <w:name w:val="Unresolved Mention"/>
    <w:basedOn w:val="DefaultParagraphFont"/>
    <w:uiPriority w:val="99"/>
    <w:unhideWhenUsed/>
    <w:rsid w:val="009D630C"/>
    <w:rPr>
      <w:color w:val="605E5C"/>
      <w:shd w:val="clear" w:color="auto" w:fill="E1DFDD"/>
    </w:rPr>
  </w:style>
  <w:style w:type="paragraph" w:customStyle="1" w:styleId="Bullet1">
    <w:name w:val="Bullet 1"/>
    <w:basedOn w:val="BodyText"/>
    <w:link w:val="Bullet1Char"/>
    <w:uiPriority w:val="1"/>
    <w:qFormat/>
    <w:rsid w:val="00E63F4E"/>
    <w:pPr>
      <w:numPr>
        <w:numId w:val="19"/>
      </w:numPr>
      <w:spacing w:after="40"/>
    </w:pPr>
  </w:style>
  <w:style w:type="character" w:customStyle="1" w:styleId="Bullet1Char">
    <w:name w:val="Bullet 1 Char"/>
    <w:basedOn w:val="BodyTextChar"/>
    <w:link w:val="Bullet1"/>
    <w:uiPriority w:val="1"/>
    <w:rsid w:val="00AF5160"/>
    <w:rPr>
      <w:rFonts w:ascii="Arial" w:hAnsi="Arial" w:cs="Arial"/>
      <w:sz w:val="18"/>
      <w:szCs w:val="18"/>
      <w:lang w:val="en-GB"/>
    </w:rPr>
  </w:style>
  <w:style w:type="paragraph" w:customStyle="1" w:styleId="Bullet1Last">
    <w:name w:val="Bullet 1 Last"/>
    <w:basedOn w:val="Bullet1"/>
    <w:link w:val="Bullet1LastChar"/>
    <w:uiPriority w:val="1"/>
    <w:qFormat/>
    <w:rsid w:val="00E63F4E"/>
    <w:pPr>
      <w:spacing w:after="140"/>
    </w:pPr>
  </w:style>
  <w:style w:type="character" w:customStyle="1" w:styleId="Bullet1LastChar">
    <w:name w:val="Bullet 1 Last Char"/>
    <w:basedOn w:val="Bullet1Char"/>
    <w:link w:val="Bullet1Last"/>
    <w:uiPriority w:val="1"/>
    <w:rsid w:val="00E63F4E"/>
    <w:rPr>
      <w:rFonts w:ascii="Arial" w:hAnsi="Arial" w:cs="Arial"/>
      <w:sz w:val="18"/>
      <w:szCs w:val="18"/>
      <w:lang w:val="en-GB"/>
    </w:rPr>
  </w:style>
  <w:style w:type="paragraph" w:styleId="Revision">
    <w:name w:val="Revision"/>
    <w:hidden/>
    <w:uiPriority w:val="99"/>
    <w:semiHidden/>
    <w:rsid w:val="00211064"/>
    <w:pPr>
      <w:spacing w:after="0" w:line="240" w:lineRule="auto"/>
    </w:pPr>
    <w:rPr>
      <w:rFonts w:ascii="Arial" w:hAnsi="Arial" w:cs="Arial"/>
      <w:sz w:val="18"/>
      <w:szCs w:val="18"/>
      <w:lang w:val="en-GB"/>
    </w:rPr>
  </w:style>
  <w:style w:type="table" w:customStyle="1" w:styleId="DNV">
    <w:name w:val="DNV"/>
    <w:basedOn w:val="TableNormal"/>
    <w:uiPriority w:val="99"/>
    <w:rsid w:val="00452F21"/>
    <w:pPr>
      <w:spacing w:after="0" w:line="240" w:lineRule="auto"/>
    </w:pPr>
    <w:tblPr>
      <w:tblStyleRowBandSize w:val="1"/>
      <w:tblBorders>
        <w:insideH w:val="single" w:sz="4" w:space="0" w:color="FFFFFF" w:themeColor="background1"/>
        <w:insideV w:val="single" w:sz="4" w:space="0" w:color="FFFFFF" w:themeColor="background1"/>
      </w:tblBorders>
    </w:tblPr>
    <w:tblStylePr w:type="firstRow">
      <w:pPr>
        <w:jc w:val="center"/>
      </w:pPr>
      <w:rPr>
        <w:rFonts w:asciiTheme="minorHAnsi" w:hAnsiTheme="minorHAnsi"/>
        <w:b/>
        <w:sz w:val="18"/>
      </w:rPr>
      <w:tblPr/>
      <w:tcPr>
        <w:shd w:val="clear" w:color="auto" w:fill="0F204B" w:themeFill="accent1"/>
        <w:vAlign w:val="center"/>
      </w:tcPr>
    </w:tblStylePr>
    <w:tblStylePr w:type="band1Horz">
      <w:pPr>
        <w:jc w:val="left"/>
      </w:pPr>
      <w:rPr>
        <w:rFonts w:asciiTheme="minorHAnsi" w:hAnsiTheme="minorHAnsi"/>
        <w:sz w:val="18"/>
      </w:rPr>
      <w:tblPr/>
      <w:tcPr>
        <w:shd w:val="clear" w:color="auto" w:fill="F2F2F2" w:themeFill="background1" w:themeFillShade="F2"/>
        <w:vAlign w:val="center"/>
      </w:tcPr>
    </w:tblStylePr>
    <w:tblStylePr w:type="band2Horz">
      <w:pPr>
        <w:jc w:val="left"/>
      </w:pPr>
      <w:rPr>
        <w:rFonts w:asciiTheme="minorHAnsi" w:hAnsiTheme="minorHAnsi"/>
        <w:sz w:val="18"/>
      </w:rPr>
      <w:tblPr/>
      <w:tcPr>
        <w:vAlign w:val="center"/>
      </w:tcPr>
    </w:tblStylePr>
  </w:style>
  <w:style w:type="paragraph" w:customStyle="1" w:styleId="FigureTitle">
    <w:name w:val="Figure Title"/>
    <w:basedOn w:val="BodyText"/>
    <w:link w:val="FigureTitleChar"/>
    <w:uiPriority w:val="1"/>
    <w:qFormat/>
    <w:rsid w:val="00F23D36"/>
    <w:pPr>
      <w:keepNext/>
      <w:keepLines/>
      <w:spacing w:after="120"/>
    </w:pPr>
    <w:rPr>
      <w:b/>
      <w:bCs/>
      <w:color w:val="0F204B" w:themeColor="accent1"/>
    </w:rPr>
  </w:style>
  <w:style w:type="character" w:customStyle="1" w:styleId="FigureTitleChar">
    <w:name w:val="Figure Title Char"/>
    <w:basedOn w:val="BodyTextChar"/>
    <w:link w:val="FigureTitle"/>
    <w:uiPriority w:val="1"/>
    <w:rsid w:val="00F23D36"/>
    <w:rPr>
      <w:rFonts w:ascii="Arial" w:hAnsi="Arial" w:cs="Arial"/>
      <w:b/>
      <w:bCs/>
      <w:color w:val="0F204B" w:themeColor="accent1"/>
      <w:sz w:val="18"/>
      <w:szCs w:val="18"/>
      <w:lang w:val="en-GB"/>
    </w:rPr>
  </w:style>
  <w:style w:type="paragraph" w:customStyle="1" w:styleId="TableHeading">
    <w:name w:val="Table Heading"/>
    <w:basedOn w:val="Normal"/>
    <w:link w:val="TableHeadingChar"/>
    <w:uiPriority w:val="1"/>
    <w:qFormat/>
    <w:rsid w:val="786D689D"/>
    <w:pPr>
      <w:keepNext/>
      <w:keepLines/>
      <w:spacing w:before="20" w:after="20"/>
      <w:jc w:val="center"/>
    </w:pPr>
    <w:rPr>
      <w:rFonts w:asciiTheme="minorHAnsi" w:hAnsiTheme="minorHAnsi" w:cstheme="minorBidi"/>
      <w:b/>
      <w:bCs/>
      <w:color w:val="FFFFFF" w:themeColor="background1"/>
      <w:lang w:val="en-US" w:eastAsia="en-US"/>
    </w:rPr>
  </w:style>
  <w:style w:type="character" w:customStyle="1" w:styleId="TableHeadingChar">
    <w:name w:val="Table Heading Char"/>
    <w:basedOn w:val="DefaultParagraphFont"/>
    <w:link w:val="TableHeading"/>
    <w:uiPriority w:val="1"/>
    <w:rsid w:val="786D689D"/>
    <w:rPr>
      <w:rFonts w:asciiTheme="minorHAnsi" w:eastAsiaTheme="minorEastAsia" w:hAnsiTheme="minorHAnsi" w:cstheme="minorBidi"/>
      <w:b/>
      <w:bCs/>
      <w:color w:val="FFFFFF" w:themeColor="background1"/>
      <w:sz w:val="18"/>
      <w:szCs w:val="18"/>
      <w:lang w:eastAsia="en-US"/>
    </w:rPr>
  </w:style>
  <w:style w:type="paragraph" w:customStyle="1" w:styleId="TableText">
    <w:name w:val="Table Text"/>
    <w:basedOn w:val="Normal"/>
    <w:uiPriority w:val="1"/>
    <w:qFormat/>
    <w:rsid w:val="786D689D"/>
    <w:pPr>
      <w:spacing w:before="20" w:after="20"/>
    </w:pPr>
    <w:rPr>
      <w:rFonts w:asciiTheme="minorHAnsi" w:hAnsiTheme="minorHAnsi" w:cstheme="minorBidi"/>
      <w:lang w:val="en-US" w:eastAsia="en-US"/>
    </w:rPr>
  </w:style>
  <w:style w:type="paragraph" w:customStyle="1" w:styleId="paragraph">
    <w:name w:val="paragraph"/>
    <w:basedOn w:val="Normal"/>
    <w:rsid w:val="002677A1"/>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2677A1"/>
  </w:style>
  <w:style w:type="character" w:customStyle="1" w:styleId="eop">
    <w:name w:val="eop"/>
    <w:basedOn w:val="DefaultParagraphFont"/>
    <w:rsid w:val="002677A1"/>
  </w:style>
  <w:style w:type="paragraph" w:customStyle="1" w:styleId="Heading2-Nos">
    <w:name w:val="Heading 2 - No #s"/>
    <w:basedOn w:val="Heading2"/>
    <w:link w:val="Heading2-NosChar"/>
    <w:uiPriority w:val="1"/>
    <w:qFormat/>
    <w:rsid w:val="009F52E3"/>
    <w:pPr>
      <w:numPr>
        <w:ilvl w:val="0"/>
        <w:numId w:val="0"/>
      </w:numPr>
      <w:ind w:left="540" w:hanging="540"/>
    </w:pPr>
  </w:style>
  <w:style w:type="character" w:customStyle="1" w:styleId="Heading2-NosChar">
    <w:name w:val="Heading 2 - No #s Char"/>
    <w:basedOn w:val="Heading2Char"/>
    <w:link w:val="Heading2-Nos"/>
    <w:uiPriority w:val="1"/>
    <w:rsid w:val="009F52E3"/>
    <w:rPr>
      <w:rFonts w:ascii="Arial" w:hAnsi="Arial" w:cs="Arial"/>
      <w:b/>
      <w:color w:val="0F204B"/>
      <w:sz w:val="26"/>
      <w:szCs w:val="18"/>
      <w:lang w:val="en-GB"/>
    </w:rPr>
  </w:style>
  <w:style w:type="paragraph" w:customStyle="1" w:styleId="NumberList">
    <w:name w:val="Number List"/>
    <w:basedOn w:val="BodyText"/>
    <w:link w:val="NumberListChar"/>
    <w:uiPriority w:val="1"/>
    <w:qFormat/>
    <w:rsid w:val="004623A1"/>
    <w:pPr>
      <w:numPr>
        <w:numId w:val="17"/>
      </w:numPr>
      <w:spacing w:after="40"/>
    </w:pPr>
  </w:style>
  <w:style w:type="character" w:customStyle="1" w:styleId="NumberListChar">
    <w:name w:val="Number List Char"/>
    <w:basedOn w:val="BodyTextChar"/>
    <w:link w:val="NumberList"/>
    <w:uiPriority w:val="1"/>
    <w:rsid w:val="004623A1"/>
    <w:rPr>
      <w:rFonts w:ascii="Arial" w:hAnsi="Arial" w:cs="Arial"/>
      <w:sz w:val="18"/>
      <w:szCs w:val="18"/>
      <w:lang w:val="en-GB"/>
    </w:rPr>
  </w:style>
  <w:style w:type="paragraph" w:customStyle="1" w:styleId="Bullet2">
    <w:name w:val="Bullet 2"/>
    <w:basedOn w:val="Bullet1"/>
    <w:link w:val="Bullet2Char"/>
    <w:uiPriority w:val="1"/>
    <w:qFormat/>
    <w:rsid w:val="00AB5059"/>
    <w:pPr>
      <w:numPr>
        <w:ilvl w:val="1"/>
        <w:numId w:val="15"/>
      </w:numPr>
      <w:ind w:left="1080"/>
    </w:pPr>
  </w:style>
  <w:style w:type="character" w:customStyle="1" w:styleId="Bullet2Char">
    <w:name w:val="Bullet 2 Char"/>
    <w:basedOn w:val="Bullet1Char"/>
    <w:link w:val="Bullet2"/>
    <w:uiPriority w:val="1"/>
    <w:rsid w:val="004623A1"/>
    <w:rPr>
      <w:rFonts w:ascii="Arial" w:hAnsi="Arial" w:cs="Arial"/>
      <w:sz w:val="18"/>
      <w:szCs w:val="18"/>
      <w:lang w:val="en-GB"/>
    </w:rPr>
  </w:style>
  <w:style w:type="paragraph" w:customStyle="1" w:styleId="Bullet3">
    <w:name w:val="Bullet 3"/>
    <w:basedOn w:val="Bullet2"/>
    <w:link w:val="Bullet3Char"/>
    <w:uiPriority w:val="1"/>
    <w:qFormat/>
    <w:rsid w:val="00AB5059"/>
    <w:pPr>
      <w:numPr>
        <w:ilvl w:val="2"/>
      </w:numPr>
      <w:ind w:left="1440"/>
    </w:pPr>
    <w:rPr>
      <w:b/>
      <w:bCs/>
    </w:rPr>
  </w:style>
  <w:style w:type="character" w:customStyle="1" w:styleId="Bullet3Char">
    <w:name w:val="Bullet 3 Char"/>
    <w:basedOn w:val="Bullet2Char"/>
    <w:link w:val="Bullet3"/>
    <w:uiPriority w:val="1"/>
    <w:rsid w:val="004623A1"/>
    <w:rPr>
      <w:rFonts w:ascii="Arial" w:hAnsi="Arial" w:cs="Arial"/>
      <w:b/>
      <w:bCs/>
      <w:sz w:val="18"/>
      <w:szCs w:val="18"/>
      <w:lang w:val="en-GB"/>
    </w:rPr>
  </w:style>
  <w:style w:type="paragraph" w:customStyle="1" w:styleId="scriptor-listitemlistlist-2a3f76ee-e0e9-4125-904f-d19226625d7b0">
    <w:name w:val="scriptor-listitemlist!list-2a3f76ee-e0e9-4125-904f-d19226625d7b0"/>
    <w:basedOn w:val="Normal"/>
    <w:rsid w:val="00C01250"/>
    <w:pPr>
      <w:spacing w:after="160"/>
    </w:pPr>
    <w:rPr>
      <w:rFonts w:ascii="Times New Roman" w:eastAsia="Times New Roman" w:hAnsi="Times New Roman" w:cs="Times New Roman"/>
      <w:sz w:val="24"/>
      <w:szCs w:val="24"/>
      <w:lang w:val="en-US" w:eastAsia="en-US"/>
    </w:rPr>
  </w:style>
  <w:style w:type="character" w:customStyle="1" w:styleId="CaptionChar">
    <w:name w:val="Caption Char"/>
    <w:aliases w:val="Table Caption Char Char,Table Caption Char1,Char Char,_Main body - Caption Char,Podpis nad obiektem Char,_Main body - Caption figure Char"/>
    <w:link w:val="Caption"/>
    <w:uiPriority w:val="35"/>
    <w:locked/>
    <w:rsid w:val="00AF1C42"/>
    <w:rPr>
      <w:rFonts w:ascii="Arial" w:hAnsi="Arial" w:cs="Arial"/>
      <w:b/>
      <w:sz w:val="18"/>
      <w:szCs w:val="18"/>
      <w:lang w:val="en-GB"/>
    </w:rPr>
  </w:style>
  <w:style w:type="table" w:customStyle="1" w:styleId="PSETable">
    <w:name w:val="PSE Table"/>
    <w:basedOn w:val="TableProfessional"/>
    <w:uiPriority w:val="99"/>
    <w:rsid w:val="00AF1C42"/>
    <w:pPr>
      <w:spacing w:before="20" w:after="20"/>
    </w:pPr>
    <w:rPr>
      <w:sz w:val="18"/>
    </w:rPr>
    <w:tblPr>
      <w:tblStyleRowBandSize w:val="1"/>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Pr>
    <w:tblStylePr w:type="firstRow">
      <w:pPr>
        <w:jc w:val="center"/>
      </w:pPr>
      <w:rPr>
        <w:rFonts w:ascii="Arial" w:hAnsi="Arial"/>
        <w:b/>
        <w:bCs/>
        <w:color w:val="auto"/>
        <w:sz w:val="18"/>
      </w:rPr>
      <w:tblPr/>
      <w:trPr>
        <w:cantSplit/>
        <w:tblHeader/>
      </w:trPr>
      <w:tcPr>
        <w:tcBorders>
          <w:tl2br w:val="none" w:sz="0" w:space="0" w:color="auto"/>
          <w:tr2bl w:val="none" w:sz="0" w:space="0" w:color="auto"/>
        </w:tcBorders>
        <w:shd w:val="clear" w:color="auto" w:fill="0F204B" w:themeFill="text2"/>
        <w:vAlign w:val="center"/>
      </w:tcPr>
    </w:tblStylePr>
    <w:tblStylePr w:type="lastRow">
      <w:pPr>
        <w:wordWrap/>
        <w:spacing w:beforeLines="20" w:before="20" w:beforeAutospacing="0" w:afterLines="20" w:after="20" w:afterAutospacing="0" w:line="240" w:lineRule="auto"/>
        <w:contextualSpacing w:val="0"/>
      </w:pPr>
      <w:tblPr/>
      <w:trPr>
        <w:cantSplit/>
      </w:trPr>
    </w:tblStylePr>
    <w:tblStylePr w:type="band1Horz">
      <w:tblPr/>
      <w:tcPr>
        <w:shd w:val="clear" w:color="auto" w:fill="F2F2F2" w:themeFill="background1" w:themeFillShade="F2"/>
      </w:tcPr>
    </w:tblStylePr>
  </w:style>
  <w:style w:type="paragraph" w:customStyle="1" w:styleId="DNVGL-Bullet1">
    <w:name w:val="DNVGL-Bullet 1"/>
    <w:basedOn w:val="Normal"/>
    <w:uiPriority w:val="1"/>
    <w:qFormat/>
    <w:rsid w:val="005C32C1"/>
    <w:pPr>
      <w:numPr>
        <w:numId w:val="21"/>
      </w:numPr>
      <w:spacing w:after="140" w:line="280" w:lineRule="atLeast"/>
    </w:pPr>
    <w:rPr>
      <w:rFonts w:ascii="Verdana" w:hAnsi="Verdana" w:cs="Verdana"/>
      <w:bCs/>
      <w:color w:val="0D0D0D" w:themeColor="text1" w:themeTint="F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6134">
      <w:bodyDiv w:val="1"/>
      <w:marLeft w:val="0"/>
      <w:marRight w:val="0"/>
      <w:marTop w:val="0"/>
      <w:marBottom w:val="0"/>
      <w:divBdr>
        <w:top w:val="none" w:sz="0" w:space="0" w:color="auto"/>
        <w:left w:val="none" w:sz="0" w:space="0" w:color="auto"/>
        <w:bottom w:val="none" w:sz="0" w:space="0" w:color="auto"/>
        <w:right w:val="none" w:sz="0" w:space="0" w:color="auto"/>
      </w:divBdr>
      <w:divsChild>
        <w:div w:id="1217739527">
          <w:marLeft w:val="288"/>
          <w:marRight w:val="0"/>
          <w:marTop w:val="240"/>
          <w:marBottom w:val="0"/>
          <w:divBdr>
            <w:top w:val="none" w:sz="0" w:space="0" w:color="auto"/>
            <w:left w:val="none" w:sz="0" w:space="0" w:color="auto"/>
            <w:bottom w:val="none" w:sz="0" w:space="0" w:color="auto"/>
            <w:right w:val="none" w:sz="0" w:space="0" w:color="auto"/>
          </w:divBdr>
        </w:div>
        <w:div w:id="1274440144">
          <w:marLeft w:val="288"/>
          <w:marRight w:val="0"/>
          <w:marTop w:val="240"/>
          <w:marBottom w:val="0"/>
          <w:divBdr>
            <w:top w:val="none" w:sz="0" w:space="0" w:color="auto"/>
            <w:left w:val="none" w:sz="0" w:space="0" w:color="auto"/>
            <w:bottom w:val="none" w:sz="0" w:space="0" w:color="auto"/>
            <w:right w:val="none" w:sz="0" w:space="0" w:color="auto"/>
          </w:divBdr>
        </w:div>
        <w:div w:id="1396971479">
          <w:marLeft w:val="288"/>
          <w:marRight w:val="0"/>
          <w:marTop w:val="240"/>
          <w:marBottom w:val="0"/>
          <w:divBdr>
            <w:top w:val="none" w:sz="0" w:space="0" w:color="auto"/>
            <w:left w:val="none" w:sz="0" w:space="0" w:color="auto"/>
            <w:bottom w:val="none" w:sz="0" w:space="0" w:color="auto"/>
            <w:right w:val="none" w:sz="0" w:space="0" w:color="auto"/>
          </w:divBdr>
        </w:div>
      </w:divsChild>
    </w:div>
    <w:div w:id="41902280">
      <w:bodyDiv w:val="1"/>
      <w:marLeft w:val="0"/>
      <w:marRight w:val="0"/>
      <w:marTop w:val="0"/>
      <w:marBottom w:val="0"/>
      <w:divBdr>
        <w:top w:val="none" w:sz="0" w:space="0" w:color="auto"/>
        <w:left w:val="none" w:sz="0" w:space="0" w:color="auto"/>
        <w:bottom w:val="none" w:sz="0" w:space="0" w:color="auto"/>
        <w:right w:val="none" w:sz="0" w:space="0" w:color="auto"/>
      </w:divBdr>
      <w:divsChild>
        <w:div w:id="213778978">
          <w:marLeft w:val="0"/>
          <w:marRight w:val="0"/>
          <w:marTop w:val="0"/>
          <w:marBottom w:val="0"/>
          <w:divBdr>
            <w:top w:val="none" w:sz="0" w:space="0" w:color="auto"/>
            <w:left w:val="none" w:sz="0" w:space="0" w:color="auto"/>
            <w:bottom w:val="none" w:sz="0" w:space="0" w:color="auto"/>
            <w:right w:val="none" w:sz="0" w:space="0" w:color="auto"/>
          </w:divBdr>
        </w:div>
        <w:div w:id="1870602508">
          <w:marLeft w:val="0"/>
          <w:marRight w:val="0"/>
          <w:marTop w:val="0"/>
          <w:marBottom w:val="0"/>
          <w:divBdr>
            <w:top w:val="none" w:sz="0" w:space="0" w:color="auto"/>
            <w:left w:val="none" w:sz="0" w:space="0" w:color="auto"/>
            <w:bottom w:val="none" w:sz="0" w:space="0" w:color="auto"/>
            <w:right w:val="none" w:sz="0" w:space="0" w:color="auto"/>
          </w:divBdr>
        </w:div>
        <w:div w:id="1994987401">
          <w:marLeft w:val="0"/>
          <w:marRight w:val="0"/>
          <w:marTop w:val="0"/>
          <w:marBottom w:val="0"/>
          <w:divBdr>
            <w:top w:val="none" w:sz="0" w:space="0" w:color="auto"/>
            <w:left w:val="none" w:sz="0" w:space="0" w:color="auto"/>
            <w:bottom w:val="none" w:sz="0" w:space="0" w:color="auto"/>
            <w:right w:val="none" w:sz="0" w:space="0" w:color="auto"/>
          </w:divBdr>
        </w:div>
      </w:divsChild>
    </w:div>
    <w:div w:id="103623813">
      <w:bodyDiv w:val="1"/>
      <w:marLeft w:val="0"/>
      <w:marRight w:val="0"/>
      <w:marTop w:val="0"/>
      <w:marBottom w:val="0"/>
      <w:divBdr>
        <w:top w:val="none" w:sz="0" w:space="0" w:color="auto"/>
        <w:left w:val="none" w:sz="0" w:space="0" w:color="auto"/>
        <w:bottom w:val="none" w:sz="0" w:space="0" w:color="auto"/>
        <w:right w:val="none" w:sz="0" w:space="0" w:color="auto"/>
      </w:divBdr>
    </w:div>
    <w:div w:id="125271852">
      <w:bodyDiv w:val="1"/>
      <w:marLeft w:val="0"/>
      <w:marRight w:val="0"/>
      <w:marTop w:val="0"/>
      <w:marBottom w:val="0"/>
      <w:divBdr>
        <w:top w:val="none" w:sz="0" w:space="0" w:color="auto"/>
        <w:left w:val="none" w:sz="0" w:space="0" w:color="auto"/>
        <w:bottom w:val="none" w:sz="0" w:space="0" w:color="auto"/>
        <w:right w:val="none" w:sz="0" w:space="0" w:color="auto"/>
      </w:divBdr>
    </w:div>
    <w:div w:id="138693415">
      <w:bodyDiv w:val="1"/>
      <w:marLeft w:val="0"/>
      <w:marRight w:val="0"/>
      <w:marTop w:val="0"/>
      <w:marBottom w:val="0"/>
      <w:divBdr>
        <w:top w:val="none" w:sz="0" w:space="0" w:color="auto"/>
        <w:left w:val="none" w:sz="0" w:space="0" w:color="auto"/>
        <w:bottom w:val="none" w:sz="0" w:space="0" w:color="auto"/>
        <w:right w:val="none" w:sz="0" w:space="0" w:color="auto"/>
      </w:divBdr>
    </w:div>
    <w:div w:id="164983190">
      <w:bodyDiv w:val="1"/>
      <w:marLeft w:val="0"/>
      <w:marRight w:val="0"/>
      <w:marTop w:val="0"/>
      <w:marBottom w:val="0"/>
      <w:divBdr>
        <w:top w:val="none" w:sz="0" w:space="0" w:color="auto"/>
        <w:left w:val="none" w:sz="0" w:space="0" w:color="auto"/>
        <w:bottom w:val="none" w:sz="0" w:space="0" w:color="auto"/>
        <w:right w:val="none" w:sz="0" w:space="0" w:color="auto"/>
      </w:divBdr>
    </w:div>
    <w:div w:id="227351650">
      <w:bodyDiv w:val="1"/>
      <w:marLeft w:val="0"/>
      <w:marRight w:val="0"/>
      <w:marTop w:val="0"/>
      <w:marBottom w:val="0"/>
      <w:divBdr>
        <w:top w:val="none" w:sz="0" w:space="0" w:color="auto"/>
        <w:left w:val="none" w:sz="0" w:space="0" w:color="auto"/>
        <w:bottom w:val="none" w:sz="0" w:space="0" w:color="auto"/>
        <w:right w:val="none" w:sz="0" w:space="0" w:color="auto"/>
      </w:divBdr>
      <w:divsChild>
        <w:div w:id="8603840">
          <w:marLeft w:val="0"/>
          <w:marRight w:val="0"/>
          <w:marTop w:val="0"/>
          <w:marBottom w:val="0"/>
          <w:divBdr>
            <w:top w:val="none" w:sz="0" w:space="0" w:color="auto"/>
            <w:left w:val="none" w:sz="0" w:space="0" w:color="auto"/>
            <w:bottom w:val="none" w:sz="0" w:space="0" w:color="auto"/>
            <w:right w:val="none" w:sz="0" w:space="0" w:color="auto"/>
          </w:divBdr>
          <w:divsChild>
            <w:div w:id="538326240">
              <w:marLeft w:val="0"/>
              <w:marRight w:val="0"/>
              <w:marTop w:val="0"/>
              <w:marBottom w:val="0"/>
              <w:divBdr>
                <w:top w:val="none" w:sz="0" w:space="0" w:color="auto"/>
                <w:left w:val="none" w:sz="0" w:space="0" w:color="auto"/>
                <w:bottom w:val="none" w:sz="0" w:space="0" w:color="auto"/>
                <w:right w:val="none" w:sz="0" w:space="0" w:color="auto"/>
              </w:divBdr>
            </w:div>
          </w:divsChild>
        </w:div>
        <w:div w:id="34896450">
          <w:marLeft w:val="0"/>
          <w:marRight w:val="0"/>
          <w:marTop w:val="0"/>
          <w:marBottom w:val="0"/>
          <w:divBdr>
            <w:top w:val="none" w:sz="0" w:space="0" w:color="auto"/>
            <w:left w:val="none" w:sz="0" w:space="0" w:color="auto"/>
            <w:bottom w:val="none" w:sz="0" w:space="0" w:color="auto"/>
            <w:right w:val="none" w:sz="0" w:space="0" w:color="auto"/>
          </w:divBdr>
          <w:divsChild>
            <w:div w:id="982194314">
              <w:marLeft w:val="0"/>
              <w:marRight w:val="0"/>
              <w:marTop w:val="0"/>
              <w:marBottom w:val="0"/>
              <w:divBdr>
                <w:top w:val="none" w:sz="0" w:space="0" w:color="auto"/>
                <w:left w:val="none" w:sz="0" w:space="0" w:color="auto"/>
                <w:bottom w:val="none" w:sz="0" w:space="0" w:color="auto"/>
                <w:right w:val="none" w:sz="0" w:space="0" w:color="auto"/>
              </w:divBdr>
            </w:div>
          </w:divsChild>
        </w:div>
        <w:div w:id="39719408">
          <w:marLeft w:val="0"/>
          <w:marRight w:val="0"/>
          <w:marTop w:val="0"/>
          <w:marBottom w:val="0"/>
          <w:divBdr>
            <w:top w:val="none" w:sz="0" w:space="0" w:color="auto"/>
            <w:left w:val="none" w:sz="0" w:space="0" w:color="auto"/>
            <w:bottom w:val="none" w:sz="0" w:space="0" w:color="auto"/>
            <w:right w:val="none" w:sz="0" w:space="0" w:color="auto"/>
          </w:divBdr>
          <w:divsChild>
            <w:div w:id="1708749779">
              <w:marLeft w:val="0"/>
              <w:marRight w:val="0"/>
              <w:marTop w:val="0"/>
              <w:marBottom w:val="0"/>
              <w:divBdr>
                <w:top w:val="none" w:sz="0" w:space="0" w:color="auto"/>
                <w:left w:val="none" w:sz="0" w:space="0" w:color="auto"/>
                <w:bottom w:val="none" w:sz="0" w:space="0" w:color="auto"/>
                <w:right w:val="none" w:sz="0" w:space="0" w:color="auto"/>
              </w:divBdr>
            </w:div>
          </w:divsChild>
        </w:div>
        <w:div w:id="54478123">
          <w:marLeft w:val="0"/>
          <w:marRight w:val="0"/>
          <w:marTop w:val="0"/>
          <w:marBottom w:val="0"/>
          <w:divBdr>
            <w:top w:val="none" w:sz="0" w:space="0" w:color="auto"/>
            <w:left w:val="none" w:sz="0" w:space="0" w:color="auto"/>
            <w:bottom w:val="none" w:sz="0" w:space="0" w:color="auto"/>
            <w:right w:val="none" w:sz="0" w:space="0" w:color="auto"/>
          </w:divBdr>
          <w:divsChild>
            <w:div w:id="598947470">
              <w:marLeft w:val="0"/>
              <w:marRight w:val="0"/>
              <w:marTop w:val="0"/>
              <w:marBottom w:val="0"/>
              <w:divBdr>
                <w:top w:val="none" w:sz="0" w:space="0" w:color="auto"/>
                <w:left w:val="none" w:sz="0" w:space="0" w:color="auto"/>
                <w:bottom w:val="none" w:sz="0" w:space="0" w:color="auto"/>
                <w:right w:val="none" w:sz="0" w:space="0" w:color="auto"/>
              </w:divBdr>
            </w:div>
          </w:divsChild>
        </w:div>
        <w:div w:id="59864991">
          <w:marLeft w:val="0"/>
          <w:marRight w:val="0"/>
          <w:marTop w:val="0"/>
          <w:marBottom w:val="0"/>
          <w:divBdr>
            <w:top w:val="none" w:sz="0" w:space="0" w:color="auto"/>
            <w:left w:val="none" w:sz="0" w:space="0" w:color="auto"/>
            <w:bottom w:val="none" w:sz="0" w:space="0" w:color="auto"/>
            <w:right w:val="none" w:sz="0" w:space="0" w:color="auto"/>
          </w:divBdr>
          <w:divsChild>
            <w:div w:id="1148010577">
              <w:marLeft w:val="0"/>
              <w:marRight w:val="0"/>
              <w:marTop w:val="0"/>
              <w:marBottom w:val="0"/>
              <w:divBdr>
                <w:top w:val="none" w:sz="0" w:space="0" w:color="auto"/>
                <w:left w:val="none" w:sz="0" w:space="0" w:color="auto"/>
                <w:bottom w:val="none" w:sz="0" w:space="0" w:color="auto"/>
                <w:right w:val="none" w:sz="0" w:space="0" w:color="auto"/>
              </w:divBdr>
            </w:div>
          </w:divsChild>
        </w:div>
        <w:div w:id="77022495">
          <w:marLeft w:val="0"/>
          <w:marRight w:val="0"/>
          <w:marTop w:val="0"/>
          <w:marBottom w:val="0"/>
          <w:divBdr>
            <w:top w:val="none" w:sz="0" w:space="0" w:color="auto"/>
            <w:left w:val="none" w:sz="0" w:space="0" w:color="auto"/>
            <w:bottom w:val="none" w:sz="0" w:space="0" w:color="auto"/>
            <w:right w:val="none" w:sz="0" w:space="0" w:color="auto"/>
          </w:divBdr>
          <w:divsChild>
            <w:div w:id="259609572">
              <w:marLeft w:val="0"/>
              <w:marRight w:val="0"/>
              <w:marTop w:val="0"/>
              <w:marBottom w:val="0"/>
              <w:divBdr>
                <w:top w:val="none" w:sz="0" w:space="0" w:color="auto"/>
                <w:left w:val="none" w:sz="0" w:space="0" w:color="auto"/>
                <w:bottom w:val="none" w:sz="0" w:space="0" w:color="auto"/>
                <w:right w:val="none" w:sz="0" w:space="0" w:color="auto"/>
              </w:divBdr>
            </w:div>
          </w:divsChild>
        </w:div>
        <w:div w:id="103309631">
          <w:marLeft w:val="0"/>
          <w:marRight w:val="0"/>
          <w:marTop w:val="0"/>
          <w:marBottom w:val="0"/>
          <w:divBdr>
            <w:top w:val="none" w:sz="0" w:space="0" w:color="auto"/>
            <w:left w:val="none" w:sz="0" w:space="0" w:color="auto"/>
            <w:bottom w:val="none" w:sz="0" w:space="0" w:color="auto"/>
            <w:right w:val="none" w:sz="0" w:space="0" w:color="auto"/>
          </w:divBdr>
          <w:divsChild>
            <w:div w:id="539174718">
              <w:marLeft w:val="0"/>
              <w:marRight w:val="0"/>
              <w:marTop w:val="0"/>
              <w:marBottom w:val="0"/>
              <w:divBdr>
                <w:top w:val="none" w:sz="0" w:space="0" w:color="auto"/>
                <w:left w:val="none" w:sz="0" w:space="0" w:color="auto"/>
                <w:bottom w:val="none" w:sz="0" w:space="0" w:color="auto"/>
                <w:right w:val="none" w:sz="0" w:space="0" w:color="auto"/>
              </w:divBdr>
            </w:div>
          </w:divsChild>
        </w:div>
        <w:div w:id="162284459">
          <w:marLeft w:val="0"/>
          <w:marRight w:val="0"/>
          <w:marTop w:val="0"/>
          <w:marBottom w:val="0"/>
          <w:divBdr>
            <w:top w:val="none" w:sz="0" w:space="0" w:color="auto"/>
            <w:left w:val="none" w:sz="0" w:space="0" w:color="auto"/>
            <w:bottom w:val="none" w:sz="0" w:space="0" w:color="auto"/>
            <w:right w:val="none" w:sz="0" w:space="0" w:color="auto"/>
          </w:divBdr>
          <w:divsChild>
            <w:div w:id="2010474643">
              <w:marLeft w:val="0"/>
              <w:marRight w:val="0"/>
              <w:marTop w:val="0"/>
              <w:marBottom w:val="0"/>
              <w:divBdr>
                <w:top w:val="none" w:sz="0" w:space="0" w:color="auto"/>
                <w:left w:val="none" w:sz="0" w:space="0" w:color="auto"/>
                <w:bottom w:val="none" w:sz="0" w:space="0" w:color="auto"/>
                <w:right w:val="none" w:sz="0" w:space="0" w:color="auto"/>
              </w:divBdr>
            </w:div>
          </w:divsChild>
        </w:div>
        <w:div w:id="168326478">
          <w:marLeft w:val="0"/>
          <w:marRight w:val="0"/>
          <w:marTop w:val="0"/>
          <w:marBottom w:val="0"/>
          <w:divBdr>
            <w:top w:val="none" w:sz="0" w:space="0" w:color="auto"/>
            <w:left w:val="none" w:sz="0" w:space="0" w:color="auto"/>
            <w:bottom w:val="none" w:sz="0" w:space="0" w:color="auto"/>
            <w:right w:val="none" w:sz="0" w:space="0" w:color="auto"/>
          </w:divBdr>
          <w:divsChild>
            <w:div w:id="560747493">
              <w:marLeft w:val="0"/>
              <w:marRight w:val="0"/>
              <w:marTop w:val="0"/>
              <w:marBottom w:val="0"/>
              <w:divBdr>
                <w:top w:val="none" w:sz="0" w:space="0" w:color="auto"/>
                <w:left w:val="none" w:sz="0" w:space="0" w:color="auto"/>
                <w:bottom w:val="none" w:sz="0" w:space="0" w:color="auto"/>
                <w:right w:val="none" w:sz="0" w:space="0" w:color="auto"/>
              </w:divBdr>
            </w:div>
          </w:divsChild>
        </w:div>
        <w:div w:id="176307131">
          <w:marLeft w:val="0"/>
          <w:marRight w:val="0"/>
          <w:marTop w:val="0"/>
          <w:marBottom w:val="0"/>
          <w:divBdr>
            <w:top w:val="none" w:sz="0" w:space="0" w:color="auto"/>
            <w:left w:val="none" w:sz="0" w:space="0" w:color="auto"/>
            <w:bottom w:val="none" w:sz="0" w:space="0" w:color="auto"/>
            <w:right w:val="none" w:sz="0" w:space="0" w:color="auto"/>
          </w:divBdr>
          <w:divsChild>
            <w:div w:id="724915163">
              <w:marLeft w:val="0"/>
              <w:marRight w:val="0"/>
              <w:marTop w:val="0"/>
              <w:marBottom w:val="0"/>
              <w:divBdr>
                <w:top w:val="none" w:sz="0" w:space="0" w:color="auto"/>
                <w:left w:val="none" w:sz="0" w:space="0" w:color="auto"/>
                <w:bottom w:val="none" w:sz="0" w:space="0" w:color="auto"/>
                <w:right w:val="none" w:sz="0" w:space="0" w:color="auto"/>
              </w:divBdr>
            </w:div>
          </w:divsChild>
        </w:div>
        <w:div w:id="216625967">
          <w:marLeft w:val="0"/>
          <w:marRight w:val="0"/>
          <w:marTop w:val="0"/>
          <w:marBottom w:val="0"/>
          <w:divBdr>
            <w:top w:val="none" w:sz="0" w:space="0" w:color="auto"/>
            <w:left w:val="none" w:sz="0" w:space="0" w:color="auto"/>
            <w:bottom w:val="none" w:sz="0" w:space="0" w:color="auto"/>
            <w:right w:val="none" w:sz="0" w:space="0" w:color="auto"/>
          </w:divBdr>
          <w:divsChild>
            <w:div w:id="99882866">
              <w:marLeft w:val="0"/>
              <w:marRight w:val="0"/>
              <w:marTop w:val="0"/>
              <w:marBottom w:val="0"/>
              <w:divBdr>
                <w:top w:val="none" w:sz="0" w:space="0" w:color="auto"/>
                <w:left w:val="none" w:sz="0" w:space="0" w:color="auto"/>
                <w:bottom w:val="none" w:sz="0" w:space="0" w:color="auto"/>
                <w:right w:val="none" w:sz="0" w:space="0" w:color="auto"/>
              </w:divBdr>
            </w:div>
          </w:divsChild>
        </w:div>
        <w:div w:id="218707580">
          <w:marLeft w:val="0"/>
          <w:marRight w:val="0"/>
          <w:marTop w:val="0"/>
          <w:marBottom w:val="0"/>
          <w:divBdr>
            <w:top w:val="none" w:sz="0" w:space="0" w:color="auto"/>
            <w:left w:val="none" w:sz="0" w:space="0" w:color="auto"/>
            <w:bottom w:val="none" w:sz="0" w:space="0" w:color="auto"/>
            <w:right w:val="none" w:sz="0" w:space="0" w:color="auto"/>
          </w:divBdr>
          <w:divsChild>
            <w:div w:id="647706878">
              <w:marLeft w:val="0"/>
              <w:marRight w:val="0"/>
              <w:marTop w:val="0"/>
              <w:marBottom w:val="0"/>
              <w:divBdr>
                <w:top w:val="none" w:sz="0" w:space="0" w:color="auto"/>
                <w:left w:val="none" w:sz="0" w:space="0" w:color="auto"/>
                <w:bottom w:val="none" w:sz="0" w:space="0" w:color="auto"/>
                <w:right w:val="none" w:sz="0" w:space="0" w:color="auto"/>
              </w:divBdr>
            </w:div>
          </w:divsChild>
        </w:div>
        <w:div w:id="230390654">
          <w:marLeft w:val="0"/>
          <w:marRight w:val="0"/>
          <w:marTop w:val="0"/>
          <w:marBottom w:val="0"/>
          <w:divBdr>
            <w:top w:val="none" w:sz="0" w:space="0" w:color="auto"/>
            <w:left w:val="none" w:sz="0" w:space="0" w:color="auto"/>
            <w:bottom w:val="none" w:sz="0" w:space="0" w:color="auto"/>
            <w:right w:val="none" w:sz="0" w:space="0" w:color="auto"/>
          </w:divBdr>
          <w:divsChild>
            <w:div w:id="200486342">
              <w:marLeft w:val="0"/>
              <w:marRight w:val="0"/>
              <w:marTop w:val="0"/>
              <w:marBottom w:val="0"/>
              <w:divBdr>
                <w:top w:val="none" w:sz="0" w:space="0" w:color="auto"/>
                <w:left w:val="none" w:sz="0" w:space="0" w:color="auto"/>
                <w:bottom w:val="none" w:sz="0" w:space="0" w:color="auto"/>
                <w:right w:val="none" w:sz="0" w:space="0" w:color="auto"/>
              </w:divBdr>
            </w:div>
          </w:divsChild>
        </w:div>
        <w:div w:id="250432725">
          <w:marLeft w:val="0"/>
          <w:marRight w:val="0"/>
          <w:marTop w:val="0"/>
          <w:marBottom w:val="0"/>
          <w:divBdr>
            <w:top w:val="none" w:sz="0" w:space="0" w:color="auto"/>
            <w:left w:val="none" w:sz="0" w:space="0" w:color="auto"/>
            <w:bottom w:val="none" w:sz="0" w:space="0" w:color="auto"/>
            <w:right w:val="none" w:sz="0" w:space="0" w:color="auto"/>
          </w:divBdr>
          <w:divsChild>
            <w:div w:id="596140723">
              <w:marLeft w:val="0"/>
              <w:marRight w:val="0"/>
              <w:marTop w:val="0"/>
              <w:marBottom w:val="0"/>
              <w:divBdr>
                <w:top w:val="none" w:sz="0" w:space="0" w:color="auto"/>
                <w:left w:val="none" w:sz="0" w:space="0" w:color="auto"/>
                <w:bottom w:val="none" w:sz="0" w:space="0" w:color="auto"/>
                <w:right w:val="none" w:sz="0" w:space="0" w:color="auto"/>
              </w:divBdr>
            </w:div>
          </w:divsChild>
        </w:div>
        <w:div w:id="277104938">
          <w:marLeft w:val="0"/>
          <w:marRight w:val="0"/>
          <w:marTop w:val="0"/>
          <w:marBottom w:val="0"/>
          <w:divBdr>
            <w:top w:val="none" w:sz="0" w:space="0" w:color="auto"/>
            <w:left w:val="none" w:sz="0" w:space="0" w:color="auto"/>
            <w:bottom w:val="none" w:sz="0" w:space="0" w:color="auto"/>
            <w:right w:val="none" w:sz="0" w:space="0" w:color="auto"/>
          </w:divBdr>
          <w:divsChild>
            <w:div w:id="846746390">
              <w:marLeft w:val="0"/>
              <w:marRight w:val="0"/>
              <w:marTop w:val="0"/>
              <w:marBottom w:val="0"/>
              <w:divBdr>
                <w:top w:val="none" w:sz="0" w:space="0" w:color="auto"/>
                <w:left w:val="none" w:sz="0" w:space="0" w:color="auto"/>
                <w:bottom w:val="none" w:sz="0" w:space="0" w:color="auto"/>
                <w:right w:val="none" w:sz="0" w:space="0" w:color="auto"/>
              </w:divBdr>
            </w:div>
          </w:divsChild>
        </w:div>
        <w:div w:id="289240529">
          <w:marLeft w:val="0"/>
          <w:marRight w:val="0"/>
          <w:marTop w:val="0"/>
          <w:marBottom w:val="0"/>
          <w:divBdr>
            <w:top w:val="none" w:sz="0" w:space="0" w:color="auto"/>
            <w:left w:val="none" w:sz="0" w:space="0" w:color="auto"/>
            <w:bottom w:val="none" w:sz="0" w:space="0" w:color="auto"/>
            <w:right w:val="none" w:sz="0" w:space="0" w:color="auto"/>
          </w:divBdr>
          <w:divsChild>
            <w:div w:id="881209554">
              <w:marLeft w:val="0"/>
              <w:marRight w:val="0"/>
              <w:marTop w:val="0"/>
              <w:marBottom w:val="0"/>
              <w:divBdr>
                <w:top w:val="none" w:sz="0" w:space="0" w:color="auto"/>
                <w:left w:val="none" w:sz="0" w:space="0" w:color="auto"/>
                <w:bottom w:val="none" w:sz="0" w:space="0" w:color="auto"/>
                <w:right w:val="none" w:sz="0" w:space="0" w:color="auto"/>
              </w:divBdr>
            </w:div>
          </w:divsChild>
        </w:div>
        <w:div w:id="312368567">
          <w:marLeft w:val="0"/>
          <w:marRight w:val="0"/>
          <w:marTop w:val="0"/>
          <w:marBottom w:val="0"/>
          <w:divBdr>
            <w:top w:val="none" w:sz="0" w:space="0" w:color="auto"/>
            <w:left w:val="none" w:sz="0" w:space="0" w:color="auto"/>
            <w:bottom w:val="none" w:sz="0" w:space="0" w:color="auto"/>
            <w:right w:val="none" w:sz="0" w:space="0" w:color="auto"/>
          </w:divBdr>
          <w:divsChild>
            <w:div w:id="1441298334">
              <w:marLeft w:val="0"/>
              <w:marRight w:val="0"/>
              <w:marTop w:val="0"/>
              <w:marBottom w:val="0"/>
              <w:divBdr>
                <w:top w:val="none" w:sz="0" w:space="0" w:color="auto"/>
                <w:left w:val="none" w:sz="0" w:space="0" w:color="auto"/>
                <w:bottom w:val="none" w:sz="0" w:space="0" w:color="auto"/>
                <w:right w:val="none" w:sz="0" w:space="0" w:color="auto"/>
              </w:divBdr>
            </w:div>
          </w:divsChild>
        </w:div>
        <w:div w:id="313878356">
          <w:marLeft w:val="0"/>
          <w:marRight w:val="0"/>
          <w:marTop w:val="0"/>
          <w:marBottom w:val="0"/>
          <w:divBdr>
            <w:top w:val="none" w:sz="0" w:space="0" w:color="auto"/>
            <w:left w:val="none" w:sz="0" w:space="0" w:color="auto"/>
            <w:bottom w:val="none" w:sz="0" w:space="0" w:color="auto"/>
            <w:right w:val="none" w:sz="0" w:space="0" w:color="auto"/>
          </w:divBdr>
          <w:divsChild>
            <w:div w:id="1715613236">
              <w:marLeft w:val="0"/>
              <w:marRight w:val="0"/>
              <w:marTop w:val="0"/>
              <w:marBottom w:val="0"/>
              <w:divBdr>
                <w:top w:val="none" w:sz="0" w:space="0" w:color="auto"/>
                <w:left w:val="none" w:sz="0" w:space="0" w:color="auto"/>
                <w:bottom w:val="none" w:sz="0" w:space="0" w:color="auto"/>
                <w:right w:val="none" w:sz="0" w:space="0" w:color="auto"/>
              </w:divBdr>
            </w:div>
          </w:divsChild>
        </w:div>
        <w:div w:id="342098388">
          <w:marLeft w:val="0"/>
          <w:marRight w:val="0"/>
          <w:marTop w:val="0"/>
          <w:marBottom w:val="0"/>
          <w:divBdr>
            <w:top w:val="none" w:sz="0" w:space="0" w:color="auto"/>
            <w:left w:val="none" w:sz="0" w:space="0" w:color="auto"/>
            <w:bottom w:val="none" w:sz="0" w:space="0" w:color="auto"/>
            <w:right w:val="none" w:sz="0" w:space="0" w:color="auto"/>
          </w:divBdr>
          <w:divsChild>
            <w:div w:id="304315958">
              <w:marLeft w:val="0"/>
              <w:marRight w:val="0"/>
              <w:marTop w:val="0"/>
              <w:marBottom w:val="0"/>
              <w:divBdr>
                <w:top w:val="none" w:sz="0" w:space="0" w:color="auto"/>
                <w:left w:val="none" w:sz="0" w:space="0" w:color="auto"/>
                <w:bottom w:val="none" w:sz="0" w:space="0" w:color="auto"/>
                <w:right w:val="none" w:sz="0" w:space="0" w:color="auto"/>
              </w:divBdr>
            </w:div>
          </w:divsChild>
        </w:div>
        <w:div w:id="403533312">
          <w:marLeft w:val="0"/>
          <w:marRight w:val="0"/>
          <w:marTop w:val="0"/>
          <w:marBottom w:val="0"/>
          <w:divBdr>
            <w:top w:val="none" w:sz="0" w:space="0" w:color="auto"/>
            <w:left w:val="none" w:sz="0" w:space="0" w:color="auto"/>
            <w:bottom w:val="none" w:sz="0" w:space="0" w:color="auto"/>
            <w:right w:val="none" w:sz="0" w:space="0" w:color="auto"/>
          </w:divBdr>
          <w:divsChild>
            <w:div w:id="388459248">
              <w:marLeft w:val="0"/>
              <w:marRight w:val="0"/>
              <w:marTop w:val="0"/>
              <w:marBottom w:val="0"/>
              <w:divBdr>
                <w:top w:val="none" w:sz="0" w:space="0" w:color="auto"/>
                <w:left w:val="none" w:sz="0" w:space="0" w:color="auto"/>
                <w:bottom w:val="none" w:sz="0" w:space="0" w:color="auto"/>
                <w:right w:val="none" w:sz="0" w:space="0" w:color="auto"/>
              </w:divBdr>
            </w:div>
          </w:divsChild>
        </w:div>
        <w:div w:id="411006204">
          <w:marLeft w:val="0"/>
          <w:marRight w:val="0"/>
          <w:marTop w:val="0"/>
          <w:marBottom w:val="0"/>
          <w:divBdr>
            <w:top w:val="none" w:sz="0" w:space="0" w:color="auto"/>
            <w:left w:val="none" w:sz="0" w:space="0" w:color="auto"/>
            <w:bottom w:val="none" w:sz="0" w:space="0" w:color="auto"/>
            <w:right w:val="none" w:sz="0" w:space="0" w:color="auto"/>
          </w:divBdr>
          <w:divsChild>
            <w:div w:id="762914289">
              <w:marLeft w:val="0"/>
              <w:marRight w:val="0"/>
              <w:marTop w:val="0"/>
              <w:marBottom w:val="0"/>
              <w:divBdr>
                <w:top w:val="none" w:sz="0" w:space="0" w:color="auto"/>
                <w:left w:val="none" w:sz="0" w:space="0" w:color="auto"/>
                <w:bottom w:val="none" w:sz="0" w:space="0" w:color="auto"/>
                <w:right w:val="none" w:sz="0" w:space="0" w:color="auto"/>
              </w:divBdr>
            </w:div>
          </w:divsChild>
        </w:div>
        <w:div w:id="413016759">
          <w:marLeft w:val="0"/>
          <w:marRight w:val="0"/>
          <w:marTop w:val="0"/>
          <w:marBottom w:val="0"/>
          <w:divBdr>
            <w:top w:val="none" w:sz="0" w:space="0" w:color="auto"/>
            <w:left w:val="none" w:sz="0" w:space="0" w:color="auto"/>
            <w:bottom w:val="none" w:sz="0" w:space="0" w:color="auto"/>
            <w:right w:val="none" w:sz="0" w:space="0" w:color="auto"/>
          </w:divBdr>
          <w:divsChild>
            <w:div w:id="968435752">
              <w:marLeft w:val="0"/>
              <w:marRight w:val="0"/>
              <w:marTop w:val="0"/>
              <w:marBottom w:val="0"/>
              <w:divBdr>
                <w:top w:val="none" w:sz="0" w:space="0" w:color="auto"/>
                <w:left w:val="none" w:sz="0" w:space="0" w:color="auto"/>
                <w:bottom w:val="none" w:sz="0" w:space="0" w:color="auto"/>
                <w:right w:val="none" w:sz="0" w:space="0" w:color="auto"/>
              </w:divBdr>
            </w:div>
          </w:divsChild>
        </w:div>
        <w:div w:id="419106909">
          <w:marLeft w:val="0"/>
          <w:marRight w:val="0"/>
          <w:marTop w:val="0"/>
          <w:marBottom w:val="0"/>
          <w:divBdr>
            <w:top w:val="none" w:sz="0" w:space="0" w:color="auto"/>
            <w:left w:val="none" w:sz="0" w:space="0" w:color="auto"/>
            <w:bottom w:val="none" w:sz="0" w:space="0" w:color="auto"/>
            <w:right w:val="none" w:sz="0" w:space="0" w:color="auto"/>
          </w:divBdr>
          <w:divsChild>
            <w:div w:id="404036143">
              <w:marLeft w:val="0"/>
              <w:marRight w:val="0"/>
              <w:marTop w:val="0"/>
              <w:marBottom w:val="0"/>
              <w:divBdr>
                <w:top w:val="none" w:sz="0" w:space="0" w:color="auto"/>
                <w:left w:val="none" w:sz="0" w:space="0" w:color="auto"/>
                <w:bottom w:val="none" w:sz="0" w:space="0" w:color="auto"/>
                <w:right w:val="none" w:sz="0" w:space="0" w:color="auto"/>
              </w:divBdr>
            </w:div>
          </w:divsChild>
        </w:div>
        <w:div w:id="482115268">
          <w:marLeft w:val="0"/>
          <w:marRight w:val="0"/>
          <w:marTop w:val="0"/>
          <w:marBottom w:val="0"/>
          <w:divBdr>
            <w:top w:val="none" w:sz="0" w:space="0" w:color="auto"/>
            <w:left w:val="none" w:sz="0" w:space="0" w:color="auto"/>
            <w:bottom w:val="none" w:sz="0" w:space="0" w:color="auto"/>
            <w:right w:val="none" w:sz="0" w:space="0" w:color="auto"/>
          </w:divBdr>
          <w:divsChild>
            <w:div w:id="830489362">
              <w:marLeft w:val="0"/>
              <w:marRight w:val="0"/>
              <w:marTop w:val="0"/>
              <w:marBottom w:val="0"/>
              <w:divBdr>
                <w:top w:val="none" w:sz="0" w:space="0" w:color="auto"/>
                <w:left w:val="none" w:sz="0" w:space="0" w:color="auto"/>
                <w:bottom w:val="none" w:sz="0" w:space="0" w:color="auto"/>
                <w:right w:val="none" w:sz="0" w:space="0" w:color="auto"/>
              </w:divBdr>
            </w:div>
          </w:divsChild>
        </w:div>
        <w:div w:id="514803880">
          <w:marLeft w:val="0"/>
          <w:marRight w:val="0"/>
          <w:marTop w:val="0"/>
          <w:marBottom w:val="0"/>
          <w:divBdr>
            <w:top w:val="none" w:sz="0" w:space="0" w:color="auto"/>
            <w:left w:val="none" w:sz="0" w:space="0" w:color="auto"/>
            <w:bottom w:val="none" w:sz="0" w:space="0" w:color="auto"/>
            <w:right w:val="none" w:sz="0" w:space="0" w:color="auto"/>
          </w:divBdr>
          <w:divsChild>
            <w:div w:id="881753154">
              <w:marLeft w:val="0"/>
              <w:marRight w:val="0"/>
              <w:marTop w:val="0"/>
              <w:marBottom w:val="0"/>
              <w:divBdr>
                <w:top w:val="none" w:sz="0" w:space="0" w:color="auto"/>
                <w:left w:val="none" w:sz="0" w:space="0" w:color="auto"/>
                <w:bottom w:val="none" w:sz="0" w:space="0" w:color="auto"/>
                <w:right w:val="none" w:sz="0" w:space="0" w:color="auto"/>
              </w:divBdr>
            </w:div>
          </w:divsChild>
        </w:div>
        <w:div w:id="517088651">
          <w:marLeft w:val="0"/>
          <w:marRight w:val="0"/>
          <w:marTop w:val="0"/>
          <w:marBottom w:val="0"/>
          <w:divBdr>
            <w:top w:val="none" w:sz="0" w:space="0" w:color="auto"/>
            <w:left w:val="none" w:sz="0" w:space="0" w:color="auto"/>
            <w:bottom w:val="none" w:sz="0" w:space="0" w:color="auto"/>
            <w:right w:val="none" w:sz="0" w:space="0" w:color="auto"/>
          </w:divBdr>
          <w:divsChild>
            <w:div w:id="1627926749">
              <w:marLeft w:val="0"/>
              <w:marRight w:val="0"/>
              <w:marTop w:val="0"/>
              <w:marBottom w:val="0"/>
              <w:divBdr>
                <w:top w:val="none" w:sz="0" w:space="0" w:color="auto"/>
                <w:left w:val="none" w:sz="0" w:space="0" w:color="auto"/>
                <w:bottom w:val="none" w:sz="0" w:space="0" w:color="auto"/>
                <w:right w:val="none" w:sz="0" w:space="0" w:color="auto"/>
              </w:divBdr>
            </w:div>
          </w:divsChild>
        </w:div>
        <w:div w:id="562913833">
          <w:marLeft w:val="0"/>
          <w:marRight w:val="0"/>
          <w:marTop w:val="0"/>
          <w:marBottom w:val="0"/>
          <w:divBdr>
            <w:top w:val="none" w:sz="0" w:space="0" w:color="auto"/>
            <w:left w:val="none" w:sz="0" w:space="0" w:color="auto"/>
            <w:bottom w:val="none" w:sz="0" w:space="0" w:color="auto"/>
            <w:right w:val="none" w:sz="0" w:space="0" w:color="auto"/>
          </w:divBdr>
          <w:divsChild>
            <w:div w:id="162403420">
              <w:marLeft w:val="0"/>
              <w:marRight w:val="0"/>
              <w:marTop w:val="0"/>
              <w:marBottom w:val="0"/>
              <w:divBdr>
                <w:top w:val="none" w:sz="0" w:space="0" w:color="auto"/>
                <w:left w:val="none" w:sz="0" w:space="0" w:color="auto"/>
                <w:bottom w:val="none" w:sz="0" w:space="0" w:color="auto"/>
                <w:right w:val="none" w:sz="0" w:space="0" w:color="auto"/>
              </w:divBdr>
            </w:div>
          </w:divsChild>
        </w:div>
        <w:div w:id="587618542">
          <w:marLeft w:val="0"/>
          <w:marRight w:val="0"/>
          <w:marTop w:val="0"/>
          <w:marBottom w:val="0"/>
          <w:divBdr>
            <w:top w:val="none" w:sz="0" w:space="0" w:color="auto"/>
            <w:left w:val="none" w:sz="0" w:space="0" w:color="auto"/>
            <w:bottom w:val="none" w:sz="0" w:space="0" w:color="auto"/>
            <w:right w:val="none" w:sz="0" w:space="0" w:color="auto"/>
          </w:divBdr>
          <w:divsChild>
            <w:div w:id="1775709491">
              <w:marLeft w:val="0"/>
              <w:marRight w:val="0"/>
              <w:marTop w:val="0"/>
              <w:marBottom w:val="0"/>
              <w:divBdr>
                <w:top w:val="none" w:sz="0" w:space="0" w:color="auto"/>
                <w:left w:val="none" w:sz="0" w:space="0" w:color="auto"/>
                <w:bottom w:val="none" w:sz="0" w:space="0" w:color="auto"/>
                <w:right w:val="none" w:sz="0" w:space="0" w:color="auto"/>
              </w:divBdr>
            </w:div>
          </w:divsChild>
        </w:div>
        <w:div w:id="668678311">
          <w:marLeft w:val="0"/>
          <w:marRight w:val="0"/>
          <w:marTop w:val="0"/>
          <w:marBottom w:val="0"/>
          <w:divBdr>
            <w:top w:val="none" w:sz="0" w:space="0" w:color="auto"/>
            <w:left w:val="none" w:sz="0" w:space="0" w:color="auto"/>
            <w:bottom w:val="none" w:sz="0" w:space="0" w:color="auto"/>
            <w:right w:val="none" w:sz="0" w:space="0" w:color="auto"/>
          </w:divBdr>
          <w:divsChild>
            <w:div w:id="1680623028">
              <w:marLeft w:val="0"/>
              <w:marRight w:val="0"/>
              <w:marTop w:val="0"/>
              <w:marBottom w:val="0"/>
              <w:divBdr>
                <w:top w:val="none" w:sz="0" w:space="0" w:color="auto"/>
                <w:left w:val="none" w:sz="0" w:space="0" w:color="auto"/>
                <w:bottom w:val="none" w:sz="0" w:space="0" w:color="auto"/>
                <w:right w:val="none" w:sz="0" w:space="0" w:color="auto"/>
              </w:divBdr>
            </w:div>
          </w:divsChild>
        </w:div>
        <w:div w:id="673383342">
          <w:marLeft w:val="0"/>
          <w:marRight w:val="0"/>
          <w:marTop w:val="0"/>
          <w:marBottom w:val="0"/>
          <w:divBdr>
            <w:top w:val="none" w:sz="0" w:space="0" w:color="auto"/>
            <w:left w:val="none" w:sz="0" w:space="0" w:color="auto"/>
            <w:bottom w:val="none" w:sz="0" w:space="0" w:color="auto"/>
            <w:right w:val="none" w:sz="0" w:space="0" w:color="auto"/>
          </w:divBdr>
          <w:divsChild>
            <w:div w:id="94792486">
              <w:marLeft w:val="0"/>
              <w:marRight w:val="0"/>
              <w:marTop w:val="0"/>
              <w:marBottom w:val="0"/>
              <w:divBdr>
                <w:top w:val="none" w:sz="0" w:space="0" w:color="auto"/>
                <w:left w:val="none" w:sz="0" w:space="0" w:color="auto"/>
                <w:bottom w:val="none" w:sz="0" w:space="0" w:color="auto"/>
                <w:right w:val="none" w:sz="0" w:space="0" w:color="auto"/>
              </w:divBdr>
            </w:div>
          </w:divsChild>
        </w:div>
        <w:div w:id="675039663">
          <w:marLeft w:val="0"/>
          <w:marRight w:val="0"/>
          <w:marTop w:val="0"/>
          <w:marBottom w:val="0"/>
          <w:divBdr>
            <w:top w:val="none" w:sz="0" w:space="0" w:color="auto"/>
            <w:left w:val="none" w:sz="0" w:space="0" w:color="auto"/>
            <w:bottom w:val="none" w:sz="0" w:space="0" w:color="auto"/>
            <w:right w:val="none" w:sz="0" w:space="0" w:color="auto"/>
          </w:divBdr>
          <w:divsChild>
            <w:div w:id="1510676880">
              <w:marLeft w:val="0"/>
              <w:marRight w:val="0"/>
              <w:marTop w:val="0"/>
              <w:marBottom w:val="0"/>
              <w:divBdr>
                <w:top w:val="none" w:sz="0" w:space="0" w:color="auto"/>
                <w:left w:val="none" w:sz="0" w:space="0" w:color="auto"/>
                <w:bottom w:val="none" w:sz="0" w:space="0" w:color="auto"/>
                <w:right w:val="none" w:sz="0" w:space="0" w:color="auto"/>
              </w:divBdr>
            </w:div>
          </w:divsChild>
        </w:div>
        <w:div w:id="713968659">
          <w:marLeft w:val="0"/>
          <w:marRight w:val="0"/>
          <w:marTop w:val="0"/>
          <w:marBottom w:val="0"/>
          <w:divBdr>
            <w:top w:val="none" w:sz="0" w:space="0" w:color="auto"/>
            <w:left w:val="none" w:sz="0" w:space="0" w:color="auto"/>
            <w:bottom w:val="none" w:sz="0" w:space="0" w:color="auto"/>
            <w:right w:val="none" w:sz="0" w:space="0" w:color="auto"/>
          </w:divBdr>
          <w:divsChild>
            <w:div w:id="1553688558">
              <w:marLeft w:val="0"/>
              <w:marRight w:val="0"/>
              <w:marTop w:val="0"/>
              <w:marBottom w:val="0"/>
              <w:divBdr>
                <w:top w:val="none" w:sz="0" w:space="0" w:color="auto"/>
                <w:left w:val="none" w:sz="0" w:space="0" w:color="auto"/>
                <w:bottom w:val="none" w:sz="0" w:space="0" w:color="auto"/>
                <w:right w:val="none" w:sz="0" w:space="0" w:color="auto"/>
              </w:divBdr>
            </w:div>
          </w:divsChild>
        </w:div>
        <w:div w:id="744379824">
          <w:marLeft w:val="0"/>
          <w:marRight w:val="0"/>
          <w:marTop w:val="0"/>
          <w:marBottom w:val="0"/>
          <w:divBdr>
            <w:top w:val="none" w:sz="0" w:space="0" w:color="auto"/>
            <w:left w:val="none" w:sz="0" w:space="0" w:color="auto"/>
            <w:bottom w:val="none" w:sz="0" w:space="0" w:color="auto"/>
            <w:right w:val="none" w:sz="0" w:space="0" w:color="auto"/>
          </w:divBdr>
          <w:divsChild>
            <w:div w:id="959381839">
              <w:marLeft w:val="0"/>
              <w:marRight w:val="0"/>
              <w:marTop w:val="0"/>
              <w:marBottom w:val="0"/>
              <w:divBdr>
                <w:top w:val="none" w:sz="0" w:space="0" w:color="auto"/>
                <w:left w:val="none" w:sz="0" w:space="0" w:color="auto"/>
                <w:bottom w:val="none" w:sz="0" w:space="0" w:color="auto"/>
                <w:right w:val="none" w:sz="0" w:space="0" w:color="auto"/>
              </w:divBdr>
            </w:div>
          </w:divsChild>
        </w:div>
        <w:div w:id="775910317">
          <w:marLeft w:val="0"/>
          <w:marRight w:val="0"/>
          <w:marTop w:val="0"/>
          <w:marBottom w:val="0"/>
          <w:divBdr>
            <w:top w:val="none" w:sz="0" w:space="0" w:color="auto"/>
            <w:left w:val="none" w:sz="0" w:space="0" w:color="auto"/>
            <w:bottom w:val="none" w:sz="0" w:space="0" w:color="auto"/>
            <w:right w:val="none" w:sz="0" w:space="0" w:color="auto"/>
          </w:divBdr>
          <w:divsChild>
            <w:div w:id="527448720">
              <w:marLeft w:val="0"/>
              <w:marRight w:val="0"/>
              <w:marTop w:val="0"/>
              <w:marBottom w:val="0"/>
              <w:divBdr>
                <w:top w:val="none" w:sz="0" w:space="0" w:color="auto"/>
                <w:left w:val="none" w:sz="0" w:space="0" w:color="auto"/>
                <w:bottom w:val="none" w:sz="0" w:space="0" w:color="auto"/>
                <w:right w:val="none" w:sz="0" w:space="0" w:color="auto"/>
              </w:divBdr>
            </w:div>
          </w:divsChild>
        </w:div>
        <w:div w:id="776027504">
          <w:marLeft w:val="0"/>
          <w:marRight w:val="0"/>
          <w:marTop w:val="0"/>
          <w:marBottom w:val="0"/>
          <w:divBdr>
            <w:top w:val="none" w:sz="0" w:space="0" w:color="auto"/>
            <w:left w:val="none" w:sz="0" w:space="0" w:color="auto"/>
            <w:bottom w:val="none" w:sz="0" w:space="0" w:color="auto"/>
            <w:right w:val="none" w:sz="0" w:space="0" w:color="auto"/>
          </w:divBdr>
          <w:divsChild>
            <w:div w:id="1618609303">
              <w:marLeft w:val="0"/>
              <w:marRight w:val="0"/>
              <w:marTop w:val="0"/>
              <w:marBottom w:val="0"/>
              <w:divBdr>
                <w:top w:val="none" w:sz="0" w:space="0" w:color="auto"/>
                <w:left w:val="none" w:sz="0" w:space="0" w:color="auto"/>
                <w:bottom w:val="none" w:sz="0" w:space="0" w:color="auto"/>
                <w:right w:val="none" w:sz="0" w:space="0" w:color="auto"/>
              </w:divBdr>
            </w:div>
          </w:divsChild>
        </w:div>
        <w:div w:id="789935354">
          <w:marLeft w:val="0"/>
          <w:marRight w:val="0"/>
          <w:marTop w:val="0"/>
          <w:marBottom w:val="0"/>
          <w:divBdr>
            <w:top w:val="none" w:sz="0" w:space="0" w:color="auto"/>
            <w:left w:val="none" w:sz="0" w:space="0" w:color="auto"/>
            <w:bottom w:val="none" w:sz="0" w:space="0" w:color="auto"/>
            <w:right w:val="none" w:sz="0" w:space="0" w:color="auto"/>
          </w:divBdr>
          <w:divsChild>
            <w:div w:id="1391424174">
              <w:marLeft w:val="0"/>
              <w:marRight w:val="0"/>
              <w:marTop w:val="0"/>
              <w:marBottom w:val="0"/>
              <w:divBdr>
                <w:top w:val="none" w:sz="0" w:space="0" w:color="auto"/>
                <w:left w:val="none" w:sz="0" w:space="0" w:color="auto"/>
                <w:bottom w:val="none" w:sz="0" w:space="0" w:color="auto"/>
                <w:right w:val="none" w:sz="0" w:space="0" w:color="auto"/>
              </w:divBdr>
            </w:div>
          </w:divsChild>
        </w:div>
        <w:div w:id="799540786">
          <w:marLeft w:val="0"/>
          <w:marRight w:val="0"/>
          <w:marTop w:val="0"/>
          <w:marBottom w:val="0"/>
          <w:divBdr>
            <w:top w:val="none" w:sz="0" w:space="0" w:color="auto"/>
            <w:left w:val="none" w:sz="0" w:space="0" w:color="auto"/>
            <w:bottom w:val="none" w:sz="0" w:space="0" w:color="auto"/>
            <w:right w:val="none" w:sz="0" w:space="0" w:color="auto"/>
          </w:divBdr>
          <w:divsChild>
            <w:div w:id="1269652891">
              <w:marLeft w:val="0"/>
              <w:marRight w:val="0"/>
              <w:marTop w:val="0"/>
              <w:marBottom w:val="0"/>
              <w:divBdr>
                <w:top w:val="none" w:sz="0" w:space="0" w:color="auto"/>
                <w:left w:val="none" w:sz="0" w:space="0" w:color="auto"/>
                <w:bottom w:val="none" w:sz="0" w:space="0" w:color="auto"/>
                <w:right w:val="none" w:sz="0" w:space="0" w:color="auto"/>
              </w:divBdr>
            </w:div>
          </w:divsChild>
        </w:div>
        <w:div w:id="835459513">
          <w:marLeft w:val="0"/>
          <w:marRight w:val="0"/>
          <w:marTop w:val="0"/>
          <w:marBottom w:val="0"/>
          <w:divBdr>
            <w:top w:val="none" w:sz="0" w:space="0" w:color="auto"/>
            <w:left w:val="none" w:sz="0" w:space="0" w:color="auto"/>
            <w:bottom w:val="none" w:sz="0" w:space="0" w:color="auto"/>
            <w:right w:val="none" w:sz="0" w:space="0" w:color="auto"/>
          </w:divBdr>
          <w:divsChild>
            <w:div w:id="2092578831">
              <w:marLeft w:val="0"/>
              <w:marRight w:val="0"/>
              <w:marTop w:val="0"/>
              <w:marBottom w:val="0"/>
              <w:divBdr>
                <w:top w:val="none" w:sz="0" w:space="0" w:color="auto"/>
                <w:left w:val="none" w:sz="0" w:space="0" w:color="auto"/>
                <w:bottom w:val="none" w:sz="0" w:space="0" w:color="auto"/>
                <w:right w:val="none" w:sz="0" w:space="0" w:color="auto"/>
              </w:divBdr>
            </w:div>
          </w:divsChild>
        </w:div>
        <w:div w:id="837426558">
          <w:marLeft w:val="0"/>
          <w:marRight w:val="0"/>
          <w:marTop w:val="0"/>
          <w:marBottom w:val="0"/>
          <w:divBdr>
            <w:top w:val="none" w:sz="0" w:space="0" w:color="auto"/>
            <w:left w:val="none" w:sz="0" w:space="0" w:color="auto"/>
            <w:bottom w:val="none" w:sz="0" w:space="0" w:color="auto"/>
            <w:right w:val="none" w:sz="0" w:space="0" w:color="auto"/>
          </w:divBdr>
          <w:divsChild>
            <w:div w:id="1176572533">
              <w:marLeft w:val="0"/>
              <w:marRight w:val="0"/>
              <w:marTop w:val="0"/>
              <w:marBottom w:val="0"/>
              <w:divBdr>
                <w:top w:val="none" w:sz="0" w:space="0" w:color="auto"/>
                <w:left w:val="none" w:sz="0" w:space="0" w:color="auto"/>
                <w:bottom w:val="none" w:sz="0" w:space="0" w:color="auto"/>
                <w:right w:val="none" w:sz="0" w:space="0" w:color="auto"/>
              </w:divBdr>
            </w:div>
          </w:divsChild>
        </w:div>
        <w:div w:id="852064096">
          <w:marLeft w:val="0"/>
          <w:marRight w:val="0"/>
          <w:marTop w:val="0"/>
          <w:marBottom w:val="0"/>
          <w:divBdr>
            <w:top w:val="none" w:sz="0" w:space="0" w:color="auto"/>
            <w:left w:val="none" w:sz="0" w:space="0" w:color="auto"/>
            <w:bottom w:val="none" w:sz="0" w:space="0" w:color="auto"/>
            <w:right w:val="none" w:sz="0" w:space="0" w:color="auto"/>
          </w:divBdr>
          <w:divsChild>
            <w:div w:id="55593583">
              <w:marLeft w:val="0"/>
              <w:marRight w:val="0"/>
              <w:marTop w:val="0"/>
              <w:marBottom w:val="0"/>
              <w:divBdr>
                <w:top w:val="none" w:sz="0" w:space="0" w:color="auto"/>
                <w:left w:val="none" w:sz="0" w:space="0" w:color="auto"/>
                <w:bottom w:val="none" w:sz="0" w:space="0" w:color="auto"/>
                <w:right w:val="none" w:sz="0" w:space="0" w:color="auto"/>
              </w:divBdr>
            </w:div>
          </w:divsChild>
        </w:div>
        <w:div w:id="914122238">
          <w:marLeft w:val="0"/>
          <w:marRight w:val="0"/>
          <w:marTop w:val="0"/>
          <w:marBottom w:val="0"/>
          <w:divBdr>
            <w:top w:val="none" w:sz="0" w:space="0" w:color="auto"/>
            <w:left w:val="none" w:sz="0" w:space="0" w:color="auto"/>
            <w:bottom w:val="none" w:sz="0" w:space="0" w:color="auto"/>
            <w:right w:val="none" w:sz="0" w:space="0" w:color="auto"/>
          </w:divBdr>
          <w:divsChild>
            <w:div w:id="362175456">
              <w:marLeft w:val="0"/>
              <w:marRight w:val="0"/>
              <w:marTop w:val="0"/>
              <w:marBottom w:val="0"/>
              <w:divBdr>
                <w:top w:val="none" w:sz="0" w:space="0" w:color="auto"/>
                <w:left w:val="none" w:sz="0" w:space="0" w:color="auto"/>
                <w:bottom w:val="none" w:sz="0" w:space="0" w:color="auto"/>
                <w:right w:val="none" w:sz="0" w:space="0" w:color="auto"/>
              </w:divBdr>
            </w:div>
          </w:divsChild>
        </w:div>
        <w:div w:id="942345504">
          <w:marLeft w:val="0"/>
          <w:marRight w:val="0"/>
          <w:marTop w:val="0"/>
          <w:marBottom w:val="0"/>
          <w:divBdr>
            <w:top w:val="none" w:sz="0" w:space="0" w:color="auto"/>
            <w:left w:val="none" w:sz="0" w:space="0" w:color="auto"/>
            <w:bottom w:val="none" w:sz="0" w:space="0" w:color="auto"/>
            <w:right w:val="none" w:sz="0" w:space="0" w:color="auto"/>
          </w:divBdr>
          <w:divsChild>
            <w:div w:id="2056346655">
              <w:marLeft w:val="0"/>
              <w:marRight w:val="0"/>
              <w:marTop w:val="0"/>
              <w:marBottom w:val="0"/>
              <w:divBdr>
                <w:top w:val="none" w:sz="0" w:space="0" w:color="auto"/>
                <w:left w:val="none" w:sz="0" w:space="0" w:color="auto"/>
                <w:bottom w:val="none" w:sz="0" w:space="0" w:color="auto"/>
                <w:right w:val="none" w:sz="0" w:space="0" w:color="auto"/>
              </w:divBdr>
            </w:div>
          </w:divsChild>
        </w:div>
        <w:div w:id="1039864114">
          <w:marLeft w:val="0"/>
          <w:marRight w:val="0"/>
          <w:marTop w:val="0"/>
          <w:marBottom w:val="0"/>
          <w:divBdr>
            <w:top w:val="none" w:sz="0" w:space="0" w:color="auto"/>
            <w:left w:val="none" w:sz="0" w:space="0" w:color="auto"/>
            <w:bottom w:val="none" w:sz="0" w:space="0" w:color="auto"/>
            <w:right w:val="none" w:sz="0" w:space="0" w:color="auto"/>
          </w:divBdr>
          <w:divsChild>
            <w:div w:id="1221483808">
              <w:marLeft w:val="0"/>
              <w:marRight w:val="0"/>
              <w:marTop w:val="0"/>
              <w:marBottom w:val="0"/>
              <w:divBdr>
                <w:top w:val="none" w:sz="0" w:space="0" w:color="auto"/>
                <w:left w:val="none" w:sz="0" w:space="0" w:color="auto"/>
                <w:bottom w:val="none" w:sz="0" w:space="0" w:color="auto"/>
                <w:right w:val="none" w:sz="0" w:space="0" w:color="auto"/>
              </w:divBdr>
            </w:div>
          </w:divsChild>
        </w:div>
        <w:div w:id="1040088394">
          <w:marLeft w:val="0"/>
          <w:marRight w:val="0"/>
          <w:marTop w:val="0"/>
          <w:marBottom w:val="0"/>
          <w:divBdr>
            <w:top w:val="none" w:sz="0" w:space="0" w:color="auto"/>
            <w:left w:val="none" w:sz="0" w:space="0" w:color="auto"/>
            <w:bottom w:val="none" w:sz="0" w:space="0" w:color="auto"/>
            <w:right w:val="none" w:sz="0" w:space="0" w:color="auto"/>
          </w:divBdr>
          <w:divsChild>
            <w:div w:id="579220942">
              <w:marLeft w:val="0"/>
              <w:marRight w:val="0"/>
              <w:marTop w:val="0"/>
              <w:marBottom w:val="0"/>
              <w:divBdr>
                <w:top w:val="none" w:sz="0" w:space="0" w:color="auto"/>
                <w:left w:val="none" w:sz="0" w:space="0" w:color="auto"/>
                <w:bottom w:val="none" w:sz="0" w:space="0" w:color="auto"/>
                <w:right w:val="none" w:sz="0" w:space="0" w:color="auto"/>
              </w:divBdr>
            </w:div>
          </w:divsChild>
        </w:div>
        <w:div w:id="1057314603">
          <w:marLeft w:val="0"/>
          <w:marRight w:val="0"/>
          <w:marTop w:val="0"/>
          <w:marBottom w:val="0"/>
          <w:divBdr>
            <w:top w:val="none" w:sz="0" w:space="0" w:color="auto"/>
            <w:left w:val="none" w:sz="0" w:space="0" w:color="auto"/>
            <w:bottom w:val="none" w:sz="0" w:space="0" w:color="auto"/>
            <w:right w:val="none" w:sz="0" w:space="0" w:color="auto"/>
          </w:divBdr>
          <w:divsChild>
            <w:div w:id="642538904">
              <w:marLeft w:val="0"/>
              <w:marRight w:val="0"/>
              <w:marTop w:val="0"/>
              <w:marBottom w:val="0"/>
              <w:divBdr>
                <w:top w:val="none" w:sz="0" w:space="0" w:color="auto"/>
                <w:left w:val="none" w:sz="0" w:space="0" w:color="auto"/>
                <w:bottom w:val="none" w:sz="0" w:space="0" w:color="auto"/>
                <w:right w:val="none" w:sz="0" w:space="0" w:color="auto"/>
              </w:divBdr>
            </w:div>
          </w:divsChild>
        </w:div>
        <w:div w:id="1095436799">
          <w:marLeft w:val="0"/>
          <w:marRight w:val="0"/>
          <w:marTop w:val="0"/>
          <w:marBottom w:val="0"/>
          <w:divBdr>
            <w:top w:val="none" w:sz="0" w:space="0" w:color="auto"/>
            <w:left w:val="none" w:sz="0" w:space="0" w:color="auto"/>
            <w:bottom w:val="none" w:sz="0" w:space="0" w:color="auto"/>
            <w:right w:val="none" w:sz="0" w:space="0" w:color="auto"/>
          </w:divBdr>
          <w:divsChild>
            <w:div w:id="1209413930">
              <w:marLeft w:val="0"/>
              <w:marRight w:val="0"/>
              <w:marTop w:val="0"/>
              <w:marBottom w:val="0"/>
              <w:divBdr>
                <w:top w:val="none" w:sz="0" w:space="0" w:color="auto"/>
                <w:left w:val="none" w:sz="0" w:space="0" w:color="auto"/>
                <w:bottom w:val="none" w:sz="0" w:space="0" w:color="auto"/>
                <w:right w:val="none" w:sz="0" w:space="0" w:color="auto"/>
              </w:divBdr>
            </w:div>
          </w:divsChild>
        </w:div>
        <w:div w:id="1120878956">
          <w:marLeft w:val="0"/>
          <w:marRight w:val="0"/>
          <w:marTop w:val="0"/>
          <w:marBottom w:val="0"/>
          <w:divBdr>
            <w:top w:val="none" w:sz="0" w:space="0" w:color="auto"/>
            <w:left w:val="none" w:sz="0" w:space="0" w:color="auto"/>
            <w:bottom w:val="none" w:sz="0" w:space="0" w:color="auto"/>
            <w:right w:val="none" w:sz="0" w:space="0" w:color="auto"/>
          </w:divBdr>
          <w:divsChild>
            <w:div w:id="1614702391">
              <w:marLeft w:val="0"/>
              <w:marRight w:val="0"/>
              <w:marTop w:val="0"/>
              <w:marBottom w:val="0"/>
              <w:divBdr>
                <w:top w:val="none" w:sz="0" w:space="0" w:color="auto"/>
                <w:left w:val="none" w:sz="0" w:space="0" w:color="auto"/>
                <w:bottom w:val="none" w:sz="0" w:space="0" w:color="auto"/>
                <w:right w:val="none" w:sz="0" w:space="0" w:color="auto"/>
              </w:divBdr>
            </w:div>
          </w:divsChild>
        </w:div>
        <w:div w:id="1125004707">
          <w:marLeft w:val="0"/>
          <w:marRight w:val="0"/>
          <w:marTop w:val="0"/>
          <w:marBottom w:val="0"/>
          <w:divBdr>
            <w:top w:val="none" w:sz="0" w:space="0" w:color="auto"/>
            <w:left w:val="none" w:sz="0" w:space="0" w:color="auto"/>
            <w:bottom w:val="none" w:sz="0" w:space="0" w:color="auto"/>
            <w:right w:val="none" w:sz="0" w:space="0" w:color="auto"/>
          </w:divBdr>
          <w:divsChild>
            <w:div w:id="1857306940">
              <w:marLeft w:val="0"/>
              <w:marRight w:val="0"/>
              <w:marTop w:val="0"/>
              <w:marBottom w:val="0"/>
              <w:divBdr>
                <w:top w:val="none" w:sz="0" w:space="0" w:color="auto"/>
                <w:left w:val="none" w:sz="0" w:space="0" w:color="auto"/>
                <w:bottom w:val="none" w:sz="0" w:space="0" w:color="auto"/>
                <w:right w:val="none" w:sz="0" w:space="0" w:color="auto"/>
              </w:divBdr>
            </w:div>
          </w:divsChild>
        </w:div>
        <w:div w:id="1141262975">
          <w:marLeft w:val="0"/>
          <w:marRight w:val="0"/>
          <w:marTop w:val="0"/>
          <w:marBottom w:val="0"/>
          <w:divBdr>
            <w:top w:val="none" w:sz="0" w:space="0" w:color="auto"/>
            <w:left w:val="none" w:sz="0" w:space="0" w:color="auto"/>
            <w:bottom w:val="none" w:sz="0" w:space="0" w:color="auto"/>
            <w:right w:val="none" w:sz="0" w:space="0" w:color="auto"/>
          </w:divBdr>
          <w:divsChild>
            <w:div w:id="1293902400">
              <w:marLeft w:val="0"/>
              <w:marRight w:val="0"/>
              <w:marTop w:val="0"/>
              <w:marBottom w:val="0"/>
              <w:divBdr>
                <w:top w:val="none" w:sz="0" w:space="0" w:color="auto"/>
                <w:left w:val="none" w:sz="0" w:space="0" w:color="auto"/>
                <w:bottom w:val="none" w:sz="0" w:space="0" w:color="auto"/>
                <w:right w:val="none" w:sz="0" w:space="0" w:color="auto"/>
              </w:divBdr>
            </w:div>
          </w:divsChild>
        </w:div>
        <w:div w:id="1149251570">
          <w:marLeft w:val="0"/>
          <w:marRight w:val="0"/>
          <w:marTop w:val="0"/>
          <w:marBottom w:val="0"/>
          <w:divBdr>
            <w:top w:val="none" w:sz="0" w:space="0" w:color="auto"/>
            <w:left w:val="none" w:sz="0" w:space="0" w:color="auto"/>
            <w:bottom w:val="none" w:sz="0" w:space="0" w:color="auto"/>
            <w:right w:val="none" w:sz="0" w:space="0" w:color="auto"/>
          </w:divBdr>
          <w:divsChild>
            <w:div w:id="1324895202">
              <w:marLeft w:val="0"/>
              <w:marRight w:val="0"/>
              <w:marTop w:val="0"/>
              <w:marBottom w:val="0"/>
              <w:divBdr>
                <w:top w:val="none" w:sz="0" w:space="0" w:color="auto"/>
                <w:left w:val="none" w:sz="0" w:space="0" w:color="auto"/>
                <w:bottom w:val="none" w:sz="0" w:space="0" w:color="auto"/>
                <w:right w:val="none" w:sz="0" w:space="0" w:color="auto"/>
              </w:divBdr>
            </w:div>
          </w:divsChild>
        </w:div>
        <w:div w:id="1184199603">
          <w:marLeft w:val="0"/>
          <w:marRight w:val="0"/>
          <w:marTop w:val="0"/>
          <w:marBottom w:val="0"/>
          <w:divBdr>
            <w:top w:val="none" w:sz="0" w:space="0" w:color="auto"/>
            <w:left w:val="none" w:sz="0" w:space="0" w:color="auto"/>
            <w:bottom w:val="none" w:sz="0" w:space="0" w:color="auto"/>
            <w:right w:val="none" w:sz="0" w:space="0" w:color="auto"/>
          </w:divBdr>
          <w:divsChild>
            <w:div w:id="1946182478">
              <w:marLeft w:val="0"/>
              <w:marRight w:val="0"/>
              <w:marTop w:val="0"/>
              <w:marBottom w:val="0"/>
              <w:divBdr>
                <w:top w:val="none" w:sz="0" w:space="0" w:color="auto"/>
                <w:left w:val="none" w:sz="0" w:space="0" w:color="auto"/>
                <w:bottom w:val="none" w:sz="0" w:space="0" w:color="auto"/>
                <w:right w:val="none" w:sz="0" w:space="0" w:color="auto"/>
              </w:divBdr>
            </w:div>
          </w:divsChild>
        </w:div>
        <w:div w:id="1221861356">
          <w:marLeft w:val="0"/>
          <w:marRight w:val="0"/>
          <w:marTop w:val="0"/>
          <w:marBottom w:val="0"/>
          <w:divBdr>
            <w:top w:val="none" w:sz="0" w:space="0" w:color="auto"/>
            <w:left w:val="none" w:sz="0" w:space="0" w:color="auto"/>
            <w:bottom w:val="none" w:sz="0" w:space="0" w:color="auto"/>
            <w:right w:val="none" w:sz="0" w:space="0" w:color="auto"/>
          </w:divBdr>
          <w:divsChild>
            <w:div w:id="1498184654">
              <w:marLeft w:val="0"/>
              <w:marRight w:val="0"/>
              <w:marTop w:val="0"/>
              <w:marBottom w:val="0"/>
              <w:divBdr>
                <w:top w:val="none" w:sz="0" w:space="0" w:color="auto"/>
                <w:left w:val="none" w:sz="0" w:space="0" w:color="auto"/>
                <w:bottom w:val="none" w:sz="0" w:space="0" w:color="auto"/>
                <w:right w:val="none" w:sz="0" w:space="0" w:color="auto"/>
              </w:divBdr>
            </w:div>
          </w:divsChild>
        </w:div>
        <w:div w:id="1328359104">
          <w:marLeft w:val="0"/>
          <w:marRight w:val="0"/>
          <w:marTop w:val="0"/>
          <w:marBottom w:val="0"/>
          <w:divBdr>
            <w:top w:val="none" w:sz="0" w:space="0" w:color="auto"/>
            <w:left w:val="none" w:sz="0" w:space="0" w:color="auto"/>
            <w:bottom w:val="none" w:sz="0" w:space="0" w:color="auto"/>
            <w:right w:val="none" w:sz="0" w:space="0" w:color="auto"/>
          </w:divBdr>
          <w:divsChild>
            <w:div w:id="907568511">
              <w:marLeft w:val="0"/>
              <w:marRight w:val="0"/>
              <w:marTop w:val="0"/>
              <w:marBottom w:val="0"/>
              <w:divBdr>
                <w:top w:val="none" w:sz="0" w:space="0" w:color="auto"/>
                <w:left w:val="none" w:sz="0" w:space="0" w:color="auto"/>
                <w:bottom w:val="none" w:sz="0" w:space="0" w:color="auto"/>
                <w:right w:val="none" w:sz="0" w:space="0" w:color="auto"/>
              </w:divBdr>
            </w:div>
          </w:divsChild>
        </w:div>
        <w:div w:id="1336376217">
          <w:marLeft w:val="0"/>
          <w:marRight w:val="0"/>
          <w:marTop w:val="0"/>
          <w:marBottom w:val="0"/>
          <w:divBdr>
            <w:top w:val="none" w:sz="0" w:space="0" w:color="auto"/>
            <w:left w:val="none" w:sz="0" w:space="0" w:color="auto"/>
            <w:bottom w:val="none" w:sz="0" w:space="0" w:color="auto"/>
            <w:right w:val="none" w:sz="0" w:space="0" w:color="auto"/>
          </w:divBdr>
          <w:divsChild>
            <w:div w:id="2143880921">
              <w:marLeft w:val="0"/>
              <w:marRight w:val="0"/>
              <w:marTop w:val="0"/>
              <w:marBottom w:val="0"/>
              <w:divBdr>
                <w:top w:val="none" w:sz="0" w:space="0" w:color="auto"/>
                <w:left w:val="none" w:sz="0" w:space="0" w:color="auto"/>
                <w:bottom w:val="none" w:sz="0" w:space="0" w:color="auto"/>
                <w:right w:val="none" w:sz="0" w:space="0" w:color="auto"/>
              </w:divBdr>
            </w:div>
          </w:divsChild>
        </w:div>
        <w:div w:id="1366633215">
          <w:marLeft w:val="0"/>
          <w:marRight w:val="0"/>
          <w:marTop w:val="0"/>
          <w:marBottom w:val="0"/>
          <w:divBdr>
            <w:top w:val="none" w:sz="0" w:space="0" w:color="auto"/>
            <w:left w:val="none" w:sz="0" w:space="0" w:color="auto"/>
            <w:bottom w:val="none" w:sz="0" w:space="0" w:color="auto"/>
            <w:right w:val="none" w:sz="0" w:space="0" w:color="auto"/>
          </w:divBdr>
          <w:divsChild>
            <w:div w:id="1926835562">
              <w:marLeft w:val="0"/>
              <w:marRight w:val="0"/>
              <w:marTop w:val="0"/>
              <w:marBottom w:val="0"/>
              <w:divBdr>
                <w:top w:val="none" w:sz="0" w:space="0" w:color="auto"/>
                <w:left w:val="none" w:sz="0" w:space="0" w:color="auto"/>
                <w:bottom w:val="none" w:sz="0" w:space="0" w:color="auto"/>
                <w:right w:val="none" w:sz="0" w:space="0" w:color="auto"/>
              </w:divBdr>
            </w:div>
          </w:divsChild>
        </w:div>
        <w:div w:id="1371418266">
          <w:marLeft w:val="0"/>
          <w:marRight w:val="0"/>
          <w:marTop w:val="0"/>
          <w:marBottom w:val="0"/>
          <w:divBdr>
            <w:top w:val="none" w:sz="0" w:space="0" w:color="auto"/>
            <w:left w:val="none" w:sz="0" w:space="0" w:color="auto"/>
            <w:bottom w:val="none" w:sz="0" w:space="0" w:color="auto"/>
            <w:right w:val="none" w:sz="0" w:space="0" w:color="auto"/>
          </w:divBdr>
          <w:divsChild>
            <w:div w:id="2036617257">
              <w:marLeft w:val="0"/>
              <w:marRight w:val="0"/>
              <w:marTop w:val="0"/>
              <w:marBottom w:val="0"/>
              <w:divBdr>
                <w:top w:val="none" w:sz="0" w:space="0" w:color="auto"/>
                <w:left w:val="none" w:sz="0" w:space="0" w:color="auto"/>
                <w:bottom w:val="none" w:sz="0" w:space="0" w:color="auto"/>
                <w:right w:val="none" w:sz="0" w:space="0" w:color="auto"/>
              </w:divBdr>
            </w:div>
          </w:divsChild>
        </w:div>
        <w:div w:id="1425833032">
          <w:marLeft w:val="0"/>
          <w:marRight w:val="0"/>
          <w:marTop w:val="0"/>
          <w:marBottom w:val="0"/>
          <w:divBdr>
            <w:top w:val="none" w:sz="0" w:space="0" w:color="auto"/>
            <w:left w:val="none" w:sz="0" w:space="0" w:color="auto"/>
            <w:bottom w:val="none" w:sz="0" w:space="0" w:color="auto"/>
            <w:right w:val="none" w:sz="0" w:space="0" w:color="auto"/>
          </w:divBdr>
          <w:divsChild>
            <w:div w:id="1919896733">
              <w:marLeft w:val="0"/>
              <w:marRight w:val="0"/>
              <w:marTop w:val="0"/>
              <w:marBottom w:val="0"/>
              <w:divBdr>
                <w:top w:val="none" w:sz="0" w:space="0" w:color="auto"/>
                <w:left w:val="none" w:sz="0" w:space="0" w:color="auto"/>
                <w:bottom w:val="none" w:sz="0" w:space="0" w:color="auto"/>
                <w:right w:val="none" w:sz="0" w:space="0" w:color="auto"/>
              </w:divBdr>
            </w:div>
          </w:divsChild>
        </w:div>
        <w:div w:id="1427388747">
          <w:marLeft w:val="0"/>
          <w:marRight w:val="0"/>
          <w:marTop w:val="0"/>
          <w:marBottom w:val="0"/>
          <w:divBdr>
            <w:top w:val="none" w:sz="0" w:space="0" w:color="auto"/>
            <w:left w:val="none" w:sz="0" w:space="0" w:color="auto"/>
            <w:bottom w:val="none" w:sz="0" w:space="0" w:color="auto"/>
            <w:right w:val="none" w:sz="0" w:space="0" w:color="auto"/>
          </w:divBdr>
          <w:divsChild>
            <w:div w:id="1153525769">
              <w:marLeft w:val="0"/>
              <w:marRight w:val="0"/>
              <w:marTop w:val="0"/>
              <w:marBottom w:val="0"/>
              <w:divBdr>
                <w:top w:val="none" w:sz="0" w:space="0" w:color="auto"/>
                <w:left w:val="none" w:sz="0" w:space="0" w:color="auto"/>
                <w:bottom w:val="none" w:sz="0" w:space="0" w:color="auto"/>
                <w:right w:val="none" w:sz="0" w:space="0" w:color="auto"/>
              </w:divBdr>
            </w:div>
          </w:divsChild>
        </w:div>
        <w:div w:id="1449006847">
          <w:marLeft w:val="0"/>
          <w:marRight w:val="0"/>
          <w:marTop w:val="0"/>
          <w:marBottom w:val="0"/>
          <w:divBdr>
            <w:top w:val="none" w:sz="0" w:space="0" w:color="auto"/>
            <w:left w:val="none" w:sz="0" w:space="0" w:color="auto"/>
            <w:bottom w:val="none" w:sz="0" w:space="0" w:color="auto"/>
            <w:right w:val="none" w:sz="0" w:space="0" w:color="auto"/>
          </w:divBdr>
          <w:divsChild>
            <w:div w:id="1782845053">
              <w:marLeft w:val="0"/>
              <w:marRight w:val="0"/>
              <w:marTop w:val="0"/>
              <w:marBottom w:val="0"/>
              <w:divBdr>
                <w:top w:val="none" w:sz="0" w:space="0" w:color="auto"/>
                <w:left w:val="none" w:sz="0" w:space="0" w:color="auto"/>
                <w:bottom w:val="none" w:sz="0" w:space="0" w:color="auto"/>
                <w:right w:val="none" w:sz="0" w:space="0" w:color="auto"/>
              </w:divBdr>
            </w:div>
          </w:divsChild>
        </w:div>
        <w:div w:id="1493446044">
          <w:marLeft w:val="0"/>
          <w:marRight w:val="0"/>
          <w:marTop w:val="0"/>
          <w:marBottom w:val="0"/>
          <w:divBdr>
            <w:top w:val="none" w:sz="0" w:space="0" w:color="auto"/>
            <w:left w:val="none" w:sz="0" w:space="0" w:color="auto"/>
            <w:bottom w:val="none" w:sz="0" w:space="0" w:color="auto"/>
            <w:right w:val="none" w:sz="0" w:space="0" w:color="auto"/>
          </w:divBdr>
          <w:divsChild>
            <w:div w:id="609777371">
              <w:marLeft w:val="0"/>
              <w:marRight w:val="0"/>
              <w:marTop w:val="0"/>
              <w:marBottom w:val="0"/>
              <w:divBdr>
                <w:top w:val="none" w:sz="0" w:space="0" w:color="auto"/>
                <w:left w:val="none" w:sz="0" w:space="0" w:color="auto"/>
                <w:bottom w:val="none" w:sz="0" w:space="0" w:color="auto"/>
                <w:right w:val="none" w:sz="0" w:space="0" w:color="auto"/>
              </w:divBdr>
            </w:div>
          </w:divsChild>
        </w:div>
        <w:div w:id="1512718602">
          <w:marLeft w:val="0"/>
          <w:marRight w:val="0"/>
          <w:marTop w:val="0"/>
          <w:marBottom w:val="0"/>
          <w:divBdr>
            <w:top w:val="none" w:sz="0" w:space="0" w:color="auto"/>
            <w:left w:val="none" w:sz="0" w:space="0" w:color="auto"/>
            <w:bottom w:val="none" w:sz="0" w:space="0" w:color="auto"/>
            <w:right w:val="none" w:sz="0" w:space="0" w:color="auto"/>
          </w:divBdr>
          <w:divsChild>
            <w:div w:id="1654142305">
              <w:marLeft w:val="0"/>
              <w:marRight w:val="0"/>
              <w:marTop w:val="0"/>
              <w:marBottom w:val="0"/>
              <w:divBdr>
                <w:top w:val="none" w:sz="0" w:space="0" w:color="auto"/>
                <w:left w:val="none" w:sz="0" w:space="0" w:color="auto"/>
                <w:bottom w:val="none" w:sz="0" w:space="0" w:color="auto"/>
                <w:right w:val="none" w:sz="0" w:space="0" w:color="auto"/>
              </w:divBdr>
            </w:div>
          </w:divsChild>
        </w:div>
        <w:div w:id="1521238270">
          <w:marLeft w:val="0"/>
          <w:marRight w:val="0"/>
          <w:marTop w:val="0"/>
          <w:marBottom w:val="0"/>
          <w:divBdr>
            <w:top w:val="none" w:sz="0" w:space="0" w:color="auto"/>
            <w:left w:val="none" w:sz="0" w:space="0" w:color="auto"/>
            <w:bottom w:val="none" w:sz="0" w:space="0" w:color="auto"/>
            <w:right w:val="none" w:sz="0" w:space="0" w:color="auto"/>
          </w:divBdr>
          <w:divsChild>
            <w:div w:id="453595451">
              <w:marLeft w:val="0"/>
              <w:marRight w:val="0"/>
              <w:marTop w:val="0"/>
              <w:marBottom w:val="0"/>
              <w:divBdr>
                <w:top w:val="none" w:sz="0" w:space="0" w:color="auto"/>
                <w:left w:val="none" w:sz="0" w:space="0" w:color="auto"/>
                <w:bottom w:val="none" w:sz="0" w:space="0" w:color="auto"/>
                <w:right w:val="none" w:sz="0" w:space="0" w:color="auto"/>
              </w:divBdr>
            </w:div>
          </w:divsChild>
        </w:div>
        <w:div w:id="1542667710">
          <w:marLeft w:val="0"/>
          <w:marRight w:val="0"/>
          <w:marTop w:val="0"/>
          <w:marBottom w:val="0"/>
          <w:divBdr>
            <w:top w:val="none" w:sz="0" w:space="0" w:color="auto"/>
            <w:left w:val="none" w:sz="0" w:space="0" w:color="auto"/>
            <w:bottom w:val="none" w:sz="0" w:space="0" w:color="auto"/>
            <w:right w:val="none" w:sz="0" w:space="0" w:color="auto"/>
          </w:divBdr>
          <w:divsChild>
            <w:div w:id="1635790276">
              <w:marLeft w:val="0"/>
              <w:marRight w:val="0"/>
              <w:marTop w:val="0"/>
              <w:marBottom w:val="0"/>
              <w:divBdr>
                <w:top w:val="none" w:sz="0" w:space="0" w:color="auto"/>
                <w:left w:val="none" w:sz="0" w:space="0" w:color="auto"/>
                <w:bottom w:val="none" w:sz="0" w:space="0" w:color="auto"/>
                <w:right w:val="none" w:sz="0" w:space="0" w:color="auto"/>
              </w:divBdr>
            </w:div>
          </w:divsChild>
        </w:div>
        <w:div w:id="1549608890">
          <w:marLeft w:val="0"/>
          <w:marRight w:val="0"/>
          <w:marTop w:val="0"/>
          <w:marBottom w:val="0"/>
          <w:divBdr>
            <w:top w:val="none" w:sz="0" w:space="0" w:color="auto"/>
            <w:left w:val="none" w:sz="0" w:space="0" w:color="auto"/>
            <w:bottom w:val="none" w:sz="0" w:space="0" w:color="auto"/>
            <w:right w:val="none" w:sz="0" w:space="0" w:color="auto"/>
          </w:divBdr>
          <w:divsChild>
            <w:div w:id="1624969123">
              <w:marLeft w:val="0"/>
              <w:marRight w:val="0"/>
              <w:marTop w:val="0"/>
              <w:marBottom w:val="0"/>
              <w:divBdr>
                <w:top w:val="none" w:sz="0" w:space="0" w:color="auto"/>
                <w:left w:val="none" w:sz="0" w:space="0" w:color="auto"/>
                <w:bottom w:val="none" w:sz="0" w:space="0" w:color="auto"/>
                <w:right w:val="none" w:sz="0" w:space="0" w:color="auto"/>
              </w:divBdr>
            </w:div>
          </w:divsChild>
        </w:div>
        <w:div w:id="1575314710">
          <w:marLeft w:val="0"/>
          <w:marRight w:val="0"/>
          <w:marTop w:val="0"/>
          <w:marBottom w:val="0"/>
          <w:divBdr>
            <w:top w:val="none" w:sz="0" w:space="0" w:color="auto"/>
            <w:left w:val="none" w:sz="0" w:space="0" w:color="auto"/>
            <w:bottom w:val="none" w:sz="0" w:space="0" w:color="auto"/>
            <w:right w:val="none" w:sz="0" w:space="0" w:color="auto"/>
          </w:divBdr>
          <w:divsChild>
            <w:div w:id="2073236050">
              <w:marLeft w:val="0"/>
              <w:marRight w:val="0"/>
              <w:marTop w:val="0"/>
              <w:marBottom w:val="0"/>
              <w:divBdr>
                <w:top w:val="none" w:sz="0" w:space="0" w:color="auto"/>
                <w:left w:val="none" w:sz="0" w:space="0" w:color="auto"/>
                <w:bottom w:val="none" w:sz="0" w:space="0" w:color="auto"/>
                <w:right w:val="none" w:sz="0" w:space="0" w:color="auto"/>
              </w:divBdr>
            </w:div>
          </w:divsChild>
        </w:div>
        <w:div w:id="1581057792">
          <w:marLeft w:val="0"/>
          <w:marRight w:val="0"/>
          <w:marTop w:val="0"/>
          <w:marBottom w:val="0"/>
          <w:divBdr>
            <w:top w:val="none" w:sz="0" w:space="0" w:color="auto"/>
            <w:left w:val="none" w:sz="0" w:space="0" w:color="auto"/>
            <w:bottom w:val="none" w:sz="0" w:space="0" w:color="auto"/>
            <w:right w:val="none" w:sz="0" w:space="0" w:color="auto"/>
          </w:divBdr>
          <w:divsChild>
            <w:div w:id="1741978325">
              <w:marLeft w:val="0"/>
              <w:marRight w:val="0"/>
              <w:marTop w:val="0"/>
              <w:marBottom w:val="0"/>
              <w:divBdr>
                <w:top w:val="none" w:sz="0" w:space="0" w:color="auto"/>
                <w:left w:val="none" w:sz="0" w:space="0" w:color="auto"/>
                <w:bottom w:val="none" w:sz="0" w:space="0" w:color="auto"/>
                <w:right w:val="none" w:sz="0" w:space="0" w:color="auto"/>
              </w:divBdr>
            </w:div>
          </w:divsChild>
        </w:div>
        <w:div w:id="1592930430">
          <w:marLeft w:val="0"/>
          <w:marRight w:val="0"/>
          <w:marTop w:val="0"/>
          <w:marBottom w:val="0"/>
          <w:divBdr>
            <w:top w:val="none" w:sz="0" w:space="0" w:color="auto"/>
            <w:left w:val="none" w:sz="0" w:space="0" w:color="auto"/>
            <w:bottom w:val="none" w:sz="0" w:space="0" w:color="auto"/>
            <w:right w:val="none" w:sz="0" w:space="0" w:color="auto"/>
          </w:divBdr>
          <w:divsChild>
            <w:div w:id="661391873">
              <w:marLeft w:val="0"/>
              <w:marRight w:val="0"/>
              <w:marTop w:val="0"/>
              <w:marBottom w:val="0"/>
              <w:divBdr>
                <w:top w:val="none" w:sz="0" w:space="0" w:color="auto"/>
                <w:left w:val="none" w:sz="0" w:space="0" w:color="auto"/>
                <w:bottom w:val="none" w:sz="0" w:space="0" w:color="auto"/>
                <w:right w:val="none" w:sz="0" w:space="0" w:color="auto"/>
              </w:divBdr>
            </w:div>
          </w:divsChild>
        </w:div>
        <w:div w:id="1703281985">
          <w:marLeft w:val="0"/>
          <w:marRight w:val="0"/>
          <w:marTop w:val="0"/>
          <w:marBottom w:val="0"/>
          <w:divBdr>
            <w:top w:val="none" w:sz="0" w:space="0" w:color="auto"/>
            <w:left w:val="none" w:sz="0" w:space="0" w:color="auto"/>
            <w:bottom w:val="none" w:sz="0" w:space="0" w:color="auto"/>
            <w:right w:val="none" w:sz="0" w:space="0" w:color="auto"/>
          </w:divBdr>
          <w:divsChild>
            <w:div w:id="1247227776">
              <w:marLeft w:val="0"/>
              <w:marRight w:val="0"/>
              <w:marTop w:val="0"/>
              <w:marBottom w:val="0"/>
              <w:divBdr>
                <w:top w:val="none" w:sz="0" w:space="0" w:color="auto"/>
                <w:left w:val="none" w:sz="0" w:space="0" w:color="auto"/>
                <w:bottom w:val="none" w:sz="0" w:space="0" w:color="auto"/>
                <w:right w:val="none" w:sz="0" w:space="0" w:color="auto"/>
              </w:divBdr>
            </w:div>
          </w:divsChild>
        </w:div>
        <w:div w:id="1714571067">
          <w:marLeft w:val="0"/>
          <w:marRight w:val="0"/>
          <w:marTop w:val="0"/>
          <w:marBottom w:val="0"/>
          <w:divBdr>
            <w:top w:val="none" w:sz="0" w:space="0" w:color="auto"/>
            <w:left w:val="none" w:sz="0" w:space="0" w:color="auto"/>
            <w:bottom w:val="none" w:sz="0" w:space="0" w:color="auto"/>
            <w:right w:val="none" w:sz="0" w:space="0" w:color="auto"/>
          </w:divBdr>
          <w:divsChild>
            <w:div w:id="921716346">
              <w:marLeft w:val="0"/>
              <w:marRight w:val="0"/>
              <w:marTop w:val="0"/>
              <w:marBottom w:val="0"/>
              <w:divBdr>
                <w:top w:val="none" w:sz="0" w:space="0" w:color="auto"/>
                <w:left w:val="none" w:sz="0" w:space="0" w:color="auto"/>
                <w:bottom w:val="none" w:sz="0" w:space="0" w:color="auto"/>
                <w:right w:val="none" w:sz="0" w:space="0" w:color="auto"/>
              </w:divBdr>
            </w:div>
          </w:divsChild>
        </w:div>
        <w:div w:id="1773158539">
          <w:marLeft w:val="0"/>
          <w:marRight w:val="0"/>
          <w:marTop w:val="0"/>
          <w:marBottom w:val="0"/>
          <w:divBdr>
            <w:top w:val="none" w:sz="0" w:space="0" w:color="auto"/>
            <w:left w:val="none" w:sz="0" w:space="0" w:color="auto"/>
            <w:bottom w:val="none" w:sz="0" w:space="0" w:color="auto"/>
            <w:right w:val="none" w:sz="0" w:space="0" w:color="auto"/>
          </w:divBdr>
          <w:divsChild>
            <w:div w:id="1513571385">
              <w:marLeft w:val="0"/>
              <w:marRight w:val="0"/>
              <w:marTop w:val="0"/>
              <w:marBottom w:val="0"/>
              <w:divBdr>
                <w:top w:val="none" w:sz="0" w:space="0" w:color="auto"/>
                <w:left w:val="none" w:sz="0" w:space="0" w:color="auto"/>
                <w:bottom w:val="none" w:sz="0" w:space="0" w:color="auto"/>
                <w:right w:val="none" w:sz="0" w:space="0" w:color="auto"/>
              </w:divBdr>
            </w:div>
          </w:divsChild>
        </w:div>
        <w:div w:id="1851722434">
          <w:marLeft w:val="0"/>
          <w:marRight w:val="0"/>
          <w:marTop w:val="0"/>
          <w:marBottom w:val="0"/>
          <w:divBdr>
            <w:top w:val="none" w:sz="0" w:space="0" w:color="auto"/>
            <w:left w:val="none" w:sz="0" w:space="0" w:color="auto"/>
            <w:bottom w:val="none" w:sz="0" w:space="0" w:color="auto"/>
            <w:right w:val="none" w:sz="0" w:space="0" w:color="auto"/>
          </w:divBdr>
          <w:divsChild>
            <w:div w:id="1659533076">
              <w:marLeft w:val="0"/>
              <w:marRight w:val="0"/>
              <w:marTop w:val="0"/>
              <w:marBottom w:val="0"/>
              <w:divBdr>
                <w:top w:val="none" w:sz="0" w:space="0" w:color="auto"/>
                <w:left w:val="none" w:sz="0" w:space="0" w:color="auto"/>
                <w:bottom w:val="none" w:sz="0" w:space="0" w:color="auto"/>
                <w:right w:val="none" w:sz="0" w:space="0" w:color="auto"/>
              </w:divBdr>
            </w:div>
          </w:divsChild>
        </w:div>
        <w:div w:id="1852068073">
          <w:marLeft w:val="0"/>
          <w:marRight w:val="0"/>
          <w:marTop w:val="0"/>
          <w:marBottom w:val="0"/>
          <w:divBdr>
            <w:top w:val="none" w:sz="0" w:space="0" w:color="auto"/>
            <w:left w:val="none" w:sz="0" w:space="0" w:color="auto"/>
            <w:bottom w:val="none" w:sz="0" w:space="0" w:color="auto"/>
            <w:right w:val="none" w:sz="0" w:space="0" w:color="auto"/>
          </w:divBdr>
          <w:divsChild>
            <w:div w:id="449011898">
              <w:marLeft w:val="0"/>
              <w:marRight w:val="0"/>
              <w:marTop w:val="0"/>
              <w:marBottom w:val="0"/>
              <w:divBdr>
                <w:top w:val="none" w:sz="0" w:space="0" w:color="auto"/>
                <w:left w:val="none" w:sz="0" w:space="0" w:color="auto"/>
                <w:bottom w:val="none" w:sz="0" w:space="0" w:color="auto"/>
                <w:right w:val="none" w:sz="0" w:space="0" w:color="auto"/>
              </w:divBdr>
            </w:div>
          </w:divsChild>
        </w:div>
        <w:div w:id="1863279916">
          <w:marLeft w:val="0"/>
          <w:marRight w:val="0"/>
          <w:marTop w:val="0"/>
          <w:marBottom w:val="0"/>
          <w:divBdr>
            <w:top w:val="none" w:sz="0" w:space="0" w:color="auto"/>
            <w:left w:val="none" w:sz="0" w:space="0" w:color="auto"/>
            <w:bottom w:val="none" w:sz="0" w:space="0" w:color="auto"/>
            <w:right w:val="none" w:sz="0" w:space="0" w:color="auto"/>
          </w:divBdr>
          <w:divsChild>
            <w:div w:id="1457217175">
              <w:marLeft w:val="0"/>
              <w:marRight w:val="0"/>
              <w:marTop w:val="0"/>
              <w:marBottom w:val="0"/>
              <w:divBdr>
                <w:top w:val="none" w:sz="0" w:space="0" w:color="auto"/>
                <w:left w:val="none" w:sz="0" w:space="0" w:color="auto"/>
                <w:bottom w:val="none" w:sz="0" w:space="0" w:color="auto"/>
                <w:right w:val="none" w:sz="0" w:space="0" w:color="auto"/>
              </w:divBdr>
            </w:div>
          </w:divsChild>
        </w:div>
        <w:div w:id="1873952560">
          <w:marLeft w:val="0"/>
          <w:marRight w:val="0"/>
          <w:marTop w:val="0"/>
          <w:marBottom w:val="0"/>
          <w:divBdr>
            <w:top w:val="none" w:sz="0" w:space="0" w:color="auto"/>
            <w:left w:val="none" w:sz="0" w:space="0" w:color="auto"/>
            <w:bottom w:val="none" w:sz="0" w:space="0" w:color="auto"/>
            <w:right w:val="none" w:sz="0" w:space="0" w:color="auto"/>
          </w:divBdr>
          <w:divsChild>
            <w:div w:id="1064261661">
              <w:marLeft w:val="0"/>
              <w:marRight w:val="0"/>
              <w:marTop w:val="0"/>
              <w:marBottom w:val="0"/>
              <w:divBdr>
                <w:top w:val="none" w:sz="0" w:space="0" w:color="auto"/>
                <w:left w:val="none" w:sz="0" w:space="0" w:color="auto"/>
                <w:bottom w:val="none" w:sz="0" w:space="0" w:color="auto"/>
                <w:right w:val="none" w:sz="0" w:space="0" w:color="auto"/>
              </w:divBdr>
            </w:div>
          </w:divsChild>
        </w:div>
        <w:div w:id="1895848475">
          <w:marLeft w:val="0"/>
          <w:marRight w:val="0"/>
          <w:marTop w:val="0"/>
          <w:marBottom w:val="0"/>
          <w:divBdr>
            <w:top w:val="none" w:sz="0" w:space="0" w:color="auto"/>
            <w:left w:val="none" w:sz="0" w:space="0" w:color="auto"/>
            <w:bottom w:val="none" w:sz="0" w:space="0" w:color="auto"/>
            <w:right w:val="none" w:sz="0" w:space="0" w:color="auto"/>
          </w:divBdr>
          <w:divsChild>
            <w:div w:id="2018999011">
              <w:marLeft w:val="0"/>
              <w:marRight w:val="0"/>
              <w:marTop w:val="0"/>
              <w:marBottom w:val="0"/>
              <w:divBdr>
                <w:top w:val="none" w:sz="0" w:space="0" w:color="auto"/>
                <w:left w:val="none" w:sz="0" w:space="0" w:color="auto"/>
                <w:bottom w:val="none" w:sz="0" w:space="0" w:color="auto"/>
                <w:right w:val="none" w:sz="0" w:space="0" w:color="auto"/>
              </w:divBdr>
            </w:div>
          </w:divsChild>
        </w:div>
        <w:div w:id="1905556972">
          <w:marLeft w:val="0"/>
          <w:marRight w:val="0"/>
          <w:marTop w:val="0"/>
          <w:marBottom w:val="0"/>
          <w:divBdr>
            <w:top w:val="none" w:sz="0" w:space="0" w:color="auto"/>
            <w:left w:val="none" w:sz="0" w:space="0" w:color="auto"/>
            <w:bottom w:val="none" w:sz="0" w:space="0" w:color="auto"/>
            <w:right w:val="none" w:sz="0" w:space="0" w:color="auto"/>
          </w:divBdr>
          <w:divsChild>
            <w:div w:id="124395348">
              <w:marLeft w:val="0"/>
              <w:marRight w:val="0"/>
              <w:marTop w:val="0"/>
              <w:marBottom w:val="0"/>
              <w:divBdr>
                <w:top w:val="none" w:sz="0" w:space="0" w:color="auto"/>
                <w:left w:val="none" w:sz="0" w:space="0" w:color="auto"/>
                <w:bottom w:val="none" w:sz="0" w:space="0" w:color="auto"/>
                <w:right w:val="none" w:sz="0" w:space="0" w:color="auto"/>
              </w:divBdr>
            </w:div>
          </w:divsChild>
        </w:div>
        <w:div w:id="1920673192">
          <w:marLeft w:val="0"/>
          <w:marRight w:val="0"/>
          <w:marTop w:val="0"/>
          <w:marBottom w:val="0"/>
          <w:divBdr>
            <w:top w:val="none" w:sz="0" w:space="0" w:color="auto"/>
            <w:left w:val="none" w:sz="0" w:space="0" w:color="auto"/>
            <w:bottom w:val="none" w:sz="0" w:space="0" w:color="auto"/>
            <w:right w:val="none" w:sz="0" w:space="0" w:color="auto"/>
          </w:divBdr>
          <w:divsChild>
            <w:div w:id="1132669724">
              <w:marLeft w:val="0"/>
              <w:marRight w:val="0"/>
              <w:marTop w:val="0"/>
              <w:marBottom w:val="0"/>
              <w:divBdr>
                <w:top w:val="none" w:sz="0" w:space="0" w:color="auto"/>
                <w:left w:val="none" w:sz="0" w:space="0" w:color="auto"/>
                <w:bottom w:val="none" w:sz="0" w:space="0" w:color="auto"/>
                <w:right w:val="none" w:sz="0" w:space="0" w:color="auto"/>
              </w:divBdr>
            </w:div>
          </w:divsChild>
        </w:div>
        <w:div w:id="1931352295">
          <w:marLeft w:val="0"/>
          <w:marRight w:val="0"/>
          <w:marTop w:val="0"/>
          <w:marBottom w:val="0"/>
          <w:divBdr>
            <w:top w:val="none" w:sz="0" w:space="0" w:color="auto"/>
            <w:left w:val="none" w:sz="0" w:space="0" w:color="auto"/>
            <w:bottom w:val="none" w:sz="0" w:space="0" w:color="auto"/>
            <w:right w:val="none" w:sz="0" w:space="0" w:color="auto"/>
          </w:divBdr>
          <w:divsChild>
            <w:div w:id="1361778579">
              <w:marLeft w:val="0"/>
              <w:marRight w:val="0"/>
              <w:marTop w:val="0"/>
              <w:marBottom w:val="0"/>
              <w:divBdr>
                <w:top w:val="none" w:sz="0" w:space="0" w:color="auto"/>
                <w:left w:val="none" w:sz="0" w:space="0" w:color="auto"/>
                <w:bottom w:val="none" w:sz="0" w:space="0" w:color="auto"/>
                <w:right w:val="none" w:sz="0" w:space="0" w:color="auto"/>
              </w:divBdr>
            </w:div>
          </w:divsChild>
        </w:div>
        <w:div w:id="1934895156">
          <w:marLeft w:val="0"/>
          <w:marRight w:val="0"/>
          <w:marTop w:val="0"/>
          <w:marBottom w:val="0"/>
          <w:divBdr>
            <w:top w:val="none" w:sz="0" w:space="0" w:color="auto"/>
            <w:left w:val="none" w:sz="0" w:space="0" w:color="auto"/>
            <w:bottom w:val="none" w:sz="0" w:space="0" w:color="auto"/>
            <w:right w:val="none" w:sz="0" w:space="0" w:color="auto"/>
          </w:divBdr>
          <w:divsChild>
            <w:div w:id="1383096116">
              <w:marLeft w:val="0"/>
              <w:marRight w:val="0"/>
              <w:marTop w:val="0"/>
              <w:marBottom w:val="0"/>
              <w:divBdr>
                <w:top w:val="none" w:sz="0" w:space="0" w:color="auto"/>
                <w:left w:val="none" w:sz="0" w:space="0" w:color="auto"/>
                <w:bottom w:val="none" w:sz="0" w:space="0" w:color="auto"/>
                <w:right w:val="none" w:sz="0" w:space="0" w:color="auto"/>
              </w:divBdr>
            </w:div>
          </w:divsChild>
        </w:div>
        <w:div w:id="1964262156">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 w:id="1966083194">
          <w:marLeft w:val="0"/>
          <w:marRight w:val="0"/>
          <w:marTop w:val="0"/>
          <w:marBottom w:val="0"/>
          <w:divBdr>
            <w:top w:val="none" w:sz="0" w:space="0" w:color="auto"/>
            <w:left w:val="none" w:sz="0" w:space="0" w:color="auto"/>
            <w:bottom w:val="none" w:sz="0" w:space="0" w:color="auto"/>
            <w:right w:val="none" w:sz="0" w:space="0" w:color="auto"/>
          </w:divBdr>
          <w:divsChild>
            <w:div w:id="868372325">
              <w:marLeft w:val="0"/>
              <w:marRight w:val="0"/>
              <w:marTop w:val="0"/>
              <w:marBottom w:val="0"/>
              <w:divBdr>
                <w:top w:val="none" w:sz="0" w:space="0" w:color="auto"/>
                <w:left w:val="none" w:sz="0" w:space="0" w:color="auto"/>
                <w:bottom w:val="none" w:sz="0" w:space="0" w:color="auto"/>
                <w:right w:val="none" w:sz="0" w:space="0" w:color="auto"/>
              </w:divBdr>
            </w:div>
          </w:divsChild>
        </w:div>
        <w:div w:id="1973712290">
          <w:marLeft w:val="0"/>
          <w:marRight w:val="0"/>
          <w:marTop w:val="0"/>
          <w:marBottom w:val="0"/>
          <w:divBdr>
            <w:top w:val="none" w:sz="0" w:space="0" w:color="auto"/>
            <w:left w:val="none" w:sz="0" w:space="0" w:color="auto"/>
            <w:bottom w:val="none" w:sz="0" w:space="0" w:color="auto"/>
            <w:right w:val="none" w:sz="0" w:space="0" w:color="auto"/>
          </w:divBdr>
          <w:divsChild>
            <w:div w:id="1207109445">
              <w:marLeft w:val="0"/>
              <w:marRight w:val="0"/>
              <w:marTop w:val="0"/>
              <w:marBottom w:val="0"/>
              <w:divBdr>
                <w:top w:val="none" w:sz="0" w:space="0" w:color="auto"/>
                <w:left w:val="none" w:sz="0" w:space="0" w:color="auto"/>
                <w:bottom w:val="none" w:sz="0" w:space="0" w:color="auto"/>
                <w:right w:val="none" w:sz="0" w:space="0" w:color="auto"/>
              </w:divBdr>
            </w:div>
          </w:divsChild>
        </w:div>
        <w:div w:id="1978682036">
          <w:marLeft w:val="0"/>
          <w:marRight w:val="0"/>
          <w:marTop w:val="0"/>
          <w:marBottom w:val="0"/>
          <w:divBdr>
            <w:top w:val="none" w:sz="0" w:space="0" w:color="auto"/>
            <w:left w:val="none" w:sz="0" w:space="0" w:color="auto"/>
            <w:bottom w:val="none" w:sz="0" w:space="0" w:color="auto"/>
            <w:right w:val="none" w:sz="0" w:space="0" w:color="auto"/>
          </w:divBdr>
          <w:divsChild>
            <w:div w:id="1505321120">
              <w:marLeft w:val="0"/>
              <w:marRight w:val="0"/>
              <w:marTop w:val="0"/>
              <w:marBottom w:val="0"/>
              <w:divBdr>
                <w:top w:val="none" w:sz="0" w:space="0" w:color="auto"/>
                <w:left w:val="none" w:sz="0" w:space="0" w:color="auto"/>
                <w:bottom w:val="none" w:sz="0" w:space="0" w:color="auto"/>
                <w:right w:val="none" w:sz="0" w:space="0" w:color="auto"/>
              </w:divBdr>
            </w:div>
          </w:divsChild>
        </w:div>
        <w:div w:id="2003698617">
          <w:marLeft w:val="0"/>
          <w:marRight w:val="0"/>
          <w:marTop w:val="0"/>
          <w:marBottom w:val="0"/>
          <w:divBdr>
            <w:top w:val="none" w:sz="0" w:space="0" w:color="auto"/>
            <w:left w:val="none" w:sz="0" w:space="0" w:color="auto"/>
            <w:bottom w:val="none" w:sz="0" w:space="0" w:color="auto"/>
            <w:right w:val="none" w:sz="0" w:space="0" w:color="auto"/>
          </w:divBdr>
          <w:divsChild>
            <w:div w:id="978606553">
              <w:marLeft w:val="0"/>
              <w:marRight w:val="0"/>
              <w:marTop w:val="0"/>
              <w:marBottom w:val="0"/>
              <w:divBdr>
                <w:top w:val="none" w:sz="0" w:space="0" w:color="auto"/>
                <w:left w:val="none" w:sz="0" w:space="0" w:color="auto"/>
                <w:bottom w:val="none" w:sz="0" w:space="0" w:color="auto"/>
                <w:right w:val="none" w:sz="0" w:space="0" w:color="auto"/>
              </w:divBdr>
            </w:div>
          </w:divsChild>
        </w:div>
        <w:div w:id="2015450085">
          <w:marLeft w:val="0"/>
          <w:marRight w:val="0"/>
          <w:marTop w:val="0"/>
          <w:marBottom w:val="0"/>
          <w:divBdr>
            <w:top w:val="none" w:sz="0" w:space="0" w:color="auto"/>
            <w:left w:val="none" w:sz="0" w:space="0" w:color="auto"/>
            <w:bottom w:val="none" w:sz="0" w:space="0" w:color="auto"/>
            <w:right w:val="none" w:sz="0" w:space="0" w:color="auto"/>
          </w:divBdr>
          <w:divsChild>
            <w:div w:id="1884052549">
              <w:marLeft w:val="0"/>
              <w:marRight w:val="0"/>
              <w:marTop w:val="0"/>
              <w:marBottom w:val="0"/>
              <w:divBdr>
                <w:top w:val="none" w:sz="0" w:space="0" w:color="auto"/>
                <w:left w:val="none" w:sz="0" w:space="0" w:color="auto"/>
                <w:bottom w:val="none" w:sz="0" w:space="0" w:color="auto"/>
                <w:right w:val="none" w:sz="0" w:space="0" w:color="auto"/>
              </w:divBdr>
            </w:div>
          </w:divsChild>
        </w:div>
        <w:div w:id="2017420200">
          <w:marLeft w:val="0"/>
          <w:marRight w:val="0"/>
          <w:marTop w:val="0"/>
          <w:marBottom w:val="0"/>
          <w:divBdr>
            <w:top w:val="none" w:sz="0" w:space="0" w:color="auto"/>
            <w:left w:val="none" w:sz="0" w:space="0" w:color="auto"/>
            <w:bottom w:val="none" w:sz="0" w:space="0" w:color="auto"/>
            <w:right w:val="none" w:sz="0" w:space="0" w:color="auto"/>
          </w:divBdr>
          <w:divsChild>
            <w:div w:id="1370371272">
              <w:marLeft w:val="0"/>
              <w:marRight w:val="0"/>
              <w:marTop w:val="0"/>
              <w:marBottom w:val="0"/>
              <w:divBdr>
                <w:top w:val="none" w:sz="0" w:space="0" w:color="auto"/>
                <w:left w:val="none" w:sz="0" w:space="0" w:color="auto"/>
                <w:bottom w:val="none" w:sz="0" w:space="0" w:color="auto"/>
                <w:right w:val="none" w:sz="0" w:space="0" w:color="auto"/>
              </w:divBdr>
            </w:div>
          </w:divsChild>
        </w:div>
        <w:div w:id="2017995086">
          <w:marLeft w:val="0"/>
          <w:marRight w:val="0"/>
          <w:marTop w:val="0"/>
          <w:marBottom w:val="0"/>
          <w:divBdr>
            <w:top w:val="none" w:sz="0" w:space="0" w:color="auto"/>
            <w:left w:val="none" w:sz="0" w:space="0" w:color="auto"/>
            <w:bottom w:val="none" w:sz="0" w:space="0" w:color="auto"/>
            <w:right w:val="none" w:sz="0" w:space="0" w:color="auto"/>
          </w:divBdr>
          <w:divsChild>
            <w:div w:id="317266468">
              <w:marLeft w:val="0"/>
              <w:marRight w:val="0"/>
              <w:marTop w:val="0"/>
              <w:marBottom w:val="0"/>
              <w:divBdr>
                <w:top w:val="none" w:sz="0" w:space="0" w:color="auto"/>
                <w:left w:val="none" w:sz="0" w:space="0" w:color="auto"/>
                <w:bottom w:val="none" w:sz="0" w:space="0" w:color="auto"/>
                <w:right w:val="none" w:sz="0" w:space="0" w:color="auto"/>
              </w:divBdr>
            </w:div>
          </w:divsChild>
        </w:div>
        <w:div w:id="2096825239">
          <w:marLeft w:val="0"/>
          <w:marRight w:val="0"/>
          <w:marTop w:val="0"/>
          <w:marBottom w:val="0"/>
          <w:divBdr>
            <w:top w:val="none" w:sz="0" w:space="0" w:color="auto"/>
            <w:left w:val="none" w:sz="0" w:space="0" w:color="auto"/>
            <w:bottom w:val="none" w:sz="0" w:space="0" w:color="auto"/>
            <w:right w:val="none" w:sz="0" w:space="0" w:color="auto"/>
          </w:divBdr>
          <w:divsChild>
            <w:div w:id="2959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52374">
      <w:bodyDiv w:val="1"/>
      <w:marLeft w:val="0"/>
      <w:marRight w:val="0"/>
      <w:marTop w:val="0"/>
      <w:marBottom w:val="0"/>
      <w:divBdr>
        <w:top w:val="none" w:sz="0" w:space="0" w:color="auto"/>
        <w:left w:val="none" w:sz="0" w:space="0" w:color="auto"/>
        <w:bottom w:val="none" w:sz="0" w:space="0" w:color="auto"/>
        <w:right w:val="none" w:sz="0" w:space="0" w:color="auto"/>
      </w:divBdr>
    </w:div>
    <w:div w:id="408581977">
      <w:bodyDiv w:val="1"/>
      <w:marLeft w:val="0"/>
      <w:marRight w:val="0"/>
      <w:marTop w:val="0"/>
      <w:marBottom w:val="0"/>
      <w:divBdr>
        <w:top w:val="none" w:sz="0" w:space="0" w:color="auto"/>
        <w:left w:val="none" w:sz="0" w:space="0" w:color="auto"/>
        <w:bottom w:val="none" w:sz="0" w:space="0" w:color="auto"/>
        <w:right w:val="none" w:sz="0" w:space="0" w:color="auto"/>
      </w:divBdr>
    </w:div>
    <w:div w:id="412161887">
      <w:bodyDiv w:val="1"/>
      <w:marLeft w:val="0"/>
      <w:marRight w:val="0"/>
      <w:marTop w:val="0"/>
      <w:marBottom w:val="0"/>
      <w:divBdr>
        <w:top w:val="none" w:sz="0" w:space="0" w:color="auto"/>
        <w:left w:val="none" w:sz="0" w:space="0" w:color="auto"/>
        <w:bottom w:val="none" w:sz="0" w:space="0" w:color="auto"/>
        <w:right w:val="none" w:sz="0" w:space="0" w:color="auto"/>
      </w:divBdr>
    </w:div>
    <w:div w:id="434129236">
      <w:bodyDiv w:val="1"/>
      <w:marLeft w:val="0"/>
      <w:marRight w:val="0"/>
      <w:marTop w:val="0"/>
      <w:marBottom w:val="0"/>
      <w:divBdr>
        <w:top w:val="none" w:sz="0" w:space="0" w:color="auto"/>
        <w:left w:val="none" w:sz="0" w:space="0" w:color="auto"/>
        <w:bottom w:val="none" w:sz="0" w:space="0" w:color="auto"/>
        <w:right w:val="none" w:sz="0" w:space="0" w:color="auto"/>
      </w:divBdr>
    </w:div>
    <w:div w:id="437217462">
      <w:bodyDiv w:val="1"/>
      <w:marLeft w:val="0"/>
      <w:marRight w:val="0"/>
      <w:marTop w:val="0"/>
      <w:marBottom w:val="0"/>
      <w:divBdr>
        <w:top w:val="none" w:sz="0" w:space="0" w:color="auto"/>
        <w:left w:val="none" w:sz="0" w:space="0" w:color="auto"/>
        <w:bottom w:val="none" w:sz="0" w:space="0" w:color="auto"/>
        <w:right w:val="none" w:sz="0" w:space="0" w:color="auto"/>
      </w:divBdr>
      <w:divsChild>
        <w:div w:id="148794062">
          <w:marLeft w:val="0"/>
          <w:marRight w:val="0"/>
          <w:marTop w:val="0"/>
          <w:marBottom w:val="0"/>
          <w:divBdr>
            <w:top w:val="none" w:sz="0" w:space="0" w:color="auto"/>
            <w:left w:val="none" w:sz="0" w:space="0" w:color="auto"/>
            <w:bottom w:val="none" w:sz="0" w:space="0" w:color="auto"/>
            <w:right w:val="none" w:sz="0" w:space="0" w:color="auto"/>
          </w:divBdr>
          <w:divsChild>
            <w:div w:id="552473205">
              <w:marLeft w:val="0"/>
              <w:marRight w:val="0"/>
              <w:marTop w:val="0"/>
              <w:marBottom w:val="0"/>
              <w:divBdr>
                <w:top w:val="none" w:sz="0" w:space="0" w:color="auto"/>
                <w:left w:val="none" w:sz="0" w:space="0" w:color="auto"/>
                <w:bottom w:val="none" w:sz="0" w:space="0" w:color="auto"/>
                <w:right w:val="none" w:sz="0" w:space="0" w:color="auto"/>
              </w:divBdr>
            </w:div>
            <w:div w:id="955404099">
              <w:marLeft w:val="0"/>
              <w:marRight w:val="0"/>
              <w:marTop w:val="0"/>
              <w:marBottom w:val="0"/>
              <w:divBdr>
                <w:top w:val="none" w:sz="0" w:space="0" w:color="auto"/>
                <w:left w:val="none" w:sz="0" w:space="0" w:color="auto"/>
                <w:bottom w:val="none" w:sz="0" w:space="0" w:color="auto"/>
                <w:right w:val="none" w:sz="0" w:space="0" w:color="auto"/>
              </w:divBdr>
            </w:div>
            <w:div w:id="994913825">
              <w:marLeft w:val="0"/>
              <w:marRight w:val="0"/>
              <w:marTop w:val="0"/>
              <w:marBottom w:val="0"/>
              <w:divBdr>
                <w:top w:val="none" w:sz="0" w:space="0" w:color="auto"/>
                <w:left w:val="none" w:sz="0" w:space="0" w:color="auto"/>
                <w:bottom w:val="none" w:sz="0" w:space="0" w:color="auto"/>
                <w:right w:val="none" w:sz="0" w:space="0" w:color="auto"/>
              </w:divBdr>
            </w:div>
            <w:div w:id="1046828732">
              <w:marLeft w:val="0"/>
              <w:marRight w:val="0"/>
              <w:marTop w:val="0"/>
              <w:marBottom w:val="0"/>
              <w:divBdr>
                <w:top w:val="none" w:sz="0" w:space="0" w:color="auto"/>
                <w:left w:val="none" w:sz="0" w:space="0" w:color="auto"/>
                <w:bottom w:val="none" w:sz="0" w:space="0" w:color="auto"/>
                <w:right w:val="none" w:sz="0" w:space="0" w:color="auto"/>
              </w:divBdr>
            </w:div>
            <w:div w:id="1679115754">
              <w:marLeft w:val="0"/>
              <w:marRight w:val="0"/>
              <w:marTop w:val="0"/>
              <w:marBottom w:val="0"/>
              <w:divBdr>
                <w:top w:val="none" w:sz="0" w:space="0" w:color="auto"/>
                <w:left w:val="none" w:sz="0" w:space="0" w:color="auto"/>
                <w:bottom w:val="none" w:sz="0" w:space="0" w:color="auto"/>
                <w:right w:val="none" w:sz="0" w:space="0" w:color="auto"/>
              </w:divBdr>
            </w:div>
            <w:div w:id="1727413136">
              <w:marLeft w:val="0"/>
              <w:marRight w:val="0"/>
              <w:marTop w:val="0"/>
              <w:marBottom w:val="0"/>
              <w:divBdr>
                <w:top w:val="none" w:sz="0" w:space="0" w:color="auto"/>
                <w:left w:val="none" w:sz="0" w:space="0" w:color="auto"/>
                <w:bottom w:val="none" w:sz="0" w:space="0" w:color="auto"/>
                <w:right w:val="none" w:sz="0" w:space="0" w:color="auto"/>
              </w:divBdr>
            </w:div>
          </w:divsChild>
        </w:div>
        <w:div w:id="191000248">
          <w:marLeft w:val="0"/>
          <w:marRight w:val="0"/>
          <w:marTop w:val="0"/>
          <w:marBottom w:val="0"/>
          <w:divBdr>
            <w:top w:val="none" w:sz="0" w:space="0" w:color="auto"/>
            <w:left w:val="none" w:sz="0" w:space="0" w:color="auto"/>
            <w:bottom w:val="none" w:sz="0" w:space="0" w:color="auto"/>
            <w:right w:val="none" w:sz="0" w:space="0" w:color="auto"/>
          </w:divBdr>
          <w:divsChild>
            <w:div w:id="497111952">
              <w:marLeft w:val="0"/>
              <w:marRight w:val="0"/>
              <w:marTop w:val="0"/>
              <w:marBottom w:val="0"/>
              <w:divBdr>
                <w:top w:val="none" w:sz="0" w:space="0" w:color="auto"/>
                <w:left w:val="none" w:sz="0" w:space="0" w:color="auto"/>
                <w:bottom w:val="none" w:sz="0" w:space="0" w:color="auto"/>
                <w:right w:val="none" w:sz="0" w:space="0" w:color="auto"/>
              </w:divBdr>
            </w:div>
            <w:div w:id="793601691">
              <w:marLeft w:val="0"/>
              <w:marRight w:val="0"/>
              <w:marTop w:val="0"/>
              <w:marBottom w:val="0"/>
              <w:divBdr>
                <w:top w:val="none" w:sz="0" w:space="0" w:color="auto"/>
                <w:left w:val="none" w:sz="0" w:space="0" w:color="auto"/>
                <w:bottom w:val="none" w:sz="0" w:space="0" w:color="auto"/>
                <w:right w:val="none" w:sz="0" w:space="0" w:color="auto"/>
              </w:divBdr>
            </w:div>
            <w:div w:id="869152253">
              <w:marLeft w:val="0"/>
              <w:marRight w:val="0"/>
              <w:marTop w:val="0"/>
              <w:marBottom w:val="0"/>
              <w:divBdr>
                <w:top w:val="none" w:sz="0" w:space="0" w:color="auto"/>
                <w:left w:val="none" w:sz="0" w:space="0" w:color="auto"/>
                <w:bottom w:val="none" w:sz="0" w:space="0" w:color="auto"/>
                <w:right w:val="none" w:sz="0" w:space="0" w:color="auto"/>
              </w:divBdr>
            </w:div>
            <w:div w:id="1009454677">
              <w:marLeft w:val="0"/>
              <w:marRight w:val="0"/>
              <w:marTop w:val="0"/>
              <w:marBottom w:val="0"/>
              <w:divBdr>
                <w:top w:val="none" w:sz="0" w:space="0" w:color="auto"/>
                <w:left w:val="none" w:sz="0" w:space="0" w:color="auto"/>
                <w:bottom w:val="none" w:sz="0" w:space="0" w:color="auto"/>
                <w:right w:val="none" w:sz="0" w:space="0" w:color="auto"/>
              </w:divBdr>
            </w:div>
            <w:div w:id="1024599147">
              <w:marLeft w:val="0"/>
              <w:marRight w:val="0"/>
              <w:marTop w:val="0"/>
              <w:marBottom w:val="0"/>
              <w:divBdr>
                <w:top w:val="none" w:sz="0" w:space="0" w:color="auto"/>
                <w:left w:val="none" w:sz="0" w:space="0" w:color="auto"/>
                <w:bottom w:val="none" w:sz="0" w:space="0" w:color="auto"/>
                <w:right w:val="none" w:sz="0" w:space="0" w:color="auto"/>
              </w:divBdr>
            </w:div>
            <w:div w:id="1031492810">
              <w:marLeft w:val="0"/>
              <w:marRight w:val="0"/>
              <w:marTop w:val="0"/>
              <w:marBottom w:val="0"/>
              <w:divBdr>
                <w:top w:val="none" w:sz="0" w:space="0" w:color="auto"/>
                <w:left w:val="none" w:sz="0" w:space="0" w:color="auto"/>
                <w:bottom w:val="none" w:sz="0" w:space="0" w:color="auto"/>
                <w:right w:val="none" w:sz="0" w:space="0" w:color="auto"/>
              </w:divBdr>
            </w:div>
            <w:div w:id="1117722812">
              <w:marLeft w:val="0"/>
              <w:marRight w:val="0"/>
              <w:marTop w:val="0"/>
              <w:marBottom w:val="0"/>
              <w:divBdr>
                <w:top w:val="none" w:sz="0" w:space="0" w:color="auto"/>
                <w:left w:val="none" w:sz="0" w:space="0" w:color="auto"/>
                <w:bottom w:val="none" w:sz="0" w:space="0" w:color="auto"/>
                <w:right w:val="none" w:sz="0" w:space="0" w:color="auto"/>
              </w:divBdr>
            </w:div>
            <w:div w:id="1296524569">
              <w:marLeft w:val="0"/>
              <w:marRight w:val="0"/>
              <w:marTop w:val="0"/>
              <w:marBottom w:val="0"/>
              <w:divBdr>
                <w:top w:val="none" w:sz="0" w:space="0" w:color="auto"/>
                <w:left w:val="none" w:sz="0" w:space="0" w:color="auto"/>
                <w:bottom w:val="none" w:sz="0" w:space="0" w:color="auto"/>
                <w:right w:val="none" w:sz="0" w:space="0" w:color="auto"/>
              </w:divBdr>
            </w:div>
            <w:div w:id="1322274748">
              <w:marLeft w:val="0"/>
              <w:marRight w:val="0"/>
              <w:marTop w:val="0"/>
              <w:marBottom w:val="0"/>
              <w:divBdr>
                <w:top w:val="none" w:sz="0" w:space="0" w:color="auto"/>
                <w:left w:val="none" w:sz="0" w:space="0" w:color="auto"/>
                <w:bottom w:val="none" w:sz="0" w:space="0" w:color="auto"/>
                <w:right w:val="none" w:sz="0" w:space="0" w:color="auto"/>
              </w:divBdr>
            </w:div>
            <w:div w:id="1376539409">
              <w:marLeft w:val="0"/>
              <w:marRight w:val="0"/>
              <w:marTop w:val="0"/>
              <w:marBottom w:val="0"/>
              <w:divBdr>
                <w:top w:val="none" w:sz="0" w:space="0" w:color="auto"/>
                <w:left w:val="none" w:sz="0" w:space="0" w:color="auto"/>
                <w:bottom w:val="none" w:sz="0" w:space="0" w:color="auto"/>
                <w:right w:val="none" w:sz="0" w:space="0" w:color="auto"/>
              </w:divBdr>
            </w:div>
            <w:div w:id="1650816706">
              <w:marLeft w:val="0"/>
              <w:marRight w:val="0"/>
              <w:marTop w:val="0"/>
              <w:marBottom w:val="0"/>
              <w:divBdr>
                <w:top w:val="none" w:sz="0" w:space="0" w:color="auto"/>
                <w:left w:val="none" w:sz="0" w:space="0" w:color="auto"/>
                <w:bottom w:val="none" w:sz="0" w:space="0" w:color="auto"/>
                <w:right w:val="none" w:sz="0" w:space="0" w:color="auto"/>
              </w:divBdr>
            </w:div>
            <w:div w:id="1663973515">
              <w:marLeft w:val="0"/>
              <w:marRight w:val="0"/>
              <w:marTop w:val="0"/>
              <w:marBottom w:val="0"/>
              <w:divBdr>
                <w:top w:val="none" w:sz="0" w:space="0" w:color="auto"/>
                <w:left w:val="none" w:sz="0" w:space="0" w:color="auto"/>
                <w:bottom w:val="none" w:sz="0" w:space="0" w:color="auto"/>
                <w:right w:val="none" w:sz="0" w:space="0" w:color="auto"/>
              </w:divBdr>
            </w:div>
            <w:div w:id="1776241668">
              <w:marLeft w:val="0"/>
              <w:marRight w:val="0"/>
              <w:marTop w:val="0"/>
              <w:marBottom w:val="0"/>
              <w:divBdr>
                <w:top w:val="none" w:sz="0" w:space="0" w:color="auto"/>
                <w:left w:val="none" w:sz="0" w:space="0" w:color="auto"/>
                <w:bottom w:val="none" w:sz="0" w:space="0" w:color="auto"/>
                <w:right w:val="none" w:sz="0" w:space="0" w:color="auto"/>
              </w:divBdr>
            </w:div>
            <w:div w:id="1826898887">
              <w:marLeft w:val="0"/>
              <w:marRight w:val="0"/>
              <w:marTop w:val="0"/>
              <w:marBottom w:val="0"/>
              <w:divBdr>
                <w:top w:val="none" w:sz="0" w:space="0" w:color="auto"/>
                <w:left w:val="none" w:sz="0" w:space="0" w:color="auto"/>
                <w:bottom w:val="none" w:sz="0" w:space="0" w:color="auto"/>
                <w:right w:val="none" w:sz="0" w:space="0" w:color="auto"/>
              </w:divBdr>
            </w:div>
            <w:div w:id="1863783981">
              <w:marLeft w:val="0"/>
              <w:marRight w:val="0"/>
              <w:marTop w:val="0"/>
              <w:marBottom w:val="0"/>
              <w:divBdr>
                <w:top w:val="none" w:sz="0" w:space="0" w:color="auto"/>
                <w:left w:val="none" w:sz="0" w:space="0" w:color="auto"/>
                <w:bottom w:val="none" w:sz="0" w:space="0" w:color="auto"/>
                <w:right w:val="none" w:sz="0" w:space="0" w:color="auto"/>
              </w:divBdr>
            </w:div>
            <w:div w:id="1874416530">
              <w:marLeft w:val="0"/>
              <w:marRight w:val="0"/>
              <w:marTop w:val="0"/>
              <w:marBottom w:val="0"/>
              <w:divBdr>
                <w:top w:val="none" w:sz="0" w:space="0" w:color="auto"/>
                <w:left w:val="none" w:sz="0" w:space="0" w:color="auto"/>
                <w:bottom w:val="none" w:sz="0" w:space="0" w:color="auto"/>
                <w:right w:val="none" w:sz="0" w:space="0" w:color="auto"/>
              </w:divBdr>
            </w:div>
            <w:div w:id="1900243451">
              <w:marLeft w:val="0"/>
              <w:marRight w:val="0"/>
              <w:marTop w:val="0"/>
              <w:marBottom w:val="0"/>
              <w:divBdr>
                <w:top w:val="none" w:sz="0" w:space="0" w:color="auto"/>
                <w:left w:val="none" w:sz="0" w:space="0" w:color="auto"/>
                <w:bottom w:val="none" w:sz="0" w:space="0" w:color="auto"/>
                <w:right w:val="none" w:sz="0" w:space="0" w:color="auto"/>
              </w:divBdr>
            </w:div>
            <w:div w:id="1916939103">
              <w:marLeft w:val="0"/>
              <w:marRight w:val="0"/>
              <w:marTop w:val="0"/>
              <w:marBottom w:val="0"/>
              <w:divBdr>
                <w:top w:val="none" w:sz="0" w:space="0" w:color="auto"/>
                <w:left w:val="none" w:sz="0" w:space="0" w:color="auto"/>
                <w:bottom w:val="none" w:sz="0" w:space="0" w:color="auto"/>
                <w:right w:val="none" w:sz="0" w:space="0" w:color="auto"/>
              </w:divBdr>
            </w:div>
            <w:div w:id="1936085807">
              <w:marLeft w:val="0"/>
              <w:marRight w:val="0"/>
              <w:marTop w:val="0"/>
              <w:marBottom w:val="0"/>
              <w:divBdr>
                <w:top w:val="none" w:sz="0" w:space="0" w:color="auto"/>
                <w:left w:val="none" w:sz="0" w:space="0" w:color="auto"/>
                <w:bottom w:val="none" w:sz="0" w:space="0" w:color="auto"/>
                <w:right w:val="none" w:sz="0" w:space="0" w:color="auto"/>
              </w:divBdr>
            </w:div>
            <w:div w:id="2016151756">
              <w:marLeft w:val="0"/>
              <w:marRight w:val="0"/>
              <w:marTop w:val="0"/>
              <w:marBottom w:val="0"/>
              <w:divBdr>
                <w:top w:val="none" w:sz="0" w:space="0" w:color="auto"/>
                <w:left w:val="none" w:sz="0" w:space="0" w:color="auto"/>
                <w:bottom w:val="none" w:sz="0" w:space="0" w:color="auto"/>
                <w:right w:val="none" w:sz="0" w:space="0" w:color="auto"/>
              </w:divBdr>
            </w:div>
          </w:divsChild>
        </w:div>
        <w:div w:id="515313409">
          <w:marLeft w:val="0"/>
          <w:marRight w:val="0"/>
          <w:marTop w:val="0"/>
          <w:marBottom w:val="0"/>
          <w:divBdr>
            <w:top w:val="none" w:sz="0" w:space="0" w:color="auto"/>
            <w:left w:val="none" w:sz="0" w:space="0" w:color="auto"/>
            <w:bottom w:val="none" w:sz="0" w:space="0" w:color="auto"/>
            <w:right w:val="none" w:sz="0" w:space="0" w:color="auto"/>
          </w:divBdr>
        </w:div>
        <w:div w:id="951284978">
          <w:marLeft w:val="0"/>
          <w:marRight w:val="0"/>
          <w:marTop w:val="0"/>
          <w:marBottom w:val="0"/>
          <w:divBdr>
            <w:top w:val="none" w:sz="0" w:space="0" w:color="auto"/>
            <w:left w:val="none" w:sz="0" w:space="0" w:color="auto"/>
            <w:bottom w:val="none" w:sz="0" w:space="0" w:color="auto"/>
            <w:right w:val="none" w:sz="0" w:space="0" w:color="auto"/>
          </w:divBdr>
        </w:div>
      </w:divsChild>
    </w:div>
    <w:div w:id="454258133">
      <w:bodyDiv w:val="1"/>
      <w:marLeft w:val="0"/>
      <w:marRight w:val="0"/>
      <w:marTop w:val="0"/>
      <w:marBottom w:val="0"/>
      <w:divBdr>
        <w:top w:val="none" w:sz="0" w:space="0" w:color="auto"/>
        <w:left w:val="none" w:sz="0" w:space="0" w:color="auto"/>
        <w:bottom w:val="none" w:sz="0" w:space="0" w:color="auto"/>
        <w:right w:val="none" w:sz="0" w:space="0" w:color="auto"/>
      </w:divBdr>
    </w:div>
    <w:div w:id="458258190">
      <w:bodyDiv w:val="1"/>
      <w:marLeft w:val="0"/>
      <w:marRight w:val="0"/>
      <w:marTop w:val="0"/>
      <w:marBottom w:val="0"/>
      <w:divBdr>
        <w:top w:val="none" w:sz="0" w:space="0" w:color="auto"/>
        <w:left w:val="none" w:sz="0" w:space="0" w:color="auto"/>
        <w:bottom w:val="none" w:sz="0" w:space="0" w:color="auto"/>
        <w:right w:val="none" w:sz="0" w:space="0" w:color="auto"/>
      </w:divBdr>
    </w:div>
    <w:div w:id="495800302">
      <w:bodyDiv w:val="1"/>
      <w:marLeft w:val="0"/>
      <w:marRight w:val="0"/>
      <w:marTop w:val="0"/>
      <w:marBottom w:val="0"/>
      <w:divBdr>
        <w:top w:val="none" w:sz="0" w:space="0" w:color="auto"/>
        <w:left w:val="none" w:sz="0" w:space="0" w:color="auto"/>
        <w:bottom w:val="none" w:sz="0" w:space="0" w:color="auto"/>
        <w:right w:val="none" w:sz="0" w:space="0" w:color="auto"/>
      </w:divBdr>
    </w:div>
    <w:div w:id="552891107">
      <w:bodyDiv w:val="1"/>
      <w:marLeft w:val="0"/>
      <w:marRight w:val="0"/>
      <w:marTop w:val="0"/>
      <w:marBottom w:val="0"/>
      <w:divBdr>
        <w:top w:val="none" w:sz="0" w:space="0" w:color="auto"/>
        <w:left w:val="none" w:sz="0" w:space="0" w:color="auto"/>
        <w:bottom w:val="none" w:sz="0" w:space="0" w:color="auto"/>
        <w:right w:val="none" w:sz="0" w:space="0" w:color="auto"/>
      </w:divBdr>
    </w:div>
    <w:div w:id="570118928">
      <w:bodyDiv w:val="1"/>
      <w:marLeft w:val="0"/>
      <w:marRight w:val="0"/>
      <w:marTop w:val="0"/>
      <w:marBottom w:val="0"/>
      <w:divBdr>
        <w:top w:val="none" w:sz="0" w:space="0" w:color="auto"/>
        <w:left w:val="none" w:sz="0" w:space="0" w:color="auto"/>
        <w:bottom w:val="none" w:sz="0" w:space="0" w:color="auto"/>
        <w:right w:val="none" w:sz="0" w:space="0" w:color="auto"/>
      </w:divBdr>
    </w:div>
    <w:div w:id="570969277">
      <w:bodyDiv w:val="1"/>
      <w:marLeft w:val="0"/>
      <w:marRight w:val="0"/>
      <w:marTop w:val="0"/>
      <w:marBottom w:val="0"/>
      <w:divBdr>
        <w:top w:val="none" w:sz="0" w:space="0" w:color="auto"/>
        <w:left w:val="none" w:sz="0" w:space="0" w:color="auto"/>
        <w:bottom w:val="none" w:sz="0" w:space="0" w:color="auto"/>
        <w:right w:val="none" w:sz="0" w:space="0" w:color="auto"/>
      </w:divBdr>
      <w:divsChild>
        <w:div w:id="505219020">
          <w:marLeft w:val="0"/>
          <w:marRight w:val="0"/>
          <w:marTop w:val="0"/>
          <w:marBottom w:val="0"/>
          <w:divBdr>
            <w:top w:val="none" w:sz="0" w:space="0" w:color="auto"/>
            <w:left w:val="none" w:sz="0" w:space="0" w:color="auto"/>
            <w:bottom w:val="none" w:sz="0" w:space="0" w:color="auto"/>
            <w:right w:val="none" w:sz="0" w:space="0" w:color="auto"/>
          </w:divBdr>
        </w:div>
        <w:div w:id="726799597">
          <w:marLeft w:val="0"/>
          <w:marRight w:val="0"/>
          <w:marTop w:val="0"/>
          <w:marBottom w:val="0"/>
          <w:divBdr>
            <w:top w:val="none" w:sz="0" w:space="0" w:color="auto"/>
            <w:left w:val="none" w:sz="0" w:space="0" w:color="auto"/>
            <w:bottom w:val="none" w:sz="0" w:space="0" w:color="auto"/>
            <w:right w:val="none" w:sz="0" w:space="0" w:color="auto"/>
          </w:divBdr>
        </w:div>
        <w:div w:id="986982013">
          <w:marLeft w:val="0"/>
          <w:marRight w:val="0"/>
          <w:marTop w:val="0"/>
          <w:marBottom w:val="0"/>
          <w:divBdr>
            <w:top w:val="none" w:sz="0" w:space="0" w:color="auto"/>
            <w:left w:val="none" w:sz="0" w:space="0" w:color="auto"/>
            <w:bottom w:val="none" w:sz="0" w:space="0" w:color="auto"/>
            <w:right w:val="none" w:sz="0" w:space="0" w:color="auto"/>
          </w:divBdr>
        </w:div>
        <w:div w:id="1132095190">
          <w:marLeft w:val="0"/>
          <w:marRight w:val="0"/>
          <w:marTop w:val="0"/>
          <w:marBottom w:val="0"/>
          <w:divBdr>
            <w:top w:val="none" w:sz="0" w:space="0" w:color="auto"/>
            <w:left w:val="none" w:sz="0" w:space="0" w:color="auto"/>
            <w:bottom w:val="none" w:sz="0" w:space="0" w:color="auto"/>
            <w:right w:val="none" w:sz="0" w:space="0" w:color="auto"/>
          </w:divBdr>
        </w:div>
      </w:divsChild>
    </w:div>
    <w:div w:id="599261364">
      <w:bodyDiv w:val="1"/>
      <w:marLeft w:val="0"/>
      <w:marRight w:val="0"/>
      <w:marTop w:val="0"/>
      <w:marBottom w:val="0"/>
      <w:divBdr>
        <w:top w:val="none" w:sz="0" w:space="0" w:color="auto"/>
        <w:left w:val="none" w:sz="0" w:space="0" w:color="auto"/>
        <w:bottom w:val="none" w:sz="0" w:space="0" w:color="auto"/>
        <w:right w:val="none" w:sz="0" w:space="0" w:color="auto"/>
      </w:divBdr>
      <w:divsChild>
        <w:div w:id="343212446">
          <w:marLeft w:val="0"/>
          <w:marRight w:val="0"/>
          <w:marTop w:val="0"/>
          <w:marBottom w:val="0"/>
          <w:divBdr>
            <w:top w:val="none" w:sz="0" w:space="0" w:color="auto"/>
            <w:left w:val="none" w:sz="0" w:space="0" w:color="auto"/>
            <w:bottom w:val="none" w:sz="0" w:space="0" w:color="auto"/>
            <w:right w:val="none" w:sz="0" w:space="0" w:color="auto"/>
          </w:divBdr>
        </w:div>
        <w:div w:id="648560272">
          <w:marLeft w:val="0"/>
          <w:marRight w:val="0"/>
          <w:marTop w:val="0"/>
          <w:marBottom w:val="0"/>
          <w:divBdr>
            <w:top w:val="none" w:sz="0" w:space="0" w:color="auto"/>
            <w:left w:val="none" w:sz="0" w:space="0" w:color="auto"/>
            <w:bottom w:val="none" w:sz="0" w:space="0" w:color="auto"/>
            <w:right w:val="none" w:sz="0" w:space="0" w:color="auto"/>
          </w:divBdr>
        </w:div>
        <w:div w:id="1790397981">
          <w:marLeft w:val="0"/>
          <w:marRight w:val="0"/>
          <w:marTop w:val="0"/>
          <w:marBottom w:val="0"/>
          <w:divBdr>
            <w:top w:val="none" w:sz="0" w:space="0" w:color="auto"/>
            <w:left w:val="none" w:sz="0" w:space="0" w:color="auto"/>
            <w:bottom w:val="none" w:sz="0" w:space="0" w:color="auto"/>
            <w:right w:val="none" w:sz="0" w:space="0" w:color="auto"/>
          </w:divBdr>
        </w:div>
      </w:divsChild>
    </w:div>
    <w:div w:id="614021599">
      <w:bodyDiv w:val="1"/>
      <w:marLeft w:val="0"/>
      <w:marRight w:val="0"/>
      <w:marTop w:val="0"/>
      <w:marBottom w:val="0"/>
      <w:divBdr>
        <w:top w:val="none" w:sz="0" w:space="0" w:color="auto"/>
        <w:left w:val="none" w:sz="0" w:space="0" w:color="auto"/>
        <w:bottom w:val="none" w:sz="0" w:space="0" w:color="auto"/>
        <w:right w:val="none" w:sz="0" w:space="0" w:color="auto"/>
      </w:divBdr>
      <w:divsChild>
        <w:div w:id="670329454">
          <w:marLeft w:val="0"/>
          <w:marRight w:val="0"/>
          <w:marTop w:val="0"/>
          <w:marBottom w:val="0"/>
          <w:divBdr>
            <w:top w:val="none" w:sz="0" w:space="0" w:color="auto"/>
            <w:left w:val="none" w:sz="0" w:space="0" w:color="auto"/>
            <w:bottom w:val="none" w:sz="0" w:space="0" w:color="auto"/>
            <w:right w:val="none" w:sz="0" w:space="0" w:color="auto"/>
          </w:divBdr>
        </w:div>
      </w:divsChild>
    </w:div>
    <w:div w:id="703678019">
      <w:bodyDiv w:val="1"/>
      <w:marLeft w:val="0"/>
      <w:marRight w:val="0"/>
      <w:marTop w:val="0"/>
      <w:marBottom w:val="0"/>
      <w:divBdr>
        <w:top w:val="none" w:sz="0" w:space="0" w:color="auto"/>
        <w:left w:val="none" w:sz="0" w:space="0" w:color="auto"/>
        <w:bottom w:val="none" w:sz="0" w:space="0" w:color="auto"/>
        <w:right w:val="none" w:sz="0" w:space="0" w:color="auto"/>
      </w:divBdr>
    </w:div>
    <w:div w:id="718089543">
      <w:bodyDiv w:val="1"/>
      <w:marLeft w:val="0"/>
      <w:marRight w:val="0"/>
      <w:marTop w:val="0"/>
      <w:marBottom w:val="0"/>
      <w:divBdr>
        <w:top w:val="none" w:sz="0" w:space="0" w:color="auto"/>
        <w:left w:val="none" w:sz="0" w:space="0" w:color="auto"/>
        <w:bottom w:val="none" w:sz="0" w:space="0" w:color="auto"/>
        <w:right w:val="none" w:sz="0" w:space="0" w:color="auto"/>
      </w:divBdr>
    </w:div>
    <w:div w:id="750396942">
      <w:bodyDiv w:val="1"/>
      <w:marLeft w:val="0"/>
      <w:marRight w:val="0"/>
      <w:marTop w:val="0"/>
      <w:marBottom w:val="0"/>
      <w:divBdr>
        <w:top w:val="none" w:sz="0" w:space="0" w:color="auto"/>
        <w:left w:val="none" w:sz="0" w:space="0" w:color="auto"/>
        <w:bottom w:val="none" w:sz="0" w:space="0" w:color="auto"/>
        <w:right w:val="none" w:sz="0" w:space="0" w:color="auto"/>
      </w:divBdr>
      <w:divsChild>
        <w:div w:id="43872376">
          <w:marLeft w:val="0"/>
          <w:marRight w:val="0"/>
          <w:marTop w:val="0"/>
          <w:marBottom w:val="0"/>
          <w:divBdr>
            <w:top w:val="none" w:sz="0" w:space="0" w:color="auto"/>
            <w:left w:val="none" w:sz="0" w:space="0" w:color="auto"/>
            <w:bottom w:val="none" w:sz="0" w:space="0" w:color="auto"/>
            <w:right w:val="none" w:sz="0" w:space="0" w:color="auto"/>
          </w:divBdr>
        </w:div>
        <w:div w:id="263464316">
          <w:marLeft w:val="0"/>
          <w:marRight w:val="0"/>
          <w:marTop w:val="0"/>
          <w:marBottom w:val="0"/>
          <w:divBdr>
            <w:top w:val="none" w:sz="0" w:space="0" w:color="auto"/>
            <w:left w:val="none" w:sz="0" w:space="0" w:color="auto"/>
            <w:bottom w:val="none" w:sz="0" w:space="0" w:color="auto"/>
            <w:right w:val="none" w:sz="0" w:space="0" w:color="auto"/>
          </w:divBdr>
        </w:div>
        <w:div w:id="552888333">
          <w:marLeft w:val="0"/>
          <w:marRight w:val="0"/>
          <w:marTop w:val="0"/>
          <w:marBottom w:val="0"/>
          <w:divBdr>
            <w:top w:val="none" w:sz="0" w:space="0" w:color="auto"/>
            <w:left w:val="none" w:sz="0" w:space="0" w:color="auto"/>
            <w:bottom w:val="none" w:sz="0" w:space="0" w:color="auto"/>
            <w:right w:val="none" w:sz="0" w:space="0" w:color="auto"/>
          </w:divBdr>
        </w:div>
        <w:div w:id="882014460">
          <w:marLeft w:val="0"/>
          <w:marRight w:val="0"/>
          <w:marTop w:val="0"/>
          <w:marBottom w:val="0"/>
          <w:divBdr>
            <w:top w:val="none" w:sz="0" w:space="0" w:color="auto"/>
            <w:left w:val="none" w:sz="0" w:space="0" w:color="auto"/>
            <w:bottom w:val="none" w:sz="0" w:space="0" w:color="auto"/>
            <w:right w:val="none" w:sz="0" w:space="0" w:color="auto"/>
          </w:divBdr>
        </w:div>
        <w:div w:id="1460342619">
          <w:marLeft w:val="0"/>
          <w:marRight w:val="0"/>
          <w:marTop w:val="0"/>
          <w:marBottom w:val="0"/>
          <w:divBdr>
            <w:top w:val="none" w:sz="0" w:space="0" w:color="auto"/>
            <w:left w:val="none" w:sz="0" w:space="0" w:color="auto"/>
            <w:bottom w:val="none" w:sz="0" w:space="0" w:color="auto"/>
            <w:right w:val="none" w:sz="0" w:space="0" w:color="auto"/>
          </w:divBdr>
        </w:div>
        <w:div w:id="1531644321">
          <w:marLeft w:val="0"/>
          <w:marRight w:val="0"/>
          <w:marTop w:val="0"/>
          <w:marBottom w:val="0"/>
          <w:divBdr>
            <w:top w:val="none" w:sz="0" w:space="0" w:color="auto"/>
            <w:left w:val="none" w:sz="0" w:space="0" w:color="auto"/>
            <w:bottom w:val="none" w:sz="0" w:space="0" w:color="auto"/>
            <w:right w:val="none" w:sz="0" w:space="0" w:color="auto"/>
          </w:divBdr>
        </w:div>
        <w:div w:id="1550067331">
          <w:marLeft w:val="0"/>
          <w:marRight w:val="0"/>
          <w:marTop w:val="0"/>
          <w:marBottom w:val="0"/>
          <w:divBdr>
            <w:top w:val="none" w:sz="0" w:space="0" w:color="auto"/>
            <w:left w:val="none" w:sz="0" w:space="0" w:color="auto"/>
            <w:bottom w:val="none" w:sz="0" w:space="0" w:color="auto"/>
            <w:right w:val="none" w:sz="0" w:space="0" w:color="auto"/>
          </w:divBdr>
        </w:div>
        <w:div w:id="1804154180">
          <w:marLeft w:val="0"/>
          <w:marRight w:val="0"/>
          <w:marTop w:val="0"/>
          <w:marBottom w:val="0"/>
          <w:divBdr>
            <w:top w:val="none" w:sz="0" w:space="0" w:color="auto"/>
            <w:left w:val="none" w:sz="0" w:space="0" w:color="auto"/>
            <w:bottom w:val="none" w:sz="0" w:space="0" w:color="auto"/>
            <w:right w:val="none" w:sz="0" w:space="0" w:color="auto"/>
          </w:divBdr>
        </w:div>
      </w:divsChild>
    </w:div>
    <w:div w:id="755900937">
      <w:bodyDiv w:val="1"/>
      <w:marLeft w:val="0"/>
      <w:marRight w:val="0"/>
      <w:marTop w:val="0"/>
      <w:marBottom w:val="0"/>
      <w:divBdr>
        <w:top w:val="none" w:sz="0" w:space="0" w:color="auto"/>
        <w:left w:val="none" w:sz="0" w:space="0" w:color="auto"/>
        <w:bottom w:val="none" w:sz="0" w:space="0" w:color="auto"/>
        <w:right w:val="none" w:sz="0" w:space="0" w:color="auto"/>
      </w:divBdr>
    </w:div>
    <w:div w:id="799229990">
      <w:bodyDiv w:val="1"/>
      <w:marLeft w:val="0"/>
      <w:marRight w:val="0"/>
      <w:marTop w:val="0"/>
      <w:marBottom w:val="0"/>
      <w:divBdr>
        <w:top w:val="none" w:sz="0" w:space="0" w:color="auto"/>
        <w:left w:val="none" w:sz="0" w:space="0" w:color="auto"/>
        <w:bottom w:val="none" w:sz="0" w:space="0" w:color="auto"/>
        <w:right w:val="none" w:sz="0" w:space="0" w:color="auto"/>
      </w:divBdr>
    </w:div>
    <w:div w:id="831028904">
      <w:bodyDiv w:val="1"/>
      <w:marLeft w:val="0"/>
      <w:marRight w:val="0"/>
      <w:marTop w:val="0"/>
      <w:marBottom w:val="0"/>
      <w:divBdr>
        <w:top w:val="none" w:sz="0" w:space="0" w:color="auto"/>
        <w:left w:val="none" w:sz="0" w:space="0" w:color="auto"/>
        <w:bottom w:val="none" w:sz="0" w:space="0" w:color="auto"/>
        <w:right w:val="none" w:sz="0" w:space="0" w:color="auto"/>
      </w:divBdr>
    </w:div>
    <w:div w:id="910310160">
      <w:bodyDiv w:val="1"/>
      <w:marLeft w:val="0"/>
      <w:marRight w:val="0"/>
      <w:marTop w:val="0"/>
      <w:marBottom w:val="0"/>
      <w:divBdr>
        <w:top w:val="none" w:sz="0" w:space="0" w:color="auto"/>
        <w:left w:val="none" w:sz="0" w:space="0" w:color="auto"/>
        <w:bottom w:val="none" w:sz="0" w:space="0" w:color="auto"/>
        <w:right w:val="none" w:sz="0" w:space="0" w:color="auto"/>
      </w:divBdr>
    </w:div>
    <w:div w:id="980573849">
      <w:bodyDiv w:val="1"/>
      <w:marLeft w:val="0"/>
      <w:marRight w:val="0"/>
      <w:marTop w:val="0"/>
      <w:marBottom w:val="0"/>
      <w:divBdr>
        <w:top w:val="none" w:sz="0" w:space="0" w:color="auto"/>
        <w:left w:val="none" w:sz="0" w:space="0" w:color="auto"/>
        <w:bottom w:val="none" w:sz="0" w:space="0" w:color="auto"/>
        <w:right w:val="none" w:sz="0" w:space="0" w:color="auto"/>
      </w:divBdr>
      <w:divsChild>
        <w:div w:id="221520748">
          <w:marLeft w:val="0"/>
          <w:marRight w:val="0"/>
          <w:marTop w:val="0"/>
          <w:marBottom w:val="0"/>
          <w:divBdr>
            <w:top w:val="none" w:sz="0" w:space="0" w:color="auto"/>
            <w:left w:val="none" w:sz="0" w:space="0" w:color="auto"/>
            <w:bottom w:val="none" w:sz="0" w:space="0" w:color="auto"/>
            <w:right w:val="none" w:sz="0" w:space="0" w:color="auto"/>
          </w:divBdr>
        </w:div>
        <w:div w:id="266739479">
          <w:marLeft w:val="0"/>
          <w:marRight w:val="0"/>
          <w:marTop w:val="0"/>
          <w:marBottom w:val="0"/>
          <w:divBdr>
            <w:top w:val="none" w:sz="0" w:space="0" w:color="auto"/>
            <w:left w:val="none" w:sz="0" w:space="0" w:color="auto"/>
            <w:bottom w:val="none" w:sz="0" w:space="0" w:color="auto"/>
            <w:right w:val="none" w:sz="0" w:space="0" w:color="auto"/>
          </w:divBdr>
        </w:div>
        <w:div w:id="1791699352">
          <w:marLeft w:val="0"/>
          <w:marRight w:val="0"/>
          <w:marTop w:val="0"/>
          <w:marBottom w:val="0"/>
          <w:divBdr>
            <w:top w:val="none" w:sz="0" w:space="0" w:color="auto"/>
            <w:left w:val="none" w:sz="0" w:space="0" w:color="auto"/>
            <w:bottom w:val="none" w:sz="0" w:space="0" w:color="auto"/>
            <w:right w:val="none" w:sz="0" w:space="0" w:color="auto"/>
          </w:divBdr>
        </w:div>
      </w:divsChild>
    </w:div>
    <w:div w:id="992174285">
      <w:bodyDiv w:val="1"/>
      <w:marLeft w:val="0"/>
      <w:marRight w:val="0"/>
      <w:marTop w:val="0"/>
      <w:marBottom w:val="0"/>
      <w:divBdr>
        <w:top w:val="none" w:sz="0" w:space="0" w:color="auto"/>
        <w:left w:val="none" w:sz="0" w:space="0" w:color="auto"/>
        <w:bottom w:val="none" w:sz="0" w:space="0" w:color="auto"/>
        <w:right w:val="none" w:sz="0" w:space="0" w:color="auto"/>
      </w:divBdr>
      <w:divsChild>
        <w:div w:id="132715290">
          <w:marLeft w:val="1166"/>
          <w:marRight w:val="0"/>
          <w:marTop w:val="0"/>
          <w:marBottom w:val="0"/>
          <w:divBdr>
            <w:top w:val="none" w:sz="0" w:space="0" w:color="auto"/>
            <w:left w:val="none" w:sz="0" w:space="0" w:color="auto"/>
            <w:bottom w:val="none" w:sz="0" w:space="0" w:color="auto"/>
            <w:right w:val="none" w:sz="0" w:space="0" w:color="auto"/>
          </w:divBdr>
        </w:div>
        <w:div w:id="148327290">
          <w:marLeft w:val="1166"/>
          <w:marRight w:val="0"/>
          <w:marTop w:val="0"/>
          <w:marBottom w:val="0"/>
          <w:divBdr>
            <w:top w:val="none" w:sz="0" w:space="0" w:color="auto"/>
            <w:left w:val="none" w:sz="0" w:space="0" w:color="auto"/>
            <w:bottom w:val="none" w:sz="0" w:space="0" w:color="auto"/>
            <w:right w:val="none" w:sz="0" w:space="0" w:color="auto"/>
          </w:divBdr>
        </w:div>
        <w:div w:id="355734609">
          <w:marLeft w:val="1166"/>
          <w:marRight w:val="0"/>
          <w:marTop w:val="0"/>
          <w:marBottom w:val="0"/>
          <w:divBdr>
            <w:top w:val="none" w:sz="0" w:space="0" w:color="auto"/>
            <w:left w:val="none" w:sz="0" w:space="0" w:color="auto"/>
            <w:bottom w:val="none" w:sz="0" w:space="0" w:color="auto"/>
            <w:right w:val="none" w:sz="0" w:space="0" w:color="auto"/>
          </w:divBdr>
        </w:div>
        <w:div w:id="1294210397">
          <w:marLeft w:val="1166"/>
          <w:marRight w:val="0"/>
          <w:marTop w:val="0"/>
          <w:marBottom w:val="0"/>
          <w:divBdr>
            <w:top w:val="none" w:sz="0" w:space="0" w:color="auto"/>
            <w:left w:val="none" w:sz="0" w:space="0" w:color="auto"/>
            <w:bottom w:val="none" w:sz="0" w:space="0" w:color="auto"/>
            <w:right w:val="none" w:sz="0" w:space="0" w:color="auto"/>
          </w:divBdr>
        </w:div>
        <w:div w:id="1481724940">
          <w:marLeft w:val="1166"/>
          <w:marRight w:val="0"/>
          <w:marTop w:val="0"/>
          <w:marBottom w:val="0"/>
          <w:divBdr>
            <w:top w:val="none" w:sz="0" w:space="0" w:color="auto"/>
            <w:left w:val="none" w:sz="0" w:space="0" w:color="auto"/>
            <w:bottom w:val="none" w:sz="0" w:space="0" w:color="auto"/>
            <w:right w:val="none" w:sz="0" w:space="0" w:color="auto"/>
          </w:divBdr>
        </w:div>
        <w:div w:id="1508592293">
          <w:marLeft w:val="1166"/>
          <w:marRight w:val="0"/>
          <w:marTop w:val="0"/>
          <w:marBottom w:val="0"/>
          <w:divBdr>
            <w:top w:val="none" w:sz="0" w:space="0" w:color="auto"/>
            <w:left w:val="none" w:sz="0" w:space="0" w:color="auto"/>
            <w:bottom w:val="none" w:sz="0" w:space="0" w:color="auto"/>
            <w:right w:val="none" w:sz="0" w:space="0" w:color="auto"/>
          </w:divBdr>
        </w:div>
        <w:div w:id="1639454488">
          <w:marLeft w:val="1166"/>
          <w:marRight w:val="0"/>
          <w:marTop w:val="0"/>
          <w:marBottom w:val="0"/>
          <w:divBdr>
            <w:top w:val="none" w:sz="0" w:space="0" w:color="auto"/>
            <w:left w:val="none" w:sz="0" w:space="0" w:color="auto"/>
            <w:bottom w:val="none" w:sz="0" w:space="0" w:color="auto"/>
            <w:right w:val="none" w:sz="0" w:space="0" w:color="auto"/>
          </w:divBdr>
        </w:div>
      </w:divsChild>
    </w:div>
    <w:div w:id="1036585414">
      <w:bodyDiv w:val="1"/>
      <w:marLeft w:val="0"/>
      <w:marRight w:val="0"/>
      <w:marTop w:val="0"/>
      <w:marBottom w:val="0"/>
      <w:divBdr>
        <w:top w:val="none" w:sz="0" w:space="0" w:color="auto"/>
        <w:left w:val="none" w:sz="0" w:space="0" w:color="auto"/>
        <w:bottom w:val="none" w:sz="0" w:space="0" w:color="auto"/>
        <w:right w:val="none" w:sz="0" w:space="0" w:color="auto"/>
      </w:divBdr>
    </w:div>
    <w:div w:id="1044989413">
      <w:bodyDiv w:val="1"/>
      <w:marLeft w:val="0"/>
      <w:marRight w:val="0"/>
      <w:marTop w:val="0"/>
      <w:marBottom w:val="0"/>
      <w:divBdr>
        <w:top w:val="none" w:sz="0" w:space="0" w:color="auto"/>
        <w:left w:val="none" w:sz="0" w:space="0" w:color="auto"/>
        <w:bottom w:val="none" w:sz="0" w:space="0" w:color="auto"/>
        <w:right w:val="none" w:sz="0" w:space="0" w:color="auto"/>
      </w:divBdr>
    </w:div>
    <w:div w:id="1120883185">
      <w:bodyDiv w:val="1"/>
      <w:marLeft w:val="0"/>
      <w:marRight w:val="0"/>
      <w:marTop w:val="0"/>
      <w:marBottom w:val="0"/>
      <w:divBdr>
        <w:top w:val="none" w:sz="0" w:space="0" w:color="auto"/>
        <w:left w:val="none" w:sz="0" w:space="0" w:color="auto"/>
        <w:bottom w:val="none" w:sz="0" w:space="0" w:color="auto"/>
        <w:right w:val="none" w:sz="0" w:space="0" w:color="auto"/>
      </w:divBdr>
    </w:div>
    <w:div w:id="1246916879">
      <w:bodyDiv w:val="1"/>
      <w:marLeft w:val="0"/>
      <w:marRight w:val="0"/>
      <w:marTop w:val="0"/>
      <w:marBottom w:val="0"/>
      <w:divBdr>
        <w:top w:val="none" w:sz="0" w:space="0" w:color="auto"/>
        <w:left w:val="none" w:sz="0" w:space="0" w:color="auto"/>
        <w:bottom w:val="none" w:sz="0" w:space="0" w:color="auto"/>
        <w:right w:val="none" w:sz="0" w:space="0" w:color="auto"/>
      </w:divBdr>
    </w:div>
    <w:div w:id="1270743902">
      <w:bodyDiv w:val="1"/>
      <w:marLeft w:val="0"/>
      <w:marRight w:val="0"/>
      <w:marTop w:val="0"/>
      <w:marBottom w:val="0"/>
      <w:divBdr>
        <w:top w:val="none" w:sz="0" w:space="0" w:color="auto"/>
        <w:left w:val="none" w:sz="0" w:space="0" w:color="auto"/>
        <w:bottom w:val="none" w:sz="0" w:space="0" w:color="auto"/>
        <w:right w:val="none" w:sz="0" w:space="0" w:color="auto"/>
      </w:divBdr>
    </w:div>
    <w:div w:id="1364330117">
      <w:bodyDiv w:val="1"/>
      <w:marLeft w:val="0"/>
      <w:marRight w:val="0"/>
      <w:marTop w:val="0"/>
      <w:marBottom w:val="0"/>
      <w:divBdr>
        <w:top w:val="none" w:sz="0" w:space="0" w:color="auto"/>
        <w:left w:val="none" w:sz="0" w:space="0" w:color="auto"/>
        <w:bottom w:val="none" w:sz="0" w:space="0" w:color="auto"/>
        <w:right w:val="none" w:sz="0" w:space="0" w:color="auto"/>
      </w:divBdr>
      <w:divsChild>
        <w:div w:id="116917108">
          <w:marLeft w:val="0"/>
          <w:marRight w:val="0"/>
          <w:marTop w:val="0"/>
          <w:marBottom w:val="0"/>
          <w:divBdr>
            <w:top w:val="none" w:sz="0" w:space="0" w:color="auto"/>
            <w:left w:val="none" w:sz="0" w:space="0" w:color="auto"/>
            <w:bottom w:val="none" w:sz="0" w:space="0" w:color="auto"/>
            <w:right w:val="none" w:sz="0" w:space="0" w:color="auto"/>
          </w:divBdr>
        </w:div>
        <w:div w:id="729571227">
          <w:marLeft w:val="0"/>
          <w:marRight w:val="0"/>
          <w:marTop w:val="0"/>
          <w:marBottom w:val="0"/>
          <w:divBdr>
            <w:top w:val="none" w:sz="0" w:space="0" w:color="auto"/>
            <w:left w:val="none" w:sz="0" w:space="0" w:color="auto"/>
            <w:bottom w:val="none" w:sz="0" w:space="0" w:color="auto"/>
            <w:right w:val="none" w:sz="0" w:space="0" w:color="auto"/>
          </w:divBdr>
        </w:div>
        <w:div w:id="1018964842">
          <w:marLeft w:val="0"/>
          <w:marRight w:val="0"/>
          <w:marTop w:val="0"/>
          <w:marBottom w:val="0"/>
          <w:divBdr>
            <w:top w:val="none" w:sz="0" w:space="0" w:color="auto"/>
            <w:left w:val="none" w:sz="0" w:space="0" w:color="auto"/>
            <w:bottom w:val="none" w:sz="0" w:space="0" w:color="auto"/>
            <w:right w:val="none" w:sz="0" w:space="0" w:color="auto"/>
          </w:divBdr>
        </w:div>
        <w:div w:id="1109011807">
          <w:marLeft w:val="0"/>
          <w:marRight w:val="0"/>
          <w:marTop w:val="0"/>
          <w:marBottom w:val="0"/>
          <w:divBdr>
            <w:top w:val="none" w:sz="0" w:space="0" w:color="auto"/>
            <w:left w:val="none" w:sz="0" w:space="0" w:color="auto"/>
            <w:bottom w:val="none" w:sz="0" w:space="0" w:color="auto"/>
            <w:right w:val="none" w:sz="0" w:space="0" w:color="auto"/>
          </w:divBdr>
        </w:div>
        <w:div w:id="1533181662">
          <w:marLeft w:val="0"/>
          <w:marRight w:val="0"/>
          <w:marTop w:val="0"/>
          <w:marBottom w:val="0"/>
          <w:divBdr>
            <w:top w:val="none" w:sz="0" w:space="0" w:color="auto"/>
            <w:left w:val="none" w:sz="0" w:space="0" w:color="auto"/>
            <w:bottom w:val="none" w:sz="0" w:space="0" w:color="auto"/>
            <w:right w:val="none" w:sz="0" w:space="0" w:color="auto"/>
          </w:divBdr>
        </w:div>
        <w:div w:id="1691251858">
          <w:marLeft w:val="0"/>
          <w:marRight w:val="0"/>
          <w:marTop w:val="0"/>
          <w:marBottom w:val="0"/>
          <w:divBdr>
            <w:top w:val="none" w:sz="0" w:space="0" w:color="auto"/>
            <w:left w:val="none" w:sz="0" w:space="0" w:color="auto"/>
            <w:bottom w:val="none" w:sz="0" w:space="0" w:color="auto"/>
            <w:right w:val="none" w:sz="0" w:space="0" w:color="auto"/>
          </w:divBdr>
        </w:div>
        <w:div w:id="1769885438">
          <w:marLeft w:val="0"/>
          <w:marRight w:val="0"/>
          <w:marTop w:val="0"/>
          <w:marBottom w:val="0"/>
          <w:divBdr>
            <w:top w:val="none" w:sz="0" w:space="0" w:color="auto"/>
            <w:left w:val="none" w:sz="0" w:space="0" w:color="auto"/>
            <w:bottom w:val="none" w:sz="0" w:space="0" w:color="auto"/>
            <w:right w:val="none" w:sz="0" w:space="0" w:color="auto"/>
          </w:divBdr>
        </w:div>
        <w:div w:id="1965501682">
          <w:marLeft w:val="0"/>
          <w:marRight w:val="0"/>
          <w:marTop w:val="0"/>
          <w:marBottom w:val="0"/>
          <w:divBdr>
            <w:top w:val="none" w:sz="0" w:space="0" w:color="auto"/>
            <w:left w:val="none" w:sz="0" w:space="0" w:color="auto"/>
            <w:bottom w:val="none" w:sz="0" w:space="0" w:color="auto"/>
            <w:right w:val="none" w:sz="0" w:space="0" w:color="auto"/>
          </w:divBdr>
        </w:div>
      </w:divsChild>
    </w:div>
    <w:div w:id="1430547035">
      <w:bodyDiv w:val="1"/>
      <w:marLeft w:val="0"/>
      <w:marRight w:val="0"/>
      <w:marTop w:val="0"/>
      <w:marBottom w:val="0"/>
      <w:divBdr>
        <w:top w:val="none" w:sz="0" w:space="0" w:color="auto"/>
        <w:left w:val="none" w:sz="0" w:space="0" w:color="auto"/>
        <w:bottom w:val="none" w:sz="0" w:space="0" w:color="auto"/>
        <w:right w:val="none" w:sz="0" w:space="0" w:color="auto"/>
      </w:divBdr>
    </w:div>
    <w:div w:id="1491673642">
      <w:bodyDiv w:val="1"/>
      <w:marLeft w:val="0"/>
      <w:marRight w:val="0"/>
      <w:marTop w:val="0"/>
      <w:marBottom w:val="0"/>
      <w:divBdr>
        <w:top w:val="none" w:sz="0" w:space="0" w:color="auto"/>
        <w:left w:val="none" w:sz="0" w:space="0" w:color="auto"/>
        <w:bottom w:val="none" w:sz="0" w:space="0" w:color="auto"/>
        <w:right w:val="none" w:sz="0" w:space="0" w:color="auto"/>
      </w:divBdr>
    </w:div>
    <w:div w:id="1540970502">
      <w:bodyDiv w:val="1"/>
      <w:marLeft w:val="0"/>
      <w:marRight w:val="0"/>
      <w:marTop w:val="0"/>
      <w:marBottom w:val="0"/>
      <w:divBdr>
        <w:top w:val="none" w:sz="0" w:space="0" w:color="auto"/>
        <w:left w:val="none" w:sz="0" w:space="0" w:color="auto"/>
        <w:bottom w:val="none" w:sz="0" w:space="0" w:color="auto"/>
        <w:right w:val="none" w:sz="0" w:space="0" w:color="auto"/>
      </w:divBdr>
    </w:div>
    <w:div w:id="1645425215">
      <w:bodyDiv w:val="1"/>
      <w:marLeft w:val="0"/>
      <w:marRight w:val="0"/>
      <w:marTop w:val="0"/>
      <w:marBottom w:val="0"/>
      <w:divBdr>
        <w:top w:val="none" w:sz="0" w:space="0" w:color="auto"/>
        <w:left w:val="none" w:sz="0" w:space="0" w:color="auto"/>
        <w:bottom w:val="none" w:sz="0" w:space="0" w:color="auto"/>
        <w:right w:val="none" w:sz="0" w:space="0" w:color="auto"/>
      </w:divBdr>
      <w:divsChild>
        <w:div w:id="437680565">
          <w:marLeft w:val="0"/>
          <w:marRight w:val="0"/>
          <w:marTop w:val="0"/>
          <w:marBottom w:val="0"/>
          <w:divBdr>
            <w:top w:val="none" w:sz="0" w:space="0" w:color="auto"/>
            <w:left w:val="none" w:sz="0" w:space="0" w:color="auto"/>
            <w:bottom w:val="none" w:sz="0" w:space="0" w:color="auto"/>
            <w:right w:val="none" w:sz="0" w:space="0" w:color="auto"/>
          </w:divBdr>
        </w:div>
        <w:div w:id="909656932">
          <w:marLeft w:val="0"/>
          <w:marRight w:val="0"/>
          <w:marTop w:val="0"/>
          <w:marBottom w:val="0"/>
          <w:divBdr>
            <w:top w:val="none" w:sz="0" w:space="0" w:color="auto"/>
            <w:left w:val="none" w:sz="0" w:space="0" w:color="auto"/>
            <w:bottom w:val="none" w:sz="0" w:space="0" w:color="auto"/>
            <w:right w:val="none" w:sz="0" w:space="0" w:color="auto"/>
          </w:divBdr>
          <w:divsChild>
            <w:div w:id="87700023">
              <w:marLeft w:val="0"/>
              <w:marRight w:val="0"/>
              <w:marTop w:val="0"/>
              <w:marBottom w:val="0"/>
              <w:divBdr>
                <w:top w:val="none" w:sz="0" w:space="0" w:color="auto"/>
                <w:left w:val="none" w:sz="0" w:space="0" w:color="auto"/>
                <w:bottom w:val="none" w:sz="0" w:space="0" w:color="auto"/>
                <w:right w:val="none" w:sz="0" w:space="0" w:color="auto"/>
              </w:divBdr>
            </w:div>
            <w:div w:id="354968524">
              <w:marLeft w:val="0"/>
              <w:marRight w:val="0"/>
              <w:marTop w:val="0"/>
              <w:marBottom w:val="0"/>
              <w:divBdr>
                <w:top w:val="none" w:sz="0" w:space="0" w:color="auto"/>
                <w:left w:val="none" w:sz="0" w:space="0" w:color="auto"/>
                <w:bottom w:val="none" w:sz="0" w:space="0" w:color="auto"/>
                <w:right w:val="none" w:sz="0" w:space="0" w:color="auto"/>
              </w:divBdr>
            </w:div>
            <w:div w:id="415251242">
              <w:marLeft w:val="0"/>
              <w:marRight w:val="0"/>
              <w:marTop w:val="0"/>
              <w:marBottom w:val="0"/>
              <w:divBdr>
                <w:top w:val="none" w:sz="0" w:space="0" w:color="auto"/>
                <w:left w:val="none" w:sz="0" w:space="0" w:color="auto"/>
                <w:bottom w:val="none" w:sz="0" w:space="0" w:color="auto"/>
                <w:right w:val="none" w:sz="0" w:space="0" w:color="auto"/>
              </w:divBdr>
            </w:div>
            <w:div w:id="559556110">
              <w:marLeft w:val="0"/>
              <w:marRight w:val="0"/>
              <w:marTop w:val="0"/>
              <w:marBottom w:val="0"/>
              <w:divBdr>
                <w:top w:val="none" w:sz="0" w:space="0" w:color="auto"/>
                <w:left w:val="none" w:sz="0" w:space="0" w:color="auto"/>
                <w:bottom w:val="none" w:sz="0" w:space="0" w:color="auto"/>
                <w:right w:val="none" w:sz="0" w:space="0" w:color="auto"/>
              </w:divBdr>
            </w:div>
            <w:div w:id="587688628">
              <w:marLeft w:val="0"/>
              <w:marRight w:val="0"/>
              <w:marTop w:val="0"/>
              <w:marBottom w:val="0"/>
              <w:divBdr>
                <w:top w:val="none" w:sz="0" w:space="0" w:color="auto"/>
                <w:left w:val="none" w:sz="0" w:space="0" w:color="auto"/>
                <w:bottom w:val="none" w:sz="0" w:space="0" w:color="auto"/>
                <w:right w:val="none" w:sz="0" w:space="0" w:color="auto"/>
              </w:divBdr>
            </w:div>
            <w:div w:id="714738312">
              <w:marLeft w:val="0"/>
              <w:marRight w:val="0"/>
              <w:marTop w:val="0"/>
              <w:marBottom w:val="0"/>
              <w:divBdr>
                <w:top w:val="none" w:sz="0" w:space="0" w:color="auto"/>
                <w:left w:val="none" w:sz="0" w:space="0" w:color="auto"/>
                <w:bottom w:val="none" w:sz="0" w:space="0" w:color="auto"/>
                <w:right w:val="none" w:sz="0" w:space="0" w:color="auto"/>
              </w:divBdr>
            </w:div>
            <w:div w:id="917405086">
              <w:marLeft w:val="0"/>
              <w:marRight w:val="0"/>
              <w:marTop w:val="0"/>
              <w:marBottom w:val="0"/>
              <w:divBdr>
                <w:top w:val="none" w:sz="0" w:space="0" w:color="auto"/>
                <w:left w:val="none" w:sz="0" w:space="0" w:color="auto"/>
                <w:bottom w:val="none" w:sz="0" w:space="0" w:color="auto"/>
                <w:right w:val="none" w:sz="0" w:space="0" w:color="auto"/>
              </w:divBdr>
            </w:div>
            <w:div w:id="972247765">
              <w:marLeft w:val="0"/>
              <w:marRight w:val="0"/>
              <w:marTop w:val="0"/>
              <w:marBottom w:val="0"/>
              <w:divBdr>
                <w:top w:val="none" w:sz="0" w:space="0" w:color="auto"/>
                <w:left w:val="none" w:sz="0" w:space="0" w:color="auto"/>
                <w:bottom w:val="none" w:sz="0" w:space="0" w:color="auto"/>
                <w:right w:val="none" w:sz="0" w:space="0" w:color="auto"/>
              </w:divBdr>
            </w:div>
            <w:div w:id="1006136379">
              <w:marLeft w:val="0"/>
              <w:marRight w:val="0"/>
              <w:marTop w:val="0"/>
              <w:marBottom w:val="0"/>
              <w:divBdr>
                <w:top w:val="none" w:sz="0" w:space="0" w:color="auto"/>
                <w:left w:val="none" w:sz="0" w:space="0" w:color="auto"/>
                <w:bottom w:val="none" w:sz="0" w:space="0" w:color="auto"/>
                <w:right w:val="none" w:sz="0" w:space="0" w:color="auto"/>
              </w:divBdr>
            </w:div>
            <w:div w:id="1133644009">
              <w:marLeft w:val="0"/>
              <w:marRight w:val="0"/>
              <w:marTop w:val="0"/>
              <w:marBottom w:val="0"/>
              <w:divBdr>
                <w:top w:val="none" w:sz="0" w:space="0" w:color="auto"/>
                <w:left w:val="none" w:sz="0" w:space="0" w:color="auto"/>
                <w:bottom w:val="none" w:sz="0" w:space="0" w:color="auto"/>
                <w:right w:val="none" w:sz="0" w:space="0" w:color="auto"/>
              </w:divBdr>
            </w:div>
            <w:div w:id="1362708936">
              <w:marLeft w:val="0"/>
              <w:marRight w:val="0"/>
              <w:marTop w:val="0"/>
              <w:marBottom w:val="0"/>
              <w:divBdr>
                <w:top w:val="none" w:sz="0" w:space="0" w:color="auto"/>
                <w:left w:val="none" w:sz="0" w:space="0" w:color="auto"/>
                <w:bottom w:val="none" w:sz="0" w:space="0" w:color="auto"/>
                <w:right w:val="none" w:sz="0" w:space="0" w:color="auto"/>
              </w:divBdr>
            </w:div>
            <w:div w:id="1395466074">
              <w:marLeft w:val="0"/>
              <w:marRight w:val="0"/>
              <w:marTop w:val="0"/>
              <w:marBottom w:val="0"/>
              <w:divBdr>
                <w:top w:val="none" w:sz="0" w:space="0" w:color="auto"/>
                <w:left w:val="none" w:sz="0" w:space="0" w:color="auto"/>
                <w:bottom w:val="none" w:sz="0" w:space="0" w:color="auto"/>
                <w:right w:val="none" w:sz="0" w:space="0" w:color="auto"/>
              </w:divBdr>
            </w:div>
            <w:div w:id="1458790087">
              <w:marLeft w:val="0"/>
              <w:marRight w:val="0"/>
              <w:marTop w:val="0"/>
              <w:marBottom w:val="0"/>
              <w:divBdr>
                <w:top w:val="none" w:sz="0" w:space="0" w:color="auto"/>
                <w:left w:val="none" w:sz="0" w:space="0" w:color="auto"/>
                <w:bottom w:val="none" w:sz="0" w:space="0" w:color="auto"/>
                <w:right w:val="none" w:sz="0" w:space="0" w:color="auto"/>
              </w:divBdr>
            </w:div>
            <w:div w:id="1687976250">
              <w:marLeft w:val="0"/>
              <w:marRight w:val="0"/>
              <w:marTop w:val="0"/>
              <w:marBottom w:val="0"/>
              <w:divBdr>
                <w:top w:val="none" w:sz="0" w:space="0" w:color="auto"/>
                <w:left w:val="none" w:sz="0" w:space="0" w:color="auto"/>
                <w:bottom w:val="none" w:sz="0" w:space="0" w:color="auto"/>
                <w:right w:val="none" w:sz="0" w:space="0" w:color="auto"/>
              </w:divBdr>
            </w:div>
            <w:div w:id="1806463879">
              <w:marLeft w:val="0"/>
              <w:marRight w:val="0"/>
              <w:marTop w:val="0"/>
              <w:marBottom w:val="0"/>
              <w:divBdr>
                <w:top w:val="none" w:sz="0" w:space="0" w:color="auto"/>
                <w:left w:val="none" w:sz="0" w:space="0" w:color="auto"/>
                <w:bottom w:val="none" w:sz="0" w:space="0" w:color="auto"/>
                <w:right w:val="none" w:sz="0" w:space="0" w:color="auto"/>
              </w:divBdr>
            </w:div>
            <w:div w:id="1899394499">
              <w:marLeft w:val="0"/>
              <w:marRight w:val="0"/>
              <w:marTop w:val="0"/>
              <w:marBottom w:val="0"/>
              <w:divBdr>
                <w:top w:val="none" w:sz="0" w:space="0" w:color="auto"/>
                <w:left w:val="none" w:sz="0" w:space="0" w:color="auto"/>
                <w:bottom w:val="none" w:sz="0" w:space="0" w:color="auto"/>
                <w:right w:val="none" w:sz="0" w:space="0" w:color="auto"/>
              </w:divBdr>
            </w:div>
            <w:div w:id="2058165850">
              <w:marLeft w:val="0"/>
              <w:marRight w:val="0"/>
              <w:marTop w:val="0"/>
              <w:marBottom w:val="0"/>
              <w:divBdr>
                <w:top w:val="none" w:sz="0" w:space="0" w:color="auto"/>
                <w:left w:val="none" w:sz="0" w:space="0" w:color="auto"/>
                <w:bottom w:val="none" w:sz="0" w:space="0" w:color="auto"/>
                <w:right w:val="none" w:sz="0" w:space="0" w:color="auto"/>
              </w:divBdr>
            </w:div>
            <w:div w:id="2085107975">
              <w:marLeft w:val="0"/>
              <w:marRight w:val="0"/>
              <w:marTop w:val="0"/>
              <w:marBottom w:val="0"/>
              <w:divBdr>
                <w:top w:val="none" w:sz="0" w:space="0" w:color="auto"/>
                <w:left w:val="none" w:sz="0" w:space="0" w:color="auto"/>
                <w:bottom w:val="none" w:sz="0" w:space="0" w:color="auto"/>
                <w:right w:val="none" w:sz="0" w:space="0" w:color="auto"/>
              </w:divBdr>
            </w:div>
            <w:div w:id="2096396332">
              <w:marLeft w:val="0"/>
              <w:marRight w:val="0"/>
              <w:marTop w:val="0"/>
              <w:marBottom w:val="0"/>
              <w:divBdr>
                <w:top w:val="none" w:sz="0" w:space="0" w:color="auto"/>
                <w:left w:val="none" w:sz="0" w:space="0" w:color="auto"/>
                <w:bottom w:val="none" w:sz="0" w:space="0" w:color="auto"/>
                <w:right w:val="none" w:sz="0" w:space="0" w:color="auto"/>
              </w:divBdr>
            </w:div>
            <w:div w:id="2116098832">
              <w:marLeft w:val="0"/>
              <w:marRight w:val="0"/>
              <w:marTop w:val="0"/>
              <w:marBottom w:val="0"/>
              <w:divBdr>
                <w:top w:val="none" w:sz="0" w:space="0" w:color="auto"/>
                <w:left w:val="none" w:sz="0" w:space="0" w:color="auto"/>
                <w:bottom w:val="none" w:sz="0" w:space="0" w:color="auto"/>
                <w:right w:val="none" w:sz="0" w:space="0" w:color="auto"/>
              </w:divBdr>
            </w:div>
          </w:divsChild>
        </w:div>
        <w:div w:id="995377173">
          <w:marLeft w:val="0"/>
          <w:marRight w:val="0"/>
          <w:marTop w:val="0"/>
          <w:marBottom w:val="0"/>
          <w:divBdr>
            <w:top w:val="none" w:sz="0" w:space="0" w:color="auto"/>
            <w:left w:val="none" w:sz="0" w:space="0" w:color="auto"/>
            <w:bottom w:val="none" w:sz="0" w:space="0" w:color="auto"/>
            <w:right w:val="none" w:sz="0" w:space="0" w:color="auto"/>
          </w:divBdr>
        </w:div>
        <w:div w:id="997810522">
          <w:marLeft w:val="0"/>
          <w:marRight w:val="0"/>
          <w:marTop w:val="0"/>
          <w:marBottom w:val="0"/>
          <w:divBdr>
            <w:top w:val="none" w:sz="0" w:space="0" w:color="auto"/>
            <w:left w:val="none" w:sz="0" w:space="0" w:color="auto"/>
            <w:bottom w:val="none" w:sz="0" w:space="0" w:color="auto"/>
            <w:right w:val="none" w:sz="0" w:space="0" w:color="auto"/>
          </w:divBdr>
          <w:divsChild>
            <w:div w:id="425686856">
              <w:marLeft w:val="0"/>
              <w:marRight w:val="0"/>
              <w:marTop w:val="0"/>
              <w:marBottom w:val="0"/>
              <w:divBdr>
                <w:top w:val="none" w:sz="0" w:space="0" w:color="auto"/>
                <w:left w:val="none" w:sz="0" w:space="0" w:color="auto"/>
                <w:bottom w:val="none" w:sz="0" w:space="0" w:color="auto"/>
                <w:right w:val="none" w:sz="0" w:space="0" w:color="auto"/>
              </w:divBdr>
            </w:div>
            <w:div w:id="638458207">
              <w:marLeft w:val="0"/>
              <w:marRight w:val="0"/>
              <w:marTop w:val="0"/>
              <w:marBottom w:val="0"/>
              <w:divBdr>
                <w:top w:val="none" w:sz="0" w:space="0" w:color="auto"/>
                <w:left w:val="none" w:sz="0" w:space="0" w:color="auto"/>
                <w:bottom w:val="none" w:sz="0" w:space="0" w:color="auto"/>
                <w:right w:val="none" w:sz="0" w:space="0" w:color="auto"/>
              </w:divBdr>
            </w:div>
            <w:div w:id="1056472310">
              <w:marLeft w:val="0"/>
              <w:marRight w:val="0"/>
              <w:marTop w:val="0"/>
              <w:marBottom w:val="0"/>
              <w:divBdr>
                <w:top w:val="none" w:sz="0" w:space="0" w:color="auto"/>
                <w:left w:val="none" w:sz="0" w:space="0" w:color="auto"/>
                <w:bottom w:val="none" w:sz="0" w:space="0" w:color="auto"/>
                <w:right w:val="none" w:sz="0" w:space="0" w:color="auto"/>
              </w:divBdr>
            </w:div>
            <w:div w:id="1174418806">
              <w:marLeft w:val="0"/>
              <w:marRight w:val="0"/>
              <w:marTop w:val="0"/>
              <w:marBottom w:val="0"/>
              <w:divBdr>
                <w:top w:val="none" w:sz="0" w:space="0" w:color="auto"/>
                <w:left w:val="none" w:sz="0" w:space="0" w:color="auto"/>
                <w:bottom w:val="none" w:sz="0" w:space="0" w:color="auto"/>
                <w:right w:val="none" w:sz="0" w:space="0" w:color="auto"/>
              </w:divBdr>
            </w:div>
            <w:div w:id="2007391755">
              <w:marLeft w:val="0"/>
              <w:marRight w:val="0"/>
              <w:marTop w:val="0"/>
              <w:marBottom w:val="0"/>
              <w:divBdr>
                <w:top w:val="none" w:sz="0" w:space="0" w:color="auto"/>
                <w:left w:val="none" w:sz="0" w:space="0" w:color="auto"/>
                <w:bottom w:val="none" w:sz="0" w:space="0" w:color="auto"/>
                <w:right w:val="none" w:sz="0" w:space="0" w:color="auto"/>
              </w:divBdr>
            </w:div>
            <w:div w:id="208201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1001">
      <w:bodyDiv w:val="1"/>
      <w:marLeft w:val="0"/>
      <w:marRight w:val="0"/>
      <w:marTop w:val="0"/>
      <w:marBottom w:val="0"/>
      <w:divBdr>
        <w:top w:val="none" w:sz="0" w:space="0" w:color="auto"/>
        <w:left w:val="none" w:sz="0" w:space="0" w:color="auto"/>
        <w:bottom w:val="none" w:sz="0" w:space="0" w:color="auto"/>
        <w:right w:val="none" w:sz="0" w:space="0" w:color="auto"/>
      </w:divBdr>
    </w:div>
    <w:div w:id="1677220435">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11681501">
      <w:bodyDiv w:val="1"/>
      <w:marLeft w:val="0"/>
      <w:marRight w:val="0"/>
      <w:marTop w:val="0"/>
      <w:marBottom w:val="0"/>
      <w:divBdr>
        <w:top w:val="none" w:sz="0" w:space="0" w:color="auto"/>
        <w:left w:val="none" w:sz="0" w:space="0" w:color="auto"/>
        <w:bottom w:val="none" w:sz="0" w:space="0" w:color="auto"/>
        <w:right w:val="none" w:sz="0" w:space="0" w:color="auto"/>
      </w:divBdr>
    </w:div>
    <w:div w:id="1716851733">
      <w:bodyDiv w:val="1"/>
      <w:marLeft w:val="0"/>
      <w:marRight w:val="0"/>
      <w:marTop w:val="0"/>
      <w:marBottom w:val="0"/>
      <w:divBdr>
        <w:top w:val="none" w:sz="0" w:space="0" w:color="auto"/>
        <w:left w:val="none" w:sz="0" w:space="0" w:color="auto"/>
        <w:bottom w:val="none" w:sz="0" w:space="0" w:color="auto"/>
        <w:right w:val="none" w:sz="0" w:space="0" w:color="auto"/>
      </w:divBdr>
      <w:divsChild>
        <w:div w:id="59834451">
          <w:marLeft w:val="0"/>
          <w:marRight w:val="0"/>
          <w:marTop w:val="0"/>
          <w:marBottom w:val="0"/>
          <w:divBdr>
            <w:top w:val="none" w:sz="0" w:space="0" w:color="auto"/>
            <w:left w:val="none" w:sz="0" w:space="0" w:color="auto"/>
            <w:bottom w:val="none" w:sz="0" w:space="0" w:color="auto"/>
            <w:right w:val="none" w:sz="0" w:space="0" w:color="auto"/>
          </w:divBdr>
        </w:div>
        <w:div w:id="1773361294">
          <w:marLeft w:val="0"/>
          <w:marRight w:val="0"/>
          <w:marTop w:val="0"/>
          <w:marBottom w:val="0"/>
          <w:divBdr>
            <w:top w:val="none" w:sz="0" w:space="0" w:color="auto"/>
            <w:left w:val="none" w:sz="0" w:space="0" w:color="auto"/>
            <w:bottom w:val="none" w:sz="0" w:space="0" w:color="auto"/>
            <w:right w:val="none" w:sz="0" w:space="0" w:color="auto"/>
          </w:divBdr>
        </w:div>
        <w:div w:id="1945072992">
          <w:marLeft w:val="0"/>
          <w:marRight w:val="0"/>
          <w:marTop w:val="0"/>
          <w:marBottom w:val="0"/>
          <w:divBdr>
            <w:top w:val="none" w:sz="0" w:space="0" w:color="auto"/>
            <w:left w:val="none" w:sz="0" w:space="0" w:color="auto"/>
            <w:bottom w:val="none" w:sz="0" w:space="0" w:color="auto"/>
            <w:right w:val="none" w:sz="0" w:space="0" w:color="auto"/>
          </w:divBdr>
        </w:div>
      </w:divsChild>
    </w:div>
    <w:div w:id="1726947050">
      <w:bodyDiv w:val="1"/>
      <w:marLeft w:val="0"/>
      <w:marRight w:val="0"/>
      <w:marTop w:val="0"/>
      <w:marBottom w:val="0"/>
      <w:divBdr>
        <w:top w:val="none" w:sz="0" w:space="0" w:color="auto"/>
        <w:left w:val="none" w:sz="0" w:space="0" w:color="auto"/>
        <w:bottom w:val="none" w:sz="0" w:space="0" w:color="auto"/>
        <w:right w:val="none" w:sz="0" w:space="0" w:color="auto"/>
      </w:divBdr>
    </w:div>
    <w:div w:id="1806660694">
      <w:bodyDiv w:val="1"/>
      <w:marLeft w:val="0"/>
      <w:marRight w:val="0"/>
      <w:marTop w:val="0"/>
      <w:marBottom w:val="0"/>
      <w:divBdr>
        <w:top w:val="none" w:sz="0" w:space="0" w:color="auto"/>
        <w:left w:val="none" w:sz="0" w:space="0" w:color="auto"/>
        <w:bottom w:val="none" w:sz="0" w:space="0" w:color="auto"/>
        <w:right w:val="none" w:sz="0" w:space="0" w:color="auto"/>
      </w:divBdr>
    </w:div>
    <w:div w:id="1879387724">
      <w:bodyDiv w:val="1"/>
      <w:marLeft w:val="0"/>
      <w:marRight w:val="0"/>
      <w:marTop w:val="0"/>
      <w:marBottom w:val="0"/>
      <w:divBdr>
        <w:top w:val="none" w:sz="0" w:space="0" w:color="auto"/>
        <w:left w:val="none" w:sz="0" w:space="0" w:color="auto"/>
        <w:bottom w:val="none" w:sz="0" w:space="0" w:color="auto"/>
        <w:right w:val="none" w:sz="0" w:space="0" w:color="auto"/>
      </w:divBdr>
    </w:div>
    <w:div w:id="1885753624">
      <w:bodyDiv w:val="1"/>
      <w:marLeft w:val="0"/>
      <w:marRight w:val="0"/>
      <w:marTop w:val="0"/>
      <w:marBottom w:val="0"/>
      <w:divBdr>
        <w:top w:val="none" w:sz="0" w:space="0" w:color="auto"/>
        <w:left w:val="none" w:sz="0" w:space="0" w:color="auto"/>
        <w:bottom w:val="none" w:sz="0" w:space="0" w:color="auto"/>
        <w:right w:val="none" w:sz="0" w:space="0" w:color="auto"/>
      </w:divBdr>
    </w:div>
    <w:div w:id="1916284226">
      <w:bodyDiv w:val="1"/>
      <w:marLeft w:val="0"/>
      <w:marRight w:val="0"/>
      <w:marTop w:val="0"/>
      <w:marBottom w:val="0"/>
      <w:divBdr>
        <w:top w:val="none" w:sz="0" w:space="0" w:color="auto"/>
        <w:left w:val="none" w:sz="0" w:space="0" w:color="auto"/>
        <w:bottom w:val="none" w:sz="0" w:space="0" w:color="auto"/>
        <w:right w:val="none" w:sz="0" w:space="0" w:color="auto"/>
      </w:divBdr>
    </w:div>
    <w:div w:id="1918392521">
      <w:bodyDiv w:val="1"/>
      <w:marLeft w:val="0"/>
      <w:marRight w:val="0"/>
      <w:marTop w:val="0"/>
      <w:marBottom w:val="0"/>
      <w:divBdr>
        <w:top w:val="none" w:sz="0" w:space="0" w:color="auto"/>
        <w:left w:val="none" w:sz="0" w:space="0" w:color="auto"/>
        <w:bottom w:val="none" w:sz="0" w:space="0" w:color="auto"/>
        <w:right w:val="none" w:sz="0" w:space="0" w:color="auto"/>
      </w:divBdr>
    </w:div>
    <w:div w:id="1931422385">
      <w:bodyDiv w:val="1"/>
      <w:marLeft w:val="0"/>
      <w:marRight w:val="0"/>
      <w:marTop w:val="0"/>
      <w:marBottom w:val="0"/>
      <w:divBdr>
        <w:top w:val="none" w:sz="0" w:space="0" w:color="auto"/>
        <w:left w:val="none" w:sz="0" w:space="0" w:color="auto"/>
        <w:bottom w:val="none" w:sz="0" w:space="0" w:color="auto"/>
        <w:right w:val="none" w:sz="0" w:space="0" w:color="auto"/>
      </w:divBdr>
      <w:divsChild>
        <w:div w:id="5711529">
          <w:marLeft w:val="0"/>
          <w:marRight w:val="0"/>
          <w:marTop w:val="0"/>
          <w:marBottom w:val="0"/>
          <w:divBdr>
            <w:top w:val="none" w:sz="0" w:space="0" w:color="auto"/>
            <w:left w:val="none" w:sz="0" w:space="0" w:color="auto"/>
            <w:bottom w:val="none" w:sz="0" w:space="0" w:color="auto"/>
            <w:right w:val="none" w:sz="0" w:space="0" w:color="auto"/>
          </w:divBdr>
          <w:divsChild>
            <w:div w:id="980426811">
              <w:marLeft w:val="0"/>
              <w:marRight w:val="0"/>
              <w:marTop w:val="0"/>
              <w:marBottom w:val="0"/>
              <w:divBdr>
                <w:top w:val="none" w:sz="0" w:space="0" w:color="auto"/>
                <w:left w:val="none" w:sz="0" w:space="0" w:color="auto"/>
                <w:bottom w:val="none" w:sz="0" w:space="0" w:color="auto"/>
                <w:right w:val="none" w:sz="0" w:space="0" w:color="auto"/>
              </w:divBdr>
            </w:div>
          </w:divsChild>
        </w:div>
        <w:div w:id="6292376">
          <w:marLeft w:val="0"/>
          <w:marRight w:val="0"/>
          <w:marTop w:val="0"/>
          <w:marBottom w:val="0"/>
          <w:divBdr>
            <w:top w:val="none" w:sz="0" w:space="0" w:color="auto"/>
            <w:left w:val="none" w:sz="0" w:space="0" w:color="auto"/>
            <w:bottom w:val="none" w:sz="0" w:space="0" w:color="auto"/>
            <w:right w:val="none" w:sz="0" w:space="0" w:color="auto"/>
          </w:divBdr>
          <w:divsChild>
            <w:div w:id="1773865060">
              <w:marLeft w:val="0"/>
              <w:marRight w:val="0"/>
              <w:marTop w:val="0"/>
              <w:marBottom w:val="0"/>
              <w:divBdr>
                <w:top w:val="none" w:sz="0" w:space="0" w:color="auto"/>
                <w:left w:val="none" w:sz="0" w:space="0" w:color="auto"/>
                <w:bottom w:val="none" w:sz="0" w:space="0" w:color="auto"/>
                <w:right w:val="none" w:sz="0" w:space="0" w:color="auto"/>
              </w:divBdr>
            </w:div>
          </w:divsChild>
        </w:div>
        <w:div w:id="19746909">
          <w:marLeft w:val="0"/>
          <w:marRight w:val="0"/>
          <w:marTop w:val="0"/>
          <w:marBottom w:val="0"/>
          <w:divBdr>
            <w:top w:val="none" w:sz="0" w:space="0" w:color="auto"/>
            <w:left w:val="none" w:sz="0" w:space="0" w:color="auto"/>
            <w:bottom w:val="none" w:sz="0" w:space="0" w:color="auto"/>
            <w:right w:val="none" w:sz="0" w:space="0" w:color="auto"/>
          </w:divBdr>
          <w:divsChild>
            <w:div w:id="1289386686">
              <w:marLeft w:val="0"/>
              <w:marRight w:val="0"/>
              <w:marTop w:val="0"/>
              <w:marBottom w:val="0"/>
              <w:divBdr>
                <w:top w:val="none" w:sz="0" w:space="0" w:color="auto"/>
                <w:left w:val="none" w:sz="0" w:space="0" w:color="auto"/>
                <w:bottom w:val="none" w:sz="0" w:space="0" w:color="auto"/>
                <w:right w:val="none" w:sz="0" w:space="0" w:color="auto"/>
              </w:divBdr>
            </w:div>
          </w:divsChild>
        </w:div>
        <w:div w:id="30113539">
          <w:marLeft w:val="0"/>
          <w:marRight w:val="0"/>
          <w:marTop w:val="0"/>
          <w:marBottom w:val="0"/>
          <w:divBdr>
            <w:top w:val="none" w:sz="0" w:space="0" w:color="auto"/>
            <w:left w:val="none" w:sz="0" w:space="0" w:color="auto"/>
            <w:bottom w:val="none" w:sz="0" w:space="0" w:color="auto"/>
            <w:right w:val="none" w:sz="0" w:space="0" w:color="auto"/>
          </w:divBdr>
          <w:divsChild>
            <w:div w:id="700980800">
              <w:marLeft w:val="0"/>
              <w:marRight w:val="0"/>
              <w:marTop w:val="0"/>
              <w:marBottom w:val="0"/>
              <w:divBdr>
                <w:top w:val="none" w:sz="0" w:space="0" w:color="auto"/>
                <w:left w:val="none" w:sz="0" w:space="0" w:color="auto"/>
                <w:bottom w:val="none" w:sz="0" w:space="0" w:color="auto"/>
                <w:right w:val="none" w:sz="0" w:space="0" w:color="auto"/>
              </w:divBdr>
            </w:div>
          </w:divsChild>
        </w:div>
        <w:div w:id="70934851">
          <w:marLeft w:val="0"/>
          <w:marRight w:val="0"/>
          <w:marTop w:val="0"/>
          <w:marBottom w:val="0"/>
          <w:divBdr>
            <w:top w:val="none" w:sz="0" w:space="0" w:color="auto"/>
            <w:left w:val="none" w:sz="0" w:space="0" w:color="auto"/>
            <w:bottom w:val="none" w:sz="0" w:space="0" w:color="auto"/>
            <w:right w:val="none" w:sz="0" w:space="0" w:color="auto"/>
          </w:divBdr>
          <w:divsChild>
            <w:div w:id="1321039467">
              <w:marLeft w:val="0"/>
              <w:marRight w:val="0"/>
              <w:marTop w:val="0"/>
              <w:marBottom w:val="0"/>
              <w:divBdr>
                <w:top w:val="none" w:sz="0" w:space="0" w:color="auto"/>
                <w:left w:val="none" w:sz="0" w:space="0" w:color="auto"/>
                <w:bottom w:val="none" w:sz="0" w:space="0" w:color="auto"/>
                <w:right w:val="none" w:sz="0" w:space="0" w:color="auto"/>
              </w:divBdr>
            </w:div>
          </w:divsChild>
        </w:div>
        <w:div w:id="130291642">
          <w:marLeft w:val="0"/>
          <w:marRight w:val="0"/>
          <w:marTop w:val="0"/>
          <w:marBottom w:val="0"/>
          <w:divBdr>
            <w:top w:val="none" w:sz="0" w:space="0" w:color="auto"/>
            <w:left w:val="none" w:sz="0" w:space="0" w:color="auto"/>
            <w:bottom w:val="none" w:sz="0" w:space="0" w:color="auto"/>
            <w:right w:val="none" w:sz="0" w:space="0" w:color="auto"/>
          </w:divBdr>
          <w:divsChild>
            <w:div w:id="293147025">
              <w:marLeft w:val="0"/>
              <w:marRight w:val="0"/>
              <w:marTop w:val="0"/>
              <w:marBottom w:val="0"/>
              <w:divBdr>
                <w:top w:val="none" w:sz="0" w:space="0" w:color="auto"/>
                <w:left w:val="none" w:sz="0" w:space="0" w:color="auto"/>
                <w:bottom w:val="none" w:sz="0" w:space="0" w:color="auto"/>
                <w:right w:val="none" w:sz="0" w:space="0" w:color="auto"/>
              </w:divBdr>
            </w:div>
          </w:divsChild>
        </w:div>
        <w:div w:id="145753638">
          <w:marLeft w:val="0"/>
          <w:marRight w:val="0"/>
          <w:marTop w:val="0"/>
          <w:marBottom w:val="0"/>
          <w:divBdr>
            <w:top w:val="none" w:sz="0" w:space="0" w:color="auto"/>
            <w:left w:val="none" w:sz="0" w:space="0" w:color="auto"/>
            <w:bottom w:val="none" w:sz="0" w:space="0" w:color="auto"/>
            <w:right w:val="none" w:sz="0" w:space="0" w:color="auto"/>
          </w:divBdr>
          <w:divsChild>
            <w:div w:id="658583082">
              <w:marLeft w:val="0"/>
              <w:marRight w:val="0"/>
              <w:marTop w:val="0"/>
              <w:marBottom w:val="0"/>
              <w:divBdr>
                <w:top w:val="none" w:sz="0" w:space="0" w:color="auto"/>
                <w:left w:val="none" w:sz="0" w:space="0" w:color="auto"/>
                <w:bottom w:val="none" w:sz="0" w:space="0" w:color="auto"/>
                <w:right w:val="none" w:sz="0" w:space="0" w:color="auto"/>
              </w:divBdr>
            </w:div>
          </w:divsChild>
        </w:div>
        <w:div w:id="150171948">
          <w:marLeft w:val="0"/>
          <w:marRight w:val="0"/>
          <w:marTop w:val="0"/>
          <w:marBottom w:val="0"/>
          <w:divBdr>
            <w:top w:val="none" w:sz="0" w:space="0" w:color="auto"/>
            <w:left w:val="none" w:sz="0" w:space="0" w:color="auto"/>
            <w:bottom w:val="none" w:sz="0" w:space="0" w:color="auto"/>
            <w:right w:val="none" w:sz="0" w:space="0" w:color="auto"/>
          </w:divBdr>
          <w:divsChild>
            <w:div w:id="949165228">
              <w:marLeft w:val="0"/>
              <w:marRight w:val="0"/>
              <w:marTop w:val="0"/>
              <w:marBottom w:val="0"/>
              <w:divBdr>
                <w:top w:val="none" w:sz="0" w:space="0" w:color="auto"/>
                <w:left w:val="none" w:sz="0" w:space="0" w:color="auto"/>
                <w:bottom w:val="none" w:sz="0" w:space="0" w:color="auto"/>
                <w:right w:val="none" w:sz="0" w:space="0" w:color="auto"/>
              </w:divBdr>
            </w:div>
          </w:divsChild>
        </w:div>
        <w:div w:id="159586981">
          <w:marLeft w:val="0"/>
          <w:marRight w:val="0"/>
          <w:marTop w:val="0"/>
          <w:marBottom w:val="0"/>
          <w:divBdr>
            <w:top w:val="none" w:sz="0" w:space="0" w:color="auto"/>
            <w:left w:val="none" w:sz="0" w:space="0" w:color="auto"/>
            <w:bottom w:val="none" w:sz="0" w:space="0" w:color="auto"/>
            <w:right w:val="none" w:sz="0" w:space="0" w:color="auto"/>
          </w:divBdr>
          <w:divsChild>
            <w:div w:id="1892031807">
              <w:marLeft w:val="0"/>
              <w:marRight w:val="0"/>
              <w:marTop w:val="0"/>
              <w:marBottom w:val="0"/>
              <w:divBdr>
                <w:top w:val="none" w:sz="0" w:space="0" w:color="auto"/>
                <w:left w:val="none" w:sz="0" w:space="0" w:color="auto"/>
                <w:bottom w:val="none" w:sz="0" w:space="0" w:color="auto"/>
                <w:right w:val="none" w:sz="0" w:space="0" w:color="auto"/>
              </w:divBdr>
            </w:div>
          </w:divsChild>
        </w:div>
        <w:div w:id="175124197">
          <w:marLeft w:val="0"/>
          <w:marRight w:val="0"/>
          <w:marTop w:val="0"/>
          <w:marBottom w:val="0"/>
          <w:divBdr>
            <w:top w:val="none" w:sz="0" w:space="0" w:color="auto"/>
            <w:left w:val="none" w:sz="0" w:space="0" w:color="auto"/>
            <w:bottom w:val="none" w:sz="0" w:space="0" w:color="auto"/>
            <w:right w:val="none" w:sz="0" w:space="0" w:color="auto"/>
          </w:divBdr>
          <w:divsChild>
            <w:div w:id="278267698">
              <w:marLeft w:val="0"/>
              <w:marRight w:val="0"/>
              <w:marTop w:val="0"/>
              <w:marBottom w:val="0"/>
              <w:divBdr>
                <w:top w:val="none" w:sz="0" w:space="0" w:color="auto"/>
                <w:left w:val="none" w:sz="0" w:space="0" w:color="auto"/>
                <w:bottom w:val="none" w:sz="0" w:space="0" w:color="auto"/>
                <w:right w:val="none" w:sz="0" w:space="0" w:color="auto"/>
              </w:divBdr>
            </w:div>
          </w:divsChild>
        </w:div>
        <w:div w:id="220141531">
          <w:marLeft w:val="0"/>
          <w:marRight w:val="0"/>
          <w:marTop w:val="0"/>
          <w:marBottom w:val="0"/>
          <w:divBdr>
            <w:top w:val="none" w:sz="0" w:space="0" w:color="auto"/>
            <w:left w:val="none" w:sz="0" w:space="0" w:color="auto"/>
            <w:bottom w:val="none" w:sz="0" w:space="0" w:color="auto"/>
            <w:right w:val="none" w:sz="0" w:space="0" w:color="auto"/>
          </w:divBdr>
          <w:divsChild>
            <w:div w:id="1407875651">
              <w:marLeft w:val="0"/>
              <w:marRight w:val="0"/>
              <w:marTop w:val="0"/>
              <w:marBottom w:val="0"/>
              <w:divBdr>
                <w:top w:val="none" w:sz="0" w:space="0" w:color="auto"/>
                <w:left w:val="none" w:sz="0" w:space="0" w:color="auto"/>
                <w:bottom w:val="none" w:sz="0" w:space="0" w:color="auto"/>
                <w:right w:val="none" w:sz="0" w:space="0" w:color="auto"/>
              </w:divBdr>
            </w:div>
          </w:divsChild>
        </w:div>
        <w:div w:id="227959048">
          <w:marLeft w:val="0"/>
          <w:marRight w:val="0"/>
          <w:marTop w:val="0"/>
          <w:marBottom w:val="0"/>
          <w:divBdr>
            <w:top w:val="none" w:sz="0" w:space="0" w:color="auto"/>
            <w:left w:val="none" w:sz="0" w:space="0" w:color="auto"/>
            <w:bottom w:val="none" w:sz="0" w:space="0" w:color="auto"/>
            <w:right w:val="none" w:sz="0" w:space="0" w:color="auto"/>
          </w:divBdr>
          <w:divsChild>
            <w:div w:id="1692564352">
              <w:marLeft w:val="0"/>
              <w:marRight w:val="0"/>
              <w:marTop w:val="0"/>
              <w:marBottom w:val="0"/>
              <w:divBdr>
                <w:top w:val="none" w:sz="0" w:space="0" w:color="auto"/>
                <w:left w:val="none" w:sz="0" w:space="0" w:color="auto"/>
                <w:bottom w:val="none" w:sz="0" w:space="0" w:color="auto"/>
                <w:right w:val="none" w:sz="0" w:space="0" w:color="auto"/>
              </w:divBdr>
            </w:div>
          </w:divsChild>
        </w:div>
        <w:div w:id="270363691">
          <w:marLeft w:val="0"/>
          <w:marRight w:val="0"/>
          <w:marTop w:val="0"/>
          <w:marBottom w:val="0"/>
          <w:divBdr>
            <w:top w:val="none" w:sz="0" w:space="0" w:color="auto"/>
            <w:left w:val="none" w:sz="0" w:space="0" w:color="auto"/>
            <w:bottom w:val="none" w:sz="0" w:space="0" w:color="auto"/>
            <w:right w:val="none" w:sz="0" w:space="0" w:color="auto"/>
          </w:divBdr>
          <w:divsChild>
            <w:div w:id="1352609639">
              <w:marLeft w:val="0"/>
              <w:marRight w:val="0"/>
              <w:marTop w:val="0"/>
              <w:marBottom w:val="0"/>
              <w:divBdr>
                <w:top w:val="none" w:sz="0" w:space="0" w:color="auto"/>
                <w:left w:val="none" w:sz="0" w:space="0" w:color="auto"/>
                <w:bottom w:val="none" w:sz="0" w:space="0" w:color="auto"/>
                <w:right w:val="none" w:sz="0" w:space="0" w:color="auto"/>
              </w:divBdr>
            </w:div>
          </w:divsChild>
        </w:div>
        <w:div w:id="305427816">
          <w:marLeft w:val="0"/>
          <w:marRight w:val="0"/>
          <w:marTop w:val="0"/>
          <w:marBottom w:val="0"/>
          <w:divBdr>
            <w:top w:val="none" w:sz="0" w:space="0" w:color="auto"/>
            <w:left w:val="none" w:sz="0" w:space="0" w:color="auto"/>
            <w:bottom w:val="none" w:sz="0" w:space="0" w:color="auto"/>
            <w:right w:val="none" w:sz="0" w:space="0" w:color="auto"/>
          </w:divBdr>
          <w:divsChild>
            <w:div w:id="1768496427">
              <w:marLeft w:val="0"/>
              <w:marRight w:val="0"/>
              <w:marTop w:val="0"/>
              <w:marBottom w:val="0"/>
              <w:divBdr>
                <w:top w:val="none" w:sz="0" w:space="0" w:color="auto"/>
                <w:left w:val="none" w:sz="0" w:space="0" w:color="auto"/>
                <w:bottom w:val="none" w:sz="0" w:space="0" w:color="auto"/>
                <w:right w:val="none" w:sz="0" w:space="0" w:color="auto"/>
              </w:divBdr>
            </w:div>
          </w:divsChild>
        </w:div>
        <w:div w:id="324362151">
          <w:marLeft w:val="0"/>
          <w:marRight w:val="0"/>
          <w:marTop w:val="0"/>
          <w:marBottom w:val="0"/>
          <w:divBdr>
            <w:top w:val="none" w:sz="0" w:space="0" w:color="auto"/>
            <w:left w:val="none" w:sz="0" w:space="0" w:color="auto"/>
            <w:bottom w:val="none" w:sz="0" w:space="0" w:color="auto"/>
            <w:right w:val="none" w:sz="0" w:space="0" w:color="auto"/>
          </w:divBdr>
          <w:divsChild>
            <w:div w:id="1462384224">
              <w:marLeft w:val="0"/>
              <w:marRight w:val="0"/>
              <w:marTop w:val="0"/>
              <w:marBottom w:val="0"/>
              <w:divBdr>
                <w:top w:val="none" w:sz="0" w:space="0" w:color="auto"/>
                <w:left w:val="none" w:sz="0" w:space="0" w:color="auto"/>
                <w:bottom w:val="none" w:sz="0" w:space="0" w:color="auto"/>
                <w:right w:val="none" w:sz="0" w:space="0" w:color="auto"/>
              </w:divBdr>
            </w:div>
          </w:divsChild>
        </w:div>
        <w:div w:id="332799133">
          <w:marLeft w:val="0"/>
          <w:marRight w:val="0"/>
          <w:marTop w:val="0"/>
          <w:marBottom w:val="0"/>
          <w:divBdr>
            <w:top w:val="none" w:sz="0" w:space="0" w:color="auto"/>
            <w:left w:val="none" w:sz="0" w:space="0" w:color="auto"/>
            <w:bottom w:val="none" w:sz="0" w:space="0" w:color="auto"/>
            <w:right w:val="none" w:sz="0" w:space="0" w:color="auto"/>
          </w:divBdr>
          <w:divsChild>
            <w:div w:id="1188520053">
              <w:marLeft w:val="0"/>
              <w:marRight w:val="0"/>
              <w:marTop w:val="0"/>
              <w:marBottom w:val="0"/>
              <w:divBdr>
                <w:top w:val="none" w:sz="0" w:space="0" w:color="auto"/>
                <w:left w:val="none" w:sz="0" w:space="0" w:color="auto"/>
                <w:bottom w:val="none" w:sz="0" w:space="0" w:color="auto"/>
                <w:right w:val="none" w:sz="0" w:space="0" w:color="auto"/>
              </w:divBdr>
            </w:div>
          </w:divsChild>
        </w:div>
        <w:div w:id="342632761">
          <w:marLeft w:val="0"/>
          <w:marRight w:val="0"/>
          <w:marTop w:val="0"/>
          <w:marBottom w:val="0"/>
          <w:divBdr>
            <w:top w:val="none" w:sz="0" w:space="0" w:color="auto"/>
            <w:left w:val="none" w:sz="0" w:space="0" w:color="auto"/>
            <w:bottom w:val="none" w:sz="0" w:space="0" w:color="auto"/>
            <w:right w:val="none" w:sz="0" w:space="0" w:color="auto"/>
          </w:divBdr>
          <w:divsChild>
            <w:div w:id="12853004">
              <w:marLeft w:val="0"/>
              <w:marRight w:val="0"/>
              <w:marTop w:val="0"/>
              <w:marBottom w:val="0"/>
              <w:divBdr>
                <w:top w:val="none" w:sz="0" w:space="0" w:color="auto"/>
                <w:left w:val="none" w:sz="0" w:space="0" w:color="auto"/>
                <w:bottom w:val="none" w:sz="0" w:space="0" w:color="auto"/>
                <w:right w:val="none" w:sz="0" w:space="0" w:color="auto"/>
              </w:divBdr>
            </w:div>
          </w:divsChild>
        </w:div>
        <w:div w:id="344746266">
          <w:marLeft w:val="0"/>
          <w:marRight w:val="0"/>
          <w:marTop w:val="0"/>
          <w:marBottom w:val="0"/>
          <w:divBdr>
            <w:top w:val="none" w:sz="0" w:space="0" w:color="auto"/>
            <w:left w:val="none" w:sz="0" w:space="0" w:color="auto"/>
            <w:bottom w:val="none" w:sz="0" w:space="0" w:color="auto"/>
            <w:right w:val="none" w:sz="0" w:space="0" w:color="auto"/>
          </w:divBdr>
          <w:divsChild>
            <w:div w:id="1778527102">
              <w:marLeft w:val="0"/>
              <w:marRight w:val="0"/>
              <w:marTop w:val="0"/>
              <w:marBottom w:val="0"/>
              <w:divBdr>
                <w:top w:val="none" w:sz="0" w:space="0" w:color="auto"/>
                <w:left w:val="none" w:sz="0" w:space="0" w:color="auto"/>
                <w:bottom w:val="none" w:sz="0" w:space="0" w:color="auto"/>
                <w:right w:val="none" w:sz="0" w:space="0" w:color="auto"/>
              </w:divBdr>
            </w:div>
          </w:divsChild>
        </w:div>
        <w:div w:id="357661610">
          <w:marLeft w:val="0"/>
          <w:marRight w:val="0"/>
          <w:marTop w:val="0"/>
          <w:marBottom w:val="0"/>
          <w:divBdr>
            <w:top w:val="none" w:sz="0" w:space="0" w:color="auto"/>
            <w:left w:val="none" w:sz="0" w:space="0" w:color="auto"/>
            <w:bottom w:val="none" w:sz="0" w:space="0" w:color="auto"/>
            <w:right w:val="none" w:sz="0" w:space="0" w:color="auto"/>
          </w:divBdr>
          <w:divsChild>
            <w:div w:id="1989476943">
              <w:marLeft w:val="0"/>
              <w:marRight w:val="0"/>
              <w:marTop w:val="0"/>
              <w:marBottom w:val="0"/>
              <w:divBdr>
                <w:top w:val="none" w:sz="0" w:space="0" w:color="auto"/>
                <w:left w:val="none" w:sz="0" w:space="0" w:color="auto"/>
                <w:bottom w:val="none" w:sz="0" w:space="0" w:color="auto"/>
                <w:right w:val="none" w:sz="0" w:space="0" w:color="auto"/>
              </w:divBdr>
            </w:div>
          </w:divsChild>
        </w:div>
        <w:div w:id="366641131">
          <w:marLeft w:val="0"/>
          <w:marRight w:val="0"/>
          <w:marTop w:val="0"/>
          <w:marBottom w:val="0"/>
          <w:divBdr>
            <w:top w:val="none" w:sz="0" w:space="0" w:color="auto"/>
            <w:left w:val="none" w:sz="0" w:space="0" w:color="auto"/>
            <w:bottom w:val="none" w:sz="0" w:space="0" w:color="auto"/>
            <w:right w:val="none" w:sz="0" w:space="0" w:color="auto"/>
          </w:divBdr>
          <w:divsChild>
            <w:div w:id="1442993362">
              <w:marLeft w:val="0"/>
              <w:marRight w:val="0"/>
              <w:marTop w:val="0"/>
              <w:marBottom w:val="0"/>
              <w:divBdr>
                <w:top w:val="none" w:sz="0" w:space="0" w:color="auto"/>
                <w:left w:val="none" w:sz="0" w:space="0" w:color="auto"/>
                <w:bottom w:val="none" w:sz="0" w:space="0" w:color="auto"/>
                <w:right w:val="none" w:sz="0" w:space="0" w:color="auto"/>
              </w:divBdr>
            </w:div>
          </w:divsChild>
        </w:div>
        <w:div w:id="368264605">
          <w:marLeft w:val="0"/>
          <w:marRight w:val="0"/>
          <w:marTop w:val="0"/>
          <w:marBottom w:val="0"/>
          <w:divBdr>
            <w:top w:val="none" w:sz="0" w:space="0" w:color="auto"/>
            <w:left w:val="none" w:sz="0" w:space="0" w:color="auto"/>
            <w:bottom w:val="none" w:sz="0" w:space="0" w:color="auto"/>
            <w:right w:val="none" w:sz="0" w:space="0" w:color="auto"/>
          </w:divBdr>
          <w:divsChild>
            <w:div w:id="896667843">
              <w:marLeft w:val="0"/>
              <w:marRight w:val="0"/>
              <w:marTop w:val="0"/>
              <w:marBottom w:val="0"/>
              <w:divBdr>
                <w:top w:val="none" w:sz="0" w:space="0" w:color="auto"/>
                <w:left w:val="none" w:sz="0" w:space="0" w:color="auto"/>
                <w:bottom w:val="none" w:sz="0" w:space="0" w:color="auto"/>
                <w:right w:val="none" w:sz="0" w:space="0" w:color="auto"/>
              </w:divBdr>
            </w:div>
          </w:divsChild>
        </w:div>
        <w:div w:id="387387004">
          <w:marLeft w:val="0"/>
          <w:marRight w:val="0"/>
          <w:marTop w:val="0"/>
          <w:marBottom w:val="0"/>
          <w:divBdr>
            <w:top w:val="none" w:sz="0" w:space="0" w:color="auto"/>
            <w:left w:val="none" w:sz="0" w:space="0" w:color="auto"/>
            <w:bottom w:val="none" w:sz="0" w:space="0" w:color="auto"/>
            <w:right w:val="none" w:sz="0" w:space="0" w:color="auto"/>
          </w:divBdr>
          <w:divsChild>
            <w:div w:id="52315024">
              <w:marLeft w:val="0"/>
              <w:marRight w:val="0"/>
              <w:marTop w:val="0"/>
              <w:marBottom w:val="0"/>
              <w:divBdr>
                <w:top w:val="none" w:sz="0" w:space="0" w:color="auto"/>
                <w:left w:val="none" w:sz="0" w:space="0" w:color="auto"/>
                <w:bottom w:val="none" w:sz="0" w:space="0" w:color="auto"/>
                <w:right w:val="none" w:sz="0" w:space="0" w:color="auto"/>
              </w:divBdr>
            </w:div>
          </w:divsChild>
        </w:div>
        <w:div w:id="395444294">
          <w:marLeft w:val="0"/>
          <w:marRight w:val="0"/>
          <w:marTop w:val="0"/>
          <w:marBottom w:val="0"/>
          <w:divBdr>
            <w:top w:val="none" w:sz="0" w:space="0" w:color="auto"/>
            <w:left w:val="none" w:sz="0" w:space="0" w:color="auto"/>
            <w:bottom w:val="none" w:sz="0" w:space="0" w:color="auto"/>
            <w:right w:val="none" w:sz="0" w:space="0" w:color="auto"/>
          </w:divBdr>
          <w:divsChild>
            <w:div w:id="1301960734">
              <w:marLeft w:val="0"/>
              <w:marRight w:val="0"/>
              <w:marTop w:val="0"/>
              <w:marBottom w:val="0"/>
              <w:divBdr>
                <w:top w:val="none" w:sz="0" w:space="0" w:color="auto"/>
                <w:left w:val="none" w:sz="0" w:space="0" w:color="auto"/>
                <w:bottom w:val="none" w:sz="0" w:space="0" w:color="auto"/>
                <w:right w:val="none" w:sz="0" w:space="0" w:color="auto"/>
              </w:divBdr>
            </w:div>
          </w:divsChild>
        </w:div>
        <w:div w:id="396056325">
          <w:marLeft w:val="0"/>
          <w:marRight w:val="0"/>
          <w:marTop w:val="0"/>
          <w:marBottom w:val="0"/>
          <w:divBdr>
            <w:top w:val="none" w:sz="0" w:space="0" w:color="auto"/>
            <w:left w:val="none" w:sz="0" w:space="0" w:color="auto"/>
            <w:bottom w:val="none" w:sz="0" w:space="0" w:color="auto"/>
            <w:right w:val="none" w:sz="0" w:space="0" w:color="auto"/>
          </w:divBdr>
          <w:divsChild>
            <w:div w:id="791629039">
              <w:marLeft w:val="0"/>
              <w:marRight w:val="0"/>
              <w:marTop w:val="0"/>
              <w:marBottom w:val="0"/>
              <w:divBdr>
                <w:top w:val="none" w:sz="0" w:space="0" w:color="auto"/>
                <w:left w:val="none" w:sz="0" w:space="0" w:color="auto"/>
                <w:bottom w:val="none" w:sz="0" w:space="0" w:color="auto"/>
                <w:right w:val="none" w:sz="0" w:space="0" w:color="auto"/>
              </w:divBdr>
            </w:div>
          </w:divsChild>
        </w:div>
        <w:div w:id="440681975">
          <w:marLeft w:val="0"/>
          <w:marRight w:val="0"/>
          <w:marTop w:val="0"/>
          <w:marBottom w:val="0"/>
          <w:divBdr>
            <w:top w:val="none" w:sz="0" w:space="0" w:color="auto"/>
            <w:left w:val="none" w:sz="0" w:space="0" w:color="auto"/>
            <w:bottom w:val="none" w:sz="0" w:space="0" w:color="auto"/>
            <w:right w:val="none" w:sz="0" w:space="0" w:color="auto"/>
          </w:divBdr>
          <w:divsChild>
            <w:div w:id="877936478">
              <w:marLeft w:val="0"/>
              <w:marRight w:val="0"/>
              <w:marTop w:val="0"/>
              <w:marBottom w:val="0"/>
              <w:divBdr>
                <w:top w:val="none" w:sz="0" w:space="0" w:color="auto"/>
                <w:left w:val="none" w:sz="0" w:space="0" w:color="auto"/>
                <w:bottom w:val="none" w:sz="0" w:space="0" w:color="auto"/>
                <w:right w:val="none" w:sz="0" w:space="0" w:color="auto"/>
              </w:divBdr>
            </w:div>
          </w:divsChild>
        </w:div>
        <w:div w:id="443577368">
          <w:marLeft w:val="0"/>
          <w:marRight w:val="0"/>
          <w:marTop w:val="0"/>
          <w:marBottom w:val="0"/>
          <w:divBdr>
            <w:top w:val="none" w:sz="0" w:space="0" w:color="auto"/>
            <w:left w:val="none" w:sz="0" w:space="0" w:color="auto"/>
            <w:bottom w:val="none" w:sz="0" w:space="0" w:color="auto"/>
            <w:right w:val="none" w:sz="0" w:space="0" w:color="auto"/>
          </w:divBdr>
          <w:divsChild>
            <w:div w:id="1514686460">
              <w:marLeft w:val="0"/>
              <w:marRight w:val="0"/>
              <w:marTop w:val="0"/>
              <w:marBottom w:val="0"/>
              <w:divBdr>
                <w:top w:val="none" w:sz="0" w:space="0" w:color="auto"/>
                <w:left w:val="none" w:sz="0" w:space="0" w:color="auto"/>
                <w:bottom w:val="none" w:sz="0" w:space="0" w:color="auto"/>
                <w:right w:val="none" w:sz="0" w:space="0" w:color="auto"/>
              </w:divBdr>
            </w:div>
          </w:divsChild>
        </w:div>
        <w:div w:id="476997434">
          <w:marLeft w:val="0"/>
          <w:marRight w:val="0"/>
          <w:marTop w:val="0"/>
          <w:marBottom w:val="0"/>
          <w:divBdr>
            <w:top w:val="none" w:sz="0" w:space="0" w:color="auto"/>
            <w:left w:val="none" w:sz="0" w:space="0" w:color="auto"/>
            <w:bottom w:val="none" w:sz="0" w:space="0" w:color="auto"/>
            <w:right w:val="none" w:sz="0" w:space="0" w:color="auto"/>
          </w:divBdr>
          <w:divsChild>
            <w:div w:id="1032539913">
              <w:marLeft w:val="0"/>
              <w:marRight w:val="0"/>
              <w:marTop w:val="0"/>
              <w:marBottom w:val="0"/>
              <w:divBdr>
                <w:top w:val="none" w:sz="0" w:space="0" w:color="auto"/>
                <w:left w:val="none" w:sz="0" w:space="0" w:color="auto"/>
                <w:bottom w:val="none" w:sz="0" w:space="0" w:color="auto"/>
                <w:right w:val="none" w:sz="0" w:space="0" w:color="auto"/>
              </w:divBdr>
            </w:div>
          </w:divsChild>
        </w:div>
        <w:div w:id="575675574">
          <w:marLeft w:val="0"/>
          <w:marRight w:val="0"/>
          <w:marTop w:val="0"/>
          <w:marBottom w:val="0"/>
          <w:divBdr>
            <w:top w:val="none" w:sz="0" w:space="0" w:color="auto"/>
            <w:left w:val="none" w:sz="0" w:space="0" w:color="auto"/>
            <w:bottom w:val="none" w:sz="0" w:space="0" w:color="auto"/>
            <w:right w:val="none" w:sz="0" w:space="0" w:color="auto"/>
          </w:divBdr>
          <w:divsChild>
            <w:div w:id="43141086">
              <w:marLeft w:val="0"/>
              <w:marRight w:val="0"/>
              <w:marTop w:val="0"/>
              <w:marBottom w:val="0"/>
              <w:divBdr>
                <w:top w:val="none" w:sz="0" w:space="0" w:color="auto"/>
                <w:left w:val="none" w:sz="0" w:space="0" w:color="auto"/>
                <w:bottom w:val="none" w:sz="0" w:space="0" w:color="auto"/>
                <w:right w:val="none" w:sz="0" w:space="0" w:color="auto"/>
              </w:divBdr>
            </w:div>
          </w:divsChild>
        </w:div>
        <w:div w:id="608196435">
          <w:marLeft w:val="0"/>
          <w:marRight w:val="0"/>
          <w:marTop w:val="0"/>
          <w:marBottom w:val="0"/>
          <w:divBdr>
            <w:top w:val="none" w:sz="0" w:space="0" w:color="auto"/>
            <w:left w:val="none" w:sz="0" w:space="0" w:color="auto"/>
            <w:bottom w:val="none" w:sz="0" w:space="0" w:color="auto"/>
            <w:right w:val="none" w:sz="0" w:space="0" w:color="auto"/>
          </w:divBdr>
          <w:divsChild>
            <w:div w:id="561141300">
              <w:marLeft w:val="0"/>
              <w:marRight w:val="0"/>
              <w:marTop w:val="0"/>
              <w:marBottom w:val="0"/>
              <w:divBdr>
                <w:top w:val="none" w:sz="0" w:space="0" w:color="auto"/>
                <w:left w:val="none" w:sz="0" w:space="0" w:color="auto"/>
                <w:bottom w:val="none" w:sz="0" w:space="0" w:color="auto"/>
                <w:right w:val="none" w:sz="0" w:space="0" w:color="auto"/>
              </w:divBdr>
            </w:div>
          </w:divsChild>
        </w:div>
        <w:div w:id="615723331">
          <w:marLeft w:val="0"/>
          <w:marRight w:val="0"/>
          <w:marTop w:val="0"/>
          <w:marBottom w:val="0"/>
          <w:divBdr>
            <w:top w:val="none" w:sz="0" w:space="0" w:color="auto"/>
            <w:left w:val="none" w:sz="0" w:space="0" w:color="auto"/>
            <w:bottom w:val="none" w:sz="0" w:space="0" w:color="auto"/>
            <w:right w:val="none" w:sz="0" w:space="0" w:color="auto"/>
          </w:divBdr>
          <w:divsChild>
            <w:div w:id="147329236">
              <w:marLeft w:val="0"/>
              <w:marRight w:val="0"/>
              <w:marTop w:val="0"/>
              <w:marBottom w:val="0"/>
              <w:divBdr>
                <w:top w:val="none" w:sz="0" w:space="0" w:color="auto"/>
                <w:left w:val="none" w:sz="0" w:space="0" w:color="auto"/>
                <w:bottom w:val="none" w:sz="0" w:space="0" w:color="auto"/>
                <w:right w:val="none" w:sz="0" w:space="0" w:color="auto"/>
              </w:divBdr>
            </w:div>
          </w:divsChild>
        </w:div>
        <w:div w:id="694577473">
          <w:marLeft w:val="0"/>
          <w:marRight w:val="0"/>
          <w:marTop w:val="0"/>
          <w:marBottom w:val="0"/>
          <w:divBdr>
            <w:top w:val="none" w:sz="0" w:space="0" w:color="auto"/>
            <w:left w:val="none" w:sz="0" w:space="0" w:color="auto"/>
            <w:bottom w:val="none" w:sz="0" w:space="0" w:color="auto"/>
            <w:right w:val="none" w:sz="0" w:space="0" w:color="auto"/>
          </w:divBdr>
          <w:divsChild>
            <w:div w:id="554437557">
              <w:marLeft w:val="0"/>
              <w:marRight w:val="0"/>
              <w:marTop w:val="0"/>
              <w:marBottom w:val="0"/>
              <w:divBdr>
                <w:top w:val="none" w:sz="0" w:space="0" w:color="auto"/>
                <w:left w:val="none" w:sz="0" w:space="0" w:color="auto"/>
                <w:bottom w:val="none" w:sz="0" w:space="0" w:color="auto"/>
                <w:right w:val="none" w:sz="0" w:space="0" w:color="auto"/>
              </w:divBdr>
            </w:div>
          </w:divsChild>
        </w:div>
        <w:div w:id="751045956">
          <w:marLeft w:val="0"/>
          <w:marRight w:val="0"/>
          <w:marTop w:val="0"/>
          <w:marBottom w:val="0"/>
          <w:divBdr>
            <w:top w:val="none" w:sz="0" w:space="0" w:color="auto"/>
            <w:left w:val="none" w:sz="0" w:space="0" w:color="auto"/>
            <w:bottom w:val="none" w:sz="0" w:space="0" w:color="auto"/>
            <w:right w:val="none" w:sz="0" w:space="0" w:color="auto"/>
          </w:divBdr>
          <w:divsChild>
            <w:div w:id="1633055483">
              <w:marLeft w:val="0"/>
              <w:marRight w:val="0"/>
              <w:marTop w:val="0"/>
              <w:marBottom w:val="0"/>
              <w:divBdr>
                <w:top w:val="none" w:sz="0" w:space="0" w:color="auto"/>
                <w:left w:val="none" w:sz="0" w:space="0" w:color="auto"/>
                <w:bottom w:val="none" w:sz="0" w:space="0" w:color="auto"/>
                <w:right w:val="none" w:sz="0" w:space="0" w:color="auto"/>
              </w:divBdr>
            </w:div>
          </w:divsChild>
        </w:div>
        <w:div w:id="788166107">
          <w:marLeft w:val="0"/>
          <w:marRight w:val="0"/>
          <w:marTop w:val="0"/>
          <w:marBottom w:val="0"/>
          <w:divBdr>
            <w:top w:val="none" w:sz="0" w:space="0" w:color="auto"/>
            <w:left w:val="none" w:sz="0" w:space="0" w:color="auto"/>
            <w:bottom w:val="none" w:sz="0" w:space="0" w:color="auto"/>
            <w:right w:val="none" w:sz="0" w:space="0" w:color="auto"/>
          </w:divBdr>
          <w:divsChild>
            <w:div w:id="2003391755">
              <w:marLeft w:val="0"/>
              <w:marRight w:val="0"/>
              <w:marTop w:val="0"/>
              <w:marBottom w:val="0"/>
              <w:divBdr>
                <w:top w:val="none" w:sz="0" w:space="0" w:color="auto"/>
                <w:left w:val="none" w:sz="0" w:space="0" w:color="auto"/>
                <w:bottom w:val="none" w:sz="0" w:space="0" w:color="auto"/>
                <w:right w:val="none" w:sz="0" w:space="0" w:color="auto"/>
              </w:divBdr>
            </w:div>
          </w:divsChild>
        </w:div>
        <w:div w:id="808405428">
          <w:marLeft w:val="0"/>
          <w:marRight w:val="0"/>
          <w:marTop w:val="0"/>
          <w:marBottom w:val="0"/>
          <w:divBdr>
            <w:top w:val="none" w:sz="0" w:space="0" w:color="auto"/>
            <w:left w:val="none" w:sz="0" w:space="0" w:color="auto"/>
            <w:bottom w:val="none" w:sz="0" w:space="0" w:color="auto"/>
            <w:right w:val="none" w:sz="0" w:space="0" w:color="auto"/>
          </w:divBdr>
          <w:divsChild>
            <w:div w:id="843276316">
              <w:marLeft w:val="0"/>
              <w:marRight w:val="0"/>
              <w:marTop w:val="0"/>
              <w:marBottom w:val="0"/>
              <w:divBdr>
                <w:top w:val="none" w:sz="0" w:space="0" w:color="auto"/>
                <w:left w:val="none" w:sz="0" w:space="0" w:color="auto"/>
                <w:bottom w:val="none" w:sz="0" w:space="0" w:color="auto"/>
                <w:right w:val="none" w:sz="0" w:space="0" w:color="auto"/>
              </w:divBdr>
            </w:div>
          </w:divsChild>
        </w:div>
        <w:div w:id="809060015">
          <w:marLeft w:val="0"/>
          <w:marRight w:val="0"/>
          <w:marTop w:val="0"/>
          <w:marBottom w:val="0"/>
          <w:divBdr>
            <w:top w:val="none" w:sz="0" w:space="0" w:color="auto"/>
            <w:left w:val="none" w:sz="0" w:space="0" w:color="auto"/>
            <w:bottom w:val="none" w:sz="0" w:space="0" w:color="auto"/>
            <w:right w:val="none" w:sz="0" w:space="0" w:color="auto"/>
          </w:divBdr>
          <w:divsChild>
            <w:div w:id="532422990">
              <w:marLeft w:val="0"/>
              <w:marRight w:val="0"/>
              <w:marTop w:val="0"/>
              <w:marBottom w:val="0"/>
              <w:divBdr>
                <w:top w:val="none" w:sz="0" w:space="0" w:color="auto"/>
                <w:left w:val="none" w:sz="0" w:space="0" w:color="auto"/>
                <w:bottom w:val="none" w:sz="0" w:space="0" w:color="auto"/>
                <w:right w:val="none" w:sz="0" w:space="0" w:color="auto"/>
              </w:divBdr>
            </w:div>
          </w:divsChild>
        </w:div>
        <w:div w:id="812796288">
          <w:marLeft w:val="0"/>
          <w:marRight w:val="0"/>
          <w:marTop w:val="0"/>
          <w:marBottom w:val="0"/>
          <w:divBdr>
            <w:top w:val="none" w:sz="0" w:space="0" w:color="auto"/>
            <w:left w:val="none" w:sz="0" w:space="0" w:color="auto"/>
            <w:bottom w:val="none" w:sz="0" w:space="0" w:color="auto"/>
            <w:right w:val="none" w:sz="0" w:space="0" w:color="auto"/>
          </w:divBdr>
          <w:divsChild>
            <w:div w:id="558901722">
              <w:marLeft w:val="0"/>
              <w:marRight w:val="0"/>
              <w:marTop w:val="0"/>
              <w:marBottom w:val="0"/>
              <w:divBdr>
                <w:top w:val="none" w:sz="0" w:space="0" w:color="auto"/>
                <w:left w:val="none" w:sz="0" w:space="0" w:color="auto"/>
                <w:bottom w:val="none" w:sz="0" w:space="0" w:color="auto"/>
                <w:right w:val="none" w:sz="0" w:space="0" w:color="auto"/>
              </w:divBdr>
            </w:div>
          </w:divsChild>
        </w:div>
        <w:div w:id="830173176">
          <w:marLeft w:val="0"/>
          <w:marRight w:val="0"/>
          <w:marTop w:val="0"/>
          <w:marBottom w:val="0"/>
          <w:divBdr>
            <w:top w:val="none" w:sz="0" w:space="0" w:color="auto"/>
            <w:left w:val="none" w:sz="0" w:space="0" w:color="auto"/>
            <w:bottom w:val="none" w:sz="0" w:space="0" w:color="auto"/>
            <w:right w:val="none" w:sz="0" w:space="0" w:color="auto"/>
          </w:divBdr>
          <w:divsChild>
            <w:div w:id="718168322">
              <w:marLeft w:val="0"/>
              <w:marRight w:val="0"/>
              <w:marTop w:val="0"/>
              <w:marBottom w:val="0"/>
              <w:divBdr>
                <w:top w:val="none" w:sz="0" w:space="0" w:color="auto"/>
                <w:left w:val="none" w:sz="0" w:space="0" w:color="auto"/>
                <w:bottom w:val="none" w:sz="0" w:space="0" w:color="auto"/>
                <w:right w:val="none" w:sz="0" w:space="0" w:color="auto"/>
              </w:divBdr>
            </w:div>
          </w:divsChild>
        </w:div>
        <w:div w:id="886259957">
          <w:marLeft w:val="0"/>
          <w:marRight w:val="0"/>
          <w:marTop w:val="0"/>
          <w:marBottom w:val="0"/>
          <w:divBdr>
            <w:top w:val="none" w:sz="0" w:space="0" w:color="auto"/>
            <w:left w:val="none" w:sz="0" w:space="0" w:color="auto"/>
            <w:bottom w:val="none" w:sz="0" w:space="0" w:color="auto"/>
            <w:right w:val="none" w:sz="0" w:space="0" w:color="auto"/>
          </w:divBdr>
          <w:divsChild>
            <w:div w:id="1348672262">
              <w:marLeft w:val="0"/>
              <w:marRight w:val="0"/>
              <w:marTop w:val="0"/>
              <w:marBottom w:val="0"/>
              <w:divBdr>
                <w:top w:val="none" w:sz="0" w:space="0" w:color="auto"/>
                <w:left w:val="none" w:sz="0" w:space="0" w:color="auto"/>
                <w:bottom w:val="none" w:sz="0" w:space="0" w:color="auto"/>
                <w:right w:val="none" w:sz="0" w:space="0" w:color="auto"/>
              </w:divBdr>
            </w:div>
          </w:divsChild>
        </w:div>
        <w:div w:id="917908689">
          <w:marLeft w:val="0"/>
          <w:marRight w:val="0"/>
          <w:marTop w:val="0"/>
          <w:marBottom w:val="0"/>
          <w:divBdr>
            <w:top w:val="none" w:sz="0" w:space="0" w:color="auto"/>
            <w:left w:val="none" w:sz="0" w:space="0" w:color="auto"/>
            <w:bottom w:val="none" w:sz="0" w:space="0" w:color="auto"/>
            <w:right w:val="none" w:sz="0" w:space="0" w:color="auto"/>
          </w:divBdr>
          <w:divsChild>
            <w:div w:id="1791127281">
              <w:marLeft w:val="0"/>
              <w:marRight w:val="0"/>
              <w:marTop w:val="0"/>
              <w:marBottom w:val="0"/>
              <w:divBdr>
                <w:top w:val="none" w:sz="0" w:space="0" w:color="auto"/>
                <w:left w:val="none" w:sz="0" w:space="0" w:color="auto"/>
                <w:bottom w:val="none" w:sz="0" w:space="0" w:color="auto"/>
                <w:right w:val="none" w:sz="0" w:space="0" w:color="auto"/>
              </w:divBdr>
            </w:div>
          </w:divsChild>
        </w:div>
        <w:div w:id="937447177">
          <w:marLeft w:val="0"/>
          <w:marRight w:val="0"/>
          <w:marTop w:val="0"/>
          <w:marBottom w:val="0"/>
          <w:divBdr>
            <w:top w:val="none" w:sz="0" w:space="0" w:color="auto"/>
            <w:left w:val="none" w:sz="0" w:space="0" w:color="auto"/>
            <w:bottom w:val="none" w:sz="0" w:space="0" w:color="auto"/>
            <w:right w:val="none" w:sz="0" w:space="0" w:color="auto"/>
          </w:divBdr>
          <w:divsChild>
            <w:div w:id="154808348">
              <w:marLeft w:val="0"/>
              <w:marRight w:val="0"/>
              <w:marTop w:val="0"/>
              <w:marBottom w:val="0"/>
              <w:divBdr>
                <w:top w:val="none" w:sz="0" w:space="0" w:color="auto"/>
                <w:left w:val="none" w:sz="0" w:space="0" w:color="auto"/>
                <w:bottom w:val="none" w:sz="0" w:space="0" w:color="auto"/>
                <w:right w:val="none" w:sz="0" w:space="0" w:color="auto"/>
              </w:divBdr>
            </w:div>
          </w:divsChild>
        </w:div>
        <w:div w:id="986711391">
          <w:marLeft w:val="0"/>
          <w:marRight w:val="0"/>
          <w:marTop w:val="0"/>
          <w:marBottom w:val="0"/>
          <w:divBdr>
            <w:top w:val="none" w:sz="0" w:space="0" w:color="auto"/>
            <w:left w:val="none" w:sz="0" w:space="0" w:color="auto"/>
            <w:bottom w:val="none" w:sz="0" w:space="0" w:color="auto"/>
            <w:right w:val="none" w:sz="0" w:space="0" w:color="auto"/>
          </w:divBdr>
          <w:divsChild>
            <w:div w:id="406802806">
              <w:marLeft w:val="0"/>
              <w:marRight w:val="0"/>
              <w:marTop w:val="0"/>
              <w:marBottom w:val="0"/>
              <w:divBdr>
                <w:top w:val="none" w:sz="0" w:space="0" w:color="auto"/>
                <w:left w:val="none" w:sz="0" w:space="0" w:color="auto"/>
                <w:bottom w:val="none" w:sz="0" w:space="0" w:color="auto"/>
                <w:right w:val="none" w:sz="0" w:space="0" w:color="auto"/>
              </w:divBdr>
            </w:div>
          </w:divsChild>
        </w:div>
        <w:div w:id="1041176456">
          <w:marLeft w:val="0"/>
          <w:marRight w:val="0"/>
          <w:marTop w:val="0"/>
          <w:marBottom w:val="0"/>
          <w:divBdr>
            <w:top w:val="none" w:sz="0" w:space="0" w:color="auto"/>
            <w:left w:val="none" w:sz="0" w:space="0" w:color="auto"/>
            <w:bottom w:val="none" w:sz="0" w:space="0" w:color="auto"/>
            <w:right w:val="none" w:sz="0" w:space="0" w:color="auto"/>
          </w:divBdr>
          <w:divsChild>
            <w:div w:id="1503426673">
              <w:marLeft w:val="0"/>
              <w:marRight w:val="0"/>
              <w:marTop w:val="0"/>
              <w:marBottom w:val="0"/>
              <w:divBdr>
                <w:top w:val="none" w:sz="0" w:space="0" w:color="auto"/>
                <w:left w:val="none" w:sz="0" w:space="0" w:color="auto"/>
                <w:bottom w:val="none" w:sz="0" w:space="0" w:color="auto"/>
                <w:right w:val="none" w:sz="0" w:space="0" w:color="auto"/>
              </w:divBdr>
            </w:div>
          </w:divsChild>
        </w:div>
        <w:div w:id="1078283869">
          <w:marLeft w:val="0"/>
          <w:marRight w:val="0"/>
          <w:marTop w:val="0"/>
          <w:marBottom w:val="0"/>
          <w:divBdr>
            <w:top w:val="none" w:sz="0" w:space="0" w:color="auto"/>
            <w:left w:val="none" w:sz="0" w:space="0" w:color="auto"/>
            <w:bottom w:val="none" w:sz="0" w:space="0" w:color="auto"/>
            <w:right w:val="none" w:sz="0" w:space="0" w:color="auto"/>
          </w:divBdr>
          <w:divsChild>
            <w:div w:id="1847554421">
              <w:marLeft w:val="0"/>
              <w:marRight w:val="0"/>
              <w:marTop w:val="0"/>
              <w:marBottom w:val="0"/>
              <w:divBdr>
                <w:top w:val="none" w:sz="0" w:space="0" w:color="auto"/>
                <w:left w:val="none" w:sz="0" w:space="0" w:color="auto"/>
                <w:bottom w:val="none" w:sz="0" w:space="0" w:color="auto"/>
                <w:right w:val="none" w:sz="0" w:space="0" w:color="auto"/>
              </w:divBdr>
            </w:div>
          </w:divsChild>
        </w:div>
        <w:div w:id="1106198707">
          <w:marLeft w:val="0"/>
          <w:marRight w:val="0"/>
          <w:marTop w:val="0"/>
          <w:marBottom w:val="0"/>
          <w:divBdr>
            <w:top w:val="none" w:sz="0" w:space="0" w:color="auto"/>
            <w:left w:val="none" w:sz="0" w:space="0" w:color="auto"/>
            <w:bottom w:val="none" w:sz="0" w:space="0" w:color="auto"/>
            <w:right w:val="none" w:sz="0" w:space="0" w:color="auto"/>
          </w:divBdr>
          <w:divsChild>
            <w:div w:id="66726897">
              <w:marLeft w:val="0"/>
              <w:marRight w:val="0"/>
              <w:marTop w:val="0"/>
              <w:marBottom w:val="0"/>
              <w:divBdr>
                <w:top w:val="none" w:sz="0" w:space="0" w:color="auto"/>
                <w:left w:val="none" w:sz="0" w:space="0" w:color="auto"/>
                <w:bottom w:val="none" w:sz="0" w:space="0" w:color="auto"/>
                <w:right w:val="none" w:sz="0" w:space="0" w:color="auto"/>
              </w:divBdr>
            </w:div>
          </w:divsChild>
        </w:div>
        <w:div w:id="1132945969">
          <w:marLeft w:val="0"/>
          <w:marRight w:val="0"/>
          <w:marTop w:val="0"/>
          <w:marBottom w:val="0"/>
          <w:divBdr>
            <w:top w:val="none" w:sz="0" w:space="0" w:color="auto"/>
            <w:left w:val="none" w:sz="0" w:space="0" w:color="auto"/>
            <w:bottom w:val="none" w:sz="0" w:space="0" w:color="auto"/>
            <w:right w:val="none" w:sz="0" w:space="0" w:color="auto"/>
          </w:divBdr>
          <w:divsChild>
            <w:div w:id="58868502">
              <w:marLeft w:val="0"/>
              <w:marRight w:val="0"/>
              <w:marTop w:val="0"/>
              <w:marBottom w:val="0"/>
              <w:divBdr>
                <w:top w:val="none" w:sz="0" w:space="0" w:color="auto"/>
                <w:left w:val="none" w:sz="0" w:space="0" w:color="auto"/>
                <w:bottom w:val="none" w:sz="0" w:space="0" w:color="auto"/>
                <w:right w:val="none" w:sz="0" w:space="0" w:color="auto"/>
              </w:divBdr>
            </w:div>
          </w:divsChild>
        </w:div>
        <w:div w:id="1151946834">
          <w:marLeft w:val="0"/>
          <w:marRight w:val="0"/>
          <w:marTop w:val="0"/>
          <w:marBottom w:val="0"/>
          <w:divBdr>
            <w:top w:val="none" w:sz="0" w:space="0" w:color="auto"/>
            <w:left w:val="none" w:sz="0" w:space="0" w:color="auto"/>
            <w:bottom w:val="none" w:sz="0" w:space="0" w:color="auto"/>
            <w:right w:val="none" w:sz="0" w:space="0" w:color="auto"/>
          </w:divBdr>
          <w:divsChild>
            <w:div w:id="988486066">
              <w:marLeft w:val="0"/>
              <w:marRight w:val="0"/>
              <w:marTop w:val="0"/>
              <w:marBottom w:val="0"/>
              <w:divBdr>
                <w:top w:val="none" w:sz="0" w:space="0" w:color="auto"/>
                <w:left w:val="none" w:sz="0" w:space="0" w:color="auto"/>
                <w:bottom w:val="none" w:sz="0" w:space="0" w:color="auto"/>
                <w:right w:val="none" w:sz="0" w:space="0" w:color="auto"/>
              </w:divBdr>
            </w:div>
          </w:divsChild>
        </w:div>
        <w:div w:id="1186940415">
          <w:marLeft w:val="0"/>
          <w:marRight w:val="0"/>
          <w:marTop w:val="0"/>
          <w:marBottom w:val="0"/>
          <w:divBdr>
            <w:top w:val="none" w:sz="0" w:space="0" w:color="auto"/>
            <w:left w:val="none" w:sz="0" w:space="0" w:color="auto"/>
            <w:bottom w:val="none" w:sz="0" w:space="0" w:color="auto"/>
            <w:right w:val="none" w:sz="0" w:space="0" w:color="auto"/>
          </w:divBdr>
          <w:divsChild>
            <w:div w:id="1946107039">
              <w:marLeft w:val="0"/>
              <w:marRight w:val="0"/>
              <w:marTop w:val="0"/>
              <w:marBottom w:val="0"/>
              <w:divBdr>
                <w:top w:val="none" w:sz="0" w:space="0" w:color="auto"/>
                <w:left w:val="none" w:sz="0" w:space="0" w:color="auto"/>
                <w:bottom w:val="none" w:sz="0" w:space="0" w:color="auto"/>
                <w:right w:val="none" w:sz="0" w:space="0" w:color="auto"/>
              </w:divBdr>
            </w:div>
          </w:divsChild>
        </w:div>
        <w:div w:id="1189441814">
          <w:marLeft w:val="0"/>
          <w:marRight w:val="0"/>
          <w:marTop w:val="0"/>
          <w:marBottom w:val="0"/>
          <w:divBdr>
            <w:top w:val="none" w:sz="0" w:space="0" w:color="auto"/>
            <w:left w:val="none" w:sz="0" w:space="0" w:color="auto"/>
            <w:bottom w:val="none" w:sz="0" w:space="0" w:color="auto"/>
            <w:right w:val="none" w:sz="0" w:space="0" w:color="auto"/>
          </w:divBdr>
          <w:divsChild>
            <w:div w:id="1408960080">
              <w:marLeft w:val="0"/>
              <w:marRight w:val="0"/>
              <w:marTop w:val="0"/>
              <w:marBottom w:val="0"/>
              <w:divBdr>
                <w:top w:val="none" w:sz="0" w:space="0" w:color="auto"/>
                <w:left w:val="none" w:sz="0" w:space="0" w:color="auto"/>
                <w:bottom w:val="none" w:sz="0" w:space="0" w:color="auto"/>
                <w:right w:val="none" w:sz="0" w:space="0" w:color="auto"/>
              </w:divBdr>
            </w:div>
          </w:divsChild>
        </w:div>
        <w:div w:id="1210148207">
          <w:marLeft w:val="0"/>
          <w:marRight w:val="0"/>
          <w:marTop w:val="0"/>
          <w:marBottom w:val="0"/>
          <w:divBdr>
            <w:top w:val="none" w:sz="0" w:space="0" w:color="auto"/>
            <w:left w:val="none" w:sz="0" w:space="0" w:color="auto"/>
            <w:bottom w:val="none" w:sz="0" w:space="0" w:color="auto"/>
            <w:right w:val="none" w:sz="0" w:space="0" w:color="auto"/>
          </w:divBdr>
          <w:divsChild>
            <w:div w:id="884869589">
              <w:marLeft w:val="0"/>
              <w:marRight w:val="0"/>
              <w:marTop w:val="0"/>
              <w:marBottom w:val="0"/>
              <w:divBdr>
                <w:top w:val="none" w:sz="0" w:space="0" w:color="auto"/>
                <w:left w:val="none" w:sz="0" w:space="0" w:color="auto"/>
                <w:bottom w:val="none" w:sz="0" w:space="0" w:color="auto"/>
                <w:right w:val="none" w:sz="0" w:space="0" w:color="auto"/>
              </w:divBdr>
            </w:div>
          </w:divsChild>
        </w:div>
        <w:div w:id="1212887034">
          <w:marLeft w:val="0"/>
          <w:marRight w:val="0"/>
          <w:marTop w:val="0"/>
          <w:marBottom w:val="0"/>
          <w:divBdr>
            <w:top w:val="none" w:sz="0" w:space="0" w:color="auto"/>
            <w:left w:val="none" w:sz="0" w:space="0" w:color="auto"/>
            <w:bottom w:val="none" w:sz="0" w:space="0" w:color="auto"/>
            <w:right w:val="none" w:sz="0" w:space="0" w:color="auto"/>
          </w:divBdr>
          <w:divsChild>
            <w:div w:id="1966689571">
              <w:marLeft w:val="0"/>
              <w:marRight w:val="0"/>
              <w:marTop w:val="0"/>
              <w:marBottom w:val="0"/>
              <w:divBdr>
                <w:top w:val="none" w:sz="0" w:space="0" w:color="auto"/>
                <w:left w:val="none" w:sz="0" w:space="0" w:color="auto"/>
                <w:bottom w:val="none" w:sz="0" w:space="0" w:color="auto"/>
                <w:right w:val="none" w:sz="0" w:space="0" w:color="auto"/>
              </w:divBdr>
            </w:div>
          </w:divsChild>
        </w:div>
        <w:div w:id="1216963787">
          <w:marLeft w:val="0"/>
          <w:marRight w:val="0"/>
          <w:marTop w:val="0"/>
          <w:marBottom w:val="0"/>
          <w:divBdr>
            <w:top w:val="none" w:sz="0" w:space="0" w:color="auto"/>
            <w:left w:val="none" w:sz="0" w:space="0" w:color="auto"/>
            <w:bottom w:val="none" w:sz="0" w:space="0" w:color="auto"/>
            <w:right w:val="none" w:sz="0" w:space="0" w:color="auto"/>
          </w:divBdr>
          <w:divsChild>
            <w:div w:id="1597133938">
              <w:marLeft w:val="0"/>
              <w:marRight w:val="0"/>
              <w:marTop w:val="0"/>
              <w:marBottom w:val="0"/>
              <w:divBdr>
                <w:top w:val="none" w:sz="0" w:space="0" w:color="auto"/>
                <w:left w:val="none" w:sz="0" w:space="0" w:color="auto"/>
                <w:bottom w:val="none" w:sz="0" w:space="0" w:color="auto"/>
                <w:right w:val="none" w:sz="0" w:space="0" w:color="auto"/>
              </w:divBdr>
            </w:div>
          </w:divsChild>
        </w:div>
        <w:div w:id="1224561219">
          <w:marLeft w:val="0"/>
          <w:marRight w:val="0"/>
          <w:marTop w:val="0"/>
          <w:marBottom w:val="0"/>
          <w:divBdr>
            <w:top w:val="none" w:sz="0" w:space="0" w:color="auto"/>
            <w:left w:val="none" w:sz="0" w:space="0" w:color="auto"/>
            <w:bottom w:val="none" w:sz="0" w:space="0" w:color="auto"/>
            <w:right w:val="none" w:sz="0" w:space="0" w:color="auto"/>
          </w:divBdr>
          <w:divsChild>
            <w:div w:id="1892377839">
              <w:marLeft w:val="0"/>
              <w:marRight w:val="0"/>
              <w:marTop w:val="0"/>
              <w:marBottom w:val="0"/>
              <w:divBdr>
                <w:top w:val="none" w:sz="0" w:space="0" w:color="auto"/>
                <w:left w:val="none" w:sz="0" w:space="0" w:color="auto"/>
                <w:bottom w:val="none" w:sz="0" w:space="0" w:color="auto"/>
                <w:right w:val="none" w:sz="0" w:space="0" w:color="auto"/>
              </w:divBdr>
            </w:div>
          </w:divsChild>
        </w:div>
        <w:div w:id="1232614556">
          <w:marLeft w:val="0"/>
          <w:marRight w:val="0"/>
          <w:marTop w:val="0"/>
          <w:marBottom w:val="0"/>
          <w:divBdr>
            <w:top w:val="none" w:sz="0" w:space="0" w:color="auto"/>
            <w:left w:val="none" w:sz="0" w:space="0" w:color="auto"/>
            <w:bottom w:val="none" w:sz="0" w:space="0" w:color="auto"/>
            <w:right w:val="none" w:sz="0" w:space="0" w:color="auto"/>
          </w:divBdr>
          <w:divsChild>
            <w:div w:id="746810107">
              <w:marLeft w:val="0"/>
              <w:marRight w:val="0"/>
              <w:marTop w:val="0"/>
              <w:marBottom w:val="0"/>
              <w:divBdr>
                <w:top w:val="none" w:sz="0" w:space="0" w:color="auto"/>
                <w:left w:val="none" w:sz="0" w:space="0" w:color="auto"/>
                <w:bottom w:val="none" w:sz="0" w:space="0" w:color="auto"/>
                <w:right w:val="none" w:sz="0" w:space="0" w:color="auto"/>
              </w:divBdr>
            </w:div>
          </w:divsChild>
        </w:div>
        <w:div w:id="1250699334">
          <w:marLeft w:val="0"/>
          <w:marRight w:val="0"/>
          <w:marTop w:val="0"/>
          <w:marBottom w:val="0"/>
          <w:divBdr>
            <w:top w:val="none" w:sz="0" w:space="0" w:color="auto"/>
            <w:left w:val="none" w:sz="0" w:space="0" w:color="auto"/>
            <w:bottom w:val="none" w:sz="0" w:space="0" w:color="auto"/>
            <w:right w:val="none" w:sz="0" w:space="0" w:color="auto"/>
          </w:divBdr>
          <w:divsChild>
            <w:div w:id="958489198">
              <w:marLeft w:val="0"/>
              <w:marRight w:val="0"/>
              <w:marTop w:val="0"/>
              <w:marBottom w:val="0"/>
              <w:divBdr>
                <w:top w:val="none" w:sz="0" w:space="0" w:color="auto"/>
                <w:left w:val="none" w:sz="0" w:space="0" w:color="auto"/>
                <w:bottom w:val="none" w:sz="0" w:space="0" w:color="auto"/>
                <w:right w:val="none" w:sz="0" w:space="0" w:color="auto"/>
              </w:divBdr>
            </w:div>
          </w:divsChild>
        </w:div>
        <w:div w:id="1258753916">
          <w:marLeft w:val="0"/>
          <w:marRight w:val="0"/>
          <w:marTop w:val="0"/>
          <w:marBottom w:val="0"/>
          <w:divBdr>
            <w:top w:val="none" w:sz="0" w:space="0" w:color="auto"/>
            <w:left w:val="none" w:sz="0" w:space="0" w:color="auto"/>
            <w:bottom w:val="none" w:sz="0" w:space="0" w:color="auto"/>
            <w:right w:val="none" w:sz="0" w:space="0" w:color="auto"/>
          </w:divBdr>
          <w:divsChild>
            <w:div w:id="1277104077">
              <w:marLeft w:val="0"/>
              <w:marRight w:val="0"/>
              <w:marTop w:val="0"/>
              <w:marBottom w:val="0"/>
              <w:divBdr>
                <w:top w:val="none" w:sz="0" w:space="0" w:color="auto"/>
                <w:left w:val="none" w:sz="0" w:space="0" w:color="auto"/>
                <w:bottom w:val="none" w:sz="0" w:space="0" w:color="auto"/>
                <w:right w:val="none" w:sz="0" w:space="0" w:color="auto"/>
              </w:divBdr>
            </w:div>
          </w:divsChild>
        </w:div>
        <w:div w:id="1336108271">
          <w:marLeft w:val="0"/>
          <w:marRight w:val="0"/>
          <w:marTop w:val="0"/>
          <w:marBottom w:val="0"/>
          <w:divBdr>
            <w:top w:val="none" w:sz="0" w:space="0" w:color="auto"/>
            <w:left w:val="none" w:sz="0" w:space="0" w:color="auto"/>
            <w:bottom w:val="none" w:sz="0" w:space="0" w:color="auto"/>
            <w:right w:val="none" w:sz="0" w:space="0" w:color="auto"/>
          </w:divBdr>
          <w:divsChild>
            <w:div w:id="615794648">
              <w:marLeft w:val="0"/>
              <w:marRight w:val="0"/>
              <w:marTop w:val="0"/>
              <w:marBottom w:val="0"/>
              <w:divBdr>
                <w:top w:val="none" w:sz="0" w:space="0" w:color="auto"/>
                <w:left w:val="none" w:sz="0" w:space="0" w:color="auto"/>
                <w:bottom w:val="none" w:sz="0" w:space="0" w:color="auto"/>
                <w:right w:val="none" w:sz="0" w:space="0" w:color="auto"/>
              </w:divBdr>
            </w:div>
          </w:divsChild>
        </w:div>
        <w:div w:id="1381051120">
          <w:marLeft w:val="0"/>
          <w:marRight w:val="0"/>
          <w:marTop w:val="0"/>
          <w:marBottom w:val="0"/>
          <w:divBdr>
            <w:top w:val="none" w:sz="0" w:space="0" w:color="auto"/>
            <w:left w:val="none" w:sz="0" w:space="0" w:color="auto"/>
            <w:bottom w:val="none" w:sz="0" w:space="0" w:color="auto"/>
            <w:right w:val="none" w:sz="0" w:space="0" w:color="auto"/>
          </w:divBdr>
          <w:divsChild>
            <w:div w:id="1788424955">
              <w:marLeft w:val="0"/>
              <w:marRight w:val="0"/>
              <w:marTop w:val="0"/>
              <w:marBottom w:val="0"/>
              <w:divBdr>
                <w:top w:val="none" w:sz="0" w:space="0" w:color="auto"/>
                <w:left w:val="none" w:sz="0" w:space="0" w:color="auto"/>
                <w:bottom w:val="none" w:sz="0" w:space="0" w:color="auto"/>
                <w:right w:val="none" w:sz="0" w:space="0" w:color="auto"/>
              </w:divBdr>
            </w:div>
          </w:divsChild>
        </w:div>
        <w:div w:id="1447237969">
          <w:marLeft w:val="0"/>
          <w:marRight w:val="0"/>
          <w:marTop w:val="0"/>
          <w:marBottom w:val="0"/>
          <w:divBdr>
            <w:top w:val="none" w:sz="0" w:space="0" w:color="auto"/>
            <w:left w:val="none" w:sz="0" w:space="0" w:color="auto"/>
            <w:bottom w:val="none" w:sz="0" w:space="0" w:color="auto"/>
            <w:right w:val="none" w:sz="0" w:space="0" w:color="auto"/>
          </w:divBdr>
          <w:divsChild>
            <w:div w:id="1203707608">
              <w:marLeft w:val="0"/>
              <w:marRight w:val="0"/>
              <w:marTop w:val="0"/>
              <w:marBottom w:val="0"/>
              <w:divBdr>
                <w:top w:val="none" w:sz="0" w:space="0" w:color="auto"/>
                <w:left w:val="none" w:sz="0" w:space="0" w:color="auto"/>
                <w:bottom w:val="none" w:sz="0" w:space="0" w:color="auto"/>
                <w:right w:val="none" w:sz="0" w:space="0" w:color="auto"/>
              </w:divBdr>
            </w:div>
          </w:divsChild>
        </w:div>
        <w:div w:id="1472214842">
          <w:marLeft w:val="0"/>
          <w:marRight w:val="0"/>
          <w:marTop w:val="0"/>
          <w:marBottom w:val="0"/>
          <w:divBdr>
            <w:top w:val="none" w:sz="0" w:space="0" w:color="auto"/>
            <w:left w:val="none" w:sz="0" w:space="0" w:color="auto"/>
            <w:bottom w:val="none" w:sz="0" w:space="0" w:color="auto"/>
            <w:right w:val="none" w:sz="0" w:space="0" w:color="auto"/>
          </w:divBdr>
          <w:divsChild>
            <w:div w:id="816384046">
              <w:marLeft w:val="0"/>
              <w:marRight w:val="0"/>
              <w:marTop w:val="0"/>
              <w:marBottom w:val="0"/>
              <w:divBdr>
                <w:top w:val="none" w:sz="0" w:space="0" w:color="auto"/>
                <w:left w:val="none" w:sz="0" w:space="0" w:color="auto"/>
                <w:bottom w:val="none" w:sz="0" w:space="0" w:color="auto"/>
                <w:right w:val="none" w:sz="0" w:space="0" w:color="auto"/>
              </w:divBdr>
            </w:div>
          </w:divsChild>
        </w:div>
        <w:div w:id="1493260067">
          <w:marLeft w:val="0"/>
          <w:marRight w:val="0"/>
          <w:marTop w:val="0"/>
          <w:marBottom w:val="0"/>
          <w:divBdr>
            <w:top w:val="none" w:sz="0" w:space="0" w:color="auto"/>
            <w:left w:val="none" w:sz="0" w:space="0" w:color="auto"/>
            <w:bottom w:val="none" w:sz="0" w:space="0" w:color="auto"/>
            <w:right w:val="none" w:sz="0" w:space="0" w:color="auto"/>
          </w:divBdr>
          <w:divsChild>
            <w:div w:id="579875092">
              <w:marLeft w:val="0"/>
              <w:marRight w:val="0"/>
              <w:marTop w:val="0"/>
              <w:marBottom w:val="0"/>
              <w:divBdr>
                <w:top w:val="none" w:sz="0" w:space="0" w:color="auto"/>
                <w:left w:val="none" w:sz="0" w:space="0" w:color="auto"/>
                <w:bottom w:val="none" w:sz="0" w:space="0" w:color="auto"/>
                <w:right w:val="none" w:sz="0" w:space="0" w:color="auto"/>
              </w:divBdr>
            </w:div>
          </w:divsChild>
        </w:div>
        <w:div w:id="1493595379">
          <w:marLeft w:val="0"/>
          <w:marRight w:val="0"/>
          <w:marTop w:val="0"/>
          <w:marBottom w:val="0"/>
          <w:divBdr>
            <w:top w:val="none" w:sz="0" w:space="0" w:color="auto"/>
            <w:left w:val="none" w:sz="0" w:space="0" w:color="auto"/>
            <w:bottom w:val="none" w:sz="0" w:space="0" w:color="auto"/>
            <w:right w:val="none" w:sz="0" w:space="0" w:color="auto"/>
          </w:divBdr>
          <w:divsChild>
            <w:div w:id="909005829">
              <w:marLeft w:val="0"/>
              <w:marRight w:val="0"/>
              <w:marTop w:val="0"/>
              <w:marBottom w:val="0"/>
              <w:divBdr>
                <w:top w:val="none" w:sz="0" w:space="0" w:color="auto"/>
                <w:left w:val="none" w:sz="0" w:space="0" w:color="auto"/>
                <w:bottom w:val="none" w:sz="0" w:space="0" w:color="auto"/>
                <w:right w:val="none" w:sz="0" w:space="0" w:color="auto"/>
              </w:divBdr>
            </w:div>
          </w:divsChild>
        </w:div>
        <w:div w:id="1526359482">
          <w:marLeft w:val="0"/>
          <w:marRight w:val="0"/>
          <w:marTop w:val="0"/>
          <w:marBottom w:val="0"/>
          <w:divBdr>
            <w:top w:val="none" w:sz="0" w:space="0" w:color="auto"/>
            <w:left w:val="none" w:sz="0" w:space="0" w:color="auto"/>
            <w:bottom w:val="none" w:sz="0" w:space="0" w:color="auto"/>
            <w:right w:val="none" w:sz="0" w:space="0" w:color="auto"/>
          </w:divBdr>
          <w:divsChild>
            <w:div w:id="87892847">
              <w:marLeft w:val="0"/>
              <w:marRight w:val="0"/>
              <w:marTop w:val="0"/>
              <w:marBottom w:val="0"/>
              <w:divBdr>
                <w:top w:val="none" w:sz="0" w:space="0" w:color="auto"/>
                <w:left w:val="none" w:sz="0" w:space="0" w:color="auto"/>
                <w:bottom w:val="none" w:sz="0" w:space="0" w:color="auto"/>
                <w:right w:val="none" w:sz="0" w:space="0" w:color="auto"/>
              </w:divBdr>
            </w:div>
          </w:divsChild>
        </w:div>
        <w:div w:id="1555852788">
          <w:marLeft w:val="0"/>
          <w:marRight w:val="0"/>
          <w:marTop w:val="0"/>
          <w:marBottom w:val="0"/>
          <w:divBdr>
            <w:top w:val="none" w:sz="0" w:space="0" w:color="auto"/>
            <w:left w:val="none" w:sz="0" w:space="0" w:color="auto"/>
            <w:bottom w:val="none" w:sz="0" w:space="0" w:color="auto"/>
            <w:right w:val="none" w:sz="0" w:space="0" w:color="auto"/>
          </w:divBdr>
          <w:divsChild>
            <w:div w:id="1515458667">
              <w:marLeft w:val="0"/>
              <w:marRight w:val="0"/>
              <w:marTop w:val="0"/>
              <w:marBottom w:val="0"/>
              <w:divBdr>
                <w:top w:val="none" w:sz="0" w:space="0" w:color="auto"/>
                <w:left w:val="none" w:sz="0" w:space="0" w:color="auto"/>
                <w:bottom w:val="none" w:sz="0" w:space="0" w:color="auto"/>
                <w:right w:val="none" w:sz="0" w:space="0" w:color="auto"/>
              </w:divBdr>
            </w:div>
          </w:divsChild>
        </w:div>
        <w:div w:id="1618835181">
          <w:marLeft w:val="0"/>
          <w:marRight w:val="0"/>
          <w:marTop w:val="0"/>
          <w:marBottom w:val="0"/>
          <w:divBdr>
            <w:top w:val="none" w:sz="0" w:space="0" w:color="auto"/>
            <w:left w:val="none" w:sz="0" w:space="0" w:color="auto"/>
            <w:bottom w:val="none" w:sz="0" w:space="0" w:color="auto"/>
            <w:right w:val="none" w:sz="0" w:space="0" w:color="auto"/>
          </w:divBdr>
          <w:divsChild>
            <w:div w:id="691998783">
              <w:marLeft w:val="0"/>
              <w:marRight w:val="0"/>
              <w:marTop w:val="0"/>
              <w:marBottom w:val="0"/>
              <w:divBdr>
                <w:top w:val="none" w:sz="0" w:space="0" w:color="auto"/>
                <w:left w:val="none" w:sz="0" w:space="0" w:color="auto"/>
                <w:bottom w:val="none" w:sz="0" w:space="0" w:color="auto"/>
                <w:right w:val="none" w:sz="0" w:space="0" w:color="auto"/>
              </w:divBdr>
            </w:div>
          </w:divsChild>
        </w:div>
        <w:div w:id="1651985115">
          <w:marLeft w:val="0"/>
          <w:marRight w:val="0"/>
          <w:marTop w:val="0"/>
          <w:marBottom w:val="0"/>
          <w:divBdr>
            <w:top w:val="none" w:sz="0" w:space="0" w:color="auto"/>
            <w:left w:val="none" w:sz="0" w:space="0" w:color="auto"/>
            <w:bottom w:val="none" w:sz="0" w:space="0" w:color="auto"/>
            <w:right w:val="none" w:sz="0" w:space="0" w:color="auto"/>
          </w:divBdr>
          <w:divsChild>
            <w:div w:id="1445999592">
              <w:marLeft w:val="0"/>
              <w:marRight w:val="0"/>
              <w:marTop w:val="0"/>
              <w:marBottom w:val="0"/>
              <w:divBdr>
                <w:top w:val="none" w:sz="0" w:space="0" w:color="auto"/>
                <w:left w:val="none" w:sz="0" w:space="0" w:color="auto"/>
                <w:bottom w:val="none" w:sz="0" w:space="0" w:color="auto"/>
                <w:right w:val="none" w:sz="0" w:space="0" w:color="auto"/>
              </w:divBdr>
            </w:div>
          </w:divsChild>
        </w:div>
        <w:div w:id="1665743933">
          <w:marLeft w:val="0"/>
          <w:marRight w:val="0"/>
          <w:marTop w:val="0"/>
          <w:marBottom w:val="0"/>
          <w:divBdr>
            <w:top w:val="none" w:sz="0" w:space="0" w:color="auto"/>
            <w:left w:val="none" w:sz="0" w:space="0" w:color="auto"/>
            <w:bottom w:val="none" w:sz="0" w:space="0" w:color="auto"/>
            <w:right w:val="none" w:sz="0" w:space="0" w:color="auto"/>
          </w:divBdr>
          <w:divsChild>
            <w:div w:id="625356462">
              <w:marLeft w:val="0"/>
              <w:marRight w:val="0"/>
              <w:marTop w:val="0"/>
              <w:marBottom w:val="0"/>
              <w:divBdr>
                <w:top w:val="none" w:sz="0" w:space="0" w:color="auto"/>
                <w:left w:val="none" w:sz="0" w:space="0" w:color="auto"/>
                <w:bottom w:val="none" w:sz="0" w:space="0" w:color="auto"/>
                <w:right w:val="none" w:sz="0" w:space="0" w:color="auto"/>
              </w:divBdr>
            </w:div>
          </w:divsChild>
        </w:div>
        <w:div w:id="1675568505">
          <w:marLeft w:val="0"/>
          <w:marRight w:val="0"/>
          <w:marTop w:val="0"/>
          <w:marBottom w:val="0"/>
          <w:divBdr>
            <w:top w:val="none" w:sz="0" w:space="0" w:color="auto"/>
            <w:left w:val="none" w:sz="0" w:space="0" w:color="auto"/>
            <w:bottom w:val="none" w:sz="0" w:space="0" w:color="auto"/>
            <w:right w:val="none" w:sz="0" w:space="0" w:color="auto"/>
          </w:divBdr>
          <w:divsChild>
            <w:div w:id="364212641">
              <w:marLeft w:val="0"/>
              <w:marRight w:val="0"/>
              <w:marTop w:val="0"/>
              <w:marBottom w:val="0"/>
              <w:divBdr>
                <w:top w:val="none" w:sz="0" w:space="0" w:color="auto"/>
                <w:left w:val="none" w:sz="0" w:space="0" w:color="auto"/>
                <w:bottom w:val="none" w:sz="0" w:space="0" w:color="auto"/>
                <w:right w:val="none" w:sz="0" w:space="0" w:color="auto"/>
              </w:divBdr>
            </w:div>
          </w:divsChild>
        </w:div>
        <w:div w:id="1697384399">
          <w:marLeft w:val="0"/>
          <w:marRight w:val="0"/>
          <w:marTop w:val="0"/>
          <w:marBottom w:val="0"/>
          <w:divBdr>
            <w:top w:val="none" w:sz="0" w:space="0" w:color="auto"/>
            <w:left w:val="none" w:sz="0" w:space="0" w:color="auto"/>
            <w:bottom w:val="none" w:sz="0" w:space="0" w:color="auto"/>
            <w:right w:val="none" w:sz="0" w:space="0" w:color="auto"/>
          </w:divBdr>
          <w:divsChild>
            <w:div w:id="1611743746">
              <w:marLeft w:val="0"/>
              <w:marRight w:val="0"/>
              <w:marTop w:val="0"/>
              <w:marBottom w:val="0"/>
              <w:divBdr>
                <w:top w:val="none" w:sz="0" w:space="0" w:color="auto"/>
                <w:left w:val="none" w:sz="0" w:space="0" w:color="auto"/>
                <w:bottom w:val="none" w:sz="0" w:space="0" w:color="auto"/>
                <w:right w:val="none" w:sz="0" w:space="0" w:color="auto"/>
              </w:divBdr>
            </w:div>
          </w:divsChild>
        </w:div>
        <w:div w:id="1700934572">
          <w:marLeft w:val="0"/>
          <w:marRight w:val="0"/>
          <w:marTop w:val="0"/>
          <w:marBottom w:val="0"/>
          <w:divBdr>
            <w:top w:val="none" w:sz="0" w:space="0" w:color="auto"/>
            <w:left w:val="none" w:sz="0" w:space="0" w:color="auto"/>
            <w:bottom w:val="none" w:sz="0" w:space="0" w:color="auto"/>
            <w:right w:val="none" w:sz="0" w:space="0" w:color="auto"/>
          </w:divBdr>
          <w:divsChild>
            <w:div w:id="1618833982">
              <w:marLeft w:val="0"/>
              <w:marRight w:val="0"/>
              <w:marTop w:val="0"/>
              <w:marBottom w:val="0"/>
              <w:divBdr>
                <w:top w:val="none" w:sz="0" w:space="0" w:color="auto"/>
                <w:left w:val="none" w:sz="0" w:space="0" w:color="auto"/>
                <w:bottom w:val="none" w:sz="0" w:space="0" w:color="auto"/>
                <w:right w:val="none" w:sz="0" w:space="0" w:color="auto"/>
              </w:divBdr>
            </w:div>
          </w:divsChild>
        </w:div>
        <w:div w:id="1729916590">
          <w:marLeft w:val="0"/>
          <w:marRight w:val="0"/>
          <w:marTop w:val="0"/>
          <w:marBottom w:val="0"/>
          <w:divBdr>
            <w:top w:val="none" w:sz="0" w:space="0" w:color="auto"/>
            <w:left w:val="none" w:sz="0" w:space="0" w:color="auto"/>
            <w:bottom w:val="none" w:sz="0" w:space="0" w:color="auto"/>
            <w:right w:val="none" w:sz="0" w:space="0" w:color="auto"/>
          </w:divBdr>
          <w:divsChild>
            <w:div w:id="657811079">
              <w:marLeft w:val="0"/>
              <w:marRight w:val="0"/>
              <w:marTop w:val="0"/>
              <w:marBottom w:val="0"/>
              <w:divBdr>
                <w:top w:val="none" w:sz="0" w:space="0" w:color="auto"/>
                <w:left w:val="none" w:sz="0" w:space="0" w:color="auto"/>
                <w:bottom w:val="none" w:sz="0" w:space="0" w:color="auto"/>
                <w:right w:val="none" w:sz="0" w:space="0" w:color="auto"/>
              </w:divBdr>
            </w:div>
          </w:divsChild>
        </w:div>
        <w:div w:id="1748577995">
          <w:marLeft w:val="0"/>
          <w:marRight w:val="0"/>
          <w:marTop w:val="0"/>
          <w:marBottom w:val="0"/>
          <w:divBdr>
            <w:top w:val="none" w:sz="0" w:space="0" w:color="auto"/>
            <w:left w:val="none" w:sz="0" w:space="0" w:color="auto"/>
            <w:bottom w:val="none" w:sz="0" w:space="0" w:color="auto"/>
            <w:right w:val="none" w:sz="0" w:space="0" w:color="auto"/>
          </w:divBdr>
          <w:divsChild>
            <w:div w:id="1061907243">
              <w:marLeft w:val="0"/>
              <w:marRight w:val="0"/>
              <w:marTop w:val="0"/>
              <w:marBottom w:val="0"/>
              <w:divBdr>
                <w:top w:val="none" w:sz="0" w:space="0" w:color="auto"/>
                <w:left w:val="none" w:sz="0" w:space="0" w:color="auto"/>
                <w:bottom w:val="none" w:sz="0" w:space="0" w:color="auto"/>
                <w:right w:val="none" w:sz="0" w:space="0" w:color="auto"/>
              </w:divBdr>
            </w:div>
          </w:divsChild>
        </w:div>
        <w:div w:id="1759668201">
          <w:marLeft w:val="0"/>
          <w:marRight w:val="0"/>
          <w:marTop w:val="0"/>
          <w:marBottom w:val="0"/>
          <w:divBdr>
            <w:top w:val="none" w:sz="0" w:space="0" w:color="auto"/>
            <w:left w:val="none" w:sz="0" w:space="0" w:color="auto"/>
            <w:bottom w:val="none" w:sz="0" w:space="0" w:color="auto"/>
            <w:right w:val="none" w:sz="0" w:space="0" w:color="auto"/>
          </w:divBdr>
          <w:divsChild>
            <w:div w:id="2105225359">
              <w:marLeft w:val="0"/>
              <w:marRight w:val="0"/>
              <w:marTop w:val="0"/>
              <w:marBottom w:val="0"/>
              <w:divBdr>
                <w:top w:val="none" w:sz="0" w:space="0" w:color="auto"/>
                <w:left w:val="none" w:sz="0" w:space="0" w:color="auto"/>
                <w:bottom w:val="none" w:sz="0" w:space="0" w:color="auto"/>
                <w:right w:val="none" w:sz="0" w:space="0" w:color="auto"/>
              </w:divBdr>
            </w:div>
          </w:divsChild>
        </w:div>
        <w:div w:id="1770202145">
          <w:marLeft w:val="0"/>
          <w:marRight w:val="0"/>
          <w:marTop w:val="0"/>
          <w:marBottom w:val="0"/>
          <w:divBdr>
            <w:top w:val="none" w:sz="0" w:space="0" w:color="auto"/>
            <w:left w:val="none" w:sz="0" w:space="0" w:color="auto"/>
            <w:bottom w:val="none" w:sz="0" w:space="0" w:color="auto"/>
            <w:right w:val="none" w:sz="0" w:space="0" w:color="auto"/>
          </w:divBdr>
          <w:divsChild>
            <w:div w:id="1376933343">
              <w:marLeft w:val="0"/>
              <w:marRight w:val="0"/>
              <w:marTop w:val="0"/>
              <w:marBottom w:val="0"/>
              <w:divBdr>
                <w:top w:val="none" w:sz="0" w:space="0" w:color="auto"/>
                <w:left w:val="none" w:sz="0" w:space="0" w:color="auto"/>
                <w:bottom w:val="none" w:sz="0" w:space="0" w:color="auto"/>
                <w:right w:val="none" w:sz="0" w:space="0" w:color="auto"/>
              </w:divBdr>
            </w:div>
          </w:divsChild>
        </w:div>
        <w:div w:id="1777287819">
          <w:marLeft w:val="0"/>
          <w:marRight w:val="0"/>
          <w:marTop w:val="0"/>
          <w:marBottom w:val="0"/>
          <w:divBdr>
            <w:top w:val="none" w:sz="0" w:space="0" w:color="auto"/>
            <w:left w:val="none" w:sz="0" w:space="0" w:color="auto"/>
            <w:bottom w:val="none" w:sz="0" w:space="0" w:color="auto"/>
            <w:right w:val="none" w:sz="0" w:space="0" w:color="auto"/>
          </w:divBdr>
          <w:divsChild>
            <w:div w:id="350911656">
              <w:marLeft w:val="0"/>
              <w:marRight w:val="0"/>
              <w:marTop w:val="0"/>
              <w:marBottom w:val="0"/>
              <w:divBdr>
                <w:top w:val="none" w:sz="0" w:space="0" w:color="auto"/>
                <w:left w:val="none" w:sz="0" w:space="0" w:color="auto"/>
                <w:bottom w:val="none" w:sz="0" w:space="0" w:color="auto"/>
                <w:right w:val="none" w:sz="0" w:space="0" w:color="auto"/>
              </w:divBdr>
            </w:div>
          </w:divsChild>
        </w:div>
        <w:div w:id="1863086755">
          <w:marLeft w:val="0"/>
          <w:marRight w:val="0"/>
          <w:marTop w:val="0"/>
          <w:marBottom w:val="0"/>
          <w:divBdr>
            <w:top w:val="none" w:sz="0" w:space="0" w:color="auto"/>
            <w:left w:val="none" w:sz="0" w:space="0" w:color="auto"/>
            <w:bottom w:val="none" w:sz="0" w:space="0" w:color="auto"/>
            <w:right w:val="none" w:sz="0" w:space="0" w:color="auto"/>
          </w:divBdr>
          <w:divsChild>
            <w:div w:id="1432555567">
              <w:marLeft w:val="0"/>
              <w:marRight w:val="0"/>
              <w:marTop w:val="0"/>
              <w:marBottom w:val="0"/>
              <w:divBdr>
                <w:top w:val="none" w:sz="0" w:space="0" w:color="auto"/>
                <w:left w:val="none" w:sz="0" w:space="0" w:color="auto"/>
                <w:bottom w:val="none" w:sz="0" w:space="0" w:color="auto"/>
                <w:right w:val="none" w:sz="0" w:space="0" w:color="auto"/>
              </w:divBdr>
            </w:div>
          </w:divsChild>
        </w:div>
        <w:div w:id="1867257538">
          <w:marLeft w:val="0"/>
          <w:marRight w:val="0"/>
          <w:marTop w:val="0"/>
          <w:marBottom w:val="0"/>
          <w:divBdr>
            <w:top w:val="none" w:sz="0" w:space="0" w:color="auto"/>
            <w:left w:val="none" w:sz="0" w:space="0" w:color="auto"/>
            <w:bottom w:val="none" w:sz="0" w:space="0" w:color="auto"/>
            <w:right w:val="none" w:sz="0" w:space="0" w:color="auto"/>
          </w:divBdr>
          <w:divsChild>
            <w:div w:id="131867209">
              <w:marLeft w:val="0"/>
              <w:marRight w:val="0"/>
              <w:marTop w:val="0"/>
              <w:marBottom w:val="0"/>
              <w:divBdr>
                <w:top w:val="none" w:sz="0" w:space="0" w:color="auto"/>
                <w:left w:val="none" w:sz="0" w:space="0" w:color="auto"/>
                <w:bottom w:val="none" w:sz="0" w:space="0" w:color="auto"/>
                <w:right w:val="none" w:sz="0" w:space="0" w:color="auto"/>
              </w:divBdr>
            </w:div>
          </w:divsChild>
        </w:div>
        <w:div w:id="1872571265">
          <w:marLeft w:val="0"/>
          <w:marRight w:val="0"/>
          <w:marTop w:val="0"/>
          <w:marBottom w:val="0"/>
          <w:divBdr>
            <w:top w:val="none" w:sz="0" w:space="0" w:color="auto"/>
            <w:left w:val="none" w:sz="0" w:space="0" w:color="auto"/>
            <w:bottom w:val="none" w:sz="0" w:space="0" w:color="auto"/>
            <w:right w:val="none" w:sz="0" w:space="0" w:color="auto"/>
          </w:divBdr>
          <w:divsChild>
            <w:div w:id="612177167">
              <w:marLeft w:val="0"/>
              <w:marRight w:val="0"/>
              <w:marTop w:val="0"/>
              <w:marBottom w:val="0"/>
              <w:divBdr>
                <w:top w:val="none" w:sz="0" w:space="0" w:color="auto"/>
                <w:left w:val="none" w:sz="0" w:space="0" w:color="auto"/>
                <w:bottom w:val="none" w:sz="0" w:space="0" w:color="auto"/>
                <w:right w:val="none" w:sz="0" w:space="0" w:color="auto"/>
              </w:divBdr>
            </w:div>
          </w:divsChild>
        </w:div>
        <w:div w:id="1901743556">
          <w:marLeft w:val="0"/>
          <w:marRight w:val="0"/>
          <w:marTop w:val="0"/>
          <w:marBottom w:val="0"/>
          <w:divBdr>
            <w:top w:val="none" w:sz="0" w:space="0" w:color="auto"/>
            <w:left w:val="none" w:sz="0" w:space="0" w:color="auto"/>
            <w:bottom w:val="none" w:sz="0" w:space="0" w:color="auto"/>
            <w:right w:val="none" w:sz="0" w:space="0" w:color="auto"/>
          </w:divBdr>
          <w:divsChild>
            <w:div w:id="1220477858">
              <w:marLeft w:val="0"/>
              <w:marRight w:val="0"/>
              <w:marTop w:val="0"/>
              <w:marBottom w:val="0"/>
              <w:divBdr>
                <w:top w:val="none" w:sz="0" w:space="0" w:color="auto"/>
                <w:left w:val="none" w:sz="0" w:space="0" w:color="auto"/>
                <w:bottom w:val="none" w:sz="0" w:space="0" w:color="auto"/>
                <w:right w:val="none" w:sz="0" w:space="0" w:color="auto"/>
              </w:divBdr>
            </w:div>
          </w:divsChild>
        </w:div>
        <w:div w:id="1922326802">
          <w:marLeft w:val="0"/>
          <w:marRight w:val="0"/>
          <w:marTop w:val="0"/>
          <w:marBottom w:val="0"/>
          <w:divBdr>
            <w:top w:val="none" w:sz="0" w:space="0" w:color="auto"/>
            <w:left w:val="none" w:sz="0" w:space="0" w:color="auto"/>
            <w:bottom w:val="none" w:sz="0" w:space="0" w:color="auto"/>
            <w:right w:val="none" w:sz="0" w:space="0" w:color="auto"/>
          </w:divBdr>
          <w:divsChild>
            <w:div w:id="1347564203">
              <w:marLeft w:val="0"/>
              <w:marRight w:val="0"/>
              <w:marTop w:val="0"/>
              <w:marBottom w:val="0"/>
              <w:divBdr>
                <w:top w:val="none" w:sz="0" w:space="0" w:color="auto"/>
                <w:left w:val="none" w:sz="0" w:space="0" w:color="auto"/>
                <w:bottom w:val="none" w:sz="0" w:space="0" w:color="auto"/>
                <w:right w:val="none" w:sz="0" w:space="0" w:color="auto"/>
              </w:divBdr>
            </w:div>
          </w:divsChild>
        </w:div>
        <w:div w:id="1940870519">
          <w:marLeft w:val="0"/>
          <w:marRight w:val="0"/>
          <w:marTop w:val="0"/>
          <w:marBottom w:val="0"/>
          <w:divBdr>
            <w:top w:val="none" w:sz="0" w:space="0" w:color="auto"/>
            <w:left w:val="none" w:sz="0" w:space="0" w:color="auto"/>
            <w:bottom w:val="none" w:sz="0" w:space="0" w:color="auto"/>
            <w:right w:val="none" w:sz="0" w:space="0" w:color="auto"/>
          </w:divBdr>
          <w:divsChild>
            <w:div w:id="1592857911">
              <w:marLeft w:val="0"/>
              <w:marRight w:val="0"/>
              <w:marTop w:val="0"/>
              <w:marBottom w:val="0"/>
              <w:divBdr>
                <w:top w:val="none" w:sz="0" w:space="0" w:color="auto"/>
                <w:left w:val="none" w:sz="0" w:space="0" w:color="auto"/>
                <w:bottom w:val="none" w:sz="0" w:space="0" w:color="auto"/>
                <w:right w:val="none" w:sz="0" w:space="0" w:color="auto"/>
              </w:divBdr>
            </w:div>
          </w:divsChild>
        </w:div>
        <w:div w:id="1968006055">
          <w:marLeft w:val="0"/>
          <w:marRight w:val="0"/>
          <w:marTop w:val="0"/>
          <w:marBottom w:val="0"/>
          <w:divBdr>
            <w:top w:val="none" w:sz="0" w:space="0" w:color="auto"/>
            <w:left w:val="none" w:sz="0" w:space="0" w:color="auto"/>
            <w:bottom w:val="none" w:sz="0" w:space="0" w:color="auto"/>
            <w:right w:val="none" w:sz="0" w:space="0" w:color="auto"/>
          </w:divBdr>
          <w:divsChild>
            <w:div w:id="1079987842">
              <w:marLeft w:val="0"/>
              <w:marRight w:val="0"/>
              <w:marTop w:val="0"/>
              <w:marBottom w:val="0"/>
              <w:divBdr>
                <w:top w:val="none" w:sz="0" w:space="0" w:color="auto"/>
                <w:left w:val="none" w:sz="0" w:space="0" w:color="auto"/>
                <w:bottom w:val="none" w:sz="0" w:space="0" w:color="auto"/>
                <w:right w:val="none" w:sz="0" w:space="0" w:color="auto"/>
              </w:divBdr>
            </w:div>
          </w:divsChild>
        </w:div>
        <w:div w:id="1974173200">
          <w:marLeft w:val="0"/>
          <w:marRight w:val="0"/>
          <w:marTop w:val="0"/>
          <w:marBottom w:val="0"/>
          <w:divBdr>
            <w:top w:val="none" w:sz="0" w:space="0" w:color="auto"/>
            <w:left w:val="none" w:sz="0" w:space="0" w:color="auto"/>
            <w:bottom w:val="none" w:sz="0" w:space="0" w:color="auto"/>
            <w:right w:val="none" w:sz="0" w:space="0" w:color="auto"/>
          </w:divBdr>
          <w:divsChild>
            <w:div w:id="263074709">
              <w:marLeft w:val="0"/>
              <w:marRight w:val="0"/>
              <w:marTop w:val="0"/>
              <w:marBottom w:val="0"/>
              <w:divBdr>
                <w:top w:val="none" w:sz="0" w:space="0" w:color="auto"/>
                <w:left w:val="none" w:sz="0" w:space="0" w:color="auto"/>
                <w:bottom w:val="none" w:sz="0" w:space="0" w:color="auto"/>
                <w:right w:val="none" w:sz="0" w:space="0" w:color="auto"/>
              </w:divBdr>
            </w:div>
          </w:divsChild>
        </w:div>
        <w:div w:id="1984772678">
          <w:marLeft w:val="0"/>
          <w:marRight w:val="0"/>
          <w:marTop w:val="0"/>
          <w:marBottom w:val="0"/>
          <w:divBdr>
            <w:top w:val="none" w:sz="0" w:space="0" w:color="auto"/>
            <w:left w:val="none" w:sz="0" w:space="0" w:color="auto"/>
            <w:bottom w:val="none" w:sz="0" w:space="0" w:color="auto"/>
            <w:right w:val="none" w:sz="0" w:space="0" w:color="auto"/>
          </w:divBdr>
          <w:divsChild>
            <w:div w:id="2090077495">
              <w:marLeft w:val="0"/>
              <w:marRight w:val="0"/>
              <w:marTop w:val="0"/>
              <w:marBottom w:val="0"/>
              <w:divBdr>
                <w:top w:val="none" w:sz="0" w:space="0" w:color="auto"/>
                <w:left w:val="none" w:sz="0" w:space="0" w:color="auto"/>
                <w:bottom w:val="none" w:sz="0" w:space="0" w:color="auto"/>
                <w:right w:val="none" w:sz="0" w:space="0" w:color="auto"/>
              </w:divBdr>
            </w:div>
          </w:divsChild>
        </w:div>
        <w:div w:id="2042198308">
          <w:marLeft w:val="0"/>
          <w:marRight w:val="0"/>
          <w:marTop w:val="0"/>
          <w:marBottom w:val="0"/>
          <w:divBdr>
            <w:top w:val="none" w:sz="0" w:space="0" w:color="auto"/>
            <w:left w:val="none" w:sz="0" w:space="0" w:color="auto"/>
            <w:bottom w:val="none" w:sz="0" w:space="0" w:color="auto"/>
            <w:right w:val="none" w:sz="0" w:space="0" w:color="auto"/>
          </w:divBdr>
          <w:divsChild>
            <w:div w:id="1135609269">
              <w:marLeft w:val="0"/>
              <w:marRight w:val="0"/>
              <w:marTop w:val="0"/>
              <w:marBottom w:val="0"/>
              <w:divBdr>
                <w:top w:val="none" w:sz="0" w:space="0" w:color="auto"/>
                <w:left w:val="none" w:sz="0" w:space="0" w:color="auto"/>
                <w:bottom w:val="none" w:sz="0" w:space="0" w:color="auto"/>
                <w:right w:val="none" w:sz="0" w:space="0" w:color="auto"/>
              </w:divBdr>
            </w:div>
          </w:divsChild>
        </w:div>
        <w:div w:id="2081782615">
          <w:marLeft w:val="0"/>
          <w:marRight w:val="0"/>
          <w:marTop w:val="0"/>
          <w:marBottom w:val="0"/>
          <w:divBdr>
            <w:top w:val="none" w:sz="0" w:space="0" w:color="auto"/>
            <w:left w:val="none" w:sz="0" w:space="0" w:color="auto"/>
            <w:bottom w:val="none" w:sz="0" w:space="0" w:color="auto"/>
            <w:right w:val="none" w:sz="0" w:space="0" w:color="auto"/>
          </w:divBdr>
          <w:divsChild>
            <w:div w:id="924191321">
              <w:marLeft w:val="0"/>
              <w:marRight w:val="0"/>
              <w:marTop w:val="0"/>
              <w:marBottom w:val="0"/>
              <w:divBdr>
                <w:top w:val="none" w:sz="0" w:space="0" w:color="auto"/>
                <w:left w:val="none" w:sz="0" w:space="0" w:color="auto"/>
                <w:bottom w:val="none" w:sz="0" w:space="0" w:color="auto"/>
                <w:right w:val="none" w:sz="0" w:space="0" w:color="auto"/>
              </w:divBdr>
            </w:div>
          </w:divsChild>
        </w:div>
        <w:div w:id="2099986358">
          <w:marLeft w:val="0"/>
          <w:marRight w:val="0"/>
          <w:marTop w:val="0"/>
          <w:marBottom w:val="0"/>
          <w:divBdr>
            <w:top w:val="none" w:sz="0" w:space="0" w:color="auto"/>
            <w:left w:val="none" w:sz="0" w:space="0" w:color="auto"/>
            <w:bottom w:val="none" w:sz="0" w:space="0" w:color="auto"/>
            <w:right w:val="none" w:sz="0" w:space="0" w:color="auto"/>
          </w:divBdr>
          <w:divsChild>
            <w:div w:id="524028622">
              <w:marLeft w:val="0"/>
              <w:marRight w:val="0"/>
              <w:marTop w:val="0"/>
              <w:marBottom w:val="0"/>
              <w:divBdr>
                <w:top w:val="none" w:sz="0" w:space="0" w:color="auto"/>
                <w:left w:val="none" w:sz="0" w:space="0" w:color="auto"/>
                <w:bottom w:val="none" w:sz="0" w:space="0" w:color="auto"/>
                <w:right w:val="none" w:sz="0" w:space="0" w:color="auto"/>
              </w:divBdr>
            </w:div>
          </w:divsChild>
        </w:div>
        <w:div w:id="2114855597">
          <w:marLeft w:val="0"/>
          <w:marRight w:val="0"/>
          <w:marTop w:val="0"/>
          <w:marBottom w:val="0"/>
          <w:divBdr>
            <w:top w:val="none" w:sz="0" w:space="0" w:color="auto"/>
            <w:left w:val="none" w:sz="0" w:space="0" w:color="auto"/>
            <w:bottom w:val="none" w:sz="0" w:space="0" w:color="auto"/>
            <w:right w:val="none" w:sz="0" w:space="0" w:color="auto"/>
          </w:divBdr>
          <w:divsChild>
            <w:div w:id="1306738545">
              <w:marLeft w:val="0"/>
              <w:marRight w:val="0"/>
              <w:marTop w:val="0"/>
              <w:marBottom w:val="0"/>
              <w:divBdr>
                <w:top w:val="none" w:sz="0" w:space="0" w:color="auto"/>
                <w:left w:val="none" w:sz="0" w:space="0" w:color="auto"/>
                <w:bottom w:val="none" w:sz="0" w:space="0" w:color="auto"/>
                <w:right w:val="none" w:sz="0" w:space="0" w:color="auto"/>
              </w:divBdr>
            </w:div>
          </w:divsChild>
        </w:div>
        <w:div w:id="2128085401">
          <w:marLeft w:val="0"/>
          <w:marRight w:val="0"/>
          <w:marTop w:val="0"/>
          <w:marBottom w:val="0"/>
          <w:divBdr>
            <w:top w:val="none" w:sz="0" w:space="0" w:color="auto"/>
            <w:left w:val="none" w:sz="0" w:space="0" w:color="auto"/>
            <w:bottom w:val="none" w:sz="0" w:space="0" w:color="auto"/>
            <w:right w:val="none" w:sz="0" w:space="0" w:color="auto"/>
          </w:divBdr>
          <w:divsChild>
            <w:div w:id="478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75472">
      <w:bodyDiv w:val="1"/>
      <w:marLeft w:val="0"/>
      <w:marRight w:val="0"/>
      <w:marTop w:val="0"/>
      <w:marBottom w:val="0"/>
      <w:divBdr>
        <w:top w:val="none" w:sz="0" w:space="0" w:color="auto"/>
        <w:left w:val="none" w:sz="0" w:space="0" w:color="auto"/>
        <w:bottom w:val="none" w:sz="0" w:space="0" w:color="auto"/>
        <w:right w:val="none" w:sz="0" w:space="0" w:color="auto"/>
      </w:divBdr>
    </w:div>
    <w:div w:id="2008435626">
      <w:bodyDiv w:val="1"/>
      <w:marLeft w:val="0"/>
      <w:marRight w:val="0"/>
      <w:marTop w:val="0"/>
      <w:marBottom w:val="0"/>
      <w:divBdr>
        <w:top w:val="none" w:sz="0" w:space="0" w:color="auto"/>
        <w:left w:val="none" w:sz="0" w:space="0" w:color="auto"/>
        <w:bottom w:val="none" w:sz="0" w:space="0" w:color="auto"/>
        <w:right w:val="none" w:sz="0" w:space="0" w:color="auto"/>
      </w:divBdr>
    </w:div>
    <w:div w:id="204258499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mindfuldecommissioning.dnv.com/documents/FINAL_%20Workshop%202_Presentation_10.2.24.pdf" TargetMode="External"/><Relationship Id="rId39" Type="http://schemas.openxmlformats.org/officeDocument/2006/relationships/header" Target="header5.xml"/><Relationship Id="rId21" Type="http://schemas.openxmlformats.org/officeDocument/2006/relationships/hyperlink" Target="https://mindfuldecommissioning.dnv.com/workshops.html" TargetMode="External"/><Relationship Id="rId34" Type="http://schemas.openxmlformats.org/officeDocument/2006/relationships/image" Target="media/image4.png"/><Relationship Id="rId42" Type="http://schemas.openxmlformats.org/officeDocument/2006/relationships/header" Target="header7.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hyperlink" Target="https://mindfuldecommissioning.dnv.com/documents/DNV%20Mindful%20Gas%20Decommissioning_Workshop2%20Summary_UPDATED.pdf" TargetMode="External"/><Relationship Id="rId11" Type="http://schemas.openxmlformats.org/officeDocument/2006/relationships/footnotes" Target="footnotes.xml"/><Relationship Id="rId24" Type="http://schemas.openxmlformats.org/officeDocument/2006/relationships/hyperlink" Target="https://mindfuldecommissioning.dnv.com/documents/CEC-Mindful-Decommissioning_Meeting-Summary.pdf" TargetMode="External"/><Relationship Id="rId32" Type="http://schemas.openxmlformats.org/officeDocument/2006/relationships/hyperlink" Target="https://zoom.us/rec/share/trpjVuT9Z41vHwX-Mb9dGsD-JXvprcm3ZGv2gqhKQ0btBlK717nK613iK8nd8TUh.-9sVp8lC-fdAdR2L?startTime=1759968153000" TargetMode="External"/><Relationship Id="rId37" Type="http://schemas.openxmlformats.org/officeDocument/2006/relationships/hyperlink" Target="https://forms.office.com/pages/responsepage.aspx?id=Kw7xrem21kG-L8ErtWYBnCpZq_Z6knpLvoKrvIMfeaFUOVlOVUNCSzdNUzdLOVU4SU5XQ09WMUUxOCQlQCN0PWcu&amp;route=shorturl" TargetMode="External"/><Relationship Id="rId40" Type="http://schemas.openxmlformats.org/officeDocument/2006/relationships/footer" Target="footer4.xml"/><Relationship Id="rId45" Type="http://schemas.openxmlformats.org/officeDocument/2006/relationships/header" Target="header9.xml"/><Relationship Id="rId53" Type="http://schemas.openxmlformats.org/officeDocument/2006/relationships/header" Target="header15.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hyperlink" Target="https://mindfuldecommissioning.dnv.com/documents/Gas%20Decommsissioning%20Webinar%20Slides_10.8.25.pdf" TargetMode="External"/><Relationship Id="rId44" Type="http://schemas.openxmlformats.org/officeDocument/2006/relationships/footer" Target="footer5.xml"/><Relationship Id="rId52" Type="http://schemas.openxmlformats.org/officeDocument/2006/relationships/footer" Target="footer7.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mindfuldecommissioning.dnv.com/documents/Mindful-Decommissioning-Workshop-PPT.pdf" TargetMode="External"/><Relationship Id="rId27" Type="http://schemas.openxmlformats.org/officeDocument/2006/relationships/hyperlink" Target="https://mindfuldecommissioning.dnv.com/documents/FINAL_%20Workshop%202_Presentation_10.2.24_SPA.pdf" TargetMode="External"/><Relationship Id="rId30" Type="http://schemas.openxmlformats.org/officeDocument/2006/relationships/hyperlink" Target="https://mindfuldecommissioning.dnv.com/workshops.html" TargetMode="External"/><Relationship Id="rId35" Type="http://schemas.openxmlformats.org/officeDocument/2006/relationships/hyperlink" Target="https://mindfuldecommissioning.dnv.com/" TargetMode="External"/><Relationship Id="rId43" Type="http://schemas.openxmlformats.org/officeDocument/2006/relationships/header" Target="header8.xml"/><Relationship Id="rId48" Type="http://schemas.openxmlformats.org/officeDocument/2006/relationships/footer" Target="footer6.xml"/><Relationship Id="rId56" Type="http://schemas.microsoft.com/office/2020/10/relationships/intelligence" Target="intelligence2.xml"/><Relationship Id="rId8" Type="http://schemas.openxmlformats.org/officeDocument/2006/relationships/styles" Target="styles.xml"/><Relationship Id="rId51" Type="http://schemas.openxmlformats.org/officeDocument/2006/relationships/header" Target="header14.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mindfuldecommissioning.dnv.com/workshops.html" TargetMode="External"/><Relationship Id="rId33" Type="http://schemas.openxmlformats.org/officeDocument/2006/relationships/hyperlink" Target="https://mindfuldecommissioning.dnv.com/workshops.html" TargetMode="External"/><Relationship Id="rId38" Type="http://schemas.openxmlformats.org/officeDocument/2006/relationships/header" Target="header4.xml"/><Relationship Id="rId46" Type="http://schemas.openxmlformats.org/officeDocument/2006/relationships/header" Target="header10.xml"/><Relationship Id="rId20" Type="http://schemas.openxmlformats.org/officeDocument/2006/relationships/image" Target="media/image3.png"/><Relationship Id="rId41" Type="http://schemas.openxmlformats.org/officeDocument/2006/relationships/header" Target="header6.xm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kearnswest.zoom.us/rec/play/MqQd8s2HQ2YLwzF8zUYTmr7aejFtSVMD9YlCsssdu7YV33pyrGYnpgKehf6U6zdqD7GUEjojloPUAQ7O.L_rpHp-mY6nwfXmr?canPlayFromShare=true&amp;from=share_recording_detail&amp;startTime=1698712542000&amp;componentName=rec-play&amp;originRequestUrl=https%3A%2F%2Fkearnswest.zoom.us%2Frec%2Fshare%2Fzy-qK9ezV1UpNBuPLMnV15Lg4qcCxNWloPbmRsd6LKfn-6Ciln1H7_BOuD6iNA1R.LtA2ox4J60smzKHE%3FstartTime%3D1698712542000" TargetMode="External"/><Relationship Id="rId28" Type="http://schemas.openxmlformats.org/officeDocument/2006/relationships/hyperlink" Target="https://mindfuldecommissioning.dnv.com/documents/large_files/Mindful%20Gas%20Decommissioning%20Community%20Workshop%202%20Recording.mp4" TargetMode="External"/><Relationship Id="rId36" Type="http://schemas.openxmlformats.org/officeDocument/2006/relationships/image" Target="media/image5.png"/><Relationship Id="rId49" Type="http://schemas.openxmlformats.org/officeDocument/2006/relationships/header" Target="header12.xml"/></Relationships>
</file>

<file path=word/_rels/footnotes.xml.rels><?xml version="1.0" encoding="UTF-8" standalone="yes"?>
<Relationships xmlns="http://schemas.openxmlformats.org/package/2006/relationships"><Relationship Id="rId3" Type="http://schemas.openxmlformats.org/officeDocument/2006/relationships/hyperlink" Target="https://mindfuldecommissioning.dnv.com/" TargetMode="External"/><Relationship Id="rId2" Type="http://schemas.openxmlformats.org/officeDocument/2006/relationships/hyperlink" Target="https://dnvnam.sharepoint.com/:b:/r/teams/CECMindfulDecommissioningCommunityWorkshops/Shared%20Documents/General/03.%20Outreach/Slides/CEC%20Mindful%20Decommissioning%20Overview.pdf?csf=1&amp;web=1&amp;e=n59O4R" TargetMode="External"/><Relationship Id="rId1" Type="http://schemas.openxmlformats.org/officeDocument/2006/relationships/hyperlink" Target="https://leginfo.legislature.ca.gov/faces/billNavClient.xhtml?bill_id=202320240SB1221" TargetMode="External"/><Relationship Id="rId6" Type="http://schemas.openxmlformats.org/officeDocument/2006/relationships/hyperlink" Target="https://dnvnam.sharepoint.com/:f:/r/teams/CECMindfulDecommissioningCommunityWorkshops/Shared%20Documents/Case%20Studies%20Collaboration/Case%20Study%20Materials%20Packet?csf=1&amp;web=1&amp;e=JRglIK" TargetMode="External"/><Relationship Id="rId5" Type="http://schemas.openxmlformats.org/officeDocument/2006/relationships/hyperlink" Target="https://dnvnam.sharepoint.com/:w:/r/teams/CECMindfulDecommissioningCommunityWorkshops/Shared%20Documents/Case%20Studies%20Collaboration/Templates/Community%20Feedback%20Request%20form%20(example).docx?d=w2962bdbb1d424a6a90414f1b170a2d0d&amp;csf=1&amp;web=1&amp;e=N92z2h" TargetMode="External"/><Relationship Id="rId4" Type="http://schemas.openxmlformats.org/officeDocument/2006/relationships/hyperlink" Target="https://nap.nationalacademies.org/catalog/27317/constructing-valid-geospatial-tools-for-environmental-jus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NV Theme">
  <a:themeElements>
    <a:clrScheme name="DNV PP">
      <a:dk1>
        <a:srgbClr val="000000"/>
      </a:dk1>
      <a:lt1>
        <a:srgbClr val="FFFFFF"/>
      </a:lt1>
      <a:dk2>
        <a:srgbClr val="0F204B"/>
      </a:dk2>
      <a:lt2>
        <a:srgbClr val="F4F3EF"/>
      </a:lt2>
      <a:accent1>
        <a:srgbClr val="0F204B"/>
      </a:accent1>
      <a:accent2>
        <a:srgbClr val="99D9F0"/>
      </a:accent2>
      <a:accent3>
        <a:srgbClr val="003591"/>
      </a:accent3>
      <a:accent4>
        <a:srgbClr val="009FDA"/>
      </a:accent4>
      <a:accent5>
        <a:srgbClr val="91FFB4"/>
      </a:accent5>
      <a:accent6>
        <a:srgbClr val="3F9C35"/>
      </a:accent6>
      <a:hlink>
        <a:srgbClr val="009FDA"/>
      </a:hlink>
      <a:folHlink>
        <a:srgbClr val="3F9C35"/>
      </a:folHlink>
    </a:clrScheme>
    <a:fontScheme name="DN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Tag name="dgCompanyName01"/>
  <Tag name="DpProjName01">MINDFUL GAS DECOMMISSIONING</Tag>
  <Tag name="DgReportTitle01">Case Study Location Analysis – Visalia and Hanford, San Joaquin Valley</Tag>
  <Tag name="DgCustomer01">California Energy Commission</Tag>
  <Tag name="DgDnvReportNo01">23-xxxx</Tag>
  <Tag name="DgRevNo01"/>
  <Tag name="DgDNVDocNo01"/>
  <Tag name="DgDocDate01"/>
  <Tag name="DgDnvDivision01">Energy Systems</Tag>
  <Tag name="DgDnvSubDivLong01">DNV Netherlands B.V.</Tag>
  <Tag name="DgDnvOfficePost01">Utrechtseweg 310-B50
6812 AR Arnhem
The Netherlands
</Tag>
  <Tag name="DgDnvTelephone01">+31 26 356 9111</Tag>
  <Tag name="DgDnvEnterpriseNo01">Registered Arnhem 09006404</Tag>
  <Tag name="DgCustomerAddress01"/>
  <Tag name="DgContactPerson01"/>
  <Tag name="DpProjNo01"/>
  <Tag name="DgDnvSubDivShort01"/>
  <Tag name="DgAuthorName01"/>
  <Tag name="DgAuthorTitle01"/>
  <Tag name="DgVerifier01"/>
  <Tag name="DgVerifierTitle01"/>
  <Tag name="DgApprovedBy01"/>
  <Tag name="DgApprovedByTitle01"/>
  <Tag name="DnvglDistrConSpec">--</Tag>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8811F69A18B94C9690D43217B04F68" ma:contentTypeVersion="24" ma:contentTypeDescription="Create a new document." ma:contentTypeScope="" ma:versionID="1d139123b10c79fddbc6c9dd7f770663">
  <xsd:schema xmlns:xsd="http://www.w3.org/2001/XMLSchema" xmlns:xs="http://www.w3.org/2001/XMLSchema" xmlns:p="http://schemas.microsoft.com/office/2006/metadata/properties" xmlns:ns2="a17ea962-132b-493e-bfa2-5110a4092c56" xmlns:ns3="5067c814-4b34-462c-a21d-c185ff6548d2" targetNamespace="http://schemas.microsoft.com/office/2006/metadata/properties" ma:root="true" ma:fieldsID="d8eae98444654300018bdf2a17a50833" ns2:_="" ns3:_="">
    <xsd:import namespace="a17ea962-132b-493e-bfa2-5110a4092c56"/>
    <xsd:import namespace="5067c814-4b34-462c-a21d-c185ff6548d2"/>
    <xsd:element name="properties">
      <xsd:complexType>
        <xsd:sequence>
          <xsd:element name="documentManagement">
            <xsd:complexType>
              <xsd:all>
                <xsd:element ref="ns2:ProjectTitle" minOccurs="0"/>
                <xsd:element ref="ns2:Recipient" minOccurs="0"/>
                <xsd:element ref="ns2:CAM" minOccurs="0"/>
                <xsd:element ref="ns2:Agreement_x0023_" minOccurs="0"/>
                <xsd:element ref="ns2:Funding" minOccurs="0"/>
                <xsd:element ref="ns2:AgreementStatus" minOccurs="0"/>
                <xsd:element ref="ns2:KeyTerm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ea962-132b-493e-bfa2-5110a4092c56" elementFormDefault="qualified">
    <xsd:import namespace="http://schemas.microsoft.com/office/2006/documentManagement/types"/>
    <xsd:import namespace="http://schemas.microsoft.com/office/infopath/2007/PartnerControls"/>
    <xsd:element name="ProjectTitle" ma:index="8" nillable="true" ma:displayName="Project Title" ma:internalName="ProjectTitle">
      <xsd:simpleType>
        <xsd:restriction base="dms:Note">
          <xsd:maxLength value="255"/>
        </xsd:restriction>
      </xsd:simpleType>
    </xsd:element>
    <xsd:element name="Recipient" ma:index="9" nillable="true" ma:displayName="Recipient" ma:internalName="Recipient">
      <xsd:simpleType>
        <xsd:restriction base="dms:Text">
          <xsd:maxLength value="255"/>
        </xsd:restriction>
      </xsd:simpleType>
    </xsd:element>
    <xsd:element name="CAM" ma:index="10" nillable="true" ma:displayName="CAM" ma:list="UserInfo" ma:SharePointGroup="0" ma:internalName="CA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greement_x0023_" ma:index="11" nillable="true" ma:displayName="Agreement #" ma:internalName="Agreement_x0023_">
      <xsd:simpleType>
        <xsd:restriction base="dms:Text">
          <xsd:maxLength value="255"/>
        </xsd:restriction>
      </xsd:simpleType>
    </xsd:element>
    <xsd:element name="Funding" ma:index="12" nillable="true" ma:displayName="Funding" ma:default="EPIC" ma:format="Dropdown" ma:internalName="Funding">
      <xsd:simpleType>
        <xsd:union memberTypes="dms:Text">
          <xsd:simpleType>
            <xsd:restriction base="dms:Choice">
              <xsd:enumeration value="EPIC"/>
              <xsd:enumeration value="NG"/>
              <xsd:enumeration value="FPIP"/>
              <xsd:enumeration value="ERPA"/>
              <xsd:enumeration value="PVEA"/>
            </xsd:restriction>
          </xsd:simpleType>
        </xsd:union>
      </xsd:simpleType>
    </xsd:element>
    <xsd:element name="AgreementStatus" ma:index="13" nillable="true" ma:displayName="Agreement Status" ma:default="Active" ma:format="Dropdown" ma:internalName="AgreementStatus">
      <xsd:simpleType>
        <xsd:restriction base="dms:Choice">
          <xsd:enumeration value="Active"/>
          <xsd:enumeration value="Completed"/>
          <xsd:enumeration value="Terminated"/>
          <xsd:enumeration value="Cancelled"/>
          <xsd:enumeration value="Development"/>
          <xsd:enumeration value="Hide"/>
        </xsd:restriction>
      </xsd:simpleType>
    </xsd:element>
    <xsd:element name="KeyTerms" ma:index="14" nillable="true" ma:displayName="Key Terms" ma:default="Air Quality" ma:format="Dropdown" ma:internalName="KeyTerms">
      <xsd:complexType>
        <xsd:complexContent>
          <xsd:extension base="dms:MultiChoiceFillIn">
            <xsd:sequence>
              <xsd:element name="Value" maxOccurs="unbounded" minOccurs="0" nillable="true">
                <xsd:simpleType>
                  <xsd:union memberTypes="dms:Text">
                    <xsd:simpleType>
                      <xsd:restriction base="dms:Choice">
                        <xsd:enumeration value="Air Quality"/>
                      </xsd:restriction>
                    </xsd:simpleType>
                  </xsd:un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ternalName="MediaServiceLocation" ma:readOnly="tru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752bcb9-f337-4c4d-ab40-c128a420f593}"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17ea962-132b-493e-bfa2-5110a4092c56">
      <Terms xmlns="http://schemas.microsoft.com/office/infopath/2007/PartnerControls"/>
    </lcf76f155ced4ddcb4097134ff3c332f>
    <Funding xmlns="a17ea962-132b-493e-bfa2-5110a4092c56">EPIC</Funding>
    <Recipient xmlns="a17ea962-132b-493e-bfa2-5110a4092c56" xsi:nil="true"/>
    <Agreement_x0023_ xmlns="a17ea962-132b-493e-bfa2-5110a4092c56" xsi:nil="true"/>
    <TaxCatchAll xmlns="5067c814-4b34-462c-a21d-c185ff6548d2" xsi:nil="true"/>
    <AgreementStatus xmlns="a17ea962-132b-493e-bfa2-5110a4092c56">Active</AgreementStatus>
    <KeyTerms xmlns="a17ea962-132b-493e-bfa2-5110a4092c56">
      <Value>Air Quality</Value>
    </KeyTerms>
    <ProjectTitle xmlns="a17ea962-132b-493e-bfa2-5110a4092c56" xsi:nil="true"/>
    <CAM xmlns="a17ea962-132b-493e-bfa2-5110a4092c56">
      <UserInfo>
        <DisplayName/>
        <AccountId xsi:nil="true"/>
        <AccountType/>
      </UserInfo>
    </CAM>
  </documentManagement>
</p:properties>
</file>

<file path=customXml/itemProps1.xml><?xml version="1.0" encoding="utf-8"?>
<ds:datastoreItem xmlns:ds="http://schemas.openxmlformats.org/officeDocument/2006/customXml" ds:itemID="{821003BF-19B7-4107-98A8-80AAF970BD98}">
  <ds:schemaRefs>
    <ds:schemaRef ds:uri="http://schemas.openxmlformats.org/officeDocument/2006/bibliography"/>
  </ds:schemaRefs>
</ds:datastoreItem>
</file>

<file path=customXml/itemProps2.xml><?xml version="1.0" encoding="utf-8"?>
<ds:datastoreItem xmlns:ds="http://schemas.openxmlformats.org/officeDocument/2006/customXml" ds:itemID="{5CA4A4C5-54AF-4604-9925-3D577EA5FC6C}">
  <ds:schemaRefs/>
</ds:datastoreItem>
</file>

<file path=customXml/itemProps3.xml><?xml version="1.0" encoding="utf-8"?>
<ds:datastoreItem xmlns:ds="http://schemas.openxmlformats.org/officeDocument/2006/customXml" ds:itemID="{EF1FBFD9-254B-4211-BDD1-9E9C244D9C81}">
  <ds:schemaRefs>
    <ds:schemaRef ds:uri="http://schemas.microsoft.com/sharepoint/v3/contenttype/forms"/>
  </ds:schemaRefs>
</ds:datastoreItem>
</file>

<file path=customXml/itemProps4.xml><?xml version="1.0" encoding="utf-8"?>
<ds:datastoreItem xmlns:ds="http://schemas.openxmlformats.org/officeDocument/2006/customXml" ds:itemID="{7FA0F528-FB12-4510-8A1A-0CEC2D876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7ea962-132b-493e-bfa2-5110a4092c56"/>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FA645C-8A00-4FCA-8084-5937DC531C9F}">
  <ds:schemaRefs>
    <ds:schemaRef ds:uri="http://schemas.microsoft.com/office/2006/metadata/properties"/>
    <ds:schemaRef ds:uri="http://schemas.microsoft.com/office/infopath/2007/PartnerControls"/>
    <ds:schemaRef ds:uri="a17ea962-132b-493e-bfa2-5110a4092c56"/>
    <ds:schemaRef ds:uri="5067c814-4b34-462c-a21d-c185ff6548d2"/>
  </ds:schemaRefs>
</ds:datastoreItem>
</file>

<file path=docMetadata/LabelInfo.xml><?xml version="1.0" encoding="utf-8"?>
<clbl:labelList xmlns:clbl="http://schemas.microsoft.com/office/2020/mipLabelMetadata">
  <clbl:label id="{22fbb032-08bf-4f1e-af46-2528cd3f96ca}" enabled="1" method="Privileged" siteId="{adf10e2b-b6e9-41d6-be2f-c12bb566019c}" contentBits="0" removed="0"/>
  <clbl:label id="{7340d318-f867-4a4c-9861-eaaff4d93030}" enabled="1" method="Privileged" siteId="{adf10e2b-b6e9-41d6-be2f-c12bb566019c}" contentBits="0" removed="0"/>
</clbl:labelList>
</file>

<file path=docProps/app.xml><?xml version="1.0" encoding="utf-8"?>
<Properties xmlns="http://schemas.openxmlformats.org/officeDocument/2006/extended-properties" xmlns:vt="http://schemas.openxmlformats.org/officeDocument/2006/docPropsVTypes">
  <Template>Normal</Template>
  <TotalTime>462</TotalTime>
  <Pages>35</Pages>
  <Words>16209</Words>
  <Characters>92397</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DNV Report Template ES NE English</vt:lpstr>
    </vt:vector>
  </TitlesOfParts>
  <Company/>
  <LinksUpToDate>false</LinksUpToDate>
  <CharactersWithSpaces>108390</CharactersWithSpaces>
  <SharedDoc>false</SharedDoc>
  <HLinks>
    <vt:vector size="324" baseType="variant">
      <vt:variant>
        <vt:i4>6094894</vt:i4>
      </vt:variant>
      <vt:variant>
        <vt:i4>336</vt:i4>
      </vt:variant>
      <vt:variant>
        <vt:i4>0</vt:i4>
      </vt:variant>
      <vt:variant>
        <vt:i4>5</vt:i4>
      </vt:variant>
      <vt:variant>
        <vt:lpwstr>https://forms.office.com/pages/responsepage.aspx?id=Kw7xrem21kG-L8ErtWYBnCpZq_Z6knpLvoKrvIMfeaFUOVlOVUNCSzdNUzdLOVU4SU5XQ09WMUUxOCQlQCN0PWcu&amp;route=shorturl</vt:lpwstr>
      </vt:variant>
      <vt:variant>
        <vt:lpwstr/>
      </vt:variant>
      <vt:variant>
        <vt:i4>6553653</vt:i4>
      </vt:variant>
      <vt:variant>
        <vt:i4>321</vt:i4>
      </vt:variant>
      <vt:variant>
        <vt:i4>0</vt:i4>
      </vt:variant>
      <vt:variant>
        <vt:i4>5</vt:i4>
      </vt:variant>
      <vt:variant>
        <vt:lpwstr>https://mindfuldecommissioning.dnv.com/</vt:lpwstr>
      </vt:variant>
      <vt:variant>
        <vt:lpwstr/>
      </vt:variant>
      <vt:variant>
        <vt:i4>720988</vt:i4>
      </vt:variant>
      <vt:variant>
        <vt:i4>300</vt:i4>
      </vt:variant>
      <vt:variant>
        <vt:i4>0</vt:i4>
      </vt:variant>
      <vt:variant>
        <vt:i4>5</vt:i4>
      </vt:variant>
      <vt:variant>
        <vt:lpwstr>https://mindfuldecommissioning.dnv.com/workshops.html</vt:lpwstr>
      </vt:variant>
      <vt:variant>
        <vt:lpwstr/>
      </vt:variant>
      <vt:variant>
        <vt:i4>2359333</vt:i4>
      </vt:variant>
      <vt:variant>
        <vt:i4>297</vt:i4>
      </vt:variant>
      <vt:variant>
        <vt:i4>0</vt:i4>
      </vt:variant>
      <vt:variant>
        <vt:i4>5</vt:i4>
      </vt:variant>
      <vt:variant>
        <vt:lpwstr>https://zoom.us/rec/share/trpjVuT9Z41vHwX-Mb9dGsD-JXvprcm3ZGv2gqhKQ0btBlK717nK613iK8nd8TUh.-9sVp8lC-fdAdR2L?startTime=1759968153000</vt:lpwstr>
      </vt:variant>
      <vt:variant>
        <vt:lpwstr/>
      </vt:variant>
      <vt:variant>
        <vt:i4>58</vt:i4>
      </vt:variant>
      <vt:variant>
        <vt:i4>294</vt:i4>
      </vt:variant>
      <vt:variant>
        <vt:i4>0</vt:i4>
      </vt:variant>
      <vt:variant>
        <vt:i4>5</vt:i4>
      </vt:variant>
      <vt:variant>
        <vt:lpwstr>https://mindfuldecommissioning.dnv.com/documents/Gas Decommsissioning Webinar Slides_10.8.25.pdf</vt:lpwstr>
      </vt:variant>
      <vt:variant>
        <vt:lpwstr/>
      </vt:variant>
      <vt:variant>
        <vt:i4>720988</vt:i4>
      </vt:variant>
      <vt:variant>
        <vt:i4>291</vt:i4>
      </vt:variant>
      <vt:variant>
        <vt:i4>0</vt:i4>
      </vt:variant>
      <vt:variant>
        <vt:i4>5</vt:i4>
      </vt:variant>
      <vt:variant>
        <vt:lpwstr>https://mindfuldecommissioning.dnv.com/workshops.html</vt:lpwstr>
      </vt:variant>
      <vt:variant>
        <vt:lpwstr/>
      </vt:variant>
      <vt:variant>
        <vt:i4>3604604</vt:i4>
      </vt:variant>
      <vt:variant>
        <vt:i4>288</vt:i4>
      </vt:variant>
      <vt:variant>
        <vt:i4>0</vt:i4>
      </vt:variant>
      <vt:variant>
        <vt:i4>5</vt:i4>
      </vt:variant>
      <vt:variant>
        <vt:lpwstr>https://mindfuldecommissioning.dnv.com/documents/DNV Mindful Gas Decommissioning_Workshop2 Summary_UPDATED.pdf</vt:lpwstr>
      </vt:variant>
      <vt:variant>
        <vt:lpwstr/>
      </vt:variant>
      <vt:variant>
        <vt:i4>3211286</vt:i4>
      </vt:variant>
      <vt:variant>
        <vt:i4>285</vt:i4>
      </vt:variant>
      <vt:variant>
        <vt:i4>0</vt:i4>
      </vt:variant>
      <vt:variant>
        <vt:i4>5</vt:i4>
      </vt:variant>
      <vt:variant>
        <vt:lpwstr>https://mindfuldecommissioning.dnv.com/documents/large_files/Mindful Gas Decommissioning Community Workshop 2 Recording.mp4</vt:lpwstr>
      </vt:variant>
      <vt:variant>
        <vt:lpwstr/>
      </vt:variant>
      <vt:variant>
        <vt:i4>7077985</vt:i4>
      </vt:variant>
      <vt:variant>
        <vt:i4>282</vt:i4>
      </vt:variant>
      <vt:variant>
        <vt:i4>0</vt:i4>
      </vt:variant>
      <vt:variant>
        <vt:i4>5</vt:i4>
      </vt:variant>
      <vt:variant>
        <vt:lpwstr>https://mindfuldecommissioning.dnv.com/documents/FINAL_ Workshop 2_Presentation_10.2.24_SPA.pdf</vt:lpwstr>
      </vt:variant>
      <vt:variant>
        <vt:lpwstr/>
      </vt:variant>
      <vt:variant>
        <vt:i4>4391027</vt:i4>
      </vt:variant>
      <vt:variant>
        <vt:i4>279</vt:i4>
      </vt:variant>
      <vt:variant>
        <vt:i4>0</vt:i4>
      </vt:variant>
      <vt:variant>
        <vt:i4>5</vt:i4>
      </vt:variant>
      <vt:variant>
        <vt:lpwstr>https://mindfuldecommissioning.dnv.com/documents/FINAL_ Workshop 2_Presentation_10.2.24.pdf</vt:lpwstr>
      </vt:variant>
      <vt:variant>
        <vt:lpwstr/>
      </vt:variant>
      <vt:variant>
        <vt:i4>720988</vt:i4>
      </vt:variant>
      <vt:variant>
        <vt:i4>276</vt:i4>
      </vt:variant>
      <vt:variant>
        <vt:i4>0</vt:i4>
      </vt:variant>
      <vt:variant>
        <vt:i4>5</vt:i4>
      </vt:variant>
      <vt:variant>
        <vt:lpwstr>https://mindfuldecommissioning.dnv.com/workshops.html</vt:lpwstr>
      </vt:variant>
      <vt:variant>
        <vt:lpwstr/>
      </vt:variant>
      <vt:variant>
        <vt:i4>1900659</vt:i4>
      </vt:variant>
      <vt:variant>
        <vt:i4>273</vt:i4>
      </vt:variant>
      <vt:variant>
        <vt:i4>0</vt:i4>
      </vt:variant>
      <vt:variant>
        <vt:i4>5</vt:i4>
      </vt:variant>
      <vt:variant>
        <vt:lpwstr>https://mindfuldecommissioning.dnv.com/documents/CEC-Mindful-Decommissioning_Meeting-Summary.pdf</vt:lpwstr>
      </vt:variant>
      <vt:variant>
        <vt:lpwstr/>
      </vt:variant>
      <vt:variant>
        <vt:i4>3407950</vt:i4>
      </vt:variant>
      <vt:variant>
        <vt:i4>270</vt:i4>
      </vt:variant>
      <vt:variant>
        <vt:i4>0</vt:i4>
      </vt:variant>
      <vt:variant>
        <vt:i4>5</vt:i4>
      </vt:variant>
      <vt:variant>
        <vt:lpwstr>https://kearnswest.zoom.us/rec/play/MqQd8s2HQ2YLwzF8zUYTmr7aejFtSVMD9YlCsssdu7YV33pyrGYnpgKehf6U6zdqD7GUEjojloPUAQ7O.L_rpHp-mY6nwfXmr?canPlayFromShare=true&amp;from=share_recording_detail&amp;startTime=1698712542000&amp;componentName=rec-play&amp;originRequestUrl=https%3A%2F%2Fkearnswest.zoom.us%2Frec%2Fshare%2Fzy-qK9ezV1UpNBuPLMnV15Lg4qcCxNWloPbmRsd6LKfn-6Ciln1H7_BOuD6iNA1R.LtA2ox4J60smzKHE%3FstartTime%3D1698712542000</vt:lpwstr>
      </vt:variant>
      <vt:variant>
        <vt:lpwstr/>
      </vt:variant>
      <vt:variant>
        <vt:i4>327763</vt:i4>
      </vt:variant>
      <vt:variant>
        <vt:i4>267</vt:i4>
      </vt:variant>
      <vt:variant>
        <vt:i4>0</vt:i4>
      </vt:variant>
      <vt:variant>
        <vt:i4>5</vt:i4>
      </vt:variant>
      <vt:variant>
        <vt:lpwstr>https://mindfuldecommissioning.dnv.com/documents/Mindful-Decommissioning-Workshop-PPT.pdf</vt:lpwstr>
      </vt:variant>
      <vt:variant>
        <vt:lpwstr/>
      </vt:variant>
      <vt:variant>
        <vt:i4>720988</vt:i4>
      </vt:variant>
      <vt:variant>
        <vt:i4>264</vt:i4>
      </vt:variant>
      <vt:variant>
        <vt:i4>0</vt:i4>
      </vt:variant>
      <vt:variant>
        <vt:i4>5</vt:i4>
      </vt:variant>
      <vt:variant>
        <vt:lpwstr>https://mindfuldecommissioning.dnv.com/workshops.html</vt:lpwstr>
      </vt:variant>
      <vt:variant>
        <vt:lpwstr/>
      </vt:variant>
      <vt:variant>
        <vt:i4>1966129</vt:i4>
      </vt:variant>
      <vt:variant>
        <vt:i4>185</vt:i4>
      </vt:variant>
      <vt:variant>
        <vt:i4>0</vt:i4>
      </vt:variant>
      <vt:variant>
        <vt:i4>5</vt:i4>
      </vt:variant>
      <vt:variant>
        <vt:lpwstr/>
      </vt:variant>
      <vt:variant>
        <vt:lpwstr>_Toc214438441</vt:lpwstr>
      </vt:variant>
      <vt:variant>
        <vt:i4>1966129</vt:i4>
      </vt:variant>
      <vt:variant>
        <vt:i4>179</vt:i4>
      </vt:variant>
      <vt:variant>
        <vt:i4>0</vt:i4>
      </vt:variant>
      <vt:variant>
        <vt:i4>5</vt:i4>
      </vt:variant>
      <vt:variant>
        <vt:lpwstr/>
      </vt:variant>
      <vt:variant>
        <vt:lpwstr>_Toc214438440</vt:lpwstr>
      </vt:variant>
      <vt:variant>
        <vt:i4>1638449</vt:i4>
      </vt:variant>
      <vt:variant>
        <vt:i4>173</vt:i4>
      </vt:variant>
      <vt:variant>
        <vt:i4>0</vt:i4>
      </vt:variant>
      <vt:variant>
        <vt:i4>5</vt:i4>
      </vt:variant>
      <vt:variant>
        <vt:lpwstr/>
      </vt:variant>
      <vt:variant>
        <vt:lpwstr>_Toc214438439</vt:lpwstr>
      </vt:variant>
      <vt:variant>
        <vt:i4>1638449</vt:i4>
      </vt:variant>
      <vt:variant>
        <vt:i4>167</vt:i4>
      </vt:variant>
      <vt:variant>
        <vt:i4>0</vt:i4>
      </vt:variant>
      <vt:variant>
        <vt:i4>5</vt:i4>
      </vt:variant>
      <vt:variant>
        <vt:lpwstr/>
      </vt:variant>
      <vt:variant>
        <vt:lpwstr>_Toc214438438</vt:lpwstr>
      </vt:variant>
      <vt:variant>
        <vt:i4>1638449</vt:i4>
      </vt:variant>
      <vt:variant>
        <vt:i4>161</vt:i4>
      </vt:variant>
      <vt:variant>
        <vt:i4>0</vt:i4>
      </vt:variant>
      <vt:variant>
        <vt:i4>5</vt:i4>
      </vt:variant>
      <vt:variant>
        <vt:lpwstr/>
      </vt:variant>
      <vt:variant>
        <vt:lpwstr>_Toc214438437</vt:lpwstr>
      </vt:variant>
      <vt:variant>
        <vt:i4>1638449</vt:i4>
      </vt:variant>
      <vt:variant>
        <vt:i4>152</vt:i4>
      </vt:variant>
      <vt:variant>
        <vt:i4>0</vt:i4>
      </vt:variant>
      <vt:variant>
        <vt:i4>5</vt:i4>
      </vt:variant>
      <vt:variant>
        <vt:lpwstr/>
      </vt:variant>
      <vt:variant>
        <vt:lpwstr>_Toc214438436</vt:lpwstr>
      </vt:variant>
      <vt:variant>
        <vt:i4>1638449</vt:i4>
      </vt:variant>
      <vt:variant>
        <vt:i4>146</vt:i4>
      </vt:variant>
      <vt:variant>
        <vt:i4>0</vt:i4>
      </vt:variant>
      <vt:variant>
        <vt:i4>5</vt:i4>
      </vt:variant>
      <vt:variant>
        <vt:lpwstr/>
      </vt:variant>
      <vt:variant>
        <vt:lpwstr>_Toc214438435</vt:lpwstr>
      </vt:variant>
      <vt:variant>
        <vt:i4>1638449</vt:i4>
      </vt:variant>
      <vt:variant>
        <vt:i4>140</vt:i4>
      </vt:variant>
      <vt:variant>
        <vt:i4>0</vt:i4>
      </vt:variant>
      <vt:variant>
        <vt:i4>5</vt:i4>
      </vt:variant>
      <vt:variant>
        <vt:lpwstr/>
      </vt:variant>
      <vt:variant>
        <vt:lpwstr>_Toc214438434</vt:lpwstr>
      </vt:variant>
      <vt:variant>
        <vt:i4>1638449</vt:i4>
      </vt:variant>
      <vt:variant>
        <vt:i4>134</vt:i4>
      </vt:variant>
      <vt:variant>
        <vt:i4>0</vt:i4>
      </vt:variant>
      <vt:variant>
        <vt:i4>5</vt:i4>
      </vt:variant>
      <vt:variant>
        <vt:lpwstr/>
      </vt:variant>
      <vt:variant>
        <vt:lpwstr>_Toc214438433</vt:lpwstr>
      </vt:variant>
      <vt:variant>
        <vt:i4>1638449</vt:i4>
      </vt:variant>
      <vt:variant>
        <vt:i4>128</vt:i4>
      </vt:variant>
      <vt:variant>
        <vt:i4>0</vt:i4>
      </vt:variant>
      <vt:variant>
        <vt:i4>5</vt:i4>
      </vt:variant>
      <vt:variant>
        <vt:lpwstr/>
      </vt:variant>
      <vt:variant>
        <vt:lpwstr>_Toc214438432</vt:lpwstr>
      </vt:variant>
      <vt:variant>
        <vt:i4>1638449</vt:i4>
      </vt:variant>
      <vt:variant>
        <vt:i4>122</vt:i4>
      </vt:variant>
      <vt:variant>
        <vt:i4>0</vt:i4>
      </vt:variant>
      <vt:variant>
        <vt:i4>5</vt:i4>
      </vt:variant>
      <vt:variant>
        <vt:lpwstr/>
      </vt:variant>
      <vt:variant>
        <vt:lpwstr>_Toc214438431</vt:lpwstr>
      </vt:variant>
      <vt:variant>
        <vt:i4>1638449</vt:i4>
      </vt:variant>
      <vt:variant>
        <vt:i4>116</vt:i4>
      </vt:variant>
      <vt:variant>
        <vt:i4>0</vt:i4>
      </vt:variant>
      <vt:variant>
        <vt:i4>5</vt:i4>
      </vt:variant>
      <vt:variant>
        <vt:lpwstr/>
      </vt:variant>
      <vt:variant>
        <vt:lpwstr>_Toc214438430</vt:lpwstr>
      </vt:variant>
      <vt:variant>
        <vt:i4>1572913</vt:i4>
      </vt:variant>
      <vt:variant>
        <vt:i4>110</vt:i4>
      </vt:variant>
      <vt:variant>
        <vt:i4>0</vt:i4>
      </vt:variant>
      <vt:variant>
        <vt:i4>5</vt:i4>
      </vt:variant>
      <vt:variant>
        <vt:lpwstr/>
      </vt:variant>
      <vt:variant>
        <vt:lpwstr>_Toc214438429</vt:lpwstr>
      </vt:variant>
      <vt:variant>
        <vt:i4>1572913</vt:i4>
      </vt:variant>
      <vt:variant>
        <vt:i4>104</vt:i4>
      </vt:variant>
      <vt:variant>
        <vt:i4>0</vt:i4>
      </vt:variant>
      <vt:variant>
        <vt:i4>5</vt:i4>
      </vt:variant>
      <vt:variant>
        <vt:lpwstr/>
      </vt:variant>
      <vt:variant>
        <vt:lpwstr>_Toc214438428</vt:lpwstr>
      </vt:variant>
      <vt:variant>
        <vt:i4>1572913</vt:i4>
      </vt:variant>
      <vt:variant>
        <vt:i4>98</vt:i4>
      </vt:variant>
      <vt:variant>
        <vt:i4>0</vt:i4>
      </vt:variant>
      <vt:variant>
        <vt:i4>5</vt:i4>
      </vt:variant>
      <vt:variant>
        <vt:lpwstr/>
      </vt:variant>
      <vt:variant>
        <vt:lpwstr>_Toc214438427</vt:lpwstr>
      </vt:variant>
      <vt:variant>
        <vt:i4>1572913</vt:i4>
      </vt:variant>
      <vt:variant>
        <vt:i4>92</vt:i4>
      </vt:variant>
      <vt:variant>
        <vt:i4>0</vt:i4>
      </vt:variant>
      <vt:variant>
        <vt:i4>5</vt:i4>
      </vt:variant>
      <vt:variant>
        <vt:lpwstr/>
      </vt:variant>
      <vt:variant>
        <vt:lpwstr>_Toc214438426</vt:lpwstr>
      </vt:variant>
      <vt:variant>
        <vt:i4>1572913</vt:i4>
      </vt:variant>
      <vt:variant>
        <vt:i4>86</vt:i4>
      </vt:variant>
      <vt:variant>
        <vt:i4>0</vt:i4>
      </vt:variant>
      <vt:variant>
        <vt:i4>5</vt:i4>
      </vt:variant>
      <vt:variant>
        <vt:lpwstr/>
      </vt:variant>
      <vt:variant>
        <vt:lpwstr>_Toc214438425</vt:lpwstr>
      </vt:variant>
      <vt:variant>
        <vt:i4>1572913</vt:i4>
      </vt:variant>
      <vt:variant>
        <vt:i4>80</vt:i4>
      </vt:variant>
      <vt:variant>
        <vt:i4>0</vt:i4>
      </vt:variant>
      <vt:variant>
        <vt:i4>5</vt:i4>
      </vt:variant>
      <vt:variant>
        <vt:lpwstr/>
      </vt:variant>
      <vt:variant>
        <vt:lpwstr>_Toc214438424</vt:lpwstr>
      </vt:variant>
      <vt:variant>
        <vt:i4>1572913</vt:i4>
      </vt:variant>
      <vt:variant>
        <vt:i4>74</vt:i4>
      </vt:variant>
      <vt:variant>
        <vt:i4>0</vt:i4>
      </vt:variant>
      <vt:variant>
        <vt:i4>5</vt:i4>
      </vt:variant>
      <vt:variant>
        <vt:lpwstr/>
      </vt:variant>
      <vt:variant>
        <vt:lpwstr>_Toc214438423</vt:lpwstr>
      </vt:variant>
      <vt:variant>
        <vt:i4>1572913</vt:i4>
      </vt:variant>
      <vt:variant>
        <vt:i4>68</vt:i4>
      </vt:variant>
      <vt:variant>
        <vt:i4>0</vt:i4>
      </vt:variant>
      <vt:variant>
        <vt:i4>5</vt:i4>
      </vt:variant>
      <vt:variant>
        <vt:lpwstr/>
      </vt:variant>
      <vt:variant>
        <vt:lpwstr>_Toc214438422</vt:lpwstr>
      </vt:variant>
      <vt:variant>
        <vt:i4>1572913</vt:i4>
      </vt:variant>
      <vt:variant>
        <vt:i4>62</vt:i4>
      </vt:variant>
      <vt:variant>
        <vt:i4>0</vt:i4>
      </vt:variant>
      <vt:variant>
        <vt:i4>5</vt:i4>
      </vt:variant>
      <vt:variant>
        <vt:lpwstr/>
      </vt:variant>
      <vt:variant>
        <vt:lpwstr>_Toc214438421</vt:lpwstr>
      </vt:variant>
      <vt:variant>
        <vt:i4>1572913</vt:i4>
      </vt:variant>
      <vt:variant>
        <vt:i4>56</vt:i4>
      </vt:variant>
      <vt:variant>
        <vt:i4>0</vt:i4>
      </vt:variant>
      <vt:variant>
        <vt:i4>5</vt:i4>
      </vt:variant>
      <vt:variant>
        <vt:lpwstr/>
      </vt:variant>
      <vt:variant>
        <vt:lpwstr>_Toc214438420</vt:lpwstr>
      </vt:variant>
      <vt:variant>
        <vt:i4>1769521</vt:i4>
      </vt:variant>
      <vt:variant>
        <vt:i4>50</vt:i4>
      </vt:variant>
      <vt:variant>
        <vt:i4>0</vt:i4>
      </vt:variant>
      <vt:variant>
        <vt:i4>5</vt:i4>
      </vt:variant>
      <vt:variant>
        <vt:lpwstr/>
      </vt:variant>
      <vt:variant>
        <vt:lpwstr>_Toc214438419</vt:lpwstr>
      </vt:variant>
      <vt:variant>
        <vt:i4>1769521</vt:i4>
      </vt:variant>
      <vt:variant>
        <vt:i4>44</vt:i4>
      </vt:variant>
      <vt:variant>
        <vt:i4>0</vt:i4>
      </vt:variant>
      <vt:variant>
        <vt:i4>5</vt:i4>
      </vt:variant>
      <vt:variant>
        <vt:lpwstr/>
      </vt:variant>
      <vt:variant>
        <vt:lpwstr>_Toc214438418</vt:lpwstr>
      </vt:variant>
      <vt:variant>
        <vt:i4>1769521</vt:i4>
      </vt:variant>
      <vt:variant>
        <vt:i4>38</vt:i4>
      </vt:variant>
      <vt:variant>
        <vt:i4>0</vt:i4>
      </vt:variant>
      <vt:variant>
        <vt:i4>5</vt:i4>
      </vt:variant>
      <vt:variant>
        <vt:lpwstr/>
      </vt:variant>
      <vt:variant>
        <vt:lpwstr>_Toc214438417</vt:lpwstr>
      </vt:variant>
      <vt:variant>
        <vt:i4>1769521</vt:i4>
      </vt:variant>
      <vt:variant>
        <vt:i4>32</vt:i4>
      </vt:variant>
      <vt:variant>
        <vt:i4>0</vt:i4>
      </vt:variant>
      <vt:variant>
        <vt:i4>5</vt:i4>
      </vt:variant>
      <vt:variant>
        <vt:lpwstr/>
      </vt:variant>
      <vt:variant>
        <vt:lpwstr>_Toc214438416</vt:lpwstr>
      </vt:variant>
      <vt:variant>
        <vt:i4>1769521</vt:i4>
      </vt:variant>
      <vt:variant>
        <vt:i4>26</vt:i4>
      </vt:variant>
      <vt:variant>
        <vt:i4>0</vt:i4>
      </vt:variant>
      <vt:variant>
        <vt:i4>5</vt:i4>
      </vt:variant>
      <vt:variant>
        <vt:lpwstr/>
      </vt:variant>
      <vt:variant>
        <vt:lpwstr>_Toc214438415</vt:lpwstr>
      </vt:variant>
      <vt:variant>
        <vt:i4>1769521</vt:i4>
      </vt:variant>
      <vt:variant>
        <vt:i4>20</vt:i4>
      </vt:variant>
      <vt:variant>
        <vt:i4>0</vt:i4>
      </vt:variant>
      <vt:variant>
        <vt:i4>5</vt:i4>
      </vt:variant>
      <vt:variant>
        <vt:lpwstr/>
      </vt:variant>
      <vt:variant>
        <vt:lpwstr>_Toc214438414</vt:lpwstr>
      </vt:variant>
      <vt:variant>
        <vt:i4>1769521</vt:i4>
      </vt:variant>
      <vt:variant>
        <vt:i4>14</vt:i4>
      </vt:variant>
      <vt:variant>
        <vt:i4>0</vt:i4>
      </vt:variant>
      <vt:variant>
        <vt:i4>5</vt:i4>
      </vt:variant>
      <vt:variant>
        <vt:lpwstr/>
      </vt:variant>
      <vt:variant>
        <vt:lpwstr>_Toc214438413</vt:lpwstr>
      </vt:variant>
      <vt:variant>
        <vt:i4>1769521</vt:i4>
      </vt:variant>
      <vt:variant>
        <vt:i4>8</vt:i4>
      </vt:variant>
      <vt:variant>
        <vt:i4>0</vt:i4>
      </vt:variant>
      <vt:variant>
        <vt:i4>5</vt:i4>
      </vt:variant>
      <vt:variant>
        <vt:lpwstr/>
      </vt:variant>
      <vt:variant>
        <vt:lpwstr>_Toc214438412</vt:lpwstr>
      </vt:variant>
      <vt:variant>
        <vt:i4>1769521</vt:i4>
      </vt:variant>
      <vt:variant>
        <vt:i4>2</vt:i4>
      </vt:variant>
      <vt:variant>
        <vt:i4>0</vt:i4>
      </vt:variant>
      <vt:variant>
        <vt:i4>5</vt:i4>
      </vt:variant>
      <vt:variant>
        <vt:lpwstr/>
      </vt:variant>
      <vt:variant>
        <vt:lpwstr>_Toc214438411</vt:lpwstr>
      </vt:variant>
      <vt:variant>
        <vt:i4>3276841</vt:i4>
      </vt:variant>
      <vt:variant>
        <vt:i4>15</vt:i4>
      </vt:variant>
      <vt:variant>
        <vt:i4>0</vt:i4>
      </vt:variant>
      <vt:variant>
        <vt:i4>5</vt:i4>
      </vt:variant>
      <vt:variant>
        <vt:lpwstr>https://dnvnam.sharepoint.com/:f:/r/teams/CECMindfulDecommissioningCommunityWorkshops/Shared Documents/Case Studies Collaboration/Case Study Materials Packet?csf=1&amp;web=1&amp;e=JRglIK</vt:lpwstr>
      </vt:variant>
      <vt:variant>
        <vt:lpwstr/>
      </vt:variant>
      <vt:variant>
        <vt:i4>3473446</vt:i4>
      </vt:variant>
      <vt:variant>
        <vt:i4>12</vt:i4>
      </vt:variant>
      <vt:variant>
        <vt:i4>0</vt:i4>
      </vt:variant>
      <vt:variant>
        <vt:i4>5</vt:i4>
      </vt:variant>
      <vt:variant>
        <vt:lpwstr>https://dnvnam.sharepoint.com/:w:/r/teams/CECMindfulDecommissioningCommunityWorkshops/Shared Documents/Case Studies Collaboration/Templates/Community Feedback Request form (example).docx?d=w2962bdbb1d424a6a90414f1b170a2d0d&amp;csf=1&amp;web=1&amp;e=N92z2h</vt:lpwstr>
      </vt:variant>
      <vt:variant>
        <vt:lpwstr/>
      </vt:variant>
      <vt:variant>
        <vt:i4>5570565</vt:i4>
      </vt:variant>
      <vt:variant>
        <vt:i4>9</vt:i4>
      </vt:variant>
      <vt:variant>
        <vt:i4>0</vt:i4>
      </vt:variant>
      <vt:variant>
        <vt:i4>5</vt:i4>
      </vt:variant>
      <vt:variant>
        <vt:lpwstr>https://nap.nationalacademies.org/catalog/27317/constructing-valid-geospatial-tools-for-environmental-justice</vt:lpwstr>
      </vt:variant>
      <vt:variant>
        <vt:lpwstr/>
      </vt:variant>
      <vt:variant>
        <vt:i4>6553653</vt:i4>
      </vt:variant>
      <vt:variant>
        <vt:i4>6</vt:i4>
      </vt:variant>
      <vt:variant>
        <vt:i4>0</vt:i4>
      </vt:variant>
      <vt:variant>
        <vt:i4>5</vt:i4>
      </vt:variant>
      <vt:variant>
        <vt:lpwstr>https://mindfuldecommissioning.dnv.com/</vt:lpwstr>
      </vt:variant>
      <vt:variant>
        <vt:lpwstr/>
      </vt:variant>
      <vt:variant>
        <vt:i4>5636161</vt:i4>
      </vt:variant>
      <vt:variant>
        <vt:i4>3</vt:i4>
      </vt:variant>
      <vt:variant>
        <vt:i4>0</vt:i4>
      </vt:variant>
      <vt:variant>
        <vt:i4>5</vt:i4>
      </vt:variant>
      <vt:variant>
        <vt:lpwstr>https://dnvnam.sharepoint.com/:b:/r/teams/CECMindfulDecommissioningCommunityWorkshops/Shared Documents/General/03. Outreach/Slides/CEC Mindful Decommissioning Overview.pdf?csf=1&amp;web=1&amp;e=n59O4R</vt:lpwstr>
      </vt:variant>
      <vt:variant>
        <vt:lpwstr/>
      </vt:variant>
      <vt:variant>
        <vt:i4>7602263</vt:i4>
      </vt:variant>
      <vt:variant>
        <vt:i4>0</vt:i4>
      </vt:variant>
      <vt:variant>
        <vt:i4>0</vt:i4>
      </vt:variant>
      <vt:variant>
        <vt:i4>5</vt:i4>
      </vt:variant>
      <vt:variant>
        <vt:lpwstr>https://leginfo.legislature.ca.gov/faces/billNavClient.xhtml?bill_id=202320240SB1221</vt:lpwstr>
      </vt:variant>
      <vt:variant>
        <vt:lpwstr/>
      </vt:variant>
      <vt:variant>
        <vt:i4>8257560</vt:i4>
      </vt:variant>
      <vt:variant>
        <vt:i4>3</vt:i4>
      </vt:variant>
      <vt:variant>
        <vt:i4>0</vt:i4>
      </vt:variant>
      <vt:variant>
        <vt:i4>5</vt:i4>
      </vt:variant>
      <vt:variant>
        <vt:lpwstr>mailto:Jacob.Moul@dnv.com</vt:lpwstr>
      </vt:variant>
      <vt:variant>
        <vt:lpwstr/>
      </vt:variant>
      <vt:variant>
        <vt:i4>6946844</vt:i4>
      </vt:variant>
      <vt:variant>
        <vt:i4>0</vt:i4>
      </vt:variant>
      <vt:variant>
        <vt:i4>0</vt:i4>
      </vt:variant>
      <vt:variant>
        <vt:i4>5</vt:i4>
      </vt:variant>
      <vt:variant>
        <vt:lpwstr>mailto:Lorre.Rosen@dnv.com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DNV Report Template ES NE English</dc:title>
  <dc:subject/>
  <dc:creator>Ree, Monique van</dc:creator>
  <cp:keywords/>
  <cp:lastModifiedBy>Schmidt-Poolman, Martine@Energy</cp:lastModifiedBy>
  <cp:revision>240</cp:revision>
  <dcterms:created xsi:type="dcterms:W3CDTF">2025-11-06T16:48:00Z</dcterms:created>
  <dcterms:modified xsi:type="dcterms:W3CDTF">2025-12-18T18:57:00Z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 build">
    <vt:lpwstr>20210216 124511</vt:lpwstr>
  </property>
  <property fmtid="{D5CDD505-2E9C-101B-9397-08002B2CF9AE}" pid="3" name="TB name">
    <vt:lpwstr>COR 006</vt:lpwstr>
  </property>
  <property fmtid="{D5CDD505-2E9C-101B-9397-08002B2CF9AE}" pid="4" name="TB id">
    <vt:lpwstr>7262</vt:lpwstr>
  </property>
  <property fmtid="{D5CDD505-2E9C-101B-9397-08002B2CF9AE}" pid="5" name="TB filename">
    <vt:lpwstr>COR006.dotx</vt:lpwstr>
  </property>
  <property fmtid="{D5CDD505-2E9C-101B-9397-08002B2CF9AE}" pid="6" name="MSIP_Label_22fbb032-08bf-4f1e-af46-2528cd3f96ca_Enabled">
    <vt:lpwstr>true</vt:lpwstr>
  </property>
  <property fmtid="{D5CDD505-2E9C-101B-9397-08002B2CF9AE}" pid="7" name="MSIP_Label_22fbb032-08bf-4f1e-af46-2528cd3f96ca_SetDate">
    <vt:lpwstr>2021-04-13T07:44:50Z</vt:lpwstr>
  </property>
  <property fmtid="{D5CDD505-2E9C-101B-9397-08002B2CF9AE}" pid="8" name="MSIP_Label_22fbb032-08bf-4f1e-af46-2528cd3f96ca_Method">
    <vt:lpwstr>Privileged</vt:lpwstr>
  </property>
  <property fmtid="{D5CDD505-2E9C-101B-9397-08002B2CF9AE}" pid="9" name="MSIP_Label_22fbb032-08bf-4f1e-af46-2528cd3f96ca_Name">
    <vt:lpwstr>22fbb032-08bf-4f1e-af46-2528cd3f96ca</vt:lpwstr>
  </property>
  <property fmtid="{D5CDD505-2E9C-101B-9397-08002B2CF9AE}" pid="10" name="MSIP_Label_22fbb032-08bf-4f1e-af46-2528cd3f96ca_SiteId">
    <vt:lpwstr>adf10e2b-b6e9-41d6-be2f-c12bb566019c</vt:lpwstr>
  </property>
  <property fmtid="{D5CDD505-2E9C-101B-9397-08002B2CF9AE}" pid="11" name="MSIP_Label_22fbb032-08bf-4f1e-af46-2528cd3f96ca_ActionId">
    <vt:lpwstr>d52e2608-a863-4095-875d-2ce940aef69b</vt:lpwstr>
  </property>
  <property fmtid="{D5CDD505-2E9C-101B-9397-08002B2CF9AE}" pid="12" name="MSIP_Label_22fbb032-08bf-4f1e-af46-2528cd3f96ca_ContentBits">
    <vt:lpwstr>0</vt:lpwstr>
  </property>
  <property fmtid="{D5CDD505-2E9C-101B-9397-08002B2CF9AE}" pid="13" name="MSIP_Label_7340d318-f867-4a4c-9861-eaaff4d93030_Enabled">
    <vt:lpwstr>true</vt:lpwstr>
  </property>
  <property fmtid="{D5CDD505-2E9C-101B-9397-08002B2CF9AE}" pid="14" name="MSIP_Label_7340d318-f867-4a4c-9861-eaaff4d93030_Name">
    <vt:lpwstr>7340d318-f867-4a4c-9861-eaaff4d93030</vt:lpwstr>
  </property>
  <property fmtid="{D5CDD505-2E9C-101B-9397-08002B2CF9AE}" pid="15" name="MSIP_Label_7340d318-f867-4a4c-9861-eaaff4d93030_SetDate">
    <vt:lpwstr>2021-05-10T12:17:41Z</vt:lpwstr>
  </property>
  <property fmtid="{D5CDD505-2E9C-101B-9397-08002B2CF9AE}" pid="16" name="MSIP_Label_7340d318-f867-4a4c-9861-eaaff4d93030_SiteId">
    <vt:lpwstr>adf10e2b-b6e9-41d6-be2f-c12bb566019c</vt:lpwstr>
  </property>
  <property fmtid="{D5CDD505-2E9C-101B-9397-08002B2CF9AE}" pid="17" name="MSIP_Label_7340d318-f867-4a4c-9861-eaaff4d93030_ActionId">
    <vt:lpwstr>98576c42-fe8c-47ef-b006-6c408b1c1289</vt:lpwstr>
  </property>
  <property fmtid="{D5CDD505-2E9C-101B-9397-08002B2CF9AE}" pid="18" name="MSIP_Label_7340d318-f867-4a4c-9861-eaaff4d93030_ContentBits">
    <vt:lpwstr>0</vt:lpwstr>
  </property>
  <property fmtid="{D5CDD505-2E9C-101B-9397-08002B2CF9AE}" pid="19" name="MSIP_Label_7340d318-f867-4a4c-9861-eaaff4d93030_Method">
    <vt:lpwstr>Privileged</vt:lpwstr>
  </property>
  <property fmtid="{D5CDD505-2E9C-101B-9397-08002B2CF9AE}" pid="20" name="ContentTypeId">
    <vt:lpwstr>0x010100108811F69A18B94C9690D43217B04F68</vt:lpwstr>
  </property>
  <property fmtid="{D5CDD505-2E9C-101B-9397-08002B2CF9AE}" pid="21" name="MediaServiceImageTags">
    <vt:lpwstr/>
  </property>
  <property fmtid="{D5CDD505-2E9C-101B-9397-08002B2CF9AE}" pid="22" name="docLang">
    <vt:lpwstr>en</vt:lpwstr>
  </property>
</Properties>
</file>