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E9B18" w14:textId="77777777" w:rsidR="008A6C56" w:rsidRDefault="008A6C56">
      <w:pPr>
        <w:rPr>
          <w:b/>
          <w:bCs/>
          <w:sz w:val="36"/>
          <w:szCs w:val="36"/>
        </w:rPr>
      </w:pPr>
    </w:p>
    <w:p w14:paraId="7868A307" w14:textId="77777777" w:rsidR="008A6C56" w:rsidRDefault="008A6C56">
      <w:pPr>
        <w:rPr>
          <w:b/>
          <w:bCs/>
          <w:sz w:val="36"/>
          <w:szCs w:val="36"/>
        </w:rPr>
      </w:pPr>
    </w:p>
    <w:p w14:paraId="60DA452E" w14:textId="68980493" w:rsidR="00931800" w:rsidRPr="00955D50" w:rsidRDefault="00827B50" w:rsidP="00931800">
      <w:pPr>
        <w:rPr>
          <w:b/>
          <w:bCs/>
          <w:sz w:val="48"/>
          <w:szCs w:val="48"/>
          <w:lang w:val="en-US"/>
        </w:rPr>
      </w:pPr>
      <w:r w:rsidRPr="003115CF">
        <w:rPr>
          <w:b/>
          <w:bCs/>
          <w:sz w:val="48"/>
          <w:szCs w:val="48"/>
        </w:rPr>
        <w:t>Decommissioning Readiness Assessment</w:t>
      </w:r>
      <w:r w:rsidR="00491649" w:rsidRPr="003115CF">
        <w:rPr>
          <w:b/>
          <w:bCs/>
          <w:sz w:val="48"/>
          <w:szCs w:val="48"/>
        </w:rPr>
        <w:t xml:space="preserve"> </w:t>
      </w:r>
      <w:r w:rsidR="00931800">
        <w:rPr>
          <w:b/>
          <w:bCs/>
          <w:sz w:val="48"/>
          <w:szCs w:val="48"/>
          <w:lang w:val="en-US"/>
        </w:rPr>
        <w:t>Memorandum</w:t>
      </w:r>
    </w:p>
    <w:p w14:paraId="309CDFF6" w14:textId="77777777" w:rsidR="00931800" w:rsidRPr="00BA3142" w:rsidRDefault="00931800" w:rsidP="00931800">
      <w:pPr>
        <w:rPr>
          <w:rFonts w:asciiTheme="minorHAnsi" w:hAnsiTheme="minorHAnsi" w:cstheme="minorHAnsi"/>
          <w:sz w:val="24"/>
          <w:szCs w:val="24"/>
        </w:rPr>
      </w:pPr>
    </w:p>
    <w:p w14:paraId="0D48A993" w14:textId="77777777" w:rsidR="00931800" w:rsidRPr="00BA3142" w:rsidRDefault="00931800" w:rsidP="00931800">
      <w:pPr>
        <w:rPr>
          <w:rFonts w:asciiTheme="minorHAnsi" w:hAnsiTheme="minorHAnsi" w:cstheme="minorHAnsi"/>
          <w:sz w:val="24"/>
          <w:szCs w:val="24"/>
        </w:rPr>
      </w:pPr>
      <w:r w:rsidRPr="00BA3142">
        <w:rPr>
          <w:rFonts w:asciiTheme="minorHAnsi" w:hAnsiTheme="minorHAnsi" w:cstheme="minorHAnsi"/>
          <w:sz w:val="24"/>
          <w:szCs w:val="24"/>
        </w:rPr>
        <w:t>December 2025</w:t>
      </w:r>
    </w:p>
    <w:p w14:paraId="379E31A3" w14:textId="77777777" w:rsidR="00931800" w:rsidRPr="00BA3142" w:rsidRDefault="00931800" w:rsidP="00931800">
      <w:pPr>
        <w:rPr>
          <w:rFonts w:asciiTheme="minorHAnsi" w:hAnsiTheme="minorHAnsi" w:cstheme="minorHAnsi"/>
          <w:sz w:val="24"/>
          <w:szCs w:val="24"/>
        </w:rPr>
      </w:pPr>
    </w:p>
    <w:p w14:paraId="4AE30DC2" w14:textId="77777777" w:rsidR="00931800" w:rsidRPr="00BA3142" w:rsidRDefault="00931800" w:rsidP="00931800">
      <w:pPr>
        <w:rPr>
          <w:rFonts w:asciiTheme="minorHAnsi" w:hAnsiTheme="minorHAnsi" w:cstheme="minorHAnsi"/>
          <w:sz w:val="24"/>
          <w:szCs w:val="24"/>
        </w:rPr>
      </w:pPr>
    </w:p>
    <w:p w14:paraId="0393B9A0" w14:textId="77777777" w:rsidR="00931800" w:rsidRPr="00BA3142" w:rsidRDefault="00931800" w:rsidP="00931800">
      <w:pPr>
        <w:rPr>
          <w:rFonts w:asciiTheme="minorHAnsi" w:hAnsiTheme="minorHAnsi" w:cstheme="minorHAnsi"/>
          <w:sz w:val="24"/>
          <w:szCs w:val="24"/>
        </w:rPr>
      </w:pPr>
    </w:p>
    <w:p w14:paraId="5544E30D" w14:textId="77777777" w:rsidR="00931800" w:rsidRPr="00BA3142" w:rsidRDefault="00931800" w:rsidP="00931800">
      <w:pPr>
        <w:rPr>
          <w:rFonts w:asciiTheme="minorHAnsi" w:hAnsiTheme="minorHAnsi" w:cstheme="minorHAnsi"/>
          <w:sz w:val="24"/>
          <w:szCs w:val="24"/>
        </w:rPr>
      </w:pPr>
    </w:p>
    <w:p w14:paraId="4EC73ED7" w14:textId="77777777" w:rsidR="00931800" w:rsidRPr="00BA3142" w:rsidRDefault="00931800" w:rsidP="00931800">
      <w:pPr>
        <w:rPr>
          <w:rFonts w:asciiTheme="minorHAnsi" w:hAnsiTheme="minorHAnsi" w:cstheme="minorHAnsi"/>
          <w:sz w:val="24"/>
          <w:szCs w:val="24"/>
        </w:rPr>
      </w:pPr>
    </w:p>
    <w:p w14:paraId="4CC2A522" w14:textId="77777777" w:rsidR="00931800" w:rsidRPr="00BA3142" w:rsidRDefault="00931800" w:rsidP="00931800">
      <w:pPr>
        <w:rPr>
          <w:rFonts w:asciiTheme="minorHAnsi" w:hAnsiTheme="minorHAnsi" w:cstheme="minorHAnsi"/>
          <w:sz w:val="24"/>
          <w:szCs w:val="24"/>
        </w:rPr>
      </w:pPr>
    </w:p>
    <w:p w14:paraId="089134BA" w14:textId="5EAB4FC0" w:rsidR="00931800" w:rsidRPr="00BA3142" w:rsidRDefault="00931800" w:rsidP="00931800">
      <w:pPr>
        <w:tabs>
          <w:tab w:val="left" w:pos="2184"/>
        </w:tabs>
        <w:rPr>
          <w:rFonts w:asciiTheme="minorHAnsi" w:hAnsiTheme="minorHAnsi" w:cstheme="minorHAnsi"/>
          <w:sz w:val="24"/>
          <w:szCs w:val="24"/>
        </w:rPr>
      </w:pPr>
    </w:p>
    <w:p w14:paraId="45A0800A" w14:textId="77777777" w:rsidR="00931800" w:rsidRPr="00BA3142" w:rsidRDefault="00931800" w:rsidP="00931800">
      <w:pPr>
        <w:rPr>
          <w:rFonts w:asciiTheme="minorHAnsi" w:hAnsiTheme="minorHAnsi" w:cstheme="minorHAnsi"/>
          <w:sz w:val="24"/>
          <w:szCs w:val="24"/>
        </w:rPr>
      </w:pPr>
    </w:p>
    <w:p w14:paraId="395CC983" w14:textId="77777777" w:rsidR="00931800" w:rsidRPr="00BA3142" w:rsidRDefault="00931800" w:rsidP="00931800">
      <w:pPr>
        <w:rPr>
          <w:rFonts w:asciiTheme="minorHAnsi" w:hAnsiTheme="minorHAnsi" w:cstheme="minorHAnsi"/>
          <w:sz w:val="24"/>
          <w:szCs w:val="24"/>
        </w:rPr>
      </w:pPr>
    </w:p>
    <w:p w14:paraId="37AB842D" w14:textId="77777777" w:rsidR="00931800" w:rsidRPr="00BA3142" w:rsidRDefault="00931800" w:rsidP="00931800">
      <w:pPr>
        <w:rPr>
          <w:rFonts w:asciiTheme="minorHAnsi" w:hAnsiTheme="minorHAnsi" w:cstheme="minorHAnsi"/>
          <w:sz w:val="24"/>
          <w:szCs w:val="24"/>
        </w:rPr>
      </w:pPr>
    </w:p>
    <w:p w14:paraId="49FA872B" w14:textId="77777777" w:rsidR="00931800" w:rsidRPr="00BA3142" w:rsidRDefault="00931800" w:rsidP="00931800">
      <w:pPr>
        <w:rPr>
          <w:rFonts w:asciiTheme="minorHAnsi" w:hAnsiTheme="minorHAnsi" w:cstheme="minorHAnsi"/>
          <w:sz w:val="24"/>
          <w:szCs w:val="24"/>
        </w:rPr>
      </w:pPr>
    </w:p>
    <w:p w14:paraId="2B2047C7" w14:textId="77777777" w:rsidR="00931800" w:rsidRPr="00BA3142" w:rsidRDefault="00931800" w:rsidP="00931800">
      <w:pPr>
        <w:rPr>
          <w:rFonts w:asciiTheme="minorHAnsi" w:hAnsiTheme="minorHAnsi" w:cstheme="minorHAnsi"/>
          <w:sz w:val="24"/>
          <w:szCs w:val="24"/>
        </w:rPr>
      </w:pPr>
    </w:p>
    <w:p w14:paraId="106E57E4" w14:textId="77777777" w:rsidR="00931800" w:rsidRPr="00BA3142" w:rsidRDefault="00931800" w:rsidP="00931800">
      <w:pPr>
        <w:rPr>
          <w:rFonts w:asciiTheme="minorHAnsi" w:hAnsiTheme="minorHAnsi" w:cstheme="minorHAnsi"/>
          <w:sz w:val="24"/>
          <w:szCs w:val="24"/>
        </w:rPr>
      </w:pPr>
    </w:p>
    <w:p w14:paraId="742E7AF3" w14:textId="77777777" w:rsidR="00931800" w:rsidRPr="00BA3142" w:rsidRDefault="00931800" w:rsidP="00931800">
      <w:pPr>
        <w:rPr>
          <w:rFonts w:asciiTheme="minorHAnsi" w:hAnsiTheme="minorHAnsi" w:cstheme="minorHAnsi"/>
          <w:sz w:val="24"/>
          <w:szCs w:val="24"/>
        </w:rPr>
      </w:pPr>
    </w:p>
    <w:p w14:paraId="362FB42A" w14:textId="77777777" w:rsidR="00931800" w:rsidRPr="00955D50" w:rsidRDefault="00931800" w:rsidP="00931800">
      <w:pPr>
        <w:numPr>
          <w:ilvl w:val="0"/>
          <w:numId w:val="27"/>
        </w:numPr>
        <w:rPr>
          <w:rFonts w:asciiTheme="minorHAnsi" w:hAnsiTheme="minorHAnsi" w:cstheme="minorHAnsi"/>
          <w:sz w:val="24"/>
          <w:szCs w:val="24"/>
        </w:rPr>
      </w:pPr>
      <w:r w:rsidRPr="00955D50">
        <w:rPr>
          <w:rFonts w:asciiTheme="minorHAnsi" w:hAnsiTheme="minorHAnsi" w:cstheme="minorHAnsi"/>
          <w:sz w:val="24"/>
          <w:szCs w:val="24"/>
        </w:rPr>
        <w:t xml:space="preserve">This research is funded by the California Energy Commission (CEC) through </w:t>
      </w:r>
      <w:r>
        <w:rPr>
          <w:rFonts w:asciiTheme="minorHAnsi" w:hAnsiTheme="minorHAnsi" w:cstheme="minorHAnsi"/>
          <w:sz w:val="24"/>
          <w:szCs w:val="24"/>
        </w:rPr>
        <w:t>the</w:t>
      </w:r>
      <w:r w:rsidRPr="00955D50">
        <w:rPr>
          <w:rFonts w:asciiTheme="minorHAnsi" w:hAnsiTheme="minorHAnsi" w:cstheme="minorHAnsi"/>
          <w:sz w:val="24"/>
          <w:szCs w:val="24"/>
        </w:rPr>
        <w:t xml:space="preserve"> Gas Research and Development Program, which invests in innovations to support the gas sector transition and cost-effective achievement of the state’s clean energy and climate goals.</w:t>
      </w:r>
    </w:p>
    <w:p w14:paraId="5F1F7AB6" w14:textId="77777777" w:rsidR="00931800" w:rsidRPr="00607668" w:rsidRDefault="00931800" w:rsidP="00931800">
      <w:pPr>
        <w:numPr>
          <w:ilvl w:val="0"/>
          <w:numId w:val="27"/>
        </w:numPr>
        <w:rPr>
          <w:rFonts w:asciiTheme="minorHAnsi" w:hAnsiTheme="minorHAnsi" w:cstheme="minorHAnsi"/>
          <w:sz w:val="24"/>
          <w:szCs w:val="24"/>
        </w:rPr>
      </w:pPr>
      <w:r w:rsidRPr="00955D50">
        <w:rPr>
          <w:rFonts w:asciiTheme="minorHAnsi" w:hAnsiTheme="minorHAnsi" w:cstheme="minorHAnsi"/>
          <w:sz w:val="24"/>
          <w:szCs w:val="24"/>
        </w:rPr>
        <w:t xml:space="preserve">The research project, PIR-22-002, aims to provide state agencies, local governments, investor-owned utilities (IOUs), and other stakeholders with </w:t>
      </w:r>
      <w:r w:rsidRPr="00607668">
        <w:rPr>
          <w:rFonts w:asciiTheme="minorHAnsi" w:hAnsiTheme="minorHAnsi" w:cstheme="minorHAnsi"/>
          <w:sz w:val="24"/>
          <w:szCs w:val="24"/>
        </w:rPr>
        <w:t>a data-driven approach to screen for promising sites for decommissioning</w:t>
      </w:r>
      <w:r>
        <w:rPr>
          <w:rFonts w:asciiTheme="minorHAnsi" w:hAnsiTheme="minorHAnsi" w:cstheme="minorHAnsi"/>
          <w:sz w:val="24"/>
          <w:szCs w:val="24"/>
        </w:rPr>
        <w:t xml:space="preserve"> specific segments of California’s gas system </w:t>
      </w:r>
      <w:r w:rsidRPr="00607668">
        <w:rPr>
          <w:rFonts w:asciiTheme="minorHAnsi" w:hAnsiTheme="minorHAnsi" w:cstheme="minorHAnsi"/>
          <w:sz w:val="24"/>
          <w:szCs w:val="24"/>
        </w:rPr>
        <w:t>through a map-based tool that leverages gas system data and publicly available community data</w:t>
      </w:r>
      <w:r>
        <w:rPr>
          <w:rFonts w:asciiTheme="minorHAnsi" w:hAnsiTheme="minorHAnsi" w:cstheme="minorHAnsi"/>
          <w:sz w:val="24"/>
          <w:szCs w:val="24"/>
        </w:rPr>
        <w:t>.</w:t>
      </w:r>
    </w:p>
    <w:p w14:paraId="55B36E95" w14:textId="77777777" w:rsidR="00931800" w:rsidRPr="00955D50" w:rsidRDefault="00931800" w:rsidP="00931800">
      <w:pPr>
        <w:numPr>
          <w:ilvl w:val="0"/>
          <w:numId w:val="27"/>
        </w:numPr>
        <w:rPr>
          <w:rFonts w:asciiTheme="minorHAnsi" w:hAnsiTheme="minorHAnsi" w:cstheme="minorHAnsi"/>
          <w:sz w:val="24"/>
          <w:szCs w:val="24"/>
        </w:rPr>
      </w:pPr>
      <w:r w:rsidRPr="00955D50">
        <w:rPr>
          <w:rFonts w:asciiTheme="minorHAnsi" w:hAnsiTheme="minorHAnsi" w:cstheme="minorHAnsi"/>
          <w:sz w:val="24"/>
          <w:szCs w:val="24"/>
        </w:rPr>
        <w:t>This memo and data here within are being shared to support transparent and timely consideration of interim deliverables that are relevant for energy stakeholders and all those interested in California’s</w:t>
      </w:r>
      <w:r>
        <w:rPr>
          <w:rFonts w:asciiTheme="minorHAnsi" w:hAnsiTheme="minorHAnsi" w:cstheme="minorHAnsi"/>
          <w:sz w:val="24"/>
          <w:szCs w:val="24"/>
        </w:rPr>
        <w:t xml:space="preserve"> public interest</w:t>
      </w:r>
      <w:r w:rsidRPr="00955D50">
        <w:rPr>
          <w:rFonts w:asciiTheme="minorHAnsi" w:hAnsiTheme="minorHAnsi" w:cstheme="minorHAnsi"/>
          <w:sz w:val="24"/>
          <w:szCs w:val="24"/>
        </w:rPr>
        <w:t xml:space="preserve"> gas decommissioning research.</w:t>
      </w:r>
    </w:p>
    <w:p w14:paraId="5FA63B7E" w14:textId="77777777" w:rsidR="00931800" w:rsidRPr="00955D50" w:rsidRDefault="00931800" w:rsidP="00931800">
      <w:pPr>
        <w:rPr>
          <w:rFonts w:asciiTheme="minorHAnsi" w:hAnsiTheme="minorHAnsi" w:cstheme="minorHAnsi"/>
          <w:sz w:val="24"/>
          <w:szCs w:val="24"/>
          <w:lang w:val="en-US"/>
        </w:rPr>
      </w:pPr>
    </w:p>
    <w:p w14:paraId="07454A29" w14:textId="005DC67E" w:rsidR="00931800" w:rsidRPr="00955D50" w:rsidRDefault="00931800" w:rsidP="00931800">
      <w:pPr>
        <w:rPr>
          <w:rFonts w:asciiTheme="minorHAnsi" w:hAnsiTheme="minorHAnsi" w:cstheme="minorHAnsi"/>
          <w:sz w:val="24"/>
          <w:szCs w:val="24"/>
          <w:lang w:val="en-US"/>
        </w:rPr>
      </w:pPr>
      <w:r w:rsidRPr="00955D50">
        <w:rPr>
          <w:rFonts w:asciiTheme="minorHAnsi" w:hAnsiTheme="minorHAnsi" w:cstheme="minorHAnsi"/>
          <w:sz w:val="24"/>
          <w:szCs w:val="24"/>
          <w:lang w:val="en-US"/>
        </w:rPr>
        <w:t xml:space="preserve">This </w:t>
      </w:r>
      <w:r w:rsidR="00B061AE">
        <w:rPr>
          <w:rFonts w:asciiTheme="minorHAnsi" w:hAnsiTheme="minorHAnsi" w:cstheme="minorHAnsi"/>
          <w:sz w:val="24"/>
          <w:szCs w:val="24"/>
          <w:lang w:val="en-US"/>
        </w:rPr>
        <w:t>interim deliverable</w:t>
      </w:r>
      <w:r w:rsidRPr="00955D50">
        <w:rPr>
          <w:rFonts w:asciiTheme="minorHAnsi" w:hAnsiTheme="minorHAnsi" w:cstheme="minorHAnsi"/>
          <w:sz w:val="24"/>
          <w:szCs w:val="24"/>
          <w:lang w:val="en-US"/>
        </w:rPr>
        <w:t xml:space="preserve"> is submitted to the CEC by DNV GL USA, Inc. The </w:t>
      </w:r>
      <w:r w:rsidR="00AC1216">
        <w:rPr>
          <w:rFonts w:asciiTheme="minorHAnsi" w:hAnsiTheme="minorHAnsi" w:cstheme="minorHAnsi"/>
          <w:sz w:val="24"/>
          <w:szCs w:val="24"/>
          <w:lang w:val="en-US"/>
        </w:rPr>
        <w:t>memo</w:t>
      </w:r>
      <w:r w:rsidRPr="00955D50">
        <w:rPr>
          <w:rFonts w:asciiTheme="minorHAnsi" w:hAnsiTheme="minorHAnsi" w:cstheme="minorHAnsi"/>
          <w:sz w:val="24"/>
          <w:szCs w:val="24"/>
          <w:lang w:val="en-US"/>
        </w:rPr>
        <w:t xml:space="preserve"> meets deliverable requirements under Task </w:t>
      </w:r>
      <w:r w:rsidR="003474C1">
        <w:rPr>
          <w:rFonts w:asciiTheme="minorHAnsi" w:hAnsiTheme="minorHAnsi" w:cstheme="minorHAnsi"/>
          <w:sz w:val="24"/>
          <w:szCs w:val="24"/>
          <w:lang w:val="en-US"/>
        </w:rPr>
        <w:t>3</w:t>
      </w:r>
      <w:r w:rsidRPr="00955D50">
        <w:rPr>
          <w:rFonts w:asciiTheme="minorHAnsi" w:hAnsiTheme="minorHAnsi" w:cstheme="minorHAnsi"/>
          <w:sz w:val="24"/>
          <w:szCs w:val="24"/>
          <w:lang w:val="en-US"/>
        </w:rPr>
        <w:t xml:space="preserve"> of the California Energy Commission’s Project PIR-22-002: </w:t>
      </w:r>
      <w:r>
        <w:rPr>
          <w:rFonts w:asciiTheme="minorHAnsi" w:hAnsiTheme="minorHAnsi" w:cstheme="minorHAnsi"/>
          <w:sz w:val="24"/>
          <w:szCs w:val="24"/>
          <w:lang w:val="en-US"/>
        </w:rPr>
        <w:t xml:space="preserve">Mindful Decommissioning - </w:t>
      </w:r>
      <w:r w:rsidRPr="00955D50">
        <w:rPr>
          <w:rFonts w:asciiTheme="minorHAnsi" w:hAnsiTheme="minorHAnsi" w:cstheme="minorHAnsi"/>
          <w:sz w:val="24"/>
          <w:szCs w:val="24"/>
          <w:lang w:val="en-US"/>
        </w:rPr>
        <w:t>Development of a Data-Driven Tool to Support Strategic and Equitable Decommissioning of Gas Infrastructure.</w:t>
      </w:r>
    </w:p>
    <w:p w14:paraId="6DE6D896" w14:textId="0152E51B" w:rsidR="009D630C" w:rsidRPr="009D630C" w:rsidRDefault="009D630C" w:rsidP="0080520C">
      <w:pPr>
        <w:pStyle w:val="DNVGL-Hidden"/>
        <w:rPr>
          <w:sz w:val="2"/>
        </w:rPr>
      </w:pPr>
    </w:p>
    <w:p w14:paraId="628128A1" w14:textId="3D758774" w:rsidR="000426A6" w:rsidRDefault="000426A6">
      <w:pPr>
        <w:spacing w:after="200" w:line="276" w:lineRule="auto"/>
        <w:rPr>
          <w:color w:val="0F204B"/>
          <w:sz w:val="26"/>
        </w:rPr>
      </w:pPr>
      <w:r>
        <w:br w:type="page"/>
      </w:r>
    </w:p>
    <w:p w14:paraId="6FED3B05" w14:textId="346D5C78" w:rsidR="009D630C" w:rsidRPr="009D630C" w:rsidRDefault="009D630C" w:rsidP="00FC659A">
      <w:pPr>
        <w:pStyle w:val="Heading8"/>
      </w:pPr>
      <w:r w:rsidRPr="009D630C">
        <w:lastRenderedPageBreak/>
        <w:t>Table of contents</w:t>
      </w:r>
    </w:p>
    <w:p w14:paraId="59131BF3" w14:textId="6600BC70" w:rsidR="008C4487" w:rsidRDefault="009D630C">
      <w:pPr>
        <w:pStyle w:val="TOC1"/>
        <w:rPr>
          <w:rFonts w:asciiTheme="minorHAnsi" w:hAnsiTheme="minorHAnsi" w:cstheme="minorBidi"/>
          <w:caps w:val="0"/>
          <w:kern w:val="2"/>
          <w:sz w:val="24"/>
          <w:szCs w:val="24"/>
          <w:lang w:val="en-US" w:eastAsia="en-US"/>
          <w14:ligatures w14:val="standardContextual"/>
        </w:rPr>
      </w:pPr>
      <w:r w:rsidRPr="009D630C">
        <w:fldChar w:fldCharType="begin"/>
      </w:r>
      <w:r w:rsidRPr="009D630C">
        <w:instrText xml:space="preserve"> toc \o "1-2" \n "3-9" </w:instrText>
      </w:r>
      <w:r w:rsidRPr="009D630C">
        <w:fldChar w:fldCharType="separate"/>
      </w:r>
      <w:r w:rsidR="008C4487">
        <w:t>1</w:t>
      </w:r>
      <w:r w:rsidR="008C4487">
        <w:rPr>
          <w:rFonts w:asciiTheme="minorHAnsi" w:hAnsiTheme="minorHAnsi" w:cstheme="minorBidi"/>
          <w:caps w:val="0"/>
          <w:kern w:val="2"/>
          <w:sz w:val="24"/>
          <w:szCs w:val="24"/>
          <w:lang w:val="en-US" w:eastAsia="en-US"/>
          <w14:ligatures w14:val="standardContextual"/>
        </w:rPr>
        <w:tab/>
      </w:r>
      <w:r w:rsidR="008C4487">
        <w:t>Introduction</w:t>
      </w:r>
      <w:r w:rsidR="008C4487">
        <w:tab/>
      </w:r>
      <w:r w:rsidR="008C4487">
        <w:fldChar w:fldCharType="begin"/>
      </w:r>
      <w:r w:rsidR="008C4487">
        <w:instrText xml:space="preserve"> PAGEREF _Toc216703866 \h </w:instrText>
      </w:r>
      <w:r w:rsidR="008C4487">
        <w:fldChar w:fldCharType="separate"/>
      </w:r>
      <w:r w:rsidR="008C4487">
        <w:t>1</w:t>
      </w:r>
      <w:r w:rsidR="008C4487">
        <w:fldChar w:fldCharType="end"/>
      </w:r>
    </w:p>
    <w:p w14:paraId="4D241391" w14:textId="40AF5E73" w:rsidR="008C4487" w:rsidRDefault="008C4487">
      <w:pPr>
        <w:pStyle w:val="TOC2"/>
        <w:rPr>
          <w:rFonts w:asciiTheme="minorHAnsi" w:hAnsiTheme="minorHAnsi" w:cstheme="minorBidi"/>
          <w:kern w:val="2"/>
          <w:sz w:val="24"/>
          <w:szCs w:val="24"/>
          <w:lang w:val="en-US" w:eastAsia="en-US"/>
          <w14:ligatures w14:val="standardContextual"/>
        </w:rPr>
      </w:pPr>
      <w:r>
        <w:t>1.1</w:t>
      </w:r>
      <w:r>
        <w:rPr>
          <w:rFonts w:asciiTheme="minorHAnsi" w:hAnsiTheme="minorHAnsi" w:cstheme="minorBidi"/>
          <w:kern w:val="2"/>
          <w:sz w:val="24"/>
          <w:szCs w:val="24"/>
          <w:lang w:val="en-US" w:eastAsia="en-US"/>
          <w14:ligatures w14:val="standardContextual"/>
        </w:rPr>
        <w:tab/>
      </w:r>
      <w:r>
        <w:t>Background</w:t>
      </w:r>
      <w:r>
        <w:tab/>
      </w:r>
      <w:r>
        <w:fldChar w:fldCharType="begin"/>
      </w:r>
      <w:r>
        <w:instrText xml:space="preserve"> PAGEREF _Toc216703867 \h </w:instrText>
      </w:r>
      <w:r>
        <w:fldChar w:fldCharType="separate"/>
      </w:r>
      <w:r>
        <w:t>1</w:t>
      </w:r>
      <w:r>
        <w:fldChar w:fldCharType="end"/>
      </w:r>
    </w:p>
    <w:p w14:paraId="7C0F76CA" w14:textId="4D13B2ED" w:rsidR="008C4487" w:rsidRDefault="008C4487">
      <w:pPr>
        <w:pStyle w:val="TOC2"/>
        <w:rPr>
          <w:rFonts w:asciiTheme="minorHAnsi" w:hAnsiTheme="minorHAnsi" w:cstheme="minorBidi"/>
          <w:kern w:val="2"/>
          <w:sz w:val="24"/>
          <w:szCs w:val="24"/>
          <w:lang w:val="en-US" w:eastAsia="en-US"/>
          <w14:ligatures w14:val="standardContextual"/>
        </w:rPr>
      </w:pPr>
      <w:r>
        <w:t>1.2</w:t>
      </w:r>
      <w:r>
        <w:rPr>
          <w:rFonts w:asciiTheme="minorHAnsi" w:hAnsiTheme="minorHAnsi" w:cstheme="minorBidi"/>
          <w:kern w:val="2"/>
          <w:sz w:val="24"/>
          <w:szCs w:val="24"/>
          <w:lang w:val="en-US" w:eastAsia="en-US"/>
          <w14:ligatures w14:val="standardContextual"/>
        </w:rPr>
        <w:tab/>
      </w:r>
      <w:r>
        <w:t>Purpose</w:t>
      </w:r>
      <w:r>
        <w:tab/>
      </w:r>
      <w:r>
        <w:fldChar w:fldCharType="begin"/>
      </w:r>
      <w:r>
        <w:instrText xml:space="preserve"> PAGEREF _Toc216703868 \h </w:instrText>
      </w:r>
      <w:r>
        <w:fldChar w:fldCharType="separate"/>
      </w:r>
      <w:r>
        <w:t>1</w:t>
      </w:r>
      <w:r>
        <w:fldChar w:fldCharType="end"/>
      </w:r>
    </w:p>
    <w:p w14:paraId="784D30C5" w14:textId="09E98BE7" w:rsidR="008C4487" w:rsidRDefault="008C4487">
      <w:pPr>
        <w:pStyle w:val="TOC1"/>
        <w:rPr>
          <w:rFonts w:asciiTheme="minorHAnsi" w:hAnsiTheme="minorHAnsi" w:cstheme="minorBidi"/>
          <w:caps w:val="0"/>
          <w:kern w:val="2"/>
          <w:sz w:val="24"/>
          <w:szCs w:val="24"/>
          <w:lang w:val="en-US" w:eastAsia="en-US"/>
          <w14:ligatures w14:val="standardContextual"/>
        </w:rPr>
      </w:pPr>
      <w:r>
        <w:t>2</w:t>
      </w:r>
      <w:r>
        <w:rPr>
          <w:rFonts w:asciiTheme="minorHAnsi" w:hAnsiTheme="minorHAnsi" w:cstheme="minorBidi"/>
          <w:caps w:val="0"/>
          <w:kern w:val="2"/>
          <w:sz w:val="24"/>
          <w:szCs w:val="24"/>
          <w:lang w:val="en-US" w:eastAsia="en-US"/>
          <w14:ligatures w14:val="standardContextual"/>
        </w:rPr>
        <w:tab/>
      </w:r>
      <w:r>
        <w:t>Approach and Methodology</w:t>
      </w:r>
      <w:r>
        <w:tab/>
      </w:r>
      <w:r>
        <w:fldChar w:fldCharType="begin"/>
      </w:r>
      <w:r>
        <w:instrText xml:space="preserve"> PAGEREF _Toc216703869 \h </w:instrText>
      </w:r>
      <w:r>
        <w:fldChar w:fldCharType="separate"/>
      </w:r>
      <w:r>
        <w:t>2</w:t>
      </w:r>
      <w:r>
        <w:fldChar w:fldCharType="end"/>
      </w:r>
    </w:p>
    <w:p w14:paraId="4454EC7A" w14:textId="6921B1F1" w:rsidR="008C4487" w:rsidRDefault="008C4487">
      <w:pPr>
        <w:pStyle w:val="TOC2"/>
        <w:rPr>
          <w:rFonts w:asciiTheme="minorHAnsi" w:hAnsiTheme="minorHAnsi" w:cstheme="minorBidi"/>
          <w:kern w:val="2"/>
          <w:sz w:val="24"/>
          <w:szCs w:val="24"/>
          <w:lang w:val="en-US" w:eastAsia="en-US"/>
          <w14:ligatures w14:val="standardContextual"/>
        </w:rPr>
      </w:pPr>
      <w:r>
        <w:t>2.1</w:t>
      </w:r>
      <w:r>
        <w:rPr>
          <w:rFonts w:asciiTheme="minorHAnsi" w:hAnsiTheme="minorHAnsi" w:cstheme="minorBidi"/>
          <w:kern w:val="2"/>
          <w:sz w:val="24"/>
          <w:szCs w:val="24"/>
          <w:lang w:val="en-US" w:eastAsia="en-US"/>
          <w14:ligatures w14:val="standardContextual"/>
        </w:rPr>
        <w:tab/>
      </w:r>
      <w:r>
        <w:t>Data Identification</w:t>
      </w:r>
      <w:r>
        <w:tab/>
      </w:r>
      <w:r>
        <w:fldChar w:fldCharType="begin"/>
      </w:r>
      <w:r>
        <w:instrText xml:space="preserve"> PAGEREF _Toc216703870 \h </w:instrText>
      </w:r>
      <w:r>
        <w:fldChar w:fldCharType="separate"/>
      </w:r>
      <w:r>
        <w:t>2</w:t>
      </w:r>
      <w:r>
        <w:fldChar w:fldCharType="end"/>
      </w:r>
    </w:p>
    <w:p w14:paraId="0900E85A" w14:textId="3C3A5048" w:rsidR="008C4487" w:rsidRDefault="008C4487">
      <w:pPr>
        <w:pStyle w:val="TOC2"/>
        <w:rPr>
          <w:rFonts w:asciiTheme="minorHAnsi" w:hAnsiTheme="minorHAnsi" w:cstheme="minorBidi"/>
          <w:kern w:val="2"/>
          <w:sz w:val="24"/>
          <w:szCs w:val="24"/>
          <w:lang w:val="en-US" w:eastAsia="en-US"/>
          <w14:ligatures w14:val="standardContextual"/>
        </w:rPr>
      </w:pPr>
      <w:r>
        <w:t>2.2</w:t>
      </w:r>
      <w:r>
        <w:rPr>
          <w:rFonts w:asciiTheme="minorHAnsi" w:hAnsiTheme="minorHAnsi" w:cstheme="minorBidi"/>
          <w:kern w:val="2"/>
          <w:sz w:val="24"/>
          <w:szCs w:val="24"/>
          <w:lang w:val="en-US" w:eastAsia="en-US"/>
          <w14:ligatures w14:val="standardContextual"/>
        </w:rPr>
        <w:tab/>
      </w:r>
      <w:r>
        <w:t>Data Collection</w:t>
      </w:r>
      <w:r>
        <w:tab/>
      </w:r>
      <w:r>
        <w:fldChar w:fldCharType="begin"/>
      </w:r>
      <w:r>
        <w:instrText xml:space="preserve"> PAGEREF _Toc216703871 \h </w:instrText>
      </w:r>
      <w:r>
        <w:fldChar w:fldCharType="separate"/>
      </w:r>
      <w:r>
        <w:t>3</w:t>
      </w:r>
      <w:r>
        <w:fldChar w:fldCharType="end"/>
      </w:r>
    </w:p>
    <w:p w14:paraId="02DE8AFB" w14:textId="7D639D54" w:rsidR="008C4487" w:rsidRDefault="008C4487">
      <w:pPr>
        <w:pStyle w:val="TOC2"/>
        <w:rPr>
          <w:rFonts w:asciiTheme="minorHAnsi" w:hAnsiTheme="minorHAnsi" w:cstheme="minorBidi"/>
          <w:kern w:val="2"/>
          <w:sz w:val="24"/>
          <w:szCs w:val="24"/>
          <w:lang w:val="en-US" w:eastAsia="en-US"/>
          <w14:ligatures w14:val="standardContextual"/>
        </w:rPr>
      </w:pPr>
      <w:r>
        <w:t>2.3</w:t>
      </w:r>
      <w:r>
        <w:rPr>
          <w:rFonts w:asciiTheme="minorHAnsi" w:hAnsiTheme="minorHAnsi" w:cstheme="minorBidi"/>
          <w:kern w:val="2"/>
          <w:sz w:val="24"/>
          <w:szCs w:val="24"/>
          <w:lang w:val="en-US" w:eastAsia="en-US"/>
          <w14:ligatures w14:val="standardContextual"/>
        </w:rPr>
        <w:tab/>
      </w:r>
      <w:r>
        <w:t>Additional Data Sources to be Leveraged</w:t>
      </w:r>
      <w:r>
        <w:tab/>
      </w:r>
      <w:r>
        <w:fldChar w:fldCharType="begin"/>
      </w:r>
      <w:r>
        <w:instrText xml:space="preserve"> PAGEREF _Toc216703872 \h </w:instrText>
      </w:r>
      <w:r>
        <w:fldChar w:fldCharType="separate"/>
      </w:r>
      <w:r>
        <w:t>5</w:t>
      </w:r>
      <w:r>
        <w:fldChar w:fldCharType="end"/>
      </w:r>
    </w:p>
    <w:p w14:paraId="2E868132" w14:textId="612A83C3" w:rsidR="008C4487" w:rsidRDefault="008C4487">
      <w:pPr>
        <w:pStyle w:val="TOC1"/>
        <w:rPr>
          <w:rFonts w:asciiTheme="minorHAnsi" w:hAnsiTheme="minorHAnsi" w:cstheme="minorBidi"/>
          <w:caps w:val="0"/>
          <w:kern w:val="2"/>
          <w:sz w:val="24"/>
          <w:szCs w:val="24"/>
          <w:lang w:val="en-US" w:eastAsia="en-US"/>
          <w14:ligatures w14:val="standardContextual"/>
        </w:rPr>
      </w:pPr>
      <w:r>
        <w:t>3</w:t>
      </w:r>
      <w:r>
        <w:rPr>
          <w:rFonts w:asciiTheme="minorHAnsi" w:hAnsiTheme="minorHAnsi" w:cstheme="minorBidi"/>
          <w:caps w:val="0"/>
          <w:kern w:val="2"/>
          <w:sz w:val="24"/>
          <w:szCs w:val="24"/>
          <w:lang w:val="en-US" w:eastAsia="en-US"/>
          <w14:ligatures w14:val="standardContextual"/>
        </w:rPr>
        <w:tab/>
      </w:r>
      <w:r>
        <w:t>Stakeholder Engagement</w:t>
      </w:r>
      <w:r>
        <w:tab/>
      </w:r>
      <w:r>
        <w:fldChar w:fldCharType="begin"/>
      </w:r>
      <w:r>
        <w:instrText xml:space="preserve"> PAGEREF _Toc216703873 \h </w:instrText>
      </w:r>
      <w:r>
        <w:fldChar w:fldCharType="separate"/>
      </w:r>
      <w:r>
        <w:t>6</w:t>
      </w:r>
      <w:r>
        <w:fldChar w:fldCharType="end"/>
      </w:r>
    </w:p>
    <w:p w14:paraId="791735FA" w14:textId="273B0FF2" w:rsidR="008C4487" w:rsidRDefault="008C4487">
      <w:pPr>
        <w:pStyle w:val="TOC2"/>
        <w:rPr>
          <w:rFonts w:asciiTheme="minorHAnsi" w:hAnsiTheme="minorHAnsi" w:cstheme="minorBidi"/>
          <w:kern w:val="2"/>
          <w:sz w:val="24"/>
          <w:szCs w:val="24"/>
          <w:lang w:val="en-US" w:eastAsia="en-US"/>
          <w14:ligatures w14:val="standardContextual"/>
        </w:rPr>
      </w:pPr>
      <w:r>
        <w:t>3.1</w:t>
      </w:r>
      <w:r>
        <w:rPr>
          <w:rFonts w:asciiTheme="minorHAnsi" w:hAnsiTheme="minorHAnsi" w:cstheme="minorBidi"/>
          <w:kern w:val="2"/>
          <w:sz w:val="24"/>
          <w:szCs w:val="24"/>
          <w:lang w:val="en-US" w:eastAsia="en-US"/>
          <w14:ligatures w14:val="standardContextual"/>
        </w:rPr>
        <w:tab/>
      </w:r>
      <w:r>
        <w:t>List of Stakeholders Involved</w:t>
      </w:r>
      <w:r>
        <w:tab/>
      </w:r>
      <w:r>
        <w:fldChar w:fldCharType="begin"/>
      </w:r>
      <w:r>
        <w:instrText xml:space="preserve"> PAGEREF _Toc216703874 \h </w:instrText>
      </w:r>
      <w:r>
        <w:fldChar w:fldCharType="separate"/>
      </w:r>
      <w:r>
        <w:t>6</w:t>
      </w:r>
      <w:r>
        <w:fldChar w:fldCharType="end"/>
      </w:r>
    </w:p>
    <w:p w14:paraId="0A7EAE5C" w14:textId="5DF7D6D6" w:rsidR="008C4487" w:rsidRDefault="008C4487">
      <w:pPr>
        <w:pStyle w:val="TOC1"/>
        <w:rPr>
          <w:rFonts w:asciiTheme="minorHAnsi" w:hAnsiTheme="minorHAnsi" w:cstheme="minorBidi"/>
          <w:caps w:val="0"/>
          <w:kern w:val="2"/>
          <w:sz w:val="24"/>
          <w:szCs w:val="24"/>
          <w:lang w:val="en-US" w:eastAsia="en-US"/>
          <w14:ligatures w14:val="standardContextual"/>
        </w:rPr>
      </w:pPr>
      <w:r>
        <w:t>4</w:t>
      </w:r>
      <w:r>
        <w:rPr>
          <w:rFonts w:asciiTheme="minorHAnsi" w:hAnsiTheme="minorHAnsi" w:cstheme="minorBidi"/>
          <w:caps w:val="0"/>
          <w:kern w:val="2"/>
          <w:sz w:val="24"/>
          <w:szCs w:val="24"/>
          <w:lang w:val="en-US" w:eastAsia="en-US"/>
          <w14:ligatures w14:val="standardContextual"/>
        </w:rPr>
        <w:tab/>
      </w:r>
      <w:r>
        <w:t>Results and Lessons Learned</w:t>
      </w:r>
      <w:r>
        <w:tab/>
      </w:r>
      <w:r>
        <w:fldChar w:fldCharType="begin"/>
      </w:r>
      <w:r>
        <w:instrText xml:space="preserve"> PAGEREF _Toc216703875 \h </w:instrText>
      </w:r>
      <w:r>
        <w:fldChar w:fldCharType="separate"/>
      </w:r>
      <w:r>
        <w:t>8</w:t>
      </w:r>
      <w:r>
        <w:fldChar w:fldCharType="end"/>
      </w:r>
    </w:p>
    <w:p w14:paraId="38F3C0AF" w14:textId="12D6E92E" w:rsidR="008C4487" w:rsidRDefault="008C4487">
      <w:pPr>
        <w:pStyle w:val="TOC2"/>
        <w:rPr>
          <w:rFonts w:asciiTheme="minorHAnsi" w:hAnsiTheme="minorHAnsi" w:cstheme="minorBidi"/>
          <w:kern w:val="2"/>
          <w:sz w:val="24"/>
          <w:szCs w:val="24"/>
          <w:lang w:val="en-US" w:eastAsia="en-US"/>
          <w14:ligatures w14:val="standardContextual"/>
        </w:rPr>
      </w:pPr>
      <w:r>
        <w:t>4.1</w:t>
      </w:r>
      <w:r>
        <w:rPr>
          <w:rFonts w:asciiTheme="minorHAnsi" w:hAnsiTheme="minorHAnsi" w:cstheme="minorBidi"/>
          <w:kern w:val="2"/>
          <w:sz w:val="24"/>
          <w:szCs w:val="24"/>
          <w:lang w:val="en-US" w:eastAsia="en-US"/>
          <w14:ligatures w14:val="standardContextual"/>
        </w:rPr>
        <w:tab/>
      </w:r>
      <w:r>
        <w:t>Residential Customer Decommissioning Readiness Index</w:t>
      </w:r>
      <w:r>
        <w:tab/>
      </w:r>
      <w:r>
        <w:fldChar w:fldCharType="begin"/>
      </w:r>
      <w:r>
        <w:instrText xml:space="preserve"> PAGEREF _Toc216703876 \h </w:instrText>
      </w:r>
      <w:r>
        <w:fldChar w:fldCharType="separate"/>
      </w:r>
      <w:r>
        <w:t>8</w:t>
      </w:r>
      <w:r>
        <w:fldChar w:fldCharType="end"/>
      </w:r>
    </w:p>
    <w:p w14:paraId="7A33DB6D" w14:textId="25DA683B" w:rsidR="008C4487" w:rsidRDefault="008C4487">
      <w:pPr>
        <w:pStyle w:val="TOC2"/>
        <w:rPr>
          <w:rFonts w:asciiTheme="minorHAnsi" w:hAnsiTheme="minorHAnsi" w:cstheme="minorBidi"/>
          <w:kern w:val="2"/>
          <w:sz w:val="24"/>
          <w:szCs w:val="24"/>
          <w:lang w:val="en-US" w:eastAsia="en-US"/>
          <w14:ligatures w14:val="standardContextual"/>
        </w:rPr>
      </w:pPr>
      <w:r>
        <w:t>4.2</w:t>
      </w:r>
      <w:r>
        <w:rPr>
          <w:rFonts w:asciiTheme="minorHAnsi" w:hAnsiTheme="minorHAnsi" w:cstheme="minorBidi"/>
          <w:kern w:val="2"/>
          <w:sz w:val="24"/>
          <w:szCs w:val="24"/>
          <w:lang w:val="en-US" w:eastAsia="en-US"/>
          <w14:ligatures w14:val="standardContextual"/>
        </w:rPr>
        <w:tab/>
      </w:r>
      <w:r>
        <w:t>Residential Customer Decommissioning Readiness Factors</w:t>
      </w:r>
      <w:r>
        <w:tab/>
      </w:r>
      <w:r>
        <w:fldChar w:fldCharType="begin"/>
      </w:r>
      <w:r>
        <w:instrText xml:space="preserve"> PAGEREF _Toc216703877 \h </w:instrText>
      </w:r>
      <w:r>
        <w:fldChar w:fldCharType="separate"/>
      </w:r>
      <w:r>
        <w:t>9</w:t>
      </w:r>
      <w:r>
        <w:fldChar w:fldCharType="end"/>
      </w:r>
    </w:p>
    <w:p w14:paraId="3275ED58" w14:textId="3829539F" w:rsidR="008C4487" w:rsidRDefault="008C4487">
      <w:pPr>
        <w:pStyle w:val="TOC2"/>
        <w:rPr>
          <w:rFonts w:asciiTheme="minorHAnsi" w:hAnsiTheme="minorHAnsi" w:cstheme="minorBidi"/>
          <w:kern w:val="2"/>
          <w:sz w:val="24"/>
          <w:szCs w:val="24"/>
          <w:lang w:val="en-US" w:eastAsia="en-US"/>
          <w14:ligatures w14:val="standardContextual"/>
        </w:rPr>
      </w:pPr>
      <w:r>
        <w:t>4.3</w:t>
      </w:r>
      <w:r>
        <w:rPr>
          <w:rFonts w:asciiTheme="minorHAnsi" w:hAnsiTheme="minorHAnsi" w:cstheme="minorBidi"/>
          <w:kern w:val="2"/>
          <w:sz w:val="24"/>
          <w:szCs w:val="24"/>
          <w:lang w:val="en-US" w:eastAsia="en-US"/>
          <w14:ligatures w14:val="standardContextual"/>
        </w:rPr>
        <w:tab/>
      </w:r>
      <w:r>
        <w:t>Non-Residential Customer Decommissioning Readiness Factors</w:t>
      </w:r>
      <w:r>
        <w:tab/>
      </w:r>
      <w:r>
        <w:fldChar w:fldCharType="begin"/>
      </w:r>
      <w:r>
        <w:instrText xml:space="preserve"> PAGEREF _Toc216703878 \h </w:instrText>
      </w:r>
      <w:r>
        <w:fldChar w:fldCharType="separate"/>
      </w:r>
      <w:r>
        <w:t>12</w:t>
      </w:r>
      <w:r>
        <w:fldChar w:fldCharType="end"/>
      </w:r>
    </w:p>
    <w:p w14:paraId="1E5965E1" w14:textId="711F0F79" w:rsidR="009D630C" w:rsidRPr="009D630C" w:rsidRDefault="009D630C" w:rsidP="0080520C">
      <w:r w:rsidRPr="009D630C">
        <w:fldChar w:fldCharType="end"/>
      </w:r>
    </w:p>
    <w:p w14:paraId="1EE4815F" w14:textId="5F78FF4E" w:rsidR="00862893" w:rsidRPr="009D630C" w:rsidRDefault="00862893" w:rsidP="00862893">
      <w:pPr>
        <w:pStyle w:val="Heading8"/>
      </w:pPr>
      <w:r>
        <w:t>Figures</w:t>
      </w:r>
    </w:p>
    <w:p w14:paraId="4D49AFA7" w14:textId="77777777" w:rsidR="00862893" w:rsidRDefault="00862893">
      <w:pPr>
        <w:pStyle w:val="TableofFigures"/>
        <w:tabs>
          <w:tab w:val="right" w:leader="dot" w:pos="9572"/>
        </w:tabs>
      </w:pPr>
    </w:p>
    <w:p w14:paraId="07BE27D3" w14:textId="56C7E283"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r>
        <w:fldChar w:fldCharType="begin"/>
      </w:r>
      <w:r>
        <w:instrText xml:space="preserve"> TOC \h \z \c "Figure" </w:instrText>
      </w:r>
      <w:r>
        <w:fldChar w:fldCharType="separate"/>
      </w:r>
      <w:hyperlink w:anchor="_Toc216704056" w:history="1">
        <w:r w:rsidRPr="0079238D">
          <w:rPr>
            <w:rStyle w:val="Hyperlink"/>
            <w:noProof/>
          </w:rPr>
          <w:t>Figure 4</w:t>
        </w:r>
        <w:r w:rsidRPr="0079238D">
          <w:rPr>
            <w:rStyle w:val="Hyperlink"/>
            <w:noProof/>
          </w:rPr>
          <w:noBreakHyphen/>
          <w:t>1. Residential Gas Decommissioning Hot Spot Analysis, Northern/Central California Region</w:t>
        </w:r>
        <w:r>
          <w:rPr>
            <w:noProof/>
            <w:webHidden/>
          </w:rPr>
          <w:tab/>
        </w:r>
        <w:r>
          <w:rPr>
            <w:noProof/>
            <w:webHidden/>
          </w:rPr>
          <w:fldChar w:fldCharType="begin"/>
        </w:r>
        <w:r>
          <w:rPr>
            <w:noProof/>
            <w:webHidden/>
          </w:rPr>
          <w:instrText xml:space="preserve"> PAGEREF _Toc216704056 \h </w:instrText>
        </w:r>
        <w:r>
          <w:rPr>
            <w:noProof/>
            <w:webHidden/>
          </w:rPr>
        </w:r>
        <w:r>
          <w:rPr>
            <w:noProof/>
            <w:webHidden/>
          </w:rPr>
          <w:fldChar w:fldCharType="separate"/>
        </w:r>
        <w:r>
          <w:rPr>
            <w:noProof/>
            <w:webHidden/>
          </w:rPr>
          <w:t>9</w:t>
        </w:r>
        <w:r>
          <w:rPr>
            <w:noProof/>
            <w:webHidden/>
          </w:rPr>
          <w:fldChar w:fldCharType="end"/>
        </w:r>
      </w:hyperlink>
    </w:p>
    <w:p w14:paraId="250A7483" w14:textId="71590618"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57" w:history="1">
        <w:r w:rsidRPr="0079238D">
          <w:rPr>
            <w:rStyle w:val="Hyperlink"/>
            <w:noProof/>
          </w:rPr>
          <w:t>Figure 4</w:t>
        </w:r>
        <w:r w:rsidRPr="0079238D">
          <w:rPr>
            <w:rStyle w:val="Hyperlink"/>
            <w:noProof/>
          </w:rPr>
          <w:noBreakHyphen/>
          <w:t>2. Residential Gas Decommissioning Hot Spot Analysis, Southern California Region</w:t>
        </w:r>
        <w:r>
          <w:rPr>
            <w:noProof/>
            <w:webHidden/>
          </w:rPr>
          <w:tab/>
        </w:r>
        <w:r>
          <w:rPr>
            <w:noProof/>
            <w:webHidden/>
          </w:rPr>
          <w:fldChar w:fldCharType="begin"/>
        </w:r>
        <w:r>
          <w:rPr>
            <w:noProof/>
            <w:webHidden/>
          </w:rPr>
          <w:instrText xml:space="preserve"> PAGEREF _Toc216704057 \h </w:instrText>
        </w:r>
        <w:r>
          <w:rPr>
            <w:noProof/>
            <w:webHidden/>
          </w:rPr>
        </w:r>
        <w:r>
          <w:rPr>
            <w:noProof/>
            <w:webHidden/>
          </w:rPr>
          <w:fldChar w:fldCharType="separate"/>
        </w:r>
        <w:r>
          <w:rPr>
            <w:noProof/>
            <w:webHidden/>
          </w:rPr>
          <w:t>9</w:t>
        </w:r>
        <w:r>
          <w:rPr>
            <w:noProof/>
            <w:webHidden/>
          </w:rPr>
          <w:fldChar w:fldCharType="end"/>
        </w:r>
      </w:hyperlink>
    </w:p>
    <w:p w14:paraId="1D249B89" w14:textId="180729E6"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58" w:history="1">
        <w:r w:rsidRPr="0079238D">
          <w:rPr>
            <w:rStyle w:val="Hyperlink"/>
            <w:noProof/>
          </w:rPr>
          <w:t>Figure 4</w:t>
        </w:r>
        <w:r w:rsidRPr="0079238D">
          <w:rPr>
            <w:rStyle w:val="Hyperlink"/>
            <w:noProof/>
          </w:rPr>
          <w:noBreakHyphen/>
          <w:t>3: Residential Decommissioning Readiness Index’s Housing Stock Sub-Index Component Values</w:t>
        </w:r>
        <w:r>
          <w:rPr>
            <w:noProof/>
            <w:webHidden/>
          </w:rPr>
          <w:tab/>
        </w:r>
        <w:r>
          <w:rPr>
            <w:noProof/>
            <w:webHidden/>
          </w:rPr>
          <w:fldChar w:fldCharType="begin"/>
        </w:r>
        <w:r>
          <w:rPr>
            <w:noProof/>
            <w:webHidden/>
          </w:rPr>
          <w:instrText xml:space="preserve"> PAGEREF _Toc216704058 \h </w:instrText>
        </w:r>
        <w:r>
          <w:rPr>
            <w:noProof/>
            <w:webHidden/>
          </w:rPr>
        </w:r>
        <w:r>
          <w:rPr>
            <w:noProof/>
            <w:webHidden/>
          </w:rPr>
          <w:fldChar w:fldCharType="separate"/>
        </w:r>
        <w:r>
          <w:rPr>
            <w:noProof/>
            <w:webHidden/>
          </w:rPr>
          <w:t>11</w:t>
        </w:r>
        <w:r>
          <w:rPr>
            <w:noProof/>
            <w:webHidden/>
          </w:rPr>
          <w:fldChar w:fldCharType="end"/>
        </w:r>
      </w:hyperlink>
    </w:p>
    <w:p w14:paraId="206F975C" w14:textId="3C3FB481"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59" w:history="1">
        <w:r w:rsidRPr="0079238D">
          <w:rPr>
            <w:rStyle w:val="Hyperlink"/>
            <w:noProof/>
          </w:rPr>
          <w:t>Figure 4</w:t>
        </w:r>
        <w:r w:rsidRPr="0079238D">
          <w:rPr>
            <w:rStyle w:val="Hyperlink"/>
            <w:noProof/>
          </w:rPr>
          <w:noBreakHyphen/>
          <w:t>4: Residential Decommissioning Readiness Index’s Household Gas Dependence Sub-Index Component Values</w:t>
        </w:r>
        <w:r>
          <w:rPr>
            <w:noProof/>
            <w:webHidden/>
          </w:rPr>
          <w:tab/>
        </w:r>
        <w:r>
          <w:rPr>
            <w:noProof/>
            <w:webHidden/>
          </w:rPr>
          <w:fldChar w:fldCharType="begin"/>
        </w:r>
        <w:r>
          <w:rPr>
            <w:noProof/>
            <w:webHidden/>
          </w:rPr>
          <w:instrText xml:space="preserve"> PAGEREF _Toc216704059 \h </w:instrText>
        </w:r>
        <w:r>
          <w:rPr>
            <w:noProof/>
            <w:webHidden/>
          </w:rPr>
        </w:r>
        <w:r>
          <w:rPr>
            <w:noProof/>
            <w:webHidden/>
          </w:rPr>
          <w:fldChar w:fldCharType="separate"/>
        </w:r>
        <w:r>
          <w:rPr>
            <w:noProof/>
            <w:webHidden/>
          </w:rPr>
          <w:t>11</w:t>
        </w:r>
        <w:r>
          <w:rPr>
            <w:noProof/>
            <w:webHidden/>
          </w:rPr>
          <w:fldChar w:fldCharType="end"/>
        </w:r>
      </w:hyperlink>
    </w:p>
    <w:p w14:paraId="740E6DEC" w14:textId="60947E0A"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60" w:history="1">
        <w:r w:rsidRPr="0079238D">
          <w:rPr>
            <w:rStyle w:val="Hyperlink"/>
            <w:noProof/>
          </w:rPr>
          <w:t>Figure 4</w:t>
        </w:r>
        <w:r w:rsidRPr="0079238D">
          <w:rPr>
            <w:rStyle w:val="Hyperlink"/>
            <w:noProof/>
          </w:rPr>
          <w:noBreakHyphen/>
          <w:t>5. Residential Decommissioning Readiness Index’s Household Financial Security Sub-Index Component Values</w:t>
        </w:r>
        <w:r>
          <w:rPr>
            <w:noProof/>
            <w:webHidden/>
          </w:rPr>
          <w:tab/>
        </w:r>
        <w:r>
          <w:rPr>
            <w:noProof/>
            <w:webHidden/>
          </w:rPr>
          <w:fldChar w:fldCharType="begin"/>
        </w:r>
        <w:r>
          <w:rPr>
            <w:noProof/>
            <w:webHidden/>
          </w:rPr>
          <w:instrText xml:space="preserve"> PAGEREF _Toc216704060 \h </w:instrText>
        </w:r>
        <w:r>
          <w:rPr>
            <w:noProof/>
            <w:webHidden/>
          </w:rPr>
        </w:r>
        <w:r>
          <w:rPr>
            <w:noProof/>
            <w:webHidden/>
          </w:rPr>
          <w:fldChar w:fldCharType="separate"/>
        </w:r>
        <w:r>
          <w:rPr>
            <w:noProof/>
            <w:webHidden/>
          </w:rPr>
          <w:t>12</w:t>
        </w:r>
        <w:r>
          <w:rPr>
            <w:noProof/>
            <w:webHidden/>
          </w:rPr>
          <w:fldChar w:fldCharType="end"/>
        </w:r>
      </w:hyperlink>
    </w:p>
    <w:p w14:paraId="689BFE34" w14:textId="0D247D36"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61" w:history="1">
        <w:r w:rsidRPr="0079238D">
          <w:rPr>
            <w:rStyle w:val="Hyperlink"/>
            <w:noProof/>
          </w:rPr>
          <w:t>Figure 4</w:t>
        </w:r>
        <w:r w:rsidRPr="0079238D">
          <w:rPr>
            <w:rStyle w:val="Hyperlink"/>
            <w:noProof/>
          </w:rPr>
          <w:noBreakHyphen/>
          <w:t>6. Non-Residential Gas Decommissioning Hot Spot Analysis, Northern/Central California Region</w:t>
        </w:r>
        <w:r>
          <w:rPr>
            <w:noProof/>
            <w:webHidden/>
          </w:rPr>
          <w:tab/>
        </w:r>
        <w:r>
          <w:rPr>
            <w:noProof/>
            <w:webHidden/>
          </w:rPr>
          <w:fldChar w:fldCharType="begin"/>
        </w:r>
        <w:r>
          <w:rPr>
            <w:noProof/>
            <w:webHidden/>
          </w:rPr>
          <w:instrText xml:space="preserve"> PAGEREF _Toc216704061 \h </w:instrText>
        </w:r>
        <w:r>
          <w:rPr>
            <w:noProof/>
            <w:webHidden/>
          </w:rPr>
        </w:r>
        <w:r>
          <w:rPr>
            <w:noProof/>
            <w:webHidden/>
          </w:rPr>
          <w:fldChar w:fldCharType="separate"/>
        </w:r>
        <w:r>
          <w:rPr>
            <w:noProof/>
            <w:webHidden/>
          </w:rPr>
          <w:t>13</w:t>
        </w:r>
        <w:r>
          <w:rPr>
            <w:noProof/>
            <w:webHidden/>
          </w:rPr>
          <w:fldChar w:fldCharType="end"/>
        </w:r>
      </w:hyperlink>
    </w:p>
    <w:p w14:paraId="4373FA51" w14:textId="0E5E7AFF"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62" w:history="1">
        <w:r w:rsidRPr="0079238D">
          <w:rPr>
            <w:rStyle w:val="Hyperlink"/>
            <w:noProof/>
          </w:rPr>
          <w:t>Figure 4</w:t>
        </w:r>
        <w:r w:rsidRPr="0079238D">
          <w:rPr>
            <w:rStyle w:val="Hyperlink"/>
            <w:noProof/>
          </w:rPr>
          <w:noBreakHyphen/>
          <w:t>7. Non-Residential Gas Decommissioning Hot Spot Analysis, Southern California Region</w:t>
        </w:r>
        <w:r>
          <w:rPr>
            <w:noProof/>
            <w:webHidden/>
          </w:rPr>
          <w:tab/>
        </w:r>
        <w:r>
          <w:rPr>
            <w:noProof/>
            <w:webHidden/>
          </w:rPr>
          <w:fldChar w:fldCharType="begin"/>
        </w:r>
        <w:r>
          <w:rPr>
            <w:noProof/>
            <w:webHidden/>
          </w:rPr>
          <w:instrText xml:space="preserve"> PAGEREF _Toc216704062 \h </w:instrText>
        </w:r>
        <w:r>
          <w:rPr>
            <w:noProof/>
            <w:webHidden/>
          </w:rPr>
        </w:r>
        <w:r>
          <w:rPr>
            <w:noProof/>
            <w:webHidden/>
          </w:rPr>
          <w:fldChar w:fldCharType="separate"/>
        </w:r>
        <w:r>
          <w:rPr>
            <w:noProof/>
            <w:webHidden/>
          </w:rPr>
          <w:t>13</w:t>
        </w:r>
        <w:r>
          <w:rPr>
            <w:noProof/>
            <w:webHidden/>
          </w:rPr>
          <w:fldChar w:fldCharType="end"/>
        </w:r>
      </w:hyperlink>
    </w:p>
    <w:p w14:paraId="5356BEB4" w14:textId="18D3FE7D"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63" w:history="1">
        <w:r w:rsidRPr="0079238D">
          <w:rPr>
            <w:rStyle w:val="Hyperlink"/>
            <w:noProof/>
          </w:rPr>
          <w:t>Figure 4</w:t>
        </w:r>
        <w:r w:rsidRPr="0079238D">
          <w:rPr>
            <w:rStyle w:val="Hyperlink"/>
            <w:noProof/>
          </w:rPr>
          <w:noBreakHyphen/>
          <w:t>8. Schools Non-Residential Decommissioning Readiness Sub-Index Component Values</w:t>
        </w:r>
        <w:r>
          <w:rPr>
            <w:noProof/>
            <w:webHidden/>
          </w:rPr>
          <w:tab/>
        </w:r>
        <w:r>
          <w:rPr>
            <w:noProof/>
            <w:webHidden/>
          </w:rPr>
          <w:fldChar w:fldCharType="begin"/>
        </w:r>
        <w:r>
          <w:rPr>
            <w:noProof/>
            <w:webHidden/>
          </w:rPr>
          <w:instrText xml:space="preserve"> PAGEREF _Toc216704063 \h </w:instrText>
        </w:r>
        <w:r>
          <w:rPr>
            <w:noProof/>
            <w:webHidden/>
          </w:rPr>
        </w:r>
        <w:r>
          <w:rPr>
            <w:noProof/>
            <w:webHidden/>
          </w:rPr>
          <w:fldChar w:fldCharType="separate"/>
        </w:r>
        <w:r>
          <w:rPr>
            <w:noProof/>
            <w:webHidden/>
          </w:rPr>
          <w:t>16</w:t>
        </w:r>
        <w:r>
          <w:rPr>
            <w:noProof/>
            <w:webHidden/>
          </w:rPr>
          <w:fldChar w:fldCharType="end"/>
        </w:r>
      </w:hyperlink>
    </w:p>
    <w:p w14:paraId="41DEF1F5" w14:textId="221D0331"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64" w:history="1">
        <w:r w:rsidRPr="0079238D">
          <w:rPr>
            <w:rStyle w:val="Hyperlink"/>
            <w:noProof/>
          </w:rPr>
          <w:t>Figure 4</w:t>
        </w:r>
        <w:r w:rsidRPr="0079238D">
          <w:rPr>
            <w:rStyle w:val="Hyperlink"/>
            <w:noProof/>
          </w:rPr>
          <w:noBreakHyphen/>
          <w:t>9. Retail Non-Residential Decommissioning Readiness Sub-Index Component Values</w:t>
        </w:r>
        <w:r>
          <w:rPr>
            <w:noProof/>
            <w:webHidden/>
          </w:rPr>
          <w:tab/>
        </w:r>
        <w:r>
          <w:rPr>
            <w:noProof/>
            <w:webHidden/>
          </w:rPr>
          <w:fldChar w:fldCharType="begin"/>
        </w:r>
        <w:r>
          <w:rPr>
            <w:noProof/>
            <w:webHidden/>
          </w:rPr>
          <w:instrText xml:space="preserve"> PAGEREF _Toc216704064 \h </w:instrText>
        </w:r>
        <w:r>
          <w:rPr>
            <w:noProof/>
            <w:webHidden/>
          </w:rPr>
        </w:r>
        <w:r>
          <w:rPr>
            <w:noProof/>
            <w:webHidden/>
          </w:rPr>
          <w:fldChar w:fldCharType="separate"/>
        </w:r>
        <w:r>
          <w:rPr>
            <w:noProof/>
            <w:webHidden/>
          </w:rPr>
          <w:t>17</w:t>
        </w:r>
        <w:r>
          <w:rPr>
            <w:noProof/>
            <w:webHidden/>
          </w:rPr>
          <w:fldChar w:fldCharType="end"/>
        </w:r>
      </w:hyperlink>
    </w:p>
    <w:p w14:paraId="20F5136E" w14:textId="5EEB2DD7"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65" w:history="1">
        <w:r w:rsidRPr="0079238D">
          <w:rPr>
            <w:rStyle w:val="Hyperlink"/>
            <w:noProof/>
          </w:rPr>
          <w:t>Figure 4</w:t>
        </w:r>
        <w:r w:rsidRPr="0079238D">
          <w:rPr>
            <w:rStyle w:val="Hyperlink"/>
            <w:noProof/>
          </w:rPr>
          <w:noBreakHyphen/>
          <w:t>10. Restaurant Non-Residential Decommissioning Readiness Sub-Index Component Values</w:t>
        </w:r>
        <w:r>
          <w:rPr>
            <w:noProof/>
            <w:webHidden/>
          </w:rPr>
          <w:tab/>
        </w:r>
        <w:r>
          <w:rPr>
            <w:noProof/>
            <w:webHidden/>
          </w:rPr>
          <w:fldChar w:fldCharType="begin"/>
        </w:r>
        <w:r>
          <w:rPr>
            <w:noProof/>
            <w:webHidden/>
          </w:rPr>
          <w:instrText xml:space="preserve"> PAGEREF _Toc216704065 \h </w:instrText>
        </w:r>
        <w:r>
          <w:rPr>
            <w:noProof/>
            <w:webHidden/>
          </w:rPr>
        </w:r>
        <w:r>
          <w:rPr>
            <w:noProof/>
            <w:webHidden/>
          </w:rPr>
          <w:fldChar w:fldCharType="separate"/>
        </w:r>
        <w:r>
          <w:rPr>
            <w:noProof/>
            <w:webHidden/>
          </w:rPr>
          <w:t>17</w:t>
        </w:r>
        <w:r>
          <w:rPr>
            <w:noProof/>
            <w:webHidden/>
          </w:rPr>
          <w:fldChar w:fldCharType="end"/>
        </w:r>
      </w:hyperlink>
    </w:p>
    <w:p w14:paraId="74F72B1D" w14:textId="654BD3B4"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66" w:history="1">
        <w:r w:rsidRPr="0079238D">
          <w:rPr>
            <w:rStyle w:val="Hyperlink"/>
            <w:noProof/>
          </w:rPr>
          <w:t>Figure 4</w:t>
        </w:r>
        <w:r w:rsidRPr="0079238D">
          <w:rPr>
            <w:rStyle w:val="Hyperlink"/>
            <w:noProof/>
          </w:rPr>
          <w:noBreakHyphen/>
          <w:t>11. Refrigerated Warehouse Non-Residential Decommissioning Readiness Sub-Index Component Values</w:t>
        </w:r>
        <w:r>
          <w:rPr>
            <w:noProof/>
            <w:webHidden/>
          </w:rPr>
          <w:tab/>
        </w:r>
        <w:r>
          <w:rPr>
            <w:noProof/>
            <w:webHidden/>
          </w:rPr>
          <w:fldChar w:fldCharType="begin"/>
        </w:r>
        <w:r>
          <w:rPr>
            <w:noProof/>
            <w:webHidden/>
          </w:rPr>
          <w:instrText xml:space="preserve"> PAGEREF _Toc216704066 \h </w:instrText>
        </w:r>
        <w:r>
          <w:rPr>
            <w:noProof/>
            <w:webHidden/>
          </w:rPr>
        </w:r>
        <w:r>
          <w:rPr>
            <w:noProof/>
            <w:webHidden/>
          </w:rPr>
          <w:fldChar w:fldCharType="separate"/>
        </w:r>
        <w:r>
          <w:rPr>
            <w:noProof/>
            <w:webHidden/>
          </w:rPr>
          <w:t>18</w:t>
        </w:r>
        <w:r>
          <w:rPr>
            <w:noProof/>
            <w:webHidden/>
          </w:rPr>
          <w:fldChar w:fldCharType="end"/>
        </w:r>
      </w:hyperlink>
    </w:p>
    <w:p w14:paraId="493DF4AA" w14:textId="5695C869"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67" w:history="1">
        <w:r w:rsidRPr="0079238D">
          <w:rPr>
            <w:rStyle w:val="Hyperlink"/>
            <w:noProof/>
          </w:rPr>
          <w:t>Figure 4</w:t>
        </w:r>
        <w:r w:rsidRPr="0079238D">
          <w:rPr>
            <w:rStyle w:val="Hyperlink"/>
            <w:noProof/>
          </w:rPr>
          <w:noBreakHyphen/>
          <w:t>12. Office Non-Residential Decommissioning Readiness Sub-Index Component Values</w:t>
        </w:r>
        <w:r>
          <w:rPr>
            <w:noProof/>
            <w:webHidden/>
          </w:rPr>
          <w:tab/>
        </w:r>
        <w:r>
          <w:rPr>
            <w:noProof/>
            <w:webHidden/>
          </w:rPr>
          <w:fldChar w:fldCharType="begin"/>
        </w:r>
        <w:r>
          <w:rPr>
            <w:noProof/>
            <w:webHidden/>
          </w:rPr>
          <w:instrText xml:space="preserve"> PAGEREF _Toc216704067 \h </w:instrText>
        </w:r>
        <w:r>
          <w:rPr>
            <w:noProof/>
            <w:webHidden/>
          </w:rPr>
        </w:r>
        <w:r>
          <w:rPr>
            <w:noProof/>
            <w:webHidden/>
          </w:rPr>
          <w:fldChar w:fldCharType="separate"/>
        </w:r>
        <w:r>
          <w:rPr>
            <w:noProof/>
            <w:webHidden/>
          </w:rPr>
          <w:t>18</w:t>
        </w:r>
        <w:r>
          <w:rPr>
            <w:noProof/>
            <w:webHidden/>
          </w:rPr>
          <w:fldChar w:fldCharType="end"/>
        </w:r>
      </w:hyperlink>
    </w:p>
    <w:p w14:paraId="68E004C8" w14:textId="7A42863C"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68" w:history="1">
        <w:r w:rsidRPr="0079238D">
          <w:rPr>
            <w:rStyle w:val="Hyperlink"/>
            <w:noProof/>
          </w:rPr>
          <w:t>Figure 4</w:t>
        </w:r>
        <w:r w:rsidRPr="0079238D">
          <w:rPr>
            <w:rStyle w:val="Hyperlink"/>
            <w:noProof/>
          </w:rPr>
          <w:noBreakHyphen/>
          <w:t>13. Warehouses Non-Residential Decommissioning Readiness Sub-Index Component Values</w:t>
        </w:r>
        <w:r>
          <w:rPr>
            <w:noProof/>
            <w:webHidden/>
          </w:rPr>
          <w:tab/>
        </w:r>
        <w:r>
          <w:rPr>
            <w:noProof/>
            <w:webHidden/>
          </w:rPr>
          <w:fldChar w:fldCharType="begin"/>
        </w:r>
        <w:r>
          <w:rPr>
            <w:noProof/>
            <w:webHidden/>
          </w:rPr>
          <w:instrText xml:space="preserve"> PAGEREF _Toc216704068 \h </w:instrText>
        </w:r>
        <w:r>
          <w:rPr>
            <w:noProof/>
            <w:webHidden/>
          </w:rPr>
        </w:r>
        <w:r>
          <w:rPr>
            <w:noProof/>
            <w:webHidden/>
          </w:rPr>
          <w:fldChar w:fldCharType="separate"/>
        </w:r>
        <w:r>
          <w:rPr>
            <w:noProof/>
            <w:webHidden/>
          </w:rPr>
          <w:t>19</w:t>
        </w:r>
        <w:r>
          <w:rPr>
            <w:noProof/>
            <w:webHidden/>
          </w:rPr>
          <w:fldChar w:fldCharType="end"/>
        </w:r>
      </w:hyperlink>
    </w:p>
    <w:p w14:paraId="7524637D" w14:textId="48E1E506"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69" w:history="1">
        <w:r w:rsidRPr="0079238D">
          <w:rPr>
            <w:rStyle w:val="Hyperlink"/>
            <w:noProof/>
          </w:rPr>
          <w:t>Figure 4</w:t>
        </w:r>
        <w:r w:rsidRPr="0079238D">
          <w:rPr>
            <w:rStyle w:val="Hyperlink"/>
            <w:noProof/>
          </w:rPr>
          <w:noBreakHyphen/>
          <w:t>14. Miscellaneous Non-Residential Decommissioning Readiness Sub-Index Component Values</w:t>
        </w:r>
        <w:r>
          <w:rPr>
            <w:noProof/>
            <w:webHidden/>
          </w:rPr>
          <w:tab/>
        </w:r>
        <w:r>
          <w:rPr>
            <w:noProof/>
            <w:webHidden/>
          </w:rPr>
          <w:fldChar w:fldCharType="begin"/>
        </w:r>
        <w:r>
          <w:rPr>
            <w:noProof/>
            <w:webHidden/>
          </w:rPr>
          <w:instrText xml:space="preserve"> PAGEREF _Toc216704069 \h </w:instrText>
        </w:r>
        <w:r>
          <w:rPr>
            <w:noProof/>
            <w:webHidden/>
          </w:rPr>
        </w:r>
        <w:r>
          <w:rPr>
            <w:noProof/>
            <w:webHidden/>
          </w:rPr>
          <w:fldChar w:fldCharType="separate"/>
        </w:r>
        <w:r>
          <w:rPr>
            <w:noProof/>
            <w:webHidden/>
          </w:rPr>
          <w:t>19</w:t>
        </w:r>
        <w:r>
          <w:rPr>
            <w:noProof/>
            <w:webHidden/>
          </w:rPr>
          <w:fldChar w:fldCharType="end"/>
        </w:r>
      </w:hyperlink>
    </w:p>
    <w:p w14:paraId="1009B5C3" w14:textId="56E29CFE"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70" w:history="1">
        <w:r w:rsidRPr="0079238D">
          <w:rPr>
            <w:rStyle w:val="Hyperlink"/>
            <w:noProof/>
          </w:rPr>
          <w:t>Figure 4</w:t>
        </w:r>
        <w:r w:rsidRPr="0079238D">
          <w:rPr>
            <w:rStyle w:val="Hyperlink"/>
            <w:noProof/>
          </w:rPr>
          <w:noBreakHyphen/>
          <w:t>15. Hotel Non-Residential Decommissioning Readiness Sub-Index Component Values</w:t>
        </w:r>
        <w:r>
          <w:rPr>
            <w:noProof/>
            <w:webHidden/>
          </w:rPr>
          <w:tab/>
        </w:r>
        <w:r>
          <w:rPr>
            <w:noProof/>
            <w:webHidden/>
          </w:rPr>
          <w:fldChar w:fldCharType="begin"/>
        </w:r>
        <w:r>
          <w:rPr>
            <w:noProof/>
            <w:webHidden/>
          </w:rPr>
          <w:instrText xml:space="preserve"> PAGEREF _Toc216704070 \h </w:instrText>
        </w:r>
        <w:r>
          <w:rPr>
            <w:noProof/>
            <w:webHidden/>
          </w:rPr>
        </w:r>
        <w:r>
          <w:rPr>
            <w:noProof/>
            <w:webHidden/>
          </w:rPr>
          <w:fldChar w:fldCharType="separate"/>
        </w:r>
        <w:r>
          <w:rPr>
            <w:noProof/>
            <w:webHidden/>
          </w:rPr>
          <w:t>20</w:t>
        </w:r>
        <w:r>
          <w:rPr>
            <w:noProof/>
            <w:webHidden/>
          </w:rPr>
          <w:fldChar w:fldCharType="end"/>
        </w:r>
      </w:hyperlink>
    </w:p>
    <w:p w14:paraId="5F8EBD59" w14:textId="7558FD36"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71" w:history="1">
        <w:r w:rsidRPr="0079238D">
          <w:rPr>
            <w:rStyle w:val="Hyperlink"/>
            <w:noProof/>
          </w:rPr>
          <w:t>Figure 4</w:t>
        </w:r>
        <w:r w:rsidRPr="0079238D">
          <w:rPr>
            <w:rStyle w:val="Hyperlink"/>
            <w:noProof/>
          </w:rPr>
          <w:noBreakHyphen/>
          <w:t>16. Healthcare Non-Residential Decommissioning Readiness Sub-Index Component Values</w:t>
        </w:r>
        <w:r>
          <w:rPr>
            <w:noProof/>
            <w:webHidden/>
          </w:rPr>
          <w:tab/>
        </w:r>
        <w:r>
          <w:rPr>
            <w:noProof/>
            <w:webHidden/>
          </w:rPr>
          <w:fldChar w:fldCharType="begin"/>
        </w:r>
        <w:r>
          <w:rPr>
            <w:noProof/>
            <w:webHidden/>
          </w:rPr>
          <w:instrText xml:space="preserve"> PAGEREF _Toc216704071 \h </w:instrText>
        </w:r>
        <w:r>
          <w:rPr>
            <w:noProof/>
            <w:webHidden/>
          </w:rPr>
        </w:r>
        <w:r>
          <w:rPr>
            <w:noProof/>
            <w:webHidden/>
          </w:rPr>
          <w:fldChar w:fldCharType="separate"/>
        </w:r>
        <w:r>
          <w:rPr>
            <w:noProof/>
            <w:webHidden/>
          </w:rPr>
          <w:t>20</w:t>
        </w:r>
        <w:r>
          <w:rPr>
            <w:noProof/>
            <w:webHidden/>
          </w:rPr>
          <w:fldChar w:fldCharType="end"/>
        </w:r>
      </w:hyperlink>
    </w:p>
    <w:p w14:paraId="0202F26D" w14:textId="2B15738E"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72" w:history="1">
        <w:r w:rsidRPr="0079238D">
          <w:rPr>
            <w:rStyle w:val="Hyperlink"/>
            <w:noProof/>
          </w:rPr>
          <w:t>Figure 4</w:t>
        </w:r>
        <w:r w:rsidRPr="0079238D">
          <w:rPr>
            <w:rStyle w:val="Hyperlink"/>
            <w:noProof/>
          </w:rPr>
          <w:noBreakHyphen/>
          <w:t>17. Food Store Non-Residential Decommissioning Readiness Sub-Index Component Values</w:t>
        </w:r>
        <w:r>
          <w:rPr>
            <w:noProof/>
            <w:webHidden/>
          </w:rPr>
          <w:tab/>
        </w:r>
        <w:r>
          <w:rPr>
            <w:noProof/>
            <w:webHidden/>
          </w:rPr>
          <w:fldChar w:fldCharType="begin"/>
        </w:r>
        <w:r>
          <w:rPr>
            <w:noProof/>
            <w:webHidden/>
          </w:rPr>
          <w:instrText xml:space="preserve"> PAGEREF _Toc216704072 \h </w:instrText>
        </w:r>
        <w:r>
          <w:rPr>
            <w:noProof/>
            <w:webHidden/>
          </w:rPr>
        </w:r>
        <w:r>
          <w:rPr>
            <w:noProof/>
            <w:webHidden/>
          </w:rPr>
          <w:fldChar w:fldCharType="separate"/>
        </w:r>
        <w:r>
          <w:rPr>
            <w:noProof/>
            <w:webHidden/>
          </w:rPr>
          <w:t>21</w:t>
        </w:r>
        <w:r>
          <w:rPr>
            <w:noProof/>
            <w:webHidden/>
          </w:rPr>
          <w:fldChar w:fldCharType="end"/>
        </w:r>
      </w:hyperlink>
    </w:p>
    <w:p w14:paraId="461AF313" w14:textId="7987248C"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73" w:history="1">
        <w:r w:rsidRPr="0079238D">
          <w:rPr>
            <w:rStyle w:val="Hyperlink"/>
            <w:noProof/>
          </w:rPr>
          <w:t>Figure 4</w:t>
        </w:r>
        <w:r w:rsidRPr="0079238D">
          <w:rPr>
            <w:rStyle w:val="Hyperlink"/>
            <w:noProof/>
          </w:rPr>
          <w:noBreakHyphen/>
          <w:t>18. Durable Goods Manufacturing Non-Residential Decommissioning Readiness Sub-Index Component Values</w:t>
        </w:r>
        <w:r>
          <w:rPr>
            <w:noProof/>
            <w:webHidden/>
          </w:rPr>
          <w:tab/>
        </w:r>
        <w:r>
          <w:rPr>
            <w:noProof/>
            <w:webHidden/>
          </w:rPr>
          <w:fldChar w:fldCharType="begin"/>
        </w:r>
        <w:r>
          <w:rPr>
            <w:noProof/>
            <w:webHidden/>
          </w:rPr>
          <w:instrText xml:space="preserve"> PAGEREF _Toc216704073 \h </w:instrText>
        </w:r>
        <w:r>
          <w:rPr>
            <w:noProof/>
            <w:webHidden/>
          </w:rPr>
        </w:r>
        <w:r>
          <w:rPr>
            <w:noProof/>
            <w:webHidden/>
          </w:rPr>
          <w:fldChar w:fldCharType="separate"/>
        </w:r>
        <w:r>
          <w:rPr>
            <w:noProof/>
            <w:webHidden/>
          </w:rPr>
          <w:t>21</w:t>
        </w:r>
        <w:r>
          <w:rPr>
            <w:noProof/>
            <w:webHidden/>
          </w:rPr>
          <w:fldChar w:fldCharType="end"/>
        </w:r>
      </w:hyperlink>
    </w:p>
    <w:p w14:paraId="12EBF194" w14:textId="0FC89A02"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74" w:history="1">
        <w:r w:rsidRPr="0079238D">
          <w:rPr>
            <w:rStyle w:val="Hyperlink"/>
            <w:noProof/>
          </w:rPr>
          <w:t>Figure 4</w:t>
        </w:r>
        <w:r w:rsidRPr="0079238D">
          <w:rPr>
            <w:rStyle w:val="Hyperlink"/>
            <w:noProof/>
          </w:rPr>
          <w:noBreakHyphen/>
          <w:t>19. Non-Durable Goods Manufacturing Non-Residential Decommissioning Readiness Sub-Index Component Values</w:t>
        </w:r>
        <w:r>
          <w:rPr>
            <w:noProof/>
            <w:webHidden/>
          </w:rPr>
          <w:tab/>
        </w:r>
        <w:r>
          <w:rPr>
            <w:noProof/>
            <w:webHidden/>
          </w:rPr>
          <w:fldChar w:fldCharType="begin"/>
        </w:r>
        <w:r>
          <w:rPr>
            <w:noProof/>
            <w:webHidden/>
          </w:rPr>
          <w:instrText xml:space="preserve"> PAGEREF _Toc216704074 \h </w:instrText>
        </w:r>
        <w:r>
          <w:rPr>
            <w:noProof/>
            <w:webHidden/>
          </w:rPr>
        </w:r>
        <w:r>
          <w:rPr>
            <w:noProof/>
            <w:webHidden/>
          </w:rPr>
          <w:fldChar w:fldCharType="separate"/>
        </w:r>
        <w:r>
          <w:rPr>
            <w:noProof/>
            <w:webHidden/>
          </w:rPr>
          <w:t>22</w:t>
        </w:r>
        <w:r>
          <w:rPr>
            <w:noProof/>
            <w:webHidden/>
          </w:rPr>
          <w:fldChar w:fldCharType="end"/>
        </w:r>
      </w:hyperlink>
    </w:p>
    <w:p w14:paraId="009F84CD" w14:textId="436A8AC2"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75" w:history="1">
        <w:r w:rsidRPr="0079238D">
          <w:rPr>
            <w:rStyle w:val="Hyperlink"/>
            <w:noProof/>
          </w:rPr>
          <w:t>Figure 4</w:t>
        </w:r>
        <w:r w:rsidRPr="0079238D">
          <w:rPr>
            <w:rStyle w:val="Hyperlink"/>
            <w:noProof/>
          </w:rPr>
          <w:noBreakHyphen/>
          <w:t>20. College Non-Residential Decommissioning Readiness Sub-Index Component Values</w:t>
        </w:r>
        <w:r>
          <w:rPr>
            <w:noProof/>
            <w:webHidden/>
          </w:rPr>
          <w:tab/>
        </w:r>
        <w:r>
          <w:rPr>
            <w:noProof/>
            <w:webHidden/>
          </w:rPr>
          <w:fldChar w:fldCharType="begin"/>
        </w:r>
        <w:r>
          <w:rPr>
            <w:noProof/>
            <w:webHidden/>
          </w:rPr>
          <w:instrText xml:space="preserve"> PAGEREF _Toc216704075 \h </w:instrText>
        </w:r>
        <w:r>
          <w:rPr>
            <w:noProof/>
            <w:webHidden/>
          </w:rPr>
        </w:r>
        <w:r>
          <w:rPr>
            <w:noProof/>
            <w:webHidden/>
          </w:rPr>
          <w:fldChar w:fldCharType="separate"/>
        </w:r>
        <w:r>
          <w:rPr>
            <w:noProof/>
            <w:webHidden/>
          </w:rPr>
          <w:t>22</w:t>
        </w:r>
        <w:r>
          <w:rPr>
            <w:noProof/>
            <w:webHidden/>
          </w:rPr>
          <w:fldChar w:fldCharType="end"/>
        </w:r>
      </w:hyperlink>
    </w:p>
    <w:p w14:paraId="66CBD41E" w14:textId="49E5CC48" w:rsidR="00C45563" w:rsidRPr="009D630C" w:rsidRDefault="00862893" w:rsidP="00C45563">
      <w:pPr>
        <w:pStyle w:val="Heading8"/>
      </w:pPr>
      <w:r>
        <w:fldChar w:fldCharType="end"/>
      </w:r>
      <w:r>
        <w:t>Tables</w:t>
      </w:r>
    </w:p>
    <w:p w14:paraId="4897EC2F" w14:textId="77777777" w:rsidR="000426A6" w:rsidRDefault="000426A6"/>
    <w:p w14:paraId="74E7278C" w14:textId="50748348"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r>
        <w:fldChar w:fldCharType="begin"/>
      </w:r>
      <w:r>
        <w:instrText xml:space="preserve"> TOC \h \z \c "Table" </w:instrText>
      </w:r>
      <w:r>
        <w:fldChar w:fldCharType="separate"/>
      </w:r>
      <w:hyperlink w:anchor="_Toc216704044" w:history="1">
        <w:r w:rsidRPr="006E69D7">
          <w:rPr>
            <w:rStyle w:val="Hyperlink"/>
            <w:noProof/>
          </w:rPr>
          <w:t>Table 4</w:t>
        </w:r>
        <w:r w:rsidRPr="006E69D7">
          <w:rPr>
            <w:rStyle w:val="Hyperlink"/>
            <w:noProof/>
          </w:rPr>
          <w:noBreakHyphen/>
          <w:t>1. Correlation coefficients computed for census tract level residential decommissioning readiness sub-index values</w:t>
        </w:r>
        <w:r>
          <w:rPr>
            <w:noProof/>
            <w:webHidden/>
          </w:rPr>
          <w:tab/>
        </w:r>
        <w:r>
          <w:rPr>
            <w:noProof/>
            <w:webHidden/>
          </w:rPr>
          <w:fldChar w:fldCharType="begin"/>
        </w:r>
        <w:r>
          <w:rPr>
            <w:noProof/>
            <w:webHidden/>
          </w:rPr>
          <w:instrText xml:space="preserve"> PAGEREF _Toc216704044 \h </w:instrText>
        </w:r>
        <w:r>
          <w:rPr>
            <w:noProof/>
            <w:webHidden/>
          </w:rPr>
        </w:r>
        <w:r>
          <w:rPr>
            <w:noProof/>
            <w:webHidden/>
          </w:rPr>
          <w:fldChar w:fldCharType="separate"/>
        </w:r>
        <w:r>
          <w:rPr>
            <w:noProof/>
            <w:webHidden/>
          </w:rPr>
          <w:t>10</w:t>
        </w:r>
        <w:r>
          <w:rPr>
            <w:noProof/>
            <w:webHidden/>
          </w:rPr>
          <w:fldChar w:fldCharType="end"/>
        </w:r>
      </w:hyperlink>
    </w:p>
    <w:p w14:paraId="62E51341" w14:textId="65D35047" w:rsidR="00862893" w:rsidRDefault="00862893">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6704045" w:history="1">
        <w:r w:rsidRPr="006E69D7">
          <w:rPr>
            <w:rStyle w:val="Hyperlink"/>
            <w:noProof/>
          </w:rPr>
          <w:t>Table 4</w:t>
        </w:r>
        <w:r w:rsidRPr="006E69D7">
          <w:rPr>
            <w:rStyle w:val="Hyperlink"/>
            <w:noProof/>
          </w:rPr>
          <w:noBreakHyphen/>
          <w:t>2. Correlation Coefficients Computed for Census Tract Level Non-Residential Decommissioning Readiness Sub-Index Values</w:t>
        </w:r>
        <w:r>
          <w:rPr>
            <w:noProof/>
            <w:webHidden/>
          </w:rPr>
          <w:tab/>
        </w:r>
        <w:r>
          <w:rPr>
            <w:noProof/>
            <w:webHidden/>
          </w:rPr>
          <w:fldChar w:fldCharType="begin"/>
        </w:r>
        <w:r>
          <w:rPr>
            <w:noProof/>
            <w:webHidden/>
          </w:rPr>
          <w:instrText xml:space="preserve"> PAGEREF _Toc216704045 \h </w:instrText>
        </w:r>
        <w:r>
          <w:rPr>
            <w:noProof/>
            <w:webHidden/>
          </w:rPr>
        </w:r>
        <w:r>
          <w:rPr>
            <w:noProof/>
            <w:webHidden/>
          </w:rPr>
          <w:fldChar w:fldCharType="separate"/>
        </w:r>
        <w:r>
          <w:rPr>
            <w:noProof/>
            <w:webHidden/>
          </w:rPr>
          <w:t>15</w:t>
        </w:r>
        <w:r>
          <w:rPr>
            <w:noProof/>
            <w:webHidden/>
          </w:rPr>
          <w:fldChar w:fldCharType="end"/>
        </w:r>
      </w:hyperlink>
    </w:p>
    <w:p w14:paraId="66A62CC5" w14:textId="092085F3" w:rsidR="000426A6" w:rsidRPr="009D630C" w:rsidRDefault="00862893">
      <w:pPr>
        <w:sectPr w:rsidR="000426A6" w:rsidRPr="009D630C" w:rsidSect="000426A6">
          <w:headerReference w:type="even" r:id="rId12"/>
          <w:headerReference w:type="default" r:id="rId13"/>
          <w:footerReference w:type="even" r:id="rId14"/>
          <w:footerReference w:type="default" r:id="rId15"/>
          <w:headerReference w:type="first" r:id="rId16"/>
          <w:footerReference w:type="first" r:id="rId17"/>
          <w:pgSz w:w="11907" w:h="16839"/>
          <w:pgMar w:top="1757" w:right="1134" w:bottom="1361" w:left="1191" w:header="774" w:footer="567" w:gutter="0"/>
          <w:pgNumType w:fmt="lowerRoman" w:start="1"/>
          <w:cols w:space="708"/>
          <w:docGrid w:linePitch="360"/>
        </w:sectPr>
      </w:pPr>
      <w:r>
        <w:fldChar w:fldCharType="end"/>
      </w:r>
    </w:p>
    <w:p w14:paraId="63E7B8E4" w14:textId="580CF601" w:rsidR="009D630C" w:rsidRDefault="41C068FE" w:rsidP="734D305F">
      <w:pPr>
        <w:pStyle w:val="Heading1"/>
        <w:spacing w:after="240"/>
      </w:pPr>
      <w:bookmarkStart w:id="0" w:name="_Toc216703866"/>
      <w:r>
        <w:lastRenderedPageBreak/>
        <w:t>Introduction</w:t>
      </w:r>
      <w:bookmarkEnd w:id="0"/>
    </w:p>
    <w:p w14:paraId="00BBF75C" w14:textId="38CBEEC7" w:rsidR="26505288" w:rsidRDefault="24D3CE76" w:rsidP="734D305F">
      <w:pPr>
        <w:pStyle w:val="Bullet1Last"/>
        <w:numPr>
          <w:ilvl w:val="0"/>
          <w:numId w:val="0"/>
        </w:numPr>
      </w:pPr>
      <w:r>
        <w:t>The</w:t>
      </w:r>
      <w:r w:rsidR="4CC4EE05">
        <w:t xml:space="preserve"> </w:t>
      </w:r>
      <w:r w:rsidR="085E1CAA">
        <w:t xml:space="preserve">Gas Distribution System Decommissioning Screening Tool’s (the Tool’s) </w:t>
      </w:r>
      <w:r w:rsidR="7F8AFA2E">
        <w:t>Decommissioning R</w:t>
      </w:r>
      <w:r>
        <w:t xml:space="preserve">eadiness indices </w:t>
      </w:r>
      <w:r w:rsidR="03985F6F">
        <w:t>were developed with the</w:t>
      </w:r>
      <w:r>
        <w:t xml:space="preserve"> inten</w:t>
      </w:r>
      <w:r w:rsidR="2C7FF114">
        <w:t>tion of</w:t>
      </w:r>
      <w:r>
        <w:t xml:space="preserve"> captur</w:t>
      </w:r>
      <w:r w:rsidR="008F1601">
        <w:t>ing</w:t>
      </w:r>
      <w:r>
        <w:t xml:space="preserve"> the comprehensive set of challenges or barriers related to the adoption of </w:t>
      </w:r>
      <w:r w:rsidR="02510FFB">
        <w:t>gas substitute</w:t>
      </w:r>
      <w:r>
        <w:t xml:space="preserve"> end-use technologies</w:t>
      </w:r>
      <w:r w:rsidR="07F0AB95">
        <w:t xml:space="preserve"> among different types of </w:t>
      </w:r>
      <w:r>
        <w:t>customers.</w:t>
      </w:r>
      <w:r w:rsidR="1CC40512">
        <w:t xml:space="preserve"> </w:t>
      </w:r>
      <w:r w:rsidR="53323483">
        <w:t xml:space="preserve">The final iteration of the </w:t>
      </w:r>
      <w:r w:rsidR="46AFC640">
        <w:t>T</w:t>
      </w:r>
      <w:r w:rsidR="53323483">
        <w:t xml:space="preserve">ool settled upon </w:t>
      </w:r>
      <w:r w:rsidR="02C912AB">
        <w:t>a</w:t>
      </w:r>
      <w:r w:rsidR="7267964B">
        <w:t>n approach that quantifies these types of concerns differently for</w:t>
      </w:r>
      <w:r w:rsidR="02C912AB">
        <w:t xml:space="preserve"> </w:t>
      </w:r>
      <w:r w:rsidR="53323483">
        <w:t>residential versus non-residential customers. This decision reflected</w:t>
      </w:r>
      <w:r w:rsidR="7A049A23">
        <w:t xml:space="preserve"> importance differences between the types of barriers that are most likely to be consequential for residential versus non-residential customers seeking to participate in decommissioning projects.</w:t>
      </w:r>
      <w:r w:rsidR="0F380986">
        <w:t xml:space="preserve"> </w:t>
      </w:r>
    </w:p>
    <w:p w14:paraId="0F48EFA4" w14:textId="710D0392" w:rsidR="00EE40F8" w:rsidRDefault="221F4C26" w:rsidP="00FC659A">
      <w:pPr>
        <w:pStyle w:val="Heading2"/>
      </w:pPr>
      <w:bookmarkStart w:id="1" w:name="_Toc216703867"/>
      <w:r>
        <w:t>Background</w:t>
      </w:r>
      <w:bookmarkEnd w:id="1"/>
    </w:p>
    <w:p w14:paraId="1055EF9E" w14:textId="6BFAAF00" w:rsidR="688381CB" w:rsidRDefault="009A324F" w:rsidP="5D962A91">
      <w:pPr>
        <w:pStyle w:val="BodyText"/>
      </w:pPr>
      <w:r>
        <w:t>The</w:t>
      </w:r>
      <w:r w:rsidR="00DA4A71">
        <w:t xml:space="preserve"> research </w:t>
      </w:r>
      <w:r>
        <w:t>team’s</w:t>
      </w:r>
      <w:r w:rsidR="3179F30A">
        <w:t xml:space="preserve"> initial </w:t>
      </w:r>
      <w:r w:rsidR="379272A7">
        <w:t>development</w:t>
      </w:r>
      <w:r w:rsidR="3179F30A">
        <w:t xml:space="preserve"> of</w:t>
      </w:r>
      <w:r w:rsidR="5F503759">
        <w:t xml:space="preserve"> the</w:t>
      </w:r>
      <w:r w:rsidR="3179F30A">
        <w:t xml:space="preserve"> decommissioning readiness </w:t>
      </w:r>
      <w:r w:rsidR="432342AF">
        <w:t xml:space="preserve">concept </w:t>
      </w:r>
      <w:r w:rsidR="3179F30A">
        <w:t xml:space="preserve">focused on the </w:t>
      </w:r>
      <w:r w:rsidR="0C519053">
        <w:t xml:space="preserve">experience of </w:t>
      </w:r>
      <w:r w:rsidR="0C519053" w:rsidRPr="006E6363">
        <w:rPr>
          <w:i/>
          <w:iCs/>
        </w:rPr>
        <w:t xml:space="preserve">non-residential </w:t>
      </w:r>
      <w:r w:rsidR="0C519053">
        <w:t>gas customers</w:t>
      </w:r>
      <w:r w:rsidR="448C0F4D">
        <w:t xml:space="preserve"> facing the termination of gas service as the result of gas distribution system infrastructure decommissioning project</w:t>
      </w:r>
      <w:r w:rsidR="494E0AC5">
        <w:t>s</w:t>
      </w:r>
      <w:r w:rsidR="448C0F4D">
        <w:t xml:space="preserve">. </w:t>
      </w:r>
      <w:r w:rsidR="49722F38">
        <w:t>The justification for this approach was</w:t>
      </w:r>
      <w:r w:rsidR="0C519053">
        <w:t xml:space="preserve"> </w:t>
      </w:r>
      <w:r w:rsidR="5F25DA7D">
        <w:t>grounded in the knowledge that</w:t>
      </w:r>
      <w:r w:rsidR="0C519053">
        <w:t xml:space="preserve"> these </w:t>
      </w:r>
      <w:r w:rsidR="17792FD6">
        <w:t xml:space="preserve">types of </w:t>
      </w:r>
      <w:r w:rsidR="0C519053">
        <w:t>customers typically use much larger volumes of gas (</w:t>
      </w:r>
      <w:r w:rsidR="575FBB0C">
        <w:t>on a</w:t>
      </w:r>
      <w:r w:rsidR="6E9A72DA">
        <w:t>n individual</w:t>
      </w:r>
      <w:r w:rsidR="575FBB0C">
        <w:t xml:space="preserve"> basis</w:t>
      </w:r>
      <w:r w:rsidR="0C519053">
        <w:t xml:space="preserve">) to supply end-uses which may </w:t>
      </w:r>
      <w:r w:rsidR="5D8F18DB">
        <w:t xml:space="preserve">be more difficult to substitute with alternative technologies. </w:t>
      </w:r>
      <w:r w:rsidR="61A66F0F">
        <w:t>Consequently, o</w:t>
      </w:r>
      <w:r w:rsidR="5D8F18DB">
        <w:t>ur</w:t>
      </w:r>
      <w:r w:rsidR="447145C7">
        <w:t xml:space="preserve"> </w:t>
      </w:r>
      <w:r w:rsidR="38978458">
        <w:t>proposed method for</w:t>
      </w:r>
      <w:r w:rsidR="5D8F18DB">
        <w:t xml:space="preserve"> quantifying non-residential customer decommissioning readiness involved the development of sub-indices that incorporated information about (1) the total volum</w:t>
      </w:r>
      <w:r w:rsidR="27D35392">
        <w:t>e of gas use among different non-residential customer sectors</w:t>
      </w:r>
      <w:r w:rsidR="00DA4A71">
        <w:t>,</w:t>
      </w:r>
      <w:r w:rsidR="27D35392">
        <w:t xml:space="preserve"> (2) the breakdown of that gas use by end-use category within each sub-sector</w:t>
      </w:r>
      <w:r w:rsidR="00DA4A71">
        <w:t>,</w:t>
      </w:r>
      <w:r w:rsidR="27D35392">
        <w:t xml:space="preserve"> and (3) the current state of technical readiness in terms of the available gas substitute technologies within each </w:t>
      </w:r>
      <w:r w:rsidR="69D0FA16">
        <w:t>end-use category.</w:t>
      </w:r>
    </w:p>
    <w:p w14:paraId="5CB80EAB" w14:textId="32C16B58" w:rsidR="0C99AA55" w:rsidRDefault="0C99AA55" w:rsidP="5D962A91">
      <w:pPr>
        <w:pStyle w:val="BodyText"/>
      </w:pPr>
      <w:r>
        <w:t xml:space="preserve">As </w:t>
      </w:r>
      <w:r w:rsidR="00DA4A71">
        <w:t>the team</w:t>
      </w:r>
      <w:r>
        <w:t xml:space="preserve"> developed the initial versions of this </w:t>
      </w:r>
      <w:r w:rsidR="008501CE">
        <w:t>Non</w:t>
      </w:r>
      <w:r>
        <w:t xml:space="preserve">-residential </w:t>
      </w:r>
      <w:r w:rsidR="00DA4A71">
        <w:t>Decommissioning Readiness Index</w:t>
      </w:r>
      <w:r w:rsidR="1A4745FD">
        <w:t>, the</w:t>
      </w:r>
      <w:r>
        <w:t xml:space="preserve"> feedback </w:t>
      </w:r>
      <w:r w:rsidR="2B6DA0F6">
        <w:t>received</w:t>
      </w:r>
      <w:r>
        <w:t xml:space="preserve"> from the project’s Technical Advisory Committee (TAC) as well as local community-based organizations </w:t>
      </w:r>
      <w:r w:rsidR="009C2E87">
        <w:t>included in</w:t>
      </w:r>
      <w:r>
        <w:t xml:space="preserve"> the</w:t>
      </w:r>
      <w:r w:rsidR="2C28A057">
        <w:t xml:space="preserve"> project’s community engagement work, </w:t>
      </w:r>
      <w:r w:rsidR="1D99EBF3">
        <w:t>was</w:t>
      </w:r>
      <w:r w:rsidR="2C28A057">
        <w:t xml:space="preserve"> </w:t>
      </w:r>
      <w:r w:rsidR="7E28A5EA">
        <w:t xml:space="preserve">generally </w:t>
      </w:r>
      <w:r w:rsidR="2C28A057">
        <w:t xml:space="preserve">positive. However, these stakeholders </w:t>
      </w:r>
      <w:r w:rsidR="4E4CA2B9">
        <w:t xml:space="preserve">also </w:t>
      </w:r>
      <w:r w:rsidR="2C28A057">
        <w:t>expressed concerns that</w:t>
      </w:r>
      <w:r w:rsidR="7D6FA810">
        <w:t xml:space="preserve"> </w:t>
      </w:r>
      <w:r w:rsidR="04D4BF4E">
        <w:t xml:space="preserve">a </w:t>
      </w:r>
      <w:r w:rsidR="4AA3136B">
        <w:t xml:space="preserve">similar </w:t>
      </w:r>
      <w:r w:rsidR="009C2E87">
        <w:t xml:space="preserve">Decommissioning Readiness Index </w:t>
      </w:r>
      <w:r w:rsidR="2A6875C4">
        <w:t>must be created for residential</w:t>
      </w:r>
      <w:r w:rsidR="75A15BFB">
        <w:t xml:space="preserve"> customers</w:t>
      </w:r>
      <w:r w:rsidR="65528588">
        <w:t xml:space="preserve"> as well</w:t>
      </w:r>
      <w:r w:rsidR="79733F25">
        <w:t xml:space="preserve">. </w:t>
      </w:r>
      <w:r w:rsidR="57FE40EE">
        <w:t>This is because</w:t>
      </w:r>
      <w:r w:rsidR="00898FC1">
        <w:t xml:space="preserve"> residential customer</w:t>
      </w:r>
      <w:r w:rsidR="5E0005F9">
        <w:t>s</w:t>
      </w:r>
      <w:r w:rsidR="2DF5CE96">
        <w:t xml:space="preserve"> make up the bulk of the gas system’s rate base</w:t>
      </w:r>
      <w:r w:rsidR="09AEB38F">
        <w:t xml:space="preserve"> </w:t>
      </w:r>
      <w:r w:rsidR="329CD977">
        <w:t xml:space="preserve">and </w:t>
      </w:r>
      <w:r w:rsidR="07C86E64">
        <w:t>would play an essential role in determining the feasibility of most proposed gas decommissioning projects</w:t>
      </w:r>
      <w:r w:rsidR="75A15BFB">
        <w:t>.</w:t>
      </w:r>
    </w:p>
    <w:p w14:paraId="6C51F823" w14:textId="5F4E989D" w:rsidR="75A15BFB" w:rsidRDefault="75A15BFB" w:rsidP="5D962A91">
      <w:pPr>
        <w:pStyle w:val="BodyText"/>
      </w:pPr>
      <w:r>
        <w:t xml:space="preserve">Reflecting on this feedback, </w:t>
      </w:r>
      <w:r w:rsidR="009C2E87">
        <w:t>the team</w:t>
      </w:r>
      <w:r>
        <w:t xml:space="preserve"> decided to develop a corresponding </w:t>
      </w:r>
      <w:r w:rsidR="009C2E87">
        <w:t xml:space="preserve">Residential Gas Decommissioning Readiness Index </w:t>
      </w:r>
      <w:r>
        <w:t xml:space="preserve">using a significantly different methodology from its non-residential counterpart. This decision was </w:t>
      </w:r>
      <w:r w:rsidR="00E351B4">
        <w:t xml:space="preserve">made </w:t>
      </w:r>
      <w:r w:rsidR="009C2E87">
        <w:t>on</w:t>
      </w:r>
      <w:r>
        <w:t xml:space="preserve"> the</w:t>
      </w:r>
      <w:r w:rsidR="00E351B4">
        <w:t xml:space="preserve"> basis of the</w:t>
      </w:r>
      <w:r>
        <w:t xml:space="preserve"> fact that for all domestic end-uses of gas, the technical readiness of substitute techno</w:t>
      </w:r>
      <w:r w:rsidR="077365E4">
        <w:t>logies</w:t>
      </w:r>
      <w:r w:rsidR="004D62B1">
        <w:t xml:space="preserve">, </w:t>
      </w:r>
      <w:r w:rsidR="077365E4">
        <w:t>which are primarily electrical</w:t>
      </w:r>
      <w:r w:rsidR="00CF42E8">
        <w:t>,</w:t>
      </w:r>
      <w:r w:rsidR="077365E4">
        <w:t xml:space="preserve"> should be considered</w:t>
      </w:r>
      <w:r w:rsidR="13456EF9">
        <w:t xml:space="preserve"> as</w:t>
      </w:r>
      <w:r w:rsidR="077365E4">
        <w:t xml:space="preserve"> high. </w:t>
      </w:r>
      <w:r w:rsidR="78BC89D6">
        <w:t>As such, t</w:t>
      </w:r>
      <w:r w:rsidR="077365E4">
        <w:t>he principal barriers within th</w:t>
      </w:r>
      <w:r w:rsidR="33A1979A">
        <w:t xml:space="preserve">e residential </w:t>
      </w:r>
      <w:r w:rsidR="077365E4">
        <w:t xml:space="preserve">sector likely stem </w:t>
      </w:r>
      <w:r w:rsidR="09902EF1">
        <w:t>from other types of concerns including</w:t>
      </w:r>
      <w:r w:rsidR="4103FF9D">
        <w:t xml:space="preserve"> t</w:t>
      </w:r>
      <w:r w:rsidR="09902EF1">
        <w:t xml:space="preserve">he capacity of households and property owners to absorb the financial burdens of purchasing, installing, and operating </w:t>
      </w:r>
      <w:r w:rsidR="2BB1AA84">
        <w:t>gas substitute equipment</w:t>
      </w:r>
      <w:r w:rsidR="2E40D36B">
        <w:t xml:space="preserve"> as well as the physical readiness of the properties to integrate these technologies without significant retrofit effort</w:t>
      </w:r>
      <w:r w:rsidR="28F3DF13">
        <w:t xml:space="preserve">, such as </w:t>
      </w:r>
      <w:r w:rsidR="4E769AE8">
        <w:t>for</w:t>
      </w:r>
      <w:r w:rsidR="2E40D36B">
        <w:t xml:space="preserve"> upgrad</w:t>
      </w:r>
      <w:r w:rsidR="363B247B">
        <w:t>ing</w:t>
      </w:r>
      <w:r w:rsidR="2E40D36B">
        <w:t xml:space="preserve"> electrical infrastructure, for example</w:t>
      </w:r>
      <w:r w:rsidR="1620C96C">
        <w:t>.</w:t>
      </w:r>
    </w:p>
    <w:p w14:paraId="21682792" w14:textId="1D256BD0" w:rsidR="003F47E5" w:rsidRDefault="69848A0B" w:rsidP="00FC659A">
      <w:pPr>
        <w:pStyle w:val="Heading2"/>
      </w:pPr>
      <w:bookmarkStart w:id="2" w:name="_Toc216703868"/>
      <w:r>
        <w:t>Purpose</w:t>
      </w:r>
      <w:bookmarkEnd w:id="2"/>
    </w:p>
    <w:p w14:paraId="3B6B1AAD" w14:textId="70E63A74" w:rsidR="6B5E9D02" w:rsidRDefault="6B5E9D02" w:rsidP="0968B722">
      <w:pPr>
        <w:pStyle w:val="BodyText"/>
      </w:pPr>
      <w:r>
        <w:t xml:space="preserve">The </w:t>
      </w:r>
      <w:r w:rsidR="4BA5364D">
        <w:t>extent to which</w:t>
      </w:r>
      <w:r>
        <w:t xml:space="preserve"> customer</w:t>
      </w:r>
      <w:r w:rsidR="7517AA07">
        <w:t>s’</w:t>
      </w:r>
      <w:r>
        <w:t xml:space="preserve"> readiness</w:t>
      </w:r>
      <w:r w:rsidR="157CCFF8">
        <w:t xml:space="preserve"> </w:t>
      </w:r>
      <w:r>
        <w:t xml:space="preserve">to move away from the use of gas as a fuel </w:t>
      </w:r>
      <w:r w:rsidR="118144A0">
        <w:t>source</w:t>
      </w:r>
      <w:r w:rsidR="268F58CD">
        <w:t xml:space="preserve"> must be considered as a </w:t>
      </w:r>
      <w:r w:rsidR="7C1E71F2">
        <w:t>criterion</w:t>
      </w:r>
      <w:r w:rsidR="5E247209">
        <w:t xml:space="preserve"> for assessing the relative promise of candidate sites for</w:t>
      </w:r>
      <w:r w:rsidR="268F58CD">
        <w:t xml:space="preserve"> gas decommissioning projects depends upon </w:t>
      </w:r>
      <w:r w:rsidR="2DA6A2BB">
        <w:t xml:space="preserve">one’s conception of </w:t>
      </w:r>
      <w:r w:rsidR="268F58CD">
        <w:t>how such projects are most</w:t>
      </w:r>
      <w:r>
        <w:t xml:space="preserve"> likely to </w:t>
      </w:r>
      <w:r w:rsidR="42C2CA56">
        <w:t>proceed</w:t>
      </w:r>
      <w:r>
        <w:t>, in real world practice.</w:t>
      </w:r>
      <w:r w:rsidR="51337A0E">
        <w:t xml:space="preserve"> While it is technically possible </w:t>
      </w:r>
      <w:r w:rsidR="056B1165">
        <w:t xml:space="preserve">that </w:t>
      </w:r>
      <w:r w:rsidR="51337A0E">
        <w:t>the choice of</w:t>
      </w:r>
      <w:r w:rsidR="399686CE">
        <w:t xml:space="preserve"> </w:t>
      </w:r>
      <w:r w:rsidR="51337A0E">
        <w:t>site</w:t>
      </w:r>
      <w:r w:rsidR="7A5CF0F9">
        <w:t>s</w:t>
      </w:r>
      <w:r w:rsidR="51337A0E">
        <w:t xml:space="preserve"> for pursuing gas decommissioning projects could be based solely on the characteristics of gas infrastructure</w:t>
      </w:r>
      <w:r w:rsidR="5668DF49">
        <w:t xml:space="preserve"> assets</w:t>
      </w:r>
      <w:r w:rsidR="51337A0E">
        <w:t>, with impacted customers only being notified</w:t>
      </w:r>
      <w:r w:rsidR="05634CD9">
        <w:t xml:space="preserve"> about their impending termination of service</w:t>
      </w:r>
      <w:r w:rsidR="51337A0E">
        <w:t xml:space="preserve"> after the fact</w:t>
      </w:r>
      <w:r w:rsidR="33D4CFDA">
        <w:t>. I</w:t>
      </w:r>
      <w:r w:rsidR="51337A0E">
        <w:t>t i</w:t>
      </w:r>
      <w:r w:rsidR="2629D48E">
        <w:t xml:space="preserve">s highly unlikely that such projects would be able to proceed to completion </w:t>
      </w:r>
      <w:r w:rsidR="0DE2F2B4">
        <w:t>without</w:t>
      </w:r>
      <w:r w:rsidR="2629D48E">
        <w:t xml:space="preserve"> </w:t>
      </w:r>
      <w:r w:rsidR="51B18354">
        <w:t xml:space="preserve">encountering </w:t>
      </w:r>
      <w:r w:rsidR="2629D48E">
        <w:t xml:space="preserve">significant customer opposition. </w:t>
      </w:r>
      <w:r w:rsidR="0C6FE69E">
        <w:t xml:space="preserve">This is because, in the absence of significant financial support, customers facing termination of their gas service would </w:t>
      </w:r>
      <w:r w:rsidR="3314B55A">
        <w:t>be responsible for</w:t>
      </w:r>
      <w:r w:rsidR="0C6FE69E">
        <w:t xml:space="preserve"> significant expenses related </w:t>
      </w:r>
      <w:r w:rsidR="0B2C3216">
        <w:t xml:space="preserve">to </w:t>
      </w:r>
      <w:r w:rsidR="0C6FE69E">
        <w:t>procuring, installing</w:t>
      </w:r>
      <w:r w:rsidR="1AF46E97">
        <w:t xml:space="preserve">, and (potentially) operating </w:t>
      </w:r>
      <w:r w:rsidR="71BC4D8F">
        <w:t xml:space="preserve">gas </w:t>
      </w:r>
      <w:r w:rsidR="1AF46E97">
        <w:t>substitute</w:t>
      </w:r>
      <w:r w:rsidR="1E9D6CCE">
        <w:t xml:space="preserve"> end-use </w:t>
      </w:r>
      <w:r w:rsidR="1AF46E97">
        <w:t>equipment</w:t>
      </w:r>
      <w:r w:rsidR="1889D3B7">
        <w:t xml:space="preserve">. </w:t>
      </w:r>
      <w:r w:rsidR="19864A6C">
        <w:t xml:space="preserve">The purpose of the </w:t>
      </w:r>
      <w:r w:rsidR="00A74700">
        <w:t xml:space="preserve">Residential </w:t>
      </w:r>
      <w:r w:rsidR="19864A6C">
        <w:t xml:space="preserve">and </w:t>
      </w:r>
      <w:r w:rsidR="00A74700">
        <w:t>Non-Residential Decommissioning Readiness I</w:t>
      </w:r>
      <w:r w:rsidR="4FB48D8C">
        <w:t xml:space="preserve">ndices, therefore, is to function as a proxy for the extent to which gas decommissioning project proposals are likely to encounter such local customer </w:t>
      </w:r>
      <w:r w:rsidR="06800FA9">
        <w:t>opposition</w:t>
      </w:r>
      <w:r w:rsidR="4FCE0EC6">
        <w:t xml:space="preserve"> </w:t>
      </w:r>
      <w:r w:rsidR="4FB48D8C">
        <w:t>due to the burd</w:t>
      </w:r>
      <w:r w:rsidR="5C9566DD">
        <w:t>ens, financial and otherwise, which those customers would likely have to bear as a result of their participation.</w:t>
      </w:r>
    </w:p>
    <w:p w14:paraId="7A8ACDF4" w14:textId="4B90DCA6" w:rsidR="003F47E5" w:rsidRDefault="007507CF" w:rsidP="003F47E5">
      <w:pPr>
        <w:pStyle w:val="Heading1"/>
      </w:pPr>
      <w:bookmarkStart w:id="3" w:name="_Toc216703869"/>
      <w:r>
        <w:lastRenderedPageBreak/>
        <w:t>Approach</w:t>
      </w:r>
      <w:r w:rsidR="007E1C5A">
        <w:t xml:space="preserve"> and Methodology</w:t>
      </w:r>
      <w:bookmarkEnd w:id="3"/>
    </w:p>
    <w:p w14:paraId="4ED43085" w14:textId="7E70C6CB" w:rsidR="007507CF" w:rsidRDefault="7B6C06F3" w:rsidP="00FC659A">
      <w:pPr>
        <w:pStyle w:val="Heading2"/>
      </w:pPr>
      <w:bookmarkStart w:id="4" w:name="_Toc216703870"/>
      <w:r>
        <w:t>Data Identification</w:t>
      </w:r>
      <w:bookmarkEnd w:id="4"/>
    </w:p>
    <w:p w14:paraId="76511A4C" w14:textId="6788A468" w:rsidR="0968B722" w:rsidRDefault="366828A9" w:rsidP="00FC659A">
      <w:pPr>
        <w:pStyle w:val="Heading3"/>
      </w:pPr>
      <w:r>
        <w:t>Expected Quality and Sources of the Data Sets That Will Populate the Data-Driven Tool</w:t>
      </w:r>
    </w:p>
    <w:p w14:paraId="012FFF47" w14:textId="5BB0068E" w:rsidR="4891E42D" w:rsidRDefault="43D692BD" w:rsidP="0968B722">
      <w:pPr>
        <w:pStyle w:val="BodyText"/>
      </w:pPr>
      <w:r>
        <w:t>The research team obtained n</w:t>
      </w:r>
      <w:r w:rsidR="5A981256">
        <w:t>early a</w:t>
      </w:r>
      <w:r w:rsidR="0F67390E">
        <w:t xml:space="preserve">ll the primary data sources which </w:t>
      </w:r>
      <w:r w:rsidR="4B97F635">
        <w:t>were</w:t>
      </w:r>
      <w:r w:rsidR="0F67390E">
        <w:t xml:space="preserve"> assembled for use in the </w:t>
      </w:r>
      <w:r>
        <w:t xml:space="preserve">Decommissioning Readiness Indices </w:t>
      </w:r>
      <w:r w:rsidR="0F67390E">
        <w:t>from</w:t>
      </w:r>
      <w:r w:rsidR="30D03AF2">
        <w:t xml:space="preserve"> official </w:t>
      </w:r>
      <w:r w:rsidR="0F67390E">
        <w:t>providers</w:t>
      </w:r>
      <w:r w:rsidR="680BF709">
        <w:t xml:space="preserve"> </w:t>
      </w:r>
      <w:r w:rsidR="18085C05">
        <w:t xml:space="preserve">operating </w:t>
      </w:r>
      <w:r w:rsidR="680BF709">
        <w:t>the state or national level</w:t>
      </w:r>
      <w:r w:rsidR="0F67390E">
        <w:t xml:space="preserve">. </w:t>
      </w:r>
      <w:r w:rsidR="12DF4846">
        <w:t xml:space="preserve">These data </w:t>
      </w:r>
      <w:r w:rsidR="4AD73E4C">
        <w:t>providers</w:t>
      </w:r>
      <w:r w:rsidR="12DF4846">
        <w:t xml:space="preserve"> are documented more comprehensively in the project’s </w:t>
      </w:r>
      <w:r w:rsidR="00D92368" w:rsidRPr="00D92368">
        <w:rPr>
          <w:b/>
          <w:bCs/>
        </w:rPr>
        <w:t>Indices Design and Development Memorandum</w:t>
      </w:r>
      <w:r w:rsidR="00D92368" w:rsidRPr="00446BCD">
        <w:rPr>
          <w:i/>
          <w:iCs/>
        </w:rPr>
        <w:t xml:space="preserve"> (</w:t>
      </w:r>
      <w:r w:rsidR="12DF4846" w:rsidRPr="00446BCD">
        <w:rPr>
          <w:i/>
          <w:iCs/>
        </w:rPr>
        <w:t xml:space="preserve">Secondary and Tertiary </w:t>
      </w:r>
      <w:r w:rsidR="20B2C34C" w:rsidRPr="00446BCD">
        <w:rPr>
          <w:i/>
          <w:iCs/>
        </w:rPr>
        <w:t>Metrics Report</w:t>
      </w:r>
      <w:r w:rsidR="00446BCD" w:rsidRPr="00446BCD">
        <w:rPr>
          <w:i/>
          <w:iCs/>
        </w:rPr>
        <w:t>)</w:t>
      </w:r>
      <w:r w:rsidR="20B2C34C">
        <w:t xml:space="preserve">. However, at a high level, </w:t>
      </w:r>
      <w:r w:rsidR="75A66FAB">
        <w:t>they</w:t>
      </w:r>
      <w:r w:rsidR="20B2C34C">
        <w:t xml:space="preserve"> include</w:t>
      </w:r>
      <w:r w:rsidR="3FE35C4E">
        <w:t>d</w:t>
      </w:r>
      <w:r w:rsidR="20B2C34C">
        <w:t xml:space="preserve"> the U.S. Census Bureau, the National Renewable Energy Laboratory (NREL)</w:t>
      </w:r>
      <w:r w:rsidR="63E5C948">
        <w:t xml:space="preserve">, the U.S. Energy Information Administration (EIA), the </w:t>
      </w:r>
      <w:r w:rsidR="00B67B04">
        <w:t>CEC</w:t>
      </w:r>
      <w:r w:rsidR="63E5C948">
        <w:t>,</w:t>
      </w:r>
      <w:r w:rsidR="6D731835">
        <w:t xml:space="preserve"> </w:t>
      </w:r>
      <w:r w:rsidR="5A84037B">
        <w:t xml:space="preserve">and </w:t>
      </w:r>
      <w:r w:rsidR="00AB7948">
        <w:t>California’s investor-owned utilities</w:t>
      </w:r>
      <w:r w:rsidR="09420A68">
        <w:t xml:space="preserve"> (IOUs). </w:t>
      </w:r>
      <w:r w:rsidR="0F67390E">
        <w:t>The only instance where novel research had to be cond</w:t>
      </w:r>
      <w:r w:rsidR="371D1AC1">
        <w:t xml:space="preserve">ucted to develop a primary input </w:t>
      </w:r>
      <w:r w:rsidR="1379D6BA">
        <w:t xml:space="preserve">variable </w:t>
      </w:r>
      <w:r w:rsidR="371D1AC1">
        <w:t xml:space="preserve">was in the case of determining the relative </w:t>
      </w:r>
      <w:r w:rsidR="7A836D1D">
        <w:t xml:space="preserve">state of technical and commercial maturity </w:t>
      </w:r>
      <w:r w:rsidR="371D1AC1">
        <w:t>of gas substitute</w:t>
      </w:r>
      <w:r w:rsidR="1304B94E">
        <w:t xml:space="preserve"> technologies relative to different combinations of end-use energy service categories and different non-residential sub-sectors. This is an area where </w:t>
      </w:r>
      <w:r w:rsidR="4C5113F1">
        <w:t>the team</w:t>
      </w:r>
      <w:r w:rsidR="1304B94E">
        <w:t xml:space="preserve"> needed to conduct a literature review of published studies in both the peer reviewed academic literature as well as in </w:t>
      </w:r>
      <w:r w:rsidR="0F8A209A">
        <w:t>grey literature</w:t>
      </w:r>
      <w:r w:rsidR="00F25C53">
        <w:rPr>
          <w:rStyle w:val="FootnoteReference"/>
        </w:rPr>
        <w:footnoteReference w:id="2"/>
      </w:r>
      <w:r w:rsidR="0F8A209A">
        <w:t xml:space="preserve"> reports and trade publications</w:t>
      </w:r>
      <w:r w:rsidR="7DCDD190">
        <w:t xml:space="preserve"> to establish relative sc</w:t>
      </w:r>
      <w:r w:rsidR="22A70845">
        <w:t>o</w:t>
      </w:r>
      <w:r w:rsidR="7DCDD190">
        <w:t>res (low = 1, medium = 2, or high 3)</w:t>
      </w:r>
      <w:r w:rsidR="779D4B74">
        <w:t xml:space="preserve"> </w:t>
      </w:r>
      <w:r w:rsidR="2559B1BA">
        <w:t xml:space="preserve">for </w:t>
      </w:r>
      <w:r w:rsidR="779D4B74">
        <w:t>technical readiness. This is an instance where this, and future</w:t>
      </w:r>
      <w:r w:rsidR="00E23A68">
        <w:t>,</w:t>
      </w:r>
      <w:r w:rsidR="779D4B74">
        <w:t xml:space="preserve"> projects would have benefitted from the availability of a more officially established set of technical readiness evaluation </w:t>
      </w:r>
      <w:r w:rsidR="1A482C3B">
        <w:t>results</w:t>
      </w:r>
      <w:r w:rsidR="779D4B74">
        <w:t>.</w:t>
      </w:r>
      <w:r w:rsidR="623DFC60">
        <w:t xml:space="preserve"> This is something that could alternatively be taken up by California state agencies or even one of the National Laboratories</w:t>
      </w:r>
      <w:r w:rsidR="7A0E8233">
        <w:t xml:space="preserve"> as a topic of future research. </w:t>
      </w:r>
    </w:p>
    <w:p w14:paraId="1A5B7BA0" w14:textId="77626B80" w:rsidR="2185A5D0" w:rsidRDefault="2185A5D0" w:rsidP="0968B722">
      <w:pPr>
        <w:pStyle w:val="BodyText"/>
      </w:pPr>
      <w:r>
        <w:t>Despite using many official, high quality, primary data sources for this analysis, there are expected to be long term challenges associated with the reproducibility of the study’s method</w:t>
      </w:r>
      <w:r w:rsidR="3692EF27">
        <w:t xml:space="preserve">s, using </w:t>
      </w:r>
      <w:r w:rsidR="4A851664">
        <w:t xml:space="preserve">similar, but </w:t>
      </w:r>
      <w:r w:rsidR="3692EF27">
        <w:t>updated data</w:t>
      </w:r>
      <w:r w:rsidR="1895F91B">
        <w:t xml:space="preserve">. This is </w:t>
      </w:r>
      <w:r w:rsidR="3692EF27">
        <w:t>due to</w:t>
      </w:r>
      <w:r w:rsidR="1E84ADCF">
        <w:t xml:space="preserve"> challenges related to the accessibility of granular </w:t>
      </w:r>
      <w:r w:rsidR="5B3DE6CB">
        <w:t xml:space="preserve">energy </w:t>
      </w:r>
      <w:r w:rsidR="1E84ADCF">
        <w:t>consumption data for these types of analyses as well as</w:t>
      </w:r>
      <w:r w:rsidR="3692EF27">
        <w:t xml:space="preserve"> inconsistencies in </w:t>
      </w:r>
      <w:r w:rsidR="5FAA6FA4">
        <w:t>the</w:t>
      </w:r>
      <w:r w:rsidR="2A0DB2E8">
        <w:t xml:space="preserve"> update</w:t>
      </w:r>
      <w:r w:rsidR="5FAA6FA4">
        <w:t xml:space="preserve"> cadence</w:t>
      </w:r>
      <w:r w:rsidR="3692EF27">
        <w:t xml:space="preserve"> and methodologies </w:t>
      </w:r>
      <w:r w:rsidR="66D3FFCA">
        <w:t xml:space="preserve">used to </w:t>
      </w:r>
      <w:r w:rsidR="4913581B">
        <w:t>produce</w:t>
      </w:r>
      <w:r w:rsidR="66D3FFCA">
        <w:t xml:space="preserve"> </w:t>
      </w:r>
      <w:r w:rsidR="3C168CEE">
        <w:t xml:space="preserve">some </w:t>
      </w:r>
      <w:r w:rsidR="58EE5285">
        <w:t xml:space="preserve">other </w:t>
      </w:r>
      <w:r w:rsidR="3C168CEE">
        <w:t>key data sources</w:t>
      </w:r>
      <w:r w:rsidR="3692EF27">
        <w:t>.</w:t>
      </w:r>
      <w:r w:rsidR="6A596C92">
        <w:t xml:space="preserve"> </w:t>
      </w:r>
      <w:r w:rsidR="2FE49B69">
        <w:t>In the latter case, t</w:t>
      </w:r>
      <w:r w:rsidR="6A596C92">
        <w:t>he CEC’s Commercial End-Use Survey (CEUS)</w:t>
      </w:r>
      <w:r w:rsidR="00C631CC">
        <w:rPr>
          <w:rStyle w:val="FootnoteReference"/>
        </w:rPr>
        <w:footnoteReference w:id="3"/>
      </w:r>
      <w:r w:rsidR="6A596C92">
        <w:t xml:space="preserve"> </w:t>
      </w:r>
      <w:r w:rsidR="01620AD9">
        <w:t>provides a good illustration of th</w:t>
      </w:r>
      <w:r w:rsidR="5B7E756E">
        <w:t>e</w:t>
      </w:r>
      <w:r w:rsidR="01620AD9">
        <w:t xml:space="preserve"> problem. Th</w:t>
      </w:r>
      <w:r w:rsidR="1A12A1C8">
        <w:t>e</w:t>
      </w:r>
      <w:r w:rsidR="01620AD9">
        <w:t xml:space="preserve"> results of this survey were useful for establishing the distribution of gas consumption by different end-use categories among different classes of non-residential gas consumers. </w:t>
      </w:r>
      <w:r w:rsidR="272CB4AB">
        <w:t>Unfortunately, however, despite efforts to update this study on an ongoing basis</w:t>
      </w:r>
      <w:r w:rsidR="1E547AD7">
        <w:t>,</w:t>
      </w:r>
      <w:r w:rsidR="272CB4AB">
        <w:t xml:space="preserve"> only two published versions currently exist (2006</w:t>
      </w:r>
      <w:r w:rsidR="004033F2">
        <w:rPr>
          <w:rStyle w:val="FootnoteReference"/>
        </w:rPr>
        <w:footnoteReference w:id="4"/>
      </w:r>
      <w:r w:rsidR="272CB4AB">
        <w:t>, and 2018-2020</w:t>
      </w:r>
      <w:r w:rsidR="00C908A0">
        <w:rPr>
          <w:rStyle w:val="FootnoteReference"/>
        </w:rPr>
        <w:footnoteReference w:id="5"/>
      </w:r>
      <w:r w:rsidR="272CB4AB">
        <w:t>) which each have subtle, but imp</w:t>
      </w:r>
      <w:r w:rsidR="2893520A">
        <w:t>ortant</w:t>
      </w:r>
      <w:r w:rsidR="4EDD455F">
        <w:t>,</w:t>
      </w:r>
      <w:r w:rsidR="2893520A">
        <w:t xml:space="preserve"> distinctions in terms of the methods used both for collecting primary data from survey respondents and analysing/aggregating that data for the reporting of </w:t>
      </w:r>
      <w:r w:rsidR="00577117">
        <w:t>results</w:t>
      </w:r>
      <w:r w:rsidR="2893520A">
        <w:t xml:space="preserve">. </w:t>
      </w:r>
      <w:r w:rsidR="00577117">
        <w:t xml:space="preserve">Consequently, </w:t>
      </w:r>
      <w:r w:rsidR="2893520A">
        <w:t xml:space="preserve">without significant </w:t>
      </w:r>
      <w:r w:rsidR="3BB42613">
        <w:t xml:space="preserve">future </w:t>
      </w:r>
      <w:r w:rsidR="2893520A">
        <w:t>changes, this type of data source probably cannot be relied upon to be updated</w:t>
      </w:r>
      <w:r w:rsidR="272CB4AB">
        <w:t xml:space="preserve"> </w:t>
      </w:r>
      <w:r w:rsidR="0B411A28">
        <w:t xml:space="preserve">on a consistent basis, and using consistent methods, to support derivative uses such as those reported on </w:t>
      </w:r>
      <w:r w:rsidR="1D542F42">
        <w:t xml:space="preserve">in this study. </w:t>
      </w:r>
    </w:p>
    <w:p w14:paraId="720A8145" w14:textId="0288977E" w:rsidR="29F76CC6" w:rsidRDefault="00B3785A" w:rsidP="0968B722">
      <w:pPr>
        <w:pStyle w:val="BodyText"/>
      </w:pPr>
      <w:r>
        <w:t>Regarding</w:t>
      </w:r>
      <w:r w:rsidR="29F76CC6">
        <w:t xml:space="preserve"> the availability of disaggregated energy consumption data, current data access and privacy aggregation guidelines </w:t>
      </w:r>
      <w:r>
        <w:t>that</w:t>
      </w:r>
      <w:r w:rsidR="29F76CC6">
        <w:t xml:space="preserve"> have been put into place by the </w:t>
      </w:r>
      <w:r w:rsidR="00E90598">
        <w:t>California Public Utilities Commission (</w:t>
      </w:r>
      <w:r w:rsidR="29F76CC6">
        <w:t>CPUC</w:t>
      </w:r>
      <w:r w:rsidR="00E90598">
        <w:t>)</w:t>
      </w:r>
      <w:r w:rsidR="29F76CC6">
        <w:t xml:space="preserve"> for the purposes of protec</w:t>
      </w:r>
      <w:r w:rsidR="5F5052D0">
        <w:t>ting</w:t>
      </w:r>
      <w:r w:rsidR="00E90598">
        <w:t xml:space="preserve"> </w:t>
      </w:r>
      <w:r w:rsidR="5F5052D0">
        <w:t>IOU customer privacy are quite restrictive in terms of the ability of researcher</w:t>
      </w:r>
      <w:r w:rsidR="00B84A5F">
        <w:t>s</w:t>
      </w:r>
      <w:r w:rsidR="5F5052D0">
        <w:t xml:space="preserve"> to access historical consumption data and appropriately contextualize them for use in this type of analysis. Several of the </w:t>
      </w:r>
      <w:r w:rsidR="722F5DB9">
        <w:t>key</w:t>
      </w:r>
      <w:r w:rsidR="5F5052D0">
        <w:t xml:space="preserve"> primary input variables which were used to support this analysis</w:t>
      </w:r>
      <w:r w:rsidR="58244B7B">
        <w:t>,</w:t>
      </w:r>
      <w:r w:rsidR="5F5052D0">
        <w:t xml:space="preserve"> </w:t>
      </w:r>
      <w:r w:rsidR="00CE1D3C">
        <w:t>which</w:t>
      </w:r>
      <w:r w:rsidR="5F5052D0">
        <w:t xml:space="preserve"> relate to customer gas and electricity use</w:t>
      </w:r>
      <w:r w:rsidR="30E29E24">
        <w:t>,</w:t>
      </w:r>
      <w:r w:rsidR="04F8E6C2">
        <w:t xml:space="preserve"> required </w:t>
      </w:r>
      <w:r w:rsidR="1A5F35B3">
        <w:t>significant</w:t>
      </w:r>
      <w:r w:rsidR="04F8E6C2">
        <w:t xml:space="preserve"> post-processing and contextual enhancement effort on behalf of the UCLA research team</w:t>
      </w:r>
      <w:r w:rsidR="44926E75">
        <w:t xml:space="preserve">. This was </w:t>
      </w:r>
      <w:r w:rsidR="04F8E6C2">
        <w:t>an effort which itself was at least equal to o</w:t>
      </w:r>
      <w:r w:rsidR="258D4E89">
        <w:t>r greater in scope than this scale of this entire project</w:t>
      </w:r>
      <w:r w:rsidR="79F7ACAC">
        <w:t>. Moreover</w:t>
      </w:r>
      <w:r w:rsidR="00B81FCC">
        <w:t xml:space="preserve">, this effort </w:t>
      </w:r>
      <w:r w:rsidR="00491C2E">
        <w:t>was</w:t>
      </w:r>
      <w:r w:rsidR="258D4E89">
        <w:t xml:space="preserve"> funded using a collection of parallel research grant and contract</w:t>
      </w:r>
      <w:r w:rsidR="73C9CAB6">
        <w:t>s</w:t>
      </w:r>
      <w:r w:rsidR="258D4E89">
        <w:t xml:space="preserve"> assembled from various sources</w:t>
      </w:r>
      <w:r w:rsidR="7A8EC517">
        <w:t xml:space="preserve"> over a period of</w:t>
      </w:r>
      <w:r w:rsidR="7042CD73">
        <w:t xml:space="preserve"> multiple</w:t>
      </w:r>
      <w:r w:rsidR="7A8EC517">
        <w:t xml:space="preserve"> years</w:t>
      </w:r>
      <w:r w:rsidR="258D4E89">
        <w:t xml:space="preserve">. </w:t>
      </w:r>
      <w:r w:rsidR="251D9C09">
        <w:t xml:space="preserve">The continued </w:t>
      </w:r>
      <w:r w:rsidR="00A15408">
        <w:t>nonachievement</w:t>
      </w:r>
      <w:r w:rsidR="251D9C09">
        <w:t xml:space="preserve"> of the state to improve the state of granular usage data accessibility and usability through </w:t>
      </w:r>
      <w:r w:rsidR="251D9C09">
        <w:lastRenderedPageBreak/>
        <w:t>update</w:t>
      </w:r>
      <w:r w:rsidR="0C5F286E">
        <w:t>s to both data access pathways and</w:t>
      </w:r>
      <w:r w:rsidR="251D9C09">
        <w:t xml:space="preserve"> </w:t>
      </w:r>
      <w:r w:rsidR="63451C42">
        <w:t xml:space="preserve">required </w:t>
      </w:r>
      <w:r w:rsidR="251D9C09">
        <w:t>privacy</w:t>
      </w:r>
      <w:r w:rsidR="32DD2439">
        <w:t xml:space="preserve"> protection measures</w:t>
      </w:r>
      <w:r w:rsidR="251D9C09">
        <w:t xml:space="preserve"> will present a long</w:t>
      </w:r>
      <w:r w:rsidR="5DF37CAC">
        <w:t>-</w:t>
      </w:r>
      <w:r w:rsidR="251D9C09">
        <w:t xml:space="preserve">term challenge to the </w:t>
      </w:r>
      <w:r w:rsidR="05821B60">
        <w:t>reproducibility</w:t>
      </w:r>
      <w:r w:rsidR="251D9C09">
        <w:t xml:space="preserve"> of this an</w:t>
      </w:r>
      <w:r w:rsidR="43D392AC">
        <w:t xml:space="preserve">d similar analyses. </w:t>
      </w:r>
    </w:p>
    <w:p w14:paraId="0AAD9E9B" w14:textId="68F6196A" w:rsidR="7B6C06F3" w:rsidRDefault="25C76788" w:rsidP="00FC659A">
      <w:pPr>
        <w:pStyle w:val="Heading2"/>
      </w:pPr>
      <w:bookmarkStart w:id="5" w:name="_Toc216703871"/>
      <w:r>
        <w:t>Data</w:t>
      </w:r>
      <w:r w:rsidR="42730EF5">
        <w:t xml:space="preserve"> Collection</w:t>
      </w:r>
      <w:bookmarkEnd w:id="5"/>
    </w:p>
    <w:p w14:paraId="5FA1B682" w14:textId="25EB41E8" w:rsidR="61203D7F" w:rsidRDefault="00C7E9D8" w:rsidP="00FC659A">
      <w:pPr>
        <w:pStyle w:val="Heading3"/>
      </w:pPr>
      <w:r>
        <w:t>IOU Customer Metered Gas and Electricity Usage Data</w:t>
      </w:r>
    </w:p>
    <w:p w14:paraId="52CAD45C" w14:textId="58A77507" w:rsidR="519DB55F" w:rsidRDefault="5B8BAB84" w:rsidP="7F9B53B3">
      <w:pPr>
        <w:pStyle w:val="BodyText"/>
      </w:pPr>
      <w:r>
        <w:t xml:space="preserve">Both the </w:t>
      </w:r>
      <w:r w:rsidR="00C67ABE">
        <w:t xml:space="preserve">Residential </w:t>
      </w:r>
      <w:r>
        <w:t xml:space="preserve">and </w:t>
      </w:r>
      <w:r w:rsidR="00C67ABE">
        <w:t xml:space="preserve">Non-Residential Decommissioning Readiness Indices </w:t>
      </w:r>
      <w:r>
        <w:t xml:space="preserve">relied heavily upon a large, </w:t>
      </w:r>
      <w:r w:rsidR="7059A72F">
        <w:t>confidential</w:t>
      </w:r>
      <w:r>
        <w:t xml:space="preserve"> database of historical metered gas usage data for non-residential customers served by the state’s three largest </w:t>
      </w:r>
      <w:r w:rsidR="00C67ABE">
        <w:t>IOU</w:t>
      </w:r>
      <w:r>
        <w:t xml:space="preserve"> gas utility service providers: PG&amp;E, SDG&amp;E</w:t>
      </w:r>
      <w:r w:rsidR="00C67ABE">
        <w:t>,</w:t>
      </w:r>
      <w:r>
        <w:t xml:space="preserve"> and SoCalGas. This database has been assembled by the UCLA research team based upon raw bill data provided, under non-disclosure agreement, by the CPUC’s Energy Division for the most recently available complete data year</w:t>
      </w:r>
      <w:r w:rsidR="00C67ABE">
        <w:t xml:space="preserve">, </w:t>
      </w:r>
      <w:r>
        <w:t xml:space="preserve">2021. </w:t>
      </w:r>
    </w:p>
    <w:p w14:paraId="53C2B9A5" w14:textId="1EFFB7C5" w:rsidR="08537339" w:rsidRDefault="08537339" w:rsidP="61203D7F">
      <w:pPr>
        <w:pStyle w:val="BodyText"/>
      </w:pPr>
      <w:r>
        <w:t xml:space="preserve">For the </w:t>
      </w:r>
      <w:r w:rsidR="00C67ABE">
        <w:t>Non-Residential Decommissioning Index</w:t>
      </w:r>
      <w:r>
        <w:t>, whose focus is on the volume of customer demand and the proportion of that demand that is used to supply hard to substitute end-uses, customer</w:t>
      </w:r>
      <w:r w:rsidR="50952BB0">
        <w:t xml:space="preserve"> usage</w:t>
      </w:r>
      <w:r>
        <w:t xml:space="preserve"> data were aggregated by six-digit </w:t>
      </w:r>
      <w:r w:rsidR="7246690D">
        <w:t>North American Industrial Classification System (</w:t>
      </w:r>
      <w:r>
        <w:t>NAICS</w:t>
      </w:r>
      <w:r w:rsidR="01F88AEB">
        <w:t>)</w:t>
      </w:r>
      <w:r>
        <w:t xml:space="preserve"> code designation</w:t>
      </w:r>
      <w:r w:rsidR="7817330E">
        <w:t>.</w:t>
      </w:r>
      <w:r>
        <w:t xml:space="preserve"> </w:t>
      </w:r>
      <w:r w:rsidR="41A72FB0">
        <w:t>The</w:t>
      </w:r>
      <w:r w:rsidR="64881448">
        <w:t>se</w:t>
      </w:r>
      <w:r w:rsidR="41A72FB0">
        <w:t xml:space="preserve"> NAICS codes </w:t>
      </w:r>
      <w:r w:rsidR="619614D1">
        <w:t>were</w:t>
      </w:r>
      <w:r w:rsidR="41A72FB0">
        <w:t xml:space="preserve"> self-reported by individual </w:t>
      </w:r>
      <w:r w:rsidR="0D94B2B8">
        <w:t xml:space="preserve">non-residential </w:t>
      </w:r>
      <w:r w:rsidR="41A72FB0">
        <w:t xml:space="preserve">customers to their local </w:t>
      </w:r>
      <w:r w:rsidR="639F265E">
        <w:t>IOU gas service</w:t>
      </w:r>
      <w:r w:rsidR="41A72FB0">
        <w:t xml:space="preserve"> provider</w:t>
      </w:r>
      <w:r w:rsidR="00D40481">
        <w:t>s</w:t>
      </w:r>
      <w:r w:rsidR="41A72FB0">
        <w:t xml:space="preserve">. </w:t>
      </w:r>
      <w:r w:rsidR="2D1C49EB">
        <w:t>The</w:t>
      </w:r>
      <w:r w:rsidR="41A72FB0">
        <w:t xml:space="preserve"> mapping of </w:t>
      </w:r>
      <w:r w:rsidR="00E351B4">
        <w:t>each</w:t>
      </w:r>
      <w:r w:rsidR="172C1DE9">
        <w:t xml:space="preserve"> </w:t>
      </w:r>
      <w:r w:rsidR="7FEE0AA8">
        <w:t>individual six</w:t>
      </w:r>
      <w:r w:rsidR="6C1B0EB2">
        <w:t>-</w:t>
      </w:r>
      <w:r w:rsidR="7FEE0AA8">
        <w:t>digit</w:t>
      </w:r>
      <w:r w:rsidR="0A66C505">
        <w:t xml:space="preserve"> </w:t>
      </w:r>
      <w:r w:rsidR="41A72FB0">
        <w:t xml:space="preserve">NAICS code to </w:t>
      </w:r>
      <w:r w:rsidR="183B7AE7">
        <w:t>one of</w:t>
      </w:r>
      <w:r w:rsidR="58FE5D76">
        <w:t xml:space="preserve"> </w:t>
      </w:r>
      <w:r w:rsidR="183B7AE7">
        <w:t xml:space="preserve">13 </w:t>
      </w:r>
      <w:r w:rsidR="41A72FB0">
        <w:t>CEUS sub-sect</w:t>
      </w:r>
      <w:r w:rsidR="1497BB9E">
        <w:t>or</w:t>
      </w:r>
      <w:r w:rsidR="750BBAAF">
        <w:t>s</w:t>
      </w:r>
      <w:r w:rsidR="1497BB9E">
        <w:t xml:space="preserve"> was </w:t>
      </w:r>
      <w:r w:rsidR="00DE603D">
        <w:t>performed using</w:t>
      </w:r>
      <w:r w:rsidR="07E3490B">
        <w:t xml:space="preserve"> </w:t>
      </w:r>
      <w:r w:rsidR="00DE603D">
        <w:t xml:space="preserve">definitions reported in </w:t>
      </w:r>
      <w:r w:rsidR="07E3490B">
        <w:t xml:space="preserve">the official NAICS </w:t>
      </w:r>
      <w:r w:rsidR="00DE603D">
        <w:t xml:space="preserve">code </w:t>
      </w:r>
      <w:r w:rsidR="07E3490B">
        <w:t>documentation hosted by the US Census.</w:t>
      </w:r>
      <w:r w:rsidRPr="1F07ED0A">
        <w:rPr>
          <w:rStyle w:val="FootnoteReference"/>
        </w:rPr>
        <w:footnoteReference w:id="6"/>
      </w:r>
      <w:r w:rsidR="5F0C2254">
        <w:t xml:space="preserve"> </w:t>
      </w:r>
      <w:r>
        <w:t xml:space="preserve">For the </w:t>
      </w:r>
      <w:r w:rsidR="00F050D3">
        <w:t>Residential Decommissioning Index</w:t>
      </w:r>
      <w:r w:rsidR="7065E08F">
        <w:t>, customer data were aggregated according to single-family or multi-family housing type designation, as determined by t</w:t>
      </w:r>
      <w:r w:rsidR="1B263E7C">
        <w:t>ax-assessor database property use</w:t>
      </w:r>
      <w:r w:rsidR="371A8278">
        <w:t>-</w:t>
      </w:r>
      <w:r w:rsidR="1B263E7C">
        <w:t>type designations for the parcels associated with individual utility customer premises.</w:t>
      </w:r>
    </w:p>
    <w:p w14:paraId="3825B41C" w14:textId="311D0981" w:rsidR="61203D7F" w:rsidRDefault="46B1CFB5" w:rsidP="00FC659A">
      <w:pPr>
        <w:pStyle w:val="Heading3"/>
      </w:pPr>
      <w:r>
        <w:t>Residential Household Socio-Economic Attribute Data</w:t>
      </w:r>
    </w:p>
    <w:p w14:paraId="74309B76" w14:textId="46549D2C" w:rsidR="072EB681" w:rsidRDefault="072EB681" w:rsidP="61203D7F">
      <w:pPr>
        <w:pStyle w:val="BodyText"/>
      </w:pPr>
      <w:r>
        <w:t xml:space="preserve">Data on the current socio-economic </w:t>
      </w:r>
      <w:r w:rsidR="2A0F0D9F">
        <w:t xml:space="preserve">characteristics </w:t>
      </w:r>
      <w:r>
        <w:t>of residential populations within California were obtained from the US Census Bureau’s American Community Survey</w:t>
      </w:r>
      <w:r w:rsidR="00401EE3">
        <w:rPr>
          <w:rStyle w:val="FootnoteReference"/>
        </w:rPr>
        <w:footnoteReference w:id="7"/>
      </w:r>
      <w:r>
        <w:t xml:space="preserve">. Specifically, </w:t>
      </w:r>
      <w:r w:rsidR="00F050D3">
        <w:t>5</w:t>
      </w:r>
      <w:r w:rsidR="37C8E4B1">
        <w:t>-</w:t>
      </w:r>
      <w:r>
        <w:t>year estimates for the year 202</w:t>
      </w:r>
      <w:r w:rsidR="0989F639">
        <w:t>2</w:t>
      </w:r>
      <w:r w:rsidR="53C9E979">
        <w:t xml:space="preserve"> were accessed via API</w:t>
      </w:r>
      <w:r w:rsidR="567041B6">
        <w:t>. A list of the relevant primary source variables with justifications for their use in quantifying residential decommissioning readiness is provided below:</w:t>
      </w:r>
    </w:p>
    <w:p w14:paraId="72A5AB24" w14:textId="125E75A5" w:rsidR="567041B6" w:rsidRDefault="567041B6" w:rsidP="61203D7F">
      <w:pPr>
        <w:pStyle w:val="Bullet1"/>
      </w:pPr>
      <w:r w:rsidRPr="61203D7F">
        <w:rPr>
          <w:b/>
          <w:bCs/>
        </w:rPr>
        <w:t>Median household income</w:t>
      </w:r>
      <w:r w:rsidR="00540E1B">
        <w:rPr>
          <w:b/>
          <w:bCs/>
        </w:rPr>
        <w:t xml:space="preserve">: </w:t>
      </w:r>
      <w:r w:rsidR="00540E1B" w:rsidRPr="00B90477">
        <w:t>T</w:t>
      </w:r>
      <w:r w:rsidRPr="00B90477">
        <w:t>he</w:t>
      </w:r>
      <w:r w:rsidRPr="61203D7F">
        <w:t xml:space="preserve"> assumption relative to this variable is that census tracts with higher median household incomes will have greater access to financial resources necessary to facilitate the up-front purchase of gas substitute equipment, as well as to make any necessary property renovations/retrofits necessary to accommodate their installation. </w:t>
      </w:r>
    </w:p>
    <w:p w14:paraId="3ACE015D" w14:textId="1489B91C" w:rsidR="567041B6" w:rsidRDefault="567041B6" w:rsidP="61203D7F">
      <w:pPr>
        <w:pStyle w:val="Bullet1"/>
      </w:pPr>
      <w:r w:rsidRPr="61203D7F">
        <w:rPr>
          <w:b/>
          <w:bCs/>
        </w:rPr>
        <w:t>Percentage renter housing units</w:t>
      </w:r>
      <w:r w:rsidR="00540E1B">
        <w:rPr>
          <w:b/>
          <w:bCs/>
        </w:rPr>
        <w:t xml:space="preserve">: </w:t>
      </w:r>
      <w:r w:rsidRPr="61203D7F">
        <w:t>The assumption relative to this variable is that census tracts with a higher percentage of renter housing units will have greater challenges in terms of initiating and completing gas-appliance substitution projects, due to the split-incentives between property owners and renters in terms of these types of building energy system alteration projects.</w:t>
      </w:r>
    </w:p>
    <w:p w14:paraId="437A94BD" w14:textId="4D11849B" w:rsidR="567041B6" w:rsidRDefault="567041B6" w:rsidP="61203D7F">
      <w:pPr>
        <w:pStyle w:val="Bullet1"/>
      </w:pPr>
      <w:r w:rsidRPr="61203D7F">
        <w:rPr>
          <w:b/>
          <w:bCs/>
        </w:rPr>
        <w:t>Median gross rent as a percentage of household income</w:t>
      </w:r>
      <w:r w:rsidR="00540E1B">
        <w:rPr>
          <w:b/>
          <w:bCs/>
        </w:rPr>
        <w:t xml:space="preserve">: </w:t>
      </w:r>
      <w:r w:rsidRPr="61203D7F">
        <w:t xml:space="preserve">The assumption relative to this variable is that census tracts with higher median gross rents as a percentage of household income will have a larger population facing financial constraints in terms of the cost of implementing the types of fuel-substitution measures that would likely be required to participate in a decommissioning project. </w:t>
      </w:r>
    </w:p>
    <w:p w14:paraId="2677E229" w14:textId="13651C64" w:rsidR="567041B6" w:rsidRDefault="567041B6" w:rsidP="61203D7F">
      <w:pPr>
        <w:pStyle w:val="Bullet1"/>
      </w:pPr>
      <w:r w:rsidRPr="61203D7F">
        <w:rPr>
          <w:b/>
          <w:bCs/>
        </w:rPr>
        <w:t>Homeowners with mortgage housing costs that are greater than 50% of their household income</w:t>
      </w:r>
      <w:r w:rsidR="00540E1B">
        <w:rPr>
          <w:b/>
          <w:bCs/>
        </w:rPr>
        <w:t xml:space="preserve">: </w:t>
      </w:r>
      <w:r w:rsidRPr="61203D7F">
        <w:t>The assumption relative to this variable is that census tracts with a larger number of homeowners whose housing costs are greater than 50% of their household income will be more financially constrained in terms of initiating the types of fuel-substitution measures that would likely be required to participate in a decommissioning project.</w:t>
      </w:r>
    </w:p>
    <w:p w14:paraId="6DBDCD79" w14:textId="49B65B55" w:rsidR="567041B6" w:rsidRDefault="567041B6" w:rsidP="61203D7F">
      <w:pPr>
        <w:pStyle w:val="Bullet1"/>
      </w:pPr>
      <w:r w:rsidRPr="61203D7F">
        <w:rPr>
          <w:b/>
          <w:bCs/>
        </w:rPr>
        <w:lastRenderedPageBreak/>
        <w:t>Homeowners without mortgage housing costs that are greater than 50% of their household income</w:t>
      </w:r>
      <w:r w:rsidR="00540E1B">
        <w:rPr>
          <w:b/>
          <w:bCs/>
        </w:rPr>
        <w:t xml:space="preserve">: </w:t>
      </w:r>
      <w:r w:rsidRPr="61203D7F">
        <w:t xml:space="preserve">The assumption relative to this variable mirrors that of the previous, except as applied to homeowners who may be similarly burdened by non-mortgage related housing costs. </w:t>
      </w:r>
    </w:p>
    <w:p w14:paraId="2C42D699" w14:textId="5ACC33B2" w:rsidR="567041B6" w:rsidRDefault="567041B6" w:rsidP="00540E1B">
      <w:pPr>
        <w:pStyle w:val="Bullet1Last"/>
      </w:pPr>
      <w:r w:rsidRPr="61203D7F">
        <w:rPr>
          <w:b/>
          <w:bCs/>
        </w:rPr>
        <w:t>Renter housing costs greater than 50% of their household income</w:t>
      </w:r>
      <w:r w:rsidR="00540E1B">
        <w:rPr>
          <w:b/>
          <w:bCs/>
        </w:rPr>
        <w:t xml:space="preserve">: </w:t>
      </w:r>
      <w:r w:rsidRPr="61203D7F">
        <w:t xml:space="preserve">The assumption relative to this variable mirrors that of the previous, except as applied to renters who may be similarly burdened by housing costs. (NOTE: This variable somewhat overlaps with the median gross rent as a percentage of household income, introduced previously. However, </w:t>
      </w:r>
      <w:r w:rsidR="00F83652">
        <w:t>the team</w:t>
      </w:r>
      <w:r w:rsidRPr="61203D7F">
        <w:t xml:space="preserve"> observe</w:t>
      </w:r>
      <w:r w:rsidR="00F83652">
        <w:t>d</w:t>
      </w:r>
      <w:r w:rsidRPr="61203D7F">
        <w:t xml:space="preserve"> that renters are not the principal agents responsible making property modification decisions. Thus, </w:t>
      </w:r>
      <w:r w:rsidR="00F83652">
        <w:t>the team</w:t>
      </w:r>
      <w:r w:rsidRPr="61203D7F">
        <w:t xml:space="preserve"> determined that it would be appropriate to include both variables in this sub-index as a way of amplifying these concerns relative to census tracts with larger populations of housing cost burdened renter household </w:t>
      </w:r>
      <w:r w:rsidR="006D5BFD">
        <w:t>con</w:t>
      </w:r>
      <w:r w:rsidR="003C0BD9">
        <w:t>sidered</w:t>
      </w:r>
      <w:r w:rsidRPr="61203D7F">
        <w:t xml:space="preserve"> as having a lower measure of financial stability relative to the potential needs of decommissioning project participation.)</w:t>
      </w:r>
    </w:p>
    <w:p w14:paraId="2987F116" w14:textId="54406878" w:rsidR="5CED5560" w:rsidRDefault="46B1CFB5" w:rsidP="00FC659A">
      <w:pPr>
        <w:pStyle w:val="Heading3"/>
      </w:pPr>
      <w:r>
        <w:t>Residential Building Stock Attribute Data</w:t>
      </w:r>
    </w:p>
    <w:p w14:paraId="20F0DC8A" w14:textId="69254B54" w:rsidR="09CAA665" w:rsidRDefault="76CDD065" w:rsidP="39C4045D">
      <w:pPr>
        <w:pStyle w:val="BodyText"/>
      </w:pPr>
      <w:r>
        <w:t>D</w:t>
      </w:r>
      <w:r w:rsidR="61E5CF67">
        <w:t xml:space="preserve">ata on the </w:t>
      </w:r>
      <w:r w:rsidR="6B95CD2B">
        <w:t>characteristics of the residential building stock and some categories of installed end-use energy equipment were sourced from the US Census Bureau’s American Community Survey</w:t>
      </w:r>
      <w:r w:rsidR="00CE47A4">
        <w:t xml:space="preserve"> (ACS)</w:t>
      </w:r>
      <w:r w:rsidR="6B95CD2B">
        <w:t>. Specifically, 5-year estimates for the year 20</w:t>
      </w:r>
      <w:r w:rsidR="6DF84518">
        <w:t xml:space="preserve">22 were accessed via API. A list of the relevant primary source variables with justifications for their use in quantifying residential decommissioning readiness is provided below: </w:t>
      </w:r>
    </w:p>
    <w:p w14:paraId="08200D5A" w14:textId="7D624B6D" w:rsidR="09CAA665" w:rsidRDefault="172ECEB4" w:rsidP="734D305F">
      <w:pPr>
        <w:pStyle w:val="Bullet1"/>
      </w:pPr>
      <w:r w:rsidRPr="734D305F">
        <w:rPr>
          <w:b/>
          <w:bCs/>
        </w:rPr>
        <w:t>Percentage of total housing units that are in 4+ unit multi-family buildings</w:t>
      </w:r>
      <w:r w:rsidR="00540E1B">
        <w:rPr>
          <w:b/>
          <w:bCs/>
        </w:rPr>
        <w:t xml:space="preserve">: </w:t>
      </w:r>
      <w:r w:rsidRPr="734D305F">
        <w:t xml:space="preserve">The assumption relative to this variable is that census tracts with a larger proportion of inhabitants living within larger multi-family buildings should be considered less ready for gas decommissioning as these types of properties are structurally more difficult to electrify and must content with split incentives (between owners and occupants) in terms of the costs and benefits from doing so. </w:t>
      </w:r>
    </w:p>
    <w:p w14:paraId="0A267A7D" w14:textId="197C381C" w:rsidR="09CAA665" w:rsidRDefault="172ECEB4" w:rsidP="734D305F">
      <w:pPr>
        <w:pStyle w:val="Bullet1"/>
      </w:pPr>
      <w:r w:rsidRPr="734D305F">
        <w:rPr>
          <w:b/>
          <w:bCs/>
        </w:rPr>
        <w:t>Percentage of total housing units that were built prior to 1978</w:t>
      </w:r>
      <w:r w:rsidR="00540E1B">
        <w:rPr>
          <w:b/>
          <w:bCs/>
        </w:rPr>
        <w:t xml:space="preserve">: </w:t>
      </w:r>
      <w:r w:rsidRPr="734D305F">
        <w:t xml:space="preserve">The assumption relative to this variable is that census tracts with a higher proportion of total housing units built before to 1978 (prior to the introduction of California's statewide Title-24 building energy codes) are likely to have been constructed with smaller capacity electrical service panels that are less ready to integrate new electrical appliance loads without the need for costly capacity upgrades or other panel size optimization strategies. </w:t>
      </w:r>
    </w:p>
    <w:p w14:paraId="7E80DE46" w14:textId="7709D3F0" w:rsidR="09CAA665" w:rsidRDefault="172ECEB4" w:rsidP="00540E1B">
      <w:pPr>
        <w:pStyle w:val="Bullet1Last"/>
      </w:pPr>
      <w:r w:rsidRPr="734D305F">
        <w:rPr>
          <w:b/>
          <w:bCs/>
        </w:rPr>
        <w:t>Median home value</w:t>
      </w:r>
      <w:r w:rsidR="00540E1B">
        <w:rPr>
          <w:b/>
          <w:bCs/>
        </w:rPr>
        <w:t xml:space="preserve">: </w:t>
      </w:r>
      <w:r w:rsidRPr="734D305F">
        <w:t>The assumption relative to this variable is that census tracts with higher median home values are likely to have received more extensive and more recent building retrofit measures resulting in the improved thermal shell efficiency, end-use energy appliance efficiency, as well as higher-capacity building electrical system components (service panels, wiring, outlet receptacles, etc.) reducing the effective barriers to gas-substitute end-use electrical appliance integration.</w:t>
      </w:r>
    </w:p>
    <w:p w14:paraId="711B8D6E" w14:textId="4A76BDA5" w:rsidR="5CED5560" w:rsidRDefault="5CED5560" w:rsidP="00FC659A">
      <w:pPr>
        <w:pStyle w:val="Heading3"/>
      </w:pPr>
      <w:r>
        <w:t>Non-Residential Sub-sector Gas End-</w:t>
      </w:r>
      <w:r w:rsidRPr="00FC659A">
        <w:t>Use</w:t>
      </w:r>
      <w:r>
        <w:t xml:space="preserve"> Distribution Data</w:t>
      </w:r>
    </w:p>
    <w:p w14:paraId="341A54E9" w14:textId="1832AD49" w:rsidR="7F9B53B3" w:rsidRDefault="08758DE9" w:rsidP="00540E1B">
      <w:pPr>
        <w:pStyle w:val="BodyText"/>
      </w:pPr>
      <w:r>
        <w:t>In addition to the detailed account</w:t>
      </w:r>
      <w:r w:rsidR="575AB332">
        <w:t>-</w:t>
      </w:r>
      <w:r>
        <w:t xml:space="preserve">level metered gas and electricity usage data, our methodology for constructing the </w:t>
      </w:r>
      <w:r w:rsidR="575AB332">
        <w:t xml:space="preserve">Non-Residential Decommissioning Readiness Index </w:t>
      </w:r>
      <w:r>
        <w:t xml:space="preserve">additionally required information about the distribution of gas end-uses by non-residential sub-sector and the relative difficulty of substituting gas for each combination of end-use and sub-sector. For the former, </w:t>
      </w:r>
      <w:r w:rsidR="575AB332">
        <w:t>the research team</w:t>
      </w:r>
      <w:r>
        <w:t xml:space="preserve"> turned to published results from the CEC’s </w:t>
      </w:r>
      <w:r w:rsidR="491B1E1B">
        <w:t>CEUS</w:t>
      </w:r>
      <w:r>
        <w:t xml:space="preserve"> for 2006. At the time the analysis was conducted</w:t>
      </w:r>
      <w:r w:rsidR="624CA641">
        <w:t xml:space="preserve">, </w:t>
      </w:r>
      <w:r>
        <w:t xml:space="preserve">updated results from the 2018-2022 version of the CEUS had not yet been published. Additionally, </w:t>
      </w:r>
      <w:r w:rsidR="18EEA747">
        <w:t>following the publication of the 2018-2022 results, which occurred midway through this project’s completion, the</w:t>
      </w:r>
      <w:r w:rsidR="624CA641">
        <w:t xml:space="preserve"> research team</w:t>
      </w:r>
      <w:r>
        <w:t xml:space="preserve"> found that </w:t>
      </w:r>
      <w:r w:rsidR="6DC88C1E">
        <w:t xml:space="preserve">there were significant </w:t>
      </w:r>
      <w:r>
        <w:t>changes to the methodology</w:t>
      </w:r>
      <w:r w:rsidR="5A186C90">
        <w:t xml:space="preserve"> </w:t>
      </w:r>
      <w:r w:rsidR="4776CA71">
        <w:t>that as used between</w:t>
      </w:r>
      <w:r w:rsidR="437352CA">
        <w:t xml:space="preserve"> 2006 and 2018-2022 </w:t>
      </w:r>
      <w:r w:rsidR="4C7C1DC4">
        <w:t>versions</w:t>
      </w:r>
      <w:r w:rsidR="437352CA">
        <w:t>. Most significantly, the 2018-2022 version of the CEUS no-longer report</w:t>
      </w:r>
      <w:r w:rsidR="7A0650F6">
        <w:t>s</w:t>
      </w:r>
      <w:r w:rsidR="437352CA">
        <w:t xml:space="preserve"> detailed breakdowns of </w:t>
      </w:r>
      <w:r w:rsidR="56FB9D67">
        <w:t xml:space="preserve">end-use </w:t>
      </w:r>
      <w:r w:rsidR="437352CA">
        <w:t xml:space="preserve">gas consumption </w:t>
      </w:r>
      <w:r w:rsidR="65DEA72E">
        <w:t xml:space="preserve">for different </w:t>
      </w:r>
      <w:r w:rsidR="53898012">
        <w:t>commercial sub-sector</w:t>
      </w:r>
      <w:r w:rsidR="0298D5CF">
        <w:t>s. These breakdowns are central to the project’s proposed methodology for quantifying the readiness of non-residential customers to implement</w:t>
      </w:r>
      <w:r w:rsidR="3DED1DC4">
        <w:t xml:space="preserve"> the types of</w:t>
      </w:r>
      <w:r w:rsidR="0298D5CF">
        <w:t xml:space="preserve"> fuel substitution measures </w:t>
      </w:r>
      <w:r w:rsidR="6B1867B9">
        <w:t xml:space="preserve">that will be </w:t>
      </w:r>
      <w:r w:rsidR="765BF614">
        <w:t xml:space="preserve">required to </w:t>
      </w:r>
      <w:r w:rsidR="50E848D2">
        <w:t>participate in gas decommissioning projects</w:t>
      </w:r>
      <w:r w:rsidR="00CE1D3C">
        <w:t xml:space="preserve">. </w:t>
      </w:r>
    </w:p>
    <w:p w14:paraId="3DFDB8C7" w14:textId="3CA3B882" w:rsidR="0968B722" w:rsidRDefault="5881BCC8" w:rsidP="00240DF7">
      <w:pPr>
        <w:pStyle w:val="Heading2"/>
      </w:pPr>
      <w:bookmarkStart w:id="6" w:name="_Toc216703872"/>
      <w:r>
        <w:lastRenderedPageBreak/>
        <w:t xml:space="preserve">Additional Data </w:t>
      </w:r>
      <w:r w:rsidRPr="00540E1B">
        <w:t>Sources</w:t>
      </w:r>
      <w:r>
        <w:t xml:space="preserve"> to </w:t>
      </w:r>
      <w:r w:rsidRPr="00FC659A">
        <w:t>be</w:t>
      </w:r>
      <w:r>
        <w:t xml:space="preserve"> Leveraged</w:t>
      </w:r>
      <w:bookmarkEnd w:id="6"/>
    </w:p>
    <w:p w14:paraId="4284AC23" w14:textId="7501CBD4" w:rsidR="1161FD63" w:rsidRDefault="1FD61908" w:rsidP="0968B722">
      <w:pPr>
        <w:pStyle w:val="BodyText"/>
      </w:pPr>
      <w:r>
        <w:t xml:space="preserve">There </w:t>
      </w:r>
      <w:r w:rsidR="1E92991F">
        <w:t>a</w:t>
      </w:r>
      <w:r>
        <w:t xml:space="preserve">re several additional data sources </w:t>
      </w:r>
      <w:r w:rsidR="47B5C38A">
        <w:t>that</w:t>
      </w:r>
      <w:r>
        <w:t xml:space="preserve"> could be leveraged to support this type of analysis in the future. Principl</w:t>
      </w:r>
      <w:r w:rsidR="062146D3">
        <w:t>e</w:t>
      </w:r>
      <w:r>
        <w:t xml:space="preserve"> among </w:t>
      </w:r>
      <w:r w:rsidR="47B5C38A">
        <w:t>them</w:t>
      </w:r>
      <w:r>
        <w:t xml:space="preserve"> are data </w:t>
      </w:r>
      <w:r w:rsidR="47B5C38A">
        <w:t>that</w:t>
      </w:r>
      <w:r>
        <w:t xml:space="preserve"> reflect the existing and anticipated future capacity constraints of the el</w:t>
      </w:r>
      <w:r w:rsidR="5C162390">
        <w:t xml:space="preserve">ectrical distribution infrastructure in different areas throughout the state. In most residential contexts, as well as in many non-residential contexts, the most likely fuel source that will be used to substitute for the use of </w:t>
      </w:r>
      <w:r w:rsidR="2C027FA2">
        <w:t xml:space="preserve">gas resulting from an infrastructure decommissioning project will be electricity. Consequently, it is natural to inquire as to whether electrical distribution infrastructure capacity constraints may be a limiting factor in terms of the scale or speed with which gas distribution infrastructure decommissioning </w:t>
      </w:r>
      <w:r w:rsidR="308BDAE8">
        <w:t>projects may proceed</w:t>
      </w:r>
      <w:r w:rsidR="00CE1D3C">
        <w:t xml:space="preserve">. </w:t>
      </w:r>
      <w:r w:rsidR="5F0C890A">
        <w:t xml:space="preserve">To </w:t>
      </w:r>
      <w:r w:rsidR="4CDC5C57">
        <w:t>ensure</w:t>
      </w:r>
      <w:r w:rsidR="04809DAF">
        <w:t xml:space="preserve"> </w:t>
      </w:r>
      <w:r w:rsidR="5F0C890A">
        <w:t>consisten</w:t>
      </w:r>
      <w:r w:rsidR="5B75D6BB">
        <w:t>cy</w:t>
      </w:r>
      <w:r w:rsidR="5F0C890A">
        <w:t xml:space="preserve"> with the scope </w:t>
      </w:r>
      <w:r w:rsidR="068E90FB">
        <w:t xml:space="preserve">of the research </w:t>
      </w:r>
      <w:r w:rsidR="4A2FF871">
        <w:t xml:space="preserve">originally </w:t>
      </w:r>
      <w:r w:rsidR="379E9F16">
        <w:t>outline</w:t>
      </w:r>
      <w:r w:rsidR="1496386A">
        <w:t>d</w:t>
      </w:r>
      <w:r w:rsidR="379E9F16">
        <w:t xml:space="preserve"> in the</w:t>
      </w:r>
      <w:r w:rsidR="46EBB2CB">
        <w:t xml:space="preserve"> </w:t>
      </w:r>
      <w:r w:rsidR="5F0C890A">
        <w:t>GFO, t</w:t>
      </w:r>
      <w:r w:rsidR="308BDAE8">
        <w:t>he decision was made to exclude these considerations from th</w:t>
      </w:r>
      <w:r w:rsidR="4BFE8450">
        <w:t>e</w:t>
      </w:r>
      <w:r w:rsidR="308BDAE8">
        <w:t xml:space="preserve"> analysis</w:t>
      </w:r>
      <w:r w:rsidR="51DA4F9D">
        <w:t>. H</w:t>
      </w:r>
      <w:r w:rsidR="308BDAE8">
        <w:t>owever, over the long term, concerns related to the capacity of the electrical system, or indeed any other primary fuel sy</w:t>
      </w:r>
      <w:r w:rsidR="1119030C">
        <w:t xml:space="preserve">stem, to provide for increased demand resulting from decommissioning related end-use fuel substitution efforts should be </w:t>
      </w:r>
      <w:r w:rsidR="1E8E0E88">
        <w:t>considered</w:t>
      </w:r>
      <w:r w:rsidR="1119030C">
        <w:t xml:space="preserve">. </w:t>
      </w:r>
    </w:p>
    <w:p w14:paraId="30EA32CF" w14:textId="56FBB041" w:rsidR="00432F8C" w:rsidRDefault="00DA6BE4" w:rsidP="00432F8C">
      <w:pPr>
        <w:pStyle w:val="Heading1"/>
      </w:pPr>
      <w:bookmarkStart w:id="7" w:name="_Toc216703873"/>
      <w:r>
        <w:lastRenderedPageBreak/>
        <w:t>Stakeholder Engagement</w:t>
      </w:r>
      <w:bookmarkEnd w:id="7"/>
    </w:p>
    <w:p w14:paraId="1CEF8664" w14:textId="1FC5279A" w:rsidR="00DA6BE4" w:rsidRDefault="00DA6BE4" w:rsidP="00FC659A">
      <w:pPr>
        <w:pStyle w:val="Heading2"/>
      </w:pPr>
      <w:bookmarkStart w:id="8" w:name="_Toc216703874"/>
      <w:r>
        <w:t xml:space="preserve">List of Stakeholders </w:t>
      </w:r>
      <w:r w:rsidR="00BD073E">
        <w:t>Involved</w:t>
      </w:r>
      <w:bookmarkEnd w:id="8"/>
    </w:p>
    <w:p w14:paraId="3EA16211" w14:textId="688E0000" w:rsidR="69CC4ED4" w:rsidRDefault="69CC4ED4" w:rsidP="67003B49">
      <w:pPr>
        <w:pStyle w:val="BodyText"/>
        <w:rPr>
          <w:lang w:val="en-US"/>
        </w:rPr>
      </w:pPr>
      <w:r w:rsidRPr="67003B49">
        <w:rPr>
          <w:lang w:val="en-US"/>
        </w:rPr>
        <w:t xml:space="preserve">Because gas system decommissioning is still an emerging and technically complex field, the project team designed a rigorous, step-by-step process to build the Tool’s decommissioning readiness framework. Central to this process was ensuring that the underlying data—particularly the indicators used to assess </w:t>
      </w:r>
      <w:r w:rsidR="4EC1C1FC" w:rsidRPr="5BC0A519">
        <w:rPr>
          <w:lang w:val="en-US"/>
        </w:rPr>
        <w:t>decommissioning</w:t>
      </w:r>
      <w:r w:rsidRPr="130E9A69">
        <w:rPr>
          <w:lang w:val="en-US"/>
        </w:rPr>
        <w:t xml:space="preserve"> </w:t>
      </w:r>
      <w:r w:rsidRPr="67003B49">
        <w:rPr>
          <w:lang w:val="en-US"/>
        </w:rPr>
        <w:t>readiness across California communities—accurately reflected on-the-ground conditions and local priorities. To do so, the team carried out a statewide, multi-layer engagement effort involving state agencies, IOUs, municipal leaders, community-based organizations</w:t>
      </w:r>
      <w:r w:rsidR="000D23C8">
        <w:rPr>
          <w:lang w:val="en-US"/>
        </w:rPr>
        <w:t xml:space="preserve"> (CBOs)</w:t>
      </w:r>
      <w:r w:rsidRPr="67003B49">
        <w:rPr>
          <w:lang w:val="en-US"/>
        </w:rPr>
        <w:t xml:space="preserve">, and other partners (see </w:t>
      </w:r>
      <w:r w:rsidRPr="000D23C8">
        <w:rPr>
          <w:b/>
          <w:bCs/>
          <w:i/>
          <w:iCs/>
          <w:lang w:val="en-US"/>
        </w:rPr>
        <w:t>Final Report APPENDIX D Attendee Lists</w:t>
      </w:r>
      <w:r w:rsidR="007A4FD8">
        <w:rPr>
          <w:b/>
          <w:bCs/>
          <w:i/>
          <w:iCs/>
          <w:lang w:val="en-US"/>
        </w:rPr>
        <w:t>,</w:t>
      </w:r>
      <w:r w:rsidR="007A4FD8" w:rsidRPr="007A4FD8">
        <w:rPr>
          <w:i/>
          <w:iCs/>
          <w:lang w:val="en-US"/>
        </w:rPr>
        <w:t xml:space="preserve"> forthcoming</w:t>
      </w:r>
      <w:r w:rsidRPr="67003B49">
        <w:rPr>
          <w:lang w:val="en-US"/>
        </w:rPr>
        <w:t>). These conversations</w:t>
      </w:r>
      <w:r w:rsidR="10B2FD86" w:rsidRPr="24EDE39A">
        <w:rPr>
          <w:lang w:val="en-US"/>
        </w:rPr>
        <w:t xml:space="preserve"> </w:t>
      </w:r>
      <w:r w:rsidR="6092D956" w:rsidRPr="5D95259B">
        <w:rPr>
          <w:lang w:val="en-US"/>
        </w:rPr>
        <w:t xml:space="preserve">and </w:t>
      </w:r>
      <w:r w:rsidR="6092D956" w:rsidRPr="7069783F">
        <w:rPr>
          <w:lang w:val="en-US"/>
        </w:rPr>
        <w:t>engagement</w:t>
      </w:r>
      <w:r w:rsidRPr="67003B49">
        <w:rPr>
          <w:lang w:val="en-US"/>
        </w:rPr>
        <w:t xml:space="preserve"> informed both the data architecture of the Tool and the co-development of case studies in selected communities.</w:t>
      </w:r>
      <w:r w:rsidR="49E52C5E" w:rsidRPr="1385038A">
        <w:rPr>
          <w:lang w:val="en-US"/>
        </w:rPr>
        <w:t xml:space="preserve"> </w:t>
      </w:r>
      <w:r w:rsidR="49E52C5E">
        <w:t>Engagement around Tool development and refinement did not center on decommissioning readiness but instead focused on all four Tool indices. However, all community engagement activities provided TAC members and community partners with the opportunity to review and provide feedback on the decommissioning readiness indices.</w:t>
      </w:r>
    </w:p>
    <w:p w14:paraId="555C61AD" w14:textId="375F04E7" w:rsidR="69CC4ED4" w:rsidRDefault="69CC4ED4" w:rsidP="67003B49">
      <w:pPr>
        <w:pStyle w:val="BodyText"/>
        <w:rPr>
          <w:lang w:val="en-US"/>
        </w:rPr>
      </w:pPr>
      <w:r w:rsidRPr="67003B49">
        <w:rPr>
          <w:lang w:val="en-US"/>
        </w:rPr>
        <w:t>The TAC played an essential role early in the process of developing the Tool’s indices. Engaged early, the TAC provided structured feedback through meetings, presentations, and targeted surveys that helped shape decisions about which datasets to include, how indicators should be constructed, and how analytical methods should be applied. Their insights ensured that the Tool’s decommissioning readiness measures remained technically sound while also aligned with the practical needs of regulators, utilities, and community partners.</w:t>
      </w:r>
    </w:p>
    <w:p w14:paraId="32C4E81C" w14:textId="0AB80E47" w:rsidR="67003B49" w:rsidRDefault="69CC4ED4" w:rsidP="67003B49">
      <w:pPr>
        <w:pStyle w:val="BodyText"/>
        <w:rPr>
          <w:lang w:val="en-US"/>
        </w:rPr>
      </w:pPr>
      <w:r w:rsidRPr="67003B49">
        <w:rPr>
          <w:color w:val="000000" w:themeColor="text1"/>
          <w:lang w:val="en-US"/>
        </w:rPr>
        <w:t>Case studies were co-developed with local partners to help validate the team’s data, elevate critical factors to include in the Tool, fill in knowledge/data gaps and incorporate diverse perspectives on the costs, risks, benefits</w:t>
      </w:r>
      <w:r w:rsidR="00650AAF">
        <w:rPr>
          <w:color w:val="000000" w:themeColor="text1"/>
          <w:lang w:val="en-US"/>
        </w:rPr>
        <w:t>,</w:t>
      </w:r>
      <w:r w:rsidRPr="67003B49">
        <w:rPr>
          <w:color w:val="000000" w:themeColor="text1"/>
          <w:lang w:val="en-US"/>
        </w:rPr>
        <w:t xml:space="preserve"> and community impacts.</w:t>
      </w:r>
      <w:r w:rsidRPr="6292AE52">
        <w:rPr>
          <w:color w:val="000000" w:themeColor="text1"/>
          <w:lang w:val="en-US"/>
        </w:rPr>
        <w:t xml:space="preserve"> </w:t>
      </w:r>
      <w:r w:rsidRPr="67003B49">
        <w:rPr>
          <w:lang w:val="en-US"/>
        </w:rPr>
        <w:t>This statewide collaborative approach strengthened the accuracy and relevance of the decommissioning readiness data. Stakeholder input helped surface missing information, clarify local constraints, elevate community-defined risks and benefits, and refine assumptions about costs and implementation feasibility.</w:t>
      </w:r>
    </w:p>
    <w:p w14:paraId="7935CACE" w14:textId="2C8BC1BB" w:rsidR="04AFB4A7" w:rsidRDefault="04AFB4A7" w:rsidP="2B2D40BD">
      <w:pPr>
        <w:pStyle w:val="BodyText"/>
        <w:rPr>
          <w:lang w:val="en-US"/>
        </w:rPr>
      </w:pPr>
      <w:r w:rsidRPr="2B2D40BD">
        <w:rPr>
          <w:lang w:val="en-US"/>
        </w:rPr>
        <w:t xml:space="preserve">An important goal of the Tool is to help equitably identify and prioritize potential pipeline segments or areas for decommissioning statewide. Achieving this required validating the </w:t>
      </w:r>
      <w:r w:rsidR="6E7ED576" w:rsidRPr="2B2D40BD">
        <w:rPr>
          <w:lang w:val="en-US"/>
        </w:rPr>
        <w:t xml:space="preserve">decommissioning </w:t>
      </w:r>
      <w:r w:rsidRPr="2B2D40BD">
        <w:rPr>
          <w:lang w:val="en-US"/>
        </w:rPr>
        <w:t xml:space="preserve">readiness metrics through multiple engagement channels, including workshops, a public webinar, and—most critically—case study sessions with community partners. Additional feedback was collected through direct outreach to affinity groups, an online Resource Hub, and the TAC, where appropriate. </w:t>
      </w:r>
      <w:r w:rsidR="0B533247" w:rsidRPr="24BBEBF2">
        <w:rPr>
          <w:lang w:val="en-US"/>
        </w:rPr>
        <w:t xml:space="preserve">These groups are listed in the following </w:t>
      </w:r>
      <w:r w:rsidR="0B533247" w:rsidRPr="7FFF0528">
        <w:rPr>
          <w:lang w:val="en-US"/>
        </w:rPr>
        <w:t xml:space="preserve">sections. </w:t>
      </w:r>
    </w:p>
    <w:p w14:paraId="426678AF" w14:textId="70A22201" w:rsidR="7C6E64CC" w:rsidRDefault="7C6E64CC" w:rsidP="00FC659A">
      <w:pPr>
        <w:pStyle w:val="Heading3"/>
        <w:rPr>
          <w:b/>
          <w:bCs/>
          <w:color w:val="000000" w:themeColor="text1"/>
          <w:sz w:val="18"/>
        </w:rPr>
      </w:pPr>
      <w:r w:rsidRPr="2B2D40BD">
        <w:rPr>
          <w:lang w:val="en-US"/>
        </w:rPr>
        <w:t>TAC Members</w:t>
      </w:r>
    </w:p>
    <w:p w14:paraId="707E6609" w14:textId="7804E8ED" w:rsidR="7C6E64CC" w:rsidRDefault="7C6E64CC" w:rsidP="2B2D40BD">
      <w:pPr>
        <w:pStyle w:val="BodyText"/>
        <w:rPr>
          <w:color w:val="000000" w:themeColor="text1"/>
          <w:lang w:val="en-US"/>
        </w:rPr>
      </w:pPr>
      <w:r w:rsidRPr="2B2D40BD">
        <w:rPr>
          <w:color w:val="000000" w:themeColor="text1"/>
          <w:lang w:val="en-US"/>
        </w:rPr>
        <w:t xml:space="preserve">The following is a list of the TAC members who supported </w:t>
      </w:r>
      <w:r w:rsidR="16953249" w:rsidRPr="2B2D40BD">
        <w:rPr>
          <w:color w:val="000000" w:themeColor="text1"/>
          <w:lang w:val="en-US"/>
        </w:rPr>
        <w:t>the project team</w:t>
      </w:r>
      <w:r w:rsidRPr="2B2D40BD">
        <w:rPr>
          <w:color w:val="000000" w:themeColor="text1"/>
          <w:lang w:val="en-US"/>
        </w:rPr>
        <w:t xml:space="preserve"> in validating data types and sources and advised us on the </w:t>
      </w:r>
      <w:r w:rsidR="2A6327F1" w:rsidRPr="2B2D40BD">
        <w:rPr>
          <w:color w:val="000000" w:themeColor="text1"/>
          <w:lang w:val="en-US"/>
        </w:rPr>
        <w:t>development of the Tool’s Decommissioning Readiness Indices</w:t>
      </w:r>
      <w:r w:rsidRPr="2B2D40BD">
        <w:rPr>
          <w:color w:val="000000" w:themeColor="text1"/>
          <w:lang w:val="en-US"/>
        </w:rPr>
        <w:t xml:space="preserve">. Community engagement with the TAC is described in more detail in </w:t>
      </w:r>
      <w:r w:rsidRPr="00E44DE1">
        <w:rPr>
          <w:b/>
          <w:bCs/>
          <w:i/>
          <w:iCs/>
          <w:color w:val="000000" w:themeColor="text1"/>
          <w:lang w:val="en-US"/>
        </w:rPr>
        <w:t>Section 3.</w:t>
      </w:r>
      <w:r w:rsidR="002902FB">
        <w:rPr>
          <w:b/>
          <w:bCs/>
          <w:i/>
          <w:iCs/>
          <w:color w:val="000000" w:themeColor="text1"/>
          <w:lang w:val="en-US"/>
        </w:rPr>
        <w:t>2.3</w:t>
      </w:r>
      <w:r w:rsidRPr="00E44DE1">
        <w:rPr>
          <w:b/>
          <w:bCs/>
          <w:i/>
          <w:iCs/>
          <w:color w:val="000000" w:themeColor="text1"/>
          <w:lang w:val="en-US"/>
        </w:rPr>
        <w:t xml:space="preserve"> of the Final Report</w:t>
      </w:r>
      <w:r w:rsidR="00BE390A">
        <w:rPr>
          <w:b/>
          <w:bCs/>
          <w:i/>
          <w:iCs/>
          <w:color w:val="000000" w:themeColor="text1"/>
          <w:lang w:val="en-US"/>
        </w:rPr>
        <w:t xml:space="preserve"> </w:t>
      </w:r>
      <w:r w:rsidR="00BE390A" w:rsidRPr="00BE390A">
        <w:rPr>
          <w:i/>
          <w:iCs/>
          <w:color w:val="000000" w:themeColor="text1"/>
          <w:lang w:val="en-US"/>
        </w:rPr>
        <w:t>(forthcoming)</w:t>
      </w:r>
      <w:r w:rsidR="071F348B" w:rsidRPr="2B2D40BD">
        <w:rPr>
          <w:color w:val="000000" w:themeColor="text1"/>
          <w:lang w:val="en-US"/>
        </w:rPr>
        <w:t xml:space="preserve">, and included the following organizations: </w:t>
      </w:r>
    </w:p>
    <w:p w14:paraId="335CC078" w14:textId="50C3B735" w:rsidR="7C6E64CC" w:rsidRDefault="7C6E64CC" w:rsidP="0061304C">
      <w:pPr>
        <w:pStyle w:val="Bullet1"/>
      </w:pPr>
      <w:r w:rsidRPr="2B2D40BD">
        <w:rPr>
          <w:lang w:val="en-US"/>
        </w:rPr>
        <w:t>Natural Resources Defense Council</w:t>
      </w:r>
    </w:p>
    <w:p w14:paraId="4416445D" w14:textId="265786B0" w:rsidR="7C6E64CC" w:rsidRDefault="7C6E64CC" w:rsidP="0061304C">
      <w:pPr>
        <w:pStyle w:val="Bullet1"/>
      </w:pPr>
      <w:r w:rsidRPr="2B2D40BD">
        <w:rPr>
          <w:lang w:val="en-US"/>
        </w:rPr>
        <w:t>Energy Coalition</w:t>
      </w:r>
    </w:p>
    <w:p w14:paraId="645C2FEB" w14:textId="59B153A2" w:rsidR="7C6E64CC" w:rsidRDefault="7C6E64CC" w:rsidP="0061304C">
      <w:pPr>
        <w:pStyle w:val="Bullet1"/>
      </w:pPr>
      <w:r w:rsidRPr="2B2D40BD">
        <w:rPr>
          <w:lang w:val="en-US"/>
        </w:rPr>
        <w:t>Stanford University</w:t>
      </w:r>
    </w:p>
    <w:p w14:paraId="0E68E48F" w14:textId="1877BCFF" w:rsidR="7C6E64CC" w:rsidRDefault="7C6E64CC" w:rsidP="0061304C">
      <w:pPr>
        <w:pStyle w:val="Bullet1"/>
      </w:pPr>
      <w:r w:rsidRPr="2B2D40BD">
        <w:rPr>
          <w:lang w:val="en-US"/>
        </w:rPr>
        <w:t>Energy+Environmental Economics (E3)</w:t>
      </w:r>
    </w:p>
    <w:p w14:paraId="2E25D702" w14:textId="2570C304" w:rsidR="7C6E64CC" w:rsidRDefault="7C6E64CC" w:rsidP="0061304C">
      <w:pPr>
        <w:pStyle w:val="Bullet1"/>
      </w:pPr>
      <w:r w:rsidRPr="2B2D40BD">
        <w:rPr>
          <w:lang w:val="en-US"/>
        </w:rPr>
        <w:t>RAND</w:t>
      </w:r>
    </w:p>
    <w:p w14:paraId="5A1D6EF8" w14:textId="0DF29937" w:rsidR="7C6E64CC" w:rsidRDefault="7C6E64CC" w:rsidP="0061304C">
      <w:pPr>
        <w:pStyle w:val="Bullet1"/>
      </w:pPr>
      <w:r w:rsidRPr="2B2D40BD">
        <w:rPr>
          <w:lang w:val="en-US"/>
        </w:rPr>
        <w:t>California Public Utilities Commission</w:t>
      </w:r>
    </w:p>
    <w:p w14:paraId="79363154" w14:textId="25F35F4F" w:rsidR="7C6E64CC" w:rsidRDefault="7C6E64CC" w:rsidP="0061304C">
      <w:pPr>
        <w:pStyle w:val="Bullet1Last"/>
      </w:pPr>
      <w:r w:rsidRPr="2B2D40BD">
        <w:rPr>
          <w:lang w:val="en-US"/>
        </w:rPr>
        <w:t>California Energy Commission</w:t>
      </w:r>
    </w:p>
    <w:p w14:paraId="4EFE428A" w14:textId="46FEC4B5" w:rsidR="7C6E64CC" w:rsidRDefault="7C6E64CC" w:rsidP="00FC659A">
      <w:pPr>
        <w:pStyle w:val="Heading3"/>
        <w:rPr>
          <w:b/>
          <w:bCs/>
          <w:color w:val="000000" w:themeColor="text1"/>
          <w:sz w:val="18"/>
        </w:rPr>
      </w:pPr>
      <w:r w:rsidRPr="2B2D40BD">
        <w:rPr>
          <w:lang w:val="en-US"/>
        </w:rPr>
        <w:lastRenderedPageBreak/>
        <w:t>Community Partners</w:t>
      </w:r>
    </w:p>
    <w:p w14:paraId="7E6FEC13" w14:textId="15F6D6A2" w:rsidR="7C6E64CC" w:rsidRDefault="7C6E64CC" w:rsidP="2B2D40BD">
      <w:pPr>
        <w:pStyle w:val="BodyText"/>
        <w:rPr>
          <w:color w:val="000000" w:themeColor="text1"/>
          <w:lang w:val="en-US"/>
        </w:rPr>
      </w:pPr>
      <w:r w:rsidRPr="1F07ED0A">
        <w:rPr>
          <w:color w:val="000000" w:themeColor="text1"/>
          <w:lang w:val="en-US"/>
        </w:rPr>
        <w:t xml:space="preserve">The following is a list of </w:t>
      </w:r>
      <w:r w:rsidR="752BD437" w:rsidRPr="1F07ED0A">
        <w:rPr>
          <w:color w:val="000000" w:themeColor="text1"/>
          <w:lang w:val="en-US"/>
        </w:rPr>
        <w:t>community</w:t>
      </w:r>
      <w:r w:rsidRPr="1F07ED0A">
        <w:rPr>
          <w:color w:val="000000" w:themeColor="text1"/>
          <w:lang w:val="en-US"/>
        </w:rPr>
        <w:t xml:space="preserve"> partners who </w:t>
      </w:r>
      <w:r w:rsidR="43A1543C" w:rsidRPr="1F07ED0A">
        <w:rPr>
          <w:color w:val="000000" w:themeColor="text1"/>
          <w:lang w:val="en-US"/>
        </w:rPr>
        <w:t>participated in validating the Decommissioning Readiness Indices</w:t>
      </w:r>
      <w:r w:rsidR="2F2A0BCC" w:rsidRPr="1F07ED0A">
        <w:rPr>
          <w:color w:val="000000" w:themeColor="text1"/>
          <w:lang w:val="en-US"/>
        </w:rPr>
        <w:t xml:space="preserve"> as part of th</w:t>
      </w:r>
      <w:r w:rsidR="6F95EB4E" w:rsidRPr="1F07ED0A">
        <w:rPr>
          <w:color w:val="000000" w:themeColor="text1"/>
          <w:lang w:val="en-US"/>
        </w:rPr>
        <w:t>e case study</w:t>
      </w:r>
      <w:r w:rsidR="2F2A0BCC" w:rsidRPr="1F07ED0A">
        <w:rPr>
          <w:color w:val="000000" w:themeColor="text1"/>
          <w:lang w:val="en-US"/>
        </w:rPr>
        <w:t xml:space="preserve"> process.</w:t>
      </w:r>
      <w:r w:rsidRPr="1F07ED0A">
        <w:rPr>
          <w:color w:val="000000" w:themeColor="text1"/>
          <w:lang w:val="en-US"/>
        </w:rPr>
        <w:t xml:space="preserve"> </w:t>
      </w:r>
      <w:r w:rsidR="6CC54A7F" w:rsidRPr="1F07ED0A">
        <w:rPr>
          <w:color w:val="000000" w:themeColor="text1"/>
          <w:lang w:val="en-US"/>
        </w:rPr>
        <w:t>Case study engagement involved a detailed review of all four indices</w:t>
      </w:r>
      <w:r w:rsidR="38CD3BC4" w:rsidRPr="1F07ED0A">
        <w:rPr>
          <w:color w:val="000000" w:themeColor="text1"/>
          <w:lang w:val="en-US"/>
        </w:rPr>
        <w:t xml:space="preserve"> rather than a sole focus on the decommissioning readiness indices alone. However, </w:t>
      </w:r>
      <w:r w:rsidR="13788FC6" w:rsidRPr="1F07ED0A">
        <w:rPr>
          <w:color w:val="000000" w:themeColor="text1"/>
          <w:lang w:val="en-US"/>
        </w:rPr>
        <w:t>the</w:t>
      </w:r>
      <w:r w:rsidR="38CD3BC4" w:rsidRPr="1F07ED0A">
        <w:rPr>
          <w:color w:val="000000" w:themeColor="text1"/>
          <w:lang w:val="en-US"/>
        </w:rPr>
        <w:t xml:space="preserve"> case study engagement </w:t>
      </w:r>
      <w:r w:rsidR="6BB2ABC2" w:rsidRPr="1F07ED0A">
        <w:rPr>
          <w:color w:val="000000" w:themeColor="text1"/>
          <w:lang w:val="en-US"/>
        </w:rPr>
        <w:t xml:space="preserve">process </w:t>
      </w:r>
      <w:r w:rsidR="38CD3BC4" w:rsidRPr="1F07ED0A">
        <w:rPr>
          <w:color w:val="000000" w:themeColor="text1"/>
          <w:lang w:val="en-US"/>
        </w:rPr>
        <w:t>provided an</w:t>
      </w:r>
      <w:r w:rsidR="47C9F8E0" w:rsidRPr="1F07ED0A">
        <w:rPr>
          <w:color w:val="000000" w:themeColor="text1"/>
          <w:lang w:val="en-US"/>
        </w:rPr>
        <w:t xml:space="preserve"> opportunity to receive feedback on the Tool’s ability to ass</w:t>
      </w:r>
      <w:r w:rsidR="191FEA93" w:rsidRPr="1F07ED0A">
        <w:rPr>
          <w:color w:val="000000" w:themeColor="text1"/>
          <w:lang w:val="en-US"/>
        </w:rPr>
        <w:t>ess local level commercial and residential decommissioning readiness.</w:t>
      </w:r>
      <w:r w:rsidR="47C9F8E0" w:rsidRPr="1F07ED0A">
        <w:rPr>
          <w:color w:val="000000" w:themeColor="text1"/>
          <w:lang w:val="en-US"/>
        </w:rPr>
        <w:t xml:space="preserve"> </w:t>
      </w:r>
      <w:r w:rsidRPr="1F07ED0A">
        <w:rPr>
          <w:color w:val="000000" w:themeColor="text1"/>
          <w:lang w:val="en-US"/>
        </w:rPr>
        <w:t xml:space="preserve">Development of the case studies is described in more detail in </w:t>
      </w:r>
      <w:r w:rsidRPr="1F07ED0A">
        <w:rPr>
          <w:b/>
          <w:bCs/>
          <w:i/>
          <w:iCs/>
          <w:color w:val="000000" w:themeColor="text1"/>
          <w:lang w:val="en-US"/>
        </w:rPr>
        <w:t>Section 3.</w:t>
      </w:r>
      <w:r w:rsidR="002902FB" w:rsidRPr="1F07ED0A">
        <w:rPr>
          <w:b/>
          <w:bCs/>
          <w:i/>
          <w:iCs/>
          <w:color w:val="000000" w:themeColor="text1"/>
          <w:lang w:val="en-US"/>
        </w:rPr>
        <w:t>2.4</w:t>
      </w:r>
      <w:r w:rsidRPr="1F07ED0A">
        <w:rPr>
          <w:b/>
          <w:bCs/>
          <w:i/>
          <w:iCs/>
          <w:color w:val="000000" w:themeColor="text1"/>
          <w:lang w:val="en-US"/>
        </w:rPr>
        <w:t xml:space="preserve"> of the Final </w:t>
      </w:r>
      <w:r w:rsidR="0061304C" w:rsidRPr="1F07ED0A">
        <w:rPr>
          <w:b/>
          <w:bCs/>
          <w:i/>
          <w:iCs/>
          <w:color w:val="000000" w:themeColor="text1"/>
          <w:lang w:val="en-US"/>
        </w:rPr>
        <w:t>Report</w:t>
      </w:r>
      <w:r w:rsidR="00BE390A">
        <w:rPr>
          <w:i/>
          <w:iCs/>
          <w:color w:val="000000" w:themeColor="text1"/>
          <w:lang w:val="en-US"/>
        </w:rPr>
        <w:t xml:space="preserve"> (forthcoming)</w:t>
      </w:r>
      <w:r w:rsidR="0061304C" w:rsidRPr="1F07ED0A">
        <w:rPr>
          <w:color w:val="000000" w:themeColor="text1"/>
          <w:lang w:val="en-US"/>
        </w:rPr>
        <w:t xml:space="preserve"> and</w:t>
      </w:r>
      <w:r w:rsidR="4AF666D4" w:rsidRPr="1F07ED0A">
        <w:rPr>
          <w:color w:val="000000" w:themeColor="text1"/>
          <w:lang w:val="en-US"/>
        </w:rPr>
        <w:t xml:space="preserve"> included engagement with 10 different communities. The following gave permission to have thei</w:t>
      </w:r>
      <w:r w:rsidR="712543D8" w:rsidRPr="1F07ED0A">
        <w:rPr>
          <w:color w:val="000000" w:themeColor="text1"/>
          <w:lang w:val="en-US"/>
        </w:rPr>
        <w:t xml:space="preserve">r participation listed publicly: </w:t>
      </w:r>
    </w:p>
    <w:p w14:paraId="5541B293" w14:textId="6CD536B8" w:rsidR="7C6E64CC" w:rsidRDefault="7C6E64CC" w:rsidP="0061304C">
      <w:pPr>
        <w:pStyle w:val="Bullet1"/>
      </w:pPr>
      <w:r w:rsidRPr="2B2D40BD">
        <w:rPr>
          <w:lang w:val="en-US"/>
        </w:rPr>
        <w:t>Blue Lake Rancheria, North Coast/Humboldt</w:t>
      </w:r>
    </w:p>
    <w:p w14:paraId="0FFB8B04" w14:textId="3FF0B5CE" w:rsidR="7C6E64CC" w:rsidRDefault="7C6E64CC" w:rsidP="0061304C">
      <w:pPr>
        <w:pStyle w:val="Bullet1"/>
      </w:pPr>
      <w:r w:rsidRPr="2B2D40BD">
        <w:rPr>
          <w:lang w:val="en-US"/>
        </w:rPr>
        <w:t>Central California Asthma Collaborative, Central Valley</w:t>
      </w:r>
    </w:p>
    <w:p w14:paraId="419D6D5F" w14:textId="775A91A0" w:rsidR="7C6E64CC" w:rsidRDefault="7C6E64CC" w:rsidP="0061304C">
      <w:pPr>
        <w:pStyle w:val="Bullet1"/>
      </w:pPr>
      <w:r w:rsidRPr="2B2D40BD">
        <w:rPr>
          <w:lang w:val="en-US"/>
        </w:rPr>
        <w:t>Climate Resilient Communities, North Fair Oaks</w:t>
      </w:r>
    </w:p>
    <w:p w14:paraId="25AF849D" w14:textId="18D8B565" w:rsidR="7C6E64CC" w:rsidRDefault="7C6E64CC" w:rsidP="0061304C">
      <w:pPr>
        <w:pStyle w:val="Bullet1"/>
      </w:pPr>
      <w:r w:rsidRPr="2B2D40BD">
        <w:rPr>
          <w:lang w:val="en-US"/>
        </w:rPr>
        <w:t>Climate Ready North Fair Oaks</w:t>
      </w:r>
    </w:p>
    <w:p w14:paraId="2EEE240D" w14:textId="31D5EBC7" w:rsidR="7C6E64CC" w:rsidRDefault="7C6E64CC" w:rsidP="0061304C">
      <w:pPr>
        <w:pStyle w:val="Bullet1"/>
      </w:pPr>
      <w:r w:rsidRPr="2B2D40BD">
        <w:rPr>
          <w:lang w:val="en-US"/>
        </w:rPr>
        <w:t>Staff and community leaders at Climate First: Replacing Oil &amp; Gas (CFROG), Oxnard</w:t>
      </w:r>
    </w:p>
    <w:p w14:paraId="3B6DD84F" w14:textId="46FD7C31" w:rsidR="7C6E64CC" w:rsidRDefault="7C6E64CC" w:rsidP="0061304C">
      <w:pPr>
        <w:pStyle w:val="Bullet1"/>
      </w:pPr>
      <w:r w:rsidRPr="2B2D40BD">
        <w:rPr>
          <w:lang w:val="en-US"/>
        </w:rPr>
        <w:t>Restore the Delta, Stockton</w:t>
      </w:r>
    </w:p>
    <w:p w14:paraId="01A07431" w14:textId="2E6B56DE" w:rsidR="7C6E64CC" w:rsidRDefault="7C6E64CC" w:rsidP="0061304C">
      <w:pPr>
        <w:pStyle w:val="Bullet1Last"/>
      </w:pPr>
      <w:r w:rsidRPr="2B2D40BD">
        <w:rPr>
          <w:lang w:val="en-US"/>
        </w:rPr>
        <w:t>Self-Help Enterprises, San Joaquin Valley</w:t>
      </w:r>
    </w:p>
    <w:p w14:paraId="0280A1B3" w14:textId="50B5F03F" w:rsidR="17BE145B" w:rsidRPr="00BE390A" w:rsidRDefault="17BE145B" w:rsidP="2B2D40BD">
      <w:pPr>
        <w:pStyle w:val="BodyText"/>
        <w:rPr>
          <w:b/>
          <w:bCs/>
        </w:rPr>
      </w:pPr>
      <w:r>
        <w:t xml:space="preserve">For a complete list of all </w:t>
      </w:r>
      <w:r w:rsidR="00A777F3">
        <w:t>s</w:t>
      </w:r>
      <w:r>
        <w:t xml:space="preserve">takeholders engaged during public webinars and workshops, reference </w:t>
      </w:r>
      <w:r w:rsidRPr="1F07ED0A">
        <w:rPr>
          <w:b/>
          <w:bCs/>
          <w:i/>
          <w:iCs/>
        </w:rPr>
        <w:t>Appendix D of the Final Report</w:t>
      </w:r>
      <w:r w:rsidR="00BE390A">
        <w:t xml:space="preserve"> </w:t>
      </w:r>
      <w:r w:rsidR="00BE390A" w:rsidRPr="00BE390A">
        <w:rPr>
          <w:i/>
          <w:iCs/>
        </w:rPr>
        <w:t>(forthcoming)</w:t>
      </w:r>
      <w:r w:rsidR="00BE390A">
        <w:rPr>
          <w:i/>
          <w:iCs/>
        </w:rPr>
        <w:t>.</w:t>
      </w:r>
    </w:p>
    <w:p w14:paraId="2BCFD6F2" w14:textId="77777777" w:rsidR="00577117" w:rsidRPr="00577117" w:rsidRDefault="00577117" w:rsidP="00577117">
      <w:pPr>
        <w:pStyle w:val="BodyText"/>
      </w:pPr>
    </w:p>
    <w:p w14:paraId="58AF1BCB" w14:textId="104413EF" w:rsidR="6526C87D" w:rsidRDefault="6526C87D" w:rsidP="29C14BE1">
      <w:pPr>
        <w:pStyle w:val="BodyText"/>
        <w:rPr>
          <w:lang w:val="en-US"/>
        </w:rPr>
      </w:pPr>
    </w:p>
    <w:p w14:paraId="7CD7CE7B" w14:textId="2D3F2D2D" w:rsidR="6526C87D" w:rsidRDefault="6526C87D" w:rsidP="6526C87D">
      <w:pPr>
        <w:pStyle w:val="BodyText"/>
      </w:pPr>
    </w:p>
    <w:p w14:paraId="0BF4FEC1" w14:textId="11420636" w:rsidR="00664D27" w:rsidRDefault="6EEECE09" w:rsidP="734D305F">
      <w:pPr>
        <w:pStyle w:val="Heading1"/>
        <w:spacing w:after="240"/>
      </w:pPr>
      <w:bookmarkStart w:id="9" w:name="_Toc216703875"/>
      <w:r>
        <w:lastRenderedPageBreak/>
        <w:t>Results</w:t>
      </w:r>
      <w:r w:rsidR="1F081232">
        <w:t xml:space="preserve"> and Lessons Learned</w:t>
      </w:r>
      <w:bookmarkEnd w:id="9"/>
    </w:p>
    <w:p w14:paraId="185880D6" w14:textId="1FBE6591" w:rsidR="05BD5E60" w:rsidRDefault="7F847165" w:rsidP="00FC659A">
      <w:pPr>
        <w:pStyle w:val="Heading2"/>
      </w:pPr>
      <w:bookmarkStart w:id="10" w:name="_Toc216703876"/>
      <w:r>
        <w:t>Residential Customer Decommissioning Readiness Index</w:t>
      </w:r>
      <w:bookmarkEnd w:id="10"/>
    </w:p>
    <w:p w14:paraId="1086CEDE" w14:textId="0274D5EF" w:rsidR="58908043" w:rsidRDefault="58908043" w:rsidP="734D305F">
      <w:pPr>
        <w:pStyle w:val="BodyText"/>
      </w:pPr>
      <w:r>
        <w:t xml:space="preserve">One </w:t>
      </w:r>
      <w:r w:rsidR="7609FBD8">
        <w:t xml:space="preserve">useful </w:t>
      </w:r>
      <w:r>
        <w:t xml:space="preserve">way of </w:t>
      </w:r>
      <w:r w:rsidR="73DF3F63">
        <w:t>evaluating</w:t>
      </w:r>
      <w:r>
        <w:t xml:space="preserve"> </w:t>
      </w:r>
      <w:r w:rsidR="12D85917">
        <w:t xml:space="preserve">the distribution of </w:t>
      </w:r>
      <w:r w:rsidR="00127D35">
        <w:t xml:space="preserve">Residential Decommissioning Readiness Index </w:t>
      </w:r>
      <w:r w:rsidR="001732C8">
        <w:t>values</w:t>
      </w:r>
      <w:r w:rsidR="12D85917">
        <w:t xml:space="preserve"> </w:t>
      </w:r>
      <w:r w:rsidR="61F2BDE7">
        <w:t xml:space="preserve">is by </w:t>
      </w:r>
      <w:r w:rsidR="549E5295">
        <w:t>making use of</w:t>
      </w:r>
      <w:r w:rsidR="60DD6076">
        <w:t xml:space="preserve"> the in-built “hot spot” identification </w:t>
      </w:r>
      <w:r w:rsidR="055E0A95">
        <w:t>feature</w:t>
      </w:r>
      <w:r w:rsidR="0E935954">
        <w:t xml:space="preserve"> that is</w:t>
      </w:r>
      <w:r w:rsidR="60DD6076">
        <w:t xml:space="preserve"> accessible via the</w:t>
      </w:r>
      <w:r w:rsidR="3E2996D1">
        <w:t xml:space="preserve"> Tool’s</w:t>
      </w:r>
      <w:r w:rsidR="60DD6076">
        <w:t xml:space="preserve"> </w:t>
      </w:r>
      <w:r w:rsidR="7A5FB957">
        <w:t>“</w:t>
      </w:r>
      <w:r w:rsidR="48739D8B">
        <w:t>Analy</w:t>
      </w:r>
      <w:r w:rsidR="7334295E">
        <w:t>z</w:t>
      </w:r>
      <w:r w:rsidR="48739D8B">
        <w:t>e</w:t>
      </w:r>
      <w:r w:rsidR="7DF8C034">
        <w:t>”</w:t>
      </w:r>
      <w:r w:rsidR="60DD6076">
        <w:t xml:space="preserve"> page</w:t>
      </w:r>
      <w:r w:rsidR="61F2BDE7">
        <w:t xml:space="preserve">. </w:t>
      </w:r>
      <w:r w:rsidR="006B2C92">
        <w:t>This section includes</w:t>
      </w:r>
      <w:r w:rsidR="1FAC9EAF">
        <w:t xml:space="preserve"> </w:t>
      </w:r>
      <w:r w:rsidR="2988B143">
        <w:t xml:space="preserve">results </w:t>
      </w:r>
      <w:r w:rsidR="006B2C92">
        <w:t>that</w:t>
      </w:r>
      <w:r w:rsidR="1ABBB872">
        <w:t xml:space="preserve"> were generated by running this “ho</w:t>
      </w:r>
      <w:r w:rsidR="554EDC0E">
        <w:t>t</w:t>
      </w:r>
      <w:r w:rsidR="1ABBB872">
        <w:t xml:space="preserve"> spot” identification</w:t>
      </w:r>
      <w:r w:rsidR="2988B143">
        <w:t xml:space="preserve"> tool</w:t>
      </w:r>
      <w:r w:rsidR="00127D35">
        <w:t xml:space="preserve">, </w:t>
      </w:r>
      <w:r w:rsidR="0B04A975">
        <w:t>which involves</w:t>
      </w:r>
      <w:r w:rsidR="2988B143">
        <w:t xml:space="preserve"> </w:t>
      </w:r>
      <w:r w:rsidR="0704D12E">
        <w:t xml:space="preserve">the </w:t>
      </w:r>
      <w:r w:rsidR="2988B143">
        <w:t>comput</w:t>
      </w:r>
      <w:r w:rsidR="46F9E755">
        <w:t>ation of</w:t>
      </w:r>
      <w:r w:rsidR="2988B143">
        <w:t xml:space="preserve"> </w:t>
      </w:r>
      <w:r w:rsidR="2DDAD07D">
        <w:t>a geospatial</w:t>
      </w:r>
      <w:r w:rsidR="2988B143">
        <w:t xml:space="preserve"> statistic </w:t>
      </w:r>
      <w:r w:rsidR="5E1B6599">
        <w:t xml:space="preserve">that is </w:t>
      </w:r>
      <w:r w:rsidR="3A23BDEF">
        <w:t xml:space="preserve">used to assess </w:t>
      </w:r>
      <w:r w:rsidR="1200F0FD">
        <w:t xml:space="preserve">the degree of </w:t>
      </w:r>
      <w:r w:rsidR="3A23BDEF">
        <w:t>local</w:t>
      </w:r>
      <w:r w:rsidR="2988B143">
        <w:t xml:space="preserve"> spatial autocorrelation</w:t>
      </w:r>
      <w:r w:rsidR="55E154EC">
        <w:t xml:space="preserve"> in a geographic dataset</w:t>
      </w:r>
      <w:r w:rsidR="56CDE94E">
        <w:t xml:space="preserve"> (Getis</w:t>
      </w:r>
      <w:r w:rsidR="300ABEFF">
        <w:t>-</w:t>
      </w:r>
      <w:r w:rsidR="56CDE94E">
        <w:t>Ord</w:t>
      </w:r>
      <w:r w:rsidR="7070357D">
        <w:t xml:space="preserve"> Statistic</w:t>
      </w:r>
      <w:r w:rsidR="25F63D7D">
        <w:t>, G</w:t>
      </w:r>
      <w:r w:rsidR="25F63D7D" w:rsidRPr="734D305F">
        <w:rPr>
          <w:vertAlign w:val="subscript"/>
        </w:rPr>
        <w:t>i</w:t>
      </w:r>
      <w:r w:rsidR="5A8A839A" w:rsidRPr="734D305F">
        <w:t>*</w:t>
      </w:r>
      <w:r w:rsidR="56CDE94E" w:rsidRPr="734D305F">
        <w:t>)</w:t>
      </w:r>
      <w:r w:rsidR="0FD01010" w:rsidRPr="734D305F">
        <w:t>.</w:t>
      </w:r>
      <w:r w:rsidR="003A45BA">
        <w:rPr>
          <w:rStyle w:val="FootnoteReference"/>
        </w:rPr>
        <w:footnoteReference w:id="8"/>
      </w:r>
      <w:r w:rsidR="0FD01010">
        <w:t xml:space="preserve"> For a given </w:t>
      </w:r>
      <w:r w:rsidR="693ABDBE">
        <w:t>neighborhood</w:t>
      </w:r>
      <w:r w:rsidR="0FD01010">
        <w:t xml:space="preserve"> buffer distance, this statistic </w:t>
      </w:r>
      <w:r w:rsidR="523AEB00">
        <w:t>helps</w:t>
      </w:r>
      <w:r w:rsidR="0FD01010">
        <w:t xml:space="preserve"> </w:t>
      </w:r>
      <w:r w:rsidR="523AEB00">
        <w:t>to</w:t>
      </w:r>
      <w:r w:rsidR="0FD01010">
        <w:t xml:space="preserve"> identif</w:t>
      </w:r>
      <w:r w:rsidR="2EFFB69A">
        <w:t>y</w:t>
      </w:r>
      <w:r w:rsidR="0FD01010">
        <w:t xml:space="preserve"> contiguous areas with anomalously low or hi</w:t>
      </w:r>
      <w:r w:rsidR="3F07987D">
        <w:t xml:space="preserve">gh values </w:t>
      </w:r>
      <w:r w:rsidR="263F4F02">
        <w:t>for a</w:t>
      </w:r>
      <w:r w:rsidR="3F07987D">
        <w:t xml:space="preserve"> given attribute</w:t>
      </w:r>
      <w:r w:rsidR="44DB05E5">
        <w:t xml:space="preserve"> at defined confidence </w:t>
      </w:r>
      <w:r w:rsidR="2095EAAF">
        <w:t>interval</w:t>
      </w:r>
      <w:r w:rsidR="44DB05E5">
        <w:t>s</w:t>
      </w:r>
      <w:r w:rsidR="3F07987D">
        <w:t xml:space="preserve">. </w:t>
      </w:r>
    </w:p>
    <w:p w14:paraId="354804B6" w14:textId="68FC26CB" w:rsidR="3F07987D" w:rsidRDefault="009A324F" w:rsidP="734D305F">
      <w:pPr>
        <w:pStyle w:val="BodyText"/>
      </w:pPr>
      <w:r>
        <w:fldChar w:fldCharType="begin"/>
      </w:r>
      <w:r>
        <w:instrText xml:space="preserve"> REF _Ref213235983 \h </w:instrText>
      </w:r>
      <w:r>
        <w:fldChar w:fldCharType="separate"/>
      </w:r>
      <w:r w:rsidR="70A345C2">
        <w:t xml:space="preserve">Figure </w:t>
      </w:r>
      <w:r w:rsidR="70A345C2">
        <w:rPr>
          <w:noProof/>
        </w:rPr>
        <w:t>4</w:t>
      </w:r>
      <w:r w:rsidR="00127D35">
        <w:noBreakHyphen/>
      </w:r>
      <w:r w:rsidR="70A345C2">
        <w:rPr>
          <w:noProof/>
        </w:rPr>
        <w:t>1</w:t>
      </w:r>
      <w:r>
        <w:fldChar w:fldCharType="end"/>
      </w:r>
      <w:r w:rsidR="4098E8CB">
        <w:t xml:space="preserve"> and </w:t>
      </w:r>
      <w:r>
        <w:fldChar w:fldCharType="begin"/>
      </w:r>
      <w:r>
        <w:instrText xml:space="preserve"> REF _Ref213235992 \h </w:instrText>
      </w:r>
      <w:r>
        <w:fldChar w:fldCharType="separate"/>
      </w:r>
      <w:r w:rsidR="70A345C2">
        <w:t xml:space="preserve">Figure </w:t>
      </w:r>
      <w:r w:rsidR="70A345C2">
        <w:rPr>
          <w:noProof/>
        </w:rPr>
        <w:t>4</w:t>
      </w:r>
      <w:r w:rsidR="00127D35">
        <w:noBreakHyphen/>
      </w:r>
      <w:r w:rsidR="70A345C2">
        <w:rPr>
          <w:noProof/>
        </w:rPr>
        <w:t>2</w:t>
      </w:r>
      <w:r>
        <w:fldChar w:fldCharType="end"/>
      </w:r>
      <w:r w:rsidR="64704AEE">
        <w:t xml:space="preserve"> depict</w:t>
      </w:r>
      <w:r w:rsidR="5E4ED4FC">
        <w:t xml:space="preserve"> </w:t>
      </w:r>
      <w:r w:rsidR="4098E8CB">
        <w:t xml:space="preserve">the results of a </w:t>
      </w:r>
      <w:r w:rsidR="5E4ED4FC">
        <w:t>hot spot analysis</w:t>
      </w:r>
      <w:r w:rsidR="64704AEE">
        <w:t xml:space="preserve"> which were generated </w:t>
      </w:r>
      <w:r w:rsidR="6CD248B0">
        <w:t>for</w:t>
      </w:r>
      <w:r w:rsidR="4F0940B9">
        <w:t xml:space="preserve"> the residential decommissioning readiness index relative to</w:t>
      </w:r>
      <w:r w:rsidR="6CD248B0">
        <w:t xml:space="preserve"> the Northern/Central and Southern California regions</w:t>
      </w:r>
      <w:r w:rsidR="6F5FA700">
        <w:t xml:space="preserve"> using a 2-mile buffer distance</w:t>
      </w:r>
      <w:r w:rsidR="08FDDE81">
        <w:t xml:space="preserve"> parameter setting</w:t>
      </w:r>
      <w:r w:rsidR="6CD248B0">
        <w:t>. In these figures</w:t>
      </w:r>
      <w:r w:rsidR="4AB28BC8">
        <w:t xml:space="preserve">, </w:t>
      </w:r>
      <w:r w:rsidR="6CD248B0">
        <w:t xml:space="preserve">which both depict the same </w:t>
      </w:r>
      <w:r w:rsidR="54DBC57B">
        <w:t xml:space="preserve">output </w:t>
      </w:r>
      <w:r w:rsidR="6CD248B0">
        <w:t>results laye</w:t>
      </w:r>
      <w:r w:rsidR="3C6AC912">
        <w:t>r</w:t>
      </w:r>
      <w:r w:rsidR="26DD04F1">
        <w:t xml:space="preserve">, </w:t>
      </w:r>
      <w:r w:rsidR="3C6AC912">
        <w:t xml:space="preserve">a perceptually divergent color scheme has been </w:t>
      </w:r>
      <w:r w:rsidR="0DE66C89">
        <w:t>appli</w:t>
      </w:r>
      <w:r w:rsidR="3C6AC912">
        <w:t xml:space="preserve">ed to illustrate areas with high concentrations of </w:t>
      </w:r>
      <w:r w:rsidR="539481D7">
        <w:t xml:space="preserve">census tracts that should be considered </w:t>
      </w:r>
      <w:r w:rsidR="3C6AC912">
        <w:t xml:space="preserve">promising (red) </w:t>
      </w:r>
      <w:r w:rsidR="041EEE26">
        <w:t>and</w:t>
      </w:r>
      <w:r w:rsidR="3C6AC912">
        <w:t xml:space="preserve"> unpromising (blue) </w:t>
      </w:r>
      <w:r w:rsidR="4CA130AE">
        <w:t>for gas distribution system decommissioning projects</w:t>
      </w:r>
      <w:r w:rsidR="1A69921C">
        <w:t>, relative to residential readiness concerns</w:t>
      </w:r>
      <w:r w:rsidR="4CA130AE">
        <w:t>.</w:t>
      </w:r>
      <w:r w:rsidR="74430AD5">
        <w:t xml:space="preserve"> </w:t>
      </w:r>
    </w:p>
    <w:p w14:paraId="18C450E8" w14:textId="4B136063" w:rsidR="7811D171" w:rsidRDefault="7811D171" w:rsidP="734D305F">
      <w:pPr>
        <w:pStyle w:val="BodyText"/>
      </w:pPr>
      <w:r>
        <w:t>Readers who are familiar with the local demographic and housing characteristics of either, or both, of these regions will likely</w:t>
      </w:r>
      <w:r w:rsidR="5FEC0DB4">
        <w:t xml:space="preserve"> identify the</w:t>
      </w:r>
      <w:r>
        <w:t xml:space="preserve"> blue</w:t>
      </w:r>
      <w:r w:rsidR="00583C5D">
        <w:t>-</w:t>
      </w:r>
      <w:r>
        <w:t xml:space="preserve">colored areas as </w:t>
      </w:r>
      <w:r w:rsidR="61D59D31">
        <w:t xml:space="preserve">being </w:t>
      </w:r>
      <w:r w:rsidR="68A2AF22">
        <w:t>representative of communities with</w:t>
      </w:r>
      <w:r>
        <w:t xml:space="preserve"> larger populations of low income, renter households, living in older, predominantly multi-family properties, that are more heavily reliant upon gas for key end-use energy services. By contrast, the red areas generally are inhabited by higher-income, single-family homeowners, whose properties have been more recently built and are less reliant upon gas for key energy services.</w:t>
      </w:r>
    </w:p>
    <w:p w14:paraId="6D309A4E" w14:textId="2FA5CC67" w:rsidR="6CC9443D" w:rsidRDefault="6CC9443D" w:rsidP="734D305F">
      <w:pPr>
        <w:pStyle w:val="BodyText"/>
      </w:pPr>
      <w:r>
        <w:t>As has been previously discussed, the residential decommissioning readiness index is comprised of three separate sub-</w:t>
      </w:r>
      <w:r w:rsidR="2FEA8066">
        <w:t xml:space="preserve">index </w:t>
      </w:r>
      <w:r>
        <w:t xml:space="preserve">components. </w:t>
      </w:r>
      <w:r w:rsidR="1A9BEC31">
        <w:t xml:space="preserve">By default, each of these three components contribute equally to the residential decommissioning readiness index. However, the relative weighting of </w:t>
      </w:r>
      <w:r w:rsidR="55A1CC7F">
        <w:t>these sub-indices'</w:t>
      </w:r>
      <w:r w:rsidR="1A9BEC31">
        <w:t xml:space="preserve"> contributions can be customized using </w:t>
      </w:r>
      <w:r w:rsidR="7DCE1422">
        <w:t xml:space="preserve">the “Custom Index Weighting” </w:t>
      </w:r>
      <w:r w:rsidR="219E361E">
        <w:t>feature that is also available in the</w:t>
      </w:r>
      <w:r w:rsidR="1A9BEC31">
        <w:t xml:space="preserve"> </w:t>
      </w:r>
      <w:r w:rsidR="008F6668">
        <w:t>T</w:t>
      </w:r>
      <w:r w:rsidR="19672B69">
        <w:t>ool’s “</w:t>
      </w:r>
      <w:r w:rsidR="1A9BEC31">
        <w:t>Analyze</w:t>
      </w:r>
      <w:r w:rsidR="30445BBA">
        <w:t>”</w:t>
      </w:r>
      <w:r w:rsidR="1A9BEC31">
        <w:t xml:space="preserve"> page. </w:t>
      </w:r>
      <w:r w:rsidR="5EDEE6F3">
        <w:t>This feature allows for the creation of custom indices and sub-indices by:</w:t>
      </w:r>
    </w:p>
    <w:p w14:paraId="39486A4F" w14:textId="7B8F9E81" w:rsidR="5EDEE6F3" w:rsidRDefault="5EDEE6F3" w:rsidP="734D305F">
      <w:pPr>
        <w:pStyle w:val="Bullet1"/>
      </w:pPr>
      <w:r>
        <w:t>Using all, or only a sub-set, of the provided sub-index values</w:t>
      </w:r>
    </w:p>
    <w:p w14:paraId="0AF655FF" w14:textId="5B19561E" w:rsidR="5EDEE6F3" w:rsidRDefault="5EDEE6F3" w:rsidP="734D305F">
      <w:pPr>
        <w:pStyle w:val="Bullet1"/>
      </w:pPr>
      <w:r>
        <w:t>Assigning unique weights to each sub-index component selected</w:t>
      </w:r>
    </w:p>
    <w:p w14:paraId="35DD27E1" w14:textId="5ACEC84D" w:rsidR="5EDEE6F3" w:rsidRDefault="5EDEE6F3" w:rsidP="734D305F">
      <w:pPr>
        <w:pStyle w:val="Bullet1"/>
      </w:pPr>
      <w:r>
        <w:t>Choosing the directionality applied to each sub-index component selected</w:t>
      </w:r>
    </w:p>
    <w:p w14:paraId="4B287924" w14:textId="28676FE8" w:rsidR="5EDEE6F3" w:rsidRDefault="5EDEE6F3" w:rsidP="00FE22F0">
      <w:pPr>
        <w:pStyle w:val="Bullet1Last"/>
      </w:pPr>
      <w:r>
        <w:t>Setting a custom output score range for the newly created outputs</w:t>
      </w:r>
    </w:p>
    <w:p w14:paraId="399C8DB9" w14:textId="5713B292" w:rsidR="734D305F" w:rsidRDefault="000F6748" w:rsidP="734D305F">
      <w:pPr>
        <w:pStyle w:val="BodyText"/>
      </w:pPr>
      <w:r>
        <w:fldChar w:fldCharType="begin"/>
      </w:r>
      <w:r>
        <w:instrText xml:space="preserve"> REF _Ref213235983 \h </w:instrText>
      </w:r>
      <w:r>
        <w:fldChar w:fldCharType="separate"/>
      </w:r>
      <w:r w:rsidR="00321D45">
        <w:t xml:space="preserve">Figure </w:t>
      </w:r>
      <w:r w:rsidR="00321D45">
        <w:rPr>
          <w:noProof/>
        </w:rPr>
        <w:t>4</w:t>
      </w:r>
      <w:r w:rsidR="00321D45">
        <w:noBreakHyphen/>
      </w:r>
      <w:r w:rsidR="00321D45">
        <w:rPr>
          <w:noProof/>
        </w:rPr>
        <w:t>1</w:t>
      </w:r>
      <w:r>
        <w:fldChar w:fldCharType="end"/>
      </w:r>
      <w:r>
        <w:t xml:space="preserve"> </w:t>
      </w:r>
      <w:r w:rsidR="00AF4D4B">
        <w:t>provides a g</w:t>
      </w:r>
      <w:r w:rsidR="00AF4D4B" w:rsidRPr="00AF4D4B">
        <w:t>raphical illustration of the outputs of a</w:t>
      </w:r>
      <w:r>
        <w:t xml:space="preserve"> “</w:t>
      </w:r>
      <w:r w:rsidRPr="00AF4D4B">
        <w:t xml:space="preserve">hot spot” </w:t>
      </w:r>
      <w:r w:rsidR="00AF4D4B" w:rsidRPr="00AF4D4B">
        <w:t xml:space="preserve">analysis for the </w:t>
      </w:r>
      <w:r w:rsidR="00F76866" w:rsidRPr="00AF4D4B">
        <w:t xml:space="preserve">Residential Gas Decommissioning Index </w:t>
      </w:r>
      <w:r w:rsidR="00AF4D4B" w:rsidRPr="00AF4D4B">
        <w:t>layer with a distance buffer setting of 2 miles for the Northern/Central California region.</w:t>
      </w:r>
      <w:r w:rsidR="00230B6E">
        <w:t xml:space="preserve"> </w:t>
      </w:r>
      <w:r>
        <w:fldChar w:fldCharType="begin"/>
      </w:r>
      <w:r>
        <w:instrText xml:space="preserve"> REF _Ref213235992 \h </w:instrText>
      </w:r>
      <w:r>
        <w:fldChar w:fldCharType="separate"/>
      </w:r>
      <w:r w:rsidR="00321D45">
        <w:t>Figure </w:t>
      </w:r>
      <w:r w:rsidR="00321D45">
        <w:rPr>
          <w:noProof/>
        </w:rPr>
        <w:t>4</w:t>
      </w:r>
      <w:r w:rsidR="00321D45">
        <w:noBreakHyphen/>
      </w:r>
      <w:r w:rsidR="00321D45">
        <w:rPr>
          <w:noProof/>
        </w:rPr>
        <w:t>2</w:t>
      </w:r>
      <w:r>
        <w:fldChar w:fldCharType="end"/>
      </w:r>
      <w:r>
        <w:t xml:space="preserve"> </w:t>
      </w:r>
      <w:r w:rsidR="00230B6E">
        <w:t xml:space="preserve">includes a graphical illustration of the </w:t>
      </w:r>
      <w:r>
        <w:t>same hot</w:t>
      </w:r>
      <w:r w:rsidR="00230B6E">
        <w:t xml:space="preserve"> </w:t>
      </w:r>
      <w:r>
        <w:t>s</w:t>
      </w:r>
      <w:r w:rsidR="00230B6E">
        <w:t>pot analysis results</w:t>
      </w:r>
      <w:r>
        <w:t>,</w:t>
      </w:r>
      <w:r w:rsidR="00230B6E">
        <w:t xml:space="preserve"> except for the Southern California region.</w:t>
      </w:r>
    </w:p>
    <w:p w14:paraId="48445B1D" w14:textId="3A658F35" w:rsidR="61203D7F" w:rsidRDefault="61203D7F" w:rsidP="61203D7F">
      <w:pPr>
        <w:pStyle w:val="BodyText"/>
      </w:pPr>
    </w:p>
    <w:p w14:paraId="28E35EA4" w14:textId="394D6609" w:rsidR="61203D7F" w:rsidRDefault="61203D7F" w:rsidP="61203D7F">
      <w:pPr>
        <w:pStyle w:val="BodyText"/>
      </w:pPr>
    </w:p>
    <w:p w14:paraId="1819CD14" w14:textId="35CDFF89" w:rsidR="61203D7F" w:rsidRDefault="61203D7F">
      <w:r>
        <w:br w:type="page"/>
      </w:r>
    </w:p>
    <w:p w14:paraId="0595C780" w14:textId="52E011A7" w:rsidR="00F76866" w:rsidRDefault="00F76866" w:rsidP="00F76866">
      <w:pPr>
        <w:pStyle w:val="FigureTitle"/>
      </w:pPr>
      <w:bookmarkStart w:id="11" w:name="_Ref213235983"/>
      <w:bookmarkStart w:id="12" w:name="_Toc216704056"/>
      <w:r>
        <w:lastRenderedPageBreak/>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1B758E">
        <w:rPr>
          <w:noProof/>
        </w:rPr>
        <w:t>1</w:t>
      </w:r>
      <w:r w:rsidR="001B758E">
        <w:fldChar w:fldCharType="end"/>
      </w:r>
      <w:bookmarkEnd w:id="11"/>
      <w:r w:rsidR="00FE22F0">
        <w:t xml:space="preserve">. </w:t>
      </w:r>
      <w:r w:rsidR="00BF2297">
        <w:t>R</w:t>
      </w:r>
      <w:r w:rsidR="00787041">
        <w:t xml:space="preserve">esidential </w:t>
      </w:r>
      <w:r w:rsidR="00BF2297">
        <w:t xml:space="preserve">Gas Decommissioning </w:t>
      </w:r>
      <w:r w:rsidR="00FE22F0">
        <w:t xml:space="preserve">Hot Spot </w:t>
      </w:r>
      <w:r w:rsidR="00BF2297">
        <w:t xml:space="preserve">Analysis, </w:t>
      </w:r>
      <w:r w:rsidR="004A7531" w:rsidRPr="004A7531">
        <w:t>Northern</w:t>
      </w:r>
      <w:r w:rsidR="00BF2297" w:rsidRPr="004A7531">
        <w:t>/</w:t>
      </w:r>
      <w:r w:rsidR="004A7531" w:rsidRPr="004A7531">
        <w:t xml:space="preserve">Central California </w:t>
      </w:r>
      <w:r w:rsidR="00BF2297" w:rsidRPr="004A7531">
        <w:t>Region</w:t>
      </w:r>
      <w:bookmarkEnd w:id="12"/>
    </w:p>
    <w:p w14:paraId="220B97D4" w14:textId="28D4C4FC" w:rsidR="454E585B" w:rsidRDefault="199FAEA2" w:rsidP="00BF2297">
      <w:pPr>
        <w:pStyle w:val="BodyText"/>
      </w:pPr>
      <w:r>
        <w:rPr>
          <w:noProof/>
        </w:rPr>
        <w:drawing>
          <wp:inline distT="0" distB="0" distL="0" distR="0" wp14:anchorId="60F54F2B" wp14:editId="1323914E">
            <wp:extent cx="6086475" cy="3505200"/>
            <wp:effectExtent l="0" t="0" r="0" b="0"/>
            <wp:docPr id="1208081341" name="drawing" descr="Screenshot of the Tool showing a residential gas decommissioning hot spot analysis in the norther/central Californi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81341" name="drawing" descr="Screenshot of the Tool showing a residential gas decommissioning hot spot analysis in the norther/central California reg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r w:rsidR="03E050D5">
        <w:t xml:space="preserve"> </w:t>
      </w:r>
    </w:p>
    <w:p w14:paraId="42739327" w14:textId="110946CC" w:rsidR="00BF2297" w:rsidRDefault="00BF2297" w:rsidP="000F6748">
      <w:pPr>
        <w:pStyle w:val="FigureTitle"/>
        <w:spacing w:before="240"/>
      </w:pPr>
      <w:bookmarkStart w:id="13" w:name="_Ref213235992"/>
      <w:bookmarkStart w:id="14" w:name="_Toc216704057"/>
      <w:r>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1B758E">
        <w:rPr>
          <w:noProof/>
        </w:rPr>
        <w:t>2</w:t>
      </w:r>
      <w:r w:rsidR="001B758E">
        <w:fldChar w:fldCharType="end"/>
      </w:r>
      <w:bookmarkEnd w:id="13"/>
      <w:r>
        <w:t>. Residential Gas Decommissioning Hot Spot Analysis, Southern</w:t>
      </w:r>
      <w:r w:rsidRPr="004A7531">
        <w:t xml:space="preserve"> California Region</w:t>
      </w:r>
      <w:bookmarkEnd w:id="14"/>
    </w:p>
    <w:p w14:paraId="6A5DA10D" w14:textId="6973DC78" w:rsidR="5726BF68" w:rsidRDefault="125B2FBD" w:rsidP="00BF2297">
      <w:pPr>
        <w:pStyle w:val="BodyText"/>
      </w:pPr>
      <w:r w:rsidRPr="00BF2297">
        <w:rPr>
          <w:noProof/>
        </w:rPr>
        <w:drawing>
          <wp:inline distT="0" distB="0" distL="0" distR="0" wp14:anchorId="0BC41F75" wp14:editId="207B7A99">
            <wp:extent cx="6086475" cy="3505200"/>
            <wp:effectExtent l="0" t="0" r="0" b="0"/>
            <wp:docPr id="1303266725" name="drawing" descr="Screen shot of Tool, showing a Residential gas decommissioning hot spot analysis in the souther California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66725" name="drawing" descr="Screen shot of Tool, showing a Residential gas decommissioning hot spot analysis in the souther California region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r w:rsidR="594A31BD">
        <w:t xml:space="preserve"> </w:t>
      </w:r>
    </w:p>
    <w:p w14:paraId="423AD3FE" w14:textId="77777777" w:rsidR="00CE1D3C" w:rsidRDefault="00CE1D3C">
      <w:pPr>
        <w:spacing w:after="200" w:line="276" w:lineRule="auto"/>
        <w:rPr>
          <w:b/>
          <w:color w:val="0F204B"/>
          <w:sz w:val="26"/>
        </w:rPr>
      </w:pPr>
      <w:bookmarkStart w:id="15" w:name="_Toc216703877"/>
      <w:r>
        <w:br w:type="page"/>
      </w:r>
    </w:p>
    <w:p w14:paraId="1B186A52" w14:textId="60F56BF1" w:rsidR="1E88085F" w:rsidRDefault="291EFF76" w:rsidP="00FC659A">
      <w:pPr>
        <w:pStyle w:val="Heading2"/>
      </w:pPr>
      <w:r>
        <w:lastRenderedPageBreak/>
        <w:t>Residential Customer Decommissioning Readiness Factors</w:t>
      </w:r>
      <w:bookmarkEnd w:id="15"/>
    </w:p>
    <w:p w14:paraId="3B75BA5B" w14:textId="0FA372C0" w:rsidR="5D962A91" w:rsidRDefault="00B510C0" w:rsidP="5D962A91">
      <w:pPr>
        <w:pStyle w:val="BodyText"/>
      </w:pPr>
      <w:r>
        <w:fldChar w:fldCharType="begin"/>
      </w:r>
      <w:r>
        <w:instrText xml:space="preserve"> REF _Ref213250833 \h </w:instrText>
      </w:r>
      <w:r>
        <w:fldChar w:fldCharType="separate"/>
      </w:r>
      <w:r w:rsidR="00321D45">
        <w:t xml:space="preserve">Figure </w:t>
      </w:r>
      <w:r w:rsidR="00321D45">
        <w:rPr>
          <w:noProof/>
        </w:rPr>
        <w:t>4</w:t>
      </w:r>
      <w:r w:rsidR="00321D45">
        <w:noBreakHyphen/>
      </w:r>
      <w:r w:rsidR="00321D45">
        <w:rPr>
          <w:noProof/>
        </w:rPr>
        <w:t>3</w:t>
      </w:r>
      <w:r>
        <w:fldChar w:fldCharType="end"/>
      </w:r>
      <w:r>
        <w:t xml:space="preserve"> </w:t>
      </w:r>
      <w:r w:rsidR="00F22716">
        <w:t>through</w:t>
      </w:r>
      <w:r w:rsidR="00321D45">
        <w:t xml:space="preserve"> </w:t>
      </w:r>
      <w:r w:rsidR="00F22716">
        <w:fldChar w:fldCharType="begin"/>
      </w:r>
      <w:r w:rsidR="00F22716">
        <w:instrText xml:space="preserve"> REF _Ref213251201 \h </w:instrText>
      </w:r>
      <w:r w:rsidR="00F22716">
        <w:fldChar w:fldCharType="separate"/>
      </w:r>
      <w:r w:rsidR="00321D45">
        <w:t xml:space="preserve">Figure </w:t>
      </w:r>
      <w:r w:rsidR="00321D45">
        <w:rPr>
          <w:noProof/>
        </w:rPr>
        <w:t>4</w:t>
      </w:r>
      <w:r w:rsidR="00321D45">
        <w:noBreakHyphen/>
      </w:r>
      <w:r w:rsidR="00321D45">
        <w:rPr>
          <w:noProof/>
        </w:rPr>
        <w:t>5</w:t>
      </w:r>
      <w:r w:rsidR="00F22716">
        <w:fldChar w:fldCharType="end"/>
      </w:r>
      <w:r w:rsidR="4D7A6AB4">
        <w:t xml:space="preserve"> </w:t>
      </w:r>
      <w:r w:rsidR="00D86549">
        <w:t>have</w:t>
      </w:r>
      <w:r w:rsidR="787156D0">
        <w:t xml:space="preserve"> been generated for each of the three residential decommissioning sub-indices. Each figure includes a </w:t>
      </w:r>
      <w:r w:rsidR="0E680EB7">
        <w:t xml:space="preserve">statewide </w:t>
      </w:r>
      <w:r w:rsidR="787156D0">
        <w:t>map</w:t>
      </w:r>
      <w:r w:rsidR="786555F9">
        <w:t xml:space="preserve"> of the </w:t>
      </w:r>
      <w:r w:rsidR="34C9DD6B">
        <w:t xml:space="preserve">corresponding </w:t>
      </w:r>
      <w:r w:rsidR="786555F9">
        <w:t xml:space="preserve">sub-index </w:t>
      </w:r>
      <w:r w:rsidR="41CD4BBA">
        <w:t>values</w:t>
      </w:r>
      <w:r w:rsidR="380F6268">
        <w:t xml:space="preserve"> that has been generated </w:t>
      </w:r>
      <w:r w:rsidR="787156D0">
        <w:t>using a perceptually uniform color scale</w:t>
      </w:r>
      <w:r w:rsidR="00ABDC78">
        <w:t xml:space="preserve"> </w:t>
      </w:r>
      <w:r w:rsidR="787156D0">
        <w:t xml:space="preserve">as well as a histogram plot showing the count frequency distribution of values across the </w:t>
      </w:r>
      <w:r w:rsidR="5D970808">
        <w:t xml:space="preserve">sub-index's </w:t>
      </w:r>
      <w:r w:rsidR="787156D0">
        <w:t xml:space="preserve">1-10 </w:t>
      </w:r>
      <w:r w:rsidR="52DC339C">
        <w:t>ordinal</w:t>
      </w:r>
      <w:r w:rsidR="787156D0">
        <w:t xml:space="preserve"> range.</w:t>
      </w:r>
      <w:r w:rsidR="4406E5E7">
        <w:t xml:space="preserve"> An important feature</w:t>
      </w:r>
      <w:r w:rsidR="0018773B">
        <w:t xml:space="preserve">, </w:t>
      </w:r>
      <w:r w:rsidR="4406E5E7">
        <w:t>which is shared across all the three</w:t>
      </w:r>
      <w:r w:rsidR="50316C9A">
        <w:t xml:space="preserve"> residential decommissioning readiness</w:t>
      </w:r>
      <w:r w:rsidR="4406E5E7">
        <w:t xml:space="preserve"> sub-indices</w:t>
      </w:r>
      <w:r w:rsidR="0018773B">
        <w:t>,</w:t>
      </w:r>
      <w:r w:rsidR="4406E5E7">
        <w:t xml:space="preserve"> is the roughly normal distribution of values across this </w:t>
      </w:r>
      <w:r w:rsidR="09CD9C01">
        <w:t>original</w:t>
      </w:r>
      <w:r w:rsidR="4406E5E7">
        <w:t xml:space="preserve"> range. </w:t>
      </w:r>
      <w:r w:rsidR="619AB08F">
        <w:t xml:space="preserve">As </w:t>
      </w:r>
      <w:r w:rsidR="0018773B">
        <w:t>discussed further in</w:t>
      </w:r>
      <w:r w:rsidR="005C4ADA">
        <w:t xml:space="preserve"> Section</w:t>
      </w:r>
      <w:r w:rsidR="0018773B">
        <w:t xml:space="preserve"> </w:t>
      </w:r>
      <w:r w:rsidR="005C4ADA">
        <w:fldChar w:fldCharType="begin"/>
      </w:r>
      <w:r w:rsidR="005C4ADA">
        <w:instrText xml:space="preserve"> REF _Ref214024670 \r \h </w:instrText>
      </w:r>
      <w:r w:rsidR="005C4ADA">
        <w:fldChar w:fldCharType="separate"/>
      </w:r>
      <w:r w:rsidR="00754712">
        <w:t>4.3</w:t>
      </w:r>
      <w:r w:rsidR="005C4ADA">
        <w:fldChar w:fldCharType="end"/>
      </w:r>
      <w:r w:rsidR="619AB08F">
        <w:t xml:space="preserve">, this </w:t>
      </w:r>
      <w:r w:rsidR="0018773B">
        <w:t>is</w:t>
      </w:r>
      <w:r w:rsidR="619AB08F">
        <w:t xml:space="preserve"> in stark contrast to the distribution of values for both the </w:t>
      </w:r>
      <w:r w:rsidR="0018773B">
        <w:t xml:space="preserve">Non-Residential Decommissioning Readiness Index </w:t>
      </w:r>
      <w:r w:rsidR="619AB08F">
        <w:t>and sub-indices</w:t>
      </w:r>
      <w:r w:rsidR="0018773B">
        <w:t>,</w:t>
      </w:r>
      <w:r w:rsidR="2B1F6750">
        <w:t xml:space="preserve"> which </w:t>
      </w:r>
      <w:r w:rsidR="005108C1">
        <w:t>are all</w:t>
      </w:r>
      <w:r w:rsidR="2B1F6750">
        <w:t xml:space="preserve"> </w:t>
      </w:r>
      <w:r w:rsidR="005108C1">
        <w:t>strongly</w:t>
      </w:r>
      <w:r w:rsidR="005C4ADA">
        <w:t xml:space="preserve"> </w:t>
      </w:r>
      <w:r w:rsidR="005108C1">
        <w:t>left</w:t>
      </w:r>
      <w:r w:rsidR="005C4ADA">
        <w:t xml:space="preserve"> skew</w:t>
      </w:r>
      <w:r w:rsidR="005108C1">
        <w:t>ed</w:t>
      </w:r>
      <w:r w:rsidR="2B1F6750">
        <w:t>.</w:t>
      </w:r>
    </w:p>
    <w:p w14:paraId="7907E72B" w14:textId="12B0BD36" w:rsidR="00D24248" w:rsidRDefault="00FC1B64" w:rsidP="5D962A91">
      <w:pPr>
        <w:pStyle w:val="BodyText"/>
      </w:pPr>
      <w:r>
        <w:fldChar w:fldCharType="begin"/>
      </w:r>
      <w:r>
        <w:instrText xml:space="preserve"> REF _Ref213250875 \h </w:instrText>
      </w:r>
      <w:r>
        <w:fldChar w:fldCharType="separate"/>
      </w:r>
      <w:r w:rsidR="00754712">
        <w:t xml:space="preserve">Table </w:t>
      </w:r>
      <w:r w:rsidR="00754712">
        <w:rPr>
          <w:noProof/>
        </w:rPr>
        <w:t>4</w:t>
      </w:r>
      <w:r w:rsidR="00754712">
        <w:noBreakHyphen/>
      </w:r>
      <w:r w:rsidR="00754712">
        <w:rPr>
          <w:noProof/>
        </w:rPr>
        <w:t>1</w:t>
      </w:r>
      <w:r>
        <w:fldChar w:fldCharType="end"/>
      </w:r>
      <w:r>
        <w:t xml:space="preserve"> </w:t>
      </w:r>
      <w:r w:rsidR="00C006AF">
        <w:t xml:space="preserve">shows </w:t>
      </w:r>
      <w:r w:rsidR="49AD4FF4">
        <w:t xml:space="preserve">a set of correlation coefficients computed for </w:t>
      </w:r>
      <w:r w:rsidR="5F56C448">
        <w:t xml:space="preserve">each pairwise </w:t>
      </w:r>
      <w:r w:rsidR="731F10D5">
        <w:t>combination</w:t>
      </w:r>
      <w:r w:rsidR="5F56C448">
        <w:t xml:space="preserve"> of </w:t>
      </w:r>
      <w:r w:rsidR="49AD4FF4">
        <w:t xml:space="preserve">the </w:t>
      </w:r>
      <w:r w:rsidR="1646D02C">
        <w:t>three</w:t>
      </w:r>
      <w:r w:rsidR="4D41BF1D">
        <w:t xml:space="preserve">, </w:t>
      </w:r>
      <w:r w:rsidR="1646D02C">
        <w:t>census</w:t>
      </w:r>
      <w:r w:rsidR="49AD4FF4">
        <w:t xml:space="preserve"> tract level</w:t>
      </w:r>
      <w:r w:rsidR="409749D3">
        <w:t>,</w:t>
      </w:r>
      <w:r w:rsidR="49AD4FF4">
        <w:t xml:space="preserve"> residential decommissioning readiness sub-indices</w:t>
      </w:r>
      <w:r w:rsidR="00C006AF">
        <w:t>.</w:t>
      </w:r>
      <w:r w:rsidR="07000E99">
        <w:t xml:space="preserve"> </w:t>
      </w:r>
      <w:r w:rsidR="6D618909">
        <w:t>These correlations indicate the degree to which tracts which are identified as promising relative to one sub-index, are likely to be similarly identified by the other sub-</w:t>
      </w:r>
      <w:r w:rsidR="43F8F684">
        <w:t>indices. Interestingly,</w:t>
      </w:r>
      <w:r w:rsidR="48FDC832">
        <w:t xml:space="preserve"> </w:t>
      </w:r>
      <w:r w:rsidR="43F8F684">
        <w:t xml:space="preserve">the </w:t>
      </w:r>
      <w:r w:rsidR="00D079B9">
        <w:t>Household Gas D</w:t>
      </w:r>
      <w:r w:rsidR="43F8F684">
        <w:t xml:space="preserve">ependence sub-index </w:t>
      </w:r>
      <w:r w:rsidR="54691754">
        <w:t>was</w:t>
      </w:r>
      <w:r w:rsidR="43F8F684">
        <w:t xml:space="preserve"> not found to be strongly correlated with either the Hous</w:t>
      </w:r>
      <w:r w:rsidR="41858866">
        <w:t>e</w:t>
      </w:r>
      <w:r w:rsidR="43F8F684">
        <w:t xml:space="preserve">hold Financial Stability </w:t>
      </w:r>
      <w:r w:rsidR="4A12B32F">
        <w:t xml:space="preserve">sub-index (corr-coeff = -0.06395) </w:t>
      </w:r>
      <w:r w:rsidR="43F8F684">
        <w:t xml:space="preserve">or Housing Stock </w:t>
      </w:r>
      <w:r w:rsidR="15BF5CCE">
        <w:t>Condition sub-ind</w:t>
      </w:r>
      <w:r w:rsidR="729C5EE4">
        <w:t>ex</w:t>
      </w:r>
      <w:r w:rsidR="15BF5CCE">
        <w:t xml:space="preserve"> </w:t>
      </w:r>
      <w:r w:rsidR="729C5EE4">
        <w:t xml:space="preserve">(corr-coeff = -0.05903). </w:t>
      </w:r>
      <w:r w:rsidR="15BF5CCE">
        <w:t xml:space="preserve">This indicates that the degree to which homes rely upon gas is largely independent of their physical condition or the wealth/income status of the communities in which they are located. </w:t>
      </w:r>
      <w:r w:rsidR="004C66FD">
        <w:t>Alternatively, and p</w:t>
      </w:r>
      <w:r w:rsidR="11B7BFD4">
        <w:t xml:space="preserve">erhaps as </w:t>
      </w:r>
      <w:r w:rsidR="29A797D2">
        <w:t xml:space="preserve">is </w:t>
      </w:r>
      <w:r w:rsidR="11B7BFD4">
        <w:t>to be expected</w:t>
      </w:r>
      <w:r w:rsidR="004C66FD">
        <w:t>,</w:t>
      </w:r>
      <w:r w:rsidR="11B7BFD4">
        <w:t xml:space="preserve"> </w:t>
      </w:r>
      <w:r w:rsidR="780D40F0">
        <w:t xml:space="preserve">a </w:t>
      </w:r>
      <w:r w:rsidR="11B7BFD4">
        <w:t>much stronger correlation</w:t>
      </w:r>
      <w:r w:rsidR="7876A08A">
        <w:t xml:space="preserve"> </w:t>
      </w:r>
      <w:r w:rsidR="3B124FBF">
        <w:t xml:space="preserve">was observed between the Household Financial Stability and the Housing Stock Condition sub-indices </w:t>
      </w:r>
      <w:r w:rsidR="11B7BFD4">
        <w:t>(</w:t>
      </w:r>
      <w:r w:rsidR="752D0774">
        <w:t xml:space="preserve">coff-coef = </w:t>
      </w:r>
      <w:r w:rsidR="11B7BFD4">
        <w:t>0.32</w:t>
      </w:r>
      <w:r w:rsidR="778F198A">
        <w:t>190</w:t>
      </w:r>
      <w:r w:rsidR="11B7BFD4">
        <w:t>)</w:t>
      </w:r>
      <w:r w:rsidR="0E830217">
        <w:t>. This reflects the positive relationship between indicators of wealth, income, and home</w:t>
      </w:r>
      <w:r w:rsidR="004C66FD">
        <w:t xml:space="preserve"> </w:t>
      </w:r>
      <w:r w:rsidR="0E830217">
        <w:t>ownership status and those related to the quality and condition of the housing stock.</w:t>
      </w:r>
      <w:r w:rsidR="00EC17F2">
        <w:t xml:space="preserve"> </w:t>
      </w:r>
    </w:p>
    <w:p w14:paraId="27B854FE" w14:textId="17C616EE" w:rsidR="5D962A91" w:rsidRDefault="00D40CFD" w:rsidP="00D40CFD">
      <w:pPr>
        <w:pStyle w:val="FigureTitle"/>
      </w:pPr>
      <w:bookmarkStart w:id="16" w:name="_Ref213250875"/>
      <w:bookmarkStart w:id="17" w:name="_Toc216704044"/>
      <w:r>
        <w:t xml:space="preserve">Table </w:t>
      </w:r>
      <w:r w:rsidR="00CB11A7">
        <w:fldChar w:fldCharType="begin"/>
      </w:r>
      <w:r w:rsidR="00CB11A7">
        <w:instrText xml:space="preserve"> STYLEREF 1 \s </w:instrText>
      </w:r>
      <w:r w:rsidR="00CB11A7">
        <w:fldChar w:fldCharType="separate"/>
      </w:r>
      <w:r w:rsidR="00127D35">
        <w:rPr>
          <w:noProof/>
        </w:rPr>
        <w:t>4</w:t>
      </w:r>
      <w:r w:rsidR="00CB11A7">
        <w:fldChar w:fldCharType="end"/>
      </w:r>
      <w:r w:rsidR="00CB11A7">
        <w:noBreakHyphen/>
      </w:r>
      <w:r w:rsidR="00CB11A7">
        <w:fldChar w:fldCharType="begin"/>
      </w:r>
      <w:r w:rsidR="00CB11A7">
        <w:instrText xml:space="preserve"> SEQ Table \* ARABIC \s 1 </w:instrText>
      </w:r>
      <w:r w:rsidR="00CB11A7">
        <w:fldChar w:fldCharType="separate"/>
      </w:r>
      <w:r w:rsidR="00CB11A7">
        <w:rPr>
          <w:noProof/>
        </w:rPr>
        <w:t>1</w:t>
      </w:r>
      <w:r w:rsidR="00CB11A7">
        <w:fldChar w:fldCharType="end"/>
      </w:r>
      <w:bookmarkEnd w:id="16"/>
      <w:r>
        <w:t xml:space="preserve">. </w:t>
      </w:r>
      <w:r w:rsidR="00577117">
        <w:t xml:space="preserve">Correlation coefficients computed for census tract level residential decommissioning readiness sub-index </w:t>
      </w:r>
      <w:r w:rsidR="00596A5B">
        <w:t>values</w:t>
      </w:r>
      <w:bookmarkEnd w:id="17"/>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2392"/>
        <w:gridCol w:w="2392"/>
        <w:gridCol w:w="2392"/>
        <w:gridCol w:w="2392"/>
      </w:tblGrid>
      <w:tr w:rsidR="734D305F" w14:paraId="01C027CD" w14:textId="77777777" w:rsidTr="457B8AA1">
        <w:trPr>
          <w:trHeight w:val="525"/>
          <w:jc w:val="center"/>
        </w:trPr>
        <w:tc>
          <w:tcPr>
            <w:tcW w:w="2392" w:type="dxa"/>
            <w:shd w:val="clear" w:color="auto" w:fill="0F204B" w:themeFill="accent1"/>
            <w:tcMar>
              <w:top w:w="15" w:type="dxa"/>
              <w:left w:w="15" w:type="dxa"/>
              <w:right w:w="15" w:type="dxa"/>
            </w:tcMar>
            <w:vAlign w:val="center"/>
          </w:tcPr>
          <w:p w14:paraId="7D6AD06A" w14:textId="5EFA9692" w:rsidR="056F20EC" w:rsidRPr="001B24E9" w:rsidRDefault="056F20EC" w:rsidP="734D305F">
            <w:pPr>
              <w:jc w:val="center"/>
              <w:rPr>
                <w:b/>
                <w:bCs/>
              </w:rPr>
            </w:pPr>
            <w:r w:rsidRPr="001B24E9">
              <w:rPr>
                <w:b/>
                <w:bCs/>
              </w:rPr>
              <w:t xml:space="preserve">Correlation </w:t>
            </w:r>
            <w:r w:rsidR="00191AEE">
              <w:rPr>
                <w:b/>
                <w:bCs/>
              </w:rPr>
              <w:t>C</w:t>
            </w:r>
            <w:r w:rsidR="00191AEE" w:rsidRPr="001B24E9">
              <w:rPr>
                <w:b/>
                <w:bCs/>
              </w:rPr>
              <w:t>oefficients</w:t>
            </w:r>
          </w:p>
        </w:tc>
        <w:tc>
          <w:tcPr>
            <w:tcW w:w="2392" w:type="dxa"/>
            <w:shd w:val="clear" w:color="auto" w:fill="0F204B" w:themeFill="accent1"/>
            <w:tcMar>
              <w:top w:w="15" w:type="dxa"/>
              <w:left w:w="15" w:type="dxa"/>
              <w:right w:w="15" w:type="dxa"/>
            </w:tcMar>
            <w:vAlign w:val="center"/>
          </w:tcPr>
          <w:p w14:paraId="5D445FEF" w14:textId="24FBEF78" w:rsidR="734D305F" w:rsidRPr="001B24E9" w:rsidRDefault="00191AEE" w:rsidP="734D305F">
            <w:pPr>
              <w:jc w:val="center"/>
              <w:rPr>
                <w:b/>
                <w:bCs/>
              </w:rPr>
            </w:pPr>
            <w:r w:rsidRPr="001B24E9">
              <w:rPr>
                <w:b/>
                <w:bCs/>
              </w:rPr>
              <w:t xml:space="preserve"> </w:t>
            </w:r>
            <w:r w:rsidR="734D305F" w:rsidRPr="001B24E9">
              <w:rPr>
                <w:b/>
                <w:bCs/>
              </w:rPr>
              <w:t xml:space="preserve">Household </w:t>
            </w:r>
            <w:r w:rsidRPr="001B24E9">
              <w:rPr>
                <w:b/>
                <w:bCs/>
              </w:rPr>
              <w:t>Financial Stability</w:t>
            </w:r>
          </w:p>
        </w:tc>
        <w:tc>
          <w:tcPr>
            <w:tcW w:w="2392" w:type="dxa"/>
            <w:shd w:val="clear" w:color="auto" w:fill="0F204B" w:themeFill="accent1"/>
            <w:tcMar>
              <w:top w:w="15" w:type="dxa"/>
              <w:left w:w="15" w:type="dxa"/>
              <w:right w:w="15" w:type="dxa"/>
            </w:tcMar>
            <w:vAlign w:val="center"/>
          </w:tcPr>
          <w:p w14:paraId="13704BED" w14:textId="7EE73EC2" w:rsidR="734D305F" w:rsidRPr="001B24E9" w:rsidRDefault="734D305F" w:rsidP="734D305F">
            <w:pPr>
              <w:jc w:val="center"/>
              <w:rPr>
                <w:b/>
                <w:bCs/>
              </w:rPr>
            </w:pPr>
            <w:r w:rsidRPr="001B24E9">
              <w:rPr>
                <w:b/>
                <w:bCs/>
              </w:rPr>
              <w:t xml:space="preserve">Household </w:t>
            </w:r>
            <w:r w:rsidR="00191AEE" w:rsidRPr="001B24E9">
              <w:rPr>
                <w:b/>
                <w:bCs/>
              </w:rPr>
              <w:t>Gas Dependence</w:t>
            </w:r>
          </w:p>
        </w:tc>
        <w:tc>
          <w:tcPr>
            <w:tcW w:w="2392" w:type="dxa"/>
            <w:shd w:val="clear" w:color="auto" w:fill="0F204B" w:themeFill="accent1"/>
            <w:tcMar>
              <w:top w:w="15" w:type="dxa"/>
              <w:left w:w="15" w:type="dxa"/>
              <w:right w:w="15" w:type="dxa"/>
            </w:tcMar>
            <w:vAlign w:val="center"/>
          </w:tcPr>
          <w:p w14:paraId="3092079A" w14:textId="28C92939" w:rsidR="734D305F" w:rsidRPr="001B24E9" w:rsidRDefault="734D305F" w:rsidP="734D305F">
            <w:pPr>
              <w:jc w:val="center"/>
              <w:rPr>
                <w:b/>
                <w:bCs/>
              </w:rPr>
            </w:pPr>
            <w:r w:rsidRPr="001B24E9">
              <w:rPr>
                <w:b/>
                <w:bCs/>
              </w:rPr>
              <w:t xml:space="preserve">Housing </w:t>
            </w:r>
            <w:r w:rsidR="00191AEE" w:rsidRPr="001B24E9">
              <w:rPr>
                <w:b/>
                <w:bCs/>
              </w:rPr>
              <w:t>Stock Condition</w:t>
            </w:r>
          </w:p>
        </w:tc>
      </w:tr>
      <w:tr w:rsidR="734D305F" w14:paraId="5B08A4A4" w14:textId="77777777" w:rsidTr="457B8AA1">
        <w:trPr>
          <w:trHeight w:val="525"/>
          <w:jc w:val="center"/>
        </w:trPr>
        <w:tc>
          <w:tcPr>
            <w:tcW w:w="2392" w:type="dxa"/>
            <w:tcMar>
              <w:top w:w="15" w:type="dxa"/>
              <w:left w:w="15" w:type="dxa"/>
              <w:right w:w="15" w:type="dxa"/>
            </w:tcMar>
            <w:vAlign w:val="center"/>
          </w:tcPr>
          <w:p w14:paraId="379EFC86" w14:textId="36F47C6C" w:rsidR="734D305F" w:rsidRDefault="734D305F" w:rsidP="00C81737">
            <w:r>
              <w:t>Household financial stability</w:t>
            </w:r>
          </w:p>
        </w:tc>
        <w:tc>
          <w:tcPr>
            <w:tcW w:w="2392" w:type="dxa"/>
            <w:shd w:val="clear" w:color="auto" w:fill="63BE7B"/>
            <w:tcMar>
              <w:top w:w="15" w:type="dxa"/>
              <w:left w:w="15" w:type="dxa"/>
              <w:right w:w="15" w:type="dxa"/>
            </w:tcMar>
            <w:vAlign w:val="center"/>
          </w:tcPr>
          <w:p w14:paraId="597598E5" w14:textId="0BCC7A06" w:rsidR="734D305F" w:rsidRPr="00C81737" w:rsidRDefault="734D305F" w:rsidP="734D305F">
            <w:pPr>
              <w:jc w:val="center"/>
              <w:rPr>
                <w:b/>
                <w:bCs/>
                <w:color w:val="FFFFFF" w:themeColor="background1"/>
              </w:rPr>
            </w:pPr>
            <w:r w:rsidRPr="00C81737">
              <w:rPr>
                <w:b/>
                <w:bCs/>
                <w:color w:val="FFFFFF" w:themeColor="background1"/>
              </w:rPr>
              <w:t>1</w:t>
            </w:r>
          </w:p>
        </w:tc>
        <w:tc>
          <w:tcPr>
            <w:tcW w:w="2392" w:type="dxa"/>
            <w:shd w:val="clear" w:color="auto" w:fill="A6A6A6" w:themeFill="background1" w:themeFillShade="A6"/>
            <w:tcMar>
              <w:top w:w="15" w:type="dxa"/>
              <w:left w:w="15" w:type="dxa"/>
              <w:right w:w="15" w:type="dxa"/>
            </w:tcMar>
            <w:vAlign w:val="center"/>
          </w:tcPr>
          <w:p w14:paraId="1582CE7C" w14:textId="42B8D6F5" w:rsidR="734D305F" w:rsidRPr="00C81737" w:rsidRDefault="734D305F" w:rsidP="734D305F">
            <w:pPr>
              <w:jc w:val="center"/>
              <w:rPr>
                <w:b/>
                <w:bCs/>
                <w:color w:val="FFFFFF" w:themeColor="background1"/>
              </w:rPr>
            </w:pPr>
          </w:p>
        </w:tc>
        <w:tc>
          <w:tcPr>
            <w:tcW w:w="2392" w:type="dxa"/>
            <w:shd w:val="clear" w:color="auto" w:fill="A6A6A6" w:themeFill="background1" w:themeFillShade="A6"/>
            <w:tcMar>
              <w:top w:w="15" w:type="dxa"/>
              <w:left w:w="15" w:type="dxa"/>
              <w:right w:w="15" w:type="dxa"/>
            </w:tcMar>
            <w:vAlign w:val="center"/>
          </w:tcPr>
          <w:p w14:paraId="0005F5F9" w14:textId="07DBB773" w:rsidR="734D305F" w:rsidRPr="00C81737" w:rsidRDefault="734D305F" w:rsidP="734D305F">
            <w:pPr>
              <w:jc w:val="center"/>
              <w:rPr>
                <w:b/>
                <w:bCs/>
                <w:color w:val="FFFFFF" w:themeColor="background1"/>
              </w:rPr>
            </w:pPr>
          </w:p>
        </w:tc>
      </w:tr>
      <w:tr w:rsidR="734D305F" w14:paraId="7C8942E0" w14:textId="77777777" w:rsidTr="457B8AA1">
        <w:trPr>
          <w:trHeight w:val="525"/>
          <w:jc w:val="center"/>
        </w:trPr>
        <w:tc>
          <w:tcPr>
            <w:tcW w:w="2392" w:type="dxa"/>
            <w:tcMar>
              <w:top w:w="15" w:type="dxa"/>
              <w:left w:w="15" w:type="dxa"/>
              <w:right w:w="15" w:type="dxa"/>
            </w:tcMar>
            <w:vAlign w:val="center"/>
          </w:tcPr>
          <w:p w14:paraId="7AF42F33" w14:textId="595EC61A" w:rsidR="734D305F" w:rsidRDefault="734D305F" w:rsidP="00C81737">
            <w:r>
              <w:t>Household gas dependence</w:t>
            </w:r>
          </w:p>
        </w:tc>
        <w:tc>
          <w:tcPr>
            <w:tcW w:w="2392" w:type="dxa"/>
            <w:shd w:val="clear" w:color="auto" w:fill="F8696B"/>
            <w:tcMar>
              <w:top w:w="15" w:type="dxa"/>
              <w:left w:w="15" w:type="dxa"/>
              <w:right w:w="15" w:type="dxa"/>
            </w:tcMar>
            <w:vAlign w:val="center"/>
          </w:tcPr>
          <w:p w14:paraId="229BD5BE" w14:textId="08F6B535" w:rsidR="734D305F" w:rsidRPr="00C81737" w:rsidRDefault="734D305F" w:rsidP="734D305F">
            <w:pPr>
              <w:jc w:val="center"/>
              <w:rPr>
                <w:b/>
                <w:bCs/>
                <w:color w:val="FFFFFF" w:themeColor="background1"/>
              </w:rPr>
            </w:pPr>
            <w:r w:rsidRPr="00C81737">
              <w:rPr>
                <w:b/>
                <w:bCs/>
                <w:color w:val="FFFFFF" w:themeColor="background1"/>
              </w:rPr>
              <w:t>-0.06395</w:t>
            </w:r>
          </w:p>
        </w:tc>
        <w:tc>
          <w:tcPr>
            <w:tcW w:w="2392" w:type="dxa"/>
            <w:shd w:val="clear" w:color="auto" w:fill="63BE7B"/>
            <w:tcMar>
              <w:top w:w="15" w:type="dxa"/>
              <w:left w:w="15" w:type="dxa"/>
              <w:right w:w="15" w:type="dxa"/>
            </w:tcMar>
            <w:vAlign w:val="center"/>
          </w:tcPr>
          <w:p w14:paraId="5C21CBDF" w14:textId="31291E7C" w:rsidR="734D305F" w:rsidRPr="00C81737" w:rsidRDefault="734D305F" w:rsidP="734D305F">
            <w:pPr>
              <w:jc w:val="center"/>
              <w:rPr>
                <w:b/>
                <w:bCs/>
                <w:color w:val="FFFFFF" w:themeColor="background1"/>
              </w:rPr>
            </w:pPr>
            <w:r w:rsidRPr="00C81737">
              <w:rPr>
                <w:b/>
                <w:bCs/>
                <w:color w:val="FFFFFF" w:themeColor="background1"/>
              </w:rPr>
              <w:t>1</w:t>
            </w:r>
          </w:p>
        </w:tc>
        <w:tc>
          <w:tcPr>
            <w:tcW w:w="2392" w:type="dxa"/>
            <w:shd w:val="clear" w:color="auto" w:fill="A6A6A6" w:themeFill="background1" w:themeFillShade="A6"/>
            <w:tcMar>
              <w:top w:w="15" w:type="dxa"/>
              <w:left w:w="15" w:type="dxa"/>
              <w:right w:w="15" w:type="dxa"/>
            </w:tcMar>
            <w:vAlign w:val="center"/>
          </w:tcPr>
          <w:p w14:paraId="6EF2CE19" w14:textId="1A631A2E" w:rsidR="734D305F" w:rsidRPr="00C81737" w:rsidRDefault="734D305F" w:rsidP="734D305F">
            <w:pPr>
              <w:jc w:val="center"/>
              <w:rPr>
                <w:b/>
                <w:bCs/>
                <w:color w:val="FFFFFF" w:themeColor="background1"/>
              </w:rPr>
            </w:pPr>
          </w:p>
        </w:tc>
      </w:tr>
      <w:tr w:rsidR="734D305F" w14:paraId="34ACDE26" w14:textId="77777777" w:rsidTr="457B8AA1">
        <w:trPr>
          <w:trHeight w:val="525"/>
          <w:jc w:val="center"/>
        </w:trPr>
        <w:tc>
          <w:tcPr>
            <w:tcW w:w="2392" w:type="dxa"/>
            <w:tcMar>
              <w:top w:w="15" w:type="dxa"/>
              <w:left w:w="15" w:type="dxa"/>
              <w:right w:w="15" w:type="dxa"/>
            </w:tcMar>
            <w:vAlign w:val="center"/>
          </w:tcPr>
          <w:p w14:paraId="00BCF085" w14:textId="6EE40E32" w:rsidR="734D305F" w:rsidRDefault="734D305F" w:rsidP="00C81737">
            <w:r>
              <w:t>Housing stock condition</w:t>
            </w:r>
          </w:p>
        </w:tc>
        <w:tc>
          <w:tcPr>
            <w:tcW w:w="2392" w:type="dxa"/>
            <w:shd w:val="clear" w:color="auto" w:fill="FBAE78"/>
            <w:tcMar>
              <w:top w:w="15" w:type="dxa"/>
              <w:left w:w="15" w:type="dxa"/>
              <w:right w:w="15" w:type="dxa"/>
            </w:tcMar>
            <w:vAlign w:val="center"/>
          </w:tcPr>
          <w:p w14:paraId="19EAD5A8" w14:textId="2227B24B" w:rsidR="734D305F" w:rsidRPr="00C81737" w:rsidRDefault="2BE0C8DB" w:rsidP="734D305F">
            <w:pPr>
              <w:jc w:val="center"/>
              <w:rPr>
                <w:b/>
                <w:bCs/>
                <w:color w:val="FFFFFF" w:themeColor="background1"/>
              </w:rPr>
            </w:pPr>
            <w:r w:rsidRPr="457B8AA1">
              <w:rPr>
                <w:b/>
                <w:bCs/>
                <w:color w:val="FFFFFF" w:themeColor="background1"/>
              </w:rPr>
              <w:t>0.32190</w:t>
            </w:r>
          </w:p>
        </w:tc>
        <w:tc>
          <w:tcPr>
            <w:tcW w:w="2392" w:type="dxa"/>
            <w:shd w:val="clear" w:color="auto" w:fill="F8696B"/>
            <w:tcMar>
              <w:top w:w="15" w:type="dxa"/>
              <w:left w:w="15" w:type="dxa"/>
              <w:right w:w="15" w:type="dxa"/>
            </w:tcMar>
            <w:vAlign w:val="center"/>
          </w:tcPr>
          <w:p w14:paraId="648FBBE3" w14:textId="228E1F3F" w:rsidR="734D305F" w:rsidRPr="00C81737" w:rsidRDefault="734D305F" w:rsidP="734D305F">
            <w:pPr>
              <w:jc w:val="center"/>
              <w:rPr>
                <w:b/>
                <w:bCs/>
                <w:color w:val="FFFFFF" w:themeColor="background1"/>
              </w:rPr>
            </w:pPr>
            <w:r w:rsidRPr="00C81737">
              <w:rPr>
                <w:b/>
                <w:bCs/>
                <w:color w:val="FFFFFF" w:themeColor="background1"/>
              </w:rPr>
              <w:t>-0.05903</w:t>
            </w:r>
          </w:p>
        </w:tc>
        <w:tc>
          <w:tcPr>
            <w:tcW w:w="2392" w:type="dxa"/>
            <w:shd w:val="clear" w:color="auto" w:fill="63BE7B"/>
            <w:tcMar>
              <w:top w:w="15" w:type="dxa"/>
              <w:left w:w="15" w:type="dxa"/>
              <w:right w:w="15" w:type="dxa"/>
            </w:tcMar>
            <w:vAlign w:val="center"/>
          </w:tcPr>
          <w:p w14:paraId="391C94C2" w14:textId="4692EDB1" w:rsidR="734D305F" w:rsidRPr="00C81737" w:rsidRDefault="734D305F" w:rsidP="734D305F">
            <w:pPr>
              <w:jc w:val="center"/>
              <w:rPr>
                <w:b/>
                <w:bCs/>
                <w:color w:val="FFFFFF" w:themeColor="background1"/>
              </w:rPr>
            </w:pPr>
            <w:r w:rsidRPr="00C81737">
              <w:rPr>
                <w:b/>
                <w:bCs/>
                <w:color w:val="FFFFFF" w:themeColor="background1"/>
              </w:rPr>
              <w:t>1</w:t>
            </w:r>
          </w:p>
        </w:tc>
      </w:tr>
    </w:tbl>
    <w:p w14:paraId="69F9BEF3" w14:textId="6AB2CD39" w:rsidR="00B510C0" w:rsidRDefault="00754712" w:rsidP="00B510C0">
      <w:pPr>
        <w:pStyle w:val="BodyText"/>
        <w:spacing w:before="240"/>
      </w:pPr>
      <w:r>
        <w:fldChar w:fldCharType="begin"/>
      </w:r>
      <w:r>
        <w:instrText xml:space="preserve"> REF _Ref213250833 \h </w:instrText>
      </w:r>
      <w:r>
        <w:fldChar w:fldCharType="separate"/>
      </w:r>
      <w:r>
        <w:t xml:space="preserve">Figure </w:t>
      </w:r>
      <w:r>
        <w:rPr>
          <w:noProof/>
        </w:rPr>
        <w:t>4</w:t>
      </w:r>
      <w:r>
        <w:noBreakHyphen/>
      </w:r>
      <w:r>
        <w:rPr>
          <w:noProof/>
        </w:rPr>
        <w:t>3</w:t>
      </w:r>
      <w:r>
        <w:fldChar w:fldCharType="end"/>
      </w:r>
      <w:r>
        <w:t xml:space="preserve"> </w:t>
      </w:r>
      <w:r w:rsidR="00590040">
        <w:t xml:space="preserve">through </w:t>
      </w:r>
      <w:r>
        <w:fldChar w:fldCharType="begin"/>
      </w:r>
      <w:r>
        <w:instrText xml:space="preserve"> REF _Ref213251201 \h </w:instrText>
      </w:r>
      <w:r>
        <w:fldChar w:fldCharType="separate"/>
      </w:r>
      <w:r>
        <w:t xml:space="preserve">Figure </w:t>
      </w:r>
      <w:r>
        <w:rPr>
          <w:noProof/>
        </w:rPr>
        <w:t>4</w:t>
      </w:r>
      <w:r>
        <w:noBreakHyphen/>
      </w:r>
      <w:r>
        <w:rPr>
          <w:noProof/>
        </w:rPr>
        <w:t>5</w:t>
      </w:r>
      <w:r>
        <w:fldChar w:fldCharType="end"/>
      </w:r>
      <w:r w:rsidR="00590040">
        <w:t xml:space="preserve"> </w:t>
      </w:r>
      <w:r w:rsidR="00B510C0">
        <w:t xml:space="preserve">show a </w:t>
      </w:r>
      <w:r w:rsidR="000414C3">
        <w:t xml:space="preserve">series of </w:t>
      </w:r>
      <w:r w:rsidR="00B510C0">
        <w:t>m</w:t>
      </w:r>
      <w:r w:rsidR="00B510C0" w:rsidRPr="00C006AF">
        <w:t>ap panel</w:t>
      </w:r>
      <w:r w:rsidR="000414C3">
        <w:t>s</w:t>
      </w:r>
      <w:r w:rsidR="00B510C0" w:rsidRPr="00C006AF">
        <w:t xml:space="preserve"> and </w:t>
      </w:r>
      <w:r w:rsidR="000414C3">
        <w:t xml:space="preserve">corresponding </w:t>
      </w:r>
      <w:r w:rsidR="00B510C0" w:rsidRPr="00C006AF">
        <w:t>count frequency histogram</w:t>
      </w:r>
      <w:r w:rsidR="000414C3">
        <w:t>s</w:t>
      </w:r>
      <w:r w:rsidR="00B510C0" w:rsidRPr="00C006AF">
        <w:t xml:space="preserve"> illustrating the distribution of Residential Decommissioning Readiness Index’s Housing Stock </w:t>
      </w:r>
      <w:r w:rsidR="000414C3">
        <w:t>Condition (</w:t>
      </w:r>
      <w:r>
        <w:fldChar w:fldCharType="begin"/>
      </w:r>
      <w:r>
        <w:instrText xml:space="preserve"> REF _Ref213250833 \h </w:instrText>
      </w:r>
      <w:r>
        <w:fldChar w:fldCharType="separate"/>
      </w:r>
      <w:r>
        <w:t xml:space="preserve">Figure </w:t>
      </w:r>
      <w:r>
        <w:rPr>
          <w:noProof/>
        </w:rPr>
        <w:t>4</w:t>
      </w:r>
      <w:r>
        <w:noBreakHyphen/>
      </w:r>
      <w:r>
        <w:rPr>
          <w:noProof/>
        </w:rPr>
        <w:t>3</w:t>
      </w:r>
      <w:r>
        <w:fldChar w:fldCharType="end"/>
      </w:r>
      <w:r w:rsidR="000414C3">
        <w:t>), Household Gas Dependence (</w:t>
      </w:r>
      <w:r>
        <w:fldChar w:fldCharType="begin"/>
      </w:r>
      <w:r>
        <w:instrText xml:space="preserve"> REF _Ref213251229 \h </w:instrText>
      </w:r>
      <w:r>
        <w:fldChar w:fldCharType="separate"/>
      </w:r>
      <w:r w:rsidR="00382ED7">
        <w:t xml:space="preserve">Figure </w:t>
      </w:r>
      <w:r w:rsidR="00382ED7">
        <w:rPr>
          <w:noProof/>
        </w:rPr>
        <w:t>4</w:t>
      </w:r>
      <w:r w:rsidR="00382ED7">
        <w:noBreakHyphen/>
      </w:r>
      <w:r w:rsidR="00382ED7">
        <w:rPr>
          <w:noProof/>
        </w:rPr>
        <w:t>4</w:t>
      </w:r>
      <w:r>
        <w:fldChar w:fldCharType="end"/>
      </w:r>
      <w:r w:rsidR="000414C3">
        <w:t>), and Household Financial Stability (</w:t>
      </w:r>
      <w:r>
        <w:fldChar w:fldCharType="begin"/>
      </w:r>
      <w:r>
        <w:instrText xml:space="preserve"> REF _Ref213251201 \h </w:instrText>
      </w:r>
      <w:r>
        <w:fldChar w:fldCharType="separate"/>
      </w:r>
      <w:r>
        <w:t xml:space="preserve">Figure </w:t>
      </w:r>
      <w:r>
        <w:rPr>
          <w:noProof/>
        </w:rPr>
        <w:t>4</w:t>
      </w:r>
      <w:r>
        <w:noBreakHyphen/>
      </w:r>
      <w:r>
        <w:rPr>
          <w:noProof/>
        </w:rPr>
        <w:t>5</w:t>
      </w:r>
      <w:r>
        <w:fldChar w:fldCharType="end"/>
      </w:r>
      <w:r w:rsidR="000414C3">
        <w:t>) sub-index values</w:t>
      </w:r>
      <w:r w:rsidR="00B510C0" w:rsidRPr="00C006AF">
        <w:t>.</w:t>
      </w:r>
    </w:p>
    <w:p w14:paraId="383C0B58" w14:textId="17FEA0E8" w:rsidR="005428C9" w:rsidRDefault="04F26487" w:rsidP="00FF65B3">
      <w:pPr>
        <w:pStyle w:val="FigureTitle"/>
      </w:pPr>
      <w:r>
        <w:lastRenderedPageBreak/>
        <w:t xml:space="preserve"> </w:t>
      </w:r>
      <w:bookmarkStart w:id="18" w:name="_Ref213250833"/>
      <w:bookmarkStart w:id="19" w:name="_Toc216704058"/>
      <w:r w:rsidR="00D40CFD">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1B758E">
        <w:rPr>
          <w:noProof/>
        </w:rPr>
        <w:t>3</w:t>
      </w:r>
      <w:r w:rsidR="001B758E">
        <w:fldChar w:fldCharType="end"/>
      </w:r>
      <w:bookmarkEnd w:id="18"/>
      <w:r w:rsidR="005428C9">
        <w:t xml:space="preserve">: </w:t>
      </w:r>
      <w:r w:rsidR="00FF65B3" w:rsidRPr="005428C9">
        <w:t xml:space="preserve">Residential Decommissioning Readiness Index’s </w:t>
      </w:r>
      <w:r w:rsidR="005428C9" w:rsidRPr="005428C9">
        <w:t xml:space="preserve">Housing Stock </w:t>
      </w:r>
      <w:r w:rsidR="00FF65B3" w:rsidRPr="005428C9">
        <w:t>Sub-Index Component Values</w:t>
      </w:r>
      <w:bookmarkEnd w:id="19"/>
    </w:p>
    <w:p w14:paraId="2CD06378" w14:textId="5317198D" w:rsidR="5D962A91" w:rsidRDefault="34194319" w:rsidP="00FF65B3">
      <w:pPr>
        <w:pStyle w:val="BodyText"/>
      </w:pPr>
      <w:r>
        <w:rPr>
          <w:noProof/>
        </w:rPr>
        <w:drawing>
          <wp:inline distT="0" distB="0" distL="0" distR="0" wp14:anchorId="19959145" wp14:editId="0CF6B590">
            <wp:extent cx="6086475" cy="3505200"/>
            <wp:effectExtent l="0" t="0" r="0" b="0"/>
            <wp:docPr id="1814030094" name="drawing" descr="Screenshot of the Tool showing the Residential Decommissioning Readiness Index's Housing stock sub index component values on a map of the state and in a bar graph (which shows the distribution of th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30094" name="drawing" descr="Screenshot of the Tool showing the Residential Decommissioning Readiness Index's Housing stock sub index component values on a map of the state and in a bar graph (which shows the distribution of the valu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2A1BDC0E" w14:textId="5CA81A2B" w:rsidR="5D962A91" w:rsidDel="00632F5F" w:rsidRDefault="001B758E" w:rsidP="001B758E">
      <w:pPr>
        <w:pStyle w:val="Caption"/>
      </w:pPr>
      <w:bookmarkStart w:id="20" w:name="_Ref213251229"/>
      <w:bookmarkStart w:id="21" w:name="_Toc216704059"/>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4</w:t>
      </w:r>
      <w:r>
        <w:fldChar w:fldCharType="end"/>
      </w:r>
      <w:bookmarkEnd w:id="20"/>
      <w:r w:rsidR="00583C5D">
        <w:t xml:space="preserve">: </w:t>
      </w:r>
      <w:r w:rsidR="00FE0D1F">
        <w:t xml:space="preserve">Residential </w:t>
      </w:r>
      <w:r w:rsidR="00FE0D1F" w:rsidRPr="00FE0D1F">
        <w:t>Decommissioning</w:t>
      </w:r>
      <w:r w:rsidR="00FE0D1F" w:rsidRPr="003A0C48">
        <w:t xml:space="preserve"> Readiness Index’s Household Gas Dependence Sub-Index </w:t>
      </w:r>
      <w:r w:rsidR="00FE0D1F" w:rsidRPr="00FE0D1F">
        <w:t>C</w:t>
      </w:r>
      <w:r w:rsidR="00FE0D1F">
        <w:t xml:space="preserve">omponent </w:t>
      </w:r>
      <w:r w:rsidR="00FE0D1F" w:rsidRPr="00FE0D1F">
        <w:t>Values</w:t>
      </w:r>
      <w:bookmarkEnd w:id="21"/>
    </w:p>
    <w:p w14:paraId="001B3EA5" w14:textId="3DE695E5" w:rsidR="5D962A91" w:rsidRDefault="77C127B5" w:rsidP="003A0C48">
      <w:pPr>
        <w:pStyle w:val="BodyText"/>
      </w:pPr>
      <w:r w:rsidRPr="003A0C48">
        <w:rPr>
          <w:noProof/>
        </w:rPr>
        <w:drawing>
          <wp:inline distT="0" distB="0" distL="0" distR="0" wp14:anchorId="5C343F9A" wp14:editId="7E9B3226">
            <wp:extent cx="6086475" cy="3505200"/>
            <wp:effectExtent l="0" t="0" r="0" b="0"/>
            <wp:docPr id="107353906" name="drawing" descr="Screenshot of the Tool showing the Residential Decommissioning Readiness Index's Household Gas Dependence sub-index component values on a map of the state and in a bar graph (which shows the distribution of th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3906" name="drawing" descr="Screenshot of the Tool showing the Residential Decommissioning Readiness Index's Household Gas Dependence sub-index component values on a map of the state and in a bar graph (which shows the distribution of the valu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1C34DA1D" w14:textId="52AE806C" w:rsidR="00FE0D1F" w:rsidRDefault="00FE0D1F" w:rsidP="00B71835">
      <w:pPr>
        <w:pStyle w:val="FigureTitle"/>
      </w:pPr>
      <w:bookmarkStart w:id="22" w:name="_Ref213251201"/>
      <w:bookmarkStart w:id="23" w:name="_Ref213251193"/>
      <w:bookmarkStart w:id="24" w:name="_Toc216704060"/>
      <w:r>
        <w:lastRenderedPageBreak/>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382ED7">
        <w:rPr>
          <w:noProof/>
        </w:rPr>
        <w:t>5</w:t>
      </w:r>
      <w:r w:rsidR="001B758E">
        <w:fldChar w:fldCharType="end"/>
      </w:r>
      <w:bookmarkEnd w:id="22"/>
      <w:r>
        <w:t xml:space="preserve">. </w:t>
      </w:r>
      <w:r w:rsidRPr="00FE0D1F">
        <w:t xml:space="preserve">Residential Decommissioning Readiness Index’s Household Financial Security Sub-Index </w:t>
      </w:r>
      <w:r>
        <w:t>C</w:t>
      </w:r>
      <w:r w:rsidRPr="00FE0D1F">
        <w:t xml:space="preserve">omponent </w:t>
      </w:r>
      <w:r>
        <w:t>V</w:t>
      </w:r>
      <w:r w:rsidRPr="00FE0D1F">
        <w:t>alues</w:t>
      </w:r>
      <w:bookmarkEnd w:id="23"/>
      <w:bookmarkEnd w:id="24"/>
    </w:p>
    <w:p w14:paraId="27581EF0" w14:textId="161ACCD9" w:rsidR="38F5C55A" w:rsidRDefault="2BB55605" w:rsidP="61203D7F">
      <w:pPr>
        <w:pStyle w:val="BodyText"/>
      </w:pPr>
      <w:r>
        <w:rPr>
          <w:noProof/>
        </w:rPr>
        <w:drawing>
          <wp:inline distT="0" distB="0" distL="0" distR="0" wp14:anchorId="19E65E05" wp14:editId="61B086C5">
            <wp:extent cx="6086475" cy="3505200"/>
            <wp:effectExtent l="0" t="0" r="0" b="0"/>
            <wp:docPr id="1102245038" name="drawing" descr="Screenshot of the Tool showing the Residential Decommissioning Readiness Index's Household Financial Security sub-index component values on a map of the state and in a bar graph (which shows the distribution of th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45038" name="drawing" descr="Screenshot of the Tool showing the Residential Decommissioning Readiness Index's Household Financial Security sub-index component values on a map of the state and in a bar graph (which shows the distribution of the valu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2CE37414" w14:textId="3F1BF799" w:rsidR="7D221B50" w:rsidRDefault="7D221B50" w:rsidP="00FC659A">
      <w:pPr>
        <w:pStyle w:val="Heading2"/>
      </w:pPr>
      <w:bookmarkStart w:id="25" w:name="_Ref214024670"/>
      <w:bookmarkStart w:id="26" w:name="_Toc216703878"/>
      <w:r>
        <w:t>Non-Residential Customer Decommissioning Readiness</w:t>
      </w:r>
      <w:r w:rsidR="17C59431">
        <w:t xml:space="preserve"> Factors</w:t>
      </w:r>
      <w:bookmarkEnd w:id="25"/>
      <w:bookmarkEnd w:id="26"/>
    </w:p>
    <w:p w14:paraId="02F5ABEA" w14:textId="77777777" w:rsidR="00754712" w:rsidRDefault="00163857" w:rsidP="002B47F0">
      <w:pPr>
        <w:pStyle w:val="Caption"/>
      </w:pPr>
      <w:r>
        <w:fldChar w:fldCharType="begin"/>
      </w:r>
      <w:r>
        <w:instrText xml:space="preserve"> REF _Ref213927204 \h </w:instrText>
      </w:r>
      <w:r>
        <w:fldChar w:fldCharType="separate"/>
      </w:r>
    </w:p>
    <w:p w14:paraId="054920CE" w14:textId="30EC87C1" w:rsidR="004813E3" w:rsidRDefault="00754712" w:rsidP="457B8AA1">
      <w:pPr>
        <w:pStyle w:val="BodyText"/>
      </w:pPr>
      <w:r>
        <w:t xml:space="preserve">Figure </w:t>
      </w:r>
      <w:r>
        <w:rPr>
          <w:noProof/>
        </w:rPr>
        <w:t>4</w:t>
      </w:r>
      <w:r>
        <w:noBreakHyphen/>
      </w:r>
      <w:r>
        <w:rPr>
          <w:noProof/>
        </w:rPr>
        <w:t>6</w:t>
      </w:r>
      <w:r w:rsidR="00163857">
        <w:fldChar w:fldCharType="end"/>
      </w:r>
      <w:r w:rsidR="00163857">
        <w:t xml:space="preserve"> and </w:t>
      </w:r>
      <w:r w:rsidR="00163857">
        <w:fldChar w:fldCharType="begin"/>
      </w:r>
      <w:r w:rsidR="00163857">
        <w:instrText xml:space="preserve"> REF _Ref213927207 \h </w:instrText>
      </w:r>
      <w:r w:rsidR="00163857">
        <w:fldChar w:fldCharType="separate"/>
      </w:r>
      <w:r>
        <w:t xml:space="preserve">Figure </w:t>
      </w:r>
      <w:r>
        <w:rPr>
          <w:noProof/>
        </w:rPr>
        <w:t>4</w:t>
      </w:r>
      <w:r>
        <w:noBreakHyphen/>
      </w:r>
      <w:r>
        <w:rPr>
          <w:noProof/>
        </w:rPr>
        <w:t>7</w:t>
      </w:r>
      <w:r w:rsidR="00163857">
        <w:fldChar w:fldCharType="end"/>
      </w:r>
      <w:r w:rsidR="0C7BDDB8">
        <w:t xml:space="preserve"> provide similar view</w:t>
      </w:r>
      <w:r w:rsidR="00163857">
        <w:t>s</w:t>
      </w:r>
      <w:r w:rsidR="0C7BDDB8">
        <w:t xml:space="preserve"> </w:t>
      </w:r>
      <w:r w:rsidR="0ACE746B">
        <w:t xml:space="preserve">for </w:t>
      </w:r>
      <w:r w:rsidR="0C7BDDB8">
        <w:t xml:space="preserve">the results of a “hot spot” analysis conducted for the </w:t>
      </w:r>
      <w:r w:rsidR="000801F8">
        <w:t>Non-Residential Decommissioning Rea</w:t>
      </w:r>
      <w:r w:rsidR="00163857">
        <w:t>d</w:t>
      </w:r>
      <w:r w:rsidR="000801F8">
        <w:t xml:space="preserve">iness Index </w:t>
      </w:r>
      <w:r w:rsidR="001732C8">
        <w:t>values</w:t>
      </w:r>
      <w:r w:rsidR="0C7BDDB8">
        <w:t xml:space="preserve"> developed as part of this study. </w:t>
      </w:r>
      <w:r w:rsidR="00163857">
        <w:t xml:space="preserve">The </w:t>
      </w:r>
      <w:r w:rsidR="00AD55AB">
        <w:t>blue-colored</w:t>
      </w:r>
      <w:r w:rsidR="00163857">
        <w:t xml:space="preserve"> areas depict “cool spots”</w:t>
      </w:r>
      <w:r>
        <w:t>—</w:t>
      </w:r>
      <w:r w:rsidR="00163857">
        <w:t xml:space="preserve">concentrations of census tracts considered less promising for decommissioning based upon </w:t>
      </w:r>
      <w:r w:rsidR="00BC5354">
        <w:t>t</w:t>
      </w:r>
      <w:r>
        <w:t>he Non-Residential Decommissioning Readiness Index</w:t>
      </w:r>
      <w:r w:rsidR="00163857">
        <w:t xml:space="preserve"> values. Conversely, the red</w:t>
      </w:r>
      <w:r w:rsidR="00AD55AB">
        <w:t>-</w:t>
      </w:r>
      <w:r w:rsidR="00163857">
        <w:t>colored areas depict “hot spots”</w:t>
      </w:r>
      <w:r>
        <w:t>—</w:t>
      </w:r>
      <w:r w:rsidR="00163857">
        <w:t>concentrations of census tracts considered more promising for decommissioning based upon the characteristics of non-residential gas facilities and end-use consumption.</w:t>
      </w:r>
      <w:r w:rsidR="00B418CF">
        <w:t xml:space="preserve"> Based on these results, there appear to be a larger number of concentrated areas with intensive non-residential gas </w:t>
      </w:r>
      <w:r w:rsidR="00CE1D3C">
        <w:t>consumption that</w:t>
      </w:r>
      <w:r w:rsidR="00475702">
        <w:t xml:space="preserve"> would be considered less promising for gas decommissioning projects,</w:t>
      </w:r>
      <w:r w:rsidR="00B418CF">
        <w:t xml:space="preserve"> in the state’</w:t>
      </w:r>
      <w:r>
        <w:t>s</w:t>
      </w:r>
      <w:r w:rsidR="00082C06">
        <w:t xml:space="preserve"> Northern/Central</w:t>
      </w:r>
      <w:r w:rsidR="00B418CF">
        <w:t xml:space="preserve"> </w:t>
      </w:r>
      <w:r w:rsidR="00082C06">
        <w:t>region</w:t>
      </w:r>
      <w:r w:rsidR="00B418CF">
        <w:t xml:space="preserve"> as compared to th</w:t>
      </w:r>
      <w:r w:rsidR="00082C06">
        <w:t>e Southern Region</w:t>
      </w:r>
      <w:r w:rsidR="00B418CF">
        <w:t xml:space="preserve">. </w:t>
      </w:r>
    </w:p>
    <w:p w14:paraId="6B82EB86" w14:textId="77777777" w:rsidR="004813E3" w:rsidRDefault="004813E3" w:rsidP="457B8AA1">
      <w:pPr>
        <w:pStyle w:val="BodyText"/>
      </w:pPr>
    </w:p>
    <w:p w14:paraId="4557B824" w14:textId="77777777" w:rsidR="004813E3" w:rsidRDefault="004813E3" w:rsidP="457B8AA1">
      <w:pPr>
        <w:pStyle w:val="BodyText"/>
      </w:pPr>
    </w:p>
    <w:p w14:paraId="112ACB93" w14:textId="77777777" w:rsidR="004813E3" w:rsidRDefault="004813E3" w:rsidP="457B8AA1">
      <w:pPr>
        <w:pStyle w:val="BodyText"/>
      </w:pPr>
    </w:p>
    <w:p w14:paraId="4E2183DD" w14:textId="77777777" w:rsidR="004813E3" w:rsidRDefault="004813E3" w:rsidP="457B8AA1">
      <w:pPr>
        <w:pStyle w:val="BodyText"/>
      </w:pPr>
    </w:p>
    <w:p w14:paraId="3EA235F1" w14:textId="77777777" w:rsidR="004813E3" w:rsidRDefault="004813E3" w:rsidP="457B8AA1">
      <w:pPr>
        <w:pStyle w:val="BodyText"/>
      </w:pPr>
    </w:p>
    <w:p w14:paraId="659A0861" w14:textId="77777777" w:rsidR="004813E3" w:rsidRDefault="004813E3" w:rsidP="457B8AA1">
      <w:pPr>
        <w:pStyle w:val="BodyText"/>
      </w:pPr>
    </w:p>
    <w:p w14:paraId="1914FF72" w14:textId="77777777" w:rsidR="004813E3" w:rsidRDefault="004813E3" w:rsidP="457B8AA1">
      <w:pPr>
        <w:pStyle w:val="BodyText"/>
      </w:pPr>
    </w:p>
    <w:p w14:paraId="1C07FE3C" w14:textId="77777777" w:rsidR="004813E3" w:rsidRDefault="004813E3" w:rsidP="457B8AA1">
      <w:pPr>
        <w:pStyle w:val="BodyText"/>
      </w:pPr>
    </w:p>
    <w:p w14:paraId="70B87B38" w14:textId="77777777" w:rsidR="004813E3" w:rsidRDefault="004813E3" w:rsidP="457B8AA1">
      <w:pPr>
        <w:pStyle w:val="BodyText"/>
      </w:pPr>
    </w:p>
    <w:p w14:paraId="7DB78DE2" w14:textId="77777777" w:rsidR="009C7EC1" w:rsidRDefault="009C7EC1" w:rsidP="002B47F0">
      <w:pPr>
        <w:pStyle w:val="Caption"/>
      </w:pPr>
      <w:bookmarkStart w:id="27" w:name="_Ref213927204"/>
    </w:p>
    <w:p w14:paraId="190E8595" w14:textId="39CB6235" w:rsidR="002B47F0" w:rsidRDefault="002B47F0" w:rsidP="00127D35">
      <w:pPr>
        <w:pStyle w:val="FigureTitle"/>
      </w:pPr>
      <w:bookmarkStart w:id="28" w:name="_Toc216704061"/>
      <w:r>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382ED7">
        <w:rPr>
          <w:noProof/>
        </w:rPr>
        <w:t>6</w:t>
      </w:r>
      <w:r w:rsidR="001B758E">
        <w:fldChar w:fldCharType="end"/>
      </w:r>
      <w:bookmarkEnd w:id="27"/>
      <w:r>
        <w:t xml:space="preserve">. Non-Residential Gas Decommissioning Hot Spot Analysis, </w:t>
      </w:r>
      <w:r w:rsidRPr="004A7531">
        <w:t>Northern/Central California Region</w:t>
      </w:r>
      <w:bookmarkEnd w:id="28"/>
    </w:p>
    <w:p w14:paraId="3CC49E31" w14:textId="5D276411" w:rsidR="4A5BEC0F" w:rsidRDefault="792E08D8" w:rsidP="002B47F0">
      <w:pPr>
        <w:pStyle w:val="Caption"/>
      </w:pPr>
      <w:r>
        <w:rPr>
          <w:noProof/>
        </w:rPr>
        <w:drawing>
          <wp:inline distT="0" distB="0" distL="0" distR="0" wp14:anchorId="22CDE553" wp14:editId="311809E4">
            <wp:extent cx="6086475" cy="3505200"/>
            <wp:effectExtent l="0" t="0" r="0" b="0"/>
            <wp:docPr id="218490729" name="drawing" descr="Screenshot of the Tool showing the Non-Residential Decommissioning Hot Spot Analysis in the Nothern/Central Californi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90729" name="drawing" descr="Screenshot of the Tool showing the Non-Residential Decommissioning Hot Spot Analysis in the Nothern/Central California reg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2D1B56FA" w14:textId="6B0F5D88" w:rsidR="00577117" w:rsidRDefault="002B47F0" w:rsidP="00127D35">
      <w:pPr>
        <w:pStyle w:val="FigureTitle"/>
      </w:pPr>
      <w:bookmarkStart w:id="29" w:name="_Ref213927207"/>
      <w:bookmarkStart w:id="30" w:name="_Toc216704062"/>
      <w:r>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382ED7">
        <w:rPr>
          <w:noProof/>
        </w:rPr>
        <w:t>7</w:t>
      </w:r>
      <w:r w:rsidR="001B758E">
        <w:fldChar w:fldCharType="end"/>
      </w:r>
      <w:bookmarkEnd w:id="29"/>
      <w:r>
        <w:t>. Non-</w:t>
      </w:r>
      <w:r w:rsidR="00577117">
        <w:t xml:space="preserve">Residential Gas Decommissioning Hot Spot Analysis, </w:t>
      </w:r>
      <w:r w:rsidR="00B020AB">
        <w:t>Southern</w:t>
      </w:r>
      <w:r w:rsidR="00577117" w:rsidRPr="004A7531">
        <w:t xml:space="preserve"> California Region</w:t>
      </w:r>
      <w:bookmarkEnd w:id="30"/>
    </w:p>
    <w:p w14:paraId="61583246" w14:textId="0DD95AAD" w:rsidR="4A5BEC0F" w:rsidRDefault="792E08D8" w:rsidP="457B8AA1">
      <w:pPr>
        <w:pStyle w:val="BodyText"/>
      </w:pPr>
      <w:r>
        <w:rPr>
          <w:noProof/>
        </w:rPr>
        <w:drawing>
          <wp:inline distT="0" distB="0" distL="0" distR="0" wp14:anchorId="7922AFE2" wp14:editId="7FCA6893">
            <wp:extent cx="6086475" cy="3505200"/>
            <wp:effectExtent l="0" t="0" r="0" b="0"/>
            <wp:docPr id="1728373605" name="drawing" descr="Screenshot of the Tool showing the Non-Residential Decommissioning Hot Spot Analysis in the Southern Californi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73605" name="drawing" descr="Screenshot of the Tool showing the Non-Residential Decommissioning Hot Spot Analysis in the Southern California reg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2346808A" w14:textId="21128E79" w:rsidR="00B020AB" w:rsidRDefault="00CB11A7" w:rsidP="00CB11A7">
      <w:pPr>
        <w:pStyle w:val="BodyText"/>
        <w:sectPr w:rsidR="00B020AB" w:rsidSect="009D630C">
          <w:headerReference w:type="even" r:id="rId25"/>
          <w:headerReference w:type="default" r:id="rId26"/>
          <w:footerReference w:type="even" r:id="rId27"/>
          <w:headerReference w:type="first" r:id="rId28"/>
          <w:footerReference w:type="first" r:id="rId29"/>
          <w:pgSz w:w="11907" w:h="16839"/>
          <w:pgMar w:top="1757" w:right="1134" w:bottom="1361" w:left="1191" w:header="774" w:footer="567" w:gutter="0"/>
          <w:pgNumType w:start="1"/>
          <w:cols w:space="708"/>
          <w:docGrid w:linePitch="360"/>
        </w:sectPr>
      </w:pPr>
      <w:r>
        <w:fldChar w:fldCharType="begin"/>
      </w:r>
      <w:r>
        <w:instrText xml:space="preserve"> REF _Ref213927166 \h </w:instrText>
      </w:r>
      <w:r>
        <w:fldChar w:fldCharType="separate"/>
      </w:r>
      <w:r>
        <w:t xml:space="preserve">Table </w:t>
      </w:r>
      <w:r w:rsidR="00A60EC9">
        <w:rPr>
          <w:noProof/>
        </w:rPr>
        <w:t>4</w:t>
      </w:r>
      <w:r>
        <w:noBreakHyphen/>
      </w:r>
      <w:r>
        <w:rPr>
          <w:noProof/>
        </w:rPr>
        <w:t>2</w:t>
      </w:r>
      <w:r>
        <w:t>.</w:t>
      </w:r>
      <w:r>
        <w:fldChar w:fldCharType="end"/>
      </w:r>
      <w:r w:rsidR="70A9DFE3">
        <w:t xml:space="preserve"> below</w:t>
      </w:r>
      <w:r w:rsidR="54B15AF0">
        <w:t xml:space="preserve"> shows a set of pairwise correlation coefficients generated for the </w:t>
      </w:r>
      <w:r w:rsidR="186CF08D">
        <w:t xml:space="preserve">thirteen, </w:t>
      </w:r>
      <w:r w:rsidR="54B15AF0">
        <w:t>census tract level</w:t>
      </w:r>
      <w:r w:rsidR="4A2BA88E">
        <w:t>, n</w:t>
      </w:r>
      <w:r w:rsidR="54B15AF0">
        <w:t>on-residential decommissioning readiness sub-ind</w:t>
      </w:r>
      <w:r w:rsidR="517F72E3">
        <w:t xml:space="preserve">ex </w:t>
      </w:r>
      <w:r w:rsidR="001732C8">
        <w:t>values</w:t>
      </w:r>
      <w:r w:rsidR="40E378E4">
        <w:t xml:space="preserve">. Based upon the way that these sub-indices were constructed, these correlation coefficients can essentially </w:t>
      </w:r>
      <w:r w:rsidR="4824255A">
        <w:t>be</w:t>
      </w:r>
      <w:r w:rsidR="40E378E4">
        <w:t xml:space="preserve"> interpreted as communicating the degree to which </w:t>
      </w:r>
      <w:r w:rsidR="713C5AB7">
        <w:t xml:space="preserve">there is a </w:t>
      </w:r>
      <w:r w:rsidR="41A2F28C">
        <w:t>coincident</w:t>
      </w:r>
      <w:r w:rsidR="713C5AB7">
        <w:t xml:space="preserve"> </w:t>
      </w:r>
      <w:r w:rsidR="713C5AB7">
        <w:lastRenderedPageBreak/>
        <w:t>presence of facilities, and corresponding gas consumption, among</w:t>
      </w:r>
      <w:r w:rsidR="70215CAE">
        <w:t xml:space="preserve"> these different non-residential sub-sectors </w:t>
      </w:r>
      <w:r w:rsidR="2F141109">
        <w:t>throughout the state.</w:t>
      </w:r>
      <w:r w:rsidR="0D7A9674">
        <w:t xml:space="preserve"> Calling out some examples of </w:t>
      </w:r>
      <w:r w:rsidR="5625F6FC">
        <w:t>significant findings</w:t>
      </w:r>
      <w:r w:rsidR="003C0BD9">
        <w:t xml:space="preserve">, the research </w:t>
      </w:r>
      <w:r w:rsidR="008F6668">
        <w:t xml:space="preserve">team saw </w:t>
      </w:r>
      <w:r w:rsidR="0D7A9674">
        <w:t xml:space="preserve">that the sub-index </w:t>
      </w:r>
      <w:r w:rsidR="001732C8">
        <w:t>values</w:t>
      </w:r>
      <w:r w:rsidR="0D7A9674">
        <w:t xml:space="preserve"> for Offices, Retail, and Restaurants all have high </w:t>
      </w:r>
      <w:r w:rsidR="473D24EA">
        <w:t xml:space="preserve">pairwise </w:t>
      </w:r>
      <w:r w:rsidR="0D7A9674">
        <w:t xml:space="preserve">correlation coefficients. This reflects the degree </w:t>
      </w:r>
      <w:r w:rsidR="2AB2E32D">
        <w:t>to which these types of activities tend to be co-located with one another, geographically.</w:t>
      </w:r>
      <w:r w:rsidR="003B77BF">
        <w:t xml:space="preserve"> </w:t>
      </w:r>
      <w:r w:rsidR="2AB2E32D">
        <w:t xml:space="preserve">Alternatively, </w:t>
      </w:r>
      <w:r w:rsidR="008F6668">
        <w:t>the team saw</w:t>
      </w:r>
      <w:r w:rsidR="2AB2E32D">
        <w:t xml:space="preserve"> that the Refrigerated Warehouses and Schools sub-indices have a </w:t>
      </w:r>
      <w:r w:rsidR="0EB20424">
        <w:t xml:space="preserve">slightly negative </w:t>
      </w:r>
      <w:r w:rsidR="2AB2E32D">
        <w:t>correlation coeffic</w:t>
      </w:r>
      <w:r w:rsidR="451663C5">
        <w:t xml:space="preserve">ient, indicating that these types of facilities </w:t>
      </w:r>
      <w:r w:rsidR="3B793E01">
        <w:t>are far less likely</w:t>
      </w:r>
      <w:r w:rsidR="19E2AD99">
        <w:t xml:space="preserve"> to be located </w:t>
      </w:r>
      <w:r w:rsidR="00163857">
        <w:t>together</w:t>
      </w:r>
      <w:r w:rsidR="19E2AD99">
        <w:t xml:space="preserve"> within the same census tract.</w:t>
      </w:r>
      <w:r w:rsidR="3B793E01">
        <w:t xml:space="preserve"> </w:t>
      </w:r>
      <w:r w:rsidR="003B77BF">
        <w:t>Here again, it is important to remember that the classification of facilities into these various sub-sectors was performed using six-digit NAICS codes self-reported by individual non-residential utility customers to their local gas utility provider.</w:t>
      </w:r>
    </w:p>
    <w:p w14:paraId="03B0B7CF" w14:textId="7FE00B6C" w:rsidR="002B0962" w:rsidRDefault="00CB11A7" w:rsidP="002B0962">
      <w:pPr>
        <w:pStyle w:val="FigureTitle"/>
      </w:pPr>
      <w:bookmarkStart w:id="31" w:name="_Ref213927166"/>
      <w:bookmarkStart w:id="32" w:name="_Toc216704045"/>
      <w:r>
        <w:lastRenderedPageBreak/>
        <w:t xml:space="preserve">Table </w:t>
      </w:r>
      <w:r>
        <w:fldChar w:fldCharType="begin"/>
      </w:r>
      <w:r>
        <w:instrText xml:space="preserve"> STYLEREF 1 \s </w:instrText>
      </w:r>
      <w:r>
        <w:fldChar w:fldCharType="separate"/>
      </w:r>
      <w:r w:rsidR="00127D35">
        <w:rPr>
          <w:noProof/>
        </w:rPr>
        <w:t>4</w:t>
      </w:r>
      <w:r>
        <w:fldChar w:fldCharType="end"/>
      </w:r>
      <w:r>
        <w:noBreakHyphen/>
      </w:r>
      <w:r>
        <w:fldChar w:fldCharType="begin"/>
      </w:r>
      <w:r>
        <w:instrText xml:space="preserve"> SEQ Table \* ARABIC \s 1 </w:instrText>
      </w:r>
      <w:r>
        <w:fldChar w:fldCharType="separate"/>
      </w:r>
      <w:r>
        <w:rPr>
          <w:noProof/>
        </w:rPr>
        <w:t>2</w:t>
      </w:r>
      <w:r>
        <w:fldChar w:fldCharType="end"/>
      </w:r>
      <w:r>
        <w:t>.</w:t>
      </w:r>
      <w:bookmarkEnd w:id="31"/>
      <w:r>
        <w:t xml:space="preserve"> </w:t>
      </w:r>
      <w:r w:rsidR="002B0962">
        <w:t xml:space="preserve">Correlation </w:t>
      </w:r>
      <w:r w:rsidR="008C4487">
        <w:t>Coefficients Computed for Census Tract Level Non-Residential Decommissioning Readiness Sub-Index Values</w:t>
      </w:r>
      <w:bookmarkEnd w:id="32"/>
      <w:r w:rsidR="008C4487">
        <w:t xml:space="preserve"> </w:t>
      </w:r>
    </w:p>
    <w:p w14:paraId="6E4039E7" w14:textId="2D883566" w:rsidR="00CB11A7" w:rsidRDefault="00CB11A7" w:rsidP="00CB11A7">
      <w:pPr>
        <w:pStyle w:val="Caption"/>
      </w:pPr>
    </w:p>
    <w:tbl>
      <w:tblPr>
        <w:tblW w:w="136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1165"/>
        <w:gridCol w:w="788"/>
        <w:gridCol w:w="1282"/>
        <w:gridCol w:w="720"/>
        <w:gridCol w:w="928"/>
        <w:gridCol w:w="977"/>
        <w:gridCol w:w="977"/>
        <w:gridCol w:w="1168"/>
        <w:gridCol w:w="786"/>
        <w:gridCol w:w="1104"/>
        <w:gridCol w:w="1080"/>
        <w:gridCol w:w="746"/>
        <w:gridCol w:w="977"/>
        <w:gridCol w:w="977"/>
      </w:tblGrid>
      <w:tr w:rsidR="734D305F" w14:paraId="720EC710" w14:textId="77777777" w:rsidTr="00E3378F">
        <w:trPr>
          <w:trHeight w:val="432"/>
        </w:trPr>
        <w:tc>
          <w:tcPr>
            <w:tcW w:w="1165" w:type="dxa"/>
            <w:shd w:val="clear" w:color="auto" w:fill="0F204B" w:themeFill="accent1"/>
            <w:tcMar>
              <w:top w:w="15" w:type="dxa"/>
              <w:left w:w="15" w:type="dxa"/>
              <w:right w:w="15" w:type="dxa"/>
            </w:tcMar>
            <w:vAlign w:val="center"/>
          </w:tcPr>
          <w:p w14:paraId="3A9B73CB" w14:textId="1B63D5EE" w:rsidR="63EC40F9" w:rsidRPr="003175C5" w:rsidRDefault="63EC40F9" w:rsidP="734D305F">
            <w:pPr>
              <w:jc w:val="center"/>
              <w:rPr>
                <w:b/>
                <w:bCs/>
                <w:color w:val="FFFFFF" w:themeColor="background1"/>
                <w:sz w:val="16"/>
                <w:szCs w:val="16"/>
              </w:rPr>
            </w:pPr>
            <w:r w:rsidRPr="003175C5">
              <w:rPr>
                <w:b/>
                <w:bCs/>
                <w:color w:val="FFFFFF" w:themeColor="background1"/>
                <w:sz w:val="16"/>
                <w:szCs w:val="16"/>
              </w:rPr>
              <w:t>Correlation Coefficients</w:t>
            </w:r>
          </w:p>
        </w:tc>
        <w:tc>
          <w:tcPr>
            <w:tcW w:w="788" w:type="dxa"/>
            <w:shd w:val="clear" w:color="auto" w:fill="0F204B" w:themeFill="accent1"/>
            <w:tcMar>
              <w:top w:w="15" w:type="dxa"/>
              <w:left w:w="15" w:type="dxa"/>
              <w:right w:w="15" w:type="dxa"/>
            </w:tcMar>
            <w:vAlign w:val="center"/>
          </w:tcPr>
          <w:p w14:paraId="00F8E190" w14:textId="2D7D7B1E" w:rsidR="734D305F" w:rsidRPr="003175C5" w:rsidRDefault="734D305F" w:rsidP="734D305F">
            <w:pPr>
              <w:jc w:val="center"/>
              <w:rPr>
                <w:b/>
                <w:bCs/>
                <w:color w:val="FFFFFF" w:themeColor="background1"/>
                <w:sz w:val="16"/>
                <w:szCs w:val="16"/>
              </w:rPr>
            </w:pPr>
            <w:r w:rsidRPr="003175C5">
              <w:rPr>
                <w:b/>
                <w:bCs/>
                <w:color w:val="FFFFFF" w:themeColor="background1"/>
                <w:sz w:val="16"/>
                <w:szCs w:val="16"/>
              </w:rPr>
              <w:t xml:space="preserve"> College</w:t>
            </w:r>
          </w:p>
        </w:tc>
        <w:tc>
          <w:tcPr>
            <w:tcW w:w="1282" w:type="dxa"/>
            <w:shd w:val="clear" w:color="auto" w:fill="0F204B" w:themeFill="accent1"/>
            <w:tcMar>
              <w:top w:w="15" w:type="dxa"/>
              <w:left w:w="15" w:type="dxa"/>
              <w:right w:w="15" w:type="dxa"/>
            </w:tcMar>
            <w:vAlign w:val="center"/>
          </w:tcPr>
          <w:p w14:paraId="1B64AB22" w14:textId="6981AA36" w:rsidR="734D305F" w:rsidRPr="003175C5" w:rsidRDefault="2BE0C8DB" w:rsidP="734D305F">
            <w:pPr>
              <w:jc w:val="center"/>
              <w:rPr>
                <w:b/>
                <w:bCs/>
                <w:color w:val="FFFFFF" w:themeColor="background1"/>
                <w:sz w:val="16"/>
                <w:szCs w:val="16"/>
              </w:rPr>
            </w:pPr>
            <w:r w:rsidRPr="003175C5">
              <w:rPr>
                <w:b/>
                <w:bCs/>
                <w:color w:val="FFFFFF" w:themeColor="background1"/>
                <w:sz w:val="16"/>
                <w:szCs w:val="16"/>
              </w:rPr>
              <w:t xml:space="preserve">Durable </w:t>
            </w:r>
            <w:r w:rsidR="1B6CF832" w:rsidRPr="003175C5">
              <w:rPr>
                <w:b/>
                <w:bCs/>
                <w:color w:val="FFFFFF" w:themeColor="background1"/>
                <w:sz w:val="16"/>
                <w:szCs w:val="16"/>
              </w:rPr>
              <w:t>G</w:t>
            </w:r>
            <w:r w:rsidRPr="003175C5">
              <w:rPr>
                <w:b/>
                <w:bCs/>
                <w:color w:val="FFFFFF" w:themeColor="background1"/>
                <w:sz w:val="16"/>
                <w:szCs w:val="16"/>
              </w:rPr>
              <w:t xml:space="preserve">oods </w:t>
            </w:r>
            <w:r w:rsidR="00B020AB" w:rsidRPr="003175C5">
              <w:rPr>
                <w:b/>
                <w:bCs/>
                <w:color w:val="FFFFFF" w:themeColor="background1"/>
                <w:sz w:val="16"/>
                <w:szCs w:val="16"/>
              </w:rPr>
              <w:t>Manufacturing</w:t>
            </w:r>
          </w:p>
        </w:tc>
        <w:tc>
          <w:tcPr>
            <w:tcW w:w="720" w:type="dxa"/>
            <w:shd w:val="clear" w:color="auto" w:fill="0F204B" w:themeFill="accent1"/>
            <w:tcMar>
              <w:top w:w="15" w:type="dxa"/>
              <w:left w:w="15" w:type="dxa"/>
              <w:right w:w="15" w:type="dxa"/>
            </w:tcMar>
            <w:vAlign w:val="center"/>
          </w:tcPr>
          <w:p w14:paraId="43873A36" w14:textId="256BA3F4" w:rsidR="734D305F" w:rsidRPr="003175C5" w:rsidRDefault="734D305F" w:rsidP="734D305F">
            <w:pPr>
              <w:jc w:val="center"/>
              <w:rPr>
                <w:b/>
                <w:bCs/>
                <w:color w:val="FFFFFF" w:themeColor="background1"/>
                <w:sz w:val="16"/>
                <w:szCs w:val="16"/>
              </w:rPr>
            </w:pPr>
            <w:r w:rsidRPr="003175C5">
              <w:rPr>
                <w:b/>
                <w:bCs/>
                <w:color w:val="FFFFFF" w:themeColor="background1"/>
                <w:sz w:val="16"/>
                <w:szCs w:val="16"/>
              </w:rPr>
              <w:t xml:space="preserve">Food </w:t>
            </w:r>
            <w:r w:rsidR="006808F3" w:rsidRPr="003175C5">
              <w:rPr>
                <w:b/>
                <w:bCs/>
                <w:color w:val="FFFFFF" w:themeColor="background1"/>
                <w:sz w:val="16"/>
                <w:szCs w:val="16"/>
              </w:rPr>
              <w:t>S</w:t>
            </w:r>
            <w:r w:rsidRPr="003175C5">
              <w:rPr>
                <w:b/>
                <w:bCs/>
                <w:color w:val="FFFFFF" w:themeColor="background1"/>
                <w:sz w:val="16"/>
                <w:szCs w:val="16"/>
              </w:rPr>
              <w:t>tore</w:t>
            </w:r>
          </w:p>
        </w:tc>
        <w:tc>
          <w:tcPr>
            <w:tcW w:w="928" w:type="dxa"/>
            <w:shd w:val="clear" w:color="auto" w:fill="0F204B" w:themeFill="accent1"/>
            <w:tcMar>
              <w:top w:w="15" w:type="dxa"/>
              <w:left w:w="15" w:type="dxa"/>
              <w:right w:w="15" w:type="dxa"/>
            </w:tcMar>
            <w:vAlign w:val="center"/>
          </w:tcPr>
          <w:p w14:paraId="1C5C2547" w14:textId="009BF20B" w:rsidR="734D305F" w:rsidRPr="003175C5" w:rsidRDefault="734D305F" w:rsidP="734D305F">
            <w:pPr>
              <w:jc w:val="center"/>
              <w:rPr>
                <w:b/>
                <w:bCs/>
                <w:color w:val="FFFFFF" w:themeColor="background1"/>
                <w:sz w:val="16"/>
                <w:szCs w:val="16"/>
              </w:rPr>
            </w:pPr>
            <w:r w:rsidRPr="003175C5">
              <w:rPr>
                <w:b/>
                <w:bCs/>
                <w:color w:val="FFFFFF" w:themeColor="background1"/>
                <w:sz w:val="16"/>
                <w:szCs w:val="16"/>
              </w:rPr>
              <w:t>Healthcare</w:t>
            </w:r>
          </w:p>
        </w:tc>
        <w:tc>
          <w:tcPr>
            <w:tcW w:w="977" w:type="dxa"/>
            <w:shd w:val="clear" w:color="auto" w:fill="0F204B" w:themeFill="accent1"/>
            <w:tcMar>
              <w:top w:w="15" w:type="dxa"/>
              <w:left w:w="15" w:type="dxa"/>
              <w:right w:w="15" w:type="dxa"/>
            </w:tcMar>
            <w:vAlign w:val="center"/>
          </w:tcPr>
          <w:p w14:paraId="6DD4CFC7" w14:textId="41E8FF92" w:rsidR="734D305F" w:rsidRPr="003175C5" w:rsidRDefault="734D305F" w:rsidP="734D305F">
            <w:pPr>
              <w:jc w:val="center"/>
              <w:rPr>
                <w:b/>
                <w:bCs/>
                <w:color w:val="FFFFFF" w:themeColor="background1"/>
                <w:sz w:val="16"/>
                <w:szCs w:val="16"/>
              </w:rPr>
            </w:pPr>
            <w:r w:rsidRPr="003175C5">
              <w:rPr>
                <w:b/>
                <w:bCs/>
                <w:color w:val="FFFFFF" w:themeColor="background1"/>
                <w:sz w:val="16"/>
                <w:szCs w:val="16"/>
              </w:rPr>
              <w:t xml:space="preserve"> Hotel</w:t>
            </w:r>
          </w:p>
        </w:tc>
        <w:tc>
          <w:tcPr>
            <w:tcW w:w="977" w:type="dxa"/>
            <w:shd w:val="clear" w:color="auto" w:fill="0F204B" w:themeFill="accent1"/>
            <w:tcMar>
              <w:top w:w="15" w:type="dxa"/>
              <w:left w:w="15" w:type="dxa"/>
              <w:right w:w="15" w:type="dxa"/>
            </w:tcMar>
            <w:vAlign w:val="center"/>
          </w:tcPr>
          <w:p w14:paraId="14479191" w14:textId="03AF1CCF" w:rsidR="734D305F" w:rsidRPr="003175C5" w:rsidRDefault="790D93E4" w:rsidP="734D305F">
            <w:pPr>
              <w:jc w:val="center"/>
              <w:rPr>
                <w:b/>
                <w:bCs/>
                <w:color w:val="FFFFFF" w:themeColor="background1"/>
                <w:sz w:val="16"/>
                <w:szCs w:val="16"/>
              </w:rPr>
            </w:pPr>
            <w:r w:rsidRPr="61F21D41">
              <w:rPr>
                <w:b/>
                <w:bCs/>
                <w:color w:val="FFFFFF" w:themeColor="background1"/>
                <w:sz w:val="16"/>
                <w:szCs w:val="16"/>
              </w:rPr>
              <w:t xml:space="preserve"> Misc</w:t>
            </w:r>
            <w:r w:rsidR="63859971" w:rsidRPr="61F21D41">
              <w:rPr>
                <w:b/>
                <w:bCs/>
                <w:color w:val="FFFFFF" w:themeColor="background1"/>
                <w:sz w:val="16"/>
                <w:szCs w:val="16"/>
              </w:rPr>
              <w:t>.</w:t>
            </w:r>
            <w:r w:rsidR="00282B58">
              <w:rPr>
                <w:rStyle w:val="FootnoteReference"/>
                <w:b/>
                <w:bCs/>
                <w:color w:val="FFFFFF" w:themeColor="background1"/>
                <w:szCs w:val="16"/>
              </w:rPr>
              <w:footnoteReference w:id="9"/>
            </w:r>
          </w:p>
        </w:tc>
        <w:tc>
          <w:tcPr>
            <w:tcW w:w="1168" w:type="dxa"/>
            <w:shd w:val="clear" w:color="auto" w:fill="0F204B" w:themeFill="accent1"/>
            <w:tcMar>
              <w:top w:w="15" w:type="dxa"/>
              <w:left w:w="15" w:type="dxa"/>
              <w:right w:w="15" w:type="dxa"/>
            </w:tcMar>
            <w:vAlign w:val="center"/>
          </w:tcPr>
          <w:p w14:paraId="769F7584" w14:textId="5A67068D" w:rsidR="734D305F" w:rsidRPr="003175C5" w:rsidRDefault="2BE0C8DB" w:rsidP="734D305F">
            <w:pPr>
              <w:jc w:val="center"/>
              <w:rPr>
                <w:b/>
                <w:bCs/>
                <w:color w:val="FFFFFF" w:themeColor="background1"/>
                <w:sz w:val="16"/>
                <w:szCs w:val="16"/>
              </w:rPr>
            </w:pPr>
            <w:r w:rsidRPr="003175C5">
              <w:rPr>
                <w:b/>
                <w:bCs/>
                <w:color w:val="FFFFFF" w:themeColor="background1"/>
                <w:sz w:val="16"/>
                <w:szCs w:val="16"/>
              </w:rPr>
              <w:t xml:space="preserve">Non-durable </w:t>
            </w:r>
            <w:r w:rsidR="68B4DF6D" w:rsidRPr="003175C5">
              <w:rPr>
                <w:b/>
                <w:bCs/>
                <w:color w:val="FFFFFF" w:themeColor="background1"/>
                <w:sz w:val="16"/>
                <w:szCs w:val="16"/>
              </w:rPr>
              <w:t>G</w:t>
            </w:r>
            <w:r w:rsidRPr="003175C5">
              <w:rPr>
                <w:b/>
                <w:bCs/>
                <w:color w:val="FFFFFF" w:themeColor="background1"/>
                <w:sz w:val="16"/>
                <w:szCs w:val="16"/>
              </w:rPr>
              <w:t xml:space="preserve">oods </w:t>
            </w:r>
            <w:r w:rsidR="00B020AB" w:rsidRPr="003175C5">
              <w:rPr>
                <w:b/>
                <w:bCs/>
                <w:color w:val="FFFFFF" w:themeColor="background1"/>
                <w:sz w:val="16"/>
                <w:szCs w:val="16"/>
              </w:rPr>
              <w:t>Manufacturing</w:t>
            </w:r>
          </w:p>
        </w:tc>
        <w:tc>
          <w:tcPr>
            <w:tcW w:w="786" w:type="dxa"/>
            <w:shd w:val="clear" w:color="auto" w:fill="0F204B" w:themeFill="accent1"/>
            <w:tcMar>
              <w:top w:w="15" w:type="dxa"/>
              <w:left w:w="15" w:type="dxa"/>
              <w:right w:w="15" w:type="dxa"/>
            </w:tcMar>
            <w:vAlign w:val="center"/>
          </w:tcPr>
          <w:p w14:paraId="53F15405" w14:textId="6BA24738" w:rsidR="734D305F" w:rsidRPr="003175C5" w:rsidRDefault="734D305F" w:rsidP="734D305F">
            <w:pPr>
              <w:jc w:val="center"/>
              <w:rPr>
                <w:b/>
                <w:bCs/>
                <w:color w:val="FFFFFF" w:themeColor="background1"/>
                <w:sz w:val="16"/>
                <w:szCs w:val="16"/>
              </w:rPr>
            </w:pPr>
            <w:r w:rsidRPr="003175C5">
              <w:rPr>
                <w:b/>
                <w:bCs/>
                <w:color w:val="FFFFFF" w:themeColor="background1"/>
                <w:sz w:val="16"/>
                <w:szCs w:val="16"/>
              </w:rPr>
              <w:t xml:space="preserve"> Offices</w:t>
            </w:r>
          </w:p>
        </w:tc>
        <w:tc>
          <w:tcPr>
            <w:tcW w:w="1104" w:type="dxa"/>
            <w:shd w:val="clear" w:color="auto" w:fill="0F204B" w:themeFill="accent1"/>
            <w:tcMar>
              <w:top w:w="15" w:type="dxa"/>
              <w:left w:w="15" w:type="dxa"/>
              <w:right w:w="15" w:type="dxa"/>
            </w:tcMar>
            <w:vAlign w:val="center"/>
          </w:tcPr>
          <w:p w14:paraId="2808840E" w14:textId="0D02FA3B" w:rsidR="006808F3" w:rsidRPr="003175C5" w:rsidRDefault="734D305F" w:rsidP="734D305F">
            <w:pPr>
              <w:jc w:val="center"/>
              <w:rPr>
                <w:b/>
                <w:bCs/>
                <w:color w:val="FFFFFF" w:themeColor="background1"/>
                <w:sz w:val="16"/>
                <w:szCs w:val="16"/>
              </w:rPr>
            </w:pPr>
            <w:r w:rsidRPr="003175C5">
              <w:rPr>
                <w:b/>
                <w:bCs/>
                <w:color w:val="FFFFFF" w:themeColor="background1"/>
                <w:sz w:val="16"/>
                <w:szCs w:val="16"/>
              </w:rPr>
              <w:t>Refrig</w:t>
            </w:r>
            <w:r w:rsidR="003A218C" w:rsidRPr="003175C5">
              <w:rPr>
                <w:b/>
                <w:bCs/>
                <w:color w:val="FFFFFF" w:themeColor="background1"/>
                <w:sz w:val="16"/>
                <w:szCs w:val="16"/>
              </w:rPr>
              <w:t>eration</w:t>
            </w:r>
          </w:p>
          <w:p w14:paraId="0AC463DB" w14:textId="04194DD8" w:rsidR="734D305F" w:rsidRPr="003175C5" w:rsidRDefault="006808F3" w:rsidP="734D305F">
            <w:pPr>
              <w:jc w:val="center"/>
              <w:rPr>
                <w:b/>
                <w:bCs/>
                <w:color w:val="FFFFFF" w:themeColor="background1"/>
                <w:sz w:val="16"/>
                <w:szCs w:val="16"/>
              </w:rPr>
            </w:pPr>
            <w:r w:rsidRPr="003175C5">
              <w:rPr>
                <w:b/>
                <w:bCs/>
                <w:color w:val="FFFFFF" w:themeColor="background1"/>
                <w:sz w:val="16"/>
                <w:szCs w:val="16"/>
              </w:rPr>
              <w:t>W</w:t>
            </w:r>
            <w:r w:rsidR="734D305F" w:rsidRPr="003175C5">
              <w:rPr>
                <w:b/>
                <w:bCs/>
                <w:color w:val="FFFFFF" w:themeColor="background1"/>
                <w:sz w:val="16"/>
                <w:szCs w:val="16"/>
              </w:rPr>
              <w:t>arehouse</w:t>
            </w:r>
          </w:p>
        </w:tc>
        <w:tc>
          <w:tcPr>
            <w:tcW w:w="1080" w:type="dxa"/>
            <w:shd w:val="clear" w:color="auto" w:fill="0F204B" w:themeFill="accent1"/>
            <w:tcMar>
              <w:top w:w="15" w:type="dxa"/>
              <w:left w:w="15" w:type="dxa"/>
              <w:right w:w="15" w:type="dxa"/>
            </w:tcMar>
            <w:vAlign w:val="center"/>
          </w:tcPr>
          <w:p w14:paraId="2E636ACE" w14:textId="3A074045" w:rsidR="734D305F" w:rsidRPr="003175C5" w:rsidRDefault="18E031DD" w:rsidP="734D305F">
            <w:pPr>
              <w:jc w:val="center"/>
              <w:rPr>
                <w:b/>
                <w:bCs/>
                <w:color w:val="FFFFFF" w:themeColor="background1"/>
                <w:sz w:val="16"/>
                <w:szCs w:val="16"/>
              </w:rPr>
            </w:pPr>
            <w:r w:rsidRPr="61F21D41">
              <w:rPr>
                <w:b/>
                <w:bCs/>
                <w:color w:val="FFFFFF" w:themeColor="background1"/>
                <w:sz w:val="16"/>
                <w:szCs w:val="16"/>
              </w:rPr>
              <w:t xml:space="preserve"> Restaurant</w:t>
            </w:r>
            <w:r w:rsidR="00E3378F">
              <w:rPr>
                <w:b/>
                <w:bCs/>
                <w:color w:val="FFFFFF" w:themeColor="background1"/>
                <w:sz w:val="16"/>
                <w:szCs w:val="16"/>
              </w:rPr>
              <w:t xml:space="preserve"> </w:t>
            </w:r>
            <w:r w:rsidR="00E3378F">
              <w:rPr>
                <w:rStyle w:val="FootnoteReference"/>
              </w:rPr>
              <w:footnoteReference w:id="10"/>
            </w:r>
          </w:p>
        </w:tc>
        <w:tc>
          <w:tcPr>
            <w:tcW w:w="746" w:type="dxa"/>
            <w:shd w:val="clear" w:color="auto" w:fill="0F204B" w:themeFill="accent1"/>
            <w:tcMar>
              <w:top w:w="15" w:type="dxa"/>
              <w:left w:w="15" w:type="dxa"/>
              <w:right w:w="15" w:type="dxa"/>
            </w:tcMar>
            <w:vAlign w:val="center"/>
          </w:tcPr>
          <w:p w14:paraId="333372AE" w14:textId="7279691D" w:rsidR="734D305F" w:rsidRPr="003175C5" w:rsidRDefault="734D305F" w:rsidP="734D305F">
            <w:pPr>
              <w:jc w:val="center"/>
              <w:rPr>
                <w:b/>
                <w:bCs/>
                <w:color w:val="FFFFFF" w:themeColor="background1"/>
                <w:sz w:val="16"/>
                <w:szCs w:val="16"/>
              </w:rPr>
            </w:pPr>
            <w:r w:rsidRPr="003175C5">
              <w:rPr>
                <w:b/>
                <w:bCs/>
                <w:color w:val="FFFFFF" w:themeColor="background1"/>
                <w:sz w:val="16"/>
                <w:szCs w:val="16"/>
              </w:rPr>
              <w:t xml:space="preserve"> Retail</w:t>
            </w:r>
          </w:p>
        </w:tc>
        <w:tc>
          <w:tcPr>
            <w:tcW w:w="977" w:type="dxa"/>
            <w:shd w:val="clear" w:color="auto" w:fill="0F204B" w:themeFill="accent1"/>
            <w:tcMar>
              <w:top w:w="15" w:type="dxa"/>
              <w:left w:w="15" w:type="dxa"/>
              <w:right w:w="15" w:type="dxa"/>
            </w:tcMar>
            <w:vAlign w:val="center"/>
          </w:tcPr>
          <w:p w14:paraId="4AC1CE0B" w14:textId="22A15D6E" w:rsidR="734D305F" w:rsidRPr="003175C5" w:rsidRDefault="734D305F" w:rsidP="734D305F">
            <w:pPr>
              <w:jc w:val="center"/>
              <w:rPr>
                <w:b/>
                <w:bCs/>
                <w:color w:val="FFFFFF" w:themeColor="background1"/>
                <w:sz w:val="16"/>
                <w:szCs w:val="16"/>
              </w:rPr>
            </w:pPr>
            <w:r w:rsidRPr="003175C5">
              <w:rPr>
                <w:b/>
                <w:bCs/>
                <w:color w:val="FFFFFF" w:themeColor="background1"/>
                <w:sz w:val="16"/>
                <w:szCs w:val="16"/>
              </w:rPr>
              <w:t xml:space="preserve"> School</w:t>
            </w:r>
          </w:p>
        </w:tc>
        <w:tc>
          <w:tcPr>
            <w:tcW w:w="977" w:type="dxa"/>
            <w:shd w:val="clear" w:color="auto" w:fill="0F204B" w:themeFill="accent1"/>
            <w:tcMar>
              <w:top w:w="15" w:type="dxa"/>
              <w:left w:w="15" w:type="dxa"/>
              <w:right w:w="15" w:type="dxa"/>
            </w:tcMar>
            <w:vAlign w:val="center"/>
          </w:tcPr>
          <w:p w14:paraId="6184EA34" w14:textId="066D5954" w:rsidR="734D305F" w:rsidRPr="003175C5" w:rsidRDefault="734D305F" w:rsidP="734D305F">
            <w:pPr>
              <w:jc w:val="center"/>
              <w:rPr>
                <w:b/>
                <w:bCs/>
                <w:color w:val="FFFFFF" w:themeColor="background1"/>
                <w:sz w:val="16"/>
                <w:szCs w:val="16"/>
              </w:rPr>
            </w:pPr>
            <w:r w:rsidRPr="003175C5">
              <w:rPr>
                <w:b/>
                <w:bCs/>
                <w:color w:val="FFFFFF" w:themeColor="background1"/>
                <w:sz w:val="16"/>
                <w:szCs w:val="16"/>
              </w:rPr>
              <w:t>Warehouse</w:t>
            </w:r>
          </w:p>
        </w:tc>
      </w:tr>
      <w:tr w:rsidR="734D305F" w14:paraId="282B17EC" w14:textId="77777777" w:rsidTr="00E3378F">
        <w:trPr>
          <w:trHeight w:val="432"/>
        </w:trPr>
        <w:tc>
          <w:tcPr>
            <w:tcW w:w="1165" w:type="dxa"/>
            <w:tcMar>
              <w:top w:w="15" w:type="dxa"/>
              <w:left w:w="15" w:type="dxa"/>
              <w:right w:w="15" w:type="dxa"/>
            </w:tcMar>
            <w:vAlign w:val="center"/>
          </w:tcPr>
          <w:p w14:paraId="623CDEFD" w14:textId="238A1330" w:rsidR="734D305F" w:rsidRPr="006D5BFD" w:rsidRDefault="2BE0C8DB" w:rsidP="457B8AA1">
            <w:pPr>
              <w:jc w:val="center"/>
              <w:rPr>
                <w:b/>
                <w:bCs/>
                <w:color w:val="000000" w:themeColor="text1"/>
                <w:sz w:val="16"/>
                <w:szCs w:val="16"/>
              </w:rPr>
            </w:pPr>
            <w:r w:rsidRPr="006D5BFD">
              <w:rPr>
                <w:b/>
                <w:bCs/>
                <w:color w:val="000000" w:themeColor="text1"/>
                <w:sz w:val="16"/>
                <w:szCs w:val="16"/>
              </w:rPr>
              <w:t>College</w:t>
            </w:r>
          </w:p>
        </w:tc>
        <w:tc>
          <w:tcPr>
            <w:tcW w:w="788" w:type="dxa"/>
            <w:shd w:val="clear" w:color="auto" w:fill="63BE7B"/>
            <w:tcMar>
              <w:top w:w="15" w:type="dxa"/>
              <w:left w:w="15" w:type="dxa"/>
              <w:right w:w="15" w:type="dxa"/>
            </w:tcMar>
            <w:vAlign w:val="center"/>
          </w:tcPr>
          <w:p w14:paraId="3BB89C5E" w14:textId="35174ADC" w:rsidR="734D305F" w:rsidRPr="003A218C" w:rsidRDefault="734D305F" w:rsidP="734D305F">
            <w:pPr>
              <w:jc w:val="center"/>
            </w:pPr>
            <w:r w:rsidRPr="003A218C">
              <w:t>1</w:t>
            </w:r>
          </w:p>
        </w:tc>
        <w:tc>
          <w:tcPr>
            <w:tcW w:w="1282" w:type="dxa"/>
            <w:shd w:val="clear" w:color="auto" w:fill="A6A6A6" w:themeFill="background1" w:themeFillShade="A6"/>
            <w:tcMar>
              <w:top w:w="15" w:type="dxa"/>
              <w:left w:w="15" w:type="dxa"/>
              <w:right w:w="15" w:type="dxa"/>
            </w:tcMar>
            <w:vAlign w:val="center"/>
          </w:tcPr>
          <w:p w14:paraId="661C4217" w14:textId="1753A4DC" w:rsidR="734D305F" w:rsidRPr="003A218C" w:rsidRDefault="734D305F" w:rsidP="734D305F">
            <w:pPr>
              <w:jc w:val="center"/>
            </w:pPr>
          </w:p>
        </w:tc>
        <w:tc>
          <w:tcPr>
            <w:tcW w:w="720" w:type="dxa"/>
            <w:shd w:val="clear" w:color="auto" w:fill="A6A6A6" w:themeFill="background1" w:themeFillShade="A6"/>
            <w:tcMar>
              <w:top w:w="15" w:type="dxa"/>
              <w:left w:w="15" w:type="dxa"/>
              <w:right w:w="15" w:type="dxa"/>
            </w:tcMar>
            <w:vAlign w:val="center"/>
          </w:tcPr>
          <w:p w14:paraId="1CD564BF" w14:textId="52BC7506" w:rsidR="734D305F" w:rsidRPr="003A218C" w:rsidRDefault="734D305F" w:rsidP="734D305F">
            <w:pPr>
              <w:jc w:val="center"/>
            </w:pPr>
          </w:p>
        </w:tc>
        <w:tc>
          <w:tcPr>
            <w:tcW w:w="928" w:type="dxa"/>
            <w:shd w:val="clear" w:color="auto" w:fill="A6A6A6" w:themeFill="background1" w:themeFillShade="A6"/>
            <w:tcMar>
              <w:top w:w="15" w:type="dxa"/>
              <w:left w:w="15" w:type="dxa"/>
              <w:right w:w="15" w:type="dxa"/>
            </w:tcMar>
            <w:vAlign w:val="center"/>
          </w:tcPr>
          <w:p w14:paraId="28765D94" w14:textId="62BDB44E"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0E38B9D9" w14:textId="2AB09336"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0844CFE4" w14:textId="375741FF" w:rsidR="734D305F" w:rsidRPr="003A218C" w:rsidRDefault="734D305F" w:rsidP="734D305F">
            <w:pPr>
              <w:jc w:val="center"/>
            </w:pPr>
          </w:p>
        </w:tc>
        <w:tc>
          <w:tcPr>
            <w:tcW w:w="1168" w:type="dxa"/>
            <w:shd w:val="clear" w:color="auto" w:fill="A6A6A6" w:themeFill="background1" w:themeFillShade="A6"/>
            <w:tcMar>
              <w:top w:w="15" w:type="dxa"/>
              <w:left w:w="15" w:type="dxa"/>
              <w:right w:w="15" w:type="dxa"/>
            </w:tcMar>
            <w:vAlign w:val="center"/>
          </w:tcPr>
          <w:p w14:paraId="4025776B" w14:textId="52C9919E" w:rsidR="734D305F" w:rsidRPr="003A218C" w:rsidRDefault="734D305F" w:rsidP="734D305F">
            <w:pPr>
              <w:jc w:val="center"/>
            </w:pPr>
          </w:p>
        </w:tc>
        <w:tc>
          <w:tcPr>
            <w:tcW w:w="786" w:type="dxa"/>
            <w:shd w:val="clear" w:color="auto" w:fill="A6A6A6" w:themeFill="background1" w:themeFillShade="A6"/>
            <w:tcMar>
              <w:top w:w="15" w:type="dxa"/>
              <w:left w:w="15" w:type="dxa"/>
              <w:right w:w="15" w:type="dxa"/>
            </w:tcMar>
            <w:vAlign w:val="center"/>
          </w:tcPr>
          <w:p w14:paraId="5F9F1B49" w14:textId="55FD7161" w:rsidR="734D305F" w:rsidRPr="003A218C" w:rsidRDefault="734D305F" w:rsidP="734D305F">
            <w:pPr>
              <w:jc w:val="center"/>
            </w:pPr>
          </w:p>
        </w:tc>
        <w:tc>
          <w:tcPr>
            <w:tcW w:w="1104" w:type="dxa"/>
            <w:shd w:val="clear" w:color="auto" w:fill="A6A6A6" w:themeFill="background1" w:themeFillShade="A6"/>
            <w:tcMar>
              <w:top w:w="15" w:type="dxa"/>
              <w:left w:w="15" w:type="dxa"/>
              <w:right w:w="15" w:type="dxa"/>
            </w:tcMar>
            <w:vAlign w:val="center"/>
          </w:tcPr>
          <w:p w14:paraId="4837EBA6" w14:textId="23778F49" w:rsidR="734D305F" w:rsidRPr="003A218C" w:rsidRDefault="734D305F" w:rsidP="734D305F">
            <w:pPr>
              <w:jc w:val="center"/>
            </w:pPr>
          </w:p>
        </w:tc>
        <w:tc>
          <w:tcPr>
            <w:tcW w:w="1080" w:type="dxa"/>
            <w:shd w:val="clear" w:color="auto" w:fill="A6A6A6" w:themeFill="background1" w:themeFillShade="A6"/>
            <w:tcMar>
              <w:top w:w="15" w:type="dxa"/>
              <w:left w:w="15" w:type="dxa"/>
              <w:right w:w="15" w:type="dxa"/>
            </w:tcMar>
            <w:vAlign w:val="center"/>
          </w:tcPr>
          <w:p w14:paraId="1DACD132" w14:textId="7E57F211" w:rsidR="734D305F" w:rsidRPr="003A218C" w:rsidRDefault="734D305F" w:rsidP="734D305F">
            <w:pPr>
              <w:jc w:val="center"/>
            </w:pPr>
          </w:p>
        </w:tc>
        <w:tc>
          <w:tcPr>
            <w:tcW w:w="746" w:type="dxa"/>
            <w:shd w:val="clear" w:color="auto" w:fill="A6A6A6" w:themeFill="background1" w:themeFillShade="A6"/>
            <w:tcMar>
              <w:top w:w="15" w:type="dxa"/>
              <w:left w:w="15" w:type="dxa"/>
              <w:right w:w="15" w:type="dxa"/>
            </w:tcMar>
            <w:vAlign w:val="center"/>
          </w:tcPr>
          <w:p w14:paraId="4FDCAC1F" w14:textId="61C4237A"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12C7DBA5" w14:textId="24E41377"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54B0DA64" w14:textId="4B86481D" w:rsidR="734D305F" w:rsidRPr="003A218C" w:rsidRDefault="734D305F" w:rsidP="734D305F">
            <w:pPr>
              <w:jc w:val="center"/>
            </w:pPr>
          </w:p>
        </w:tc>
      </w:tr>
      <w:tr w:rsidR="734D305F" w14:paraId="7FD7164B" w14:textId="77777777" w:rsidTr="00E3378F">
        <w:trPr>
          <w:trHeight w:val="432"/>
        </w:trPr>
        <w:tc>
          <w:tcPr>
            <w:tcW w:w="1165" w:type="dxa"/>
            <w:tcMar>
              <w:top w:w="15" w:type="dxa"/>
              <w:left w:w="15" w:type="dxa"/>
              <w:right w:w="15" w:type="dxa"/>
            </w:tcMar>
            <w:vAlign w:val="center"/>
          </w:tcPr>
          <w:p w14:paraId="07905198" w14:textId="0DF98456" w:rsidR="734D305F" w:rsidRPr="006D5BFD" w:rsidRDefault="2BE0C8DB" w:rsidP="457B8AA1">
            <w:pPr>
              <w:jc w:val="center"/>
              <w:rPr>
                <w:b/>
                <w:bCs/>
                <w:color w:val="000000" w:themeColor="text1"/>
                <w:sz w:val="16"/>
                <w:szCs w:val="16"/>
              </w:rPr>
            </w:pPr>
            <w:r w:rsidRPr="006D5BFD">
              <w:rPr>
                <w:b/>
                <w:bCs/>
                <w:color w:val="000000" w:themeColor="text1"/>
                <w:sz w:val="16"/>
                <w:szCs w:val="16"/>
              </w:rPr>
              <w:t xml:space="preserve">Durable </w:t>
            </w:r>
            <w:r w:rsidR="31161F43" w:rsidRPr="006D5BFD">
              <w:rPr>
                <w:b/>
                <w:bCs/>
                <w:color w:val="000000" w:themeColor="text1"/>
                <w:sz w:val="16"/>
                <w:szCs w:val="16"/>
              </w:rPr>
              <w:t>G</w:t>
            </w:r>
            <w:r w:rsidRPr="006D5BFD">
              <w:rPr>
                <w:b/>
                <w:bCs/>
                <w:color w:val="000000" w:themeColor="text1"/>
                <w:sz w:val="16"/>
                <w:szCs w:val="16"/>
              </w:rPr>
              <w:t xml:space="preserve">oods </w:t>
            </w:r>
            <w:r w:rsidR="00B020AB" w:rsidRPr="006D5BFD">
              <w:rPr>
                <w:b/>
                <w:bCs/>
                <w:color w:val="000000" w:themeColor="text1"/>
                <w:sz w:val="16"/>
                <w:szCs w:val="16"/>
              </w:rPr>
              <w:t>Manufacturing</w:t>
            </w:r>
          </w:p>
        </w:tc>
        <w:tc>
          <w:tcPr>
            <w:tcW w:w="788" w:type="dxa"/>
            <w:shd w:val="clear" w:color="auto" w:fill="FDD67F"/>
            <w:tcMar>
              <w:top w:w="15" w:type="dxa"/>
              <w:left w:w="15" w:type="dxa"/>
              <w:right w:w="15" w:type="dxa"/>
            </w:tcMar>
            <w:vAlign w:val="center"/>
          </w:tcPr>
          <w:p w14:paraId="58486E0E" w14:textId="4CE04D42" w:rsidR="734D305F" w:rsidRPr="003A218C" w:rsidRDefault="2BE0C8DB" w:rsidP="734D305F">
            <w:pPr>
              <w:jc w:val="center"/>
            </w:pPr>
            <w:r w:rsidRPr="003A218C">
              <w:t>0.29019</w:t>
            </w:r>
          </w:p>
        </w:tc>
        <w:tc>
          <w:tcPr>
            <w:tcW w:w="1282" w:type="dxa"/>
            <w:shd w:val="clear" w:color="auto" w:fill="63BE7B"/>
            <w:tcMar>
              <w:top w:w="15" w:type="dxa"/>
              <w:left w:w="15" w:type="dxa"/>
              <w:right w:w="15" w:type="dxa"/>
            </w:tcMar>
            <w:vAlign w:val="center"/>
          </w:tcPr>
          <w:p w14:paraId="13A01E76" w14:textId="6138A911" w:rsidR="734D305F" w:rsidRPr="003A218C" w:rsidRDefault="734D305F" w:rsidP="734D305F">
            <w:pPr>
              <w:jc w:val="center"/>
            </w:pPr>
            <w:r w:rsidRPr="003A218C">
              <w:t>1</w:t>
            </w:r>
          </w:p>
        </w:tc>
        <w:tc>
          <w:tcPr>
            <w:tcW w:w="720" w:type="dxa"/>
            <w:shd w:val="clear" w:color="auto" w:fill="A6A6A6" w:themeFill="background1" w:themeFillShade="A6"/>
            <w:tcMar>
              <w:top w:w="15" w:type="dxa"/>
              <w:left w:w="15" w:type="dxa"/>
              <w:right w:w="15" w:type="dxa"/>
            </w:tcMar>
            <w:vAlign w:val="center"/>
          </w:tcPr>
          <w:p w14:paraId="4750B293" w14:textId="70132476" w:rsidR="734D305F" w:rsidRPr="003A218C" w:rsidRDefault="734D305F" w:rsidP="734D305F">
            <w:pPr>
              <w:jc w:val="center"/>
            </w:pPr>
          </w:p>
        </w:tc>
        <w:tc>
          <w:tcPr>
            <w:tcW w:w="928" w:type="dxa"/>
            <w:shd w:val="clear" w:color="auto" w:fill="A6A6A6" w:themeFill="background1" w:themeFillShade="A6"/>
            <w:tcMar>
              <w:top w:w="15" w:type="dxa"/>
              <w:left w:w="15" w:type="dxa"/>
              <w:right w:w="15" w:type="dxa"/>
            </w:tcMar>
            <w:vAlign w:val="center"/>
          </w:tcPr>
          <w:p w14:paraId="05777AA2" w14:textId="6597C765"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3DDC6834" w14:textId="2EA04A76"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09A28DF2" w14:textId="1E3C46AA" w:rsidR="734D305F" w:rsidRPr="003A218C" w:rsidRDefault="734D305F" w:rsidP="734D305F">
            <w:pPr>
              <w:jc w:val="center"/>
            </w:pPr>
          </w:p>
        </w:tc>
        <w:tc>
          <w:tcPr>
            <w:tcW w:w="1168" w:type="dxa"/>
            <w:shd w:val="clear" w:color="auto" w:fill="A6A6A6" w:themeFill="background1" w:themeFillShade="A6"/>
            <w:tcMar>
              <w:top w:w="15" w:type="dxa"/>
              <w:left w:w="15" w:type="dxa"/>
              <w:right w:w="15" w:type="dxa"/>
            </w:tcMar>
            <w:vAlign w:val="center"/>
          </w:tcPr>
          <w:p w14:paraId="4CAD1293" w14:textId="6048D4A1" w:rsidR="734D305F" w:rsidRPr="003A218C" w:rsidRDefault="734D305F" w:rsidP="734D305F">
            <w:pPr>
              <w:jc w:val="center"/>
            </w:pPr>
          </w:p>
        </w:tc>
        <w:tc>
          <w:tcPr>
            <w:tcW w:w="786" w:type="dxa"/>
            <w:shd w:val="clear" w:color="auto" w:fill="A6A6A6" w:themeFill="background1" w:themeFillShade="A6"/>
            <w:tcMar>
              <w:top w:w="15" w:type="dxa"/>
              <w:left w:w="15" w:type="dxa"/>
              <w:right w:w="15" w:type="dxa"/>
            </w:tcMar>
            <w:vAlign w:val="center"/>
          </w:tcPr>
          <w:p w14:paraId="46F1C3D3" w14:textId="113DD3DF" w:rsidR="734D305F" w:rsidRPr="003A218C" w:rsidRDefault="734D305F" w:rsidP="734D305F">
            <w:pPr>
              <w:jc w:val="center"/>
            </w:pPr>
          </w:p>
        </w:tc>
        <w:tc>
          <w:tcPr>
            <w:tcW w:w="1104" w:type="dxa"/>
            <w:shd w:val="clear" w:color="auto" w:fill="A6A6A6" w:themeFill="background1" w:themeFillShade="A6"/>
            <w:tcMar>
              <w:top w:w="15" w:type="dxa"/>
              <w:left w:w="15" w:type="dxa"/>
              <w:right w:w="15" w:type="dxa"/>
            </w:tcMar>
            <w:vAlign w:val="center"/>
          </w:tcPr>
          <w:p w14:paraId="1CC4D870" w14:textId="7099EB03" w:rsidR="734D305F" w:rsidRPr="003A218C" w:rsidRDefault="734D305F" w:rsidP="734D305F">
            <w:pPr>
              <w:jc w:val="center"/>
            </w:pPr>
          </w:p>
        </w:tc>
        <w:tc>
          <w:tcPr>
            <w:tcW w:w="1080" w:type="dxa"/>
            <w:shd w:val="clear" w:color="auto" w:fill="A6A6A6" w:themeFill="background1" w:themeFillShade="A6"/>
            <w:tcMar>
              <w:top w:w="15" w:type="dxa"/>
              <w:left w:w="15" w:type="dxa"/>
              <w:right w:w="15" w:type="dxa"/>
            </w:tcMar>
            <w:vAlign w:val="center"/>
          </w:tcPr>
          <w:p w14:paraId="661AECCC" w14:textId="2FA4DB9C" w:rsidR="734D305F" w:rsidRPr="003A218C" w:rsidRDefault="734D305F" w:rsidP="734D305F">
            <w:pPr>
              <w:jc w:val="center"/>
            </w:pPr>
          </w:p>
        </w:tc>
        <w:tc>
          <w:tcPr>
            <w:tcW w:w="746" w:type="dxa"/>
            <w:shd w:val="clear" w:color="auto" w:fill="A6A6A6" w:themeFill="background1" w:themeFillShade="A6"/>
            <w:tcMar>
              <w:top w:w="15" w:type="dxa"/>
              <w:left w:w="15" w:type="dxa"/>
              <w:right w:w="15" w:type="dxa"/>
            </w:tcMar>
            <w:vAlign w:val="center"/>
          </w:tcPr>
          <w:p w14:paraId="0BD3FD8B" w14:textId="12D8819C"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423AAAD7" w14:textId="5EBD96C7"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46800268" w14:textId="469ED116" w:rsidR="734D305F" w:rsidRPr="003A218C" w:rsidRDefault="734D305F" w:rsidP="734D305F">
            <w:pPr>
              <w:jc w:val="center"/>
            </w:pPr>
          </w:p>
        </w:tc>
      </w:tr>
      <w:tr w:rsidR="734D305F" w14:paraId="6EB80772" w14:textId="77777777" w:rsidTr="00E3378F">
        <w:trPr>
          <w:trHeight w:val="432"/>
        </w:trPr>
        <w:tc>
          <w:tcPr>
            <w:tcW w:w="1165" w:type="dxa"/>
            <w:tcMar>
              <w:top w:w="15" w:type="dxa"/>
              <w:left w:w="15" w:type="dxa"/>
              <w:right w:w="15" w:type="dxa"/>
            </w:tcMar>
            <w:vAlign w:val="center"/>
          </w:tcPr>
          <w:p w14:paraId="7A8C013E" w14:textId="6FB26E2D" w:rsidR="734D305F" w:rsidRPr="006D5BFD" w:rsidRDefault="2BE0C8DB" w:rsidP="457B8AA1">
            <w:pPr>
              <w:jc w:val="center"/>
              <w:rPr>
                <w:b/>
                <w:bCs/>
                <w:color w:val="000000" w:themeColor="text1"/>
                <w:sz w:val="16"/>
                <w:szCs w:val="16"/>
              </w:rPr>
            </w:pPr>
            <w:r w:rsidRPr="006D5BFD">
              <w:rPr>
                <w:b/>
                <w:bCs/>
                <w:color w:val="000000" w:themeColor="text1"/>
                <w:sz w:val="16"/>
                <w:szCs w:val="16"/>
              </w:rPr>
              <w:t xml:space="preserve">Food </w:t>
            </w:r>
            <w:r w:rsidR="006808F3" w:rsidRPr="006D5BFD">
              <w:rPr>
                <w:b/>
                <w:bCs/>
                <w:color w:val="000000" w:themeColor="text1"/>
                <w:sz w:val="16"/>
                <w:szCs w:val="16"/>
              </w:rPr>
              <w:t>S</w:t>
            </w:r>
            <w:r w:rsidRPr="006D5BFD">
              <w:rPr>
                <w:b/>
                <w:bCs/>
                <w:color w:val="000000" w:themeColor="text1"/>
                <w:sz w:val="16"/>
                <w:szCs w:val="16"/>
              </w:rPr>
              <w:t>tore</w:t>
            </w:r>
          </w:p>
        </w:tc>
        <w:tc>
          <w:tcPr>
            <w:tcW w:w="788" w:type="dxa"/>
            <w:shd w:val="clear" w:color="auto" w:fill="FBAE78"/>
            <w:tcMar>
              <w:top w:w="15" w:type="dxa"/>
              <w:left w:w="15" w:type="dxa"/>
              <w:right w:w="15" w:type="dxa"/>
            </w:tcMar>
            <w:vAlign w:val="center"/>
          </w:tcPr>
          <w:p w14:paraId="4114AD50" w14:textId="6399EC7C" w:rsidR="734D305F" w:rsidRPr="003A218C" w:rsidRDefault="734D305F" w:rsidP="734D305F">
            <w:pPr>
              <w:jc w:val="center"/>
            </w:pPr>
            <w:r w:rsidRPr="003A218C">
              <w:t>0.18425</w:t>
            </w:r>
          </w:p>
        </w:tc>
        <w:tc>
          <w:tcPr>
            <w:tcW w:w="1282" w:type="dxa"/>
            <w:shd w:val="clear" w:color="auto" w:fill="FCB379"/>
            <w:tcMar>
              <w:top w:w="15" w:type="dxa"/>
              <w:left w:w="15" w:type="dxa"/>
              <w:right w:w="15" w:type="dxa"/>
            </w:tcMar>
            <w:vAlign w:val="center"/>
          </w:tcPr>
          <w:p w14:paraId="7EE2C356" w14:textId="767848E5" w:rsidR="734D305F" w:rsidRPr="003A218C" w:rsidRDefault="2BE0C8DB" w:rsidP="734D305F">
            <w:pPr>
              <w:jc w:val="center"/>
            </w:pPr>
            <w:r w:rsidRPr="003A218C">
              <w:t>0.19651</w:t>
            </w:r>
          </w:p>
        </w:tc>
        <w:tc>
          <w:tcPr>
            <w:tcW w:w="720" w:type="dxa"/>
            <w:shd w:val="clear" w:color="auto" w:fill="63BE7B"/>
            <w:tcMar>
              <w:top w:w="15" w:type="dxa"/>
              <w:left w:w="15" w:type="dxa"/>
              <w:right w:w="15" w:type="dxa"/>
            </w:tcMar>
            <w:vAlign w:val="center"/>
          </w:tcPr>
          <w:p w14:paraId="68EDFCB9" w14:textId="6C63B634" w:rsidR="734D305F" w:rsidRPr="003A218C" w:rsidRDefault="734D305F" w:rsidP="734D305F">
            <w:pPr>
              <w:jc w:val="center"/>
            </w:pPr>
            <w:r w:rsidRPr="003A218C">
              <w:t>1</w:t>
            </w:r>
          </w:p>
        </w:tc>
        <w:tc>
          <w:tcPr>
            <w:tcW w:w="928" w:type="dxa"/>
            <w:shd w:val="clear" w:color="auto" w:fill="A6A6A6" w:themeFill="background1" w:themeFillShade="A6"/>
            <w:tcMar>
              <w:top w:w="15" w:type="dxa"/>
              <w:left w:w="15" w:type="dxa"/>
              <w:right w:w="15" w:type="dxa"/>
            </w:tcMar>
            <w:vAlign w:val="center"/>
          </w:tcPr>
          <w:p w14:paraId="331E9718" w14:textId="7FE537D1"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463EB196" w14:textId="2B23308E"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50A2BE7B" w14:textId="6FD1C776" w:rsidR="734D305F" w:rsidRPr="003A218C" w:rsidRDefault="734D305F" w:rsidP="734D305F">
            <w:pPr>
              <w:jc w:val="center"/>
            </w:pPr>
          </w:p>
        </w:tc>
        <w:tc>
          <w:tcPr>
            <w:tcW w:w="1168" w:type="dxa"/>
            <w:shd w:val="clear" w:color="auto" w:fill="A6A6A6" w:themeFill="background1" w:themeFillShade="A6"/>
            <w:tcMar>
              <w:top w:w="15" w:type="dxa"/>
              <w:left w:w="15" w:type="dxa"/>
              <w:right w:w="15" w:type="dxa"/>
            </w:tcMar>
            <w:vAlign w:val="center"/>
          </w:tcPr>
          <w:p w14:paraId="3F11DC28" w14:textId="3C8BB4F1" w:rsidR="734D305F" w:rsidRPr="003A218C" w:rsidRDefault="734D305F" w:rsidP="734D305F">
            <w:pPr>
              <w:jc w:val="center"/>
            </w:pPr>
          </w:p>
        </w:tc>
        <w:tc>
          <w:tcPr>
            <w:tcW w:w="786" w:type="dxa"/>
            <w:shd w:val="clear" w:color="auto" w:fill="A6A6A6" w:themeFill="background1" w:themeFillShade="A6"/>
            <w:tcMar>
              <w:top w:w="15" w:type="dxa"/>
              <w:left w:w="15" w:type="dxa"/>
              <w:right w:w="15" w:type="dxa"/>
            </w:tcMar>
            <w:vAlign w:val="center"/>
          </w:tcPr>
          <w:p w14:paraId="5F6B72CE" w14:textId="0106EEA5" w:rsidR="734D305F" w:rsidRPr="003A218C" w:rsidRDefault="734D305F" w:rsidP="734D305F">
            <w:pPr>
              <w:jc w:val="center"/>
            </w:pPr>
          </w:p>
        </w:tc>
        <w:tc>
          <w:tcPr>
            <w:tcW w:w="1104" w:type="dxa"/>
            <w:shd w:val="clear" w:color="auto" w:fill="A6A6A6" w:themeFill="background1" w:themeFillShade="A6"/>
            <w:tcMar>
              <w:top w:w="15" w:type="dxa"/>
              <w:left w:w="15" w:type="dxa"/>
              <w:right w:w="15" w:type="dxa"/>
            </w:tcMar>
            <w:vAlign w:val="center"/>
          </w:tcPr>
          <w:p w14:paraId="1959C10C" w14:textId="3E8BA806" w:rsidR="734D305F" w:rsidRPr="003A218C" w:rsidRDefault="734D305F" w:rsidP="734D305F">
            <w:pPr>
              <w:jc w:val="center"/>
            </w:pPr>
          </w:p>
        </w:tc>
        <w:tc>
          <w:tcPr>
            <w:tcW w:w="1080" w:type="dxa"/>
            <w:shd w:val="clear" w:color="auto" w:fill="A6A6A6" w:themeFill="background1" w:themeFillShade="A6"/>
            <w:tcMar>
              <w:top w:w="15" w:type="dxa"/>
              <w:left w:w="15" w:type="dxa"/>
              <w:right w:w="15" w:type="dxa"/>
            </w:tcMar>
            <w:vAlign w:val="center"/>
          </w:tcPr>
          <w:p w14:paraId="35ED3D39" w14:textId="770A0E91" w:rsidR="734D305F" w:rsidRPr="003A218C" w:rsidRDefault="734D305F" w:rsidP="734D305F">
            <w:pPr>
              <w:jc w:val="center"/>
            </w:pPr>
          </w:p>
        </w:tc>
        <w:tc>
          <w:tcPr>
            <w:tcW w:w="746" w:type="dxa"/>
            <w:shd w:val="clear" w:color="auto" w:fill="A6A6A6" w:themeFill="background1" w:themeFillShade="A6"/>
            <w:tcMar>
              <w:top w:w="15" w:type="dxa"/>
              <w:left w:w="15" w:type="dxa"/>
              <w:right w:w="15" w:type="dxa"/>
            </w:tcMar>
            <w:vAlign w:val="center"/>
          </w:tcPr>
          <w:p w14:paraId="0B2BC20C" w14:textId="7283EA76"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4B155BF2" w14:textId="352E0B61"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4F013B41" w14:textId="3AFD35FB" w:rsidR="734D305F" w:rsidRPr="003A218C" w:rsidRDefault="734D305F" w:rsidP="734D305F">
            <w:pPr>
              <w:jc w:val="center"/>
            </w:pPr>
          </w:p>
        </w:tc>
      </w:tr>
      <w:tr w:rsidR="734D305F" w14:paraId="48C6FAB3" w14:textId="77777777" w:rsidTr="00E3378F">
        <w:trPr>
          <w:trHeight w:val="432"/>
        </w:trPr>
        <w:tc>
          <w:tcPr>
            <w:tcW w:w="1165" w:type="dxa"/>
            <w:tcMar>
              <w:top w:w="15" w:type="dxa"/>
              <w:left w:w="15" w:type="dxa"/>
              <w:right w:w="15" w:type="dxa"/>
            </w:tcMar>
            <w:vAlign w:val="center"/>
          </w:tcPr>
          <w:p w14:paraId="2CDB96F5" w14:textId="0D4EEB14" w:rsidR="734D305F" w:rsidRPr="006D5BFD" w:rsidRDefault="2BE0C8DB" w:rsidP="457B8AA1">
            <w:pPr>
              <w:jc w:val="center"/>
              <w:rPr>
                <w:b/>
                <w:bCs/>
                <w:color w:val="000000" w:themeColor="text1"/>
                <w:sz w:val="16"/>
                <w:szCs w:val="16"/>
              </w:rPr>
            </w:pPr>
            <w:r w:rsidRPr="006D5BFD">
              <w:rPr>
                <w:b/>
                <w:bCs/>
                <w:color w:val="000000" w:themeColor="text1"/>
                <w:sz w:val="16"/>
                <w:szCs w:val="16"/>
              </w:rPr>
              <w:t>Healthcare</w:t>
            </w:r>
          </w:p>
        </w:tc>
        <w:tc>
          <w:tcPr>
            <w:tcW w:w="788" w:type="dxa"/>
            <w:shd w:val="clear" w:color="auto" w:fill="FDD17F"/>
            <w:tcMar>
              <w:top w:w="15" w:type="dxa"/>
              <w:left w:w="15" w:type="dxa"/>
              <w:right w:w="15" w:type="dxa"/>
            </w:tcMar>
            <w:vAlign w:val="center"/>
          </w:tcPr>
          <w:p w14:paraId="286D018B" w14:textId="1B0267E8" w:rsidR="734D305F" w:rsidRPr="003A218C" w:rsidRDefault="2BE0C8DB" w:rsidP="734D305F">
            <w:pPr>
              <w:jc w:val="center"/>
            </w:pPr>
            <w:r w:rsidRPr="003A218C">
              <w:t>0.27738</w:t>
            </w:r>
          </w:p>
        </w:tc>
        <w:tc>
          <w:tcPr>
            <w:tcW w:w="1282" w:type="dxa"/>
            <w:shd w:val="clear" w:color="auto" w:fill="FBAF78"/>
            <w:tcMar>
              <w:top w:w="15" w:type="dxa"/>
              <w:left w:w="15" w:type="dxa"/>
              <w:right w:w="15" w:type="dxa"/>
            </w:tcMar>
            <w:vAlign w:val="center"/>
          </w:tcPr>
          <w:p w14:paraId="58F2765F" w14:textId="2D79375D" w:rsidR="734D305F" w:rsidRPr="003A218C" w:rsidRDefault="2BE0C8DB" w:rsidP="734D305F">
            <w:pPr>
              <w:jc w:val="center"/>
            </w:pPr>
            <w:r w:rsidRPr="003A218C">
              <w:t>0.18665</w:t>
            </w:r>
          </w:p>
        </w:tc>
        <w:tc>
          <w:tcPr>
            <w:tcW w:w="720" w:type="dxa"/>
            <w:shd w:val="clear" w:color="auto" w:fill="FBB078"/>
            <w:tcMar>
              <w:top w:w="15" w:type="dxa"/>
              <w:left w:w="15" w:type="dxa"/>
              <w:right w:w="15" w:type="dxa"/>
            </w:tcMar>
            <w:vAlign w:val="center"/>
          </w:tcPr>
          <w:p w14:paraId="384640ED" w14:textId="3FEDC719" w:rsidR="734D305F" w:rsidRPr="003A218C" w:rsidRDefault="2BE0C8DB" w:rsidP="734D305F">
            <w:pPr>
              <w:jc w:val="center"/>
            </w:pPr>
            <w:r w:rsidRPr="003A218C">
              <w:t>0.18788</w:t>
            </w:r>
          </w:p>
        </w:tc>
        <w:tc>
          <w:tcPr>
            <w:tcW w:w="928" w:type="dxa"/>
            <w:shd w:val="clear" w:color="auto" w:fill="63BE7B"/>
            <w:tcMar>
              <w:top w:w="15" w:type="dxa"/>
              <w:left w:w="15" w:type="dxa"/>
              <w:right w:w="15" w:type="dxa"/>
            </w:tcMar>
            <w:vAlign w:val="center"/>
          </w:tcPr>
          <w:p w14:paraId="119BC16C" w14:textId="6D2F8F97" w:rsidR="734D305F" w:rsidRPr="003A218C" w:rsidRDefault="734D305F" w:rsidP="734D305F">
            <w:pPr>
              <w:jc w:val="center"/>
            </w:pPr>
            <w:r w:rsidRPr="003A218C">
              <w:t>1</w:t>
            </w:r>
          </w:p>
        </w:tc>
        <w:tc>
          <w:tcPr>
            <w:tcW w:w="977" w:type="dxa"/>
            <w:shd w:val="clear" w:color="auto" w:fill="A6A6A6" w:themeFill="background1" w:themeFillShade="A6"/>
            <w:tcMar>
              <w:top w:w="15" w:type="dxa"/>
              <w:left w:w="15" w:type="dxa"/>
              <w:right w:w="15" w:type="dxa"/>
            </w:tcMar>
            <w:vAlign w:val="center"/>
          </w:tcPr>
          <w:p w14:paraId="23EDF599" w14:textId="2463AC93"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368027B0" w14:textId="605476A5" w:rsidR="734D305F" w:rsidRPr="003A218C" w:rsidRDefault="734D305F" w:rsidP="734D305F">
            <w:pPr>
              <w:jc w:val="center"/>
            </w:pPr>
          </w:p>
        </w:tc>
        <w:tc>
          <w:tcPr>
            <w:tcW w:w="1168" w:type="dxa"/>
            <w:shd w:val="clear" w:color="auto" w:fill="A6A6A6" w:themeFill="background1" w:themeFillShade="A6"/>
            <w:tcMar>
              <w:top w:w="15" w:type="dxa"/>
              <w:left w:w="15" w:type="dxa"/>
              <w:right w:w="15" w:type="dxa"/>
            </w:tcMar>
            <w:vAlign w:val="center"/>
          </w:tcPr>
          <w:p w14:paraId="49162B3F" w14:textId="72DE326D" w:rsidR="734D305F" w:rsidRPr="003A218C" w:rsidRDefault="734D305F" w:rsidP="734D305F">
            <w:pPr>
              <w:jc w:val="center"/>
            </w:pPr>
          </w:p>
        </w:tc>
        <w:tc>
          <w:tcPr>
            <w:tcW w:w="786" w:type="dxa"/>
            <w:shd w:val="clear" w:color="auto" w:fill="A6A6A6" w:themeFill="background1" w:themeFillShade="A6"/>
            <w:tcMar>
              <w:top w:w="15" w:type="dxa"/>
              <w:left w:w="15" w:type="dxa"/>
              <w:right w:w="15" w:type="dxa"/>
            </w:tcMar>
            <w:vAlign w:val="center"/>
          </w:tcPr>
          <w:p w14:paraId="53D49A77" w14:textId="7A6452D1" w:rsidR="734D305F" w:rsidRPr="003A218C" w:rsidRDefault="734D305F" w:rsidP="734D305F">
            <w:pPr>
              <w:jc w:val="center"/>
            </w:pPr>
          </w:p>
        </w:tc>
        <w:tc>
          <w:tcPr>
            <w:tcW w:w="1104" w:type="dxa"/>
            <w:shd w:val="clear" w:color="auto" w:fill="A6A6A6" w:themeFill="background1" w:themeFillShade="A6"/>
            <w:tcMar>
              <w:top w:w="15" w:type="dxa"/>
              <w:left w:w="15" w:type="dxa"/>
              <w:right w:w="15" w:type="dxa"/>
            </w:tcMar>
            <w:vAlign w:val="center"/>
          </w:tcPr>
          <w:p w14:paraId="582B348D" w14:textId="221B0455" w:rsidR="734D305F" w:rsidRPr="003A218C" w:rsidRDefault="734D305F" w:rsidP="734D305F">
            <w:pPr>
              <w:jc w:val="center"/>
            </w:pPr>
          </w:p>
        </w:tc>
        <w:tc>
          <w:tcPr>
            <w:tcW w:w="1080" w:type="dxa"/>
            <w:shd w:val="clear" w:color="auto" w:fill="A6A6A6" w:themeFill="background1" w:themeFillShade="A6"/>
            <w:tcMar>
              <w:top w:w="15" w:type="dxa"/>
              <w:left w:w="15" w:type="dxa"/>
              <w:right w:w="15" w:type="dxa"/>
            </w:tcMar>
            <w:vAlign w:val="center"/>
          </w:tcPr>
          <w:p w14:paraId="7726D33B" w14:textId="4583C93C" w:rsidR="734D305F" w:rsidRPr="003A218C" w:rsidRDefault="734D305F" w:rsidP="734D305F">
            <w:pPr>
              <w:jc w:val="center"/>
            </w:pPr>
          </w:p>
        </w:tc>
        <w:tc>
          <w:tcPr>
            <w:tcW w:w="746" w:type="dxa"/>
            <w:shd w:val="clear" w:color="auto" w:fill="A6A6A6" w:themeFill="background1" w:themeFillShade="A6"/>
            <w:tcMar>
              <w:top w:w="15" w:type="dxa"/>
              <w:left w:w="15" w:type="dxa"/>
              <w:right w:w="15" w:type="dxa"/>
            </w:tcMar>
            <w:vAlign w:val="center"/>
          </w:tcPr>
          <w:p w14:paraId="4233E5FD" w14:textId="4829D85F"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02CC4A69" w14:textId="188DF12B"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3DFF15F7" w14:textId="41C3D723" w:rsidR="734D305F" w:rsidRPr="003A218C" w:rsidRDefault="734D305F" w:rsidP="734D305F">
            <w:pPr>
              <w:jc w:val="center"/>
            </w:pPr>
          </w:p>
        </w:tc>
      </w:tr>
      <w:tr w:rsidR="734D305F" w14:paraId="62046489" w14:textId="77777777" w:rsidTr="00E3378F">
        <w:trPr>
          <w:trHeight w:val="432"/>
        </w:trPr>
        <w:tc>
          <w:tcPr>
            <w:tcW w:w="1165" w:type="dxa"/>
            <w:tcMar>
              <w:top w:w="15" w:type="dxa"/>
              <w:left w:w="15" w:type="dxa"/>
              <w:right w:w="15" w:type="dxa"/>
            </w:tcMar>
            <w:vAlign w:val="center"/>
          </w:tcPr>
          <w:p w14:paraId="6CA5A36A" w14:textId="72BB1EA0" w:rsidR="734D305F" w:rsidRPr="006D5BFD" w:rsidRDefault="2BE0C8DB" w:rsidP="457B8AA1">
            <w:pPr>
              <w:jc w:val="center"/>
              <w:rPr>
                <w:b/>
                <w:bCs/>
                <w:color w:val="000000" w:themeColor="text1"/>
                <w:sz w:val="16"/>
                <w:szCs w:val="16"/>
              </w:rPr>
            </w:pPr>
            <w:r w:rsidRPr="006D5BFD">
              <w:rPr>
                <w:b/>
                <w:bCs/>
                <w:color w:val="000000" w:themeColor="text1"/>
                <w:sz w:val="16"/>
                <w:szCs w:val="16"/>
              </w:rPr>
              <w:t xml:space="preserve"> Hote</w:t>
            </w:r>
            <w:r w:rsidR="006808F3" w:rsidRPr="006D5BFD">
              <w:rPr>
                <w:b/>
                <w:bCs/>
                <w:color w:val="000000" w:themeColor="text1"/>
                <w:sz w:val="16"/>
                <w:szCs w:val="16"/>
              </w:rPr>
              <w:t>l</w:t>
            </w:r>
          </w:p>
        </w:tc>
        <w:tc>
          <w:tcPr>
            <w:tcW w:w="788" w:type="dxa"/>
            <w:shd w:val="clear" w:color="auto" w:fill="FCC47C"/>
            <w:tcMar>
              <w:top w:w="15" w:type="dxa"/>
              <w:left w:w="15" w:type="dxa"/>
              <w:right w:w="15" w:type="dxa"/>
            </w:tcMar>
            <w:vAlign w:val="center"/>
          </w:tcPr>
          <w:p w14:paraId="72A4DE35" w14:textId="65DD978B" w:rsidR="734D305F" w:rsidRPr="003A218C" w:rsidRDefault="2BE0C8DB" w:rsidP="734D305F">
            <w:pPr>
              <w:jc w:val="center"/>
            </w:pPr>
            <w:r w:rsidRPr="003A218C">
              <w:t>0.24384</w:t>
            </w:r>
          </w:p>
        </w:tc>
        <w:tc>
          <w:tcPr>
            <w:tcW w:w="1282" w:type="dxa"/>
            <w:shd w:val="clear" w:color="auto" w:fill="FCB77A"/>
            <w:tcMar>
              <w:top w:w="15" w:type="dxa"/>
              <w:left w:w="15" w:type="dxa"/>
              <w:right w:w="15" w:type="dxa"/>
            </w:tcMar>
            <w:vAlign w:val="center"/>
          </w:tcPr>
          <w:p w14:paraId="04922746" w14:textId="5A2CDE86" w:rsidR="734D305F" w:rsidRPr="003A218C" w:rsidRDefault="2BE0C8DB" w:rsidP="734D305F">
            <w:pPr>
              <w:jc w:val="center"/>
            </w:pPr>
            <w:r w:rsidRPr="003A218C">
              <w:t>0.20783</w:t>
            </w:r>
          </w:p>
        </w:tc>
        <w:tc>
          <w:tcPr>
            <w:tcW w:w="720" w:type="dxa"/>
            <w:shd w:val="clear" w:color="auto" w:fill="FBB179"/>
            <w:tcMar>
              <w:top w:w="15" w:type="dxa"/>
              <w:left w:w="15" w:type="dxa"/>
              <w:right w:w="15" w:type="dxa"/>
            </w:tcMar>
            <w:vAlign w:val="center"/>
          </w:tcPr>
          <w:p w14:paraId="6B7C7DF7" w14:textId="10EACEE5" w:rsidR="734D305F" w:rsidRPr="003A218C" w:rsidRDefault="2BE0C8DB" w:rsidP="734D305F">
            <w:pPr>
              <w:jc w:val="center"/>
            </w:pPr>
            <w:r w:rsidRPr="003A218C">
              <w:t>0.19218</w:t>
            </w:r>
          </w:p>
        </w:tc>
        <w:tc>
          <w:tcPr>
            <w:tcW w:w="928" w:type="dxa"/>
            <w:shd w:val="clear" w:color="auto" w:fill="FCBB7A"/>
            <w:tcMar>
              <w:top w:w="15" w:type="dxa"/>
              <w:left w:w="15" w:type="dxa"/>
              <w:right w:w="15" w:type="dxa"/>
            </w:tcMar>
            <w:vAlign w:val="center"/>
          </w:tcPr>
          <w:p w14:paraId="31646AC0" w14:textId="5B63FC95" w:rsidR="734D305F" w:rsidRPr="003A218C" w:rsidRDefault="2BE0C8DB" w:rsidP="734D305F">
            <w:pPr>
              <w:jc w:val="center"/>
            </w:pPr>
            <w:r w:rsidRPr="003A218C">
              <w:t>0.21872</w:t>
            </w:r>
          </w:p>
        </w:tc>
        <w:tc>
          <w:tcPr>
            <w:tcW w:w="977" w:type="dxa"/>
            <w:shd w:val="clear" w:color="auto" w:fill="63BE7B"/>
            <w:tcMar>
              <w:top w:w="15" w:type="dxa"/>
              <w:left w:w="15" w:type="dxa"/>
              <w:right w:w="15" w:type="dxa"/>
            </w:tcMar>
            <w:vAlign w:val="center"/>
          </w:tcPr>
          <w:p w14:paraId="18199734" w14:textId="7776152A" w:rsidR="734D305F" w:rsidRPr="003A218C" w:rsidRDefault="734D305F" w:rsidP="734D305F">
            <w:pPr>
              <w:jc w:val="center"/>
            </w:pPr>
            <w:r w:rsidRPr="003A218C">
              <w:t>1</w:t>
            </w:r>
          </w:p>
        </w:tc>
        <w:tc>
          <w:tcPr>
            <w:tcW w:w="977" w:type="dxa"/>
            <w:shd w:val="clear" w:color="auto" w:fill="A6A6A6" w:themeFill="background1" w:themeFillShade="A6"/>
            <w:tcMar>
              <w:top w:w="15" w:type="dxa"/>
              <w:left w:w="15" w:type="dxa"/>
              <w:right w:w="15" w:type="dxa"/>
            </w:tcMar>
            <w:vAlign w:val="center"/>
          </w:tcPr>
          <w:p w14:paraId="19184EA7" w14:textId="190B86CD" w:rsidR="734D305F" w:rsidRPr="003A218C" w:rsidRDefault="734D305F" w:rsidP="734D305F">
            <w:pPr>
              <w:jc w:val="center"/>
            </w:pPr>
          </w:p>
        </w:tc>
        <w:tc>
          <w:tcPr>
            <w:tcW w:w="1168" w:type="dxa"/>
            <w:shd w:val="clear" w:color="auto" w:fill="A6A6A6" w:themeFill="background1" w:themeFillShade="A6"/>
            <w:tcMar>
              <w:top w:w="15" w:type="dxa"/>
              <w:left w:w="15" w:type="dxa"/>
              <w:right w:w="15" w:type="dxa"/>
            </w:tcMar>
            <w:vAlign w:val="center"/>
          </w:tcPr>
          <w:p w14:paraId="31617BC9" w14:textId="018287BE" w:rsidR="734D305F" w:rsidRPr="003A218C" w:rsidRDefault="734D305F" w:rsidP="734D305F">
            <w:pPr>
              <w:jc w:val="center"/>
            </w:pPr>
          </w:p>
        </w:tc>
        <w:tc>
          <w:tcPr>
            <w:tcW w:w="786" w:type="dxa"/>
            <w:shd w:val="clear" w:color="auto" w:fill="A6A6A6" w:themeFill="background1" w:themeFillShade="A6"/>
            <w:tcMar>
              <w:top w:w="15" w:type="dxa"/>
              <w:left w:w="15" w:type="dxa"/>
              <w:right w:w="15" w:type="dxa"/>
            </w:tcMar>
            <w:vAlign w:val="center"/>
          </w:tcPr>
          <w:p w14:paraId="32F1F6E1" w14:textId="22BA2F75" w:rsidR="734D305F" w:rsidRPr="003A218C" w:rsidRDefault="734D305F" w:rsidP="734D305F">
            <w:pPr>
              <w:jc w:val="center"/>
            </w:pPr>
          </w:p>
        </w:tc>
        <w:tc>
          <w:tcPr>
            <w:tcW w:w="1104" w:type="dxa"/>
            <w:shd w:val="clear" w:color="auto" w:fill="A6A6A6" w:themeFill="background1" w:themeFillShade="A6"/>
            <w:tcMar>
              <w:top w:w="15" w:type="dxa"/>
              <w:left w:w="15" w:type="dxa"/>
              <w:right w:w="15" w:type="dxa"/>
            </w:tcMar>
            <w:vAlign w:val="center"/>
          </w:tcPr>
          <w:p w14:paraId="1F119DE4" w14:textId="35761C2D" w:rsidR="734D305F" w:rsidRPr="003A218C" w:rsidRDefault="734D305F" w:rsidP="734D305F">
            <w:pPr>
              <w:jc w:val="center"/>
            </w:pPr>
          </w:p>
        </w:tc>
        <w:tc>
          <w:tcPr>
            <w:tcW w:w="1080" w:type="dxa"/>
            <w:shd w:val="clear" w:color="auto" w:fill="A6A6A6" w:themeFill="background1" w:themeFillShade="A6"/>
            <w:tcMar>
              <w:top w:w="15" w:type="dxa"/>
              <w:left w:w="15" w:type="dxa"/>
              <w:right w:w="15" w:type="dxa"/>
            </w:tcMar>
            <w:vAlign w:val="center"/>
          </w:tcPr>
          <w:p w14:paraId="6BB876ED" w14:textId="63FD30E8" w:rsidR="734D305F" w:rsidRPr="003A218C" w:rsidRDefault="734D305F" w:rsidP="734D305F">
            <w:pPr>
              <w:jc w:val="center"/>
            </w:pPr>
          </w:p>
        </w:tc>
        <w:tc>
          <w:tcPr>
            <w:tcW w:w="746" w:type="dxa"/>
            <w:shd w:val="clear" w:color="auto" w:fill="A6A6A6" w:themeFill="background1" w:themeFillShade="A6"/>
            <w:tcMar>
              <w:top w:w="15" w:type="dxa"/>
              <w:left w:w="15" w:type="dxa"/>
              <w:right w:w="15" w:type="dxa"/>
            </w:tcMar>
            <w:vAlign w:val="center"/>
          </w:tcPr>
          <w:p w14:paraId="451D8D64" w14:textId="31D7AACF"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55E05929" w14:textId="19AC6C97"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1F432C4D" w14:textId="69299582" w:rsidR="734D305F" w:rsidRPr="003A218C" w:rsidRDefault="734D305F" w:rsidP="734D305F">
            <w:pPr>
              <w:jc w:val="center"/>
            </w:pPr>
          </w:p>
        </w:tc>
      </w:tr>
      <w:tr w:rsidR="734D305F" w14:paraId="2E0BDE0A" w14:textId="77777777" w:rsidTr="00E3378F">
        <w:trPr>
          <w:trHeight w:val="432"/>
        </w:trPr>
        <w:tc>
          <w:tcPr>
            <w:tcW w:w="1165" w:type="dxa"/>
            <w:tcMar>
              <w:top w:w="15" w:type="dxa"/>
              <w:left w:w="15" w:type="dxa"/>
              <w:right w:w="15" w:type="dxa"/>
            </w:tcMar>
            <w:vAlign w:val="center"/>
          </w:tcPr>
          <w:p w14:paraId="70C27033" w14:textId="1CA381D2" w:rsidR="734D305F" w:rsidRPr="006D5BFD" w:rsidRDefault="2BE0C8DB" w:rsidP="457B8AA1">
            <w:pPr>
              <w:jc w:val="center"/>
              <w:rPr>
                <w:b/>
                <w:bCs/>
                <w:color w:val="000000" w:themeColor="text1"/>
                <w:sz w:val="16"/>
                <w:szCs w:val="16"/>
              </w:rPr>
            </w:pPr>
            <w:r w:rsidRPr="006D5BFD">
              <w:rPr>
                <w:b/>
                <w:bCs/>
                <w:color w:val="000000" w:themeColor="text1"/>
                <w:sz w:val="16"/>
                <w:szCs w:val="16"/>
              </w:rPr>
              <w:t>Misc</w:t>
            </w:r>
            <w:r w:rsidR="006808F3" w:rsidRPr="006D5BFD">
              <w:rPr>
                <w:b/>
                <w:bCs/>
                <w:color w:val="000000" w:themeColor="text1"/>
                <w:sz w:val="16"/>
                <w:szCs w:val="16"/>
              </w:rPr>
              <w:t>.</w:t>
            </w:r>
          </w:p>
        </w:tc>
        <w:tc>
          <w:tcPr>
            <w:tcW w:w="788" w:type="dxa"/>
            <w:shd w:val="clear" w:color="auto" w:fill="E8E583"/>
            <w:tcMar>
              <w:top w:w="15" w:type="dxa"/>
              <w:left w:w="15" w:type="dxa"/>
              <w:right w:w="15" w:type="dxa"/>
            </w:tcMar>
            <w:vAlign w:val="center"/>
          </w:tcPr>
          <w:p w14:paraId="472C2EFB" w14:textId="33E98483" w:rsidR="734D305F" w:rsidRPr="003A218C" w:rsidRDefault="2BE0C8DB" w:rsidP="734D305F">
            <w:pPr>
              <w:jc w:val="center"/>
            </w:pPr>
            <w:r w:rsidRPr="003A218C">
              <w:t>0.44637</w:t>
            </w:r>
          </w:p>
        </w:tc>
        <w:tc>
          <w:tcPr>
            <w:tcW w:w="1282" w:type="dxa"/>
            <w:shd w:val="clear" w:color="auto" w:fill="E6E483"/>
            <w:tcMar>
              <w:top w:w="15" w:type="dxa"/>
              <w:left w:w="15" w:type="dxa"/>
              <w:right w:w="15" w:type="dxa"/>
            </w:tcMar>
            <w:vAlign w:val="center"/>
          </w:tcPr>
          <w:p w14:paraId="6D5C3225" w14:textId="6CD06D74" w:rsidR="734D305F" w:rsidRPr="003A218C" w:rsidRDefault="734D305F" w:rsidP="734D305F">
            <w:pPr>
              <w:jc w:val="center"/>
            </w:pPr>
            <w:r w:rsidRPr="003A218C">
              <w:t>0.45411</w:t>
            </w:r>
          </w:p>
        </w:tc>
        <w:tc>
          <w:tcPr>
            <w:tcW w:w="720" w:type="dxa"/>
            <w:shd w:val="clear" w:color="auto" w:fill="F9EA84"/>
            <w:tcMar>
              <w:top w:w="15" w:type="dxa"/>
              <w:left w:w="15" w:type="dxa"/>
              <w:right w:w="15" w:type="dxa"/>
            </w:tcMar>
            <w:vAlign w:val="center"/>
          </w:tcPr>
          <w:p w14:paraId="2EE719AA" w14:textId="5FA4E72E" w:rsidR="734D305F" w:rsidRPr="003A218C" w:rsidRDefault="2BE0C8DB" w:rsidP="734D305F">
            <w:pPr>
              <w:jc w:val="center"/>
            </w:pPr>
            <w:r w:rsidRPr="003A218C">
              <w:t>0.37433</w:t>
            </w:r>
          </w:p>
        </w:tc>
        <w:tc>
          <w:tcPr>
            <w:tcW w:w="928" w:type="dxa"/>
            <w:shd w:val="clear" w:color="auto" w:fill="F0E784"/>
            <w:tcMar>
              <w:top w:w="15" w:type="dxa"/>
              <w:left w:w="15" w:type="dxa"/>
              <w:right w:w="15" w:type="dxa"/>
            </w:tcMar>
            <w:vAlign w:val="center"/>
          </w:tcPr>
          <w:p w14:paraId="41102F9B" w14:textId="1F1211D3" w:rsidR="734D305F" w:rsidRPr="003A218C" w:rsidRDefault="2BE0C8DB" w:rsidP="734D305F">
            <w:pPr>
              <w:jc w:val="center"/>
            </w:pPr>
            <w:r w:rsidRPr="003A218C">
              <w:t>0.41089</w:t>
            </w:r>
          </w:p>
        </w:tc>
        <w:tc>
          <w:tcPr>
            <w:tcW w:w="977" w:type="dxa"/>
            <w:shd w:val="clear" w:color="auto" w:fill="FAEA84"/>
            <w:tcMar>
              <w:top w:w="15" w:type="dxa"/>
              <w:left w:w="15" w:type="dxa"/>
              <w:right w:w="15" w:type="dxa"/>
            </w:tcMar>
            <w:vAlign w:val="center"/>
          </w:tcPr>
          <w:p w14:paraId="18873599" w14:textId="66C61B1D" w:rsidR="734D305F" w:rsidRPr="003A218C" w:rsidRDefault="2BE0C8DB" w:rsidP="734D305F">
            <w:pPr>
              <w:jc w:val="center"/>
            </w:pPr>
            <w:r w:rsidRPr="003A218C">
              <w:t>0.36879</w:t>
            </w:r>
          </w:p>
        </w:tc>
        <w:tc>
          <w:tcPr>
            <w:tcW w:w="977" w:type="dxa"/>
            <w:shd w:val="clear" w:color="auto" w:fill="63BE7B"/>
            <w:tcMar>
              <w:top w:w="15" w:type="dxa"/>
              <w:left w:w="15" w:type="dxa"/>
              <w:right w:w="15" w:type="dxa"/>
            </w:tcMar>
            <w:vAlign w:val="center"/>
          </w:tcPr>
          <w:p w14:paraId="034CA932" w14:textId="63E4181C" w:rsidR="734D305F" w:rsidRPr="003A218C" w:rsidRDefault="734D305F" w:rsidP="734D305F">
            <w:pPr>
              <w:jc w:val="center"/>
            </w:pPr>
            <w:r w:rsidRPr="003A218C">
              <w:t>1</w:t>
            </w:r>
          </w:p>
        </w:tc>
        <w:tc>
          <w:tcPr>
            <w:tcW w:w="1168" w:type="dxa"/>
            <w:shd w:val="clear" w:color="auto" w:fill="A6A6A6" w:themeFill="background1" w:themeFillShade="A6"/>
            <w:tcMar>
              <w:top w:w="15" w:type="dxa"/>
              <w:left w:w="15" w:type="dxa"/>
              <w:right w:w="15" w:type="dxa"/>
            </w:tcMar>
            <w:vAlign w:val="center"/>
          </w:tcPr>
          <w:p w14:paraId="53A12D7F" w14:textId="788F0A90" w:rsidR="734D305F" w:rsidRPr="003A218C" w:rsidRDefault="734D305F" w:rsidP="734D305F">
            <w:pPr>
              <w:jc w:val="center"/>
            </w:pPr>
          </w:p>
        </w:tc>
        <w:tc>
          <w:tcPr>
            <w:tcW w:w="786" w:type="dxa"/>
            <w:shd w:val="clear" w:color="auto" w:fill="A6A6A6" w:themeFill="background1" w:themeFillShade="A6"/>
            <w:tcMar>
              <w:top w:w="15" w:type="dxa"/>
              <w:left w:w="15" w:type="dxa"/>
              <w:right w:w="15" w:type="dxa"/>
            </w:tcMar>
            <w:vAlign w:val="center"/>
          </w:tcPr>
          <w:p w14:paraId="0C960CCA" w14:textId="6514BF0E" w:rsidR="734D305F" w:rsidRPr="003A218C" w:rsidRDefault="734D305F" w:rsidP="734D305F">
            <w:pPr>
              <w:jc w:val="center"/>
            </w:pPr>
          </w:p>
        </w:tc>
        <w:tc>
          <w:tcPr>
            <w:tcW w:w="1104" w:type="dxa"/>
            <w:shd w:val="clear" w:color="auto" w:fill="A6A6A6" w:themeFill="background1" w:themeFillShade="A6"/>
            <w:tcMar>
              <w:top w:w="15" w:type="dxa"/>
              <w:left w:w="15" w:type="dxa"/>
              <w:right w:w="15" w:type="dxa"/>
            </w:tcMar>
            <w:vAlign w:val="center"/>
          </w:tcPr>
          <w:p w14:paraId="11EC0673" w14:textId="749943D2" w:rsidR="734D305F" w:rsidRPr="003A218C" w:rsidRDefault="734D305F" w:rsidP="734D305F">
            <w:pPr>
              <w:jc w:val="center"/>
            </w:pPr>
          </w:p>
        </w:tc>
        <w:tc>
          <w:tcPr>
            <w:tcW w:w="1080" w:type="dxa"/>
            <w:shd w:val="clear" w:color="auto" w:fill="A6A6A6" w:themeFill="background1" w:themeFillShade="A6"/>
            <w:tcMar>
              <w:top w:w="15" w:type="dxa"/>
              <w:left w:w="15" w:type="dxa"/>
              <w:right w:w="15" w:type="dxa"/>
            </w:tcMar>
            <w:vAlign w:val="center"/>
          </w:tcPr>
          <w:p w14:paraId="4399CA94" w14:textId="0544712A" w:rsidR="734D305F" w:rsidRPr="003A218C" w:rsidRDefault="734D305F" w:rsidP="734D305F">
            <w:pPr>
              <w:jc w:val="center"/>
            </w:pPr>
          </w:p>
        </w:tc>
        <w:tc>
          <w:tcPr>
            <w:tcW w:w="746" w:type="dxa"/>
            <w:shd w:val="clear" w:color="auto" w:fill="A6A6A6" w:themeFill="background1" w:themeFillShade="A6"/>
            <w:tcMar>
              <w:top w:w="15" w:type="dxa"/>
              <w:left w:w="15" w:type="dxa"/>
              <w:right w:w="15" w:type="dxa"/>
            </w:tcMar>
            <w:vAlign w:val="center"/>
          </w:tcPr>
          <w:p w14:paraId="221AC8A6" w14:textId="3A6F7C97"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14416558" w14:textId="0EDEC764"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7B620212" w14:textId="44D59D38" w:rsidR="734D305F" w:rsidRPr="003A218C" w:rsidRDefault="734D305F" w:rsidP="734D305F">
            <w:pPr>
              <w:jc w:val="center"/>
            </w:pPr>
          </w:p>
        </w:tc>
      </w:tr>
      <w:tr w:rsidR="734D305F" w14:paraId="58AE9B29" w14:textId="77777777" w:rsidTr="00E3378F">
        <w:trPr>
          <w:trHeight w:val="432"/>
        </w:trPr>
        <w:tc>
          <w:tcPr>
            <w:tcW w:w="1165" w:type="dxa"/>
            <w:tcMar>
              <w:top w:w="15" w:type="dxa"/>
              <w:left w:w="15" w:type="dxa"/>
              <w:right w:w="15" w:type="dxa"/>
            </w:tcMar>
            <w:vAlign w:val="center"/>
          </w:tcPr>
          <w:p w14:paraId="156057FB" w14:textId="142FDE56" w:rsidR="734D305F" w:rsidRPr="006D5BFD" w:rsidRDefault="2BE0C8DB" w:rsidP="457B8AA1">
            <w:pPr>
              <w:jc w:val="center"/>
              <w:rPr>
                <w:b/>
                <w:bCs/>
                <w:color w:val="000000" w:themeColor="text1"/>
                <w:sz w:val="16"/>
                <w:szCs w:val="16"/>
              </w:rPr>
            </w:pPr>
            <w:r w:rsidRPr="006D5BFD">
              <w:rPr>
                <w:b/>
                <w:bCs/>
                <w:color w:val="000000" w:themeColor="text1"/>
                <w:sz w:val="16"/>
                <w:szCs w:val="16"/>
              </w:rPr>
              <w:t xml:space="preserve">Non-durable </w:t>
            </w:r>
            <w:r w:rsidR="5508E52A" w:rsidRPr="006D5BFD">
              <w:rPr>
                <w:b/>
                <w:bCs/>
                <w:color w:val="000000" w:themeColor="text1"/>
                <w:sz w:val="16"/>
                <w:szCs w:val="16"/>
              </w:rPr>
              <w:t>G</w:t>
            </w:r>
            <w:r w:rsidRPr="006D5BFD">
              <w:rPr>
                <w:b/>
                <w:bCs/>
                <w:color w:val="000000" w:themeColor="text1"/>
                <w:sz w:val="16"/>
                <w:szCs w:val="16"/>
              </w:rPr>
              <w:t xml:space="preserve">oods </w:t>
            </w:r>
            <w:r w:rsidR="003175C5" w:rsidRPr="006D5BFD">
              <w:rPr>
                <w:b/>
                <w:bCs/>
                <w:color w:val="000000" w:themeColor="text1"/>
                <w:sz w:val="16"/>
                <w:szCs w:val="16"/>
              </w:rPr>
              <w:t>Manufacturing</w:t>
            </w:r>
          </w:p>
        </w:tc>
        <w:tc>
          <w:tcPr>
            <w:tcW w:w="788" w:type="dxa"/>
            <w:shd w:val="clear" w:color="auto" w:fill="FDCE7E"/>
            <w:tcMar>
              <w:top w:w="15" w:type="dxa"/>
              <w:left w:w="15" w:type="dxa"/>
              <w:right w:w="15" w:type="dxa"/>
            </w:tcMar>
            <w:vAlign w:val="center"/>
          </w:tcPr>
          <w:p w14:paraId="16C50DDB" w14:textId="19096A8A" w:rsidR="734D305F" w:rsidRPr="003A218C" w:rsidRDefault="2BE0C8DB" w:rsidP="734D305F">
            <w:pPr>
              <w:jc w:val="center"/>
            </w:pPr>
            <w:r w:rsidRPr="003A218C">
              <w:t>0.27070</w:t>
            </w:r>
          </w:p>
        </w:tc>
        <w:tc>
          <w:tcPr>
            <w:tcW w:w="1282" w:type="dxa"/>
            <w:shd w:val="clear" w:color="auto" w:fill="BFD981"/>
            <w:tcMar>
              <w:top w:w="15" w:type="dxa"/>
              <w:left w:w="15" w:type="dxa"/>
              <w:right w:w="15" w:type="dxa"/>
            </w:tcMar>
            <w:vAlign w:val="center"/>
          </w:tcPr>
          <w:p w14:paraId="3F0BF021" w14:textId="7C1E5F1D" w:rsidR="734D305F" w:rsidRPr="003A218C" w:rsidRDefault="2BE0C8DB" w:rsidP="734D305F">
            <w:pPr>
              <w:jc w:val="center"/>
            </w:pPr>
            <w:r w:rsidRPr="003A218C">
              <w:t>0.61549</w:t>
            </w:r>
          </w:p>
        </w:tc>
        <w:tc>
          <w:tcPr>
            <w:tcW w:w="720" w:type="dxa"/>
            <w:shd w:val="clear" w:color="auto" w:fill="FDCB7D"/>
            <w:tcMar>
              <w:top w:w="15" w:type="dxa"/>
              <w:left w:w="15" w:type="dxa"/>
              <w:right w:w="15" w:type="dxa"/>
            </w:tcMar>
            <w:vAlign w:val="center"/>
          </w:tcPr>
          <w:p w14:paraId="4D52973A" w14:textId="7BC2BFFC" w:rsidR="734D305F" w:rsidRPr="003A218C" w:rsidRDefault="734D305F" w:rsidP="734D305F">
            <w:pPr>
              <w:jc w:val="center"/>
            </w:pPr>
            <w:r w:rsidRPr="003A218C">
              <w:t>0.26009</w:t>
            </w:r>
          </w:p>
        </w:tc>
        <w:tc>
          <w:tcPr>
            <w:tcW w:w="928" w:type="dxa"/>
            <w:shd w:val="clear" w:color="auto" w:fill="FBAF78"/>
            <w:tcMar>
              <w:top w:w="15" w:type="dxa"/>
              <w:left w:w="15" w:type="dxa"/>
              <w:right w:w="15" w:type="dxa"/>
            </w:tcMar>
            <w:vAlign w:val="center"/>
          </w:tcPr>
          <w:p w14:paraId="5391532F" w14:textId="2B66D067" w:rsidR="734D305F" w:rsidRPr="003A218C" w:rsidRDefault="2BE0C8DB" w:rsidP="734D305F">
            <w:pPr>
              <w:jc w:val="center"/>
            </w:pPr>
            <w:r w:rsidRPr="003A218C">
              <w:t>0.18625</w:t>
            </w:r>
          </w:p>
        </w:tc>
        <w:tc>
          <w:tcPr>
            <w:tcW w:w="977" w:type="dxa"/>
            <w:shd w:val="clear" w:color="auto" w:fill="FCBB7A"/>
            <w:tcMar>
              <w:top w:w="15" w:type="dxa"/>
              <w:left w:w="15" w:type="dxa"/>
              <w:right w:w="15" w:type="dxa"/>
            </w:tcMar>
            <w:vAlign w:val="center"/>
          </w:tcPr>
          <w:p w14:paraId="6ACFA016" w14:textId="772A702F" w:rsidR="734D305F" w:rsidRPr="003A218C" w:rsidRDefault="2BE0C8DB" w:rsidP="734D305F">
            <w:pPr>
              <w:jc w:val="center"/>
            </w:pPr>
            <w:r w:rsidRPr="003A218C">
              <w:t>0.21687</w:t>
            </w:r>
          </w:p>
        </w:tc>
        <w:tc>
          <w:tcPr>
            <w:tcW w:w="977" w:type="dxa"/>
            <w:shd w:val="clear" w:color="auto" w:fill="E8E583"/>
            <w:tcMar>
              <w:top w:w="15" w:type="dxa"/>
              <w:left w:w="15" w:type="dxa"/>
              <w:right w:w="15" w:type="dxa"/>
            </w:tcMar>
            <w:vAlign w:val="center"/>
          </w:tcPr>
          <w:p w14:paraId="699E0863" w14:textId="2BC888D2" w:rsidR="734D305F" w:rsidRPr="003A218C" w:rsidRDefault="2BE0C8DB" w:rsidP="734D305F">
            <w:pPr>
              <w:jc w:val="center"/>
            </w:pPr>
            <w:r w:rsidRPr="003A218C">
              <w:t>0.44602</w:t>
            </w:r>
          </w:p>
        </w:tc>
        <w:tc>
          <w:tcPr>
            <w:tcW w:w="1168" w:type="dxa"/>
            <w:shd w:val="clear" w:color="auto" w:fill="63BE7B"/>
            <w:tcMar>
              <w:top w:w="15" w:type="dxa"/>
              <w:left w:w="15" w:type="dxa"/>
              <w:right w:w="15" w:type="dxa"/>
            </w:tcMar>
            <w:vAlign w:val="center"/>
          </w:tcPr>
          <w:p w14:paraId="7A7A40B7" w14:textId="0ACE0F72" w:rsidR="734D305F" w:rsidRPr="003A218C" w:rsidRDefault="734D305F" w:rsidP="734D305F">
            <w:pPr>
              <w:jc w:val="center"/>
            </w:pPr>
            <w:r w:rsidRPr="003A218C">
              <w:t>1</w:t>
            </w:r>
          </w:p>
        </w:tc>
        <w:tc>
          <w:tcPr>
            <w:tcW w:w="786" w:type="dxa"/>
            <w:shd w:val="clear" w:color="auto" w:fill="A6A6A6" w:themeFill="background1" w:themeFillShade="A6"/>
            <w:tcMar>
              <w:top w:w="15" w:type="dxa"/>
              <w:left w:w="15" w:type="dxa"/>
              <w:right w:w="15" w:type="dxa"/>
            </w:tcMar>
            <w:vAlign w:val="center"/>
          </w:tcPr>
          <w:p w14:paraId="4CBC174F" w14:textId="03FA5DEC" w:rsidR="734D305F" w:rsidRPr="003A218C" w:rsidRDefault="734D305F" w:rsidP="734D305F">
            <w:pPr>
              <w:jc w:val="center"/>
            </w:pPr>
          </w:p>
        </w:tc>
        <w:tc>
          <w:tcPr>
            <w:tcW w:w="1104" w:type="dxa"/>
            <w:shd w:val="clear" w:color="auto" w:fill="A6A6A6" w:themeFill="background1" w:themeFillShade="A6"/>
            <w:tcMar>
              <w:top w:w="15" w:type="dxa"/>
              <w:left w:w="15" w:type="dxa"/>
              <w:right w:w="15" w:type="dxa"/>
            </w:tcMar>
            <w:vAlign w:val="center"/>
          </w:tcPr>
          <w:p w14:paraId="49AE2C81" w14:textId="076CA6C8" w:rsidR="734D305F" w:rsidRPr="003A218C" w:rsidRDefault="734D305F" w:rsidP="734D305F">
            <w:pPr>
              <w:jc w:val="center"/>
            </w:pPr>
          </w:p>
        </w:tc>
        <w:tc>
          <w:tcPr>
            <w:tcW w:w="1080" w:type="dxa"/>
            <w:shd w:val="clear" w:color="auto" w:fill="A6A6A6" w:themeFill="background1" w:themeFillShade="A6"/>
            <w:tcMar>
              <w:top w:w="15" w:type="dxa"/>
              <w:left w:w="15" w:type="dxa"/>
              <w:right w:w="15" w:type="dxa"/>
            </w:tcMar>
            <w:vAlign w:val="center"/>
          </w:tcPr>
          <w:p w14:paraId="2C98847A" w14:textId="524D1BAE" w:rsidR="734D305F" w:rsidRPr="003A218C" w:rsidRDefault="734D305F" w:rsidP="734D305F">
            <w:pPr>
              <w:jc w:val="center"/>
            </w:pPr>
          </w:p>
        </w:tc>
        <w:tc>
          <w:tcPr>
            <w:tcW w:w="746" w:type="dxa"/>
            <w:shd w:val="clear" w:color="auto" w:fill="A6A6A6" w:themeFill="background1" w:themeFillShade="A6"/>
            <w:tcMar>
              <w:top w:w="15" w:type="dxa"/>
              <w:left w:w="15" w:type="dxa"/>
              <w:right w:w="15" w:type="dxa"/>
            </w:tcMar>
            <w:vAlign w:val="center"/>
          </w:tcPr>
          <w:p w14:paraId="34C2B924" w14:textId="752D8240"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3D14A63F" w14:textId="05A0BD46"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055043D6" w14:textId="1E1462DD" w:rsidR="734D305F" w:rsidRPr="003A218C" w:rsidRDefault="734D305F" w:rsidP="734D305F">
            <w:pPr>
              <w:jc w:val="center"/>
            </w:pPr>
          </w:p>
        </w:tc>
      </w:tr>
      <w:tr w:rsidR="734D305F" w14:paraId="09598700" w14:textId="77777777" w:rsidTr="00E3378F">
        <w:trPr>
          <w:trHeight w:val="432"/>
        </w:trPr>
        <w:tc>
          <w:tcPr>
            <w:tcW w:w="1165" w:type="dxa"/>
            <w:tcMar>
              <w:top w:w="15" w:type="dxa"/>
              <w:left w:w="15" w:type="dxa"/>
              <w:right w:w="15" w:type="dxa"/>
            </w:tcMar>
            <w:vAlign w:val="center"/>
          </w:tcPr>
          <w:p w14:paraId="267CAB8A" w14:textId="47B80F82" w:rsidR="734D305F" w:rsidRPr="006D5BFD" w:rsidRDefault="2BE0C8DB" w:rsidP="457B8AA1">
            <w:pPr>
              <w:jc w:val="center"/>
              <w:rPr>
                <w:b/>
                <w:bCs/>
                <w:color w:val="000000" w:themeColor="text1"/>
                <w:sz w:val="16"/>
                <w:szCs w:val="16"/>
              </w:rPr>
            </w:pPr>
            <w:r w:rsidRPr="006D5BFD">
              <w:rPr>
                <w:b/>
                <w:bCs/>
                <w:color w:val="000000" w:themeColor="text1"/>
                <w:sz w:val="16"/>
                <w:szCs w:val="16"/>
              </w:rPr>
              <w:t>Office</w:t>
            </w:r>
          </w:p>
        </w:tc>
        <w:tc>
          <w:tcPr>
            <w:tcW w:w="788" w:type="dxa"/>
            <w:shd w:val="clear" w:color="auto" w:fill="DAE182"/>
            <w:tcMar>
              <w:top w:w="15" w:type="dxa"/>
              <w:left w:w="15" w:type="dxa"/>
              <w:right w:w="15" w:type="dxa"/>
            </w:tcMar>
            <w:vAlign w:val="center"/>
          </w:tcPr>
          <w:p w14:paraId="240A687C" w14:textId="10D07193" w:rsidR="734D305F" w:rsidRPr="003A218C" w:rsidRDefault="2BE0C8DB" w:rsidP="734D305F">
            <w:pPr>
              <w:jc w:val="center"/>
            </w:pPr>
            <w:r w:rsidRPr="003A218C">
              <w:t>0.50172</w:t>
            </w:r>
          </w:p>
        </w:tc>
        <w:tc>
          <w:tcPr>
            <w:tcW w:w="1282" w:type="dxa"/>
            <w:shd w:val="clear" w:color="auto" w:fill="DEE283"/>
            <w:tcMar>
              <w:top w:w="15" w:type="dxa"/>
              <w:left w:w="15" w:type="dxa"/>
              <w:right w:w="15" w:type="dxa"/>
            </w:tcMar>
            <w:vAlign w:val="center"/>
          </w:tcPr>
          <w:p w14:paraId="15FBB24D" w14:textId="1C9CA35B" w:rsidR="734D305F" w:rsidRPr="003A218C" w:rsidRDefault="2BE0C8DB" w:rsidP="734D305F">
            <w:pPr>
              <w:jc w:val="center"/>
            </w:pPr>
            <w:r w:rsidRPr="003A218C">
              <w:t>0.48730</w:t>
            </w:r>
          </w:p>
        </w:tc>
        <w:tc>
          <w:tcPr>
            <w:tcW w:w="720" w:type="dxa"/>
            <w:shd w:val="clear" w:color="auto" w:fill="FEE883"/>
            <w:tcMar>
              <w:top w:w="15" w:type="dxa"/>
              <w:left w:w="15" w:type="dxa"/>
              <w:right w:w="15" w:type="dxa"/>
            </w:tcMar>
            <w:vAlign w:val="center"/>
          </w:tcPr>
          <w:p w14:paraId="39C7F827" w14:textId="5B63B66D" w:rsidR="734D305F" w:rsidRPr="003A218C" w:rsidRDefault="2BE0C8DB" w:rsidP="734D305F">
            <w:pPr>
              <w:jc w:val="center"/>
            </w:pPr>
            <w:r w:rsidRPr="003A218C">
              <w:t>0.33915</w:t>
            </w:r>
          </w:p>
        </w:tc>
        <w:tc>
          <w:tcPr>
            <w:tcW w:w="928" w:type="dxa"/>
            <w:shd w:val="clear" w:color="auto" w:fill="D3DF82"/>
            <w:tcMar>
              <w:top w:w="15" w:type="dxa"/>
              <w:left w:w="15" w:type="dxa"/>
              <w:right w:w="15" w:type="dxa"/>
            </w:tcMar>
            <w:vAlign w:val="center"/>
          </w:tcPr>
          <w:p w14:paraId="715F0839" w14:textId="5D124C6D" w:rsidR="734D305F" w:rsidRPr="003A218C" w:rsidRDefault="2BE0C8DB" w:rsidP="734D305F">
            <w:pPr>
              <w:jc w:val="center"/>
            </w:pPr>
            <w:r w:rsidRPr="003A218C">
              <w:t>0.53304</w:t>
            </w:r>
          </w:p>
        </w:tc>
        <w:tc>
          <w:tcPr>
            <w:tcW w:w="977" w:type="dxa"/>
            <w:shd w:val="clear" w:color="auto" w:fill="F4E884"/>
            <w:tcMar>
              <w:top w:w="15" w:type="dxa"/>
              <w:left w:w="15" w:type="dxa"/>
              <w:right w:w="15" w:type="dxa"/>
            </w:tcMar>
            <w:vAlign w:val="center"/>
          </w:tcPr>
          <w:p w14:paraId="2FF0CAEF" w14:textId="21930094" w:rsidR="734D305F" w:rsidRPr="003A218C" w:rsidRDefault="2BE0C8DB" w:rsidP="734D305F">
            <w:pPr>
              <w:jc w:val="center"/>
            </w:pPr>
            <w:r w:rsidRPr="003A218C">
              <w:t>0.39265</w:t>
            </w:r>
          </w:p>
        </w:tc>
        <w:tc>
          <w:tcPr>
            <w:tcW w:w="977" w:type="dxa"/>
            <w:shd w:val="clear" w:color="auto" w:fill="96CD7E"/>
            <w:tcMar>
              <w:top w:w="15" w:type="dxa"/>
              <w:left w:w="15" w:type="dxa"/>
              <w:right w:w="15" w:type="dxa"/>
            </w:tcMar>
            <w:vAlign w:val="center"/>
          </w:tcPr>
          <w:p w14:paraId="2E5467F5" w14:textId="1EBB541F" w:rsidR="734D305F" w:rsidRPr="003A218C" w:rsidRDefault="2BE0C8DB" w:rsidP="734D305F">
            <w:pPr>
              <w:jc w:val="center"/>
            </w:pPr>
            <w:r w:rsidRPr="003A218C">
              <w:t>0.78835</w:t>
            </w:r>
          </w:p>
        </w:tc>
        <w:tc>
          <w:tcPr>
            <w:tcW w:w="1168" w:type="dxa"/>
            <w:shd w:val="clear" w:color="auto" w:fill="E7E483"/>
            <w:tcMar>
              <w:top w:w="15" w:type="dxa"/>
              <w:left w:w="15" w:type="dxa"/>
              <w:right w:w="15" w:type="dxa"/>
            </w:tcMar>
            <w:vAlign w:val="center"/>
          </w:tcPr>
          <w:p w14:paraId="3C7D9536" w14:textId="48314C60" w:rsidR="734D305F" w:rsidRPr="003A218C" w:rsidRDefault="2BE0C8DB" w:rsidP="734D305F">
            <w:pPr>
              <w:jc w:val="center"/>
            </w:pPr>
            <w:r w:rsidRPr="003A218C">
              <w:t>0.44910</w:t>
            </w:r>
          </w:p>
        </w:tc>
        <w:tc>
          <w:tcPr>
            <w:tcW w:w="786" w:type="dxa"/>
            <w:shd w:val="clear" w:color="auto" w:fill="63BE7B"/>
            <w:tcMar>
              <w:top w:w="15" w:type="dxa"/>
              <w:left w:w="15" w:type="dxa"/>
              <w:right w:w="15" w:type="dxa"/>
            </w:tcMar>
            <w:vAlign w:val="center"/>
          </w:tcPr>
          <w:p w14:paraId="2E592EAC" w14:textId="1184A516" w:rsidR="734D305F" w:rsidRPr="003A218C" w:rsidRDefault="734D305F" w:rsidP="734D305F">
            <w:pPr>
              <w:jc w:val="center"/>
            </w:pPr>
            <w:r w:rsidRPr="003A218C">
              <w:t>1</w:t>
            </w:r>
          </w:p>
        </w:tc>
        <w:tc>
          <w:tcPr>
            <w:tcW w:w="1104" w:type="dxa"/>
            <w:shd w:val="clear" w:color="auto" w:fill="A6A6A6" w:themeFill="background1" w:themeFillShade="A6"/>
            <w:tcMar>
              <w:top w:w="15" w:type="dxa"/>
              <w:left w:w="15" w:type="dxa"/>
              <w:right w:w="15" w:type="dxa"/>
            </w:tcMar>
            <w:vAlign w:val="center"/>
          </w:tcPr>
          <w:p w14:paraId="4ED2C3A1" w14:textId="38377F88" w:rsidR="734D305F" w:rsidRPr="003A218C" w:rsidRDefault="734D305F" w:rsidP="734D305F">
            <w:pPr>
              <w:jc w:val="center"/>
            </w:pPr>
          </w:p>
        </w:tc>
        <w:tc>
          <w:tcPr>
            <w:tcW w:w="1080" w:type="dxa"/>
            <w:shd w:val="clear" w:color="auto" w:fill="A6A6A6" w:themeFill="background1" w:themeFillShade="A6"/>
            <w:tcMar>
              <w:top w:w="15" w:type="dxa"/>
              <w:left w:w="15" w:type="dxa"/>
              <w:right w:w="15" w:type="dxa"/>
            </w:tcMar>
            <w:vAlign w:val="center"/>
          </w:tcPr>
          <w:p w14:paraId="7B762528" w14:textId="07ABBD0F" w:rsidR="734D305F" w:rsidRPr="003A218C" w:rsidRDefault="734D305F" w:rsidP="734D305F">
            <w:pPr>
              <w:jc w:val="center"/>
            </w:pPr>
          </w:p>
        </w:tc>
        <w:tc>
          <w:tcPr>
            <w:tcW w:w="746" w:type="dxa"/>
            <w:shd w:val="clear" w:color="auto" w:fill="A6A6A6" w:themeFill="background1" w:themeFillShade="A6"/>
            <w:tcMar>
              <w:top w:w="15" w:type="dxa"/>
              <w:left w:w="15" w:type="dxa"/>
              <w:right w:w="15" w:type="dxa"/>
            </w:tcMar>
            <w:vAlign w:val="center"/>
          </w:tcPr>
          <w:p w14:paraId="6E8D810E" w14:textId="3E750A04"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3DAAA602" w14:textId="6A6B0CA7"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6739AF80" w14:textId="60609169" w:rsidR="734D305F" w:rsidRPr="003A218C" w:rsidRDefault="734D305F" w:rsidP="734D305F">
            <w:pPr>
              <w:jc w:val="center"/>
            </w:pPr>
          </w:p>
        </w:tc>
      </w:tr>
      <w:tr w:rsidR="734D305F" w14:paraId="58B85112" w14:textId="77777777" w:rsidTr="00E3378F">
        <w:trPr>
          <w:trHeight w:val="432"/>
        </w:trPr>
        <w:tc>
          <w:tcPr>
            <w:tcW w:w="1165" w:type="dxa"/>
            <w:tcMar>
              <w:top w:w="15" w:type="dxa"/>
              <w:left w:w="15" w:type="dxa"/>
              <w:right w:w="15" w:type="dxa"/>
            </w:tcMar>
            <w:vAlign w:val="center"/>
          </w:tcPr>
          <w:p w14:paraId="69C77A19" w14:textId="6EF1BD37" w:rsidR="734D305F" w:rsidRPr="006D5BFD" w:rsidRDefault="2BE0C8DB" w:rsidP="457B8AA1">
            <w:pPr>
              <w:jc w:val="center"/>
              <w:rPr>
                <w:b/>
                <w:bCs/>
                <w:color w:val="000000" w:themeColor="text1"/>
                <w:sz w:val="16"/>
                <w:szCs w:val="16"/>
              </w:rPr>
            </w:pPr>
            <w:r w:rsidRPr="006D5BFD">
              <w:rPr>
                <w:b/>
                <w:bCs/>
                <w:color w:val="000000" w:themeColor="text1"/>
                <w:sz w:val="16"/>
                <w:szCs w:val="16"/>
              </w:rPr>
              <w:t>Refrig</w:t>
            </w:r>
            <w:r w:rsidR="003175C5" w:rsidRPr="006D5BFD">
              <w:rPr>
                <w:b/>
                <w:bCs/>
                <w:color w:val="000000" w:themeColor="text1"/>
                <w:sz w:val="16"/>
                <w:szCs w:val="16"/>
              </w:rPr>
              <w:t>eration</w:t>
            </w:r>
            <w:r w:rsidRPr="006D5BFD">
              <w:rPr>
                <w:b/>
                <w:bCs/>
                <w:color w:val="000000" w:themeColor="text1"/>
                <w:sz w:val="16"/>
                <w:szCs w:val="16"/>
              </w:rPr>
              <w:t xml:space="preserve"> </w:t>
            </w:r>
            <w:r w:rsidR="006808F3" w:rsidRPr="006D5BFD">
              <w:rPr>
                <w:b/>
                <w:bCs/>
                <w:color w:val="000000" w:themeColor="text1"/>
                <w:sz w:val="16"/>
                <w:szCs w:val="16"/>
              </w:rPr>
              <w:t>W</w:t>
            </w:r>
            <w:r w:rsidRPr="006D5BFD">
              <w:rPr>
                <w:b/>
                <w:bCs/>
                <w:color w:val="000000" w:themeColor="text1"/>
                <w:sz w:val="16"/>
                <w:szCs w:val="16"/>
              </w:rPr>
              <w:t>arehouse</w:t>
            </w:r>
          </w:p>
        </w:tc>
        <w:tc>
          <w:tcPr>
            <w:tcW w:w="788" w:type="dxa"/>
            <w:shd w:val="clear" w:color="auto" w:fill="FA9573"/>
            <w:tcMar>
              <w:top w:w="15" w:type="dxa"/>
              <w:left w:w="15" w:type="dxa"/>
              <w:right w:w="15" w:type="dxa"/>
            </w:tcMar>
            <w:vAlign w:val="center"/>
          </w:tcPr>
          <w:p w14:paraId="1334B3DE" w14:textId="4298F60A" w:rsidR="734D305F" w:rsidRPr="003A218C" w:rsidRDefault="2BE0C8DB" w:rsidP="734D305F">
            <w:pPr>
              <w:jc w:val="center"/>
            </w:pPr>
            <w:r w:rsidRPr="003A218C">
              <w:t>0.11455</w:t>
            </w:r>
          </w:p>
        </w:tc>
        <w:tc>
          <w:tcPr>
            <w:tcW w:w="1282" w:type="dxa"/>
            <w:shd w:val="clear" w:color="auto" w:fill="F6E984"/>
            <w:tcMar>
              <w:top w:w="15" w:type="dxa"/>
              <w:left w:w="15" w:type="dxa"/>
              <w:right w:w="15" w:type="dxa"/>
            </w:tcMar>
            <w:vAlign w:val="center"/>
          </w:tcPr>
          <w:p w14:paraId="5938F09B" w14:textId="7A7FCE9B" w:rsidR="734D305F" w:rsidRPr="003A218C" w:rsidRDefault="2BE0C8DB" w:rsidP="734D305F">
            <w:pPr>
              <w:jc w:val="center"/>
            </w:pPr>
            <w:r w:rsidRPr="003A218C">
              <w:t>0.38737</w:t>
            </w:r>
          </w:p>
        </w:tc>
        <w:tc>
          <w:tcPr>
            <w:tcW w:w="720" w:type="dxa"/>
            <w:shd w:val="clear" w:color="auto" w:fill="FA9272"/>
            <w:tcMar>
              <w:top w:w="15" w:type="dxa"/>
              <w:left w:w="15" w:type="dxa"/>
              <w:right w:w="15" w:type="dxa"/>
            </w:tcMar>
            <w:vAlign w:val="center"/>
          </w:tcPr>
          <w:p w14:paraId="4F569FD3" w14:textId="3B8F6506" w:rsidR="734D305F" w:rsidRPr="003A218C" w:rsidRDefault="2BE0C8DB" w:rsidP="734D305F">
            <w:pPr>
              <w:jc w:val="center"/>
            </w:pPr>
            <w:r w:rsidRPr="003A218C">
              <w:t>0.10663</w:t>
            </w:r>
          </w:p>
        </w:tc>
        <w:tc>
          <w:tcPr>
            <w:tcW w:w="928" w:type="dxa"/>
            <w:shd w:val="clear" w:color="auto" w:fill="F98570"/>
            <w:tcMar>
              <w:top w:w="15" w:type="dxa"/>
              <w:left w:w="15" w:type="dxa"/>
              <w:right w:w="15" w:type="dxa"/>
            </w:tcMar>
            <w:vAlign w:val="center"/>
          </w:tcPr>
          <w:p w14:paraId="71E6D1E9" w14:textId="0F154096" w:rsidR="734D305F" w:rsidRPr="003A218C" w:rsidRDefault="734D305F" w:rsidP="734D305F">
            <w:pPr>
              <w:jc w:val="center"/>
            </w:pPr>
            <w:r w:rsidRPr="003A218C">
              <w:t>0.07362</w:t>
            </w:r>
          </w:p>
        </w:tc>
        <w:tc>
          <w:tcPr>
            <w:tcW w:w="977" w:type="dxa"/>
            <w:shd w:val="clear" w:color="auto" w:fill="FA9673"/>
            <w:tcMar>
              <w:top w:w="15" w:type="dxa"/>
              <w:left w:w="15" w:type="dxa"/>
              <w:right w:w="15" w:type="dxa"/>
            </w:tcMar>
            <w:vAlign w:val="center"/>
          </w:tcPr>
          <w:p w14:paraId="726D3339" w14:textId="030BBA77" w:rsidR="734D305F" w:rsidRPr="003A218C" w:rsidRDefault="2BE0C8DB" w:rsidP="734D305F">
            <w:pPr>
              <w:jc w:val="center"/>
            </w:pPr>
            <w:r w:rsidRPr="003A218C">
              <w:t>0.11806</w:t>
            </w:r>
          </w:p>
        </w:tc>
        <w:tc>
          <w:tcPr>
            <w:tcW w:w="977" w:type="dxa"/>
            <w:shd w:val="clear" w:color="auto" w:fill="FCBC7A"/>
            <w:tcMar>
              <w:top w:w="15" w:type="dxa"/>
              <w:left w:w="15" w:type="dxa"/>
              <w:right w:w="15" w:type="dxa"/>
            </w:tcMar>
            <w:vAlign w:val="center"/>
          </w:tcPr>
          <w:p w14:paraId="18E9F8D7" w14:textId="31CE4BC4" w:rsidR="734D305F" w:rsidRPr="003A218C" w:rsidRDefault="2BE0C8DB" w:rsidP="734D305F">
            <w:pPr>
              <w:jc w:val="center"/>
            </w:pPr>
            <w:r w:rsidRPr="003A218C">
              <w:t>0.21991</w:t>
            </w:r>
          </w:p>
        </w:tc>
        <w:tc>
          <w:tcPr>
            <w:tcW w:w="1168" w:type="dxa"/>
            <w:shd w:val="clear" w:color="auto" w:fill="FDEB84"/>
            <w:tcMar>
              <w:top w:w="15" w:type="dxa"/>
              <w:left w:w="15" w:type="dxa"/>
              <w:right w:w="15" w:type="dxa"/>
            </w:tcMar>
            <w:vAlign w:val="center"/>
          </w:tcPr>
          <w:p w14:paraId="4B6155A9" w14:textId="19144416" w:rsidR="734D305F" w:rsidRPr="003A218C" w:rsidRDefault="2BE0C8DB" w:rsidP="734D305F">
            <w:pPr>
              <w:jc w:val="center"/>
            </w:pPr>
            <w:r w:rsidRPr="003A218C">
              <w:t>0.35703</w:t>
            </w:r>
          </w:p>
        </w:tc>
        <w:tc>
          <w:tcPr>
            <w:tcW w:w="786" w:type="dxa"/>
            <w:shd w:val="clear" w:color="auto" w:fill="FCB97A"/>
            <w:tcMar>
              <w:top w:w="15" w:type="dxa"/>
              <w:left w:w="15" w:type="dxa"/>
              <w:right w:w="15" w:type="dxa"/>
            </w:tcMar>
            <w:vAlign w:val="center"/>
          </w:tcPr>
          <w:p w14:paraId="286BC2F8" w14:textId="48399B6C" w:rsidR="734D305F" w:rsidRPr="003A218C" w:rsidRDefault="2BE0C8DB" w:rsidP="734D305F">
            <w:pPr>
              <w:jc w:val="center"/>
            </w:pPr>
            <w:r w:rsidRPr="003A218C">
              <w:t>0.21295</w:t>
            </w:r>
          </w:p>
        </w:tc>
        <w:tc>
          <w:tcPr>
            <w:tcW w:w="1104" w:type="dxa"/>
            <w:shd w:val="clear" w:color="auto" w:fill="63BE7B"/>
            <w:tcMar>
              <w:top w:w="15" w:type="dxa"/>
              <w:left w:w="15" w:type="dxa"/>
              <w:right w:w="15" w:type="dxa"/>
            </w:tcMar>
            <w:vAlign w:val="center"/>
          </w:tcPr>
          <w:p w14:paraId="6908F2C9" w14:textId="7EE5ABE9" w:rsidR="734D305F" w:rsidRPr="003A218C" w:rsidRDefault="734D305F" w:rsidP="734D305F">
            <w:pPr>
              <w:jc w:val="center"/>
            </w:pPr>
            <w:r w:rsidRPr="003A218C">
              <w:t>1</w:t>
            </w:r>
          </w:p>
        </w:tc>
        <w:tc>
          <w:tcPr>
            <w:tcW w:w="1080" w:type="dxa"/>
            <w:shd w:val="clear" w:color="auto" w:fill="A6A6A6" w:themeFill="background1" w:themeFillShade="A6"/>
            <w:tcMar>
              <w:top w:w="15" w:type="dxa"/>
              <w:left w:w="15" w:type="dxa"/>
              <w:right w:w="15" w:type="dxa"/>
            </w:tcMar>
            <w:vAlign w:val="center"/>
          </w:tcPr>
          <w:p w14:paraId="71976FAB" w14:textId="545DD060" w:rsidR="734D305F" w:rsidRPr="003A218C" w:rsidRDefault="734D305F" w:rsidP="734D305F">
            <w:pPr>
              <w:jc w:val="center"/>
            </w:pPr>
          </w:p>
        </w:tc>
        <w:tc>
          <w:tcPr>
            <w:tcW w:w="746" w:type="dxa"/>
            <w:shd w:val="clear" w:color="auto" w:fill="A6A6A6" w:themeFill="background1" w:themeFillShade="A6"/>
            <w:tcMar>
              <w:top w:w="15" w:type="dxa"/>
              <w:left w:w="15" w:type="dxa"/>
              <w:right w:w="15" w:type="dxa"/>
            </w:tcMar>
            <w:vAlign w:val="center"/>
          </w:tcPr>
          <w:p w14:paraId="4A36F018" w14:textId="21598A9D"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5628C48A" w14:textId="50B7254B"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3BA05418" w14:textId="31F5FB80" w:rsidR="734D305F" w:rsidRPr="003A218C" w:rsidRDefault="734D305F" w:rsidP="734D305F">
            <w:pPr>
              <w:jc w:val="center"/>
            </w:pPr>
          </w:p>
        </w:tc>
      </w:tr>
      <w:tr w:rsidR="734D305F" w14:paraId="60EC4B62" w14:textId="77777777" w:rsidTr="00E3378F">
        <w:trPr>
          <w:trHeight w:val="432"/>
        </w:trPr>
        <w:tc>
          <w:tcPr>
            <w:tcW w:w="1165" w:type="dxa"/>
            <w:tcMar>
              <w:top w:w="15" w:type="dxa"/>
              <w:left w:w="15" w:type="dxa"/>
              <w:right w:w="15" w:type="dxa"/>
            </w:tcMar>
            <w:vAlign w:val="center"/>
          </w:tcPr>
          <w:p w14:paraId="38FB481F" w14:textId="6828E9CB" w:rsidR="734D305F" w:rsidRPr="006D5BFD" w:rsidRDefault="2BE0C8DB" w:rsidP="457B8AA1">
            <w:pPr>
              <w:jc w:val="center"/>
              <w:rPr>
                <w:b/>
                <w:bCs/>
                <w:color w:val="000000" w:themeColor="text1"/>
                <w:sz w:val="16"/>
                <w:szCs w:val="16"/>
              </w:rPr>
            </w:pPr>
            <w:r w:rsidRPr="006D5BFD">
              <w:rPr>
                <w:b/>
                <w:bCs/>
                <w:color w:val="000000" w:themeColor="text1"/>
                <w:sz w:val="16"/>
                <w:szCs w:val="16"/>
              </w:rPr>
              <w:t xml:space="preserve"> Restaurant</w:t>
            </w:r>
          </w:p>
        </w:tc>
        <w:tc>
          <w:tcPr>
            <w:tcW w:w="788" w:type="dxa"/>
            <w:shd w:val="clear" w:color="auto" w:fill="FBEA84"/>
            <w:tcMar>
              <w:top w:w="15" w:type="dxa"/>
              <w:left w:w="15" w:type="dxa"/>
              <w:right w:w="15" w:type="dxa"/>
            </w:tcMar>
            <w:vAlign w:val="center"/>
          </w:tcPr>
          <w:p w14:paraId="08F139D8" w14:textId="6938C2D8" w:rsidR="734D305F" w:rsidRPr="003A218C" w:rsidRDefault="734D305F" w:rsidP="734D305F">
            <w:pPr>
              <w:jc w:val="center"/>
            </w:pPr>
            <w:r w:rsidRPr="003A218C">
              <w:t>0.36583</w:t>
            </w:r>
          </w:p>
        </w:tc>
        <w:tc>
          <w:tcPr>
            <w:tcW w:w="1282" w:type="dxa"/>
            <w:shd w:val="clear" w:color="auto" w:fill="FDD47F"/>
            <w:tcMar>
              <w:top w:w="15" w:type="dxa"/>
              <w:left w:w="15" w:type="dxa"/>
              <w:right w:w="15" w:type="dxa"/>
            </w:tcMar>
            <w:vAlign w:val="center"/>
          </w:tcPr>
          <w:p w14:paraId="3DDFEECC" w14:textId="13567EC1" w:rsidR="734D305F" w:rsidRPr="003A218C" w:rsidRDefault="2BE0C8DB" w:rsidP="734D305F">
            <w:pPr>
              <w:jc w:val="center"/>
            </w:pPr>
            <w:r w:rsidRPr="003A218C">
              <w:t>0.28447</w:t>
            </w:r>
          </w:p>
        </w:tc>
        <w:tc>
          <w:tcPr>
            <w:tcW w:w="720" w:type="dxa"/>
            <w:shd w:val="clear" w:color="auto" w:fill="FEEB84"/>
            <w:tcMar>
              <w:top w:w="15" w:type="dxa"/>
              <w:left w:w="15" w:type="dxa"/>
              <w:right w:w="15" w:type="dxa"/>
            </w:tcMar>
            <w:vAlign w:val="center"/>
          </w:tcPr>
          <w:p w14:paraId="3C37E994" w14:textId="1F649FF4" w:rsidR="734D305F" w:rsidRPr="003A218C" w:rsidRDefault="2BE0C8DB" w:rsidP="734D305F">
            <w:pPr>
              <w:jc w:val="center"/>
            </w:pPr>
            <w:r w:rsidRPr="003A218C">
              <w:t>0.35359</w:t>
            </w:r>
          </w:p>
        </w:tc>
        <w:tc>
          <w:tcPr>
            <w:tcW w:w="928" w:type="dxa"/>
            <w:shd w:val="clear" w:color="auto" w:fill="FEE883"/>
            <w:tcMar>
              <w:top w:w="15" w:type="dxa"/>
              <w:left w:w="15" w:type="dxa"/>
              <w:right w:w="15" w:type="dxa"/>
            </w:tcMar>
            <w:vAlign w:val="center"/>
          </w:tcPr>
          <w:p w14:paraId="7506DAF6" w14:textId="77B6280F" w:rsidR="734D305F" w:rsidRPr="003A218C" w:rsidRDefault="2BE0C8DB" w:rsidP="734D305F">
            <w:pPr>
              <w:jc w:val="center"/>
            </w:pPr>
            <w:r w:rsidRPr="003A218C">
              <w:t>0.34066</w:t>
            </w:r>
          </w:p>
        </w:tc>
        <w:tc>
          <w:tcPr>
            <w:tcW w:w="977" w:type="dxa"/>
            <w:shd w:val="clear" w:color="auto" w:fill="FEEB84"/>
            <w:tcMar>
              <w:top w:w="15" w:type="dxa"/>
              <w:left w:w="15" w:type="dxa"/>
              <w:right w:w="15" w:type="dxa"/>
            </w:tcMar>
            <w:vAlign w:val="center"/>
          </w:tcPr>
          <w:p w14:paraId="1A524054" w14:textId="5A39EA67" w:rsidR="734D305F" w:rsidRPr="003A218C" w:rsidRDefault="2BE0C8DB" w:rsidP="734D305F">
            <w:pPr>
              <w:jc w:val="center"/>
            </w:pPr>
            <w:r w:rsidRPr="003A218C">
              <w:t>0.35229</w:t>
            </w:r>
          </w:p>
        </w:tc>
        <w:tc>
          <w:tcPr>
            <w:tcW w:w="977" w:type="dxa"/>
            <w:shd w:val="clear" w:color="auto" w:fill="B3D580"/>
            <w:tcMar>
              <w:top w:w="15" w:type="dxa"/>
              <w:left w:w="15" w:type="dxa"/>
              <w:right w:w="15" w:type="dxa"/>
            </w:tcMar>
            <w:vAlign w:val="center"/>
          </w:tcPr>
          <w:p w14:paraId="2B8E6426" w14:textId="330DB70F" w:rsidR="734D305F" w:rsidRPr="003A218C" w:rsidRDefault="2BE0C8DB" w:rsidP="734D305F">
            <w:pPr>
              <w:jc w:val="center"/>
            </w:pPr>
            <w:r w:rsidRPr="003A218C">
              <w:t>0.66873</w:t>
            </w:r>
          </w:p>
        </w:tc>
        <w:tc>
          <w:tcPr>
            <w:tcW w:w="1168" w:type="dxa"/>
            <w:shd w:val="clear" w:color="auto" w:fill="FFEB84"/>
            <w:tcMar>
              <w:top w:w="15" w:type="dxa"/>
              <w:left w:w="15" w:type="dxa"/>
              <w:right w:w="15" w:type="dxa"/>
            </w:tcMar>
            <w:vAlign w:val="center"/>
          </w:tcPr>
          <w:p w14:paraId="42C93A3F" w14:textId="5D8D187E" w:rsidR="734D305F" w:rsidRPr="003A218C" w:rsidRDefault="2BE0C8DB" w:rsidP="734D305F">
            <w:pPr>
              <w:jc w:val="center"/>
            </w:pPr>
            <w:r w:rsidRPr="003A218C">
              <w:t>0.34645</w:t>
            </w:r>
          </w:p>
        </w:tc>
        <w:tc>
          <w:tcPr>
            <w:tcW w:w="786" w:type="dxa"/>
            <w:shd w:val="clear" w:color="auto" w:fill="BAD881"/>
            <w:tcMar>
              <w:top w:w="15" w:type="dxa"/>
              <w:left w:w="15" w:type="dxa"/>
              <w:right w:w="15" w:type="dxa"/>
            </w:tcMar>
            <w:vAlign w:val="center"/>
          </w:tcPr>
          <w:p w14:paraId="241B5FD3" w14:textId="45E45CF9" w:rsidR="734D305F" w:rsidRPr="003A218C" w:rsidRDefault="2BE0C8DB" w:rsidP="734D305F">
            <w:pPr>
              <w:jc w:val="center"/>
            </w:pPr>
            <w:r w:rsidRPr="003A218C">
              <w:t>0.63579</w:t>
            </w:r>
          </w:p>
        </w:tc>
        <w:tc>
          <w:tcPr>
            <w:tcW w:w="1104" w:type="dxa"/>
            <w:shd w:val="clear" w:color="auto" w:fill="FAA075"/>
            <w:tcMar>
              <w:top w:w="15" w:type="dxa"/>
              <w:left w:w="15" w:type="dxa"/>
              <w:right w:w="15" w:type="dxa"/>
            </w:tcMar>
            <w:vAlign w:val="center"/>
          </w:tcPr>
          <w:p w14:paraId="1696DD4E" w14:textId="1ADF1781" w:rsidR="734D305F" w:rsidRPr="003A218C" w:rsidRDefault="2BE0C8DB" w:rsidP="734D305F">
            <w:pPr>
              <w:jc w:val="center"/>
            </w:pPr>
            <w:r w:rsidRPr="003A218C">
              <w:t>0.14421</w:t>
            </w:r>
          </w:p>
        </w:tc>
        <w:tc>
          <w:tcPr>
            <w:tcW w:w="1080" w:type="dxa"/>
            <w:shd w:val="clear" w:color="auto" w:fill="63BE7B"/>
            <w:tcMar>
              <w:top w:w="15" w:type="dxa"/>
              <w:left w:w="15" w:type="dxa"/>
              <w:right w:w="15" w:type="dxa"/>
            </w:tcMar>
            <w:vAlign w:val="center"/>
          </w:tcPr>
          <w:p w14:paraId="1BBB5E00" w14:textId="78A31EAB" w:rsidR="734D305F" w:rsidRPr="003A218C" w:rsidRDefault="734D305F" w:rsidP="734D305F">
            <w:pPr>
              <w:jc w:val="center"/>
            </w:pPr>
            <w:r w:rsidRPr="003A218C">
              <w:t>1</w:t>
            </w:r>
          </w:p>
        </w:tc>
        <w:tc>
          <w:tcPr>
            <w:tcW w:w="746" w:type="dxa"/>
            <w:shd w:val="clear" w:color="auto" w:fill="A6A6A6" w:themeFill="background1" w:themeFillShade="A6"/>
            <w:tcMar>
              <w:top w:w="15" w:type="dxa"/>
              <w:left w:w="15" w:type="dxa"/>
              <w:right w:w="15" w:type="dxa"/>
            </w:tcMar>
            <w:vAlign w:val="center"/>
          </w:tcPr>
          <w:p w14:paraId="46970575" w14:textId="13EAE28E"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1AA02049" w14:textId="2BB472A8"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02B5EFB4" w14:textId="4F7E1EEE" w:rsidR="734D305F" w:rsidRPr="003A218C" w:rsidRDefault="734D305F" w:rsidP="734D305F">
            <w:pPr>
              <w:jc w:val="center"/>
            </w:pPr>
          </w:p>
        </w:tc>
      </w:tr>
      <w:tr w:rsidR="734D305F" w14:paraId="52BB0FD6" w14:textId="77777777" w:rsidTr="00E3378F">
        <w:trPr>
          <w:trHeight w:val="432"/>
        </w:trPr>
        <w:tc>
          <w:tcPr>
            <w:tcW w:w="1165" w:type="dxa"/>
            <w:tcMar>
              <w:top w:w="15" w:type="dxa"/>
              <w:left w:w="15" w:type="dxa"/>
              <w:right w:w="15" w:type="dxa"/>
            </w:tcMar>
            <w:vAlign w:val="center"/>
          </w:tcPr>
          <w:p w14:paraId="2390183A" w14:textId="04F3B3E2" w:rsidR="734D305F" w:rsidRPr="006D5BFD" w:rsidRDefault="2BE0C8DB" w:rsidP="457B8AA1">
            <w:pPr>
              <w:jc w:val="center"/>
              <w:rPr>
                <w:b/>
                <w:bCs/>
                <w:color w:val="000000" w:themeColor="text1"/>
                <w:sz w:val="16"/>
                <w:szCs w:val="16"/>
              </w:rPr>
            </w:pPr>
            <w:r w:rsidRPr="006D5BFD">
              <w:rPr>
                <w:b/>
                <w:bCs/>
                <w:color w:val="000000" w:themeColor="text1"/>
                <w:sz w:val="16"/>
                <w:szCs w:val="16"/>
              </w:rPr>
              <w:t xml:space="preserve"> Retail</w:t>
            </w:r>
          </w:p>
        </w:tc>
        <w:tc>
          <w:tcPr>
            <w:tcW w:w="788" w:type="dxa"/>
            <w:shd w:val="clear" w:color="auto" w:fill="F0E784"/>
            <w:tcMar>
              <w:top w:w="15" w:type="dxa"/>
              <w:left w:w="15" w:type="dxa"/>
              <w:right w:w="15" w:type="dxa"/>
            </w:tcMar>
            <w:vAlign w:val="center"/>
          </w:tcPr>
          <w:p w14:paraId="6D599563" w14:textId="0D8E7AD7" w:rsidR="734D305F" w:rsidRPr="003A218C" w:rsidRDefault="2BE0C8DB" w:rsidP="734D305F">
            <w:pPr>
              <w:jc w:val="center"/>
            </w:pPr>
            <w:r w:rsidRPr="003A218C">
              <w:t>0.41189</w:t>
            </w:r>
          </w:p>
        </w:tc>
        <w:tc>
          <w:tcPr>
            <w:tcW w:w="1282" w:type="dxa"/>
            <w:shd w:val="clear" w:color="auto" w:fill="DBE182"/>
            <w:tcMar>
              <w:top w:w="15" w:type="dxa"/>
              <w:left w:w="15" w:type="dxa"/>
              <w:right w:w="15" w:type="dxa"/>
            </w:tcMar>
            <w:vAlign w:val="center"/>
          </w:tcPr>
          <w:p w14:paraId="77FDBADE" w14:textId="4249EC23" w:rsidR="734D305F" w:rsidRPr="003A218C" w:rsidRDefault="2BE0C8DB" w:rsidP="734D305F">
            <w:pPr>
              <w:jc w:val="center"/>
            </w:pPr>
            <w:r w:rsidRPr="003A218C">
              <w:t>0.49959</w:t>
            </w:r>
          </w:p>
        </w:tc>
        <w:tc>
          <w:tcPr>
            <w:tcW w:w="720" w:type="dxa"/>
            <w:shd w:val="clear" w:color="auto" w:fill="FDEB84"/>
            <w:tcMar>
              <w:top w:w="15" w:type="dxa"/>
              <w:left w:w="15" w:type="dxa"/>
              <w:right w:w="15" w:type="dxa"/>
            </w:tcMar>
            <w:vAlign w:val="center"/>
          </w:tcPr>
          <w:p w14:paraId="245B0B9A" w14:textId="49882117" w:rsidR="734D305F" w:rsidRPr="003A218C" w:rsidRDefault="2BE0C8DB" w:rsidP="734D305F">
            <w:pPr>
              <w:jc w:val="center"/>
            </w:pPr>
            <w:r w:rsidRPr="003A218C">
              <w:t>0.35773</w:t>
            </w:r>
          </w:p>
        </w:tc>
        <w:tc>
          <w:tcPr>
            <w:tcW w:w="928" w:type="dxa"/>
            <w:shd w:val="clear" w:color="auto" w:fill="F5E884"/>
            <w:tcMar>
              <w:top w:w="15" w:type="dxa"/>
              <w:left w:w="15" w:type="dxa"/>
              <w:right w:w="15" w:type="dxa"/>
            </w:tcMar>
            <w:vAlign w:val="center"/>
          </w:tcPr>
          <w:p w14:paraId="0A96593A" w14:textId="72027A08" w:rsidR="734D305F" w:rsidRPr="003A218C" w:rsidRDefault="2BE0C8DB" w:rsidP="734D305F">
            <w:pPr>
              <w:jc w:val="center"/>
            </w:pPr>
            <w:r w:rsidRPr="003A218C">
              <w:t>0.39092</w:t>
            </w:r>
          </w:p>
        </w:tc>
        <w:tc>
          <w:tcPr>
            <w:tcW w:w="977" w:type="dxa"/>
            <w:shd w:val="clear" w:color="auto" w:fill="FEE482"/>
            <w:tcMar>
              <w:top w:w="15" w:type="dxa"/>
              <w:left w:w="15" w:type="dxa"/>
              <w:right w:w="15" w:type="dxa"/>
            </w:tcMar>
            <w:vAlign w:val="center"/>
          </w:tcPr>
          <w:p w14:paraId="6215EFB9" w14:textId="37A15CE9" w:rsidR="734D305F" w:rsidRPr="003A218C" w:rsidRDefault="734D305F" w:rsidP="734D305F">
            <w:pPr>
              <w:jc w:val="center"/>
            </w:pPr>
            <w:r w:rsidRPr="003A218C">
              <w:t>0.33015</w:t>
            </w:r>
          </w:p>
        </w:tc>
        <w:tc>
          <w:tcPr>
            <w:tcW w:w="977" w:type="dxa"/>
            <w:shd w:val="clear" w:color="auto" w:fill="AAD380"/>
            <w:tcMar>
              <w:top w:w="15" w:type="dxa"/>
              <w:left w:w="15" w:type="dxa"/>
              <w:right w:w="15" w:type="dxa"/>
            </w:tcMar>
            <w:vAlign w:val="center"/>
          </w:tcPr>
          <w:p w14:paraId="18478F92" w14:textId="633676C7" w:rsidR="734D305F" w:rsidRPr="003A218C" w:rsidRDefault="2BE0C8DB" w:rsidP="734D305F">
            <w:pPr>
              <w:jc w:val="center"/>
            </w:pPr>
            <w:r w:rsidRPr="003A218C">
              <w:t>0.70503</w:t>
            </w:r>
          </w:p>
        </w:tc>
        <w:tc>
          <w:tcPr>
            <w:tcW w:w="1168" w:type="dxa"/>
            <w:shd w:val="clear" w:color="auto" w:fill="E1E383"/>
            <w:tcMar>
              <w:top w:w="15" w:type="dxa"/>
              <w:left w:w="15" w:type="dxa"/>
              <w:right w:w="15" w:type="dxa"/>
            </w:tcMar>
            <w:vAlign w:val="center"/>
          </w:tcPr>
          <w:p w14:paraId="66BF9124" w14:textId="745A5F02" w:rsidR="734D305F" w:rsidRPr="003A218C" w:rsidRDefault="2BE0C8DB" w:rsidP="734D305F">
            <w:pPr>
              <w:jc w:val="center"/>
            </w:pPr>
            <w:r w:rsidRPr="003A218C">
              <w:t>0.47310</w:t>
            </w:r>
          </w:p>
        </w:tc>
        <w:tc>
          <w:tcPr>
            <w:tcW w:w="786" w:type="dxa"/>
            <w:shd w:val="clear" w:color="auto" w:fill="A7D27F"/>
            <w:tcMar>
              <w:top w:w="15" w:type="dxa"/>
              <w:left w:w="15" w:type="dxa"/>
              <w:right w:w="15" w:type="dxa"/>
            </w:tcMar>
            <w:vAlign w:val="center"/>
          </w:tcPr>
          <w:p w14:paraId="1A86A629" w14:textId="125C394F" w:rsidR="734D305F" w:rsidRPr="003A218C" w:rsidRDefault="2BE0C8DB" w:rsidP="734D305F">
            <w:pPr>
              <w:jc w:val="center"/>
            </w:pPr>
            <w:r w:rsidRPr="003A218C">
              <w:t>0.71715</w:t>
            </w:r>
          </w:p>
        </w:tc>
        <w:tc>
          <w:tcPr>
            <w:tcW w:w="1104" w:type="dxa"/>
            <w:shd w:val="clear" w:color="auto" w:fill="FCBD7B"/>
            <w:tcMar>
              <w:top w:w="15" w:type="dxa"/>
              <w:left w:w="15" w:type="dxa"/>
              <w:right w:w="15" w:type="dxa"/>
            </w:tcMar>
            <w:vAlign w:val="center"/>
          </w:tcPr>
          <w:p w14:paraId="76BA4693" w14:textId="72BD5FD0" w:rsidR="734D305F" w:rsidRPr="003A218C" w:rsidRDefault="2BE0C8DB" w:rsidP="734D305F">
            <w:pPr>
              <w:jc w:val="center"/>
            </w:pPr>
            <w:r w:rsidRPr="003A218C">
              <w:t>0.22296</w:t>
            </w:r>
          </w:p>
        </w:tc>
        <w:tc>
          <w:tcPr>
            <w:tcW w:w="1080" w:type="dxa"/>
            <w:shd w:val="clear" w:color="auto" w:fill="BED981"/>
            <w:tcMar>
              <w:top w:w="15" w:type="dxa"/>
              <w:left w:w="15" w:type="dxa"/>
              <w:right w:w="15" w:type="dxa"/>
            </w:tcMar>
            <w:vAlign w:val="center"/>
          </w:tcPr>
          <w:p w14:paraId="2CAF2475" w14:textId="7AAD6770" w:rsidR="734D305F" w:rsidRPr="003A218C" w:rsidRDefault="2BE0C8DB" w:rsidP="734D305F">
            <w:pPr>
              <w:jc w:val="center"/>
            </w:pPr>
            <w:r w:rsidRPr="003A218C">
              <w:t>0.61896</w:t>
            </w:r>
          </w:p>
        </w:tc>
        <w:tc>
          <w:tcPr>
            <w:tcW w:w="746" w:type="dxa"/>
            <w:shd w:val="clear" w:color="auto" w:fill="63BE7B"/>
            <w:tcMar>
              <w:top w:w="15" w:type="dxa"/>
              <w:left w:w="15" w:type="dxa"/>
              <w:right w:w="15" w:type="dxa"/>
            </w:tcMar>
            <w:vAlign w:val="center"/>
          </w:tcPr>
          <w:p w14:paraId="0CD0B955" w14:textId="0D85711F" w:rsidR="734D305F" w:rsidRPr="003A218C" w:rsidRDefault="734D305F" w:rsidP="734D305F">
            <w:pPr>
              <w:jc w:val="center"/>
            </w:pPr>
            <w:r w:rsidRPr="003A218C">
              <w:t>1</w:t>
            </w:r>
          </w:p>
        </w:tc>
        <w:tc>
          <w:tcPr>
            <w:tcW w:w="977" w:type="dxa"/>
            <w:shd w:val="clear" w:color="auto" w:fill="A6A6A6" w:themeFill="background1" w:themeFillShade="A6"/>
            <w:tcMar>
              <w:top w:w="15" w:type="dxa"/>
              <w:left w:w="15" w:type="dxa"/>
              <w:right w:w="15" w:type="dxa"/>
            </w:tcMar>
            <w:vAlign w:val="center"/>
          </w:tcPr>
          <w:p w14:paraId="3611195B" w14:textId="59197369" w:rsidR="734D305F" w:rsidRPr="003A218C" w:rsidRDefault="734D305F" w:rsidP="734D305F">
            <w:pPr>
              <w:jc w:val="center"/>
            </w:pPr>
          </w:p>
        </w:tc>
        <w:tc>
          <w:tcPr>
            <w:tcW w:w="977" w:type="dxa"/>
            <w:shd w:val="clear" w:color="auto" w:fill="A6A6A6" w:themeFill="background1" w:themeFillShade="A6"/>
            <w:tcMar>
              <w:top w:w="15" w:type="dxa"/>
              <w:left w:w="15" w:type="dxa"/>
              <w:right w:w="15" w:type="dxa"/>
            </w:tcMar>
            <w:vAlign w:val="center"/>
          </w:tcPr>
          <w:p w14:paraId="20ACC150" w14:textId="2D68060A" w:rsidR="734D305F" w:rsidRPr="003A218C" w:rsidRDefault="734D305F" w:rsidP="734D305F">
            <w:pPr>
              <w:jc w:val="center"/>
            </w:pPr>
          </w:p>
        </w:tc>
      </w:tr>
      <w:tr w:rsidR="734D305F" w14:paraId="6CA0A3BE" w14:textId="77777777" w:rsidTr="00E3378F">
        <w:trPr>
          <w:trHeight w:val="432"/>
        </w:trPr>
        <w:tc>
          <w:tcPr>
            <w:tcW w:w="1165" w:type="dxa"/>
            <w:tcMar>
              <w:top w:w="15" w:type="dxa"/>
              <w:left w:w="15" w:type="dxa"/>
              <w:right w:w="15" w:type="dxa"/>
            </w:tcMar>
            <w:vAlign w:val="center"/>
          </w:tcPr>
          <w:p w14:paraId="33F09844" w14:textId="049DF1EF" w:rsidR="734D305F" w:rsidRPr="006D5BFD" w:rsidRDefault="2BE0C8DB" w:rsidP="457B8AA1">
            <w:pPr>
              <w:jc w:val="center"/>
              <w:rPr>
                <w:b/>
                <w:bCs/>
                <w:color w:val="000000" w:themeColor="text1"/>
                <w:sz w:val="16"/>
                <w:szCs w:val="16"/>
              </w:rPr>
            </w:pPr>
            <w:r w:rsidRPr="006D5BFD">
              <w:rPr>
                <w:b/>
                <w:bCs/>
                <w:color w:val="000000" w:themeColor="text1"/>
                <w:sz w:val="16"/>
                <w:szCs w:val="16"/>
              </w:rPr>
              <w:t>School</w:t>
            </w:r>
          </w:p>
        </w:tc>
        <w:tc>
          <w:tcPr>
            <w:tcW w:w="788" w:type="dxa"/>
            <w:shd w:val="clear" w:color="auto" w:fill="FBA877"/>
            <w:tcMar>
              <w:top w:w="15" w:type="dxa"/>
              <w:left w:w="15" w:type="dxa"/>
              <w:right w:w="15" w:type="dxa"/>
            </w:tcMar>
            <w:vAlign w:val="center"/>
          </w:tcPr>
          <w:p w14:paraId="1137D8D1" w14:textId="1C17E3ED" w:rsidR="734D305F" w:rsidRPr="003A218C" w:rsidRDefault="2BE0C8DB" w:rsidP="734D305F">
            <w:pPr>
              <w:jc w:val="center"/>
            </w:pPr>
            <w:r w:rsidRPr="003A218C">
              <w:t>0.16577</w:t>
            </w:r>
          </w:p>
        </w:tc>
        <w:tc>
          <w:tcPr>
            <w:tcW w:w="1282" w:type="dxa"/>
            <w:shd w:val="clear" w:color="auto" w:fill="FA8F72"/>
            <w:tcMar>
              <w:top w:w="15" w:type="dxa"/>
              <w:left w:w="15" w:type="dxa"/>
              <w:right w:w="15" w:type="dxa"/>
            </w:tcMar>
            <w:vAlign w:val="center"/>
          </w:tcPr>
          <w:p w14:paraId="58874CC9" w14:textId="5914A6BF" w:rsidR="734D305F" w:rsidRPr="003A218C" w:rsidRDefault="2BE0C8DB" w:rsidP="734D305F">
            <w:pPr>
              <w:jc w:val="center"/>
            </w:pPr>
            <w:r w:rsidRPr="003A218C">
              <w:t>0.10033</w:t>
            </w:r>
          </w:p>
        </w:tc>
        <w:tc>
          <w:tcPr>
            <w:tcW w:w="720" w:type="dxa"/>
            <w:shd w:val="clear" w:color="auto" w:fill="FA9C74"/>
            <w:tcMar>
              <w:top w:w="15" w:type="dxa"/>
              <w:left w:w="15" w:type="dxa"/>
              <w:right w:w="15" w:type="dxa"/>
            </w:tcMar>
            <w:vAlign w:val="center"/>
          </w:tcPr>
          <w:p w14:paraId="758FA982" w14:textId="03E110B0" w:rsidR="734D305F" w:rsidRPr="003A218C" w:rsidRDefault="2BE0C8DB" w:rsidP="734D305F">
            <w:pPr>
              <w:jc w:val="center"/>
            </w:pPr>
            <w:r w:rsidRPr="003A218C">
              <w:t>0.13543</w:t>
            </w:r>
          </w:p>
        </w:tc>
        <w:tc>
          <w:tcPr>
            <w:tcW w:w="928" w:type="dxa"/>
            <w:shd w:val="clear" w:color="auto" w:fill="FBA676"/>
            <w:tcMar>
              <w:top w:w="15" w:type="dxa"/>
              <w:left w:w="15" w:type="dxa"/>
              <w:right w:w="15" w:type="dxa"/>
            </w:tcMar>
            <w:vAlign w:val="center"/>
          </w:tcPr>
          <w:p w14:paraId="6E635A28" w14:textId="69D64D89" w:rsidR="734D305F" w:rsidRPr="003A218C" w:rsidRDefault="2BE0C8DB" w:rsidP="734D305F">
            <w:pPr>
              <w:jc w:val="center"/>
            </w:pPr>
            <w:r w:rsidRPr="003A218C">
              <w:t>0.16105</w:t>
            </w:r>
          </w:p>
        </w:tc>
        <w:tc>
          <w:tcPr>
            <w:tcW w:w="977" w:type="dxa"/>
            <w:shd w:val="clear" w:color="auto" w:fill="F8756D"/>
            <w:tcMar>
              <w:top w:w="15" w:type="dxa"/>
              <w:left w:w="15" w:type="dxa"/>
              <w:right w:w="15" w:type="dxa"/>
            </w:tcMar>
            <w:vAlign w:val="center"/>
          </w:tcPr>
          <w:p w14:paraId="0ECFD370" w14:textId="731A2F2C" w:rsidR="734D305F" w:rsidRPr="003A218C" w:rsidRDefault="2BE0C8DB" w:rsidP="734D305F">
            <w:pPr>
              <w:jc w:val="center"/>
            </w:pPr>
            <w:r w:rsidRPr="003A218C">
              <w:t>0.03030</w:t>
            </w:r>
          </w:p>
        </w:tc>
        <w:tc>
          <w:tcPr>
            <w:tcW w:w="977" w:type="dxa"/>
            <w:shd w:val="clear" w:color="auto" w:fill="FDCC7E"/>
            <w:tcMar>
              <w:top w:w="15" w:type="dxa"/>
              <w:left w:w="15" w:type="dxa"/>
              <w:right w:w="15" w:type="dxa"/>
            </w:tcMar>
            <w:vAlign w:val="center"/>
          </w:tcPr>
          <w:p w14:paraId="0DA66740" w14:textId="3A95D922" w:rsidR="734D305F" w:rsidRPr="003A218C" w:rsidRDefault="2BE0C8DB" w:rsidP="734D305F">
            <w:pPr>
              <w:jc w:val="center"/>
            </w:pPr>
            <w:r w:rsidRPr="003A218C">
              <w:t>0.26541</w:t>
            </w:r>
          </w:p>
        </w:tc>
        <w:tc>
          <w:tcPr>
            <w:tcW w:w="1168" w:type="dxa"/>
            <w:shd w:val="clear" w:color="auto" w:fill="FA9874"/>
            <w:tcMar>
              <w:top w:w="15" w:type="dxa"/>
              <w:left w:w="15" w:type="dxa"/>
              <w:right w:w="15" w:type="dxa"/>
            </w:tcMar>
            <w:vAlign w:val="center"/>
          </w:tcPr>
          <w:p w14:paraId="1F877C91" w14:textId="19F0866F" w:rsidR="734D305F" w:rsidRPr="003A218C" w:rsidRDefault="2BE0C8DB" w:rsidP="734D305F">
            <w:pPr>
              <w:jc w:val="center"/>
            </w:pPr>
            <w:r w:rsidRPr="003A218C">
              <w:t>0.12441</w:t>
            </w:r>
          </w:p>
        </w:tc>
        <w:tc>
          <w:tcPr>
            <w:tcW w:w="786" w:type="dxa"/>
            <w:shd w:val="clear" w:color="auto" w:fill="FDCC7E"/>
            <w:tcMar>
              <w:top w:w="15" w:type="dxa"/>
              <w:left w:w="15" w:type="dxa"/>
              <w:right w:w="15" w:type="dxa"/>
            </w:tcMar>
            <w:vAlign w:val="center"/>
          </w:tcPr>
          <w:p w14:paraId="061273F9" w14:textId="049897ED" w:rsidR="734D305F" w:rsidRPr="003A218C" w:rsidRDefault="2BE0C8DB" w:rsidP="734D305F">
            <w:pPr>
              <w:jc w:val="center"/>
            </w:pPr>
            <w:r w:rsidRPr="003A218C">
              <w:t>0.26433</w:t>
            </w:r>
          </w:p>
        </w:tc>
        <w:tc>
          <w:tcPr>
            <w:tcW w:w="1104" w:type="dxa"/>
            <w:shd w:val="clear" w:color="auto" w:fill="F8696B"/>
            <w:tcMar>
              <w:top w:w="15" w:type="dxa"/>
              <w:left w:w="15" w:type="dxa"/>
              <w:right w:w="15" w:type="dxa"/>
            </w:tcMar>
            <w:vAlign w:val="center"/>
          </w:tcPr>
          <w:p w14:paraId="077D18BC" w14:textId="0F86AB23" w:rsidR="734D305F" w:rsidRPr="003A218C" w:rsidRDefault="734D305F" w:rsidP="734D305F">
            <w:pPr>
              <w:jc w:val="center"/>
            </w:pPr>
            <w:r w:rsidRPr="003A218C">
              <w:t>-0.00456</w:t>
            </w:r>
          </w:p>
        </w:tc>
        <w:tc>
          <w:tcPr>
            <w:tcW w:w="1080" w:type="dxa"/>
            <w:shd w:val="clear" w:color="auto" w:fill="FDC67C"/>
            <w:tcMar>
              <w:top w:w="15" w:type="dxa"/>
              <w:left w:w="15" w:type="dxa"/>
              <w:right w:w="15" w:type="dxa"/>
            </w:tcMar>
            <w:vAlign w:val="center"/>
          </w:tcPr>
          <w:p w14:paraId="060E002C" w14:textId="6980C723" w:rsidR="734D305F" w:rsidRPr="003A218C" w:rsidRDefault="2BE0C8DB" w:rsidP="734D305F">
            <w:pPr>
              <w:jc w:val="center"/>
            </w:pPr>
            <w:r w:rsidRPr="003A218C">
              <w:t>0.24797</w:t>
            </w:r>
          </w:p>
        </w:tc>
        <w:tc>
          <w:tcPr>
            <w:tcW w:w="746" w:type="dxa"/>
            <w:shd w:val="clear" w:color="auto" w:fill="FCC17B"/>
            <w:tcMar>
              <w:top w:w="15" w:type="dxa"/>
              <w:left w:w="15" w:type="dxa"/>
              <w:right w:w="15" w:type="dxa"/>
            </w:tcMar>
            <w:vAlign w:val="center"/>
          </w:tcPr>
          <w:p w14:paraId="3C85FAC8" w14:textId="7B63A653" w:rsidR="734D305F" w:rsidRPr="003A218C" w:rsidRDefault="2BE0C8DB" w:rsidP="734D305F">
            <w:pPr>
              <w:jc w:val="center"/>
            </w:pPr>
            <w:r w:rsidRPr="003A218C">
              <w:t>0.23337</w:t>
            </w:r>
          </w:p>
        </w:tc>
        <w:tc>
          <w:tcPr>
            <w:tcW w:w="977" w:type="dxa"/>
            <w:shd w:val="clear" w:color="auto" w:fill="63BE7B"/>
            <w:tcMar>
              <w:top w:w="15" w:type="dxa"/>
              <w:left w:w="15" w:type="dxa"/>
              <w:right w:w="15" w:type="dxa"/>
            </w:tcMar>
            <w:vAlign w:val="center"/>
          </w:tcPr>
          <w:p w14:paraId="2933F20E" w14:textId="059AABBE" w:rsidR="734D305F" w:rsidRPr="003A218C" w:rsidRDefault="734D305F" w:rsidP="734D305F">
            <w:pPr>
              <w:jc w:val="center"/>
            </w:pPr>
            <w:r w:rsidRPr="003A218C">
              <w:t>1</w:t>
            </w:r>
          </w:p>
        </w:tc>
        <w:tc>
          <w:tcPr>
            <w:tcW w:w="977" w:type="dxa"/>
            <w:shd w:val="clear" w:color="auto" w:fill="A6A6A6" w:themeFill="background1" w:themeFillShade="A6"/>
            <w:tcMar>
              <w:top w:w="15" w:type="dxa"/>
              <w:left w:w="15" w:type="dxa"/>
              <w:right w:w="15" w:type="dxa"/>
            </w:tcMar>
            <w:vAlign w:val="center"/>
          </w:tcPr>
          <w:p w14:paraId="04CE6760" w14:textId="02950017" w:rsidR="734D305F" w:rsidRPr="003A218C" w:rsidRDefault="734D305F" w:rsidP="734D305F">
            <w:pPr>
              <w:jc w:val="center"/>
            </w:pPr>
          </w:p>
        </w:tc>
      </w:tr>
      <w:tr w:rsidR="734D305F" w14:paraId="338EEF1B" w14:textId="77777777" w:rsidTr="00E3378F">
        <w:trPr>
          <w:trHeight w:val="432"/>
        </w:trPr>
        <w:tc>
          <w:tcPr>
            <w:tcW w:w="1165" w:type="dxa"/>
            <w:tcMar>
              <w:top w:w="15" w:type="dxa"/>
              <w:left w:w="15" w:type="dxa"/>
              <w:right w:w="15" w:type="dxa"/>
            </w:tcMar>
            <w:vAlign w:val="center"/>
          </w:tcPr>
          <w:p w14:paraId="5C50BDA6" w14:textId="3A57017E" w:rsidR="734D305F" w:rsidRPr="006D5BFD" w:rsidRDefault="2BE0C8DB" w:rsidP="457B8AA1">
            <w:pPr>
              <w:jc w:val="center"/>
              <w:rPr>
                <w:b/>
                <w:bCs/>
                <w:color w:val="000000" w:themeColor="text1"/>
                <w:sz w:val="16"/>
                <w:szCs w:val="16"/>
              </w:rPr>
            </w:pPr>
            <w:r w:rsidRPr="006D5BFD">
              <w:rPr>
                <w:b/>
                <w:bCs/>
                <w:color w:val="000000" w:themeColor="text1"/>
                <w:sz w:val="16"/>
                <w:szCs w:val="16"/>
              </w:rPr>
              <w:t>Warehouse</w:t>
            </w:r>
          </w:p>
        </w:tc>
        <w:tc>
          <w:tcPr>
            <w:tcW w:w="788" w:type="dxa"/>
            <w:shd w:val="clear" w:color="auto" w:fill="FEE482"/>
            <w:tcMar>
              <w:top w:w="15" w:type="dxa"/>
              <w:left w:w="15" w:type="dxa"/>
              <w:right w:w="15" w:type="dxa"/>
            </w:tcMar>
            <w:vAlign w:val="center"/>
          </w:tcPr>
          <w:p w14:paraId="49CDF0EE" w14:textId="73243C0A" w:rsidR="734D305F" w:rsidRPr="003A218C" w:rsidRDefault="2BE0C8DB" w:rsidP="734D305F">
            <w:pPr>
              <w:jc w:val="center"/>
            </w:pPr>
            <w:r w:rsidRPr="003A218C">
              <w:t>0.32935</w:t>
            </w:r>
          </w:p>
        </w:tc>
        <w:tc>
          <w:tcPr>
            <w:tcW w:w="1282" w:type="dxa"/>
            <w:shd w:val="clear" w:color="auto" w:fill="9DCF7F"/>
            <w:tcMar>
              <w:top w:w="15" w:type="dxa"/>
              <w:left w:w="15" w:type="dxa"/>
              <w:right w:w="15" w:type="dxa"/>
            </w:tcMar>
            <w:vAlign w:val="center"/>
          </w:tcPr>
          <w:p w14:paraId="60E59164" w14:textId="663C92AE" w:rsidR="734D305F" w:rsidRPr="003A218C" w:rsidRDefault="2BE0C8DB" w:rsidP="734D305F">
            <w:pPr>
              <w:jc w:val="center"/>
            </w:pPr>
            <w:r w:rsidRPr="003A218C">
              <w:t>0.76105</w:t>
            </w:r>
          </w:p>
        </w:tc>
        <w:tc>
          <w:tcPr>
            <w:tcW w:w="720" w:type="dxa"/>
            <w:shd w:val="clear" w:color="auto" w:fill="FDC77D"/>
            <w:tcMar>
              <w:top w:w="15" w:type="dxa"/>
              <w:left w:w="15" w:type="dxa"/>
              <w:right w:w="15" w:type="dxa"/>
            </w:tcMar>
            <w:vAlign w:val="center"/>
          </w:tcPr>
          <w:p w14:paraId="4AC5BAF3" w14:textId="0BEC359D" w:rsidR="734D305F" w:rsidRPr="003A218C" w:rsidRDefault="2BE0C8DB" w:rsidP="734D305F">
            <w:pPr>
              <w:jc w:val="center"/>
            </w:pPr>
            <w:r w:rsidRPr="003A218C">
              <w:t>0.25054</w:t>
            </w:r>
          </w:p>
        </w:tc>
        <w:tc>
          <w:tcPr>
            <w:tcW w:w="928" w:type="dxa"/>
            <w:shd w:val="clear" w:color="auto" w:fill="FDC77D"/>
            <w:tcMar>
              <w:top w:w="15" w:type="dxa"/>
              <w:left w:w="15" w:type="dxa"/>
              <w:right w:w="15" w:type="dxa"/>
            </w:tcMar>
            <w:vAlign w:val="center"/>
          </w:tcPr>
          <w:p w14:paraId="55D5F5ED" w14:textId="6CC1F0FD" w:rsidR="734D305F" w:rsidRPr="003A218C" w:rsidRDefault="2BE0C8DB" w:rsidP="734D305F">
            <w:pPr>
              <w:jc w:val="center"/>
            </w:pPr>
            <w:r w:rsidRPr="003A218C">
              <w:t>0.24997</w:t>
            </w:r>
          </w:p>
        </w:tc>
        <w:tc>
          <w:tcPr>
            <w:tcW w:w="977" w:type="dxa"/>
            <w:shd w:val="clear" w:color="auto" w:fill="FDC67D"/>
            <w:tcMar>
              <w:top w:w="15" w:type="dxa"/>
              <w:left w:w="15" w:type="dxa"/>
              <w:right w:w="15" w:type="dxa"/>
            </w:tcMar>
            <w:vAlign w:val="center"/>
          </w:tcPr>
          <w:p w14:paraId="6EE43CE3" w14:textId="6064907D" w:rsidR="734D305F" w:rsidRPr="003A218C" w:rsidRDefault="2BE0C8DB" w:rsidP="734D305F">
            <w:pPr>
              <w:jc w:val="center"/>
            </w:pPr>
            <w:r w:rsidRPr="003A218C">
              <w:t>0.24823</w:t>
            </w:r>
          </w:p>
        </w:tc>
        <w:tc>
          <w:tcPr>
            <w:tcW w:w="977" w:type="dxa"/>
            <w:shd w:val="clear" w:color="auto" w:fill="CEDD82"/>
            <w:tcMar>
              <w:top w:w="15" w:type="dxa"/>
              <w:left w:w="15" w:type="dxa"/>
              <w:right w:w="15" w:type="dxa"/>
            </w:tcMar>
            <w:vAlign w:val="center"/>
          </w:tcPr>
          <w:p w14:paraId="369CD52B" w14:textId="54B64A00" w:rsidR="734D305F" w:rsidRPr="003A218C" w:rsidRDefault="2BE0C8DB" w:rsidP="734D305F">
            <w:pPr>
              <w:jc w:val="center"/>
            </w:pPr>
            <w:r w:rsidRPr="003A218C">
              <w:t>0.55307</w:t>
            </w:r>
          </w:p>
        </w:tc>
        <w:tc>
          <w:tcPr>
            <w:tcW w:w="1168" w:type="dxa"/>
            <w:shd w:val="clear" w:color="auto" w:fill="C4DA81"/>
            <w:tcMar>
              <w:top w:w="15" w:type="dxa"/>
              <w:left w:w="15" w:type="dxa"/>
              <w:right w:w="15" w:type="dxa"/>
            </w:tcMar>
            <w:vAlign w:val="center"/>
          </w:tcPr>
          <w:p w14:paraId="73B6CFAC" w14:textId="0F3B51F5" w:rsidR="734D305F" w:rsidRPr="003A218C" w:rsidRDefault="2BE0C8DB" w:rsidP="734D305F">
            <w:pPr>
              <w:jc w:val="center"/>
            </w:pPr>
            <w:r w:rsidRPr="003A218C">
              <w:t>0.59466</w:t>
            </w:r>
          </w:p>
        </w:tc>
        <w:tc>
          <w:tcPr>
            <w:tcW w:w="786" w:type="dxa"/>
            <w:shd w:val="clear" w:color="auto" w:fill="CBDC81"/>
            <w:tcMar>
              <w:top w:w="15" w:type="dxa"/>
              <w:left w:w="15" w:type="dxa"/>
              <w:right w:w="15" w:type="dxa"/>
            </w:tcMar>
            <w:vAlign w:val="center"/>
          </w:tcPr>
          <w:p w14:paraId="590C4070" w14:textId="43269D6A" w:rsidR="734D305F" w:rsidRPr="003A218C" w:rsidRDefault="2BE0C8DB" w:rsidP="734D305F">
            <w:pPr>
              <w:jc w:val="center"/>
            </w:pPr>
            <w:r w:rsidRPr="003A218C">
              <w:t>0.56514</w:t>
            </w:r>
          </w:p>
        </w:tc>
        <w:tc>
          <w:tcPr>
            <w:tcW w:w="1104" w:type="dxa"/>
            <w:shd w:val="clear" w:color="auto" w:fill="F9EA84"/>
            <w:tcMar>
              <w:top w:w="15" w:type="dxa"/>
              <w:left w:w="15" w:type="dxa"/>
              <w:right w:w="15" w:type="dxa"/>
            </w:tcMar>
            <w:vAlign w:val="center"/>
          </w:tcPr>
          <w:p w14:paraId="73931ABD" w14:textId="1A23FC97" w:rsidR="734D305F" w:rsidRPr="003A218C" w:rsidRDefault="734D305F" w:rsidP="734D305F">
            <w:pPr>
              <w:jc w:val="center"/>
            </w:pPr>
            <w:r w:rsidRPr="003A218C">
              <w:t>0.37383</w:t>
            </w:r>
          </w:p>
        </w:tc>
        <w:tc>
          <w:tcPr>
            <w:tcW w:w="1080" w:type="dxa"/>
            <w:shd w:val="clear" w:color="auto" w:fill="F4E884"/>
            <w:tcMar>
              <w:top w:w="15" w:type="dxa"/>
              <w:left w:w="15" w:type="dxa"/>
              <w:right w:w="15" w:type="dxa"/>
            </w:tcMar>
            <w:vAlign w:val="center"/>
          </w:tcPr>
          <w:p w14:paraId="44C51212" w14:textId="6E6603B5" w:rsidR="734D305F" w:rsidRPr="003A218C" w:rsidRDefault="2BE0C8DB" w:rsidP="734D305F">
            <w:pPr>
              <w:jc w:val="center"/>
            </w:pPr>
            <w:r w:rsidRPr="003A218C">
              <w:t>0.39336</w:t>
            </w:r>
          </w:p>
        </w:tc>
        <w:tc>
          <w:tcPr>
            <w:tcW w:w="746" w:type="dxa"/>
            <w:shd w:val="clear" w:color="auto" w:fill="C0D981"/>
            <w:tcMar>
              <w:top w:w="15" w:type="dxa"/>
              <w:left w:w="15" w:type="dxa"/>
              <w:right w:w="15" w:type="dxa"/>
            </w:tcMar>
            <w:vAlign w:val="center"/>
          </w:tcPr>
          <w:p w14:paraId="0DEE5862" w14:textId="3679C624" w:rsidR="734D305F" w:rsidRPr="003A218C" w:rsidRDefault="2BE0C8DB" w:rsidP="734D305F">
            <w:pPr>
              <w:jc w:val="center"/>
            </w:pPr>
            <w:r w:rsidRPr="003A218C">
              <w:t>0.61160</w:t>
            </w:r>
          </w:p>
        </w:tc>
        <w:tc>
          <w:tcPr>
            <w:tcW w:w="977" w:type="dxa"/>
            <w:shd w:val="clear" w:color="auto" w:fill="FBA476"/>
            <w:tcMar>
              <w:top w:w="15" w:type="dxa"/>
              <w:left w:w="15" w:type="dxa"/>
              <w:right w:w="15" w:type="dxa"/>
            </w:tcMar>
            <w:vAlign w:val="center"/>
          </w:tcPr>
          <w:p w14:paraId="66FDABC5" w14:textId="1F26B195" w:rsidR="734D305F" w:rsidRPr="003A218C" w:rsidRDefault="2BE0C8DB" w:rsidP="734D305F">
            <w:pPr>
              <w:jc w:val="center"/>
            </w:pPr>
            <w:r w:rsidRPr="003A218C">
              <w:t>0.15714</w:t>
            </w:r>
          </w:p>
        </w:tc>
        <w:tc>
          <w:tcPr>
            <w:tcW w:w="977" w:type="dxa"/>
            <w:shd w:val="clear" w:color="auto" w:fill="63BE7B"/>
            <w:tcMar>
              <w:top w:w="15" w:type="dxa"/>
              <w:left w:w="15" w:type="dxa"/>
              <w:right w:w="15" w:type="dxa"/>
            </w:tcMar>
            <w:vAlign w:val="center"/>
          </w:tcPr>
          <w:p w14:paraId="7FE5E962" w14:textId="2A4FBC6F" w:rsidR="734D305F" w:rsidRPr="003A218C" w:rsidRDefault="734D305F" w:rsidP="734D305F">
            <w:pPr>
              <w:jc w:val="center"/>
            </w:pPr>
            <w:r w:rsidRPr="003A218C">
              <w:t>1</w:t>
            </w:r>
          </w:p>
        </w:tc>
      </w:tr>
    </w:tbl>
    <w:p w14:paraId="50457A9C" w14:textId="77777777" w:rsidR="00B020AB" w:rsidRDefault="00B020AB" w:rsidP="007B2E42">
      <w:pPr>
        <w:pStyle w:val="BodyText"/>
        <w:spacing w:before="240"/>
        <w:sectPr w:rsidR="00B020AB" w:rsidSect="00B020AB">
          <w:headerReference w:type="even" r:id="rId30"/>
          <w:headerReference w:type="default" r:id="rId31"/>
          <w:footerReference w:type="default" r:id="rId32"/>
          <w:headerReference w:type="first" r:id="rId33"/>
          <w:pgSz w:w="16839" w:h="11907" w:orient="landscape"/>
          <w:pgMar w:top="1191" w:right="1757" w:bottom="1134" w:left="1361" w:header="774" w:footer="567" w:gutter="0"/>
          <w:cols w:space="708"/>
          <w:docGrid w:linePitch="360"/>
        </w:sectPr>
      </w:pPr>
    </w:p>
    <w:p w14:paraId="7DAB7591" w14:textId="1A33D644" w:rsidR="007B2E42" w:rsidRDefault="00B020AB" w:rsidP="007B2E42">
      <w:pPr>
        <w:pStyle w:val="BodyText"/>
        <w:spacing w:before="240"/>
      </w:pPr>
      <w:r>
        <w:lastRenderedPageBreak/>
        <w:fldChar w:fldCharType="begin"/>
      </w:r>
      <w:r>
        <w:instrText xml:space="preserve"> REF _Ref214277406 \h </w:instrText>
      </w:r>
      <w:r>
        <w:fldChar w:fldCharType="separate"/>
      </w:r>
      <w:r>
        <w:t xml:space="preserve">Figure </w:t>
      </w:r>
      <w:r>
        <w:rPr>
          <w:noProof/>
        </w:rPr>
        <w:t>4</w:t>
      </w:r>
      <w:r>
        <w:noBreakHyphen/>
      </w:r>
      <w:r>
        <w:rPr>
          <w:noProof/>
        </w:rPr>
        <w:t>8</w:t>
      </w:r>
      <w:r>
        <w:fldChar w:fldCharType="end"/>
      </w:r>
      <w:r>
        <w:t xml:space="preserve"> </w:t>
      </w:r>
      <w:r w:rsidR="007B2E42">
        <w:t xml:space="preserve">through </w:t>
      </w:r>
      <w:r>
        <w:fldChar w:fldCharType="begin"/>
      </w:r>
      <w:r>
        <w:instrText xml:space="preserve"> REF _Ref214277416 \h </w:instrText>
      </w:r>
      <w:r>
        <w:fldChar w:fldCharType="separate"/>
      </w:r>
      <w:r w:rsidR="004C6F5B">
        <w:t xml:space="preserve">Figure </w:t>
      </w:r>
      <w:r w:rsidR="004C6F5B">
        <w:rPr>
          <w:noProof/>
        </w:rPr>
        <w:t>4</w:t>
      </w:r>
      <w:r w:rsidR="004C6F5B">
        <w:noBreakHyphen/>
      </w:r>
      <w:r w:rsidR="004C6F5B">
        <w:rPr>
          <w:noProof/>
        </w:rPr>
        <w:t>20</w:t>
      </w:r>
      <w:r>
        <w:fldChar w:fldCharType="end"/>
      </w:r>
      <w:r>
        <w:t xml:space="preserve"> </w:t>
      </w:r>
      <w:r w:rsidR="007B2E42">
        <w:t>show a series of m</w:t>
      </w:r>
      <w:r w:rsidR="007B2E42" w:rsidRPr="00C006AF">
        <w:t>ap panel</w:t>
      </w:r>
      <w:r w:rsidR="007B2E42">
        <w:t>s</w:t>
      </w:r>
      <w:r w:rsidR="007B2E42" w:rsidRPr="00C006AF">
        <w:t xml:space="preserve"> and </w:t>
      </w:r>
      <w:r w:rsidR="007B2E42">
        <w:t xml:space="preserve">corresponding </w:t>
      </w:r>
      <w:r w:rsidR="007B2E42" w:rsidRPr="00C006AF">
        <w:t>count frequency histogram</w:t>
      </w:r>
      <w:r w:rsidR="007B2E42">
        <w:t>s</w:t>
      </w:r>
      <w:r w:rsidR="007B2E42" w:rsidRPr="00C006AF">
        <w:t xml:space="preserve"> illustrating the distribution of</w:t>
      </w:r>
      <w:r w:rsidR="009C7EC1">
        <w:t xml:space="preserve"> each sub-ind</w:t>
      </w:r>
      <w:r w:rsidR="00753166">
        <w:t>ices that constitute the</w:t>
      </w:r>
      <w:r w:rsidR="009C7EC1">
        <w:t xml:space="preserve"> </w:t>
      </w:r>
      <w:r w:rsidR="00753166">
        <w:t>n</w:t>
      </w:r>
      <w:r w:rsidR="009C7EC1">
        <w:t>on-</w:t>
      </w:r>
      <w:r w:rsidR="00753166">
        <w:t>r</w:t>
      </w:r>
      <w:r w:rsidR="007B2E42" w:rsidRPr="00C006AF">
        <w:t xml:space="preserve">esidential </w:t>
      </w:r>
      <w:r w:rsidR="00753166">
        <w:t>d</w:t>
      </w:r>
      <w:r w:rsidR="007B2E42" w:rsidRPr="00C006AF">
        <w:t xml:space="preserve">ecommissioning </w:t>
      </w:r>
      <w:r w:rsidR="00753166">
        <w:t>r</w:t>
      </w:r>
      <w:r w:rsidR="007B2E42" w:rsidRPr="00C006AF">
        <w:t>eadiness Index.</w:t>
      </w:r>
      <w:r w:rsidR="009C7EC1">
        <w:t xml:space="preserve"> These provide a useful point of comparison relative to </w:t>
      </w:r>
      <w:r w:rsidR="00753166">
        <w:t>the previous</w:t>
      </w:r>
      <w:r w:rsidR="009C7EC1">
        <w:t xml:space="preserve"> set of maps and histograms provided for the </w:t>
      </w:r>
      <w:r w:rsidR="00753166">
        <w:t>r</w:t>
      </w:r>
      <w:r w:rsidR="009C7EC1">
        <w:t xml:space="preserve">esidential </w:t>
      </w:r>
      <w:r w:rsidR="00753166">
        <w:t>d</w:t>
      </w:r>
      <w:r w:rsidR="009C7EC1">
        <w:t xml:space="preserve">ecommissioning </w:t>
      </w:r>
      <w:r w:rsidR="00753166">
        <w:t>r</w:t>
      </w:r>
      <w:r w:rsidR="009C7EC1">
        <w:t xml:space="preserve">eadiness sub-indices. </w:t>
      </w:r>
      <w:r w:rsidR="007C5BEC">
        <w:t>Specifically of note</w:t>
      </w:r>
      <w:r w:rsidR="00753166">
        <w:t>,</w:t>
      </w:r>
      <w:r w:rsidR="007C5BEC">
        <w:t xml:space="preserve"> is the fact that the skewed distributions for these sub-indices reflect both the </w:t>
      </w:r>
      <w:r w:rsidR="00753166">
        <w:t>comparative</w:t>
      </w:r>
      <w:r w:rsidR="007C5BEC">
        <w:t xml:space="preserve"> geographic sparsity of </w:t>
      </w:r>
      <w:r w:rsidR="00753166">
        <w:t xml:space="preserve">these </w:t>
      </w:r>
      <w:r w:rsidR="00DE619A">
        <w:t>various</w:t>
      </w:r>
      <w:r w:rsidR="00753166">
        <w:t xml:space="preserve"> types of non-residential facilities as</w:t>
      </w:r>
      <w:r w:rsidR="007C5BEC">
        <w:t xml:space="preserve"> well as the</w:t>
      </w:r>
      <w:r w:rsidR="00753166">
        <w:t xml:space="preserve"> comparatively</w:t>
      </w:r>
      <w:r w:rsidR="007C5BEC">
        <w:t xml:space="preserve"> wide range</w:t>
      </w:r>
      <w:r w:rsidR="00753166">
        <w:t xml:space="preserve"> (min-max) </w:t>
      </w:r>
      <w:r w:rsidR="006E62A2">
        <w:t xml:space="preserve">of annual </w:t>
      </w:r>
      <w:r w:rsidR="007C5BEC">
        <w:t xml:space="preserve">gas consumption </w:t>
      </w:r>
      <w:r w:rsidR="00753166">
        <w:t xml:space="preserve">levels </w:t>
      </w:r>
      <w:r w:rsidR="007C5BEC">
        <w:t>among individual facilities both within and between the different non-residential sub-sectors.</w:t>
      </w:r>
      <w:r w:rsidR="00EC17F2">
        <w:t xml:space="preserve"> </w:t>
      </w:r>
    </w:p>
    <w:p w14:paraId="3B4ECFBD" w14:textId="25B7DBED" w:rsidR="734D305F" w:rsidRDefault="009C7EC1" w:rsidP="00127D35">
      <w:pPr>
        <w:pStyle w:val="FigureTitle"/>
      </w:pPr>
      <w:bookmarkStart w:id="33" w:name="_Ref214277406"/>
      <w:bookmarkStart w:id="34" w:name="_Toc216704063"/>
      <w:r>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8</w:t>
      </w:r>
      <w:r w:rsidR="001B758E">
        <w:fldChar w:fldCharType="end"/>
      </w:r>
      <w:bookmarkEnd w:id="33"/>
      <w:r>
        <w:t>.</w:t>
      </w:r>
      <w:r w:rsidR="003B2E22">
        <w:t xml:space="preserve"> Schools</w:t>
      </w:r>
      <w:r w:rsidR="00B418CF">
        <w:t xml:space="preserve"> Non-Residential Decommissioning Readiness Sub-Index Component Values</w:t>
      </w:r>
      <w:bookmarkEnd w:id="34"/>
    </w:p>
    <w:p w14:paraId="144F21A0" w14:textId="184A78E9" w:rsidR="23E5900E" w:rsidRDefault="23E5900E" w:rsidP="734D305F">
      <w:pPr>
        <w:pStyle w:val="BodyText"/>
      </w:pPr>
      <w:r>
        <w:rPr>
          <w:noProof/>
        </w:rPr>
        <w:drawing>
          <wp:inline distT="0" distB="0" distL="0" distR="0" wp14:anchorId="62B5A883" wp14:editId="59DF00E3">
            <wp:extent cx="6086475" cy="3505200"/>
            <wp:effectExtent l="0" t="0" r="0" b="0"/>
            <wp:docPr id="1157552220" name="drawing" descr="Screenshot of the Tool showing the Schools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52220" name="drawing" descr="Screenshot of the Tool showing the Schools Non-Residential Decommissioning Readiness Sub-Index Component valu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7E547076" w14:textId="393F3087" w:rsidR="457B8AA1" w:rsidRDefault="009C7EC1" w:rsidP="00127D35">
      <w:pPr>
        <w:pStyle w:val="FigureTitle"/>
      </w:pPr>
      <w:bookmarkStart w:id="35" w:name="_Toc216704064"/>
      <w:r>
        <w:lastRenderedPageBreak/>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9</w:t>
      </w:r>
      <w:r w:rsidR="001B758E">
        <w:fldChar w:fldCharType="end"/>
      </w:r>
      <w:r w:rsidR="114A8853">
        <w:t>. Retail</w:t>
      </w:r>
      <w:r w:rsidR="00B418CF">
        <w:t xml:space="preserve"> Non-Residential Decommissioning Readiness Sub-Index Component Values</w:t>
      </w:r>
      <w:bookmarkEnd w:id="35"/>
    </w:p>
    <w:p w14:paraId="2611DABA" w14:textId="62EB8522" w:rsidR="2CDDBE51" w:rsidRDefault="2CDDBE51" w:rsidP="5D962A91">
      <w:pPr>
        <w:pStyle w:val="BodyText"/>
      </w:pPr>
      <w:r>
        <w:rPr>
          <w:noProof/>
        </w:rPr>
        <w:drawing>
          <wp:inline distT="0" distB="0" distL="0" distR="0" wp14:anchorId="56008CEC" wp14:editId="1CBC095A">
            <wp:extent cx="6086475" cy="3505200"/>
            <wp:effectExtent l="0" t="0" r="0" b="0"/>
            <wp:docPr id="1461781566" name="drawing" descr="Screenshot of the Tool showing the Retail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81566" name="drawing" descr="Screenshot of the Tool showing the Retail Non-Residential Decommissioning Readiness Sub-Index Component valu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05E2F2BB" w14:textId="64C07F8D" w:rsidR="003B2E22" w:rsidRPr="003B2E22" w:rsidRDefault="003B2E22" w:rsidP="003B2E22">
      <w:pPr>
        <w:pStyle w:val="FigureTitle"/>
      </w:pPr>
      <w:bookmarkStart w:id="36" w:name="_Toc216704065"/>
      <w:r>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10</w:t>
      </w:r>
      <w:r w:rsidR="001B758E">
        <w:fldChar w:fldCharType="end"/>
      </w:r>
      <w:r>
        <w:t xml:space="preserve">. </w:t>
      </w:r>
      <w:r w:rsidR="7D95B587">
        <w:t>Restaurant</w:t>
      </w:r>
      <w:r w:rsidR="00B418CF">
        <w:t xml:space="preserve"> Non-Residential Decommissioning Readiness Sub-Index Component Values</w:t>
      </w:r>
      <w:bookmarkEnd w:id="36"/>
    </w:p>
    <w:p w14:paraId="1B6C38A0" w14:textId="6C26136C" w:rsidR="57CB674C" w:rsidRDefault="57CB674C" w:rsidP="5D962A91">
      <w:pPr>
        <w:pStyle w:val="BodyText"/>
      </w:pPr>
      <w:r>
        <w:rPr>
          <w:noProof/>
        </w:rPr>
        <w:drawing>
          <wp:inline distT="0" distB="0" distL="0" distR="0" wp14:anchorId="263BE3E8" wp14:editId="39910A57">
            <wp:extent cx="6086475" cy="3505200"/>
            <wp:effectExtent l="0" t="0" r="0" b="0"/>
            <wp:docPr id="234470459" name="drawing" descr="Screenshot of the Tool showing the Restaurant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70459" name="drawing" descr="Screenshot of the Tool showing the Restaurant Non-Residential Decommissioning Readiness Sub-Index Component valu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37E62EB0" w14:textId="79FCF5B5" w:rsidR="003B2E22" w:rsidRPr="003B2E22" w:rsidRDefault="003B2E22" w:rsidP="003B2E22">
      <w:pPr>
        <w:pStyle w:val="FigureTitle"/>
      </w:pPr>
      <w:bookmarkStart w:id="37" w:name="_Toc216704066"/>
      <w:r>
        <w:lastRenderedPageBreak/>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11</w:t>
      </w:r>
      <w:r w:rsidR="001B758E">
        <w:fldChar w:fldCharType="end"/>
      </w:r>
      <w:r>
        <w:t xml:space="preserve">. </w:t>
      </w:r>
      <w:r w:rsidR="00B418CF">
        <w:t>Refrigerated Warehous</w:t>
      </w:r>
      <w:r w:rsidR="001A34C4">
        <w:t>e Non-Residential Decommissioning Readiness Sub-Index Component Values</w:t>
      </w:r>
      <w:bookmarkEnd w:id="37"/>
    </w:p>
    <w:p w14:paraId="5E417ED0" w14:textId="7226B04F" w:rsidR="6F8EECAB" w:rsidRDefault="6F8EECAB" w:rsidP="5D962A91">
      <w:pPr>
        <w:pStyle w:val="BodyText"/>
      </w:pPr>
      <w:r>
        <w:rPr>
          <w:noProof/>
        </w:rPr>
        <w:drawing>
          <wp:inline distT="0" distB="0" distL="0" distR="0" wp14:anchorId="7DF4DF23" wp14:editId="6DB73547">
            <wp:extent cx="6086475" cy="3514725"/>
            <wp:effectExtent l="0" t="0" r="0" b="0"/>
            <wp:docPr id="938700169" name="drawing" descr="Screenshot of the Tool showing the Refrigerated Warehouse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00169" name="drawing" descr="Screenshot of the Tool showing the Refrigerated Warehouse Non-Residential Decommissioning Readiness Sub-Index Component valu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86475" cy="3514725"/>
                    </a:xfrm>
                    <a:prstGeom prst="rect">
                      <a:avLst/>
                    </a:prstGeom>
                  </pic:spPr>
                </pic:pic>
              </a:graphicData>
            </a:graphic>
          </wp:inline>
        </w:drawing>
      </w:r>
    </w:p>
    <w:p w14:paraId="538A88DE" w14:textId="690FBC0E" w:rsidR="003B2E22" w:rsidRPr="003B2E22" w:rsidRDefault="003B2E22" w:rsidP="003B2E22">
      <w:pPr>
        <w:pStyle w:val="FigureTitle"/>
      </w:pPr>
      <w:bookmarkStart w:id="38" w:name="_Toc216704067"/>
      <w:r>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12</w:t>
      </w:r>
      <w:r w:rsidR="001B758E">
        <w:fldChar w:fldCharType="end"/>
      </w:r>
      <w:r>
        <w:t xml:space="preserve">. </w:t>
      </w:r>
      <w:r w:rsidR="001A34C4">
        <w:t>Office Non-Residential Decommissioning Readiness Sub-Index Component Values</w:t>
      </w:r>
      <w:bookmarkEnd w:id="38"/>
    </w:p>
    <w:p w14:paraId="7EB4203C" w14:textId="05E5C38D" w:rsidR="38417413" w:rsidRDefault="38417413" w:rsidP="5D962A91">
      <w:pPr>
        <w:pStyle w:val="BodyText"/>
      </w:pPr>
      <w:r>
        <w:rPr>
          <w:noProof/>
        </w:rPr>
        <w:drawing>
          <wp:inline distT="0" distB="0" distL="0" distR="0" wp14:anchorId="4431C6AC" wp14:editId="14D530A8">
            <wp:extent cx="6076950" cy="3495675"/>
            <wp:effectExtent l="0" t="0" r="0" b="0"/>
            <wp:docPr id="871181308" name="drawing" descr="Screenshot of the Tool showing the Office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81308" name="drawing" descr="Screenshot of the Tool showing the Office Non-Residential Decommissioning Readiness Sub-Index Component valu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76950" cy="3495675"/>
                    </a:xfrm>
                    <a:prstGeom prst="rect">
                      <a:avLst/>
                    </a:prstGeom>
                  </pic:spPr>
                </pic:pic>
              </a:graphicData>
            </a:graphic>
          </wp:inline>
        </w:drawing>
      </w:r>
    </w:p>
    <w:p w14:paraId="1BBCAFC5" w14:textId="69CB9CA4" w:rsidR="003B2E22" w:rsidRPr="003B2E22" w:rsidRDefault="003B2E22" w:rsidP="003B2E22">
      <w:pPr>
        <w:pStyle w:val="FigureTitle"/>
      </w:pPr>
      <w:bookmarkStart w:id="39" w:name="_Toc216704068"/>
      <w:r>
        <w:lastRenderedPageBreak/>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13</w:t>
      </w:r>
      <w:r w:rsidR="001B758E">
        <w:fldChar w:fldCharType="end"/>
      </w:r>
      <w:r>
        <w:t xml:space="preserve">. </w:t>
      </w:r>
      <w:r w:rsidR="001A34C4">
        <w:t>Warehouses Non-Residential Decommissioning Readiness Sub-Index Component Values</w:t>
      </w:r>
      <w:bookmarkEnd w:id="39"/>
    </w:p>
    <w:p w14:paraId="5337694D" w14:textId="562D10BF" w:rsidR="4026271F" w:rsidRDefault="4026271F" w:rsidP="5D962A91">
      <w:pPr>
        <w:pStyle w:val="BodyText"/>
      </w:pPr>
      <w:r>
        <w:rPr>
          <w:noProof/>
        </w:rPr>
        <w:drawing>
          <wp:inline distT="0" distB="0" distL="0" distR="0" wp14:anchorId="23AA22BB" wp14:editId="28725536">
            <wp:extent cx="6086475" cy="3505200"/>
            <wp:effectExtent l="0" t="0" r="0" b="0"/>
            <wp:docPr id="884900159" name="drawing" descr="Screenshot of the Tool showing the Warehouses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00159" name="drawing" descr="Screenshot of the Tool showing the Warehouses Non-Residential Decommissioning Readiness Sub-Index Component value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56502B16" w14:textId="4B55CC50" w:rsidR="003B2E22" w:rsidRPr="003B2E22" w:rsidRDefault="003B2E22" w:rsidP="003B2E22">
      <w:pPr>
        <w:pStyle w:val="FigureTitle"/>
      </w:pPr>
      <w:bookmarkStart w:id="40" w:name="_Toc216704069"/>
      <w:r>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14</w:t>
      </w:r>
      <w:r w:rsidR="001B758E">
        <w:fldChar w:fldCharType="end"/>
      </w:r>
      <w:r>
        <w:t xml:space="preserve">. </w:t>
      </w:r>
      <w:r w:rsidR="00A229DA">
        <w:t>Miscellaneous Non-Residential Decommissioning Readiness Sub-Index Component Values</w:t>
      </w:r>
      <w:bookmarkEnd w:id="40"/>
    </w:p>
    <w:p w14:paraId="74D0E44D" w14:textId="12BE18C2" w:rsidR="4E21F45B" w:rsidRDefault="4E21F45B" w:rsidP="5D962A91">
      <w:pPr>
        <w:pStyle w:val="BodyText"/>
      </w:pPr>
      <w:r>
        <w:rPr>
          <w:noProof/>
        </w:rPr>
        <w:drawing>
          <wp:inline distT="0" distB="0" distL="0" distR="0" wp14:anchorId="715EDD4E" wp14:editId="16478EAB">
            <wp:extent cx="6086475" cy="3505200"/>
            <wp:effectExtent l="0" t="0" r="0" b="0"/>
            <wp:docPr id="2061727236" name="drawing" descr="Screenshot of the Tool showing the Miscellaneous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27236" name="drawing" descr="Screenshot of the Tool showing the Miscellaneous Non-Residential Decommissioning Readiness Sub-Index Component valu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33EFB5DC" w14:textId="2303D832" w:rsidR="003B2E22" w:rsidRPr="003B2E22" w:rsidRDefault="003B2E22" w:rsidP="00127D35">
      <w:pPr>
        <w:pStyle w:val="FigureTitle"/>
        <w:spacing w:before="240"/>
      </w:pPr>
      <w:bookmarkStart w:id="41" w:name="_Toc216704070"/>
      <w:r>
        <w:lastRenderedPageBreak/>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15</w:t>
      </w:r>
      <w:r w:rsidR="001B758E">
        <w:fldChar w:fldCharType="end"/>
      </w:r>
      <w:r>
        <w:t xml:space="preserve">. </w:t>
      </w:r>
      <w:r w:rsidR="00A229DA">
        <w:t>Hotel Non-Residential Decommissioning Readiness Sub-Index Component Values</w:t>
      </w:r>
      <w:bookmarkEnd w:id="41"/>
    </w:p>
    <w:p w14:paraId="0D0ACD9E" w14:textId="62DAD6AB" w:rsidR="23C15CBF" w:rsidRDefault="23C15CBF" w:rsidP="5D962A91">
      <w:pPr>
        <w:pStyle w:val="BodyText"/>
      </w:pPr>
      <w:r>
        <w:rPr>
          <w:noProof/>
        </w:rPr>
        <w:drawing>
          <wp:inline distT="0" distB="0" distL="0" distR="0" wp14:anchorId="494B2FA7" wp14:editId="2A6C3268">
            <wp:extent cx="6086475" cy="3505200"/>
            <wp:effectExtent l="0" t="0" r="0" b="0"/>
            <wp:docPr id="372543022" name="drawing" descr="Screenshot of the Tool showing the Hotel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3022" name="drawing" descr="Screenshot of the Tool showing the Hotel Non-Residential Decommissioning Readiness Sub-Index Component valu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1DFAA56E" w14:textId="2CB6A720" w:rsidR="003B2E22" w:rsidRPr="003B2E22" w:rsidRDefault="003B2E22" w:rsidP="003B2E22">
      <w:pPr>
        <w:pStyle w:val="FigureTitle"/>
      </w:pPr>
      <w:bookmarkStart w:id="42" w:name="_Toc216704071"/>
      <w:r>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16</w:t>
      </w:r>
      <w:r w:rsidR="001B758E">
        <w:fldChar w:fldCharType="end"/>
      </w:r>
      <w:r>
        <w:t xml:space="preserve">. </w:t>
      </w:r>
      <w:r w:rsidR="00A229DA">
        <w:t>Healthcare Non-Residential Decommissioning Readiness Sub-Index Component Values</w:t>
      </w:r>
      <w:bookmarkEnd w:id="42"/>
    </w:p>
    <w:p w14:paraId="7975552B" w14:textId="79D34D2B" w:rsidR="776373F8" w:rsidRDefault="776373F8" w:rsidP="5D962A91">
      <w:pPr>
        <w:pStyle w:val="BodyText"/>
      </w:pPr>
      <w:r>
        <w:rPr>
          <w:noProof/>
        </w:rPr>
        <w:drawing>
          <wp:inline distT="0" distB="0" distL="0" distR="0" wp14:anchorId="6C1ADF85" wp14:editId="679361FB">
            <wp:extent cx="6086475" cy="3514725"/>
            <wp:effectExtent l="0" t="0" r="0" b="0"/>
            <wp:docPr id="624495196" name="drawing" descr="Screenshot of the Tool showing the Healthcare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95196" name="drawing" descr="Screenshot of the Tool showing the Healthcare Non-Residential Decommissioning Readiness Sub-Index Component valu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86475" cy="3514725"/>
                    </a:xfrm>
                    <a:prstGeom prst="rect">
                      <a:avLst/>
                    </a:prstGeom>
                  </pic:spPr>
                </pic:pic>
              </a:graphicData>
            </a:graphic>
          </wp:inline>
        </w:drawing>
      </w:r>
    </w:p>
    <w:p w14:paraId="3DE914B8" w14:textId="37C6627F" w:rsidR="003B2E22" w:rsidRPr="003B2E22" w:rsidRDefault="003B2E22" w:rsidP="003B2E22">
      <w:pPr>
        <w:pStyle w:val="FigureTitle"/>
      </w:pPr>
      <w:bookmarkStart w:id="43" w:name="_Toc216704072"/>
      <w:r>
        <w:lastRenderedPageBreak/>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17</w:t>
      </w:r>
      <w:r w:rsidR="001B758E">
        <w:fldChar w:fldCharType="end"/>
      </w:r>
      <w:r>
        <w:t>.</w:t>
      </w:r>
      <w:r w:rsidR="00A229DA">
        <w:t xml:space="preserve"> Food Store Non-Residential Decommissioning Readiness Sub-Index Component Values</w:t>
      </w:r>
      <w:bookmarkEnd w:id="43"/>
    </w:p>
    <w:p w14:paraId="23BC5936" w14:textId="00D8CCB0" w:rsidR="068298F7" w:rsidRDefault="068298F7" w:rsidP="5D962A91">
      <w:pPr>
        <w:pStyle w:val="BodyText"/>
      </w:pPr>
      <w:r>
        <w:rPr>
          <w:noProof/>
        </w:rPr>
        <w:drawing>
          <wp:inline distT="0" distB="0" distL="0" distR="0" wp14:anchorId="1C66E715" wp14:editId="4BA249A2">
            <wp:extent cx="6086475" cy="3505200"/>
            <wp:effectExtent l="0" t="0" r="0" b="0"/>
            <wp:docPr id="1924356869" name="drawing" descr="Screenshot of the Tool showing the Food Store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56869" name="drawing" descr="Screenshot of the Tool showing the Food Store Non-Residential Decommissioning Readiness Sub-Index Component value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1172AC00" w14:textId="32A36DC4" w:rsidR="007B2E42" w:rsidRPr="007B2E42" w:rsidRDefault="007B2E42" w:rsidP="00127D35">
      <w:pPr>
        <w:pStyle w:val="FigureTitle"/>
      </w:pPr>
      <w:bookmarkStart w:id="44" w:name="_Toc216704073"/>
      <w:r>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18</w:t>
      </w:r>
      <w:r w:rsidR="001B758E">
        <w:fldChar w:fldCharType="end"/>
      </w:r>
      <w:r>
        <w:t>. Durable Goods Manufacturing Non-Residential Decommissioning Readiness Sub-Index Component Values</w:t>
      </w:r>
      <w:bookmarkEnd w:id="44"/>
    </w:p>
    <w:p w14:paraId="1487C6BF" w14:textId="0E63DB34" w:rsidR="6A8ECDB6" w:rsidRDefault="6A8ECDB6" w:rsidP="7F9B53B3">
      <w:pPr>
        <w:pStyle w:val="BodyText"/>
      </w:pPr>
      <w:r>
        <w:rPr>
          <w:noProof/>
        </w:rPr>
        <w:drawing>
          <wp:inline distT="0" distB="0" distL="0" distR="0" wp14:anchorId="2B09441D" wp14:editId="36BAEDC2">
            <wp:extent cx="6086475" cy="3505200"/>
            <wp:effectExtent l="0" t="0" r="0" b="0"/>
            <wp:docPr id="406934540" name="drawing" descr="Screenshot of the Tool showing the Durable Goods Manufacturing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34540" name="drawing" descr="Screenshot of the Tool showing the Durable Goods Manufacturing Non-Residential Decommissioning Readiness Sub-Index Component value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p w14:paraId="4E9FB918" w14:textId="106F447E" w:rsidR="00127D35" w:rsidRDefault="007B2E42" w:rsidP="00127D35">
      <w:pPr>
        <w:pStyle w:val="FigureTitle"/>
        <w:rPr>
          <w:noProof/>
        </w:rPr>
      </w:pPr>
      <w:bookmarkStart w:id="45" w:name="_Toc216704074"/>
      <w:r>
        <w:lastRenderedPageBreak/>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19</w:t>
      </w:r>
      <w:r w:rsidR="001B758E">
        <w:fldChar w:fldCharType="end"/>
      </w:r>
      <w:r>
        <w:t>. Non-Durable Goods Manufacturing Non-Residential Decommissioning Readiness Sub-Index Component Values</w:t>
      </w:r>
      <w:bookmarkEnd w:id="45"/>
      <w:r>
        <w:rPr>
          <w:noProof/>
        </w:rPr>
        <w:t xml:space="preserve"> </w:t>
      </w:r>
    </w:p>
    <w:p w14:paraId="78DD7BE4" w14:textId="710E5A00" w:rsidR="7C38F475" w:rsidRDefault="7C38F475" w:rsidP="00127D35">
      <w:pPr>
        <w:pStyle w:val="BodyText"/>
      </w:pPr>
      <w:r>
        <w:rPr>
          <w:noProof/>
        </w:rPr>
        <w:drawing>
          <wp:inline distT="0" distB="0" distL="0" distR="0" wp14:anchorId="7A7AE28D" wp14:editId="3ED59806">
            <wp:extent cx="6086475" cy="3514725"/>
            <wp:effectExtent l="0" t="0" r="0" b="0"/>
            <wp:docPr id="189767963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79633"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86475" cy="3514725"/>
                    </a:xfrm>
                    <a:prstGeom prst="rect">
                      <a:avLst/>
                    </a:prstGeom>
                  </pic:spPr>
                </pic:pic>
              </a:graphicData>
            </a:graphic>
          </wp:inline>
        </w:drawing>
      </w:r>
    </w:p>
    <w:p w14:paraId="50BDB707" w14:textId="41B9315B" w:rsidR="00127D35" w:rsidRDefault="009C7EC1" w:rsidP="00127D35">
      <w:pPr>
        <w:pStyle w:val="FigureTitle"/>
      </w:pPr>
      <w:bookmarkStart w:id="46" w:name="_Ref214277416"/>
      <w:bookmarkStart w:id="47" w:name="_Toc216704075"/>
      <w:r>
        <w:t xml:space="preserve">Figure </w:t>
      </w:r>
      <w:r w:rsidR="001B758E">
        <w:fldChar w:fldCharType="begin"/>
      </w:r>
      <w:r w:rsidR="001B758E">
        <w:instrText xml:space="preserve"> STYLEREF 1 \s </w:instrText>
      </w:r>
      <w:r w:rsidR="001B758E">
        <w:fldChar w:fldCharType="separate"/>
      </w:r>
      <w:r w:rsidR="001B758E">
        <w:rPr>
          <w:noProof/>
        </w:rPr>
        <w:t>4</w:t>
      </w:r>
      <w:r w:rsidR="001B758E">
        <w:fldChar w:fldCharType="end"/>
      </w:r>
      <w:r w:rsidR="001B758E">
        <w:noBreakHyphen/>
      </w:r>
      <w:r w:rsidR="001B758E">
        <w:fldChar w:fldCharType="begin"/>
      </w:r>
      <w:r w:rsidR="001B758E">
        <w:instrText xml:space="preserve"> SEQ Figure \* ARABIC \s 1 </w:instrText>
      </w:r>
      <w:r w:rsidR="001B758E">
        <w:fldChar w:fldCharType="separate"/>
      </w:r>
      <w:r w:rsidR="008C4487">
        <w:rPr>
          <w:noProof/>
        </w:rPr>
        <w:t>20</w:t>
      </w:r>
      <w:r w:rsidR="001B758E">
        <w:fldChar w:fldCharType="end"/>
      </w:r>
      <w:bookmarkEnd w:id="46"/>
      <w:r>
        <w:t>. College Non-Residential Decommissioning Readiness Sub-Index Component Values</w:t>
      </w:r>
      <w:bookmarkEnd w:id="47"/>
    </w:p>
    <w:p w14:paraId="24A24C56" w14:textId="375BC981" w:rsidR="009D630C" w:rsidRPr="009D630C" w:rsidRDefault="4E154A66" w:rsidP="008C4487">
      <w:pPr>
        <w:pStyle w:val="BodyText"/>
      </w:pPr>
      <w:r>
        <w:rPr>
          <w:noProof/>
        </w:rPr>
        <w:drawing>
          <wp:inline distT="0" distB="0" distL="0" distR="0" wp14:anchorId="752A28C9" wp14:editId="61D1EE82">
            <wp:extent cx="6086475" cy="3505200"/>
            <wp:effectExtent l="0" t="0" r="0" b="0"/>
            <wp:docPr id="2105482988" name="drawing" descr="Screenshot of the Tool showing the College Non-Residential Decommissioning Readiness Sub-Index Compon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82988" name="drawing" descr="Screenshot of the Tool showing the College Non-Residential Decommissioning Readiness Sub-Index Component valu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86475" cy="3505200"/>
                    </a:xfrm>
                    <a:prstGeom prst="rect">
                      <a:avLst/>
                    </a:prstGeom>
                  </pic:spPr>
                </pic:pic>
              </a:graphicData>
            </a:graphic>
          </wp:inline>
        </w:drawing>
      </w:r>
    </w:p>
    <w:sectPr w:rsidR="009D630C" w:rsidRPr="009D630C" w:rsidSect="00B020AB">
      <w:headerReference w:type="even" r:id="rId47"/>
      <w:headerReference w:type="default" r:id="rId48"/>
      <w:footerReference w:type="default" r:id="rId49"/>
      <w:headerReference w:type="first" r:id="rId50"/>
      <w:pgSz w:w="11907" w:h="16839"/>
      <w:pgMar w:top="1757" w:right="1134" w:bottom="1361" w:left="1191" w:header="77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59532" w14:textId="77777777" w:rsidR="00EB7B62" w:rsidRDefault="00EB7B62" w:rsidP="00866BDC">
      <w:r>
        <w:separator/>
      </w:r>
    </w:p>
  </w:endnote>
  <w:endnote w:type="continuationSeparator" w:id="0">
    <w:p w14:paraId="0851B50F" w14:textId="77777777" w:rsidR="00EB7B62" w:rsidRDefault="00EB7B62" w:rsidP="00866BDC">
      <w:r>
        <w:continuationSeparator/>
      </w:r>
    </w:p>
  </w:endnote>
  <w:endnote w:type="continuationNotice" w:id="1">
    <w:p w14:paraId="0B4CF40D" w14:textId="77777777" w:rsidR="00EB7B62" w:rsidRDefault="00EB7B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3827C" w14:textId="77777777" w:rsidR="00CD0FCF" w:rsidRDefault="00CD0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467895292"/>
      <w:docPartObj>
        <w:docPartGallery w:val="Page Numbers (Bottom of Page)"/>
        <w:docPartUnique/>
      </w:docPartObj>
    </w:sdtPr>
    <w:sdtEndPr>
      <w:rPr>
        <w:noProof/>
      </w:rPr>
    </w:sdtEndPr>
    <w:sdtContent>
      <w:p w14:paraId="21E5A142" w14:textId="7ABF21BA" w:rsidR="000426A6" w:rsidRPr="000426A6" w:rsidRDefault="00827B50" w:rsidP="000426A6">
        <w:pPr>
          <w:pStyle w:val="Footer"/>
          <w:tabs>
            <w:tab w:val="right" w:pos="9540"/>
          </w:tabs>
        </w:pPr>
        <w:r w:rsidRPr="00827B50">
          <w:t>Decommissioning Readiness Assessment</w:t>
        </w:r>
        <w:r w:rsidR="000426A6">
          <w:rPr>
            <w:noProof w:val="0"/>
          </w:rPr>
          <w:tab/>
        </w:r>
        <w:r w:rsidR="000426A6">
          <w:rPr>
            <w:noProof w:val="0"/>
          </w:rPr>
          <w:fldChar w:fldCharType="begin"/>
        </w:r>
        <w:r w:rsidR="000426A6">
          <w:instrText xml:space="preserve"> PAGE   \* MERGEFORMAT </w:instrText>
        </w:r>
        <w:r w:rsidR="000426A6">
          <w:rPr>
            <w:noProof w:val="0"/>
          </w:rPr>
          <w:fldChar w:fldCharType="separate"/>
        </w:r>
        <w:r w:rsidR="000426A6">
          <w:t>2</w:t>
        </w:r>
        <w:r w:rsidR="000426A6">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7E44" w14:textId="77777777" w:rsidR="00CD0FCF" w:rsidRDefault="00CD0F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D3261" w14:textId="77777777" w:rsidR="009D630C" w:rsidRDefault="009D630C">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0B63" w14:textId="77777777" w:rsidR="009D630C" w:rsidRDefault="009D630C">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640945212"/>
      <w:docPartObj>
        <w:docPartGallery w:val="Page Numbers (Bottom of Page)"/>
        <w:docPartUnique/>
      </w:docPartObj>
    </w:sdtPr>
    <w:sdtEndPr>
      <w:rPr>
        <w:noProof/>
      </w:rPr>
    </w:sdtEndPr>
    <w:sdtContent>
      <w:p w14:paraId="5310C097" w14:textId="77777777" w:rsidR="00B020AB" w:rsidRPr="000426A6" w:rsidRDefault="00B020AB" w:rsidP="00B020AB">
        <w:pPr>
          <w:pStyle w:val="Footer"/>
          <w:tabs>
            <w:tab w:val="right" w:pos="13680"/>
          </w:tabs>
        </w:pPr>
        <w:r w:rsidRPr="00827B50">
          <w:t>Decommissioning Readiness Assessment</w:t>
        </w:r>
        <w:r>
          <w:rPr>
            <w:noProof w:val="0"/>
          </w:rPr>
          <w:tab/>
        </w:r>
        <w:r>
          <w:rPr>
            <w:noProof w:val="0"/>
          </w:rPr>
          <w:fldChar w:fldCharType="begin"/>
        </w:r>
        <w:r>
          <w:instrText xml:space="preserve"> PAGE   \* MERGEFORMAT </w:instrText>
        </w:r>
        <w:r>
          <w:rPr>
            <w:noProof w:val="0"/>
          </w:rPr>
          <w:fldChar w:fldCharType="separate"/>
        </w:r>
        <w: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693583203"/>
      <w:docPartObj>
        <w:docPartGallery w:val="Page Numbers (Bottom of Page)"/>
        <w:docPartUnique/>
      </w:docPartObj>
    </w:sdtPr>
    <w:sdtEndPr>
      <w:rPr>
        <w:noProof/>
      </w:rPr>
    </w:sdtEndPr>
    <w:sdtContent>
      <w:p w14:paraId="31514B2B" w14:textId="470C3B14" w:rsidR="00B020AB" w:rsidRPr="000426A6" w:rsidRDefault="00B020AB" w:rsidP="00B020AB">
        <w:pPr>
          <w:pStyle w:val="Footer"/>
          <w:tabs>
            <w:tab w:val="left" w:pos="0"/>
            <w:tab w:val="right" w:pos="9540"/>
          </w:tabs>
        </w:pPr>
        <w:r w:rsidRPr="00827B50">
          <w:t>Decommissioning Readiness Assessment</w:t>
        </w:r>
        <w:r>
          <w:tab/>
        </w:r>
        <w:r>
          <w:rPr>
            <w:noProof w:val="0"/>
          </w:rPr>
          <w:fldChar w:fldCharType="begin"/>
        </w:r>
        <w:r>
          <w:instrText xml:space="preserve"> PAGE   \* MERGEFORMAT </w:instrText>
        </w:r>
        <w:r>
          <w:rPr>
            <w:noProof w:val="0"/>
          </w:rP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6BB62" w14:textId="77777777" w:rsidR="00EB7B62" w:rsidRDefault="00EB7B62" w:rsidP="00866BDC">
      <w:r>
        <w:separator/>
      </w:r>
    </w:p>
  </w:footnote>
  <w:footnote w:type="continuationSeparator" w:id="0">
    <w:p w14:paraId="4597F950" w14:textId="77777777" w:rsidR="00EB7B62" w:rsidRDefault="00EB7B62" w:rsidP="00866BDC">
      <w:r>
        <w:continuationSeparator/>
      </w:r>
    </w:p>
  </w:footnote>
  <w:footnote w:type="continuationNotice" w:id="1">
    <w:p w14:paraId="4176EAB6" w14:textId="77777777" w:rsidR="00EB7B62" w:rsidRDefault="00EB7B62"/>
  </w:footnote>
  <w:footnote w:id="2">
    <w:p w14:paraId="11E146E8" w14:textId="7B850FB9" w:rsidR="00F25C53" w:rsidRPr="00F25C53" w:rsidRDefault="00F25C53">
      <w:pPr>
        <w:pStyle w:val="FootnoteText"/>
        <w:rPr>
          <w:lang w:val="en-US"/>
        </w:rPr>
      </w:pPr>
      <w:r>
        <w:rPr>
          <w:rStyle w:val="FootnoteReference"/>
        </w:rPr>
        <w:footnoteRef/>
      </w:r>
      <w:r>
        <w:t xml:space="preserve"> R</w:t>
      </w:r>
      <w:r w:rsidRPr="00F25C53">
        <w:t>efers to research and information produced outside of traditional academic or commercial publishing channels. It typically includes materials that are not formally published or peer-reviewed</w:t>
      </w:r>
      <w:r w:rsidR="005D3AD3">
        <w:t>.</w:t>
      </w:r>
    </w:p>
  </w:footnote>
  <w:footnote w:id="3">
    <w:p w14:paraId="2F25A94A" w14:textId="517FA6A2" w:rsidR="00C631CC" w:rsidRPr="00C631CC" w:rsidRDefault="00C631CC">
      <w:pPr>
        <w:pStyle w:val="FootnoteText"/>
        <w:rPr>
          <w:lang w:val="en-US"/>
        </w:rPr>
      </w:pPr>
      <w:r>
        <w:rPr>
          <w:rStyle w:val="FootnoteReference"/>
        </w:rPr>
        <w:footnoteRef/>
      </w:r>
      <w:r>
        <w:t xml:space="preserve"> </w:t>
      </w:r>
      <w:hyperlink r:id="rId1" w:history="1">
        <w:r w:rsidRPr="001C73A7">
          <w:rPr>
            <w:rStyle w:val="Hyperlink"/>
          </w:rPr>
          <w:t>https://www.energy.ca.gov/data-reports/surveys/california-commercial-end-use-survey</w:t>
        </w:r>
      </w:hyperlink>
      <w:r>
        <w:t xml:space="preserve"> </w:t>
      </w:r>
    </w:p>
  </w:footnote>
  <w:footnote w:id="4">
    <w:p w14:paraId="15C30CCE" w14:textId="711B9393" w:rsidR="004033F2" w:rsidRPr="004033F2" w:rsidRDefault="004033F2">
      <w:pPr>
        <w:pStyle w:val="FootnoteText"/>
        <w:rPr>
          <w:lang w:val="en-US"/>
        </w:rPr>
      </w:pPr>
      <w:r>
        <w:rPr>
          <w:rStyle w:val="FootnoteReference"/>
        </w:rPr>
        <w:footnoteRef/>
      </w:r>
      <w:r>
        <w:t xml:space="preserve"> </w:t>
      </w:r>
      <w:hyperlink r:id="rId2" w:history="1">
        <w:r w:rsidRPr="001C73A7">
          <w:rPr>
            <w:rStyle w:val="Hyperlink"/>
          </w:rPr>
          <w:t>https://www.energy.ca.gov/data-reports/surveys/2006-california-commercial-end-use-survey-ceus</w:t>
        </w:r>
      </w:hyperlink>
      <w:r>
        <w:t xml:space="preserve"> </w:t>
      </w:r>
    </w:p>
  </w:footnote>
  <w:footnote w:id="5">
    <w:p w14:paraId="0CFEED53" w14:textId="7A1023BA" w:rsidR="00C908A0" w:rsidRPr="00C908A0" w:rsidRDefault="00C908A0">
      <w:pPr>
        <w:pStyle w:val="FootnoteText"/>
        <w:rPr>
          <w:lang w:val="en-US"/>
        </w:rPr>
      </w:pPr>
      <w:r>
        <w:rPr>
          <w:rStyle w:val="FootnoteReference"/>
        </w:rPr>
        <w:footnoteRef/>
      </w:r>
      <w:r>
        <w:t xml:space="preserve"> </w:t>
      </w:r>
      <w:hyperlink r:id="rId3" w:history="1">
        <w:r w:rsidR="008A659B" w:rsidRPr="001C73A7">
          <w:rPr>
            <w:rStyle w:val="Hyperlink"/>
          </w:rPr>
          <w:t>https://www.energy.ca.gov/publications/2023/2022-california-commercial-end-use-survey-ceus-final-report</w:t>
        </w:r>
      </w:hyperlink>
      <w:r w:rsidR="008A659B">
        <w:t xml:space="preserve"> </w:t>
      </w:r>
    </w:p>
  </w:footnote>
  <w:footnote w:id="6">
    <w:p w14:paraId="7636DB57" w14:textId="6C089D78" w:rsidR="1F07ED0A" w:rsidRDefault="1F07ED0A">
      <w:r w:rsidRPr="1F07ED0A">
        <w:rPr>
          <w:rStyle w:val="FootnoteReference"/>
        </w:rPr>
        <w:footnoteRef/>
      </w:r>
      <w:r>
        <w:t xml:space="preserve"> </w:t>
      </w:r>
      <w:hyperlink r:id="rId4" w:history="1">
        <w:r w:rsidRPr="001B758E">
          <w:rPr>
            <w:rStyle w:val="Hyperlink"/>
            <w:sz w:val="13"/>
            <w:szCs w:val="13"/>
          </w:rPr>
          <w:t>https://www.census.gov/naics/</w:t>
        </w:r>
      </w:hyperlink>
    </w:p>
  </w:footnote>
  <w:footnote w:id="7">
    <w:p w14:paraId="371E8324" w14:textId="3E0364AA" w:rsidR="00401EE3" w:rsidRPr="00401EE3" w:rsidRDefault="00401EE3">
      <w:pPr>
        <w:pStyle w:val="FootnoteText"/>
        <w:rPr>
          <w:lang w:val="en-US"/>
        </w:rPr>
      </w:pPr>
      <w:r>
        <w:rPr>
          <w:rStyle w:val="FootnoteReference"/>
        </w:rPr>
        <w:footnoteRef/>
      </w:r>
      <w:r>
        <w:t xml:space="preserve"> </w:t>
      </w:r>
      <w:hyperlink r:id="rId5" w:history="1">
        <w:r w:rsidRPr="00ED0313">
          <w:rPr>
            <w:rStyle w:val="Hyperlink"/>
          </w:rPr>
          <w:t>https://data.census.gov/table?g=040XX00US06$1400000&amp;y=2022&amp;d=ACS+5-Year+Estimates+Data+Profiles</w:t>
        </w:r>
      </w:hyperlink>
      <w:r>
        <w:t xml:space="preserve"> </w:t>
      </w:r>
    </w:p>
  </w:footnote>
  <w:footnote w:id="8">
    <w:p w14:paraId="573FE5E6" w14:textId="2F0A1A3D" w:rsidR="003A45BA" w:rsidRPr="003A45BA" w:rsidRDefault="003A45BA">
      <w:pPr>
        <w:pStyle w:val="FootnoteText"/>
        <w:rPr>
          <w:lang w:val="en-US"/>
        </w:rPr>
      </w:pPr>
      <w:r>
        <w:rPr>
          <w:rStyle w:val="FootnoteReference"/>
        </w:rPr>
        <w:footnoteRef/>
      </w:r>
      <w:r>
        <w:t xml:space="preserve"> </w:t>
      </w:r>
      <w:r w:rsidRPr="003A45BA">
        <w:t xml:space="preserve">ESRI. “How Hot Spot Analysis (Getis-Ord Gi*) works.” Accessed: 10-28-2025. </w:t>
      </w:r>
      <w:hyperlink r:id="rId6" w:history="1">
        <w:r w:rsidRPr="00ED0313">
          <w:rPr>
            <w:rStyle w:val="Hyperlink"/>
          </w:rPr>
          <w:t>https://pro.arcgis.com/en/pro-app/latest/tool-reference/spatial-statistics/h-how-hot-spot-analysis-getis-ord-gi-spatial-stati.htm</w:t>
        </w:r>
      </w:hyperlink>
      <w:r>
        <w:t xml:space="preserve"> </w:t>
      </w:r>
    </w:p>
  </w:footnote>
  <w:footnote w:id="9">
    <w:p w14:paraId="6FF0E127" w14:textId="61999B68" w:rsidR="00282B58" w:rsidRPr="00791BF8" w:rsidRDefault="00282B58">
      <w:pPr>
        <w:pStyle w:val="FootnoteText"/>
        <w:rPr>
          <w:lang w:val="en-US"/>
        </w:rPr>
      </w:pPr>
      <w:r>
        <w:rPr>
          <w:rStyle w:val="FootnoteReference"/>
        </w:rPr>
        <w:footnoteRef/>
      </w:r>
      <w:r>
        <w:t xml:space="preserve"> </w:t>
      </w:r>
      <w:r w:rsidR="0067232E">
        <w:t xml:space="preserve">The </w:t>
      </w:r>
      <w:r>
        <w:rPr>
          <w:lang w:val="en-US"/>
        </w:rPr>
        <w:t>Miscellane</w:t>
      </w:r>
      <w:r w:rsidR="00991A4F">
        <w:rPr>
          <w:lang w:val="en-US"/>
        </w:rPr>
        <w:t>ous</w:t>
      </w:r>
      <w:r w:rsidR="0067232E">
        <w:rPr>
          <w:lang w:val="en-US"/>
        </w:rPr>
        <w:t xml:space="preserve"> </w:t>
      </w:r>
      <w:r w:rsidR="001B7FC3">
        <w:rPr>
          <w:lang w:val="en-US"/>
        </w:rPr>
        <w:t>category included</w:t>
      </w:r>
      <w:r w:rsidR="00991A4F">
        <w:rPr>
          <w:lang w:val="en-US"/>
        </w:rPr>
        <w:t xml:space="preserve"> </w:t>
      </w:r>
      <w:r w:rsidR="004A440F">
        <w:rPr>
          <w:lang w:val="en-US"/>
        </w:rPr>
        <w:t>numerous commercial entities</w:t>
      </w:r>
      <w:r w:rsidR="00A31C36">
        <w:rPr>
          <w:lang w:val="en-US"/>
        </w:rPr>
        <w:t xml:space="preserve"> that are not </w:t>
      </w:r>
      <w:r w:rsidR="00BE7C1E">
        <w:rPr>
          <w:lang w:val="en-US"/>
        </w:rPr>
        <w:t>included in the other</w:t>
      </w:r>
      <w:r w:rsidR="0067232E">
        <w:rPr>
          <w:lang w:val="en-US"/>
        </w:rPr>
        <w:t xml:space="preserve"> </w:t>
      </w:r>
      <w:r w:rsidR="00A31C36">
        <w:rPr>
          <w:lang w:val="en-US"/>
        </w:rPr>
        <w:t xml:space="preserve">categories </w:t>
      </w:r>
      <w:r w:rsidR="00BE7C1E">
        <w:rPr>
          <w:lang w:val="en-US"/>
        </w:rPr>
        <w:t xml:space="preserve">referenced </w:t>
      </w:r>
      <w:r w:rsidR="00A31C36">
        <w:rPr>
          <w:lang w:val="en-US"/>
        </w:rPr>
        <w:t>above</w:t>
      </w:r>
      <w:r w:rsidR="004A440F">
        <w:rPr>
          <w:lang w:val="en-US"/>
        </w:rPr>
        <w:t xml:space="preserve">, ranging from </w:t>
      </w:r>
      <w:r w:rsidR="00813160">
        <w:rPr>
          <w:lang w:val="en-US"/>
        </w:rPr>
        <w:t xml:space="preserve">performing arts </w:t>
      </w:r>
      <w:r w:rsidR="00193CF9">
        <w:rPr>
          <w:lang w:val="en-US"/>
        </w:rPr>
        <w:t xml:space="preserve">companies, </w:t>
      </w:r>
      <w:r w:rsidR="00CE1D3C">
        <w:rPr>
          <w:lang w:val="en-US"/>
        </w:rPr>
        <w:t>museums,</w:t>
      </w:r>
      <w:r w:rsidR="00193CF9">
        <w:rPr>
          <w:lang w:val="en-US"/>
        </w:rPr>
        <w:t xml:space="preserve"> and</w:t>
      </w:r>
      <w:r w:rsidR="00A31C36">
        <w:rPr>
          <w:lang w:val="en-US"/>
        </w:rPr>
        <w:t xml:space="preserve"> courts</w:t>
      </w:r>
      <w:r w:rsidR="00813160">
        <w:rPr>
          <w:lang w:val="en-US"/>
        </w:rPr>
        <w:t xml:space="preserve"> to testing laboratories</w:t>
      </w:r>
      <w:r w:rsidR="00193CF9">
        <w:rPr>
          <w:lang w:val="en-US"/>
        </w:rPr>
        <w:t xml:space="preserve">, </w:t>
      </w:r>
      <w:r w:rsidR="00A86CB3">
        <w:rPr>
          <w:lang w:val="en-US"/>
        </w:rPr>
        <w:t xml:space="preserve">amusement parks, and </w:t>
      </w:r>
      <w:r w:rsidR="0067232E">
        <w:rPr>
          <w:lang w:val="en-US"/>
        </w:rPr>
        <w:t>gasoline</w:t>
      </w:r>
      <w:r w:rsidR="00A86CB3">
        <w:rPr>
          <w:lang w:val="en-US"/>
        </w:rPr>
        <w:t xml:space="preserve"> stations</w:t>
      </w:r>
      <w:r w:rsidR="0067232E">
        <w:rPr>
          <w:lang w:val="en-US"/>
        </w:rPr>
        <w:t>.</w:t>
      </w:r>
    </w:p>
  </w:footnote>
  <w:footnote w:id="10">
    <w:p w14:paraId="657843EB" w14:textId="77777777" w:rsidR="00E3378F" w:rsidRPr="00791BF8" w:rsidRDefault="00E3378F" w:rsidP="00E3378F">
      <w:pPr>
        <w:pStyle w:val="FootnoteText"/>
        <w:rPr>
          <w:lang w:val="en-US"/>
        </w:rPr>
      </w:pPr>
      <w:r>
        <w:rPr>
          <w:rStyle w:val="FootnoteReference"/>
        </w:rPr>
        <w:footnoteRef/>
      </w:r>
      <w:r>
        <w:t xml:space="preserve"> </w:t>
      </w:r>
      <w:r>
        <w:rPr>
          <w:lang w:val="en-US"/>
        </w:rPr>
        <w:t xml:space="preserve">The categorization of commercial businesses is copied from </w:t>
      </w:r>
      <w:r w:rsidRPr="00572C72">
        <w:t>mapping of NAICS codes to the Restaurant CEUS subsectors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D8934" w14:textId="7634A287" w:rsidR="00CD0FCF" w:rsidRDefault="00000000">
    <w:pPr>
      <w:pStyle w:val="Header"/>
    </w:pPr>
    <w:r>
      <w:pict w14:anchorId="27A4B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79" o:spid="_x0000_s1026" type="#_x0000_t136" style="position:absolute;margin-left:0;margin-top:0;width:595.95pt;height:79.45pt;rotation:315;z-index:-251658239;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307A3" w14:textId="4757A406" w:rsidR="00CD0FCF" w:rsidRDefault="00000000">
    <w:pPr>
      <w:pStyle w:val="Header"/>
    </w:pPr>
    <w:r>
      <w:pict w14:anchorId="70B76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88" o:spid="_x0000_s1035" type="#_x0000_t136" style="position:absolute;margin-left:0;margin-top:0;width:595.95pt;height:79.45pt;rotation:315;z-index:-251658230;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B73DE" w14:textId="14BFC04B" w:rsidR="00CD0FCF" w:rsidRDefault="00000000">
    <w:pPr>
      <w:pStyle w:val="Header"/>
    </w:pPr>
    <w:r>
      <w:pict w14:anchorId="20A92A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89" o:spid="_x0000_s1036" type="#_x0000_t136" style="position:absolute;margin-left:0;margin-top:0;width:595.95pt;height:79.45pt;rotation:315;z-index:-251658229;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14E61" w14:textId="2BEB37C4" w:rsidR="00CD0FCF" w:rsidRDefault="00000000">
    <w:pPr>
      <w:pStyle w:val="Header"/>
    </w:pPr>
    <w:r>
      <w:pict w14:anchorId="7F063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87" o:spid="_x0000_s1034" type="#_x0000_t136" style="position:absolute;margin-left:0;margin-top:0;width:595.95pt;height:79.45pt;rotation:315;z-index:-251658231;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5234" w14:textId="7B385DB2" w:rsidR="009D630C" w:rsidRDefault="00000000" w:rsidP="0080520C">
    <w:r>
      <w:rPr>
        <w:noProof/>
      </w:rPr>
      <w:pict w14:anchorId="06FEE2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80" o:spid="_x0000_s1027" type="#_x0000_t136" style="position:absolute;margin-left:0;margin-top:0;width:595.95pt;height:79.45pt;rotation:315;z-index:-251658238;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r w:rsidR="20B54020">
      <w:rPr>
        <w:noProof/>
      </w:rPr>
      <w:drawing>
        <wp:inline distT="0" distB="0" distL="0" distR="0" wp14:anchorId="15BFAF5D" wp14:editId="74CCBF7A">
          <wp:extent cx="1479600" cy="7308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4F050ADE" w14:textId="77777777" w:rsidR="008C640B" w:rsidRDefault="008C640B" w:rsidP="0080520C"/>
  <w:p w14:paraId="68265793" w14:textId="77777777" w:rsidR="009D630C" w:rsidRDefault="009D630C">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EC963" w14:textId="42321904" w:rsidR="00CD0FCF" w:rsidRDefault="00000000">
    <w:pPr>
      <w:pStyle w:val="Header"/>
    </w:pPr>
    <w:r>
      <w:pict w14:anchorId="18A9B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78" o:spid="_x0000_s1025" type="#_x0000_t136" style="position:absolute;margin-left:0;margin-top:0;width:595.95pt;height:79.45pt;rotation:315;z-index:-251658240;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47138" w14:textId="3C540335" w:rsidR="009D630C" w:rsidRDefault="00000000">
    <w:pPr>
      <w:pStyle w:val="Header"/>
      <w:rPr>
        <w:sz w:val="2"/>
      </w:rPr>
    </w:pPr>
    <w:r>
      <w:pict w14:anchorId="50252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82" o:spid="_x0000_s1029" type="#_x0000_t136" style="position:absolute;margin-left:0;margin-top:0;width:595.95pt;height:79.45pt;rotation:315;z-index:-251658236;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6017" w14:textId="4EEBCF0D" w:rsidR="009D630C" w:rsidRDefault="00000000" w:rsidP="0080520C">
    <w:r>
      <w:rPr>
        <w:noProof/>
      </w:rPr>
      <w:pict w14:anchorId="449CD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83" o:spid="_x0000_s1030" type="#_x0000_t136" style="position:absolute;margin-left:0;margin-top:0;width:595.95pt;height:143.65pt;rotation:315;z-index:-251658235;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r w:rsidR="20B54020">
      <w:rPr>
        <w:noProof/>
      </w:rPr>
      <w:drawing>
        <wp:inline distT="0" distB="0" distL="0" distR="0" wp14:anchorId="672E6930" wp14:editId="0D523E4A">
          <wp:extent cx="1479600" cy="7308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02FB03FB" w14:textId="77777777" w:rsidR="008C640B" w:rsidRDefault="008C640B" w:rsidP="0080520C"/>
  <w:p w14:paraId="39400C80" w14:textId="77777777" w:rsidR="009D630C" w:rsidRDefault="009D630C">
    <w:pPr>
      <w:pStyle w:val="Header"/>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77CB" w14:textId="3C0FC9B9" w:rsidR="009D630C" w:rsidRPr="00866BDC" w:rsidRDefault="00000000">
    <w:pPr>
      <w:pStyle w:val="Header"/>
      <w:rPr>
        <w:sz w:val="2"/>
      </w:rPr>
    </w:pPr>
    <w:r>
      <w:pict w14:anchorId="70991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81" o:spid="_x0000_s1028" type="#_x0000_t136" style="position:absolute;margin-left:0;margin-top:0;width:595.95pt;height:79.45pt;rotation:315;z-index:-251658237;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E0E84" w14:textId="2817E793" w:rsidR="00CD0FCF" w:rsidRDefault="00000000">
    <w:pPr>
      <w:pStyle w:val="Header"/>
    </w:pPr>
    <w:r>
      <w:pict w14:anchorId="359EC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85" o:spid="_x0000_s1032" type="#_x0000_t136" style="position:absolute;margin-left:0;margin-top:0;width:595.95pt;height:79.45pt;rotation:315;z-index:-251658233;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DADB" w14:textId="1BA863C6" w:rsidR="00CD0FCF" w:rsidRDefault="00000000">
    <w:pPr>
      <w:pStyle w:val="Header"/>
    </w:pPr>
    <w:r>
      <w:pict w14:anchorId="3DA91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86" o:spid="_x0000_s1033" type="#_x0000_t136" style="position:absolute;margin-left:0;margin-top:0;width:595.95pt;height:79.45pt;rotation:315;z-index:-251658232;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B512" w14:textId="777781FC" w:rsidR="00CD0FCF" w:rsidRDefault="00000000">
    <w:pPr>
      <w:pStyle w:val="Header"/>
    </w:pPr>
    <w:r>
      <w:pict w14:anchorId="2653C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054584" o:spid="_x0000_s1031" type="#_x0000_t136" style="position:absolute;margin-left:0;margin-top:0;width:595.95pt;height:79.45pt;rotation:315;z-index:-251658234;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37E0D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440C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08A3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93DA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3E47023"/>
    <w:multiLevelType w:val="multilevel"/>
    <w:tmpl w:val="EA0A0126"/>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4B12A7D"/>
    <w:multiLevelType w:val="hybridMultilevel"/>
    <w:tmpl w:val="817873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15135B"/>
    <w:multiLevelType w:val="hybridMultilevel"/>
    <w:tmpl w:val="02C498E2"/>
    <w:lvl w:ilvl="0" w:tplc="605AB25C">
      <w:numFmt w:val="bullet"/>
      <w:lvlText w:val=""/>
      <w:lvlJc w:val="left"/>
      <w:pPr>
        <w:ind w:left="720" w:hanging="360"/>
      </w:pPr>
      <w:rPr>
        <w:rFonts w:ascii="Symbol" w:eastAsiaTheme="minorEastAsia"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E729AA"/>
    <w:multiLevelType w:val="multilevel"/>
    <w:tmpl w:val="6854C28A"/>
    <w:name w:val="DNVGL Appendices"/>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A716B5E"/>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C599D5F"/>
    <w:multiLevelType w:val="hybridMultilevel"/>
    <w:tmpl w:val="99AC0362"/>
    <w:lvl w:ilvl="0" w:tplc="171CE392">
      <w:start w:val="1"/>
      <w:numFmt w:val="bullet"/>
      <w:lvlText w:val=""/>
      <w:lvlJc w:val="left"/>
      <w:pPr>
        <w:ind w:left="720" w:hanging="360"/>
      </w:pPr>
      <w:rPr>
        <w:rFonts w:ascii="Symbol" w:hAnsi="Symbol" w:hint="default"/>
      </w:rPr>
    </w:lvl>
    <w:lvl w:ilvl="1" w:tplc="D2F6A1BC">
      <w:start w:val="1"/>
      <w:numFmt w:val="bullet"/>
      <w:lvlText w:val="o"/>
      <w:lvlJc w:val="left"/>
      <w:pPr>
        <w:ind w:left="1440" w:hanging="360"/>
      </w:pPr>
      <w:rPr>
        <w:rFonts w:ascii="Courier New" w:hAnsi="Courier New" w:hint="default"/>
      </w:rPr>
    </w:lvl>
    <w:lvl w:ilvl="2" w:tplc="1332E42E">
      <w:start w:val="1"/>
      <w:numFmt w:val="bullet"/>
      <w:lvlText w:val=""/>
      <w:lvlJc w:val="left"/>
      <w:pPr>
        <w:ind w:left="2160" w:hanging="360"/>
      </w:pPr>
      <w:rPr>
        <w:rFonts w:ascii="Wingdings" w:hAnsi="Wingdings" w:hint="default"/>
      </w:rPr>
    </w:lvl>
    <w:lvl w:ilvl="3" w:tplc="61C683B6">
      <w:start w:val="1"/>
      <w:numFmt w:val="bullet"/>
      <w:lvlText w:val=""/>
      <w:lvlJc w:val="left"/>
      <w:pPr>
        <w:ind w:left="2880" w:hanging="360"/>
      </w:pPr>
      <w:rPr>
        <w:rFonts w:ascii="Symbol" w:hAnsi="Symbol" w:hint="default"/>
      </w:rPr>
    </w:lvl>
    <w:lvl w:ilvl="4" w:tplc="5C4AE482">
      <w:start w:val="1"/>
      <w:numFmt w:val="bullet"/>
      <w:lvlText w:val="o"/>
      <w:lvlJc w:val="left"/>
      <w:pPr>
        <w:ind w:left="3600" w:hanging="360"/>
      </w:pPr>
      <w:rPr>
        <w:rFonts w:ascii="Courier New" w:hAnsi="Courier New" w:hint="default"/>
      </w:rPr>
    </w:lvl>
    <w:lvl w:ilvl="5" w:tplc="FA4608E2">
      <w:start w:val="1"/>
      <w:numFmt w:val="bullet"/>
      <w:lvlText w:val=""/>
      <w:lvlJc w:val="left"/>
      <w:pPr>
        <w:ind w:left="4320" w:hanging="360"/>
      </w:pPr>
      <w:rPr>
        <w:rFonts w:ascii="Wingdings" w:hAnsi="Wingdings" w:hint="default"/>
      </w:rPr>
    </w:lvl>
    <w:lvl w:ilvl="6" w:tplc="0494EC3A">
      <w:start w:val="1"/>
      <w:numFmt w:val="bullet"/>
      <w:lvlText w:val=""/>
      <w:lvlJc w:val="left"/>
      <w:pPr>
        <w:ind w:left="5040" w:hanging="360"/>
      </w:pPr>
      <w:rPr>
        <w:rFonts w:ascii="Symbol" w:hAnsi="Symbol" w:hint="default"/>
      </w:rPr>
    </w:lvl>
    <w:lvl w:ilvl="7" w:tplc="0DA4A148">
      <w:start w:val="1"/>
      <w:numFmt w:val="bullet"/>
      <w:lvlText w:val="o"/>
      <w:lvlJc w:val="left"/>
      <w:pPr>
        <w:ind w:left="5760" w:hanging="360"/>
      </w:pPr>
      <w:rPr>
        <w:rFonts w:ascii="Courier New" w:hAnsi="Courier New" w:hint="default"/>
      </w:rPr>
    </w:lvl>
    <w:lvl w:ilvl="8" w:tplc="E8AA4280">
      <w:start w:val="1"/>
      <w:numFmt w:val="bullet"/>
      <w:lvlText w:val=""/>
      <w:lvlJc w:val="left"/>
      <w:pPr>
        <w:ind w:left="6480" w:hanging="360"/>
      </w:pPr>
      <w:rPr>
        <w:rFonts w:ascii="Wingdings" w:hAnsi="Wingdings" w:hint="default"/>
      </w:rPr>
    </w:lvl>
  </w:abstractNum>
  <w:abstractNum w:abstractNumId="17" w15:restartNumberingAfterBreak="0">
    <w:nsid w:val="2D2ADCC8"/>
    <w:multiLevelType w:val="multilevel"/>
    <w:tmpl w:val="165E94FA"/>
    <w:lvl w:ilvl="0">
      <w:start w:val="1"/>
      <w:numFmt w:val="decimal"/>
      <w:lvlText w:val="%1."/>
      <w:lvlJc w:val="left"/>
      <w:pPr>
        <w:ind w:left="720" w:hanging="360"/>
      </w:pPr>
    </w:lvl>
    <w:lvl w:ilvl="1">
      <w:start w:val="1"/>
      <w:numFmt w:val="lowerLetter"/>
      <w:lvlText w:val="%2."/>
      <w:lvlJc w:val="left"/>
      <w:pPr>
        <w:ind w:left="1440" w:hanging="360"/>
      </w:pPr>
    </w:lvl>
    <w:lvl w:ilvl="2">
      <w:start w:val="4"/>
      <w:numFmt w:val="decimal"/>
      <w:lvlText w:val="%1.%2.%3."/>
      <w:lvlJc w:val="left"/>
      <w:pPr>
        <w:ind w:left="1224"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134DE9"/>
    <w:multiLevelType w:val="hybridMultilevel"/>
    <w:tmpl w:val="75A8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E343BC"/>
    <w:multiLevelType w:val="hybridMultilevel"/>
    <w:tmpl w:val="7A34C19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52607CA0"/>
    <w:multiLevelType w:val="hybridMultilevel"/>
    <w:tmpl w:val="737E3850"/>
    <w:lvl w:ilvl="0" w:tplc="E460BC7E">
      <w:start w:val="1"/>
      <w:numFmt w:val="bullet"/>
      <w:lvlText w:val=""/>
      <w:lvlJc w:val="left"/>
      <w:pPr>
        <w:ind w:left="288" w:hanging="288"/>
      </w:pPr>
      <w:rPr>
        <w:rFonts w:ascii="Symbol" w:hAnsi="Symbol" w:hint="default"/>
      </w:rPr>
    </w:lvl>
    <w:lvl w:ilvl="1" w:tplc="D1D8E7E0">
      <w:start w:val="1"/>
      <w:numFmt w:val="bullet"/>
      <w:lvlText w:val="o"/>
      <w:lvlJc w:val="left"/>
      <w:pPr>
        <w:ind w:left="1440" w:hanging="360"/>
      </w:pPr>
      <w:rPr>
        <w:rFonts w:ascii="Courier New" w:hAnsi="Courier New" w:hint="default"/>
      </w:rPr>
    </w:lvl>
    <w:lvl w:ilvl="2" w:tplc="34FE6EE4">
      <w:start w:val="1"/>
      <w:numFmt w:val="bullet"/>
      <w:lvlText w:val=""/>
      <w:lvlJc w:val="left"/>
      <w:pPr>
        <w:ind w:left="2160" w:hanging="360"/>
      </w:pPr>
      <w:rPr>
        <w:rFonts w:ascii="Wingdings" w:hAnsi="Wingdings" w:hint="default"/>
      </w:rPr>
    </w:lvl>
    <w:lvl w:ilvl="3" w:tplc="97AE6B72">
      <w:start w:val="1"/>
      <w:numFmt w:val="bullet"/>
      <w:lvlText w:val=""/>
      <w:lvlJc w:val="left"/>
      <w:pPr>
        <w:ind w:left="2880" w:hanging="360"/>
      </w:pPr>
      <w:rPr>
        <w:rFonts w:ascii="Symbol" w:hAnsi="Symbol" w:hint="default"/>
      </w:rPr>
    </w:lvl>
    <w:lvl w:ilvl="4" w:tplc="9132907E">
      <w:start w:val="1"/>
      <w:numFmt w:val="bullet"/>
      <w:lvlText w:val="o"/>
      <w:lvlJc w:val="left"/>
      <w:pPr>
        <w:ind w:left="3600" w:hanging="360"/>
      </w:pPr>
      <w:rPr>
        <w:rFonts w:ascii="Courier New" w:hAnsi="Courier New" w:hint="default"/>
      </w:rPr>
    </w:lvl>
    <w:lvl w:ilvl="5" w:tplc="AE5EFFB4">
      <w:start w:val="1"/>
      <w:numFmt w:val="bullet"/>
      <w:lvlText w:val=""/>
      <w:lvlJc w:val="left"/>
      <w:pPr>
        <w:ind w:left="4320" w:hanging="360"/>
      </w:pPr>
      <w:rPr>
        <w:rFonts w:ascii="Wingdings" w:hAnsi="Wingdings" w:hint="default"/>
      </w:rPr>
    </w:lvl>
    <w:lvl w:ilvl="6" w:tplc="1FF8E36A">
      <w:start w:val="1"/>
      <w:numFmt w:val="bullet"/>
      <w:lvlText w:val=""/>
      <w:lvlJc w:val="left"/>
      <w:pPr>
        <w:ind w:left="5040" w:hanging="360"/>
      </w:pPr>
      <w:rPr>
        <w:rFonts w:ascii="Symbol" w:hAnsi="Symbol" w:hint="default"/>
      </w:rPr>
    </w:lvl>
    <w:lvl w:ilvl="7" w:tplc="E3DACE24">
      <w:start w:val="1"/>
      <w:numFmt w:val="bullet"/>
      <w:lvlText w:val="o"/>
      <w:lvlJc w:val="left"/>
      <w:pPr>
        <w:ind w:left="5760" w:hanging="360"/>
      </w:pPr>
      <w:rPr>
        <w:rFonts w:ascii="Courier New" w:hAnsi="Courier New" w:hint="default"/>
      </w:rPr>
    </w:lvl>
    <w:lvl w:ilvl="8" w:tplc="F20C769C">
      <w:start w:val="1"/>
      <w:numFmt w:val="bullet"/>
      <w:lvlText w:val=""/>
      <w:lvlJc w:val="left"/>
      <w:pPr>
        <w:ind w:left="6480" w:hanging="360"/>
      </w:pPr>
      <w:rPr>
        <w:rFonts w:ascii="Wingdings" w:hAnsi="Wingdings" w:hint="default"/>
      </w:rPr>
    </w:lvl>
  </w:abstractNum>
  <w:abstractNum w:abstractNumId="21" w15:restartNumberingAfterBreak="0">
    <w:nsid w:val="5DD051D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E8946B4"/>
    <w:multiLevelType w:val="hybridMultilevel"/>
    <w:tmpl w:val="C38667BA"/>
    <w:lvl w:ilvl="0" w:tplc="106425D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0CDB839"/>
    <w:multiLevelType w:val="hybridMultilevel"/>
    <w:tmpl w:val="F0E8798A"/>
    <w:lvl w:ilvl="0" w:tplc="0FF48456">
      <w:start w:val="1"/>
      <w:numFmt w:val="bullet"/>
      <w:lvlText w:val=""/>
      <w:lvlJc w:val="left"/>
      <w:pPr>
        <w:ind w:left="288" w:hanging="288"/>
      </w:pPr>
      <w:rPr>
        <w:rFonts w:ascii="Symbol" w:hAnsi="Symbol" w:hint="default"/>
      </w:rPr>
    </w:lvl>
    <w:lvl w:ilvl="1" w:tplc="389405AA">
      <w:start w:val="1"/>
      <w:numFmt w:val="bullet"/>
      <w:lvlText w:val="o"/>
      <w:lvlJc w:val="left"/>
      <w:pPr>
        <w:ind w:left="1440" w:hanging="360"/>
      </w:pPr>
      <w:rPr>
        <w:rFonts w:ascii="Courier New" w:hAnsi="Courier New" w:hint="default"/>
      </w:rPr>
    </w:lvl>
    <w:lvl w:ilvl="2" w:tplc="AAA4C8C0">
      <w:start w:val="1"/>
      <w:numFmt w:val="bullet"/>
      <w:lvlText w:val=""/>
      <w:lvlJc w:val="left"/>
      <w:pPr>
        <w:ind w:left="2160" w:hanging="360"/>
      </w:pPr>
      <w:rPr>
        <w:rFonts w:ascii="Wingdings" w:hAnsi="Wingdings" w:hint="default"/>
      </w:rPr>
    </w:lvl>
    <w:lvl w:ilvl="3" w:tplc="1FD45F5E">
      <w:start w:val="1"/>
      <w:numFmt w:val="bullet"/>
      <w:lvlText w:val=""/>
      <w:lvlJc w:val="left"/>
      <w:pPr>
        <w:ind w:left="2880" w:hanging="360"/>
      </w:pPr>
      <w:rPr>
        <w:rFonts w:ascii="Symbol" w:hAnsi="Symbol" w:hint="default"/>
      </w:rPr>
    </w:lvl>
    <w:lvl w:ilvl="4" w:tplc="EF7AC876">
      <w:start w:val="1"/>
      <w:numFmt w:val="bullet"/>
      <w:lvlText w:val="o"/>
      <w:lvlJc w:val="left"/>
      <w:pPr>
        <w:ind w:left="3600" w:hanging="360"/>
      </w:pPr>
      <w:rPr>
        <w:rFonts w:ascii="Courier New" w:hAnsi="Courier New" w:hint="default"/>
      </w:rPr>
    </w:lvl>
    <w:lvl w:ilvl="5" w:tplc="F2F09064">
      <w:start w:val="1"/>
      <w:numFmt w:val="bullet"/>
      <w:lvlText w:val=""/>
      <w:lvlJc w:val="left"/>
      <w:pPr>
        <w:ind w:left="4320" w:hanging="360"/>
      </w:pPr>
      <w:rPr>
        <w:rFonts w:ascii="Wingdings" w:hAnsi="Wingdings" w:hint="default"/>
      </w:rPr>
    </w:lvl>
    <w:lvl w:ilvl="6" w:tplc="CB204312">
      <w:start w:val="1"/>
      <w:numFmt w:val="bullet"/>
      <w:lvlText w:val=""/>
      <w:lvlJc w:val="left"/>
      <w:pPr>
        <w:ind w:left="5040" w:hanging="360"/>
      </w:pPr>
      <w:rPr>
        <w:rFonts w:ascii="Symbol" w:hAnsi="Symbol" w:hint="default"/>
      </w:rPr>
    </w:lvl>
    <w:lvl w:ilvl="7" w:tplc="7C926536">
      <w:start w:val="1"/>
      <w:numFmt w:val="bullet"/>
      <w:lvlText w:val="o"/>
      <w:lvlJc w:val="left"/>
      <w:pPr>
        <w:ind w:left="5760" w:hanging="360"/>
      </w:pPr>
      <w:rPr>
        <w:rFonts w:ascii="Courier New" w:hAnsi="Courier New" w:hint="default"/>
      </w:rPr>
    </w:lvl>
    <w:lvl w:ilvl="8" w:tplc="65721DDA">
      <w:start w:val="1"/>
      <w:numFmt w:val="bullet"/>
      <w:lvlText w:val=""/>
      <w:lvlJc w:val="left"/>
      <w:pPr>
        <w:ind w:left="6480" w:hanging="360"/>
      </w:pPr>
      <w:rPr>
        <w:rFonts w:ascii="Wingdings" w:hAnsi="Wingdings" w:hint="default"/>
      </w:rPr>
    </w:lvl>
  </w:abstractNum>
  <w:abstractNum w:abstractNumId="24" w15:restartNumberingAfterBreak="0">
    <w:nsid w:val="74787A18"/>
    <w:multiLevelType w:val="multilevel"/>
    <w:tmpl w:val="CC56A2D2"/>
    <w:lvl w:ilvl="0">
      <w:start w:val="1"/>
      <w:numFmt w:val="decimal"/>
      <w:lvlText w:val="%1."/>
      <w:lvlJc w:val="left"/>
      <w:pPr>
        <w:ind w:left="720" w:hanging="360"/>
      </w:pPr>
    </w:lvl>
    <w:lvl w:ilvl="1">
      <w:start w:val="1"/>
      <w:numFmt w:val="lowerLetter"/>
      <w:lvlText w:val="%2."/>
      <w:lvlJc w:val="left"/>
      <w:pPr>
        <w:ind w:left="1440" w:hanging="360"/>
      </w:pPr>
    </w:lvl>
    <w:lvl w:ilvl="2">
      <w:start w:val="3"/>
      <w:numFmt w:val="decimal"/>
      <w:lvlText w:val="%1.%2.%3."/>
      <w:lvlJc w:val="left"/>
      <w:pPr>
        <w:ind w:left="1224"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944318"/>
    <w:multiLevelType w:val="hybridMultilevel"/>
    <w:tmpl w:val="7082BD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110CB1"/>
    <w:multiLevelType w:val="hybridMultilevel"/>
    <w:tmpl w:val="130025D8"/>
    <w:lvl w:ilvl="0" w:tplc="1CB227FE">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5182378">
    <w:abstractNumId w:val="20"/>
  </w:num>
  <w:num w:numId="2" w16cid:durableId="1947033065">
    <w:abstractNumId w:val="17"/>
  </w:num>
  <w:num w:numId="3" w16cid:durableId="837572534">
    <w:abstractNumId w:val="23"/>
  </w:num>
  <w:num w:numId="4" w16cid:durableId="1313407786">
    <w:abstractNumId w:val="24"/>
  </w:num>
  <w:num w:numId="5" w16cid:durableId="1853452975">
    <w:abstractNumId w:val="16"/>
  </w:num>
  <w:num w:numId="6" w16cid:durableId="613708853">
    <w:abstractNumId w:val="11"/>
  </w:num>
  <w:num w:numId="7" w16cid:durableId="843932718">
    <w:abstractNumId w:val="9"/>
  </w:num>
  <w:num w:numId="8" w16cid:durableId="1961302724">
    <w:abstractNumId w:val="8"/>
  </w:num>
  <w:num w:numId="9" w16cid:durableId="1691375048">
    <w:abstractNumId w:val="14"/>
  </w:num>
  <w:num w:numId="10" w16cid:durableId="360208491">
    <w:abstractNumId w:val="7"/>
  </w:num>
  <w:num w:numId="11" w16cid:durableId="1408071720">
    <w:abstractNumId w:val="6"/>
  </w:num>
  <w:num w:numId="12" w16cid:durableId="250042307">
    <w:abstractNumId w:val="5"/>
  </w:num>
  <w:num w:numId="13" w16cid:durableId="254482244">
    <w:abstractNumId w:val="4"/>
  </w:num>
  <w:num w:numId="14" w16cid:durableId="2001421933">
    <w:abstractNumId w:val="3"/>
  </w:num>
  <w:num w:numId="15" w16cid:durableId="1703558061">
    <w:abstractNumId w:val="2"/>
  </w:num>
  <w:num w:numId="16" w16cid:durableId="2048602246">
    <w:abstractNumId w:val="1"/>
  </w:num>
  <w:num w:numId="17" w16cid:durableId="178199090">
    <w:abstractNumId w:val="0"/>
  </w:num>
  <w:num w:numId="18" w16cid:durableId="896598103">
    <w:abstractNumId w:val="10"/>
  </w:num>
  <w:num w:numId="19" w16cid:durableId="72241736">
    <w:abstractNumId w:val="21"/>
  </w:num>
  <w:num w:numId="20" w16cid:durableId="905340075">
    <w:abstractNumId w:val="15"/>
  </w:num>
  <w:num w:numId="21" w16cid:durableId="2006933124">
    <w:abstractNumId w:val="22"/>
  </w:num>
  <w:num w:numId="22" w16cid:durableId="182332200">
    <w:abstractNumId w:val="18"/>
  </w:num>
  <w:num w:numId="23" w16cid:durableId="332731756">
    <w:abstractNumId w:val="26"/>
  </w:num>
  <w:num w:numId="24" w16cid:durableId="967121841">
    <w:abstractNumId w:val="25"/>
  </w:num>
  <w:num w:numId="25" w16cid:durableId="522942490">
    <w:abstractNumId w:val="12"/>
  </w:num>
  <w:num w:numId="26" w16cid:durableId="1989937327">
    <w:abstractNumId w:val="19"/>
  </w:num>
  <w:num w:numId="27" w16cid:durableId="12881983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MDO0NDQxNjMyNzNQ0lEKTi0uzszPAykwqgUAOuO7FSwAAAA="/>
    <w:docVar w:name="DFS_FileId" w:val="COR006.dotx"/>
    <w:docVar w:name="DFS_FormId" w:val="1789"/>
    <w:docVar w:name="DFS_FormNo" w:val="COR 006"/>
    <w:docVar w:name="DFS_FormversionNo" w:val="33"/>
    <w:docVar w:name="DFS_Issue" w:val="2021-03"/>
    <w:docVar w:name="DNVeFormDoc_guid" w:val="a498cfd4ba2c43d995be7fcbbd228671"/>
    <w:docVar w:name="eForms Core NewDocument" w:val="2021-02-24T11:09:03Z"/>
    <w:docVar w:name="eForms_xdoc_doc_config" w:val="&lt;?xml version=&quot;1.0&quot; encoding=&quot;UTF-8&quot;?&gt;&lt;DNVeFormsCore version=&quot;1.0&quot;&gt;&lt;doc_config client_app=&quot;&quot;&gt;&lt;setting name=&quot;form_config&quot;&gt;&lt;form form_id=&quot;1789&quot; formversion_no=&quot;32&quot; code=&quot;COR 006&quot; name=&quot;Report&quot; issue=&quot;2020-05&quot; formgroup_id=&quot;0&quot; distribution_bits=&quot;15&quot; FU=&quot;1&quot; SS=&quot;1&quot; SL=&quot;1&quot; ST=&quot;1&quot; filename=&quot;COR006.dotx&quot; type=&quot;Word&quot; datafolder=&quot;&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lt;/setting&gt;&lt;/doc_config&gt;&lt;/DNVeFormsCore&gt;"/>
    <w:docVar w:name="eFormsDataStoreItemId" w:val="{5CA4A4C5-54AF-4604-9925-3D577EA5FC6C}"/>
    <w:docVar w:name="eFormsFormConfig" w:val="&lt;form form_id=&quot;1789&quot; formversion_no=&quot;32&quot; code=&quot;COR 006&quot; name=&quot;Report&quot; issue=&quot;2020-05&quot; formgroup_id=&quot;0&quot; distribution_bits=&quot;15&quot; FU=&quot;1&quot; SS=&quot;1&quot; SL=&quot;1&quot; ST=&quot;1&quot; filename=&quot;COR006.dotx&quot; type=&quot;Word&quot; datafolder=&quot;&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210216 124511"/>
    <w:docVar w:name="TB build utc" w:val="2021-02-16T11:45:18"/>
    <w:docVar w:name="TB filename" w:val="COR006.dotx"/>
    <w:docVar w:name="TB id" w:val="7262"/>
    <w:docVar w:name="TB name" w:val="COR 006"/>
    <w:docVar w:name="XCD450QKD" w:val="f0cae5b166804c489d7d6309072ec101"/>
  </w:docVars>
  <w:rsids>
    <w:rsidRoot w:val="006E5F7D"/>
    <w:rsid w:val="00005373"/>
    <w:rsid w:val="00007458"/>
    <w:rsid w:val="000126AB"/>
    <w:rsid w:val="00015D95"/>
    <w:rsid w:val="00016666"/>
    <w:rsid w:val="00016B25"/>
    <w:rsid w:val="00016C65"/>
    <w:rsid w:val="00023649"/>
    <w:rsid w:val="00025ADE"/>
    <w:rsid w:val="00027784"/>
    <w:rsid w:val="00027F91"/>
    <w:rsid w:val="000355AF"/>
    <w:rsid w:val="000414C3"/>
    <w:rsid w:val="000426A6"/>
    <w:rsid w:val="00042E5C"/>
    <w:rsid w:val="0004498B"/>
    <w:rsid w:val="00045E88"/>
    <w:rsid w:val="00047CBF"/>
    <w:rsid w:val="00051119"/>
    <w:rsid w:val="00052447"/>
    <w:rsid w:val="000537CB"/>
    <w:rsid w:val="00054E93"/>
    <w:rsid w:val="00056BE4"/>
    <w:rsid w:val="000657AC"/>
    <w:rsid w:val="00071CD2"/>
    <w:rsid w:val="0007271A"/>
    <w:rsid w:val="000736F2"/>
    <w:rsid w:val="000760F4"/>
    <w:rsid w:val="000801F8"/>
    <w:rsid w:val="00082605"/>
    <w:rsid w:val="00082640"/>
    <w:rsid w:val="00082C06"/>
    <w:rsid w:val="00083C3B"/>
    <w:rsid w:val="00084805"/>
    <w:rsid w:val="000873F9"/>
    <w:rsid w:val="0008790E"/>
    <w:rsid w:val="0009205E"/>
    <w:rsid w:val="000A115B"/>
    <w:rsid w:val="000A397E"/>
    <w:rsid w:val="000A547A"/>
    <w:rsid w:val="000A5D9E"/>
    <w:rsid w:val="000A6CC2"/>
    <w:rsid w:val="000A73EB"/>
    <w:rsid w:val="000A75FC"/>
    <w:rsid w:val="000B0C9B"/>
    <w:rsid w:val="000B1BE7"/>
    <w:rsid w:val="000C5FA2"/>
    <w:rsid w:val="000D05A8"/>
    <w:rsid w:val="000D23C8"/>
    <w:rsid w:val="000D5BA3"/>
    <w:rsid w:val="000D614A"/>
    <w:rsid w:val="000D7535"/>
    <w:rsid w:val="000E05C0"/>
    <w:rsid w:val="000E72AF"/>
    <w:rsid w:val="000F09AA"/>
    <w:rsid w:val="000F0F00"/>
    <w:rsid w:val="000F0F0F"/>
    <w:rsid w:val="000F1F39"/>
    <w:rsid w:val="000F3A7A"/>
    <w:rsid w:val="000F55F0"/>
    <w:rsid w:val="000F6748"/>
    <w:rsid w:val="000F7D6A"/>
    <w:rsid w:val="00100F79"/>
    <w:rsid w:val="00101852"/>
    <w:rsid w:val="00107A99"/>
    <w:rsid w:val="001125A4"/>
    <w:rsid w:val="00112F23"/>
    <w:rsid w:val="001132AC"/>
    <w:rsid w:val="001217DC"/>
    <w:rsid w:val="00122EAB"/>
    <w:rsid w:val="001230C0"/>
    <w:rsid w:val="00123EB0"/>
    <w:rsid w:val="001256F4"/>
    <w:rsid w:val="00126795"/>
    <w:rsid w:val="00127D35"/>
    <w:rsid w:val="00130DDA"/>
    <w:rsid w:val="001328A6"/>
    <w:rsid w:val="001328CF"/>
    <w:rsid w:val="0013619B"/>
    <w:rsid w:val="00136EE7"/>
    <w:rsid w:val="00141F2A"/>
    <w:rsid w:val="00142522"/>
    <w:rsid w:val="001438B4"/>
    <w:rsid w:val="0014704A"/>
    <w:rsid w:val="001568C1"/>
    <w:rsid w:val="00157EAB"/>
    <w:rsid w:val="0015A2F5"/>
    <w:rsid w:val="00161535"/>
    <w:rsid w:val="00161D9C"/>
    <w:rsid w:val="001636C4"/>
    <w:rsid w:val="00163857"/>
    <w:rsid w:val="001647E9"/>
    <w:rsid w:val="001653C6"/>
    <w:rsid w:val="001656D5"/>
    <w:rsid w:val="001660E7"/>
    <w:rsid w:val="00167D28"/>
    <w:rsid w:val="001732C8"/>
    <w:rsid w:val="001739ED"/>
    <w:rsid w:val="00174FBD"/>
    <w:rsid w:val="00175240"/>
    <w:rsid w:val="00180B60"/>
    <w:rsid w:val="001836F8"/>
    <w:rsid w:val="00183C1F"/>
    <w:rsid w:val="001870DA"/>
    <w:rsid w:val="0018773B"/>
    <w:rsid w:val="00191AEE"/>
    <w:rsid w:val="00193CF9"/>
    <w:rsid w:val="00197B33"/>
    <w:rsid w:val="001A058D"/>
    <w:rsid w:val="001A1A3B"/>
    <w:rsid w:val="001A34C4"/>
    <w:rsid w:val="001A5051"/>
    <w:rsid w:val="001A612E"/>
    <w:rsid w:val="001A7AE4"/>
    <w:rsid w:val="001B0317"/>
    <w:rsid w:val="001B1C72"/>
    <w:rsid w:val="001B24E9"/>
    <w:rsid w:val="001B3977"/>
    <w:rsid w:val="001B3D20"/>
    <w:rsid w:val="001B649E"/>
    <w:rsid w:val="001B758E"/>
    <w:rsid w:val="001B7FC3"/>
    <w:rsid w:val="001C1402"/>
    <w:rsid w:val="001C3F9F"/>
    <w:rsid w:val="001C4211"/>
    <w:rsid w:val="001D3822"/>
    <w:rsid w:val="001D5D49"/>
    <w:rsid w:val="001D64FF"/>
    <w:rsid w:val="001D690C"/>
    <w:rsid w:val="001E3EC2"/>
    <w:rsid w:val="001E4D45"/>
    <w:rsid w:val="001F03DD"/>
    <w:rsid w:val="001F3A04"/>
    <w:rsid w:val="001F4592"/>
    <w:rsid w:val="001F495A"/>
    <w:rsid w:val="001F6572"/>
    <w:rsid w:val="001F75A8"/>
    <w:rsid w:val="0020259F"/>
    <w:rsid w:val="0020388F"/>
    <w:rsid w:val="002045A0"/>
    <w:rsid w:val="002049D6"/>
    <w:rsid w:val="00211064"/>
    <w:rsid w:val="00215ABA"/>
    <w:rsid w:val="00220566"/>
    <w:rsid w:val="00221210"/>
    <w:rsid w:val="0022178C"/>
    <w:rsid w:val="00221A42"/>
    <w:rsid w:val="002220BA"/>
    <w:rsid w:val="0022270B"/>
    <w:rsid w:val="0022296E"/>
    <w:rsid w:val="00223DC6"/>
    <w:rsid w:val="00225167"/>
    <w:rsid w:val="00225993"/>
    <w:rsid w:val="00227F37"/>
    <w:rsid w:val="002303FC"/>
    <w:rsid w:val="00230B6E"/>
    <w:rsid w:val="00234708"/>
    <w:rsid w:val="00236AF3"/>
    <w:rsid w:val="00240C9B"/>
    <w:rsid w:val="00240CF4"/>
    <w:rsid w:val="00240D84"/>
    <w:rsid w:val="00240DF7"/>
    <w:rsid w:val="00243E36"/>
    <w:rsid w:val="00245507"/>
    <w:rsid w:val="00246042"/>
    <w:rsid w:val="00251698"/>
    <w:rsid w:val="00255664"/>
    <w:rsid w:val="00257436"/>
    <w:rsid w:val="00260288"/>
    <w:rsid w:val="002605D4"/>
    <w:rsid w:val="00260B0F"/>
    <w:rsid w:val="00260CB2"/>
    <w:rsid w:val="00267427"/>
    <w:rsid w:val="00270DA1"/>
    <w:rsid w:val="0027330B"/>
    <w:rsid w:val="0027656F"/>
    <w:rsid w:val="0027683F"/>
    <w:rsid w:val="00282B58"/>
    <w:rsid w:val="00286DA7"/>
    <w:rsid w:val="002902FB"/>
    <w:rsid w:val="002972DF"/>
    <w:rsid w:val="00297AC2"/>
    <w:rsid w:val="00297C56"/>
    <w:rsid w:val="002A22C3"/>
    <w:rsid w:val="002A2BF7"/>
    <w:rsid w:val="002A56F3"/>
    <w:rsid w:val="002A60A6"/>
    <w:rsid w:val="002A74CC"/>
    <w:rsid w:val="002B0215"/>
    <w:rsid w:val="002B0482"/>
    <w:rsid w:val="002B084D"/>
    <w:rsid w:val="002B0962"/>
    <w:rsid w:val="002B3A42"/>
    <w:rsid w:val="002B41D1"/>
    <w:rsid w:val="002B47F0"/>
    <w:rsid w:val="002B73A3"/>
    <w:rsid w:val="002B7799"/>
    <w:rsid w:val="002C247F"/>
    <w:rsid w:val="002C46B1"/>
    <w:rsid w:val="002C4EAC"/>
    <w:rsid w:val="002C739B"/>
    <w:rsid w:val="002D7DE1"/>
    <w:rsid w:val="002E251A"/>
    <w:rsid w:val="002E76C1"/>
    <w:rsid w:val="002F1964"/>
    <w:rsid w:val="002F213A"/>
    <w:rsid w:val="002F2D59"/>
    <w:rsid w:val="002F30F4"/>
    <w:rsid w:val="002F479C"/>
    <w:rsid w:val="002F4A5E"/>
    <w:rsid w:val="00300998"/>
    <w:rsid w:val="00301614"/>
    <w:rsid w:val="00302031"/>
    <w:rsid w:val="0030218C"/>
    <w:rsid w:val="00303584"/>
    <w:rsid w:val="0031014A"/>
    <w:rsid w:val="00310C2B"/>
    <w:rsid w:val="003115CF"/>
    <w:rsid w:val="00312591"/>
    <w:rsid w:val="00313F2E"/>
    <w:rsid w:val="00316609"/>
    <w:rsid w:val="003172B8"/>
    <w:rsid w:val="003175C5"/>
    <w:rsid w:val="00321D45"/>
    <w:rsid w:val="003223E6"/>
    <w:rsid w:val="00325A0B"/>
    <w:rsid w:val="003316CA"/>
    <w:rsid w:val="00331E3F"/>
    <w:rsid w:val="00332DC9"/>
    <w:rsid w:val="00335FA0"/>
    <w:rsid w:val="00337BCB"/>
    <w:rsid w:val="00340027"/>
    <w:rsid w:val="00343A48"/>
    <w:rsid w:val="003463DC"/>
    <w:rsid w:val="003471C9"/>
    <w:rsid w:val="003474C1"/>
    <w:rsid w:val="00351D9F"/>
    <w:rsid w:val="00353B0D"/>
    <w:rsid w:val="00353F55"/>
    <w:rsid w:val="00356947"/>
    <w:rsid w:val="00357AE2"/>
    <w:rsid w:val="003612BB"/>
    <w:rsid w:val="00361B5C"/>
    <w:rsid w:val="0037013A"/>
    <w:rsid w:val="00372115"/>
    <w:rsid w:val="00377DD9"/>
    <w:rsid w:val="003817B9"/>
    <w:rsid w:val="00382ED7"/>
    <w:rsid w:val="0038316D"/>
    <w:rsid w:val="00384A68"/>
    <w:rsid w:val="0038530A"/>
    <w:rsid w:val="00385AEC"/>
    <w:rsid w:val="003865BE"/>
    <w:rsid w:val="00386E79"/>
    <w:rsid w:val="003875BA"/>
    <w:rsid w:val="00393EA4"/>
    <w:rsid w:val="00393F99"/>
    <w:rsid w:val="003974C9"/>
    <w:rsid w:val="003A0C48"/>
    <w:rsid w:val="003A218C"/>
    <w:rsid w:val="003A3BAD"/>
    <w:rsid w:val="003A45BA"/>
    <w:rsid w:val="003A54CE"/>
    <w:rsid w:val="003A5635"/>
    <w:rsid w:val="003A79DE"/>
    <w:rsid w:val="003B2E22"/>
    <w:rsid w:val="003B3947"/>
    <w:rsid w:val="003B435D"/>
    <w:rsid w:val="003B77BF"/>
    <w:rsid w:val="003C0BD9"/>
    <w:rsid w:val="003C6A97"/>
    <w:rsid w:val="003D11A5"/>
    <w:rsid w:val="003D1ADE"/>
    <w:rsid w:val="003D2B60"/>
    <w:rsid w:val="003E0B9B"/>
    <w:rsid w:val="003E576F"/>
    <w:rsid w:val="003E7EDB"/>
    <w:rsid w:val="003F248D"/>
    <w:rsid w:val="003F47E5"/>
    <w:rsid w:val="003F5B50"/>
    <w:rsid w:val="003F6163"/>
    <w:rsid w:val="00401EE3"/>
    <w:rsid w:val="004033F2"/>
    <w:rsid w:val="004077D1"/>
    <w:rsid w:val="004107BC"/>
    <w:rsid w:val="00410C54"/>
    <w:rsid w:val="00413DBE"/>
    <w:rsid w:val="004207A1"/>
    <w:rsid w:val="00421461"/>
    <w:rsid w:val="00421C50"/>
    <w:rsid w:val="004236E1"/>
    <w:rsid w:val="0042721B"/>
    <w:rsid w:val="00432F8C"/>
    <w:rsid w:val="004334AF"/>
    <w:rsid w:val="00434B6C"/>
    <w:rsid w:val="00437639"/>
    <w:rsid w:val="004378CD"/>
    <w:rsid w:val="0044192C"/>
    <w:rsid w:val="004425FF"/>
    <w:rsid w:val="00444DC2"/>
    <w:rsid w:val="00446BCD"/>
    <w:rsid w:val="00447A7A"/>
    <w:rsid w:val="0045221F"/>
    <w:rsid w:val="00452F21"/>
    <w:rsid w:val="00452F2D"/>
    <w:rsid w:val="004538EB"/>
    <w:rsid w:val="00456159"/>
    <w:rsid w:val="004573E7"/>
    <w:rsid w:val="00461500"/>
    <w:rsid w:val="004616EB"/>
    <w:rsid w:val="00465C91"/>
    <w:rsid w:val="00472FE3"/>
    <w:rsid w:val="00473871"/>
    <w:rsid w:val="00475702"/>
    <w:rsid w:val="00476A09"/>
    <w:rsid w:val="004813E3"/>
    <w:rsid w:val="00481461"/>
    <w:rsid w:val="0048557A"/>
    <w:rsid w:val="00487875"/>
    <w:rsid w:val="00487EB8"/>
    <w:rsid w:val="00491649"/>
    <w:rsid w:val="00491C2E"/>
    <w:rsid w:val="00495209"/>
    <w:rsid w:val="00496B34"/>
    <w:rsid w:val="004A440F"/>
    <w:rsid w:val="004A4590"/>
    <w:rsid w:val="004A7531"/>
    <w:rsid w:val="004A7BD6"/>
    <w:rsid w:val="004A7C4C"/>
    <w:rsid w:val="004B0CAE"/>
    <w:rsid w:val="004B2D8D"/>
    <w:rsid w:val="004B458E"/>
    <w:rsid w:val="004B4D34"/>
    <w:rsid w:val="004B5520"/>
    <w:rsid w:val="004B74FD"/>
    <w:rsid w:val="004BC33E"/>
    <w:rsid w:val="004C211F"/>
    <w:rsid w:val="004C289E"/>
    <w:rsid w:val="004C3B55"/>
    <w:rsid w:val="004C66FD"/>
    <w:rsid w:val="004C6719"/>
    <w:rsid w:val="004C6F5B"/>
    <w:rsid w:val="004D1E6F"/>
    <w:rsid w:val="004D2782"/>
    <w:rsid w:val="004D3E3A"/>
    <w:rsid w:val="004D5F81"/>
    <w:rsid w:val="004D62B1"/>
    <w:rsid w:val="004D6689"/>
    <w:rsid w:val="004D7A02"/>
    <w:rsid w:val="004E1232"/>
    <w:rsid w:val="004E28B3"/>
    <w:rsid w:val="004F27A7"/>
    <w:rsid w:val="004F6FE4"/>
    <w:rsid w:val="00500711"/>
    <w:rsid w:val="0050643C"/>
    <w:rsid w:val="005068AA"/>
    <w:rsid w:val="005108C1"/>
    <w:rsid w:val="00511779"/>
    <w:rsid w:val="00512A57"/>
    <w:rsid w:val="005139B5"/>
    <w:rsid w:val="00523FAC"/>
    <w:rsid w:val="005243E8"/>
    <w:rsid w:val="005247DE"/>
    <w:rsid w:val="00524B05"/>
    <w:rsid w:val="005275D7"/>
    <w:rsid w:val="005319E2"/>
    <w:rsid w:val="00532FAC"/>
    <w:rsid w:val="0053479D"/>
    <w:rsid w:val="005348D1"/>
    <w:rsid w:val="005359D9"/>
    <w:rsid w:val="005370FD"/>
    <w:rsid w:val="005370FE"/>
    <w:rsid w:val="00540A26"/>
    <w:rsid w:val="00540E1B"/>
    <w:rsid w:val="005428C9"/>
    <w:rsid w:val="00544432"/>
    <w:rsid w:val="00545252"/>
    <w:rsid w:val="00554AAF"/>
    <w:rsid w:val="0055590F"/>
    <w:rsid w:val="00560E99"/>
    <w:rsid w:val="00561027"/>
    <w:rsid w:val="005618B3"/>
    <w:rsid w:val="00566ACF"/>
    <w:rsid w:val="0056759B"/>
    <w:rsid w:val="00572C72"/>
    <w:rsid w:val="00572EBB"/>
    <w:rsid w:val="00573B22"/>
    <w:rsid w:val="005759FD"/>
    <w:rsid w:val="005766F7"/>
    <w:rsid w:val="005770A6"/>
    <w:rsid w:val="00577117"/>
    <w:rsid w:val="00580D5A"/>
    <w:rsid w:val="005816EA"/>
    <w:rsid w:val="00583C5D"/>
    <w:rsid w:val="005856B3"/>
    <w:rsid w:val="00590040"/>
    <w:rsid w:val="00590415"/>
    <w:rsid w:val="0059243D"/>
    <w:rsid w:val="00596A5B"/>
    <w:rsid w:val="00597797"/>
    <w:rsid w:val="005A0099"/>
    <w:rsid w:val="005A060F"/>
    <w:rsid w:val="005A2D2A"/>
    <w:rsid w:val="005A577D"/>
    <w:rsid w:val="005A5E84"/>
    <w:rsid w:val="005B2F4C"/>
    <w:rsid w:val="005B6E80"/>
    <w:rsid w:val="005C13FC"/>
    <w:rsid w:val="005C1C47"/>
    <w:rsid w:val="005C231A"/>
    <w:rsid w:val="005C44F6"/>
    <w:rsid w:val="005C4ADA"/>
    <w:rsid w:val="005C5915"/>
    <w:rsid w:val="005D24A5"/>
    <w:rsid w:val="005D3AD3"/>
    <w:rsid w:val="005D405F"/>
    <w:rsid w:val="005D5628"/>
    <w:rsid w:val="005D67A9"/>
    <w:rsid w:val="005D793F"/>
    <w:rsid w:val="005E50BA"/>
    <w:rsid w:val="005E75BD"/>
    <w:rsid w:val="005E7D5E"/>
    <w:rsid w:val="005F0645"/>
    <w:rsid w:val="005F4B1D"/>
    <w:rsid w:val="005F73F2"/>
    <w:rsid w:val="00601FB0"/>
    <w:rsid w:val="006027DD"/>
    <w:rsid w:val="00602842"/>
    <w:rsid w:val="006037EE"/>
    <w:rsid w:val="00603A4B"/>
    <w:rsid w:val="00605BA7"/>
    <w:rsid w:val="006068FD"/>
    <w:rsid w:val="00606A7E"/>
    <w:rsid w:val="0060758B"/>
    <w:rsid w:val="0061070A"/>
    <w:rsid w:val="0061304C"/>
    <w:rsid w:val="00613973"/>
    <w:rsid w:val="00613E22"/>
    <w:rsid w:val="00616FF8"/>
    <w:rsid w:val="006170AA"/>
    <w:rsid w:val="00617D20"/>
    <w:rsid w:val="006238D8"/>
    <w:rsid w:val="006243AB"/>
    <w:rsid w:val="00624B09"/>
    <w:rsid w:val="0063132E"/>
    <w:rsid w:val="006314DF"/>
    <w:rsid w:val="0063245D"/>
    <w:rsid w:val="00632F5F"/>
    <w:rsid w:val="00635069"/>
    <w:rsid w:val="006358C1"/>
    <w:rsid w:val="00637951"/>
    <w:rsid w:val="00641A30"/>
    <w:rsid w:val="006451B3"/>
    <w:rsid w:val="00645388"/>
    <w:rsid w:val="006467C2"/>
    <w:rsid w:val="00650AAF"/>
    <w:rsid w:val="006522D1"/>
    <w:rsid w:val="006529EF"/>
    <w:rsid w:val="00652ACE"/>
    <w:rsid w:val="00653303"/>
    <w:rsid w:val="00656B61"/>
    <w:rsid w:val="006612EB"/>
    <w:rsid w:val="00664D27"/>
    <w:rsid w:val="006659BF"/>
    <w:rsid w:val="00670C9D"/>
    <w:rsid w:val="0067232E"/>
    <w:rsid w:val="00673445"/>
    <w:rsid w:val="00674871"/>
    <w:rsid w:val="00675B50"/>
    <w:rsid w:val="006808F3"/>
    <w:rsid w:val="00681B1B"/>
    <w:rsid w:val="00683CEE"/>
    <w:rsid w:val="00685A21"/>
    <w:rsid w:val="006872DB"/>
    <w:rsid w:val="00690CC6"/>
    <w:rsid w:val="00690D3F"/>
    <w:rsid w:val="0069295E"/>
    <w:rsid w:val="0069760B"/>
    <w:rsid w:val="006A6BFA"/>
    <w:rsid w:val="006B1D72"/>
    <w:rsid w:val="006B20C3"/>
    <w:rsid w:val="006B2C92"/>
    <w:rsid w:val="006B2CCA"/>
    <w:rsid w:val="006B4FCE"/>
    <w:rsid w:val="006B5710"/>
    <w:rsid w:val="006B7298"/>
    <w:rsid w:val="006C1ACD"/>
    <w:rsid w:val="006C1EEB"/>
    <w:rsid w:val="006C27AA"/>
    <w:rsid w:val="006C4098"/>
    <w:rsid w:val="006D150E"/>
    <w:rsid w:val="006D2801"/>
    <w:rsid w:val="006D2CDC"/>
    <w:rsid w:val="006D3D99"/>
    <w:rsid w:val="006D5964"/>
    <w:rsid w:val="006D5BFD"/>
    <w:rsid w:val="006D5EB4"/>
    <w:rsid w:val="006D667B"/>
    <w:rsid w:val="006D6E61"/>
    <w:rsid w:val="006E0E6E"/>
    <w:rsid w:val="006E1AAD"/>
    <w:rsid w:val="006E4217"/>
    <w:rsid w:val="006E5315"/>
    <w:rsid w:val="006E5F7D"/>
    <w:rsid w:val="006E6103"/>
    <w:rsid w:val="006E62A2"/>
    <w:rsid w:val="006E6363"/>
    <w:rsid w:val="006F1B5B"/>
    <w:rsid w:val="006F25E3"/>
    <w:rsid w:val="006F2E26"/>
    <w:rsid w:val="006F37FC"/>
    <w:rsid w:val="007011F6"/>
    <w:rsid w:val="00702AFD"/>
    <w:rsid w:val="0070349A"/>
    <w:rsid w:val="007059E1"/>
    <w:rsid w:val="00711751"/>
    <w:rsid w:val="0071271A"/>
    <w:rsid w:val="00713A5B"/>
    <w:rsid w:val="0071528F"/>
    <w:rsid w:val="00725AAF"/>
    <w:rsid w:val="007319F6"/>
    <w:rsid w:val="00732AD4"/>
    <w:rsid w:val="0073526F"/>
    <w:rsid w:val="00737638"/>
    <w:rsid w:val="00742738"/>
    <w:rsid w:val="00742C62"/>
    <w:rsid w:val="00743322"/>
    <w:rsid w:val="00743981"/>
    <w:rsid w:val="007446C4"/>
    <w:rsid w:val="00744DFF"/>
    <w:rsid w:val="00744EA9"/>
    <w:rsid w:val="00747BA4"/>
    <w:rsid w:val="007507CF"/>
    <w:rsid w:val="007510AB"/>
    <w:rsid w:val="00753166"/>
    <w:rsid w:val="00754532"/>
    <w:rsid w:val="00754712"/>
    <w:rsid w:val="00757403"/>
    <w:rsid w:val="00761061"/>
    <w:rsid w:val="00767F14"/>
    <w:rsid w:val="00770070"/>
    <w:rsid w:val="00771BDB"/>
    <w:rsid w:val="00772997"/>
    <w:rsid w:val="00773D01"/>
    <w:rsid w:val="00774B35"/>
    <w:rsid w:val="007756C3"/>
    <w:rsid w:val="0077680D"/>
    <w:rsid w:val="00780141"/>
    <w:rsid w:val="007824B5"/>
    <w:rsid w:val="00783BA2"/>
    <w:rsid w:val="00787041"/>
    <w:rsid w:val="00791BF8"/>
    <w:rsid w:val="00793C2C"/>
    <w:rsid w:val="00797B4D"/>
    <w:rsid w:val="00797E3A"/>
    <w:rsid w:val="007A4FD8"/>
    <w:rsid w:val="007A5721"/>
    <w:rsid w:val="007A5980"/>
    <w:rsid w:val="007A5E33"/>
    <w:rsid w:val="007A5F08"/>
    <w:rsid w:val="007B2E42"/>
    <w:rsid w:val="007B3643"/>
    <w:rsid w:val="007C5194"/>
    <w:rsid w:val="007C5BEC"/>
    <w:rsid w:val="007D1CD0"/>
    <w:rsid w:val="007D6272"/>
    <w:rsid w:val="007E1881"/>
    <w:rsid w:val="007E1C5A"/>
    <w:rsid w:val="007E497F"/>
    <w:rsid w:val="007E60B9"/>
    <w:rsid w:val="007F012F"/>
    <w:rsid w:val="007F3DE4"/>
    <w:rsid w:val="0080001B"/>
    <w:rsid w:val="008004D8"/>
    <w:rsid w:val="008007C1"/>
    <w:rsid w:val="008016C8"/>
    <w:rsid w:val="00802E3F"/>
    <w:rsid w:val="00803749"/>
    <w:rsid w:val="00803D25"/>
    <w:rsid w:val="0080520C"/>
    <w:rsid w:val="00806BB9"/>
    <w:rsid w:val="008115D8"/>
    <w:rsid w:val="00812249"/>
    <w:rsid w:val="008127CD"/>
    <w:rsid w:val="00813160"/>
    <w:rsid w:val="008153D3"/>
    <w:rsid w:val="00824B7F"/>
    <w:rsid w:val="00825F6E"/>
    <w:rsid w:val="008270DC"/>
    <w:rsid w:val="00827B50"/>
    <w:rsid w:val="00834238"/>
    <w:rsid w:val="00836E24"/>
    <w:rsid w:val="0084171C"/>
    <w:rsid w:val="008501CE"/>
    <w:rsid w:val="00854C41"/>
    <w:rsid w:val="008571B2"/>
    <w:rsid w:val="008575B3"/>
    <w:rsid w:val="0085B645"/>
    <w:rsid w:val="00862893"/>
    <w:rsid w:val="00863206"/>
    <w:rsid w:val="00863D44"/>
    <w:rsid w:val="0086400B"/>
    <w:rsid w:val="00866BDC"/>
    <w:rsid w:val="00867413"/>
    <w:rsid w:val="008836DD"/>
    <w:rsid w:val="00886893"/>
    <w:rsid w:val="00887167"/>
    <w:rsid w:val="00887192"/>
    <w:rsid w:val="00887F65"/>
    <w:rsid w:val="008904E8"/>
    <w:rsid w:val="00898FC1"/>
    <w:rsid w:val="008A0C55"/>
    <w:rsid w:val="008A393A"/>
    <w:rsid w:val="008A465E"/>
    <w:rsid w:val="008A659B"/>
    <w:rsid w:val="008A6B6D"/>
    <w:rsid w:val="008A6C56"/>
    <w:rsid w:val="008B7A32"/>
    <w:rsid w:val="008C08C9"/>
    <w:rsid w:val="008C1130"/>
    <w:rsid w:val="008C2C5C"/>
    <w:rsid w:val="008C30C4"/>
    <w:rsid w:val="008C35F3"/>
    <w:rsid w:val="008C4487"/>
    <w:rsid w:val="008C4B4D"/>
    <w:rsid w:val="008C640B"/>
    <w:rsid w:val="008D2A72"/>
    <w:rsid w:val="008D67AF"/>
    <w:rsid w:val="008D6B54"/>
    <w:rsid w:val="008D7AB9"/>
    <w:rsid w:val="008F1601"/>
    <w:rsid w:val="008F2A8B"/>
    <w:rsid w:val="008F6668"/>
    <w:rsid w:val="008F7813"/>
    <w:rsid w:val="00901033"/>
    <w:rsid w:val="0090193B"/>
    <w:rsid w:val="00903F95"/>
    <w:rsid w:val="00912736"/>
    <w:rsid w:val="0091492A"/>
    <w:rsid w:val="00915E24"/>
    <w:rsid w:val="0091787E"/>
    <w:rsid w:val="00917E14"/>
    <w:rsid w:val="00917E2B"/>
    <w:rsid w:val="00921DA4"/>
    <w:rsid w:val="00921F9E"/>
    <w:rsid w:val="009238EE"/>
    <w:rsid w:val="00931800"/>
    <w:rsid w:val="00934D0E"/>
    <w:rsid w:val="00936141"/>
    <w:rsid w:val="00937314"/>
    <w:rsid w:val="00942B6F"/>
    <w:rsid w:val="00942DCB"/>
    <w:rsid w:val="0094633F"/>
    <w:rsid w:val="0095048C"/>
    <w:rsid w:val="00951BD5"/>
    <w:rsid w:val="009522A8"/>
    <w:rsid w:val="00953460"/>
    <w:rsid w:val="009538D1"/>
    <w:rsid w:val="00953D38"/>
    <w:rsid w:val="009558E9"/>
    <w:rsid w:val="009605AF"/>
    <w:rsid w:val="00964697"/>
    <w:rsid w:val="0097192F"/>
    <w:rsid w:val="00972E71"/>
    <w:rsid w:val="00972ED6"/>
    <w:rsid w:val="00975511"/>
    <w:rsid w:val="0098090B"/>
    <w:rsid w:val="00982394"/>
    <w:rsid w:val="0098516A"/>
    <w:rsid w:val="00991008"/>
    <w:rsid w:val="00991225"/>
    <w:rsid w:val="00991A4F"/>
    <w:rsid w:val="009A324F"/>
    <w:rsid w:val="009A5219"/>
    <w:rsid w:val="009A5696"/>
    <w:rsid w:val="009AB2FB"/>
    <w:rsid w:val="009B11E8"/>
    <w:rsid w:val="009B19E6"/>
    <w:rsid w:val="009BEA6E"/>
    <w:rsid w:val="009C1803"/>
    <w:rsid w:val="009C243B"/>
    <w:rsid w:val="009C2E87"/>
    <w:rsid w:val="009C40A6"/>
    <w:rsid w:val="009C48B9"/>
    <w:rsid w:val="009C51ED"/>
    <w:rsid w:val="009C7EC1"/>
    <w:rsid w:val="009D539D"/>
    <w:rsid w:val="009D630C"/>
    <w:rsid w:val="009D6DC9"/>
    <w:rsid w:val="009D7E69"/>
    <w:rsid w:val="009E14D0"/>
    <w:rsid w:val="009E1B75"/>
    <w:rsid w:val="009E4237"/>
    <w:rsid w:val="009E423B"/>
    <w:rsid w:val="009E48F3"/>
    <w:rsid w:val="009E62A9"/>
    <w:rsid w:val="009E7136"/>
    <w:rsid w:val="009F0ADF"/>
    <w:rsid w:val="009F6086"/>
    <w:rsid w:val="009F6CE5"/>
    <w:rsid w:val="00A04C87"/>
    <w:rsid w:val="00A061AA"/>
    <w:rsid w:val="00A065E0"/>
    <w:rsid w:val="00A07D25"/>
    <w:rsid w:val="00A1168B"/>
    <w:rsid w:val="00A12431"/>
    <w:rsid w:val="00A15408"/>
    <w:rsid w:val="00A155A1"/>
    <w:rsid w:val="00A155EA"/>
    <w:rsid w:val="00A229DA"/>
    <w:rsid w:val="00A22CD1"/>
    <w:rsid w:val="00A25529"/>
    <w:rsid w:val="00A31C36"/>
    <w:rsid w:val="00A3359C"/>
    <w:rsid w:val="00A344D8"/>
    <w:rsid w:val="00A358F5"/>
    <w:rsid w:val="00A35D71"/>
    <w:rsid w:val="00A360FB"/>
    <w:rsid w:val="00A372C7"/>
    <w:rsid w:val="00A402BD"/>
    <w:rsid w:val="00A42724"/>
    <w:rsid w:val="00A45F05"/>
    <w:rsid w:val="00A477C6"/>
    <w:rsid w:val="00A51FC5"/>
    <w:rsid w:val="00A537B0"/>
    <w:rsid w:val="00A544AC"/>
    <w:rsid w:val="00A5719D"/>
    <w:rsid w:val="00A60EC9"/>
    <w:rsid w:val="00A61D89"/>
    <w:rsid w:val="00A631D8"/>
    <w:rsid w:val="00A63F73"/>
    <w:rsid w:val="00A64CBA"/>
    <w:rsid w:val="00A65C21"/>
    <w:rsid w:val="00A66E8B"/>
    <w:rsid w:val="00A71678"/>
    <w:rsid w:val="00A73834"/>
    <w:rsid w:val="00A7413E"/>
    <w:rsid w:val="00A74700"/>
    <w:rsid w:val="00A74E9F"/>
    <w:rsid w:val="00A777F3"/>
    <w:rsid w:val="00A837C2"/>
    <w:rsid w:val="00A83BA2"/>
    <w:rsid w:val="00A850C2"/>
    <w:rsid w:val="00A86CB3"/>
    <w:rsid w:val="00A87533"/>
    <w:rsid w:val="00A920F9"/>
    <w:rsid w:val="00A92D3D"/>
    <w:rsid w:val="00AA508F"/>
    <w:rsid w:val="00AA5816"/>
    <w:rsid w:val="00AA64D6"/>
    <w:rsid w:val="00AA76E8"/>
    <w:rsid w:val="00AA7FEC"/>
    <w:rsid w:val="00AB0D01"/>
    <w:rsid w:val="00AB2B42"/>
    <w:rsid w:val="00AB347A"/>
    <w:rsid w:val="00AB536C"/>
    <w:rsid w:val="00AB7948"/>
    <w:rsid w:val="00ABDC78"/>
    <w:rsid w:val="00AC1216"/>
    <w:rsid w:val="00AC18CE"/>
    <w:rsid w:val="00AC1AEF"/>
    <w:rsid w:val="00AC2815"/>
    <w:rsid w:val="00AC5FF7"/>
    <w:rsid w:val="00AC6590"/>
    <w:rsid w:val="00AC7661"/>
    <w:rsid w:val="00AC7C7A"/>
    <w:rsid w:val="00AD391F"/>
    <w:rsid w:val="00AD5228"/>
    <w:rsid w:val="00AD55AB"/>
    <w:rsid w:val="00AD5B42"/>
    <w:rsid w:val="00AE03B1"/>
    <w:rsid w:val="00AE0A24"/>
    <w:rsid w:val="00AE0C9C"/>
    <w:rsid w:val="00AE0FDA"/>
    <w:rsid w:val="00AE2116"/>
    <w:rsid w:val="00AE3831"/>
    <w:rsid w:val="00AE3BAB"/>
    <w:rsid w:val="00AE4205"/>
    <w:rsid w:val="00AF15AE"/>
    <w:rsid w:val="00AF1CA1"/>
    <w:rsid w:val="00AF1E53"/>
    <w:rsid w:val="00AF4D4B"/>
    <w:rsid w:val="00AF6662"/>
    <w:rsid w:val="00B0101B"/>
    <w:rsid w:val="00B020AB"/>
    <w:rsid w:val="00B03BA4"/>
    <w:rsid w:val="00B03C48"/>
    <w:rsid w:val="00B059E7"/>
    <w:rsid w:val="00B061AE"/>
    <w:rsid w:val="00B1098B"/>
    <w:rsid w:val="00B10D2C"/>
    <w:rsid w:val="00B11B5E"/>
    <w:rsid w:val="00B1791D"/>
    <w:rsid w:val="00B22031"/>
    <w:rsid w:val="00B2447A"/>
    <w:rsid w:val="00B27DDC"/>
    <w:rsid w:val="00B3053E"/>
    <w:rsid w:val="00B31AF7"/>
    <w:rsid w:val="00B323F6"/>
    <w:rsid w:val="00B367DD"/>
    <w:rsid w:val="00B3785A"/>
    <w:rsid w:val="00B418CF"/>
    <w:rsid w:val="00B41D78"/>
    <w:rsid w:val="00B47A0D"/>
    <w:rsid w:val="00B510C0"/>
    <w:rsid w:val="00B511D2"/>
    <w:rsid w:val="00B5256A"/>
    <w:rsid w:val="00B5665A"/>
    <w:rsid w:val="00B57521"/>
    <w:rsid w:val="00B6267D"/>
    <w:rsid w:val="00B62CB9"/>
    <w:rsid w:val="00B64E8C"/>
    <w:rsid w:val="00B67B04"/>
    <w:rsid w:val="00B71835"/>
    <w:rsid w:val="00B72E47"/>
    <w:rsid w:val="00B735BD"/>
    <w:rsid w:val="00B756E1"/>
    <w:rsid w:val="00B75B07"/>
    <w:rsid w:val="00B76527"/>
    <w:rsid w:val="00B770B8"/>
    <w:rsid w:val="00B81FCC"/>
    <w:rsid w:val="00B82D15"/>
    <w:rsid w:val="00B836DA"/>
    <w:rsid w:val="00B83CFB"/>
    <w:rsid w:val="00B84A5F"/>
    <w:rsid w:val="00B85EE2"/>
    <w:rsid w:val="00B86D45"/>
    <w:rsid w:val="00B86F32"/>
    <w:rsid w:val="00B90477"/>
    <w:rsid w:val="00B96B0A"/>
    <w:rsid w:val="00BA6938"/>
    <w:rsid w:val="00BB43D7"/>
    <w:rsid w:val="00BC5354"/>
    <w:rsid w:val="00BD073E"/>
    <w:rsid w:val="00BD3918"/>
    <w:rsid w:val="00BD3C35"/>
    <w:rsid w:val="00BD4042"/>
    <w:rsid w:val="00BD44A8"/>
    <w:rsid w:val="00BD4989"/>
    <w:rsid w:val="00BD6C01"/>
    <w:rsid w:val="00BD6D48"/>
    <w:rsid w:val="00BE390A"/>
    <w:rsid w:val="00BE7C1E"/>
    <w:rsid w:val="00BE7DC2"/>
    <w:rsid w:val="00BF0080"/>
    <w:rsid w:val="00BF2297"/>
    <w:rsid w:val="00BF2D66"/>
    <w:rsid w:val="00BF4729"/>
    <w:rsid w:val="00BF502D"/>
    <w:rsid w:val="00C006AF"/>
    <w:rsid w:val="00C01A39"/>
    <w:rsid w:val="00C02AD0"/>
    <w:rsid w:val="00C07301"/>
    <w:rsid w:val="00C1038B"/>
    <w:rsid w:val="00C16A1D"/>
    <w:rsid w:val="00C211C7"/>
    <w:rsid w:val="00C226D7"/>
    <w:rsid w:val="00C2274D"/>
    <w:rsid w:val="00C27CE1"/>
    <w:rsid w:val="00C353FC"/>
    <w:rsid w:val="00C373CC"/>
    <w:rsid w:val="00C377F4"/>
    <w:rsid w:val="00C41FD1"/>
    <w:rsid w:val="00C45563"/>
    <w:rsid w:val="00C468F4"/>
    <w:rsid w:val="00C5100E"/>
    <w:rsid w:val="00C5149F"/>
    <w:rsid w:val="00C52BA7"/>
    <w:rsid w:val="00C52D8B"/>
    <w:rsid w:val="00C61BEE"/>
    <w:rsid w:val="00C631CC"/>
    <w:rsid w:val="00C6759B"/>
    <w:rsid w:val="00C67ABE"/>
    <w:rsid w:val="00C724A1"/>
    <w:rsid w:val="00C73D10"/>
    <w:rsid w:val="00C7784E"/>
    <w:rsid w:val="00C7E9D8"/>
    <w:rsid w:val="00C81737"/>
    <w:rsid w:val="00C831F0"/>
    <w:rsid w:val="00C835AB"/>
    <w:rsid w:val="00C8382F"/>
    <w:rsid w:val="00C908A0"/>
    <w:rsid w:val="00C9331B"/>
    <w:rsid w:val="00C93D2E"/>
    <w:rsid w:val="00C95620"/>
    <w:rsid w:val="00C968C2"/>
    <w:rsid w:val="00C978B6"/>
    <w:rsid w:val="00CA2393"/>
    <w:rsid w:val="00CA25AD"/>
    <w:rsid w:val="00CA27F4"/>
    <w:rsid w:val="00CA3EB7"/>
    <w:rsid w:val="00CA7297"/>
    <w:rsid w:val="00CB11A7"/>
    <w:rsid w:val="00CB2F75"/>
    <w:rsid w:val="00CB3E59"/>
    <w:rsid w:val="00CB3F55"/>
    <w:rsid w:val="00CB60C6"/>
    <w:rsid w:val="00CC00E3"/>
    <w:rsid w:val="00CC0289"/>
    <w:rsid w:val="00CC3F36"/>
    <w:rsid w:val="00CC69BF"/>
    <w:rsid w:val="00CD0FCF"/>
    <w:rsid w:val="00CD380C"/>
    <w:rsid w:val="00CE1D3C"/>
    <w:rsid w:val="00CE47A4"/>
    <w:rsid w:val="00CF02A2"/>
    <w:rsid w:val="00CF3C51"/>
    <w:rsid w:val="00CF42E8"/>
    <w:rsid w:val="00CF53B5"/>
    <w:rsid w:val="00CF5A81"/>
    <w:rsid w:val="00CF769A"/>
    <w:rsid w:val="00D0053D"/>
    <w:rsid w:val="00D02C78"/>
    <w:rsid w:val="00D042AF"/>
    <w:rsid w:val="00D04505"/>
    <w:rsid w:val="00D04CBF"/>
    <w:rsid w:val="00D0601D"/>
    <w:rsid w:val="00D07449"/>
    <w:rsid w:val="00D079B9"/>
    <w:rsid w:val="00D07CD8"/>
    <w:rsid w:val="00D11980"/>
    <w:rsid w:val="00D1214A"/>
    <w:rsid w:val="00D12372"/>
    <w:rsid w:val="00D15EB3"/>
    <w:rsid w:val="00D24248"/>
    <w:rsid w:val="00D25C0E"/>
    <w:rsid w:val="00D262AE"/>
    <w:rsid w:val="00D30EB0"/>
    <w:rsid w:val="00D34EA7"/>
    <w:rsid w:val="00D40481"/>
    <w:rsid w:val="00D40CFD"/>
    <w:rsid w:val="00D4187D"/>
    <w:rsid w:val="00D469C1"/>
    <w:rsid w:val="00D55172"/>
    <w:rsid w:val="00D55971"/>
    <w:rsid w:val="00D57294"/>
    <w:rsid w:val="00D57ECC"/>
    <w:rsid w:val="00D61126"/>
    <w:rsid w:val="00D63242"/>
    <w:rsid w:val="00D6452B"/>
    <w:rsid w:val="00D65EAF"/>
    <w:rsid w:val="00D7159D"/>
    <w:rsid w:val="00D84913"/>
    <w:rsid w:val="00D86549"/>
    <w:rsid w:val="00D87E1E"/>
    <w:rsid w:val="00D91FA1"/>
    <w:rsid w:val="00D92368"/>
    <w:rsid w:val="00D93415"/>
    <w:rsid w:val="00D95FE7"/>
    <w:rsid w:val="00D97EE0"/>
    <w:rsid w:val="00DA12E0"/>
    <w:rsid w:val="00DA1C5A"/>
    <w:rsid w:val="00DA4A71"/>
    <w:rsid w:val="00DA6551"/>
    <w:rsid w:val="00DA6BE4"/>
    <w:rsid w:val="00DB2ACD"/>
    <w:rsid w:val="00DC0B10"/>
    <w:rsid w:val="00DC1B33"/>
    <w:rsid w:val="00DC417B"/>
    <w:rsid w:val="00DD1B3A"/>
    <w:rsid w:val="00DD2549"/>
    <w:rsid w:val="00DD273E"/>
    <w:rsid w:val="00DD3AA1"/>
    <w:rsid w:val="00DD4D12"/>
    <w:rsid w:val="00DD546A"/>
    <w:rsid w:val="00DD6C94"/>
    <w:rsid w:val="00DE074E"/>
    <w:rsid w:val="00DE1479"/>
    <w:rsid w:val="00DE40E5"/>
    <w:rsid w:val="00DE4E53"/>
    <w:rsid w:val="00DE5B5C"/>
    <w:rsid w:val="00DE603D"/>
    <w:rsid w:val="00DE619A"/>
    <w:rsid w:val="00DF04F8"/>
    <w:rsid w:val="00DF1905"/>
    <w:rsid w:val="00DF1D28"/>
    <w:rsid w:val="00DF1F81"/>
    <w:rsid w:val="00DF2A77"/>
    <w:rsid w:val="00DF497F"/>
    <w:rsid w:val="00DF6E81"/>
    <w:rsid w:val="00E0089E"/>
    <w:rsid w:val="00E02636"/>
    <w:rsid w:val="00E0509D"/>
    <w:rsid w:val="00E058C5"/>
    <w:rsid w:val="00E1089C"/>
    <w:rsid w:val="00E10F5C"/>
    <w:rsid w:val="00E1645C"/>
    <w:rsid w:val="00E178E1"/>
    <w:rsid w:val="00E21804"/>
    <w:rsid w:val="00E23751"/>
    <w:rsid w:val="00E23A68"/>
    <w:rsid w:val="00E3378F"/>
    <w:rsid w:val="00E351B4"/>
    <w:rsid w:val="00E35CDB"/>
    <w:rsid w:val="00E378D8"/>
    <w:rsid w:val="00E407E4"/>
    <w:rsid w:val="00E4080D"/>
    <w:rsid w:val="00E44DE1"/>
    <w:rsid w:val="00E467CD"/>
    <w:rsid w:val="00E508FE"/>
    <w:rsid w:val="00E5287B"/>
    <w:rsid w:val="00E5453F"/>
    <w:rsid w:val="00E549E0"/>
    <w:rsid w:val="00E553E7"/>
    <w:rsid w:val="00E56788"/>
    <w:rsid w:val="00E6011E"/>
    <w:rsid w:val="00E60B90"/>
    <w:rsid w:val="00E61032"/>
    <w:rsid w:val="00E63F4E"/>
    <w:rsid w:val="00E710BC"/>
    <w:rsid w:val="00E80F9A"/>
    <w:rsid w:val="00E826F7"/>
    <w:rsid w:val="00E8645A"/>
    <w:rsid w:val="00E90598"/>
    <w:rsid w:val="00E90750"/>
    <w:rsid w:val="00E90CAE"/>
    <w:rsid w:val="00E945EC"/>
    <w:rsid w:val="00E95B78"/>
    <w:rsid w:val="00E96EB1"/>
    <w:rsid w:val="00EA1398"/>
    <w:rsid w:val="00EA31DC"/>
    <w:rsid w:val="00EA3B42"/>
    <w:rsid w:val="00EA4E2C"/>
    <w:rsid w:val="00EA62F8"/>
    <w:rsid w:val="00EA6818"/>
    <w:rsid w:val="00EA703F"/>
    <w:rsid w:val="00EB2991"/>
    <w:rsid w:val="00EB57D2"/>
    <w:rsid w:val="00EB7B62"/>
    <w:rsid w:val="00EC17F2"/>
    <w:rsid w:val="00EC57B4"/>
    <w:rsid w:val="00EC6AFC"/>
    <w:rsid w:val="00EC7D12"/>
    <w:rsid w:val="00ED1D32"/>
    <w:rsid w:val="00ED3F84"/>
    <w:rsid w:val="00ED6AF4"/>
    <w:rsid w:val="00ED6C88"/>
    <w:rsid w:val="00ED7BBA"/>
    <w:rsid w:val="00EE0846"/>
    <w:rsid w:val="00EE1848"/>
    <w:rsid w:val="00EE2185"/>
    <w:rsid w:val="00EE40F8"/>
    <w:rsid w:val="00EE473C"/>
    <w:rsid w:val="00EE6AC9"/>
    <w:rsid w:val="00EF164D"/>
    <w:rsid w:val="00EF34A9"/>
    <w:rsid w:val="00EF54DC"/>
    <w:rsid w:val="00EF5973"/>
    <w:rsid w:val="00EF5981"/>
    <w:rsid w:val="00EF6FCB"/>
    <w:rsid w:val="00F03458"/>
    <w:rsid w:val="00F05020"/>
    <w:rsid w:val="00F050D3"/>
    <w:rsid w:val="00F11319"/>
    <w:rsid w:val="00F130C7"/>
    <w:rsid w:val="00F151B4"/>
    <w:rsid w:val="00F17553"/>
    <w:rsid w:val="00F22716"/>
    <w:rsid w:val="00F23068"/>
    <w:rsid w:val="00F25C53"/>
    <w:rsid w:val="00F26EBD"/>
    <w:rsid w:val="00F30181"/>
    <w:rsid w:val="00F31956"/>
    <w:rsid w:val="00F31BBA"/>
    <w:rsid w:val="00F31F74"/>
    <w:rsid w:val="00F32C70"/>
    <w:rsid w:val="00F346CF"/>
    <w:rsid w:val="00F34D8B"/>
    <w:rsid w:val="00F35C7E"/>
    <w:rsid w:val="00F40334"/>
    <w:rsid w:val="00F427E1"/>
    <w:rsid w:val="00F43397"/>
    <w:rsid w:val="00F476D3"/>
    <w:rsid w:val="00F51123"/>
    <w:rsid w:val="00F51794"/>
    <w:rsid w:val="00F5378F"/>
    <w:rsid w:val="00F554AB"/>
    <w:rsid w:val="00F71F53"/>
    <w:rsid w:val="00F71F6B"/>
    <w:rsid w:val="00F73BF9"/>
    <w:rsid w:val="00F75691"/>
    <w:rsid w:val="00F76866"/>
    <w:rsid w:val="00F80D0A"/>
    <w:rsid w:val="00F82B9F"/>
    <w:rsid w:val="00F83652"/>
    <w:rsid w:val="00F86FD9"/>
    <w:rsid w:val="00F9135E"/>
    <w:rsid w:val="00F914C2"/>
    <w:rsid w:val="00F92CFB"/>
    <w:rsid w:val="00F94C8E"/>
    <w:rsid w:val="00F97125"/>
    <w:rsid w:val="00F97558"/>
    <w:rsid w:val="00FA0515"/>
    <w:rsid w:val="00FA3FCE"/>
    <w:rsid w:val="00FA6865"/>
    <w:rsid w:val="00FB3336"/>
    <w:rsid w:val="00FB60C7"/>
    <w:rsid w:val="00FC1B64"/>
    <w:rsid w:val="00FC2E85"/>
    <w:rsid w:val="00FC5944"/>
    <w:rsid w:val="00FC620D"/>
    <w:rsid w:val="00FC659A"/>
    <w:rsid w:val="00FC745C"/>
    <w:rsid w:val="00FC7BC3"/>
    <w:rsid w:val="00FD1B9A"/>
    <w:rsid w:val="00FD292E"/>
    <w:rsid w:val="00FE021E"/>
    <w:rsid w:val="00FE0D1F"/>
    <w:rsid w:val="00FE1C6A"/>
    <w:rsid w:val="00FE22F0"/>
    <w:rsid w:val="00FE3CEC"/>
    <w:rsid w:val="00FF1AFD"/>
    <w:rsid w:val="00FF65B3"/>
    <w:rsid w:val="01128011"/>
    <w:rsid w:val="011FA71A"/>
    <w:rsid w:val="01217A19"/>
    <w:rsid w:val="0123406B"/>
    <w:rsid w:val="01620AD9"/>
    <w:rsid w:val="016AF3BC"/>
    <w:rsid w:val="01F88AEB"/>
    <w:rsid w:val="02466009"/>
    <w:rsid w:val="02510FFB"/>
    <w:rsid w:val="026F92CC"/>
    <w:rsid w:val="0293AD52"/>
    <w:rsid w:val="0298D5CF"/>
    <w:rsid w:val="029EB141"/>
    <w:rsid w:val="02BD63D9"/>
    <w:rsid w:val="02C912AB"/>
    <w:rsid w:val="02DC7F3D"/>
    <w:rsid w:val="02F811DD"/>
    <w:rsid w:val="031207EC"/>
    <w:rsid w:val="035EAF86"/>
    <w:rsid w:val="039098D4"/>
    <w:rsid w:val="03985F6F"/>
    <w:rsid w:val="03AD0A54"/>
    <w:rsid w:val="03B52436"/>
    <w:rsid w:val="03E050D5"/>
    <w:rsid w:val="0417AC2D"/>
    <w:rsid w:val="041EEE26"/>
    <w:rsid w:val="042D694F"/>
    <w:rsid w:val="0440D633"/>
    <w:rsid w:val="044B0EBC"/>
    <w:rsid w:val="045039F7"/>
    <w:rsid w:val="045BA782"/>
    <w:rsid w:val="04809DAF"/>
    <w:rsid w:val="0480CC1D"/>
    <w:rsid w:val="04AFB4A7"/>
    <w:rsid w:val="04B2E004"/>
    <w:rsid w:val="04BCB395"/>
    <w:rsid w:val="04D4BF4E"/>
    <w:rsid w:val="04F26487"/>
    <w:rsid w:val="04F8E6C2"/>
    <w:rsid w:val="0505288B"/>
    <w:rsid w:val="050824FA"/>
    <w:rsid w:val="0511BBA5"/>
    <w:rsid w:val="05164D6D"/>
    <w:rsid w:val="054B23AE"/>
    <w:rsid w:val="055E0A95"/>
    <w:rsid w:val="05634CD9"/>
    <w:rsid w:val="056B1165"/>
    <w:rsid w:val="056F0D6A"/>
    <w:rsid w:val="056F20EC"/>
    <w:rsid w:val="057FC567"/>
    <w:rsid w:val="057FEC6E"/>
    <w:rsid w:val="05821B60"/>
    <w:rsid w:val="05BD5E60"/>
    <w:rsid w:val="05F1CB31"/>
    <w:rsid w:val="062146D3"/>
    <w:rsid w:val="06248F86"/>
    <w:rsid w:val="063DF4B2"/>
    <w:rsid w:val="0676403D"/>
    <w:rsid w:val="06765FDB"/>
    <w:rsid w:val="06800FA9"/>
    <w:rsid w:val="068298F7"/>
    <w:rsid w:val="0683E15A"/>
    <w:rsid w:val="068E90FB"/>
    <w:rsid w:val="06DC290F"/>
    <w:rsid w:val="07000E99"/>
    <w:rsid w:val="0704D12E"/>
    <w:rsid w:val="071F348B"/>
    <w:rsid w:val="072BFC5E"/>
    <w:rsid w:val="072EB681"/>
    <w:rsid w:val="0732662E"/>
    <w:rsid w:val="073B540A"/>
    <w:rsid w:val="077365E4"/>
    <w:rsid w:val="07A35B23"/>
    <w:rsid w:val="07C86E64"/>
    <w:rsid w:val="07E0834D"/>
    <w:rsid w:val="07E3490B"/>
    <w:rsid w:val="07EF62B9"/>
    <w:rsid w:val="07F0AB95"/>
    <w:rsid w:val="08049BDE"/>
    <w:rsid w:val="0817B186"/>
    <w:rsid w:val="081E014E"/>
    <w:rsid w:val="08537339"/>
    <w:rsid w:val="085E1CAA"/>
    <w:rsid w:val="08758DE9"/>
    <w:rsid w:val="088BAF82"/>
    <w:rsid w:val="08A9F572"/>
    <w:rsid w:val="08FDDE81"/>
    <w:rsid w:val="091EF280"/>
    <w:rsid w:val="09420A68"/>
    <w:rsid w:val="0968B722"/>
    <w:rsid w:val="0989F639"/>
    <w:rsid w:val="09902EF1"/>
    <w:rsid w:val="09AEB38F"/>
    <w:rsid w:val="09CAA665"/>
    <w:rsid w:val="09CD9C01"/>
    <w:rsid w:val="09D3E27A"/>
    <w:rsid w:val="0A223C91"/>
    <w:rsid w:val="0A2D8394"/>
    <w:rsid w:val="0A3093B1"/>
    <w:rsid w:val="0A644FEB"/>
    <w:rsid w:val="0A66C505"/>
    <w:rsid w:val="0ACE746B"/>
    <w:rsid w:val="0AF2ACCB"/>
    <w:rsid w:val="0B04A975"/>
    <w:rsid w:val="0B2C3216"/>
    <w:rsid w:val="0B411A28"/>
    <w:rsid w:val="0B533247"/>
    <w:rsid w:val="0B69098F"/>
    <w:rsid w:val="0BBB6B46"/>
    <w:rsid w:val="0BD68E4B"/>
    <w:rsid w:val="0BE0EE9A"/>
    <w:rsid w:val="0C088AA7"/>
    <w:rsid w:val="0C0BBBA9"/>
    <w:rsid w:val="0C519053"/>
    <w:rsid w:val="0C5F286E"/>
    <w:rsid w:val="0C6FE69E"/>
    <w:rsid w:val="0C7BDDB8"/>
    <w:rsid w:val="0C7DE6EA"/>
    <w:rsid w:val="0C800C9A"/>
    <w:rsid w:val="0C99AA55"/>
    <w:rsid w:val="0CC60223"/>
    <w:rsid w:val="0CC78D60"/>
    <w:rsid w:val="0CFD8935"/>
    <w:rsid w:val="0D173609"/>
    <w:rsid w:val="0D17D88E"/>
    <w:rsid w:val="0D1F9DEC"/>
    <w:rsid w:val="0D2B1885"/>
    <w:rsid w:val="0D7A9674"/>
    <w:rsid w:val="0D7DFEE6"/>
    <w:rsid w:val="0D94B2B8"/>
    <w:rsid w:val="0D977E4A"/>
    <w:rsid w:val="0DAC0F7B"/>
    <w:rsid w:val="0DE2F2B4"/>
    <w:rsid w:val="0DE3BD79"/>
    <w:rsid w:val="0DE66C89"/>
    <w:rsid w:val="0E07948E"/>
    <w:rsid w:val="0E256F0F"/>
    <w:rsid w:val="0E403163"/>
    <w:rsid w:val="0E5B5D4C"/>
    <w:rsid w:val="0E5DEBD3"/>
    <w:rsid w:val="0E680EB7"/>
    <w:rsid w:val="0E692DA7"/>
    <w:rsid w:val="0E830217"/>
    <w:rsid w:val="0E935954"/>
    <w:rsid w:val="0E963456"/>
    <w:rsid w:val="0EB20424"/>
    <w:rsid w:val="0EC91184"/>
    <w:rsid w:val="0EDE7109"/>
    <w:rsid w:val="0F09D98D"/>
    <w:rsid w:val="0F0AED20"/>
    <w:rsid w:val="0F380986"/>
    <w:rsid w:val="0F46A1B6"/>
    <w:rsid w:val="0F67390E"/>
    <w:rsid w:val="0F7EE3F6"/>
    <w:rsid w:val="0F80DE52"/>
    <w:rsid w:val="0F861672"/>
    <w:rsid w:val="0F8A209A"/>
    <w:rsid w:val="0F8ED5A7"/>
    <w:rsid w:val="0FA1B4B5"/>
    <w:rsid w:val="0FD01010"/>
    <w:rsid w:val="0FD762FA"/>
    <w:rsid w:val="0FE0C0FB"/>
    <w:rsid w:val="0FF6BD2B"/>
    <w:rsid w:val="1019C517"/>
    <w:rsid w:val="102D86EF"/>
    <w:rsid w:val="10308FE5"/>
    <w:rsid w:val="1046ED39"/>
    <w:rsid w:val="106B4668"/>
    <w:rsid w:val="10B03FE4"/>
    <w:rsid w:val="10B2FD86"/>
    <w:rsid w:val="10C5A0D5"/>
    <w:rsid w:val="10F5EF3D"/>
    <w:rsid w:val="1103CC1C"/>
    <w:rsid w:val="11063A98"/>
    <w:rsid w:val="1113215F"/>
    <w:rsid w:val="1119030C"/>
    <w:rsid w:val="114A8853"/>
    <w:rsid w:val="1161FD63"/>
    <w:rsid w:val="118144A0"/>
    <w:rsid w:val="1187D910"/>
    <w:rsid w:val="1188E8AF"/>
    <w:rsid w:val="118AD2A3"/>
    <w:rsid w:val="11B7BFD4"/>
    <w:rsid w:val="11D3E71C"/>
    <w:rsid w:val="11DC8E22"/>
    <w:rsid w:val="11DCD069"/>
    <w:rsid w:val="1200F0FD"/>
    <w:rsid w:val="1201841E"/>
    <w:rsid w:val="1211554C"/>
    <w:rsid w:val="1256AD34"/>
    <w:rsid w:val="125B2FBD"/>
    <w:rsid w:val="12635789"/>
    <w:rsid w:val="12785D9C"/>
    <w:rsid w:val="1295EF2E"/>
    <w:rsid w:val="12D85917"/>
    <w:rsid w:val="12DF4846"/>
    <w:rsid w:val="1304B94E"/>
    <w:rsid w:val="1308325B"/>
    <w:rsid w:val="130E9A69"/>
    <w:rsid w:val="13207A6B"/>
    <w:rsid w:val="13456EF9"/>
    <w:rsid w:val="13788FC6"/>
    <w:rsid w:val="1378D2FF"/>
    <w:rsid w:val="1379D6BA"/>
    <w:rsid w:val="1385038A"/>
    <w:rsid w:val="138BD117"/>
    <w:rsid w:val="13C53386"/>
    <w:rsid w:val="13D5C04D"/>
    <w:rsid w:val="13EAFAFB"/>
    <w:rsid w:val="13FA4D19"/>
    <w:rsid w:val="1426C96A"/>
    <w:rsid w:val="1496386A"/>
    <w:rsid w:val="1497BB9E"/>
    <w:rsid w:val="14A6AB3C"/>
    <w:rsid w:val="14BF52C0"/>
    <w:rsid w:val="150A71DD"/>
    <w:rsid w:val="15180607"/>
    <w:rsid w:val="154B4DD3"/>
    <w:rsid w:val="157A153A"/>
    <w:rsid w:val="157CCFF8"/>
    <w:rsid w:val="15BF5CCE"/>
    <w:rsid w:val="1601BD23"/>
    <w:rsid w:val="1620C96C"/>
    <w:rsid w:val="162EA8FA"/>
    <w:rsid w:val="1646D02C"/>
    <w:rsid w:val="168C7349"/>
    <w:rsid w:val="16953249"/>
    <w:rsid w:val="16DD7370"/>
    <w:rsid w:val="16F373C3"/>
    <w:rsid w:val="172C1DE9"/>
    <w:rsid w:val="172ECEB4"/>
    <w:rsid w:val="173731C8"/>
    <w:rsid w:val="17762BA5"/>
    <w:rsid w:val="17792FD6"/>
    <w:rsid w:val="17AF5389"/>
    <w:rsid w:val="17BE145B"/>
    <w:rsid w:val="17C59431"/>
    <w:rsid w:val="17D420B5"/>
    <w:rsid w:val="17E62681"/>
    <w:rsid w:val="17F09692"/>
    <w:rsid w:val="18085C05"/>
    <w:rsid w:val="180C2725"/>
    <w:rsid w:val="182CB049"/>
    <w:rsid w:val="183B7AE7"/>
    <w:rsid w:val="185F44D6"/>
    <w:rsid w:val="186CF08D"/>
    <w:rsid w:val="1889D3B7"/>
    <w:rsid w:val="1895F91B"/>
    <w:rsid w:val="18C28397"/>
    <w:rsid w:val="18E031DD"/>
    <w:rsid w:val="18EEA747"/>
    <w:rsid w:val="1904F5C4"/>
    <w:rsid w:val="190D3FA0"/>
    <w:rsid w:val="191FEA93"/>
    <w:rsid w:val="19672B69"/>
    <w:rsid w:val="19864A6C"/>
    <w:rsid w:val="199FAEA2"/>
    <w:rsid w:val="19A1C4BF"/>
    <w:rsid w:val="19C14E91"/>
    <w:rsid w:val="19E2AD99"/>
    <w:rsid w:val="1A0A9959"/>
    <w:rsid w:val="1A106268"/>
    <w:rsid w:val="1A12A1C8"/>
    <w:rsid w:val="1A4745FD"/>
    <w:rsid w:val="1A482C3B"/>
    <w:rsid w:val="1A5F35B3"/>
    <w:rsid w:val="1A69921C"/>
    <w:rsid w:val="1A9BEC31"/>
    <w:rsid w:val="1ABBB872"/>
    <w:rsid w:val="1AD25A26"/>
    <w:rsid w:val="1ADA333E"/>
    <w:rsid w:val="1AF0BD65"/>
    <w:rsid w:val="1AF46E97"/>
    <w:rsid w:val="1AFE6455"/>
    <w:rsid w:val="1B10738A"/>
    <w:rsid w:val="1B263E7C"/>
    <w:rsid w:val="1B5FB73A"/>
    <w:rsid w:val="1B6CF832"/>
    <w:rsid w:val="1BE360CD"/>
    <w:rsid w:val="1BE98BC5"/>
    <w:rsid w:val="1BF07BDA"/>
    <w:rsid w:val="1C0BFC78"/>
    <w:rsid w:val="1C1D6ECA"/>
    <w:rsid w:val="1C79ECA3"/>
    <w:rsid w:val="1C80D762"/>
    <w:rsid w:val="1CC40512"/>
    <w:rsid w:val="1CF71CFC"/>
    <w:rsid w:val="1D2F1078"/>
    <w:rsid w:val="1D542F42"/>
    <w:rsid w:val="1D62D8A3"/>
    <w:rsid w:val="1D74151C"/>
    <w:rsid w:val="1D99EBF3"/>
    <w:rsid w:val="1DE6F7C8"/>
    <w:rsid w:val="1DF7856F"/>
    <w:rsid w:val="1E1397A6"/>
    <w:rsid w:val="1E1CE0EA"/>
    <w:rsid w:val="1E547AD7"/>
    <w:rsid w:val="1E84ADCF"/>
    <w:rsid w:val="1E88085F"/>
    <w:rsid w:val="1E8CF488"/>
    <w:rsid w:val="1E8E0E88"/>
    <w:rsid w:val="1E92991F"/>
    <w:rsid w:val="1E9D6CCE"/>
    <w:rsid w:val="1EA3D1A5"/>
    <w:rsid w:val="1EEDCB31"/>
    <w:rsid w:val="1F07ED0A"/>
    <w:rsid w:val="1F081232"/>
    <w:rsid w:val="1F4924E4"/>
    <w:rsid w:val="1F616A25"/>
    <w:rsid w:val="1F8AA2D2"/>
    <w:rsid w:val="1FAB7248"/>
    <w:rsid w:val="1FAC9EAF"/>
    <w:rsid w:val="1FB63F50"/>
    <w:rsid w:val="1FB67BDC"/>
    <w:rsid w:val="1FD61908"/>
    <w:rsid w:val="1FEEDBBF"/>
    <w:rsid w:val="1FFA3E1A"/>
    <w:rsid w:val="201E65A1"/>
    <w:rsid w:val="202297EC"/>
    <w:rsid w:val="203743B7"/>
    <w:rsid w:val="20817CA8"/>
    <w:rsid w:val="2095EAAF"/>
    <w:rsid w:val="20A97318"/>
    <w:rsid w:val="20B2C34C"/>
    <w:rsid w:val="20B54020"/>
    <w:rsid w:val="20B78EBE"/>
    <w:rsid w:val="2125F0FD"/>
    <w:rsid w:val="21574801"/>
    <w:rsid w:val="2185A5D0"/>
    <w:rsid w:val="2188B808"/>
    <w:rsid w:val="218F841D"/>
    <w:rsid w:val="219E361E"/>
    <w:rsid w:val="21CACAD5"/>
    <w:rsid w:val="2204BE8F"/>
    <w:rsid w:val="221F4C26"/>
    <w:rsid w:val="223A667B"/>
    <w:rsid w:val="22A70845"/>
    <w:rsid w:val="22B30AD6"/>
    <w:rsid w:val="22B66DD7"/>
    <w:rsid w:val="22D017D6"/>
    <w:rsid w:val="22DB8E83"/>
    <w:rsid w:val="22E80152"/>
    <w:rsid w:val="22FE4DC5"/>
    <w:rsid w:val="2306B54B"/>
    <w:rsid w:val="230F7E11"/>
    <w:rsid w:val="23182662"/>
    <w:rsid w:val="2318B4FE"/>
    <w:rsid w:val="232B7A88"/>
    <w:rsid w:val="2349454E"/>
    <w:rsid w:val="23AA6F9D"/>
    <w:rsid w:val="23C15CBF"/>
    <w:rsid w:val="23E5900E"/>
    <w:rsid w:val="23F0F49D"/>
    <w:rsid w:val="241500A2"/>
    <w:rsid w:val="241F94EA"/>
    <w:rsid w:val="242CC9CE"/>
    <w:rsid w:val="2476B216"/>
    <w:rsid w:val="2486E134"/>
    <w:rsid w:val="24A0C894"/>
    <w:rsid w:val="24AED388"/>
    <w:rsid w:val="24BBEBF2"/>
    <w:rsid w:val="24D3CE76"/>
    <w:rsid w:val="24EDE39A"/>
    <w:rsid w:val="251D9C09"/>
    <w:rsid w:val="25313804"/>
    <w:rsid w:val="2559B1BA"/>
    <w:rsid w:val="2564EF45"/>
    <w:rsid w:val="2574BF2B"/>
    <w:rsid w:val="258D4E89"/>
    <w:rsid w:val="25AD4A0A"/>
    <w:rsid w:val="25C76788"/>
    <w:rsid w:val="25D2BDAF"/>
    <w:rsid w:val="25E1A51B"/>
    <w:rsid w:val="25E21F25"/>
    <w:rsid w:val="25E322D1"/>
    <w:rsid w:val="25F63D7D"/>
    <w:rsid w:val="25FC3894"/>
    <w:rsid w:val="26196420"/>
    <w:rsid w:val="2629D48E"/>
    <w:rsid w:val="263F4F02"/>
    <w:rsid w:val="26505288"/>
    <w:rsid w:val="268F58CD"/>
    <w:rsid w:val="26CD6EB3"/>
    <w:rsid w:val="26DD04F1"/>
    <w:rsid w:val="271BA784"/>
    <w:rsid w:val="272CB4AB"/>
    <w:rsid w:val="275E2971"/>
    <w:rsid w:val="275EDF50"/>
    <w:rsid w:val="277393AB"/>
    <w:rsid w:val="2793B9D9"/>
    <w:rsid w:val="27B30D4B"/>
    <w:rsid w:val="27D35392"/>
    <w:rsid w:val="27F1F863"/>
    <w:rsid w:val="2813DF22"/>
    <w:rsid w:val="28187C9B"/>
    <w:rsid w:val="2893520A"/>
    <w:rsid w:val="28F3DF13"/>
    <w:rsid w:val="28F9B86C"/>
    <w:rsid w:val="28FE7DB5"/>
    <w:rsid w:val="291EFF76"/>
    <w:rsid w:val="292F9262"/>
    <w:rsid w:val="2988B143"/>
    <w:rsid w:val="29906AEF"/>
    <w:rsid w:val="299C99A2"/>
    <w:rsid w:val="29A5E929"/>
    <w:rsid w:val="29A797D2"/>
    <w:rsid w:val="29B0A1B3"/>
    <w:rsid w:val="29C14BE1"/>
    <w:rsid w:val="29E36A88"/>
    <w:rsid w:val="29F76CC6"/>
    <w:rsid w:val="2A02109F"/>
    <w:rsid w:val="2A0DB2E8"/>
    <w:rsid w:val="2A0F0D9F"/>
    <w:rsid w:val="2A1AC2DC"/>
    <w:rsid w:val="2A2FF26A"/>
    <w:rsid w:val="2A6327F1"/>
    <w:rsid w:val="2A65F01A"/>
    <w:rsid w:val="2A6875C4"/>
    <w:rsid w:val="2A7642A0"/>
    <w:rsid w:val="2AA335FE"/>
    <w:rsid w:val="2AB2E32D"/>
    <w:rsid w:val="2ABB5E74"/>
    <w:rsid w:val="2ABCB08B"/>
    <w:rsid w:val="2AF754B0"/>
    <w:rsid w:val="2AFA4D44"/>
    <w:rsid w:val="2B1F6750"/>
    <w:rsid w:val="2B2D40BD"/>
    <w:rsid w:val="2B4EDAB1"/>
    <w:rsid w:val="2B5548ED"/>
    <w:rsid w:val="2B6DA0F6"/>
    <w:rsid w:val="2B72C928"/>
    <w:rsid w:val="2B939CF7"/>
    <w:rsid w:val="2BB1AA84"/>
    <w:rsid w:val="2BB55605"/>
    <w:rsid w:val="2BE0C8DB"/>
    <w:rsid w:val="2C027FA2"/>
    <w:rsid w:val="2C1C58C6"/>
    <w:rsid w:val="2C28A057"/>
    <w:rsid w:val="2C2EA71C"/>
    <w:rsid w:val="2C3C257B"/>
    <w:rsid w:val="2C7FF114"/>
    <w:rsid w:val="2CA4AB37"/>
    <w:rsid w:val="2CC7FF85"/>
    <w:rsid w:val="2CDDBE51"/>
    <w:rsid w:val="2CF33E24"/>
    <w:rsid w:val="2D0CC346"/>
    <w:rsid w:val="2D1C49EB"/>
    <w:rsid w:val="2D1D6FAF"/>
    <w:rsid w:val="2D84D556"/>
    <w:rsid w:val="2DA2E257"/>
    <w:rsid w:val="2DA3DF08"/>
    <w:rsid w:val="2DA6A2BB"/>
    <w:rsid w:val="2DC64789"/>
    <w:rsid w:val="2DDAD07D"/>
    <w:rsid w:val="2DF5CE96"/>
    <w:rsid w:val="2E40D36B"/>
    <w:rsid w:val="2E4987B1"/>
    <w:rsid w:val="2E5F9256"/>
    <w:rsid w:val="2E8F9071"/>
    <w:rsid w:val="2ED42E20"/>
    <w:rsid w:val="2EE382B1"/>
    <w:rsid w:val="2EF81BAF"/>
    <w:rsid w:val="2EFFB69A"/>
    <w:rsid w:val="2F141109"/>
    <w:rsid w:val="2F2A0BCC"/>
    <w:rsid w:val="2F81609E"/>
    <w:rsid w:val="2F889BB4"/>
    <w:rsid w:val="2F9C7E69"/>
    <w:rsid w:val="2FAA23FB"/>
    <w:rsid w:val="2FBDE44D"/>
    <w:rsid w:val="2FE49B69"/>
    <w:rsid w:val="2FEA8066"/>
    <w:rsid w:val="30088711"/>
    <w:rsid w:val="300ABEFF"/>
    <w:rsid w:val="30445BBA"/>
    <w:rsid w:val="3053269E"/>
    <w:rsid w:val="307723B9"/>
    <w:rsid w:val="308BDAE8"/>
    <w:rsid w:val="30AAEAE7"/>
    <w:rsid w:val="30B9F13D"/>
    <w:rsid w:val="30C51CAA"/>
    <w:rsid w:val="30D03AF2"/>
    <w:rsid w:val="30E29E24"/>
    <w:rsid w:val="30F8534A"/>
    <w:rsid w:val="3115242A"/>
    <w:rsid w:val="31161F43"/>
    <w:rsid w:val="311A14F1"/>
    <w:rsid w:val="313A257A"/>
    <w:rsid w:val="31499FB3"/>
    <w:rsid w:val="3179F30A"/>
    <w:rsid w:val="318F70BA"/>
    <w:rsid w:val="31CD3FC3"/>
    <w:rsid w:val="322CF60E"/>
    <w:rsid w:val="324B47E4"/>
    <w:rsid w:val="324C13CF"/>
    <w:rsid w:val="3278A403"/>
    <w:rsid w:val="3284C6F0"/>
    <w:rsid w:val="329CD977"/>
    <w:rsid w:val="32AB3956"/>
    <w:rsid w:val="32AB7FF0"/>
    <w:rsid w:val="32DD2439"/>
    <w:rsid w:val="32E21952"/>
    <w:rsid w:val="32EEA24B"/>
    <w:rsid w:val="32F20CD1"/>
    <w:rsid w:val="32F79D7D"/>
    <w:rsid w:val="3311F218"/>
    <w:rsid w:val="3314B55A"/>
    <w:rsid w:val="336A5FD2"/>
    <w:rsid w:val="33A1979A"/>
    <w:rsid w:val="33D4CFDA"/>
    <w:rsid w:val="340FAEFC"/>
    <w:rsid w:val="34194319"/>
    <w:rsid w:val="34ABC9CE"/>
    <w:rsid w:val="34C9DD6B"/>
    <w:rsid w:val="351F3F55"/>
    <w:rsid w:val="3527B656"/>
    <w:rsid w:val="352F20B6"/>
    <w:rsid w:val="353DB5C9"/>
    <w:rsid w:val="35AD3AEB"/>
    <w:rsid w:val="35B12E84"/>
    <w:rsid w:val="35FB5A8E"/>
    <w:rsid w:val="36063F74"/>
    <w:rsid w:val="3627C249"/>
    <w:rsid w:val="362DFE15"/>
    <w:rsid w:val="363B247B"/>
    <w:rsid w:val="364684DB"/>
    <w:rsid w:val="366828A9"/>
    <w:rsid w:val="366E4849"/>
    <w:rsid w:val="36739583"/>
    <w:rsid w:val="3692EF27"/>
    <w:rsid w:val="36976717"/>
    <w:rsid w:val="36A7E81A"/>
    <w:rsid w:val="36D47B78"/>
    <w:rsid w:val="36EEA68E"/>
    <w:rsid w:val="36F7FD9A"/>
    <w:rsid w:val="371A8278"/>
    <w:rsid w:val="371D1AC1"/>
    <w:rsid w:val="3725015E"/>
    <w:rsid w:val="372F301B"/>
    <w:rsid w:val="3732A03E"/>
    <w:rsid w:val="3746843C"/>
    <w:rsid w:val="374B6EB7"/>
    <w:rsid w:val="375A3A6B"/>
    <w:rsid w:val="379272A7"/>
    <w:rsid w:val="379E9F16"/>
    <w:rsid w:val="37C8E4B1"/>
    <w:rsid w:val="380F6268"/>
    <w:rsid w:val="38417413"/>
    <w:rsid w:val="384F77B7"/>
    <w:rsid w:val="3890CF7A"/>
    <w:rsid w:val="38978458"/>
    <w:rsid w:val="38CD3BC4"/>
    <w:rsid w:val="38D20FE5"/>
    <w:rsid w:val="38D5132F"/>
    <w:rsid w:val="38D67D25"/>
    <w:rsid w:val="38F3C7A2"/>
    <w:rsid w:val="38F5C55A"/>
    <w:rsid w:val="3905C392"/>
    <w:rsid w:val="390612FF"/>
    <w:rsid w:val="390856EE"/>
    <w:rsid w:val="392D48CB"/>
    <w:rsid w:val="392D8A65"/>
    <w:rsid w:val="397980D2"/>
    <w:rsid w:val="399686CE"/>
    <w:rsid w:val="39C4045D"/>
    <w:rsid w:val="39CD2685"/>
    <w:rsid w:val="3A0E58C3"/>
    <w:rsid w:val="3A23BDEF"/>
    <w:rsid w:val="3A86D9CF"/>
    <w:rsid w:val="3AA0C486"/>
    <w:rsid w:val="3ABFC84D"/>
    <w:rsid w:val="3B124FBF"/>
    <w:rsid w:val="3B132EB6"/>
    <w:rsid w:val="3B1D1172"/>
    <w:rsid w:val="3B5634F8"/>
    <w:rsid w:val="3B5748DC"/>
    <w:rsid w:val="3B7318E7"/>
    <w:rsid w:val="3B75DE46"/>
    <w:rsid w:val="3B793E01"/>
    <w:rsid w:val="3B8D28BC"/>
    <w:rsid w:val="3BB42613"/>
    <w:rsid w:val="3BB4B23E"/>
    <w:rsid w:val="3BCACF98"/>
    <w:rsid w:val="3BED54D5"/>
    <w:rsid w:val="3BFD87D5"/>
    <w:rsid w:val="3C168CEE"/>
    <w:rsid w:val="3C1F3B23"/>
    <w:rsid w:val="3C26CDA2"/>
    <w:rsid w:val="3C63C235"/>
    <w:rsid w:val="3C6AC912"/>
    <w:rsid w:val="3C6C4164"/>
    <w:rsid w:val="3C7255CF"/>
    <w:rsid w:val="3C78A710"/>
    <w:rsid w:val="3CAF6FC5"/>
    <w:rsid w:val="3CDF8982"/>
    <w:rsid w:val="3CE79B47"/>
    <w:rsid w:val="3D3A402A"/>
    <w:rsid w:val="3D55D91B"/>
    <w:rsid w:val="3D614330"/>
    <w:rsid w:val="3D63E44D"/>
    <w:rsid w:val="3D84EA2C"/>
    <w:rsid w:val="3D8E4BF8"/>
    <w:rsid w:val="3DD06C8A"/>
    <w:rsid w:val="3DD8075E"/>
    <w:rsid w:val="3DED1DC4"/>
    <w:rsid w:val="3E2996D1"/>
    <w:rsid w:val="3E731E7A"/>
    <w:rsid w:val="3EE39315"/>
    <w:rsid w:val="3F07987D"/>
    <w:rsid w:val="3F28628D"/>
    <w:rsid w:val="3F4070FD"/>
    <w:rsid w:val="3F4812BF"/>
    <w:rsid w:val="3F8457EA"/>
    <w:rsid w:val="3FCBE3F9"/>
    <w:rsid w:val="3FD4190B"/>
    <w:rsid w:val="3FD5E05A"/>
    <w:rsid w:val="3FE2409D"/>
    <w:rsid w:val="3FE35C4E"/>
    <w:rsid w:val="40049BAA"/>
    <w:rsid w:val="400AD577"/>
    <w:rsid w:val="4026271F"/>
    <w:rsid w:val="4036F10F"/>
    <w:rsid w:val="404682B4"/>
    <w:rsid w:val="4055CC42"/>
    <w:rsid w:val="409749D3"/>
    <w:rsid w:val="4098E8CB"/>
    <w:rsid w:val="409DD655"/>
    <w:rsid w:val="40E378E4"/>
    <w:rsid w:val="4103FF9D"/>
    <w:rsid w:val="415F3066"/>
    <w:rsid w:val="41858866"/>
    <w:rsid w:val="418E84B7"/>
    <w:rsid w:val="41A2F28C"/>
    <w:rsid w:val="41A72FB0"/>
    <w:rsid w:val="41C068FE"/>
    <w:rsid w:val="41C347AC"/>
    <w:rsid w:val="41CD4BBA"/>
    <w:rsid w:val="41FADADE"/>
    <w:rsid w:val="41FDD3B3"/>
    <w:rsid w:val="42434B45"/>
    <w:rsid w:val="42666B89"/>
    <w:rsid w:val="42730EF5"/>
    <w:rsid w:val="42855386"/>
    <w:rsid w:val="428BC50F"/>
    <w:rsid w:val="42AFE77F"/>
    <w:rsid w:val="42C00FD2"/>
    <w:rsid w:val="42C2CA56"/>
    <w:rsid w:val="42C52207"/>
    <w:rsid w:val="42DF1C6A"/>
    <w:rsid w:val="431D18CC"/>
    <w:rsid w:val="432342AF"/>
    <w:rsid w:val="4333CE1C"/>
    <w:rsid w:val="4347709B"/>
    <w:rsid w:val="436188E8"/>
    <w:rsid w:val="437352CA"/>
    <w:rsid w:val="43A1543C"/>
    <w:rsid w:val="43B7AF0A"/>
    <w:rsid w:val="43D392AC"/>
    <w:rsid w:val="43D692BD"/>
    <w:rsid w:val="43ED9FCF"/>
    <w:rsid w:val="43F55DEC"/>
    <w:rsid w:val="43F8F684"/>
    <w:rsid w:val="4406E5E7"/>
    <w:rsid w:val="443EB8BC"/>
    <w:rsid w:val="444B74D7"/>
    <w:rsid w:val="444DA426"/>
    <w:rsid w:val="4451548C"/>
    <w:rsid w:val="447145C7"/>
    <w:rsid w:val="447C6DDA"/>
    <w:rsid w:val="448C0F4D"/>
    <w:rsid w:val="44926E75"/>
    <w:rsid w:val="44AD08CE"/>
    <w:rsid w:val="44DB05E5"/>
    <w:rsid w:val="4504B24F"/>
    <w:rsid w:val="451663C5"/>
    <w:rsid w:val="4524E99F"/>
    <w:rsid w:val="4530167D"/>
    <w:rsid w:val="454E585B"/>
    <w:rsid w:val="455CD341"/>
    <w:rsid w:val="457B8AA1"/>
    <w:rsid w:val="45BACFA0"/>
    <w:rsid w:val="45D80752"/>
    <w:rsid w:val="45F92723"/>
    <w:rsid w:val="462A7864"/>
    <w:rsid w:val="463CD2E0"/>
    <w:rsid w:val="468FA4D2"/>
    <w:rsid w:val="46AF5099"/>
    <w:rsid w:val="46AFC640"/>
    <w:rsid w:val="46B1CFB5"/>
    <w:rsid w:val="46E1AE44"/>
    <w:rsid w:val="46EBB2CB"/>
    <w:rsid w:val="46F9E755"/>
    <w:rsid w:val="471591F0"/>
    <w:rsid w:val="4725AC0B"/>
    <w:rsid w:val="473D24EA"/>
    <w:rsid w:val="473FAAEA"/>
    <w:rsid w:val="475F94C2"/>
    <w:rsid w:val="476299DF"/>
    <w:rsid w:val="4776CA71"/>
    <w:rsid w:val="478D4FBA"/>
    <w:rsid w:val="47B5C38A"/>
    <w:rsid w:val="47C9F8E0"/>
    <w:rsid w:val="47CB5526"/>
    <w:rsid w:val="47E1ED28"/>
    <w:rsid w:val="4824255A"/>
    <w:rsid w:val="4846869A"/>
    <w:rsid w:val="48739D8B"/>
    <w:rsid w:val="48884EF0"/>
    <w:rsid w:val="4891E42D"/>
    <w:rsid w:val="48A9E0A2"/>
    <w:rsid w:val="48B83427"/>
    <w:rsid w:val="48C9E9FB"/>
    <w:rsid w:val="48FB2558"/>
    <w:rsid w:val="48FDC832"/>
    <w:rsid w:val="4913581B"/>
    <w:rsid w:val="491B1E1B"/>
    <w:rsid w:val="492F2186"/>
    <w:rsid w:val="4935ECD7"/>
    <w:rsid w:val="494E0AC5"/>
    <w:rsid w:val="49722F38"/>
    <w:rsid w:val="49838481"/>
    <w:rsid w:val="49A4DC52"/>
    <w:rsid w:val="49AA4FB4"/>
    <w:rsid w:val="49AD4FF4"/>
    <w:rsid w:val="49B412A6"/>
    <w:rsid w:val="49E52C5E"/>
    <w:rsid w:val="4A070EBC"/>
    <w:rsid w:val="4A12B32F"/>
    <w:rsid w:val="4A166779"/>
    <w:rsid w:val="4A2BA88E"/>
    <w:rsid w:val="4A2FF871"/>
    <w:rsid w:val="4A36D264"/>
    <w:rsid w:val="4A390F83"/>
    <w:rsid w:val="4A5BEC0F"/>
    <w:rsid w:val="4A7AB633"/>
    <w:rsid w:val="4A851664"/>
    <w:rsid w:val="4AA3136B"/>
    <w:rsid w:val="4AB28BC8"/>
    <w:rsid w:val="4AC997E6"/>
    <w:rsid w:val="4AD73E4C"/>
    <w:rsid w:val="4AE3BB40"/>
    <w:rsid w:val="4AF666D4"/>
    <w:rsid w:val="4B32694E"/>
    <w:rsid w:val="4B3813C0"/>
    <w:rsid w:val="4B5DFD25"/>
    <w:rsid w:val="4B90C96D"/>
    <w:rsid w:val="4B97F635"/>
    <w:rsid w:val="4BA5364D"/>
    <w:rsid w:val="4BE812D1"/>
    <w:rsid w:val="4BE96816"/>
    <w:rsid w:val="4BFE8450"/>
    <w:rsid w:val="4C05BD18"/>
    <w:rsid w:val="4C5113F1"/>
    <w:rsid w:val="4C587F0E"/>
    <w:rsid w:val="4C68F001"/>
    <w:rsid w:val="4C7C1DC4"/>
    <w:rsid w:val="4CA130AE"/>
    <w:rsid w:val="4CC4EE05"/>
    <w:rsid w:val="4CD8E6DF"/>
    <w:rsid w:val="4CDC5C57"/>
    <w:rsid w:val="4CF4BA10"/>
    <w:rsid w:val="4D1F5B22"/>
    <w:rsid w:val="4D3F0792"/>
    <w:rsid w:val="4D41BF1D"/>
    <w:rsid w:val="4D7A6AB4"/>
    <w:rsid w:val="4D880E71"/>
    <w:rsid w:val="4DA89671"/>
    <w:rsid w:val="4DD22BA8"/>
    <w:rsid w:val="4DF42EC6"/>
    <w:rsid w:val="4E154A66"/>
    <w:rsid w:val="4E1D0964"/>
    <w:rsid w:val="4E21F45B"/>
    <w:rsid w:val="4E4CA2B9"/>
    <w:rsid w:val="4E5FEC0A"/>
    <w:rsid w:val="4E769AE8"/>
    <w:rsid w:val="4EA885BB"/>
    <w:rsid w:val="4EA97C3F"/>
    <w:rsid w:val="4EC1C1FC"/>
    <w:rsid w:val="4EC575A5"/>
    <w:rsid w:val="4EDD455F"/>
    <w:rsid w:val="4F0940B9"/>
    <w:rsid w:val="4F5BF969"/>
    <w:rsid w:val="4F82453C"/>
    <w:rsid w:val="4F95084C"/>
    <w:rsid w:val="4FA9D448"/>
    <w:rsid w:val="4FB48D8C"/>
    <w:rsid w:val="4FCE0EC6"/>
    <w:rsid w:val="501B9FB2"/>
    <w:rsid w:val="502265DA"/>
    <w:rsid w:val="50316C9A"/>
    <w:rsid w:val="50871427"/>
    <w:rsid w:val="5088B7BF"/>
    <w:rsid w:val="50952BB0"/>
    <w:rsid w:val="50A2A2E0"/>
    <w:rsid w:val="50B433D9"/>
    <w:rsid w:val="50E848D2"/>
    <w:rsid w:val="51337A0E"/>
    <w:rsid w:val="5160EF93"/>
    <w:rsid w:val="5172F076"/>
    <w:rsid w:val="517F72E3"/>
    <w:rsid w:val="518CD398"/>
    <w:rsid w:val="519DB55F"/>
    <w:rsid w:val="51B18354"/>
    <w:rsid w:val="51D4D570"/>
    <w:rsid w:val="51D7FE35"/>
    <w:rsid w:val="51DA4F9D"/>
    <w:rsid w:val="523AEB00"/>
    <w:rsid w:val="523E82C9"/>
    <w:rsid w:val="525741EC"/>
    <w:rsid w:val="52A487E9"/>
    <w:rsid w:val="52DC339C"/>
    <w:rsid w:val="52F82D39"/>
    <w:rsid w:val="531BA809"/>
    <w:rsid w:val="53323483"/>
    <w:rsid w:val="5348D8D8"/>
    <w:rsid w:val="53898012"/>
    <w:rsid w:val="539481D7"/>
    <w:rsid w:val="53C9E979"/>
    <w:rsid w:val="54691754"/>
    <w:rsid w:val="5470BA0B"/>
    <w:rsid w:val="547B47B1"/>
    <w:rsid w:val="549E5295"/>
    <w:rsid w:val="54B15AF0"/>
    <w:rsid w:val="54DBC57B"/>
    <w:rsid w:val="54E658A9"/>
    <w:rsid w:val="55015F1C"/>
    <w:rsid w:val="5508E52A"/>
    <w:rsid w:val="553747A3"/>
    <w:rsid w:val="553C1A2D"/>
    <w:rsid w:val="554EDC0E"/>
    <w:rsid w:val="5558B0A3"/>
    <w:rsid w:val="55766A9E"/>
    <w:rsid w:val="55A1CC7F"/>
    <w:rsid w:val="55A46A4E"/>
    <w:rsid w:val="55DFFDA5"/>
    <w:rsid w:val="55E154EC"/>
    <w:rsid w:val="55F5F7D7"/>
    <w:rsid w:val="56073DB0"/>
    <w:rsid w:val="5625F6FC"/>
    <w:rsid w:val="56308360"/>
    <w:rsid w:val="564CBEC7"/>
    <w:rsid w:val="56553C11"/>
    <w:rsid w:val="5668DF49"/>
    <w:rsid w:val="5669BE8F"/>
    <w:rsid w:val="566ED40D"/>
    <w:rsid w:val="567041B6"/>
    <w:rsid w:val="5679E57D"/>
    <w:rsid w:val="567F6293"/>
    <w:rsid w:val="5693DDE8"/>
    <w:rsid w:val="56A747B1"/>
    <w:rsid w:val="56CDE94E"/>
    <w:rsid w:val="56DE072A"/>
    <w:rsid w:val="56E4314F"/>
    <w:rsid w:val="56E9BF51"/>
    <w:rsid w:val="56FB9D67"/>
    <w:rsid w:val="57199AC1"/>
    <w:rsid w:val="5726BF68"/>
    <w:rsid w:val="57357113"/>
    <w:rsid w:val="57513814"/>
    <w:rsid w:val="575AB332"/>
    <w:rsid w:val="575FBB0C"/>
    <w:rsid w:val="57A50A48"/>
    <w:rsid w:val="57CB674C"/>
    <w:rsid w:val="57CF3E8A"/>
    <w:rsid w:val="57FE40EE"/>
    <w:rsid w:val="58094B03"/>
    <w:rsid w:val="581D8DD4"/>
    <w:rsid w:val="58244B7B"/>
    <w:rsid w:val="5861689F"/>
    <w:rsid w:val="5881BCC8"/>
    <w:rsid w:val="58834660"/>
    <w:rsid w:val="58860ADF"/>
    <w:rsid w:val="58908043"/>
    <w:rsid w:val="589E4A5B"/>
    <w:rsid w:val="58DAF127"/>
    <w:rsid w:val="58E06B83"/>
    <w:rsid w:val="58EE5285"/>
    <w:rsid w:val="58F5602B"/>
    <w:rsid w:val="58FE5D76"/>
    <w:rsid w:val="5946BB18"/>
    <w:rsid w:val="594A31BD"/>
    <w:rsid w:val="595FAC42"/>
    <w:rsid w:val="596939A9"/>
    <w:rsid w:val="59730547"/>
    <w:rsid w:val="5976FBAC"/>
    <w:rsid w:val="5986E9D6"/>
    <w:rsid w:val="5999D802"/>
    <w:rsid w:val="59DEF694"/>
    <w:rsid w:val="5A0CB7FD"/>
    <w:rsid w:val="5A186C90"/>
    <w:rsid w:val="5A2C6015"/>
    <w:rsid w:val="5A383907"/>
    <w:rsid w:val="5A67E1F6"/>
    <w:rsid w:val="5A6B56A2"/>
    <w:rsid w:val="5A78F196"/>
    <w:rsid w:val="5A84037B"/>
    <w:rsid w:val="5A8A839A"/>
    <w:rsid w:val="5A906DA9"/>
    <w:rsid w:val="5A981256"/>
    <w:rsid w:val="5AA225C9"/>
    <w:rsid w:val="5AAA5A34"/>
    <w:rsid w:val="5AB3D30B"/>
    <w:rsid w:val="5AC6B566"/>
    <w:rsid w:val="5AD96255"/>
    <w:rsid w:val="5B15C6BB"/>
    <w:rsid w:val="5B3084BA"/>
    <w:rsid w:val="5B3DE6CB"/>
    <w:rsid w:val="5B4ABE16"/>
    <w:rsid w:val="5B4B6CEB"/>
    <w:rsid w:val="5B75D6BB"/>
    <w:rsid w:val="5B7A5C95"/>
    <w:rsid w:val="5B7E756E"/>
    <w:rsid w:val="5B8BAB84"/>
    <w:rsid w:val="5BAD2224"/>
    <w:rsid w:val="5BC0A519"/>
    <w:rsid w:val="5BED9D55"/>
    <w:rsid w:val="5C162390"/>
    <w:rsid w:val="5C485374"/>
    <w:rsid w:val="5C58A4D7"/>
    <w:rsid w:val="5C5960FC"/>
    <w:rsid w:val="5C66E633"/>
    <w:rsid w:val="5C6E3234"/>
    <w:rsid w:val="5C92107A"/>
    <w:rsid w:val="5C9566DD"/>
    <w:rsid w:val="5CED5560"/>
    <w:rsid w:val="5CF5A900"/>
    <w:rsid w:val="5D2D3FAE"/>
    <w:rsid w:val="5D374492"/>
    <w:rsid w:val="5D5D73E5"/>
    <w:rsid w:val="5D8F18DB"/>
    <w:rsid w:val="5D95259B"/>
    <w:rsid w:val="5D962A91"/>
    <w:rsid w:val="5D970808"/>
    <w:rsid w:val="5DBA729E"/>
    <w:rsid w:val="5DBC2A84"/>
    <w:rsid w:val="5DC5EC4D"/>
    <w:rsid w:val="5DECACBE"/>
    <w:rsid w:val="5DF37CAC"/>
    <w:rsid w:val="5DFBC986"/>
    <w:rsid w:val="5E0005F9"/>
    <w:rsid w:val="5E1B6599"/>
    <w:rsid w:val="5E247209"/>
    <w:rsid w:val="5E45B31B"/>
    <w:rsid w:val="5E4ED4FC"/>
    <w:rsid w:val="5E63E86D"/>
    <w:rsid w:val="5E8C8C17"/>
    <w:rsid w:val="5E91CE1C"/>
    <w:rsid w:val="5EA65380"/>
    <w:rsid w:val="5EB35B40"/>
    <w:rsid w:val="5EDEE6F3"/>
    <w:rsid w:val="5EFEDE2F"/>
    <w:rsid w:val="5F0C2254"/>
    <w:rsid w:val="5F0C890A"/>
    <w:rsid w:val="5F25DA7D"/>
    <w:rsid w:val="5F503759"/>
    <w:rsid w:val="5F5052D0"/>
    <w:rsid w:val="5F56C448"/>
    <w:rsid w:val="5F752CBE"/>
    <w:rsid w:val="5FAA6FA4"/>
    <w:rsid w:val="5FC34916"/>
    <w:rsid w:val="5FC64EA2"/>
    <w:rsid w:val="5FD15D65"/>
    <w:rsid w:val="5FEB8238"/>
    <w:rsid w:val="5FEC0DB4"/>
    <w:rsid w:val="6034D2EE"/>
    <w:rsid w:val="6050F085"/>
    <w:rsid w:val="606E3F6B"/>
    <w:rsid w:val="6075668E"/>
    <w:rsid w:val="60868059"/>
    <w:rsid w:val="6092D956"/>
    <w:rsid w:val="60AE08D0"/>
    <w:rsid w:val="60DD6076"/>
    <w:rsid w:val="60EC72BF"/>
    <w:rsid w:val="60F82045"/>
    <w:rsid w:val="6100C011"/>
    <w:rsid w:val="6103F703"/>
    <w:rsid w:val="61203D7F"/>
    <w:rsid w:val="61290355"/>
    <w:rsid w:val="613A5319"/>
    <w:rsid w:val="6155744C"/>
    <w:rsid w:val="61864F68"/>
    <w:rsid w:val="619614D1"/>
    <w:rsid w:val="619AB08F"/>
    <w:rsid w:val="619BD1E0"/>
    <w:rsid w:val="61A66F0F"/>
    <w:rsid w:val="61ABC10A"/>
    <w:rsid w:val="61B5DF9F"/>
    <w:rsid w:val="61D59D31"/>
    <w:rsid w:val="61E5CF67"/>
    <w:rsid w:val="61F21D41"/>
    <w:rsid w:val="61F2BDE7"/>
    <w:rsid w:val="61F73A60"/>
    <w:rsid w:val="61FB5DA5"/>
    <w:rsid w:val="622913BB"/>
    <w:rsid w:val="623DFC60"/>
    <w:rsid w:val="624CA641"/>
    <w:rsid w:val="628C20C8"/>
    <w:rsid w:val="62917828"/>
    <w:rsid w:val="6292AE52"/>
    <w:rsid w:val="62C1264D"/>
    <w:rsid w:val="62CF3165"/>
    <w:rsid w:val="62D050E4"/>
    <w:rsid w:val="62FBDAD1"/>
    <w:rsid w:val="62FE2054"/>
    <w:rsid w:val="6319D1AA"/>
    <w:rsid w:val="633194F4"/>
    <w:rsid w:val="63451C42"/>
    <w:rsid w:val="63859971"/>
    <w:rsid w:val="639F265E"/>
    <w:rsid w:val="63B081CA"/>
    <w:rsid w:val="63DBF4E6"/>
    <w:rsid w:val="63E5C948"/>
    <w:rsid w:val="63EC40F9"/>
    <w:rsid w:val="640EAB92"/>
    <w:rsid w:val="642E46A8"/>
    <w:rsid w:val="64378969"/>
    <w:rsid w:val="643BCDEC"/>
    <w:rsid w:val="6444DAE6"/>
    <w:rsid w:val="64704AEE"/>
    <w:rsid w:val="6473EEFF"/>
    <w:rsid w:val="64881448"/>
    <w:rsid w:val="649443F7"/>
    <w:rsid w:val="649B131C"/>
    <w:rsid w:val="64C7C2A1"/>
    <w:rsid w:val="64DE8C34"/>
    <w:rsid w:val="6526C87D"/>
    <w:rsid w:val="6547FF00"/>
    <w:rsid w:val="65528588"/>
    <w:rsid w:val="6574C067"/>
    <w:rsid w:val="6586CF3E"/>
    <w:rsid w:val="6591CEEF"/>
    <w:rsid w:val="65A8FFE9"/>
    <w:rsid w:val="65C38CF3"/>
    <w:rsid w:val="65D2A609"/>
    <w:rsid w:val="65DEA72E"/>
    <w:rsid w:val="664D8C27"/>
    <w:rsid w:val="6685AD5F"/>
    <w:rsid w:val="66CD7CF2"/>
    <w:rsid w:val="66D3FFCA"/>
    <w:rsid w:val="67003B49"/>
    <w:rsid w:val="6722E05D"/>
    <w:rsid w:val="674A5685"/>
    <w:rsid w:val="6782B068"/>
    <w:rsid w:val="6788E019"/>
    <w:rsid w:val="6791DCB7"/>
    <w:rsid w:val="67AF7C5E"/>
    <w:rsid w:val="67DE272A"/>
    <w:rsid w:val="67E4F201"/>
    <w:rsid w:val="68075F52"/>
    <w:rsid w:val="680BF709"/>
    <w:rsid w:val="682B1A75"/>
    <w:rsid w:val="6857AF7B"/>
    <w:rsid w:val="685CDB17"/>
    <w:rsid w:val="688381CB"/>
    <w:rsid w:val="68A2AF22"/>
    <w:rsid w:val="68B289A6"/>
    <w:rsid w:val="68B4DF6D"/>
    <w:rsid w:val="691907BA"/>
    <w:rsid w:val="693ABDBE"/>
    <w:rsid w:val="694C65AA"/>
    <w:rsid w:val="69656359"/>
    <w:rsid w:val="69848A0B"/>
    <w:rsid w:val="698AA417"/>
    <w:rsid w:val="699A7AD8"/>
    <w:rsid w:val="69AB8127"/>
    <w:rsid w:val="69CC4ED4"/>
    <w:rsid w:val="69D0FA16"/>
    <w:rsid w:val="69E5B1F0"/>
    <w:rsid w:val="69E649A6"/>
    <w:rsid w:val="6A1B7A25"/>
    <w:rsid w:val="6A4D5D3D"/>
    <w:rsid w:val="6A518F70"/>
    <w:rsid w:val="6A596C92"/>
    <w:rsid w:val="6A73DD05"/>
    <w:rsid w:val="6A8ECDB6"/>
    <w:rsid w:val="6A927C96"/>
    <w:rsid w:val="6A9E24A4"/>
    <w:rsid w:val="6AD69F15"/>
    <w:rsid w:val="6AEE2507"/>
    <w:rsid w:val="6B13998B"/>
    <w:rsid w:val="6B1867B9"/>
    <w:rsid w:val="6B5E9D02"/>
    <w:rsid w:val="6B6B2F62"/>
    <w:rsid w:val="6B6FC147"/>
    <w:rsid w:val="6B785C86"/>
    <w:rsid w:val="6B79B148"/>
    <w:rsid w:val="6B95CD2B"/>
    <w:rsid w:val="6BB2ABC2"/>
    <w:rsid w:val="6BE3E360"/>
    <w:rsid w:val="6C1B0EB2"/>
    <w:rsid w:val="6C1F17C7"/>
    <w:rsid w:val="6C20641A"/>
    <w:rsid w:val="6C6015E7"/>
    <w:rsid w:val="6C7E2AF6"/>
    <w:rsid w:val="6C873C87"/>
    <w:rsid w:val="6C9B84F0"/>
    <w:rsid w:val="6CC54A7F"/>
    <w:rsid w:val="6CC9443D"/>
    <w:rsid w:val="6CCD3562"/>
    <w:rsid w:val="6CD248B0"/>
    <w:rsid w:val="6D03FB40"/>
    <w:rsid w:val="6D0A4D27"/>
    <w:rsid w:val="6D207BE7"/>
    <w:rsid w:val="6D386F84"/>
    <w:rsid w:val="6D5556A2"/>
    <w:rsid w:val="6D5BB58F"/>
    <w:rsid w:val="6D618909"/>
    <w:rsid w:val="6D731835"/>
    <w:rsid w:val="6D8E2AB9"/>
    <w:rsid w:val="6DC88C1E"/>
    <w:rsid w:val="6DD837C7"/>
    <w:rsid w:val="6DDB1028"/>
    <w:rsid w:val="6DF84518"/>
    <w:rsid w:val="6DFA9275"/>
    <w:rsid w:val="6E1B5C59"/>
    <w:rsid w:val="6E2886F2"/>
    <w:rsid w:val="6E28BE3B"/>
    <w:rsid w:val="6E35C3CA"/>
    <w:rsid w:val="6E7ED576"/>
    <w:rsid w:val="6E9A72DA"/>
    <w:rsid w:val="6EA757CD"/>
    <w:rsid w:val="6EE8A90B"/>
    <w:rsid w:val="6EEECE09"/>
    <w:rsid w:val="6EF9C200"/>
    <w:rsid w:val="6F2B061D"/>
    <w:rsid w:val="6F309341"/>
    <w:rsid w:val="6F360728"/>
    <w:rsid w:val="6F5FA700"/>
    <w:rsid w:val="6F7F0493"/>
    <w:rsid w:val="6F8EECAB"/>
    <w:rsid w:val="6F91A4C0"/>
    <w:rsid w:val="6F95EB4E"/>
    <w:rsid w:val="6FA872C6"/>
    <w:rsid w:val="6FF5A009"/>
    <w:rsid w:val="7019DA2F"/>
    <w:rsid w:val="70215CAE"/>
    <w:rsid w:val="7042CD73"/>
    <w:rsid w:val="7058B4FF"/>
    <w:rsid w:val="7059A72F"/>
    <w:rsid w:val="7065E08F"/>
    <w:rsid w:val="7069783F"/>
    <w:rsid w:val="7070357D"/>
    <w:rsid w:val="7070C627"/>
    <w:rsid w:val="70A345C2"/>
    <w:rsid w:val="70A4B28A"/>
    <w:rsid w:val="70A9DFE3"/>
    <w:rsid w:val="70B02BC2"/>
    <w:rsid w:val="70B76E1D"/>
    <w:rsid w:val="70B8E627"/>
    <w:rsid w:val="70C26F05"/>
    <w:rsid w:val="71176CD4"/>
    <w:rsid w:val="711C960D"/>
    <w:rsid w:val="712543D8"/>
    <w:rsid w:val="713C5AB7"/>
    <w:rsid w:val="71474015"/>
    <w:rsid w:val="71B021DF"/>
    <w:rsid w:val="71BC4D8F"/>
    <w:rsid w:val="71C4666C"/>
    <w:rsid w:val="71E69648"/>
    <w:rsid w:val="7217097A"/>
    <w:rsid w:val="722F5DB9"/>
    <w:rsid w:val="7246690D"/>
    <w:rsid w:val="7247BEB5"/>
    <w:rsid w:val="7267964B"/>
    <w:rsid w:val="727DF43F"/>
    <w:rsid w:val="729C5EE4"/>
    <w:rsid w:val="72D211D6"/>
    <w:rsid w:val="731093D5"/>
    <w:rsid w:val="731764A5"/>
    <w:rsid w:val="731F10D5"/>
    <w:rsid w:val="7334295E"/>
    <w:rsid w:val="734D305F"/>
    <w:rsid w:val="73578508"/>
    <w:rsid w:val="7382FBBF"/>
    <w:rsid w:val="73862AF5"/>
    <w:rsid w:val="739FBE22"/>
    <w:rsid w:val="73C9CAB6"/>
    <w:rsid w:val="73D10A4E"/>
    <w:rsid w:val="73DF3F63"/>
    <w:rsid w:val="73F14D16"/>
    <w:rsid w:val="740A7CFF"/>
    <w:rsid w:val="74208696"/>
    <w:rsid w:val="743609AA"/>
    <w:rsid w:val="74430AD5"/>
    <w:rsid w:val="746184AF"/>
    <w:rsid w:val="746FB347"/>
    <w:rsid w:val="74A12596"/>
    <w:rsid w:val="74C11955"/>
    <w:rsid w:val="750BBAAF"/>
    <w:rsid w:val="7517AA07"/>
    <w:rsid w:val="752BD437"/>
    <w:rsid w:val="752D0774"/>
    <w:rsid w:val="754729B8"/>
    <w:rsid w:val="758CC589"/>
    <w:rsid w:val="75A15BFB"/>
    <w:rsid w:val="75A1D649"/>
    <w:rsid w:val="75A66FAB"/>
    <w:rsid w:val="75D04689"/>
    <w:rsid w:val="75F53E11"/>
    <w:rsid w:val="7609FBD8"/>
    <w:rsid w:val="76160041"/>
    <w:rsid w:val="762E7023"/>
    <w:rsid w:val="763CAA92"/>
    <w:rsid w:val="765BF614"/>
    <w:rsid w:val="766C22BB"/>
    <w:rsid w:val="768E4080"/>
    <w:rsid w:val="76CDD065"/>
    <w:rsid w:val="76DC290D"/>
    <w:rsid w:val="7720D55A"/>
    <w:rsid w:val="7725A386"/>
    <w:rsid w:val="776373F8"/>
    <w:rsid w:val="7777E5F1"/>
    <w:rsid w:val="7784763A"/>
    <w:rsid w:val="778F198A"/>
    <w:rsid w:val="779D4B74"/>
    <w:rsid w:val="779E4A76"/>
    <w:rsid w:val="77A35657"/>
    <w:rsid w:val="77B942AE"/>
    <w:rsid w:val="77C127B5"/>
    <w:rsid w:val="780D40F0"/>
    <w:rsid w:val="7811244F"/>
    <w:rsid w:val="7811D171"/>
    <w:rsid w:val="7817330E"/>
    <w:rsid w:val="7837229E"/>
    <w:rsid w:val="786555F9"/>
    <w:rsid w:val="787156D0"/>
    <w:rsid w:val="7876A08A"/>
    <w:rsid w:val="78A517D6"/>
    <w:rsid w:val="78BC89D6"/>
    <w:rsid w:val="78DFC6EA"/>
    <w:rsid w:val="78ECE9F4"/>
    <w:rsid w:val="78F69BB9"/>
    <w:rsid w:val="790D93E4"/>
    <w:rsid w:val="792E08D8"/>
    <w:rsid w:val="795BB178"/>
    <w:rsid w:val="79723921"/>
    <w:rsid w:val="79733F25"/>
    <w:rsid w:val="799AC83A"/>
    <w:rsid w:val="79ADF0A7"/>
    <w:rsid w:val="79B80A3B"/>
    <w:rsid w:val="79BEBA7E"/>
    <w:rsid w:val="79CA178E"/>
    <w:rsid w:val="79E290D9"/>
    <w:rsid w:val="79F7ACAC"/>
    <w:rsid w:val="7A049A23"/>
    <w:rsid w:val="7A0650F6"/>
    <w:rsid w:val="7A0E8233"/>
    <w:rsid w:val="7A177B52"/>
    <w:rsid w:val="7A30D957"/>
    <w:rsid w:val="7A40C5EE"/>
    <w:rsid w:val="7A4185CC"/>
    <w:rsid w:val="7A5CF0F9"/>
    <w:rsid w:val="7A5FB957"/>
    <w:rsid w:val="7A836D1D"/>
    <w:rsid w:val="7A8EC517"/>
    <w:rsid w:val="7AB18A07"/>
    <w:rsid w:val="7ACD1D2A"/>
    <w:rsid w:val="7B08F2A3"/>
    <w:rsid w:val="7B4DA93C"/>
    <w:rsid w:val="7B6C06F3"/>
    <w:rsid w:val="7B95CFE0"/>
    <w:rsid w:val="7BE22609"/>
    <w:rsid w:val="7C1E71F2"/>
    <w:rsid w:val="7C38F475"/>
    <w:rsid w:val="7C3A9068"/>
    <w:rsid w:val="7C57C52B"/>
    <w:rsid w:val="7C6E64CC"/>
    <w:rsid w:val="7C775539"/>
    <w:rsid w:val="7CAAA8BB"/>
    <w:rsid w:val="7CC25C50"/>
    <w:rsid w:val="7CD8FBAD"/>
    <w:rsid w:val="7CE8C1AB"/>
    <w:rsid w:val="7CFEBB67"/>
    <w:rsid w:val="7D221B50"/>
    <w:rsid w:val="7D3B95C3"/>
    <w:rsid w:val="7D5060A2"/>
    <w:rsid w:val="7D6FA810"/>
    <w:rsid w:val="7D95B587"/>
    <w:rsid w:val="7D962A99"/>
    <w:rsid w:val="7D9A9C8F"/>
    <w:rsid w:val="7DABEAE1"/>
    <w:rsid w:val="7DC9FF96"/>
    <w:rsid w:val="7DCDD190"/>
    <w:rsid w:val="7DCE1422"/>
    <w:rsid w:val="7DDA23B9"/>
    <w:rsid w:val="7DE64E90"/>
    <w:rsid w:val="7DF8C034"/>
    <w:rsid w:val="7DFB880F"/>
    <w:rsid w:val="7DFCC8FC"/>
    <w:rsid w:val="7E1732EB"/>
    <w:rsid w:val="7E28A5EA"/>
    <w:rsid w:val="7E36F817"/>
    <w:rsid w:val="7E39EE75"/>
    <w:rsid w:val="7E5347AA"/>
    <w:rsid w:val="7E55D36E"/>
    <w:rsid w:val="7E76186D"/>
    <w:rsid w:val="7EBC903F"/>
    <w:rsid w:val="7EC8D7E6"/>
    <w:rsid w:val="7EC97F31"/>
    <w:rsid w:val="7EDB6DCF"/>
    <w:rsid w:val="7F1041A1"/>
    <w:rsid w:val="7F847165"/>
    <w:rsid w:val="7F8AFA2E"/>
    <w:rsid w:val="7F9B53B3"/>
    <w:rsid w:val="7FEE0AA8"/>
    <w:rsid w:val="7FFBF8D9"/>
    <w:rsid w:val="7FFCB12D"/>
    <w:rsid w:val="7FFF0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0281D"/>
  <w15:docId w15:val="{C809B4D5-D04F-4232-9F76-1D7BA4A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qFormat="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62CB9"/>
    <w:pPr>
      <w:spacing w:after="0" w:line="240" w:lineRule="auto"/>
    </w:pPr>
    <w:rPr>
      <w:rFonts w:ascii="Arial" w:hAnsi="Arial" w:cs="Arial"/>
      <w:sz w:val="18"/>
      <w:szCs w:val="18"/>
      <w:lang w:val="en-GB"/>
    </w:rPr>
  </w:style>
  <w:style w:type="paragraph" w:styleId="Heading1">
    <w:name w:val="heading 1"/>
    <w:basedOn w:val="Normal"/>
    <w:next w:val="BodyText"/>
    <w:link w:val="Heading1Char"/>
    <w:uiPriority w:val="9"/>
    <w:qFormat/>
    <w:rsid w:val="00BD073E"/>
    <w:pPr>
      <w:keepNext/>
      <w:pageBreakBefore/>
      <w:numPr>
        <w:numId w:val="6"/>
      </w:numPr>
      <w:ind w:left="461" w:hanging="461"/>
      <w:outlineLvl w:val="0"/>
    </w:pPr>
    <w:rPr>
      <w:b/>
      <w:caps/>
      <w:color w:val="0F204B"/>
      <w:sz w:val="26"/>
    </w:rPr>
  </w:style>
  <w:style w:type="paragraph" w:styleId="Heading2">
    <w:name w:val="heading 2"/>
    <w:basedOn w:val="Normal"/>
    <w:next w:val="BodyText"/>
    <w:link w:val="Heading2Char"/>
    <w:uiPriority w:val="9"/>
    <w:qFormat/>
    <w:rsid w:val="00FC659A"/>
    <w:pPr>
      <w:keepNext/>
      <w:numPr>
        <w:ilvl w:val="1"/>
        <w:numId w:val="6"/>
      </w:numPr>
      <w:spacing w:before="280"/>
      <w:ind w:left="677" w:hanging="677"/>
      <w:outlineLvl w:val="1"/>
    </w:pPr>
    <w:rPr>
      <w:b/>
      <w:color w:val="0F204B"/>
      <w:sz w:val="26"/>
    </w:rPr>
  </w:style>
  <w:style w:type="paragraph" w:styleId="Heading3">
    <w:name w:val="heading 3"/>
    <w:basedOn w:val="Normal"/>
    <w:next w:val="BodyText"/>
    <w:link w:val="Heading3Char"/>
    <w:uiPriority w:val="9"/>
    <w:qFormat/>
    <w:rsid w:val="00FC659A"/>
    <w:pPr>
      <w:keepNext/>
      <w:numPr>
        <w:ilvl w:val="2"/>
        <w:numId w:val="6"/>
      </w:numPr>
      <w:spacing w:before="180"/>
      <w:outlineLvl w:val="2"/>
    </w:pPr>
    <w:rPr>
      <w:color w:val="0F204B"/>
      <w:sz w:val="26"/>
    </w:rPr>
  </w:style>
  <w:style w:type="paragraph" w:styleId="Heading4">
    <w:name w:val="heading 4"/>
    <w:basedOn w:val="Normal"/>
    <w:next w:val="BodyText"/>
    <w:link w:val="Heading4Char"/>
    <w:uiPriority w:val="9"/>
    <w:qFormat/>
    <w:rsid w:val="00866BDC"/>
    <w:pPr>
      <w:keepNext/>
      <w:numPr>
        <w:ilvl w:val="3"/>
        <w:numId w:val="6"/>
      </w:numPr>
      <w:spacing w:before="120"/>
      <w:outlineLvl w:val="3"/>
    </w:pPr>
    <w:rPr>
      <w:b/>
      <w:color w:val="0F204B"/>
      <w:sz w:val="22"/>
    </w:rPr>
  </w:style>
  <w:style w:type="paragraph" w:styleId="Heading5">
    <w:name w:val="heading 5"/>
    <w:basedOn w:val="Normal"/>
    <w:next w:val="BodyText"/>
    <w:link w:val="Heading5Char"/>
    <w:uiPriority w:val="99"/>
    <w:qFormat/>
    <w:rsid w:val="007319F6"/>
    <w:pPr>
      <w:numPr>
        <w:ilvl w:val="4"/>
        <w:numId w:val="6"/>
      </w:numPr>
      <w:spacing w:before="60" w:after="60"/>
      <w:outlineLvl w:val="4"/>
    </w:pPr>
    <w:rPr>
      <w:color w:val="0F204B" w:themeColor="accent1"/>
      <w:sz w:val="22"/>
    </w:rPr>
  </w:style>
  <w:style w:type="paragraph" w:styleId="Heading6">
    <w:name w:val="heading 6"/>
    <w:basedOn w:val="Heading1"/>
    <w:next w:val="BodyText"/>
    <w:link w:val="Heading6Char"/>
    <w:uiPriority w:val="99"/>
    <w:qFormat/>
    <w:rsid w:val="007319F6"/>
    <w:pPr>
      <w:numPr>
        <w:numId w:val="0"/>
      </w:numPr>
      <w:outlineLvl w:val="5"/>
    </w:pPr>
    <w:rPr>
      <w:i/>
      <w:iCs/>
      <w:caps w:val="0"/>
      <w:sz w:val="20"/>
      <w:szCs w:val="20"/>
    </w:rPr>
  </w:style>
  <w:style w:type="paragraph" w:styleId="Heading7">
    <w:name w:val="heading 7"/>
    <w:basedOn w:val="Heading2"/>
    <w:next w:val="BodyText"/>
    <w:link w:val="Heading7Char"/>
    <w:uiPriority w:val="99"/>
    <w:rsid w:val="00866BDC"/>
    <w:pPr>
      <w:numPr>
        <w:ilvl w:val="0"/>
        <w:numId w:val="0"/>
      </w:numPr>
      <w:outlineLvl w:val="6"/>
    </w:pPr>
  </w:style>
  <w:style w:type="paragraph" w:styleId="Heading8">
    <w:name w:val="heading 8"/>
    <w:basedOn w:val="Heading3"/>
    <w:next w:val="BodyText"/>
    <w:link w:val="Heading8Char"/>
    <w:uiPriority w:val="99"/>
    <w:rsid w:val="00866BDC"/>
    <w:pPr>
      <w:numPr>
        <w:ilvl w:val="0"/>
        <w:numId w:val="0"/>
      </w:numPr>
      <w:outlineLvl w:val="7"/>
    </w:pPr>
  </w:style>
  <w:style w:type="paragraph" w:styleId="Heading9">
    <w:name w:val="heading 9"/>
    <w:basedOn w:val="Heading4"/>
    <w:next w:val="BodyText"/>
    <w:link w:val="Heading9Char"/>
    <w:uiPriority w:val="99"/>
    <w:rsid w:val="00866BDC"/>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73E"/>
    <w:rPr>
      <w:rFonts w:ascii="Arial" w:hAnsi="Arial" w:cs="Arial"/>
      <w:b/>
      <w:caps/>
      <w:color w:val="0F204B"/>
      <w:sz w:val="26"/>
      <w:szCs w:val="18"/>
      <w:lang w:val="en-GB"/>
    </w:rPr>
  </w:style>
  <w:style w:type="character" w:customStyle="1" w:styleId="Heading2Char">
    <w:name w:val="Heading 2 Char"/>
    <w:basedOn w:val="DefaultParagraphFont"/>
    <w:link w:val="Heading2"/>
    <w:rsid w:val="00FC659A"/>
    <w:rPr>
      <w:rFonts w:ascii="Arial" w:hAnsi="Arial" w:cs="Arial"/>
      <w:b/>
      <w:color w:val="0F204B"/>
      <w:sz w:val="26"/>
      <w:szCs w:val="18"/>
      <w:lang w:val="en-GB"/>
    </w:rPr>
  </w:style>
  <w:style w:type="character" w:customStyle="1" w:styleId="Heading3Char">
    <w:name w:val="Heading 3 Char"/>
    <w:basedOn w:val="DefaultParagraphFont"/>
    <w:link w:val="Heading3"/>
    <w:uiPriority w:val="9"/>
    <w:rsid w:val="00FC659A"/>
    <w:rPr>
      <w:rFonts w:ascii="Arial" w:hAnsi="Arial" w:cs="Arial"/>
      <w:color w:val="0F204B"/>
      <w:sz w:val="26"/>
      <w:szCs w:val="18"/>
      <w:lang w:val="en-GB"/>
    </w:rPr>
  </w:style>
  <w:style w:type="character" w:customStyle="1" w:styleId="Heading4Char">
    <w:name w:val="Heading 4 Char"/>
    <w:basedOn w:val="DefaultParagraphFont"/>
    <w:link w:val="Heading4"/>
    <w:uiPriority w:val="99"/>
    <w:rsid w:val="00866BDC"/>
    <w:rPr>
      <w:rFonts w:ascii="Arial" w:hAnsi="Arial" w:cs="Arial"/>
      <w:b/>
      <w:color w:val="0F204B"/>
      <w:szCs w:val="18"/>
      <w:lang w:val="en-GB"/>
    </w:rPr>
  </w:style>
  <w:style w:type="paragraph" w:styleId="BodyText">
    <w:name w:val="Body Text"/>
    <w:basedOn w:val="Normal"/>
    <w:link w:val="BodyTextChar"/>
    <w:qFormat/>
    <w:rsid w:val="00866BDC"/>
    <w:pPr>
      <w:spacing w:before="40" w:after="140" w:line="280" w:lineRule="atLeast"/>
    </w:pPr>
  </w:style>
  <w:style w:type="character" w:customStyle="1" w:styleId="BodyTextChar">
    <w:name w:val="Body Text Char"/>
    <w:basedOn w:val="DefaultParagraphFont"/>
    <w:link w:val="BodyText"/>
    <w:rsid w:val="00866BDC"/>
    <w:rPr>
      <w:rFonts w:ascii="Arial" w:hAnsi="Arial" w:cs="Arial"/>
      <w:sz w:val="18"/>
      <w:szCs w:val="18"/>
      <w:lang w:val="en-GB"/>
    </w:rPr>
  </w:style>
  <w:style w:type="character" w:styleId="PlaceholderText">
    <w:name w:val="Placeholder Text"/>
    <w:basedOn w:val="DefaultParagraphFont"/>
    <w:uiPriority w:val="99"/>
    <w:rsid w:val="00866BDC"/>
    <w:rPr>
      <w:noProof/>
      <w:vanish/>
      <w:color w:val="808080"/>
      <w:lang w:val="en-GB"/>
    </w:rPr>
  </w:style>
  <w:style w:type="character" w:customStyle="1" w:styleId="Heading5Char">
    <w:name w:val="Heading 5 Char"/>
    <w:basedOn w:val="DefaultParagraphFont"/>
    <w:link w:val="Heading5"/>
    <w:uiPriority w:val="99"/>
    <w:rsid w:val="007319F6"/>
    <w:rPr>
      <w:rFonts w:ascii="Arial" w:hAnsi="Arial" w:cs="Arial"/>
      <w:color w:val="0F204B" w:themeColor="accent1"/>
      <w:szCs w:val="18"/>
      <w:lang w:val="en-GB"/>
    </w:rPr>
  </w:style>
  <w:style w:type="character" w:customStyle="1" w:styleId="Heading6Char">
    <w:name w:val="Heading 6 Char"/>
    <w:basedOn w:val="DefaultParagraphFont"/>
    <w:link w:val="Heading6"/>
    <w:uiPriority w:val="99"/>
    <w:rsid w:val="007319F6"/>
    <w:rPr>
      <w:rFonts w:ascii="Arial" w:hAnsi="Arial" w:cs="Arial"/>
      <w:b/>
      <w:i/>
      <w:iCs/>
      <w:color w:val="0F204B"/>
      <w:sz w:val="20"/>
      <w:szCs w:val="20"/>
      <w:lang w:val="en-GB"/>
    </w:rPr>
  </w:style>
  <w:style w:type="character" w:customStyle="1" w:styleId="Heading7Char">
    <w:name w:val="Heading 7 Char"/>
    <w:basedOn w:val="DefaultParagraphFont"/>
    <w:link w:val="Heading7"/>
    <w:uiPriority w:val="99"/>
    <w:rsid w:val="00866BDC"/>
    <w:rPr>
      <w:rFonts w:ascii="Arial" w:hAnsi="Arial" w:cs="Arial"/>
      <w:b/>
      <w:color w:val="0F204B"/>
      <w:sz w:val="26"/>
      <w:szCs w:val="18"/>
      <w:lang w:val="en-GB"/>
    </w:rPr>
  </w:style>
  <w:style w:type="character" w:customStyle="1" w:styleId="Heading8Char">
    <w:name w:val="Heading 8 Char"/>
    <w:basedOn w:val="DefaultParagraphFont"/>
    <w:link w:val="Heading8"/>
    <w:uiPriority w:val="99"/>
    <w:rsid w:val="00866BDC"/>
    <w:rPr>
      <w:rFonts w:ascii="Arial" w:hAnsi="Arial" w:cs="Arial"/>
      <w:color w:val="0F204B"/>
      <w:sz w:val="26"/>
      <w:szCs w:val="18"/>
      <w:lang w:val="en-GB"/>
    </w:rPr>
  </w:style>
  <w:style w:type="character" w:customStyle="1" w:styleId="Heading9Char">
    <w:name w:val="Heading 9 Char"/>
    <w:basedOn w:val="DefaultParagraphFont"/>
    <w:link w:val="Heading9"/>
    <w:uiPriority w:val="99"/>
    <w:rsid w:val="00866BDC"/>
    <w:rPr>
      <w:rFonts w:ascii="Arial" w:hAnsi="Arial" w:cs="Arial"/>
      <w:b/>
      <w:color w:val="0F204B"/>
      <w:szCs w:val="18"/>
      <w:lang w:val="en-GB"/>
    </w:rPr>
  </w:style>
  <w:style w:type="paragraph" w:styleId="TOC1">
    <w:name w:val="toc 1"/>
    <w:basedOn w:val="Normal"/>
    <w:uiPriority w:val="39"/>
    <w:unhideWhenUsed/>
    <w:rsid w:val="00866BDC"/>
    <w:pPr>
      <w:tabs>
        <w:tab w:val="right" w:leader="dot" w:pos="9581"/>
      </w:tabs>
      <w:spacing w:before="240"/>
      <w:ind w:left="850" w:right="850" w:hanging="850"/>
    </w:pPr>
    <w:rPr>
      <w:caps/>
      <w:noProof/>
    </w:rPr>
  </w:style>
  <w:style w:type="paragraph" w:styleId="TOC2">
    <w:name w:val="toc 2"/>
    <w:basedOn w:val="Normal"/>
    <w:uiPriority w:val="39"/>
    <w:unhideWhenUsed/>
    <w:rsid w:val="00866BDC"/>
    <w:pPr>
      <w:tabs>
        <w:tab w:val="right" w:pos="9581"/>
      </w:tabs>
      <w:spacing w:before="60"/>
      <w:ind w:left="850" w:right="850" w:hanging="850"/>
    </w:pPr>
    <w:rPr>
      <w:noProof/>
    </w:rPr>
  </w:style>
  <w:style w:type="paragraph" w:styleId="TOC3">
    <w:name w:val="toc 3"/>
    <w:basedOn w:val="Normal"/>
    <w:uiPriority w:val="99"/>
    <w:semiHidden/>
    <w:unhideWhenUsed/>
    <w:rsid w:val="00866BDC"/>
    <w:pPr>
      <w:tabs>
        <w:tab w:val="right" w:pos="9581"/>
      </w:tabs>
      <w:ind w:left="1134" w:right="850" w:hanging="1134"/>
    </w:pPr>
    <w:rPr>
      <w:noProof/>
    </w:rPr>
  </w:style>
  <w:style w:type="paragraph" w:styleId="TOC4">
    <w:name w:val="toc 4"/>
    <w:basedOn w:val="Normal"/>
    <w:uiPriority w:val="99"/>
    <w:semiHidden/>
    <w:unhideWhenUsed/>
    <w:rsid w:val="00866BDC"/>
    <w:pPr>
      <w:tabs>
        <w:tab w:val="right" w:pos="9581"/>
      </w:tabs>
      <w:ind w:left="1417" w:right="850" w:hanging="1417"/>
    </w:pPr>
    <w:rPr>
      <w:noProof/>
    </w:rPr>
  </w:style>
  <w:style w:type="paragraph" w:styleId="TOC5">
    <w:name w:val="toc 5"/>
    <w:basedOn w:val="Normal"/>
    <w:uiPriority w:val="99"/>
    <w:semiHidden/>
    <w:unhideWhenUsed/>
    <w:rsid w:val="00866BDC"/>
    <w:pPr>
      <w:tabs>
        <w:tab w:val="right" w:pos="9581"/>
      </w:tabs>
      <w:ind w:left="1417" w:right="850" w:hanging="1417"/>
    </w:pPr>
    <w:rPr>
      <w:noProof/>
    </w:rPr>
  </w:style>
  <w:style w:type="paragraph" w:styleId="TOC6">
    <w:name w:val="toc 6"/>
    <w:basedOn w:val="TOC1"/>
    <w:uiPriority w:val="99"/>
    <w:semiHidden/>
    <w:unhideWhenUsed/>
    <w:rsid w:val="00866BDC"/>
  </w:style>
  <w:style w:type="paragraph" w:styleId="TOC7">
    <w:name w:val="toc 7"/>
    <w:basedOn w:val="TOC2"/>
    <w:uiPriority w:val="99"/>
    <w:semiHidden/>
    <w:unhideWhenUsed/>
    <w:rsid w:val="00866BDC"/>
  </w:style>
  <w:style w:type="paragraph" w:styleId="TOC8">
    <w:name w:val="toc 8"/>
    <w:basedOn w:val="TOC4"/>
    <w:uiPriority w:val="99"/>
    <w:semiHidden/>
    <w:unhideWhenUsed/>
    <w:rsid w:val="00866BDC"/>
  </w:style>
  <w:style w:type="paragraph" w:styleId="Header">
    <w:name w:val="header"/>
    <w:basedOn w:val="Normal"/>
    <w:link w:val="HeaderChar"/>
    <w:uiPriority w:val="99"/>
    <w:rsid w:val="00866BDC"/>
    <w:rPr>
      <w:noProof/>
    </w:rPr>
  </w:style>
  <w:style w:type="character" w:customStyle="1" w:styleId="HeaderChar">
    <w:name w:val="Header Char"/>
    <w:basedOn w:val="DefaultParagraphFont"/>
    <w:link w:val="Header"/>
    <w:uiPriority w:val="99"/>
    <w:rsid w:val="00866BDC"/>
    <w:rPr>
      <w:rFonts w:ascii="Arial" w:hAnsi="Arial" w:cs="Arial"/>
      <w:noProof/>
      <w:sz w:val="18"/>
      <w:szCs w:val="18"/>
      <w:lang w:val="en-GB"/>
    </w:rPr>
  </w:style>
  <w:style w:type="paragraph" w:styleId="Footer">
    <w:name w:val="footer"/>
    <w:basedOn w:val="Normal"/>
    <w:link w:val="FooterChar"/>
    <w:uiPriority w:val="99"/>
    <w:rsid w:val="00866BDC"/>
    <w:pPr>
      <w:spacing w:line="160" w:lineRule="atLeast"/>
    </w:pPr>
    <w:rPr>
      <w:noProof/>
      <w:sz w:val="13"/>
    </w:rPr>
  </w:style>
  <w:style w:type="character" w:customStyle="1" w:styleId="FooterChar">
    <w:name w:val="Footer Char"/>
    <w:basedOn w:val="DefaultParagraphFont"/>
    <w:link w:val="Footer"/>
    <w:uiPriority w:val="99"/>
    <w:rsid w:val="00866BDC"/>
    <w:rPr>
      <w:rFonts w:ascii="Arial" w:hAnsi="Arial" w:cs="Arial"/>
      <w:noProof/>
      <w:sz w:val="13"/>
      <w:szCs w:val="18"/>
      <w:lang w:val="en-GB"/>
    </w:rPr>
  </w:style>
  <w:style w:type="paragraph" w:styleId="Caption">
    <w:name w:val="caption"/>
    <w:basedOn w:val="Normal"/>
    <w:next w:val="BodyText"/>
    <w:uiPriority w:val="99"/>
    <w:rsid w:val="00866BDC"/>
    <w:rPr>
      <w:b/>
    </w:rPr>
  </w:style>
  <w:style w:type="paragraph" w:styleId="ListBullet">
    <w:name w:val="List Bullet"/>
    <w:basedOn w:val="Normal"/>
    <w:uiPriority w:val="99"/>
    <w:rsid w:val="008575B3"/>
    <w:pPr>
      <w:numPr>
        <w:numId w:val="7"/>
      </w:numPr>
      <w:spacing w:after="140" w:line="280" w:lineRule="atLeast"/>
      <w:contextualSpacing/>
    </w:pPr>
  </w:style>
  <w:style w:type="paragraph" w:styleId="ListNumber">
    <w:name w:val="List Number"/>
    <w:basedOn w:val="Normal"/>
    <w:uiPriority w:val="99"/>
    <w:rsid w:val="006F37FC"/>
    <w:pPr>
      <w:numPr>
        <w:numId w:val="8"/>
      </w:numPr>
      <w:spacing w:after="140" w:line="280" w:lineRule="atLeast"/>
      <w:contextualSpacing/>
    </w:pPr>
  </w:style>
  <w:style w:type="paragraph" w:styleId="FootnoteText">
    <w:name w:val="footnote text"/>
    <w:aliases w:val="DFSListFootnote"/>
    <w:basedOn w:val="Normal"/>
    <w:link w:val="FootnoteTextChar"/>
    <w:uiPriority w:val="99"/>
    <w:rsid w:val="00866BDC"/>
    <w:pPr>
      <w:ind w:left="397" w:hanging="397"/>
    </w:pPr>
    <w:rPr>
      <w:sz w:val="13"/>
    </w:rPr>
  </w:style>
  <w:style w:type="character" w:customStyle="1" w:styleId="FootnoteTextChar">
    <w:name w:val="Footnote Text Char"/>
    <w:aliases w:val="DFSListFootnote Char"/>
    <w:basedOn w:val="DefaultParagraphFont"/>
    <w:link w:val="FootnoteText"/>
    <w:uiPriority w:val="99"/>
    <w:rsid w:val="00866BDC"/>
    <w:rPr>
      <w:rFonts w:ascii="Arial" w:hAnsi="Arial" w:cs="Arial"/>
      <w:sz w:val="13"/>
      <w:szCs w:val="18"/>
      <w:lang w:val="en-GB"/>
    </w:rPr>
  </w:style>
  <w:style w:type="character" w:styleId="FootnoteReference">
    <w:name w:val="footnote reference"/>
    <w:basedOn w:val="DefaultParagraphFont"/>
    <w:uiPriority w:val="99"/>
    <w:semiHidden/>
    <w:unhideWhenUsed/>
    <w:rsid w:val="00866BDC"/>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basedOn w:val="DefaultParagraphFont"/>
    <w:link w:val="DNVGL-Hidden"/>
    <w:uiPriority w:val="99"/>
    <w:rsid w:val="00866BDC"/>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866BDC"/>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866BDC"/>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866BDC"/>
    <w:rPr>
      <w:rFonts w:ascii="Arial" w:hAnsi="Arial" w:cs="Arial"/>
      <w:noProof/>
      <w:sz w:val="18"/>
      <w:szCs w:val="18"/>
      <w:lang w:val="en-GB"/>
    </w:rPr>
  </w:style>
  <w:style w:type="paragraph" w:customStyle="1" w:styleId="DNVGL-Details">
    <w:name w:val="DNVGL-Details"/>
    <w:basedOn w:val="Normal"/>
    <w:link w:val="DNVGL-DetailsChar"/>
    <w:uiPriority w:val="99"/>
    <w:rsid w:val="00221210"/>
    <w:pPr>
      <w:keepLines/>
      <w:spacing w:line="280" w:lineRule="atLeast"/>
    </w:pPr>
  </w:style>
  <w:style w:type="character" w:customStyle="1" w:styleId="DNVGL-DetailsChar">
    <w:name w:val="DNVGL-Details Char"/>
    <w:basedOn w:val="DefaultParagraphFont"/>
    <w:link w:val="DNVGL-Details"/>
    <w:uiPriority w:val="99"/>
    <w:rsid w:val="00221210"/>
    <w:rPr>
      <w:rFonts w:ascii="Arial" w:hAnsi="Arial" w:cs="Arial"/>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basedOn w:val="DefaultParagraphFont"/>
    <w:link w:val="DNVGL-Revisionrow"/>
    <w:uiPriority w:val="99"/>
    <w:rsid w:val="00866BDC"/>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basedOn w:val="DefaultParagraphFont"/>
    <w:link w:val="DNVGL-Revisionheadingrow"/>
    <w:uiPriority w:val="99"/>
    <w:rsid w:val="00866BDC"/>
    <w:rPr>
      <w:rFonts w:ascii="Arial" w:hAnsi="Arial" w:cs="Arial"/>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basedOn w:val="DefaultParagraphFont"/>
    <w:link w:val="DNVGL-Signature"/>
    <w:uiPriority w:val="99"/>
    <w:rsid w:val="00866BDC"/>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basedOn w:val="DefaultParagraphFont"/>
    <w:link w:val="DNVGL-Signaturesmall"/>
    <w:uiPriority w:val="99"/>
    <w:rsid w:val="00866BDC"/>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866BDC"/>
    <w:rPr>
      <w:rFonts w:ascii="Arial" w:hAnsi="Arial" w:cs="Arial"/>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basedOn w:val="DefaultParagraphFont"/>
    <w:link w:val="CMCHeading"/>
    <w:uiPriority w:val="99"/>
    <w:rsid w:val="00866BDC"/>
    <w:rPr>
      <w:rFonts w:ascii="Arial" w:hAnsi="Arial" w:cs="Arial"/>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basedOn w:val="DefaultParagraphFont"/>
    <w:link w:val="CMCConfidential"/>
    <w:uiPriority w:val="99"/>
    <w:rsid w:val="00866BDC"/>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basedOn w:val="DefaultParagraphFont"/>
    <w:link w:val="CMCConfidentialText"/>
    <w:rsid w:val="00866BDC"/>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866BDC"/>
    <w:pPr>
      <w:keepLines/>
      <w:numPr>
        <w:numId w:val="9"/>
      </w:numPr>
    </w:pPr>
    <w:rPr>
      <w:color w:val="0F204B"/>
    </w:rPr>
  </w:style>
  <w:style w:type="character" w:customStyle="1" w:styleId="DNVGL-AppListingChar">
    <w:name w:val="DNVGL-App Listing Char"/>
    <w:basedOn w:val="DefaultParagraphFont"/>
    <w:link w:val="DNVGL-AppListing"/>
    <w:uiPriority w:val="99"/>
    <w:rsid w:val="00866BDC"/>
    <w:rPr>
      <w:rFonts w:ascii="Arial" w:hAnsi="Arial" w:cs="Arial"/>
      <w:color w:val="0F204B"/>
      <w:sz w:val="18"/>
      <w:szCs w:val="18"/>
      <w:lang w:val="en-GB"/>
    </w:rPr>
  </w:style>
  <w:style w:type="paragraph" w:customStyle="1" w:styleId="DNVGL-AppText">
    <w:name w:val="DNVGL-App Text"/>
    <w:basedOn w:val="Normal"/>
    <w:next w:val="BodyText"/>
    <w:link w:val="DNVGL-AppTextChar"/>
    <w:uiPriority w:val="99"/>
    <w:rsid w:val="00866BDC"/>
    <w:pPr>
      <w:spacing w:after="120"/>
    </w:pPr>
    <w:rPr>
      <w:b/>
      <w:color w:val="0F204B"/>
      <w:sz w:val="26"/>
    </w:rPr>
  </w:style>
  <w:style w:type="character" w:customStyle="1" w:styleId="DNVGL-AppTextChar">
    <w:name w:val="DNVGL-App Text Char"/>
    <w:basedOn w:val="DefaultParagraphFont"/>
    <w:link w:val="DNVGL-AppText"/>
    <w:uiPriority w:val="99"/>
    <w:rsid w:val="00866BDC"/>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866BDC"/>
    <w:pPr>
      <w:pBdr>
        <w:bottom w:val="single" w:sz="6" w:space="0" w:color="009FDA"/>
      </w:pBdr>
    </w:pPr>
    <w:rPr>
      <w:b/>
      <w:caps/>
      <w:noProof/>
      <w:color w:val="0F204B"/>
      <w:sz w:val="26"/>
    </w:rPr>
  </w:style>
  <w:style w:type="character" w:customStyle="1" w:styleId="DNVGL-AppendixChar">
    <w:name w:val="DNVGL-Appendix Char"/>
    <w:basedOn w:val="DefaultParagraphFont"/>
    <w:link w:val="DNVGL-Appendix"/>
    <w:uiPriority w:val="99"/>
    <w:rsid w:val="00866BDC"/>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F204B"/>
      <w:sz w:val="26"/>
    </w:rPr>
  </w:style>
  <w:style w:type="character" w:customStyle="1" w:styleId="DNVGL-BackcoverTitleChar">
    <w:name w:val="DNVGL-Backcover Title Char"/>
    <w:basedOn w:val="DefaultParagraphFont"/>
    <w:link w:val="DNVGL-BackcoverTitle"/>
    <w:uiPriority w:val="99"/>
    <w:rsid w:val="00866BDC"/>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F204B"/>
    </w:rPr>
  </w:style>
  <w:style w:type="character" w:customStyle="1" w:styleId="BodytexthighlightChar">
    <w:name w:val="Body text highlight Char"/>
    <w:basedOn w:val="DefaultParagraphFont"/>
    <w:link w:val="Bodytexthighlight"/>
    <w:uiPriority w:val="99"/>
    <w:rsid w:val="00866BDC"/>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866BDC"/>
    <w:rPr>
      <w:rFonts w:ascii="Arial" w:hAnsi="Arial" w:cs="Arial"/>
      <w:b/>
      <w:sz w:val="18"/>
      <w:szCs w:val="18"/>
      <w:lang w:val="en-GB"/>
    </w:rPr>
  </w:style>
  <w:style w:type="paragraph" w:customStyle="1" w:styleId="DNVGL-capFigure">
    <w:name w:val="DNVGL-capFigure"/>
    <w:basedOn w:val="Normal"/>
    <w:next w:val="BodyText"/>
    <w:link w:val="DNVGL-capFigureChar"/>
    <w:uiPriority w:val="99"/>
    <w:rsid w:val="00866BDC"/>
    <w:pPr>
      <w:keepNext/>
    </w:pPr>
    <w:rPr>
      <w:b/>
    </w:rPr>
  </w:style>
  <w:style w:type="character" w:customStyle="1" w:styleId="DNVGL-capFigureChar">
    <w:name w:val="DNVGL-capFigure Char"/>
    <w:basedOn w:val="DefaultParagraphFont"/>
    <w:link w:val="DNVGL-capFigure"/>
    <w:uiPriority w:val="99"/>
    <w:rsid w:val="00866BDC"/>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866BDC"/>
    <w:pPr>
      <w:keepNext/>
      <w:spacing w:before="100" w:after="60" w:line="280" w:lineRule="atLeast"/>
    </w:pPr>
    <w:rPr>
      <w:b/>
    </w:rPr>
  </w:style>
  <w:style w:type="character" w:customStyle="1" w:styleId="DNVGL-capTableChar">
    <w:name w:val="DNVGL-capTable Char"/>
    <w:basedOn w:val="DefaultParagraphFont"/>
    <w:link w:val="DNVGL-capTable"/>
    <w:uiPriority w:val="99"/>
    <w:rsid w:val="00866BDC"/>
    <w:rPr>
      <w:rFonts w:ascii="Arial" w:hAnsi="Arial" w:cs="Arial"/>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866BDC"/>
    <w:rPr>
      <w:rFonts w:ascii="Arial" w:hAnsi="Arial" w:cs="Arial"/>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866BDC"/>
    <w:rPr>
      <w:rFonts w:ascii="Arial" w:hAnsi="Arial" w:cs="Arial"/>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basedOn w:val="DefaultParagraphFont"/>
    <w:link w:val="DNVGL-TableText"/>
    <w:uiPriority w:val="99"/>
    <w:rsid w:val="00866BDC"/>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basedOn w:val="DefaultParagraphFont"/>
    <w:link w:val="DNVGL-TableHeadingText"/>
    <w:uiPriority w:val="99"/>
    <w:rsid w:val="00866BDC"/>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866BDC"/>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221210"/>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22121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221210"/>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22121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221210"/>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221210"/>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basedOn w:val="DefaultParagraphFont"/>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semiHidden/>
    <w:unhideWhenUsed/>
    <w:rsid w:val="00866BDC"/>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hAnsiTheme="minorHAnsi" w:cstheme="minorBidi"/>
      <w:i/>
      <w:iCs/>
      <w:color w:val="0F204B" w:themeColor="accent1"/>
    </w:rPr>
  </w:style>
  <w:style w:type="paragraph" w:styleId="BodyText2">
    <w:name w:val="Body Text 2"/>
    <w:basedOn w:val="Normal"/>
    <w:link w:val="BodyText2Char"/>
    <w:uiPriority w:val="99"/>
    <w:semiHidden/>
    <w:unhideWhenUsed/>
    <w:rsid w:val="00866BDC"/>
    <w:pPr>
      <w:spacing w:after="120" w:line="480" w:lineRule="auto"/>
    </w:pPr>
  </w:style>
  <w:style w:type="character" w:customStyle="1" w:styleId="BodyText2Char">
    <w:name w:val="Body Text 2 Char"/>
    <w:basedOn w:val="DefaultParagraphFont"/>
    <w:link w:val="BodyText2"/>
    <w:uiPriority w:val="99"/>
    <w:semiHidden/>
    <w:rsid w:val="00866BDC"/>
    <w:rPr>
      <w:rFonts w:ascii="Arial" w:hAnsi="Arial" w:cs="Arial"/>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basedOn w:val="DefaultParagraphFont"/>
    <w:link w:val="BodyText3"/>
    <w:uiPriority w:val="99"/>
    <w:semiHidden/>
    <w:rsid w:val="00866BDC"/>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866BDC"/>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866BDC"/>
    <w:rPr>
      <w:rFonts w:ascii="Arial" w:hAnsi="Arial" w:cs="Arial"/>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basedOn w:val="DefaultParagraphFont"/>
    <w:link w:val="BodyTextIndent"/>
    <w:uiPriority w:val="99"/>
    <w:semiHidden/>
    <w:rsid w:val="00866BDC"/>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basedOn w:val="BodyTextIndentChar"/>
    <w:link w:val="BodyTextFirstIndent2"/>
    <w:uiPriority w:val="99"/>
    <w:semiHidden/>
    <w:rsid w:val="00866BDC"/>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basedOn w:val="DefaultParagraphFont"/>
    <w:link w:val="BodyTextIndent2"/>
    <w:uiPriority w:val="99"/>
    <w:semiHidden/>
    <w:rsid w:val="00866BDC"/>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6BDC"/>
    <w:rPr>
      <w:rFonts w:ascii="Arial" w:hAnsi="Arial" w:cs="Arial"/>
      <w:sz w:val="16"/>
      <w:szCs w:val="16"/>
      <w:lang w:val="en-GB"/>
    </w:rPr>
  </w:style>
  <w:style w:type="character" w:styleId="BookTitle">
    <w:name w:val="Book Title"/>
    <w:basedOn w:val="DefaultParagraphFont"/>
    <w:uiPriority w:val="99"/>
    <w:semiHidden/>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basedOn w:val="DefaultParagraphFont"/>
    <w:link w:val="Closing"/>
    <w:uiPriority w:val="99"/>
    <w:semiHidden/>
    <w:rsid w:val="00866BDC"/>
    <w:rPr>
      <w:rFonts w:ascii="Arial" w:hAnsi="Arial" w:cs="Arial"/>
      <w:sz w:val="18"/>
      <w:szCs w:val="18"/>
      <w:lang w:val="en-GB"/>
    </w:rPr>
  </w:style>
  <w:style w:type="character" w:styleId="CommentReference">
    <w:name w:val="annotation reference"/>
    <w:basedOn w:val="DefaultParagraphFont"/>
    <w:uiPriority w:val="99"/>
    <w:semiHidden/>
    <w:unhideWhenUsed/>
    <w:rsid w:val="00866BDC"/>
    <w:rPr>
      <w:sz w:val="16"/>
      <w:szCs w:val="16"/>
    </w:rPr>
  </w:style>
  <w:style w:type="paragraph" w:styleId="CommentText">
    <w:name w:val="annotation text"/>
    <w:basedOn w:val="Normal"/>
    <w:link w:val="CommentTextChar"/>
    <w:uiPriority w:val="99"/>
    <w:unhideWhenUsed/>
    <w:rsid w:val="00866BDC"/>
    <w:rPr>
      <w:sz w:val="20"/>
      <w:szCs w:val="20"/>
    </w:rPr>
  </w:style>
  <w:style w:type="character" w:customStyle="1" w:styleId="CommentTextChar">
    <w:name w:val="Comment Text Char"/>
    <w:basedOn w:val="DefaultParagraphFont"/>
    <w:link w:val="CommentText"/>
    <w:uiPriority w:val="99"/>
    <w:rsid w:val="00866BDC"/>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basedOn w:val="CommentTextChar"/>
    <w:link w:val="CommentSubject"/>
    <w:uiPriority w:val="99"/>
    <w:semiHidden/>
    <w:rsid w:val="00866BDC"/>
    <w:rPr>
      <w:rFonts w:ascii="Arial" w:hAnsi="Arial" w:cs="Arial"/>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basedOn w:val="DefaultParagraphFont"/>
    <w:link w:val="Date"/>
    <w:uiPriority w:val="99"/>
    <w:semiHidden/>
    <w:rsid w:val="00866BDC"/>
    <w:rPr>
      <w:rFonts w:ascii="Arial" w:hAnsi="Arial" w:cs="Arial"/>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basedOn w:val="DefaultParagraphFont"/>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basedOn w:val="DefaultParagraphFont"/>
    <w:link w:val="E-mailSignature"/>
    <w:uiPriority w:val="99"/>
    <w:semiHidden/>
    <w:rsid w:val="00866BDC"/>
    <w:rPr>
      <w:rFonts w:ascii="Arial" w:hAnsi="Arial" w:cs="Arial"/>
      <w:sz w:val="18"/>
      <w:szCs w:val="18"/>
      <w:lang w:val="en-GB"/>
    </w:rPr>
  </w:style>
  <w:style w:type="character" w:styleId="Emphasis">
    <w:name w:val="Emphasis"/>
    <w:basedOn w:val="DefaultParagraphFont"/>
    <w:uiPriority w:val="99"/>
    <w:semiHidden/>
    <w:unhideWhenUsed/>
    <w:rsid w:val="00866BDC"/>
    <w:rPr>
      <w:i/>
      <w:iCs/>
    </w:rPr>
  </w:style>
  <w:style w:type="character" w:styleId="EndnoteReference">
    <w:name w:val="endnote reference"/>
    <w:basedOn w:val="DefaultParagraphFont"/>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basedOn w:val="DefaultParagraphFont"/>
    <w:link w:val="EndnoteText"/>
    <w:uiPriority w:val="99"/>
    <w:semiHidden/>
    <w:rsid w:val="00866BDC"/>
    <w:rPr>
      <w:rFonts w:ascii="Arial" w:hAnsi="Arial" w:cs="Arial"/>
      <w:sz w:val="20"/>
      <w:szCs w:val="20"/>
      <w:lang w:val="en-GB"/>
    </w:rPr>
  </w:style>
  <w:style w:type="paragraph" w:styleId="EnvelopeAddress">
    <w:name w:val="envelope address"/>
    <w:basedOn w:val="Normal"/>
    <w:uiPriority w:val="99"/>
    <w:semiHidden/>
    <w:unhideWhenUsed/>
    <w:rsid w:val="00866BD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66BDC"/>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66BDC"/>
    <w:rPr>
      <w:color w:val="3F9C35"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basedOn w:val="DefaultParagraphFont"/>
    <w:link w:val="HTMLAddress"/>
    <w:uiPriority w:val="99"/>
    <w:semiHidden/>
    <w:rsid w:val="00866BDC"/>
    <w:rPr>
      <w:rFonts w:ascii="Arial" w:hAnsi="Arial" w:cs="Arial"/>
      <w:i/>
      <w:iCs/>
      <w:sz w:val="18"/>
      <w:szCs w:val="18"/>
      <w:lang w:val="en-GB"/>
    </w:rPr>
  </w:style>
  <w:style w:type="character" w:styleId="HTMLCite">
    <w:name w:val="HTML Cite"/>
    <w:basedOn w:val="DefaultParagraphFont"/>
    <w:uiPriority w:val="99"/>
    <w:semiHidden/>
    <w:unhideWhenUsed/>
    <w:rsid w:val="00866BDC"/>
    <w:rPr>
      <w:i/>
      <w:iCs/>
    </w:rPr>
  </w:style>
  <w:style w:type="character" w:styleId="HTMLCode">
    <w:name w:val="HTML Code"/>
    <w:basedOn w:val="DefaultParagraphFont"/>
    <w:uiPriority w:val="99"/>
    <w:semiHidden/>
    <w:unhideWhenUsed/>
    <w:rsid w:val="00866BDC"/>
    <w:rPr>
      <w:rFonts w:ascii="Consolas" w:hAnsi="Consolas"/>
      <w:sz w:val="20"/>
      <w:szCs w:val="20"/>
    </w:rPr>
  </w:style>
  <w:style w:type="character" w:styleId="HTMLDefinition">
    <w:name w:val="HTML Definition"/>
    <w:basedOn w:val="DefaultParagraphFont"/>
    <w:uiPriority w:val="99"/>
    <w:semiHidden/>
    <w:unhideWhenUsed/>
    <w:rsid w:val="00866BDC"/>
    <w:rPr>
      <w:i/>
      <w:iCs/>
    </w:rPr>
  </w:style>
  <w:style w:type="character" w:styleId="HTMLKeyboard">
    <w:name w:val="HTML Keyboard"/>
    <w:basedOn w:val="DefaultParagraphFont"/>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66BDC"/>
    <w:rPr>
      <w:rFonts w:ascii="Consolas" w:hAnsi="Consolas" w:cs="Arial"/>
      <w:sz w:val="20"/>
      <w:szCs w:val="20"/>
      <w:lang w:val="en-GB"/>
    </w:rPr>
  </w:style>
  <w:style w:type="character" w:styleId="HTMLSample">
    <w:name w:val="HTML Sample"/>
    <w:basedOn w:val="DefaultParagraphFont"/>
    <w:uiPriority w:val="99"/>
    <w:semiHidden/>
    <w:unhideWhenUsed/>
    <w:rsid w:val="00866BDC"/>
    <w:rPr>
      <w:rFonts w:ascii="Consolas" w:hAnsi="Consolas"/>
      <w:sz w:val="24"/>
      <w:szCs w:val="24"/>
    </w:rPr>
  </w:style>
  <w:style w:type="character" w:styleId="HTMLTypewriter">
    <w:name w:val="HTML Typewriter"/>
    <w:basedOn w:val="DefaultParagraphFont"/>
    <w:uiPriority w:val="99"/>
    <w:semiHidden/>
    <w:unhideWhenUsed/>
    <w:rsid w:val="00866BDC"/>
    <w:rPr>
      <w:rFonts w:ascii="Consolas" w:hAnsi="Consolas"/>
      <w:sz w:val="20"/>
      <w:szCs w:val="20"/>
    </w:rPr>
  </w:style>
  <w:style w:type="character" w:styleId="HTMLVariable">
    <w:name w:val="HTML Variable"/>
    <w:basedOn w:val="DefaultParagraphFont"/>
    <w:uiPriority w:val="99"/>
    <w:semiHidden/>
    <w:unhideWhenUsed/>
    <w:rsid w:val="00866BDC"/>
    <w:rPr>
      <w:i/>
      <w:iCs/>
    </w:rPr>
  </w:style>
  <w:style w:type="character" w:styleId="Hyperlink">
    <w:name w:val="Hyperlink"/>
    <w:basedOn w:val="DefaultParagraphFont"/>
    <w:uiPriority w:val="99"/>
    <w:unhideWhenUsed/>
    <w:rsid w:val="00866BDC"/>
    <w:rPr>
      <w:color w:val="009FDA"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866BDC"/>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866BDC"/>
    <w:rPr>
      <w:b/>
      <w:bCs/>
      <w:i/>
      <w:iCs/>
      <w:color w:val="0F204B" w:themeColor="accent1"/>
    </w:rPr>
  </w:style>
  <w:style w:type="paragraph" w:styleId="IntenseQuote">
    <w:name w:val="Intense Quote"/>
    <w:basedOn w:val="Normal"/>
    <w:next w:val="Normal"/>
    <w:link w:val="IntenseQuoteChar"/>
    <w:uiPriority w:val="99"/>
    <w:semiHidden/>
    <w:unhideWhenUsed/>
    <w:rsid w:val="00866BDC"/>
    <w:pPr>
      <w:pBdr>
        <w:bottom w:val="single" w:sz="4" w:space="4" w:color="0F204B" w:themeColor="accent1"/>
      </w:pBdr>
      <w:spacing w:before="200" w:after="280"/>
      <w:ind w:left="936" w:right="936"/>
    </w:pPr>
    <w:rPr>
      <w:b/>
      <w:bCs/>
      <w:i/>
      <w:iCs/>
      <w:color w:val="0F204B" w:themeColor="accent1"/>
    </w:rPr>
  </w:style>
  <w:style w:type="character" w:customStyle="1" w:styleId="IntenseQuoteChar">
    <w:name w:val="Intense Quote Char"/>
    <w:basedOn w:val="DefaultParagraphFont"/>
    <w:link w:val="IntenseQuote"/>
    <w:uiPriority w:val="30"/>
    <w:rsid w:val="00866BDC"/>
    <w:rPr>
      <w:rFonts w:ascii="Arial" w:hAnsi="Arial" w:cs="Arial"/>
      <w:b/>
      <w:bCs/>
      <w:i/>
      <w:iCs/>
      <w:color w:val="0F204B" w:themeColor="accent1"/>
      <w:sz w:val="18"/>
      <w:szCs w:val="18"/>
      <w:lang w:val="en-GB"/>
    </w:rPr>
  </w:style>
  <w:style w:type="character" w:styleId="IntenseReference">
    <w:name w:val="Intense Reference"/>
    <w:basedOn w:val="DefaultParagraphFont"/>
    <w:uiPriority w:val="99"/>
    <w:semiHidden/>
    <w:unhideWhenUsed/>
    <w:rsid w:val="00866BDC"/>
    <w:rPr>
      <w:b/>
      <w:bCs/>
      <w:smallCaps/>
      <w:color w:val="99D9F0"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semiHidden/>
    <w:unhideWhenUsed/>
    <w:rsid w:val="00540A26"/>
    <w:pPr>
      <w:numPr>
        <w:numId w:val="10"/>
      </w:numPr>
      <w:spacing w:after="140" w:line="280" w:lineRule="atLeast"/>
      <w:ind w:left="648"/>
      <w:contextualSpacing/>
    </w:pPr>
  </w:style>
  <w:style w:type="paragraph" w:styleId="ListBullet3">
    <w:name w:val="List Bullet 3"/>
    <w:basedOn w:val="Normal"/>
    <w:uiPriority w:val="99"/>
    <w:semiHidden/>
    <w:unhideWhenUsed/>
    <w:rsid w:val="00EA3B42"/>
    <w:pPr>
      <w:numPr>
        <w:numId w:val="11"/>
      </w:numPr>
      <w:spacing w:after="140" w:line="280" w:lineRule="atLeast"/>
      <w:ind w:left="922"/>
      <w:contextualSpacing/>
    </w:pPr>
  </w:style>
  <w:style w:type="paragraph" w:styleId="ListBullet4">
    <w:name w:val="List Bullet 4"/>
    <w:basedOn w:val="Normal"/>
    <w:uiPriority w:val="99"/>
    <w:semiHidden/>
    <w:unhideWhenUsed/>
    <w:rsid w:val="00EA3B42"/>
    <w:pPr>
      <w:numPr>
        <w:numId w:val="12"/>
      </w:numPr>
      <w:spacing w:after="140" w:line="280" w:lineRule="atLeast"/>
      <w:ind w:left="1210"/>
      <w:contextualSpacing/>
    </w:pPr>
  </w:style>
  <w:style w:type="paragraph" w:styleId="ListBullet5">
    <w:name w:val="List Bullet 5"/>
    <w:basedOn w:val="Normal"/>
    <w:uiPriority w:val="99"/>
    <w:semiHidden/>
    <w:unhideWhenUsed/>
    <w:rsid w:val="00EA3B42"/>
    <w:pPr>
      <w:numPr>
        <w:numId w:val="13"/>
      </w:numPr>
      <w:spacing w:after="140" w:line="280" w:lineRule="atLeast"/>
      <w:ind w:left="1498"/>
      <w:contextualSpacing/>
    </w:p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semiHidden/>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semiHidden/>
    <w:unhideWhenUsed/>
    <w:rsid w:val="00690D3F"/>
    <w:pPr>
      <w:numPr>
        <w:numId w:val="14"/>
      </w:numPr>
      <w:spacing w:after="140" w:line="280" w:lineRule="atLeast"/>
      <w:ind w:left="648"/>
      <w:contextualSpacing/>
    </w:pPr>
  </w:style>
  <w:style w:type="paragraph" w:styleId="ListNumber3">
    <w:name w:val="List Number 3"/>
    <w:basedOn w:val="Normal"/>
    <w:uiPriority w:val="99"/>
    <w:semiHidden/>
    <w:unhideWhenUsed/>
    <w:rsid w:val="00EA3B42"/>
    <w:pPr>
      <w:numPr>
        <w:numId w:val="15"/>
      </w:numPr>
      <w:spacing w:after="140" w:line="280" w:lineRule="atLeast"/>
      <w:ind w:left="922"/>
      <w:contextualSpacing/>
    </w:pPr>
  </w:style>
  <w:style w:type="paragraph" w:styleId="ListNumber4">
    <w:name w:val="List Number 4"/>
    <w:basedOn w:val="Normal"/>
    <w:uiPriority w:val="99"/>
    <w:semiHidden/>
    <w:unhideWhenUsed/>
    <w:rsid w:val="00EA3B42"/>
    <w:pPr>
      <w:numPr>
        <w:numId w:val="16"/>
      </w:numPr>
      <w:spacing w:after="140" w:line="280" w:lineRule="atLeast"/>
      <w:ind w:left="1210"/>
      <w:contextualSpacing/>
    </w:pPr>
  </w:style>
  <w:style w:type="paragraph" w:styleId="ListNumber5">
    <w:name w:val="List Number 5"/>
    <w:basedOn w:val="Normal"/>
    <w:uiPriority w:val="99"/>
    <w:semiHidden/>
    <w:unhideWhenUsed/>
    <w:rsid w:val="00EA3B42"/>
    <w:pPr>
      <w:numPr>
        <w:numId w:val="17"/>
      </w:numPr>
      <w:spacing w:after="140" w:line="280" w:lineRule="atLeast"/>
      <w:ind w:left="1498"/>
      <w:contextualSpacing/>
    </w:pPr>
  </w:style>
  <w:style w:type="paragraph" w:styleId="ListParagraph">
    <w:name w:val="List Paragraph"/>
    <w:basedOn w:val="Normal"/>
    <w:uiPriority w:val="99"/>
    <w:unhideWhenUsed/>
    <w:qFormat/>
    <w:rsid w:val="00866BDC"/>
    <w:pPr>
      <w:ind w:left="720"/>
      <w:contextualSpacing/>
    </w:p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Arial"/>
      <w:sz w:val="20"/>
      <w:szCs w:val="20"/>
      <w:lang w:val="en-GB"/>
    </w:rPr>
  </w:style>
  <w:style w:type="character" w:customStyle="1" w:styleId="MacroTextChar">
    <w:name w:val="Macro Text Char"/>
    <w:basedOn w:val="DefaultParagraphFont"/>
    <w:link w:val="MacroText"/>
    <w:uiPriority w:val="99"/>
    <w:semiHidden/>
    <w:rsid w:val="00866BDC"/>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866B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66BDC"/>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866BDC"/>
    <w:pPr>
      <w:spacing w:after="0" w:line="240" w:lineRule="auto"/>
    </w:pPr>
    <w:rPr>
      <w:rFonts w:ascii="Arial" w:hAnsi="Arial" w:cs="Arial"/>
      <w:sz w:val="18"/>
      <w:szCs w:val="18"/>
      <w:lang w:val="en-GB"/>
    </w:rPr>
  </w:style>
  <w:style w:type="paragraph" w:styleId="NormalWeb">
    <w:name w:val="Normal (Web)"/>
    <w:basedOn w:val="Normal"/>
    <w:uiPriority w:val="99"/>
    <w:semiHidden/>
    <w:unhideWhenUsed/>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styleId="NoteHeading">
    <w:name w:val="Note Heading"/>
    <w:basedOn w:val="Normal"/>
    <w:next w:val="Normal"/>
    <w:link w:val="NoteHeadingChar"/>
    <w:uiPriority w:val="99"/>
    <w:semiHidden/>
    <w:unhideWhenUsed/>
    <w:rsid w:val="00866BDC"/>
  </w:style>
  <w:style w:type="character" w:customStyle="1" w:styleId="NoteHeadingChar">
    <w:name w:val="Note Heading Char"/>
    <w:basedOn w:val="DefaultParagraphFont"/>
    <w:link w:val="NoteHeading"/>
    <w:uiPriority w:val="99"/>
    <w:semiHidden/>
    <w:rsid w:val="00866BDC"/>
    <w:rPr>
      <w:rFonts w:ascii="Arial" w:hAnsi="Arial" w:cs="Arial"/>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basedOn w:val="DefaultParagraphFont"/>
    <w:link w:val="PlainText"/>
    <w:uiPriority w:val="99"/>
    <w:semiHidden/>
    <w:rsid w:val="00866BDC"/>
    <w:rPr>
      <w:rFonts w:ascii="Consolas" w:hAnsi="Consolas" w:cs="Arial"/>
      <w:sz w:val="21"/>
      <w:szCs w:val="21"/>
      <w:lang w:val="en-GB"/>
    </w:rPr>
  </w:style>
  <w:style w:type="paragraph" w:styleId="Quote">
    <w:name w:val="Quote"/>
    <w:basedOn w:val="Normal"/>
    <w:next w:val="Normal"/>
    <w:link w:val="QuoteChar"/>
    <w:uiPriority w:val="99"/>
    <w:semiHidden/>
    <w:unhideWhenUsed/>
    <w:rsid w:val="00866BDC"/>
    <w:rPr>
      <w:i/>
      <w:iCs/>
      <w:color w:val="000000" w:themeColor="text1"/>
    </w:rPr>
  </w:style>
  <w:style w:type="character" w:customStyle="1" w:styleId="QuoteChar">
    <w:name w:val="Quote Char"/>
    <w:basedOn w:val="DefaultParagraphFont"/>
    <w:link w:val="Quote"/>
    <w:uiPriority w:val="29"/>
    <w:rsid w:val="00866BDC"/>
    <w:rPr>
      <w:rFonts w:ascii="Arial" w:hAnsi="Arial" w:cs="Arial"/>
      <w:i/>
      <w:iCs/>
      <w:color w:val="000000" w:themeColor="text1"/>
      <w:sz w:val="18"/>
      <w:szCs w:val="18"/>
      <w:lang w:val="en-GB"/>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basedOn w:val="DefaultParagraphFont"/>
    <w:link w:val="Salutation"/>
    <w:uiPriority w:val="99"/>
    <w:semiHidden/>
    <w:rsid w:val="00866BDC"/>
    <w:rPr>
      <w:rFonts w:ascii="Arial" w:hAnsi="Arial" w:cs="Arial"/>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basedOn w:val="DefaultParagraphFont"/>
    <w:link w:val="Signature"/>
    <w:uiPriority w:val="99"/>
    <w:semiHidden/>
    <w:rsid w:val="00866BDC"/>
    <w:rPr>
      <w:rFonts w:ascii="Arial" w:hAnsi="Arial" w:cs="Arial"/>
      <w:sz w:val="18"/>
      <w:szCs w:val="18"/>
      <w:lang w:val="en-GB"/>
    </w:rPr>
  </w:style>
  <w:style w:type="character" w:styleId="Strong">
    <w:name w:val="Strong"/>
    <w:basedOn w:val="DefaultParagraphFont"/>
    <w:uiPriority w:val="99"/>
    <w:semiHidden/>
    <w:unhideWhenUsed/>
    <w:rsid w:val="00866BDC"/>
    <w:rPr>
      <w:b/>
      <w:bCs/>
    </w:rPr>
  </w:style>
  <w:style w:type="paragraph" w:styleId="Subtitle">
    <w:name w:val="Subtitle"/>
    <w:basedOn w:val="Normal"/>
    <w:next w:val="Normal"/>
    <w:link w:val="SubtitleChar"/>
    <w:uiPriority w:val="99"/>
    <w:semiHidden/>
    <w:unhideWhenUsed/>
    <w:rsid w:val="00866BDC"/>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basedOn w:val="DefaultParagraphFont"/>
    <w:link w:val="Subtitle"/>
    <w:uiPriority w:val="11"/>
    <w:rsid w:val="00866BDC"/>
    <w:rPr>
      <w:rFonts w:asciiTheme="majorHAnsi" w:eastAsiaTheme="majorEastAsia" w:hAnsiTheme="majorHAnsi" w:cstheme="majorBidi"/>
      <w:i/>
      <w:iCs/>
      <w:color w:val="0F204B" w:themeColor="accent1"/>
      <w:spacing w:val="15"/>
      <w:sz w:val="24"/>
      <w:szCs w:val="24"/>
      <w:lang w:val="en-GB"/>
    </w:rPr>
  </w:style>
  <w:style w:type="character" w:styleId="SubtleEmphasis">
    <w:name w:val="Subtle Emphasis"/>
    <w:basedOn w:val="DefaultParagraphFont"/>
    <w:uiPriority w:val="99"/>
    <w:semiHidden/>
    <w:unhideWhenUsed/>
    <w:rsid w:val="00866BDC"/>
    <w:rPr>
      <w:i/>
      <w:iCs/>
      <w:color w:val="808080" w:themeColor="text1" w:themeTint="7F"/>
    </w:rPr>
  </w:style>
  <w:style w:type="character" w:styleId="SubtleReference">
    <w:name w:val="Subtle Reference"/>
    <w:basedOn w:val="DefaultParagraphFont"/>
    <w:uiPriority w:val="99"/>
    <w:semiHidden/>
    <w:unhideWhenUsed/>
    <w:rsid w:val="00866BDC"/>
    <w:rPr>
      <w:smallCaps/>
      <w:color w:val="99D9F0"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uiPriority w:val="99"/>
    <w:unhideWhenUsed/>
    <w:rsid w:val="00866BDC"/>
  </w:style>
  <w:style w:type="paragraph" w:styleId="Title">
    <w:name w:val="Title"/>
    <w:basedOn w:val="Normal"/>
    <w:next w:val="Normal"/>
    <w:link w:val="TitleChar"/>
    <w:uiPriority w:val="99"/>
    <w:semiHidden/>
    <w:unhideWhenUsed/>
    <w:rsid w:val="00866BDC"/>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basedOn w:val="DefaultParagraphFont"/>
    <w:link w:val="Title"/>
    <w:uiPriority w:val="10"/>
    <w:rsid w:val="00866BDC"/>
    <w:rPr>
      <w:rFonts w:asciiTheme="majorHAnsi" w:eastAsiaTheme="majorEastAsia" w:hAnsiTheme="majorHAnsi" w:cstheme="majorBidi"/>
      <w:color w:val="0B1738" w:themeColor="text2" w:themeShade="BF"/>
      <w:spacing w:val="5"/>
      <w:kern w:val="28"/>
      <w:sz w:val="52"/>
      <w:szCs w:val="52"/>
      <w:lang w:val="en-GB"/>
    </w:rPr>
  </w:style>
  <w:style w:type="paragraph" w:styleId="TOAHeading">
    <w:name w:val="toa heading"/>
    <w:basedOn w:val="Normal"/>
    <w:next w:val="Normal"/>
    <w:uiPriority w:val="99"/>
    <w:semiHidden/>
    <w:unhideWhenUsed/>
    <w:rsid w:val="00866BDC"/>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uiPriority w:val="99"/>
    <w:semiHidden/>
    <w:unhideWhenUsed/>
    <w:rsid w:val="00866BDC"/>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9D630C"/>
    <w:pPr>
      <w:numPr>
        <w:numId w:val="18"/>
      </w:numPr>
    </w:pPr>
  </w:style>
  <w:style w:type="numbering" w:styleId="1ai">
    <w:name w:val="Outline List 1"/>
    <w:basedOn w:val="NoList"/>
    <w:uiPriority w:val="99"/>
    <w:semiHidden/>
    <w:unhideWhenUsed/>
    <w:rsid w:val="009D630C"/>
    <w:pPr>
      <w:numPr>
        <w:numId w:val="19"/>
      </w:numPr>
    </w:pPr>
  </w:style>
  <w:style w:type="numbering" w:styleId="ArticleSection">
    <w:name w:val="Outline List 3"/>
    <w:basedOn w:val="NoList"/>
    <w:uiPriority w:val="99"/>
    <w:semiHidden/>
    <w:unhideWhenUsed/>
    <w:rsid w:val="009D630C"/>
    <w:pPr>
      <w:numPr>
        <w:numId w:val="20"/>
      </w:numPr>
    </w:pPr>
  </w:style>
  <w:style w:type="table" w:styleId="ColorfulGrid">
    <w:name w:val="Colorful Grid"/>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style>
  <w:style w:type="table" w:styleId="ColorfulGrid-Accent1">
    <w:name w:val="Colorful Grid Accent 1"/>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B9C8F1" w:themeFill="accent1" w:themeFillTint="33"/>
    </w:tcPr>
    <w:tblStylePr w:type="firstRow">
      <w:rPr>
        <w:b/>
        <w:bCs/>
      </w:rPr>
      <w:tblPr/>
      <w:tcPr>
        <w:shd w:val="clear" w:color="auto" w:fill="7392E3" w:themeFill="accent1" w:themeFillTint="66"/>
      </w:tcPr>
    </w:tblStylePr>
    <w:tblStylePr w:type="lastRow">
      <w:rPr>
        <w:b/>
        <w:bCs/>
        <w:color w:val="000000" w:themeColor="text1"/>
      </w:rPr>
      <w:tblPr/>
      <w:tcPr>
        <w:shd w:val="clear" w:color="auto" w:fill="7392E3" w:themeFill="accent1" w:themeFillTint="66"/>
      </w:tcPr>
    </w:tblStylePr>
    <w:tblStylePr w:type="firstCol">
      <w:rPr>
        <w:color w:val="FFFFFF" w:themeColor="background1"/>
      </w:rPr>
      <w:tblPr/>
      <w:tcPr>
        <w:shd w:val="clear" w:color="auto" w:fill="0B1738" w:themeFill="accent1" w:themeFillShade="BF"/>
      </w:tcPr>
    </w:tblStylePr>
    <w:tblStylePr w:type="lastCol">
      <w:rPr>
        <w:color w:val="FFFFFF" w:themeColor="background1"/>
      </w:rPr>
      <w:tblPr/>
      <w:tcPr>
        <w:shd w:val="clear" w:color="auto" w:fill="0B1738" w:themeFill="accent1" w:themeFillShade="BF"/>
      </w:tcPr>
    </w:tblStylePr>
    <w:tblStylePr w:type="band1Vert">
      <w:tblPr/>
      <w:tcPr>
        <w:shd w:val="clear" w:color="auto" w:fill="5077DC" w:themeFill="accent1" w:themeFillTint="7F"/>
      </w:tcPr>
    </w:tblStylePr>
  </w:style>
  <w:style w:type="table" w:styleId="ColorfulGrid-Accent2">
    <w:name w:val="Colorful Grid Accent 2"/>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AF7FC" w:themeFill="accent2" w:themeFillTint="33"/>
    </w:tcPr>
    <w:tblStylePr w:type="firstRow">
      <w:rPr>
        <w:b/>
        <w:bCs/>
      </w:rPr>
      <w:tblPr/>
      <w:tcPr>
        <w:shd w:val="clear" w:color="auto" w:fill="D6EFF9" w:themeFill="accent2" w:themeFillTint="66"/>
      </w:tcPr>
    </w:tblStylePr>
    <w:tblStylePr w:type="lastRow">
      <w:rPr>
        <w:b/>
        <w:bCs/>
        <w:color w:val="000000" w:themeColor="text1"/>
      </w:rPr>
      <w:tblPr/>
      <w:tcPr>
        <w:shd w:val="clear" w:color="auto" w:fill="D6EFF9" w:themeFill="accent2" w:themeFillTint="66"/>
      </w:tc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B6D0FF" w:themeFill="accent3" w:themeFillTint="33"/>
    </w:tcPr>
    <w:tblStylePr w:type="firstRow">
      <w:rPr>
        <w:b/>
        <w:bCs/>
      </w:rPr>
      <w:tblPr/>
      <w:tcPr>
        <w:shd w:val="clear" w:color="auto" w:fill="6DA2FF" w:themeFill="accent3" w:themeFillTint="66"/>
      </w:tcPr>
    </w:tblStylePr>
    <w:tblStylePr w:type="lastRow">
      <w:rPr>
        <w:b/>
        <w:bCs/>
        <w:color w:val="000000" w:themeColor="text1"/>
      </w:rPr>
      <w:tblPr/>
      <w:tcPr>
        <w:shd w:val="clear" w:color="auto" w:fill="6DA2FF" w:themeFill="accent3" w:themeFillTint="66"/>
      </w:tc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C4EEFF" w:themeFill="accent4" w:themeFillTint="33"/>
    </w:tcPr>
    <w:tblStylePr w:type="firstRow">
      <w:rPr>
        <w:b/>
        <w:bCs/>
      </w:rPr>
      <w:tblPr/>
      <w:tcPr>
        <w:shd w:val="clear" w:color="auto" w:fill="8ADEFF" w:themeFill="accent4" w:themeFillTint="66"/>
      </w:tcPr>
    </w:tblStylePr>
    <w:tblStylePr w:type="lastRow">
      <w:rPr>
        <w:b/>
        <w:bCs/>
        <w:color w:val="000000" w:themeColor="text1"/>
      </w:rPr>
      <w:tblPr/>
      <w:tcPr>
        <w:shd w:val="clear" w:color="auto" w:fill="8ADEFF" w:themeFill="accent4" w:themeFillTint="66"/>
      </w:tc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9FFEF" w:themeFill="accent5" w:themeFillTint="33"/>
    </w:tcPr>
    <w:tblStylePr w:type="firstRow">
      <w:rPr>
        <w:b/>
        <w:bCs/>
      </w:rPr>
      <w:tblPr/>
      <w:tcPr>
        <w:shd w:val="clear" w:color="auto" w:fill="D3FFE0" w:themeFill="accent5" w:themeFillTint="66"/>
      </w:tcPr>
    </w:tblStylePr>
    <w:tblStylePr w:type="lastRow">
      <w:rPr>
        <w:b/>
        <w:bCs/>
        <w:color w:val="000000" w:themeColor="text1"/>
      </w:rPr>
      <w:tblPr/>
      <w:tcPr>
        <w:shd w:val="clear" w:color="auto" w:fill="D3FFE0" w:themeFill="accent5" w:themeFillTint="66"/>
      </w:tc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D4EFD1" w:themeFill="accent6" w:themeFillTint="33"/>
    </w:tcPr>
    <w:tblStylePr w:type="firstRow">
      <w:rPr>
        <w:b/>
        <w:bCs/>
      </w:rPr>
      <w:tblPr/>
      <w:tcPr>
        <w:shd w:val="clear" w:color="auto" w:fill="AAE0A4" w:themeFill="accent6" w:themeFillTint="66"/>
      </w:tcPr>
    </w:tblStylePr>
    <w:tblStylePr w:type="lastRow">
      <w:rPr>
        <w:b/>
        <w:bCs/>
        <w:color w:val="000000" w:themeColor="text1"/>
      </w:rPr>
      <w:tblPr/>
      <w:tcPr>
        <w:shd w:val="clear" w:color="auto" w:fill="AAE0A4" w:themeFill="accent6" w:themeFillTint="66"/>
      </w:tcPr>
    </w:tblStylePr>
    <w:tblStylePr w:type="firstCol">
      <w:rPr>
        <w:color w:val="FFFFFF" w:themeColor="background1"/>
      </w:rPr>
    </w:tblStylePr>
    <w:tblStylePr w:type="lastCol">
      <w:rPr>
        <w:color w:val="FFFFFF" w:themeColor="background1"/>
      </w:rPr>
    </w:tblStylePr>
  </w:style>
  <w:style w:type="table" w:styleId="ColorfulList">
    <w:name w:val="Colorful List"/>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DCE4F8" w:themeFill="accen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BED" w:themeFill="accent1" w:themeFillTint="3F"/>
      </w:tcPr>
    </w:tblStylePr>
    <w:tblStylePr w:type="band1Horz">
      <w:tblPr/>
      <w:tcPr>
        <w:shd w:val="clear" w:color="auto" w:fill="B9C8F1" w:themeFill="accent1" w:themeFillTint="33"/>
      </w:tcPr>
    </w:tblStylePr>
  </w:style>
  <w:style w:type="table" w:styleId="ColorfulList-Accent2">
    <w:name w:val="Colorful List Accent 2"/>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F4FBFD" w:themeFill="accent2"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5FB" w:themeFill="accent2" w:themeFillTint="3F"/>
      </w:tcPr>
    </w:tblStylePr>
    <w:tblStylePr w:type="band1Horz">
      <w:tblPr/>
      <w:tcPr>
        <w:shd w:val="clear" w:color="auto" w:fill="EAF7FC" w:themeFill="accent2" w:themeFillTint="33"/>
      </w:tcPr>
    </w:tblStylePr>
  </w:style>
  <w:style w:type="table" w:styleId="ColorfulList-Accent3">
    <w:name w:val="Colorful List Accent 3"/>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DBE8FF" w:themeFill="accent3" w:themeFillTint="19"/>
    </w:tcPr>
    <w:tblStylePr w:type="firstRow">
      <w:rPr>
        <w:b/>
        <w:bCs/>
        <w:color w:val="FFFFFF" w:themeColor="background1"/>
      </w:rPr>
      <w:tbl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5FF" w:themeFill="accent3" w:themeFillTint="3F"/>
      </w:tcPr>
    </w:tblStylePr>
    <w:tblStylePr w:type="band1Horz">
      <w:tblPr/>
      <w:tcPr>
        <w:shd w:val="clear" w:color="auto" w:fill="B6D0FF" w:themeFill="accent3" w:themeFillTint="33"/>
      </w:tcPr>
    </w:tblStylePr>
  </w:style>
  <w:style w:type="table" w:styleId="ColorfulList-Accent4">
    <w:name w:val="Colorful List Accent 4"/>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2F7FF" w:themeFill="accent4" w:themeFillTint="19"/>
    </w:tcPr>
    <w:tblStylePr w:type="firstRow">
      <w:rPr>
        <w:b/>
        <w:bCs/>
        <w:color w:val="FFFFFF" w:themeColor="background1"/>
      </w:rPr>
      <w:tblPr/>
      <w:tcPr>
        <w:tcBorders>
          <w:bottom w:val="single" w:sz="12" w:space="0" w:color="FFFFFF" w:themeColor="background1"/>
        </w:tcBorders>
        <w:shd w:val="clear" w:color="auto" w:fill="002A74" w:themeFill="accent3" w:themeFillShade="CC"/>
      </w:tcPr>
    </w:tblStylePr>
    <w:tblStylePr w:type="lastRow">
      <w:rPr>
        <w:b/>
        <w:bCs/>
        <w:color w:val="002A7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4" w:themeFillTint="3F"/>
      </w:tcPr>
    </w:tblStylePr>
    <w:tblStylePr w:type="band1Horz">
      <w:tblPr/>
      <w:tcPr>
        <w:shd w:val="clear" w:color="auto" w:fill="C4EEFF" w:themeFill="accent4" w:themeFillTint="33"/>
      </w:tcPr>
    </w:tblStylePr>
  </w:style>
  <w:style w:type="table" w:styleId="ColorfulList-Accent5">
    <w:name w:val="Colorful List Accent 5"/>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F4FFF7" w:themeFill="accent5" w:themeFillTint="19"/>
    </w:tcPr>
    <w:tblStylePr w:type="firstRow">
      <w:rPr>
        <w:b/>
        <w:bCs/>
        <w:color w:val="FFFFFF" w:themeColor="background1"/>
      </w:rPr>
      <w:tblPr/>
      <w:tcPr>
        <w:tcBorders>
          <w:bottom w:val="single" w:sz="12" w:space="0" w:color="FFFFFF" w:themeColor="background1"/>
        </w:tcBorders>
        <w:shd w:val="clear" w:color="auto" w:fill="327C2A" w:themeFill="accent6" w:themeFillShade="CC"/>
      </w:tcPr>
    </w:tblStylePr>
    <w:tblStylePr w:type="lastRow">
      <w:rPr>
        <w:b/>
        <w:bCs/>
        <w:color w:val="327C2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EC" w:themeFill="accent5" w:themeFillTint="3F"/>
      </w:tcPr>
    </w:tblStylePr>
    <w:tblStylePr w:type="band1Horz">
      <w:tblPr/>
      <w:tcPr>
        <w:shd w:val="clear" w:color="auto" w:fill="E9FFEF" w:themeFill="accent5" w:themeFillTint="33"/>
      </w:tcPr>
    </w:tblStylePr>
  </w:style>
  <w:style w:type="table" w:styleId="ColorfulList-Accent6">
    <w:name w:val="Colorful List Accent 6"/>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AF7E8" w:themeFill="accent6" w:themeFillTint="19"/>
    </w:tcPr>
    <w:tblStylePr w:type="firstRow">
      <w:rPr>
        <w:b/>
        <w:bCs/>
        <w:color w:val="FFFFFF" w:themeColor="background1"/>
      </w:rPr>
      <w:tblPr/>
      <w:tcPr>
        <w:tcBorders>
          <w:bottom w:val="single" w:sz="12" w:space="0" w:color="FFFFFF" w:themeColor="background1"/>
        </w:tcBorders>
        <w:shd w:val="clear" w:color="auto" w:fill="41FF7D" w:themeFill="accent5" w:themeFillShade="CC"/>
      </w:tcPr>
    </w:tblStylePr>
    <w:tblStylePr w:type="lastRow">
      <w:rPr>
        <w:b/>
        <w:bCs/>
        <w:color w:val="41FF7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C7" w:themeFill="accent6" w:themeFillTint="3F"/>
      </w:tcPr>
    </w:tblStylePr>
    <w:tblStylePr w:type="band1Horz">
      <w:tblPr/>
      <w:tcPr>
        <w:shd w:val="clear" w:color="auto" w:fill="D4EFD1" w:themeFill="accent6" w:themeFillTint="33"/>
      </w:tcPr>
    </w:tblStylePr>
  </w:style>
  <w:style w:type="table" w:styleId="ColorfulShading">
    <w:name w:val="Colorful Shading"/>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nil"/>
        <w:left w:val="nil"/>
        <w:bottom w:val="nil"/>
        <w:right w:val="nil"/>
      </w:tcBorders>
      <w:shd w:val="clear" w:color="auto" w:fill="E6E6E6" w:themeFill="tex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nil"/>
        <w:left w:val="nil"/>
        <w:bottom w:val="nil"/>
        <w:right w:val="nil"/>
      </w:tcBorders>
      <w:shd w:val="clear" w:color="auto" w:fill="DCE4F8" w:themeFill="accen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32D" w:themeFill="accent1" w:themeFillShade="99"/>
      </w:tcPr>
    </w:tblStylePr>
    <w:tblStylePr w:type="firstCol">
      <w:rPr>
        <w:color w:val="FFFFFF" w:themeColor="background1"/>
      </w:rPr>
      <w:tblPr/>
      <w:tcPr>
        <w:tcBorders>
          <w:top w:val="nil"/>
          <w:left w:val="nil"/>
          <w:bottom w:val="nil"/>
          <w:right w:val="nil"/>
          <w:insideH w:val="single" w:sz="4" w:space="0" w:color="09132D" w:themeColor="accent1" w:themeShade="99"/>
          <w:insideV w:val="nil"/>
        </w:tcBorders>
        <w:shd w:val="clear" w:color="auto" w:fill="09132D" w:themeFill="accent1"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nil"/>
        <w:left w:val="nil"/>
        <w:bottom w:val="nil"/>
        <w:right w:val="nil"/>
      </w:tcBorders>
      <w:shd w:val="clear" w:color="auto" w:fill="F4FBFD" w:themeFill="accent2"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9ECD" w:themeFill="accent2" w:themeFillShade="99"/>
      </w:tcPr>
    </w:tblStylePr>
    <w:tblStylePr w:type="firstCol">
      <w:rPr>
        <w:color w:val="FFFFFF" w:themeColor="background1"/>
      </w:rPr>
      <w:tblPr/>
      <w:tcPr>
        <w:tcBorders>
          <w:top w:val="nil"/>
          <w:left w:val="nil"/>
          <w:bottom w:val="nil"/>
          <w:right w:val="nil"/>
          <w:insideH w:val="single" w:sz="4" w:space="0" w:color="1E9ECD" w:themeColor="accent2" w:themeShade="99"/>
          <w:insideV w:val="nil"/>
        </w:tcBorders>
        <w:shd w:val="clear" w:color="auto" w:fill="1E9ECD" w:themeFill="accent2"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nil"/>
        <w:left w:val="nil"/>
        <w:bottom w:val="nil"/>
        <w:right w:val="nil"/>
      </w:tcBorders>
      <w:shd w:val="clear" w:color="auto" w:fill="DBE8FF" w:themeFill="accent3" w:themeFillTint="19"/>
    </w:tcPr>
    <w:tblStylePr w:type="firstRow">
      <w:rPr>
        <w:b/>
        <w:bCs/>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57" w:themeFill="accent3" w:themeFillShade="99"/>
      </w:tcPr>
    </w:tblStylePr>
    <w:tblStylePr w:type="firstCol">
      <w:rPr>
        <w:color w:val="FFFFFF" w:themeColor="background1"/>
      </w:rPr>
      <w:tblPr/>
      <w:tcPr>
        <w:tcBorders>
          <w:top w:val="nil"/>
          <w:left w:val="nil"/>
          <w:bottom w:val="nil"/>
          <w:right w:val="nil"/>
          <w:insideH w:val="single" w:sz="4" w:space="0" w:color="001F57" w:themeColor="accent3" w:themeShade="99"/>
          <w:insideV w:val="nil"/>
        </w:tcBorders>
        <w:shd w:val="clear" w:color="auto" w:fill="001F57" w:themeFill="accent3" w:themeFillShade="99"/>
      </w:tcPr>
    </w:tblStylePr>
    <w:tblStylePr w:type="lastCol">
      <w:rPr>
        <w:color w:val="FFFFFF" w:themeColor="background1"/>
      </w:rPr>
    </w:tblStylePr>
  </w:style>
  <w:style w:type="table" w:styleId="ColorfulShading-Accent4">
    <w:name w:val="Colorful Shading Accent 4"/>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nil"/>
        <w:left w:val="nil"/>
        <w:bottom w:val="nil"/>
        <w:right w:val="nil"/>
      </w:tcBorders>
      <w:shd w:val="clear" w:color="auto" w:fill="E2F7FF" w:themeFill="accent4" w:themeFillTint="19"/>
    </w:tcPr>
    <w:tblStylePr w:type="firstRow">
      <w:rPr>
        <w:b/>
        <w:bCs/>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4" w:themeFillShade="99"/>
      </w:tcPr>
    </w:tblStylePr>
    <w:tblStylePr w:type="firstCol">
      <w:rPr>
        <w:color w:val="FFFFFF" w:themeColor="background1"/>
      </w:rPr>
      <w:tbl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nil"/>
        <w:left w:val="nil"/>
        <w:bottom w:val="nil"/>
        <w:right w:val="nil"/>
      </w:tcBorders>
      <w:shd w:val="clear" w:color="auto" w:fill="F4FFF7" w:themeFill="accent5" w:themeFillTint="19"/>
    </w:tcPr>
    <w:tblStylePr w:type="firstRow">
      <w:rPr>
        <w:b/>
        <w:bCs/>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F04C" w:themeFill="accent5" w:themeFillShade="99"/>
      </w:tcPr>
    </w:tblStylePr>
    <w:tblStylePr w:type="firstCol">
      <w:rPr>
        <w:color w:val="FFFFFF" w:themeColor="background1"/>
      </w:rPr>
      <w:tblPr/>
      <w:tcPr>
        <w:tcBorders>
          <w:top w:val="nil"/>
          <w:left w:val="nil"/>
          <w:bottom w:val="nil"/>
          <w:right w:val="nil"/>
          <w:insideH w:val="single" w:sz="4" w:space="0" w:color="00F04C" w:themeColor="accent5" w:themeShade="99"/>
          <w:insideV w:val="nil"/>
        </w:tcBorders>
        <w:shd w:val="clear" w:color="auto" w:fill="00F04C" w:themeFill="accent5"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nil"/>
        <w:left w:val="nil"/>
        <w:bottom w:val="nil"/>
        <w:right w:val="nil"/>
      </w:tcBorders>
      <w:shd w:val="clear" w:color="auto" w:fill="EAF7E8" w:themeFill="accent6" w:themeFillTint="19"/>
    </w:tcPr>
    <w:tblStylePr w:type="firstRow">
      <w:rPr>
        <w:b/>
        <w:bCs/>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1F" w:themeFill="accent6" w:themeFillShade="99"/>
      </w:tcPr>
    </w:tblStylePr>
    <w:tblStylePr w:type="firstCol">
      <w:rPr>
        <w:color w:val="FFFFFF" w:themeColor="background1"/>
      </w:rPr>
      <w:tblPr/>
      <w:tcPr>
        <w:tcBorders>
          <w:top w:val="nil"/>
          <w:left w:val="nil"/>
          <w:bottom w:val="nil"/>
          <w:right w:val="nil"/>
          <w:insideH w:val="single" w:sz="4" w:space="0" w:color="255D1F" w:themeColor="accent6" w:themeShade="99"/>
          <w:insideV w:val="nil"/>
        </w:tcBorders>
        <w:shd w:val="clear" w:color="auto" w:fill="255D1F" w:themeFill="accent6"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style>
  <w:style w:type="table" w:styleId="DarkList-Accent1">
    <w:name w:val="Dark List Accent 1"/>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0F20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style>
  <w:style w:type="table" w:styleId="DarkList-Accent2">
    <w:name w:val="Dark List Accent 2"/>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99D9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style>
  <w:style w:type="table" w:styleId="DarkList-Accent3">
    <w:name w:val="Dark List Accent 3"/>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0035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style>
  <w:style w:type="table" w:styleId="DarkList-Accent4">
    <w:name w:val="Dark List Accent 4"/>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009FD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style>
  <w:style w:type="table" w:styleId="DarkList-Accent5">
    <w:name w:val="Dark List Accent 5"/>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91FFB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style>
  <w:style w:type="table" w:styleId="DarkList-Accent6">
    <w:name w:val="Dark List Accent 6"/>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3F9C3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style>
  <w:style w:type="table" w:styleId="GridTable1Light">
    <w:name w:val="Grid Table 1 Light"/>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2D5CD5" w:themeColor="accent1" w:themeTint="99"/>
        </w:tcBorders>
      </w:tcPr>
    </w:tblStylePr>
    <w:tblStylePr w:type="lastRow">
      <w:rPr>
        <w:b/>
        <w:bCs/>
      </w:rPr>
      <w:tblPr/>
      <w:tcPr>
        <w:tcBorders>
          <w:top w:val="double" w:sz="2" w:space="0" w:color="2D5C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C1E8F6" w:themeColor="accent2" w:themeTint="99"/>
        </w:tcBorders>
      </w:tcPr>
    </w:tblStylePr>
    <w:tblStylePr w:type="lastRow">
      <w:rPr>
        <w:b/>
        <w:bCs/>
      </w:rPr>
      <w:tblPr/>
      <w:tcPr>
        <w:tcBorders>
          <w:top w:val="double" w:sz="2" w:space="0" w:color="C1E8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2473FF" w:themeColor="accent3" w:themeTint="99"/>
        </w:tcBorders>
      </w:tcPr>
    </w:tblStylePr>
    <w:tblStylePr w:type="lastRow">
      <w:rPr>
        <w:b/>
        <w:bCs/>
      </w:rPr>
      <w:tblPr/>
      <w:tcPr>
        <w:tcBorders>
          <w:top w:val="double" w:sz="2" w:space="0" w:color="247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4FCEFF" w:themeColor="accent4" w:themeTint="99"/>
        </w:tcBorders>
      </w:tcPr>
    </w:tblStylePr>
    <w:tblStylePr w:type="lastRow">
      <w:rPr>
        <w:b/>
        <w:bCs/>
      </w:rPr>
      <w:tblPr/>
      <w:tcPr>
        <w:tcBorders>
          <w:top w:val="double" w:sz="2" w:space="0" w:color="4FCE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BDFFD1" w:themeColor="accent5" w:themeTint="99"/>
        </w:tcBorders>
      </w:tcPr>
    </w:tblStylePr>
    <w:tblStylePr w:type="lastRow">
      <w:rPr>
        <w:b/>
        <w:bCs/>
      </w:rPr>
      <w:tblPr/>
      <w:tcPr>
        <w:tcBorders>
          <w:top w:val="double" w:sz="2" w:space="0" w:color="BDFF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9D630C"/>
    <w:pPr>
      <w:spacing w:after="0" w:line="240" w:lineRule="auto"/>
    </w:pPr>
    <w:tblPr>
      <w:tblStyleRowBandSize w:val="1"/>
      <w:tblStyleColBandSize w:val="1"/>
      <w:tblBorders>
        <w:top w:val="single" w:sz="4" w:space="0" w:color="AAE0A4" w:themeColor="accent6" w:themeTint="66"/>
        <w:left w:val="single" w:sz="4" w:space="0" w:color="AAE0A4" w:themeColor="accent6" w:themeTint="66"/>
        <w:bottom w:val="single" w:sz="4" w:space="0" w:color="AAE0A4" w:themeColor="accent6" w:themeTint="66"/>
        <w:right w:val="single" w:sz="4" w:space="0" w:color="AAE0A4" w:themeColor="accent6" w:themeTint="66"/>
        <w:insideH w:val="single" w:sz="4" w:space="0" w:color="AAE0A4" w:themeColor="accent6" w:themeTint="66"/>
        <w:insideV w:val="single" w:sz="4" w:space="0" w:color="AAE0A4" w:themeColor="accent6" w:themeTint="66"/>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2" w:space="0" w:color="80D1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9D630C"/>
    <w:pPr>
      <w:spacing w:after="0" w:line="240" w:lineRule="auto"/>
    </w:pPr>
    <w:tblPr>
      <w:tblStyleRowBandSize w:val="1"/>
      <w:tblStyleColBandSize w:val="1"/>
    </w:tblPr>
    <w:tcPr>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2-Accent1">
    <w:name w:val="Grid Table 2 Accent 1"/>
    <w:basedOn w:val="TableNormal"/>
    <w:uiPriority w:val="99"/>
    <w:rsid w:val="009D630C"/>
    <w:pPr>
      <w:spacing w:after="0" w:line="240" w:lineRule="auto"/>
    </w:pPr>
    <w:tblPr>
      <w:tblStyleRowBandSize w:val="1"/>
      <w:tblStyleColBandSize w:val="1"/>
    </w:tblPr>
    <w:tcPr>
      <w:shd w:val="clear" w:color="auto" w:fill="B9C8F1" w:themeFill="accent1" w:themeFillTint="33"/>
    </w:tcPr>
    <w:tblStylePr w:type="firstRow">
      <w:rPr>
        <w:b/>
        <w:bCs/>
      </w:rPr>
      <w:tblPr/>
      <w:tcPr>
        <w:tcBorders>
          <w:top w:val="nil"/>
          <w:bottom w:val="single" w:sz="12" w:space="0" w:color="2D5CD5" w:themeColor="accent1" w:themeTint="99"/>
          <w:insideH w:val="nil"/>
          <w:insideV w:val="nil"/>
        </w:tcBorders>
        <w:shd w:val="clear" w:color="auto" w:fill="FFFFFF" w:themeFill="background1"/>
      </w:tcPr>
    </w:tblStylePr>
    <w:tblStylePr w:type="lastRow">
      <w:rPr>
        <w:b/>
        <w:bCs/>
      </w:rPr>
      <w:tblPr/>
      <w:tcPr>
        <w:tcBorders>
          <w:top w:val="double" w:sz="2" w:space="0" w:color="2D5C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1" w:themeFill="accent1" w:themeFillTint="33"/>
      </w:tcPr>
    </w:tblStylePr>
  </w:style>
  <w:style w:type="table" w:styleId="GridTable2-Accent2">
    <w:name w:val="Grid Table 2 Accent 2"/>
    <w:basedOn w:val="TableNormal"/>
    <w:uiPriority w:val="99"/>
    <w:rsid w:val="009D630C"/>
    <w:pPr>
      <w:spacing w:after="0" w:line="240" w:lineRule="auto"/>
    </w:pPr>
    <w:tblPr>
      <w:tblStyleRowBandSize w:val="1"/>
      <w:tblStyleColBandSize w:val="1"/>
    </w:tblPr>
    <w:tcPr>
      <w:shd w:val="clear" w:color="auto" w:fill="EAF7FC" w:themeFill="accent2" w:themeFillTint="33"/>
    </w:tcPr>
    <w:tblStylePr w:type="firstRow">
      <w:rPr>
        <w:b/>
        <w:bCs/>
      </w:rPr>
      <w:tblPr/>
      <w:tcPr>
        <w:tcBorders>
          <w:top w:val="nil"/>
          <w:bottom w:val="single" w:sz="12" w:space="0" w:color="C1E8F6" w:themeColor="accent2" w:themeTint="99"/>
          <w:insideH w:val="nil"/>
          <w:insideV w:val="nil"/>
        </w:tcBorders>
        <w:shd w:val="clear" w:color="auto" w:fill="FFFFFF" w:themeFill="background1"/>
      </w:tcPr>
    </w:tblStylePr>
    <w:tblStylePr w:type="lastRow">
      <w:rPr>
        <w:b/>
        <w:bCs/>
      </w:rPr>
      <w:tblPr/>
      <w:tcPr>
        <w:tcBorders>
          <w:top w:val="double" w:sz="2" w:space="0" w:color="C1E8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C" w:themeFill="accent2" w:themeFillTint="33"/>
      </w:tcPr>
    </w:tblStylePr>
  </w:style>
  <w:style w:type="table" w:styleId="GridTable2-Accent3">
    <w:name w:val="Grid Table 2 Accent 3"/>
    <w:basedOn w:val="TableNormal"/>
    <w:uiPriority w:val="99"/>
    <w:rsid w:val="009D630C"/>
    <w:pPr>
      <w:spacing w:after="0" w:line="240" w:lineRule="auto"/>
    </w:pPr>
    <w:tblPr>
      <w:tblStyleRowBandSize w:val="1"/>
      <w:tblStyleColBandSize w:val="1"/>
    </w:tblPr>
    <w:tcPr>
      <w:shd w:val="clear" w:color="auto" w:fill="B6D0FF" w:themeFill="accent3" w:themeFillTint="33"/>
    </w:tcPr>
    <w:tblStylePr w:type="firstRow">
      <w:rPr>
        <w:b/>
        <w:bCs/>
      </w:rPr>
      <w:tblPr/>
      <w:tcPr>
        <w:tcBorders>
          <w:top w:val="nil"/>
          <w:bottom w:val="single" w:sz="12" w:space="0" w:color="2473FF" w:themeColor="accent3" w:themeTint="99"/>
          <w:insideH w:val="nil"/>
          <w:insideV w:val="nil"/>
        </w:tcBorders>
        <w:shd w:val="clear" w:color="auto" w:fill="FFFFFF" w:themeFill="background1"/>
      </w:tcPr>
    </w:tblStylePr>
    <w:tblStylePr w:type="lastRow">
      <w:rPr>
        <w:b/>
        <w:bCs/>
      </w:rPr>
      <w:tblPr/>
      <w:tcPr>
        <w:tcBorders>
          <w:top w:val="double" w:sz="2" w:space="0" w:color="247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0FF" w:themeFill="accent3" w:themeFillTint="33"/>
      </w:tcPr>
    </w:tblStylePr>
  </w:style>
  <w:style w:type="table" w:styleId="GridTable2-Accent4">
    <w:name w:val="Grid Table 2 Accent 4"/>
    <w:basedOn w:val="TableNormal"/>
    <w:uiPriority w:val="99"/>
    <w:rsid w:val="009D630C"/>
    <w:pPr>
      <w:spacing w:after="0" w:line="240" w:lineRule="auto"/>
    </w:pPr>
    <w:tblPr>
      <w:tblStyleRowBandSize w:val="1"/>
      <w:tblStyleColBandSize w:val="1"/>
    </w:tblPr>
    <w:tcPr>
      <w:shd w:val="clear" w:color="auto" w:fill="C4EEFF" w:themeFill="accent4" w:themeFillTint="33"/>
    </w:tcPr>
    <w:tblStylePr w:type="firstRow">
      <w:rPr>
        <w:b/>
        <w:bCs/>
      </w:rPr>
      <w:tblPr/>
      <w:tcPr>
        <w:tcBorders>
          <w:top w:val="nil"/>
          <w:bottom w:val="single" w:sz="12" w:space="0" w:color="4FCEFF" w:themeColor="accent4" w:themeTint="99"/>
          <w:insideH w:val="nil"/>
          <w:insideV w:val="nil"/>
        </w:tcBorders>
        <w:shd w:val="clear" w:color="auto" w:fill="FFFFFF" w:themeFill="background1"/>
      </w:tcPr>
    </w:tblStylePr>
    <w:tblStylePr w:type="lastRow">
      <w:rPr>
        <w:b/>
        <w:bCs/>
      </w:rPr>
      <w:tblPr/>
      <w:tcPr>
        <w:tcBorders>
          <w:top w:val="double" w:sz="2" w:space="0" w:color="4FCE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4" w:themeFillTint="33"/>
      </w:tcPr>
    </w:tblStylePr>
  </w:style>
  <w:style w:type="table" w:styleId="GridTable2-Accent5">
    <w:name w:val="Grid Table 2 Accent 5"/>
    <w:basedOn w:val="TableNormal"/>
    <w:uiPriority w:val="99"/>
    <w:rsid w:val="009D630C"/>
    <w:pPr>
      <w:spacing w:after="0" w:line="240" w:lineRule="auto"/>
    </w:pPr>
    <w:tblPr>
      <w:tblStyleRowBandSize w:val="1"/>
      <w:tblStyleColBandSize w:val="1"/>
    </w:tblPr>
    <w:tcPr>
      <w:shd w:val="clear" w:color="auto" w:fill="E9FFEF" w:themeFill="accent5" w:themeFillTint="33"/>
    </w:tcPr>
    <w:tblStylePr w:type="firstRow">
      <w:rPr>
        <w:b/>
        <w:bCs/>
      </w:rPr>
      <w:tblPr/>
      <w:tcPr>
        <w:tcBorders>
          <w:top w:val="nil"/>
          <w:bottom w:val="single" w:sz="12" w:space="0" w:color="BDFFD1" w:themeColor="accent5" w:themeTint="99"/>
          <w:insideH w:val="nil"/>
          <w:insideV w:val="nil"/>
        </w:tcBorders>
        <w:shd w:val="clear" w:color="auto" w:fill="FFFFFF" w:themeFill="background1"/>
      </w:tcPr>
    </w:tblStylePr>
    <w:tblStylePr w:type="lastRow">
      <w:rPr>
        <w:b/>
        <w:bCs/>
      </w:rPr>
      <w:tblPr/>
      <w:tcPr>
        <w:tcBorders>
          <w:top w:val="double" w:sz="2" w:space="0" w:color="BDFF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FEF" w:themeFill="accent5" w:themeFillTint="33"/>
      </w:tcPr>
    </w:tblStylePr>
  </w:style>
  <w:style w:type="table" w:styleId="GridTable2-Accent6">
    <w:name w:val="Grid Table 2 Accent 6"/>
    <w:basedOn w:val="TableNormal"/>
    <w:uiPriority w:val="99"/>
    <w:rsid w:val="009D630C"/>
    <w:pPr>
      <w:spacing w:after="0" w:line="240" w:lineRule="auto"/>
    </w:pPr>
    <w:tblPr>
      <w:tblStyleRowBandSize w:val="1"/>
      <w:tblStyleColBandSize w:val="1"/>
    </w:tblPr>
    <w:tcPr>
      <w:shd w:val="clear" w:color="auto" w:fill="D4EFD1" w:themeFill="accent6" w:themeFillTint="33"/>
    </w:tcPr>
    <w:tblStylePr w:type="firstRow">
      <w:rPr>
        <w:b/>
        <w:bCs/>
      </w:rPr>
      <w:tblPr/>
      <w:tcPr>
        <w:tcBorders>
          <w:top w:val="nil"/>
          <w:bottom w:val="single" w:sz="12" w:space="0" w:color="80D178" w:themeColor="accent6" w:themeTint="99"/>
          <w:insideH w:val="nil"/>
          <w:insideV w:val="nil"/>
        </w:tcBorders>
        <w:shd w:val="clear" w:color="auto" w:fill="FFFFFF" w:themeFill="background1"/>
      </w:tcPr>
    </w:tblStylePr>
    <w:tblStylePr w:type="lastRow">
      <w:rPr>
        <w:b/>
        <w:bCs/>
      </w:rPr>
      <w:tblPr/>
      <w:tcPr>
        <w:tcBorders>
          <w:top w:val="double" w:sz="2" w:space="0" w:color="80D1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FD1" w:themeFill="accent6" w:themeFillTint="33"/>
      </w:tcPr>
    </w:tblStylePr>
  </w:style>
  <w:style w:type="table" w:styleId="GridTable3">
    <w:name w:val="Grid Table 3"/>
    <w:basedOn w:val="TableNormal"/>
    <w:uiPriority w:val="99"/>
    <w:rsid w:val="009D63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9D630C"/>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3-Accent2">
    <w:name w:val="Grid Table 3 Accent 2"/>
    <w:basedOn w:val="TableNormal"/>
    <w:uiPriority w:val="99"/>
    <w:rsid w:val="009D630C"/>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3-Accent3">
    <w:name w:val="Grid Table 3 Accent 3"/>
    <w:basedOn w:val="TableNormal"/>
    <w:uiPriority w:val="99"/>
    <w:rsid w:val="009D630C"/>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3-Accent4">
    <w:name w:val="Grid Table 3 Accent 4"/>
    <w:basedOn w:val="TableNormal"/>
    <w:uiPriority w:val="99"/>
    <w:rsid w:val="009D630C"/>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3-Accent5">
    <w:name w:val="Grid Table 3 Accent 5"/>
    <w:basedOn w:val="TableNormal"/>
    <w:uiPriority w:val="99"/>
    <w:rsid w:val="009D630C"/>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3-Accent6">
    <w:name w:val="Grid Table 3 Accent 6"/>
    <w:basedOn w:val="TableNormal"/>
    <w:uiPriority w:val="99"/>
    <w:rsid w:val="009D630C"/>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table" w:styleId="GridTable4">
    <w:name w:val="Grid Table 4"/>
    <w:basedOn w:val="TableNormal"/>
    <w:uiPriority w:val="99"/>
    <w:rsid w:val="009D630C"/>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4-Accent1">
    <w:name w:val="Grid Table 4 Accent 1"/>
    <w:basedOn w:val="TableNormal"/>
    <w:uiPriority w:val="99"/>
    <w:rsid w:val="009D630C"/>
    <w:pPr>
      <w:spacing w:after="0" w:line="240" w:lineRule="auto"/>
    </w:pPr>
    <w:tblPr>
      <w:tblStyleRowBandSize w:val="1"/>
      <w:tblStyleColBandSize w:val="1"/>
    </w:tblPr>
    <w:tcPr>
      <w:shd w:val="clear" w:color="auto" w:fill="B9C8F1" w:themeFill="accent1" w:themeFillTint="33"/>
    </w:tc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insideV w:val="nil"/>
        </w:tcBorders>
        <w:shd w:val="clear" w:color="auto" w:fill="0F204B" w:themeFill="accent1"/>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style>
  <w:style w:type="table" w:styleId="GridTable4-Accent2">
    <w:name w:val="Grid Table 4 Accent 2"/>
    <w:basedOn w:val="TableNormal"/>
    <w:uiPriority w:val="99"/>
    <w:rsid w:val="009D630C"/>
    <w:pPr>
      <w:spacing w:after="0" w:line="240" w:lineRule="auto"/>
    </w:pPr>
    <w:tblPr>
      <w:tblStyleRowBandSize w:val="1"/>
      <w:tblStyleColBandSize w:val="1"/>
    </w:tblPr>
    <w:tcPr>
      <w:shd w:val="clear" w:color="auto" w:fill="EAF7FC" w:themeFill="accent2" w:themeFillTint="33"/>
    </w:tc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insideV w:val="nil"/>
        </w:tcBorders>
        <w:shd w:val="clear" w:color="auto" w:fill="99D9F0" w:themeFill="accent2"/>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style>
  <w:style w:type="table" w:styleId="GridTable4-Accent3">
    <w:name w:val="Grid Table 4 Accent 3"/>
    <w:basedOn w:val="TableNormal"/>
    <w:uiPriority w:val="99"/>
    <w:rsid w:val="009D630C"/>
    <w:pPr>
      <w:spacing w:after="0" w:line="240" w:lineRule="auto"/>
    </w:pPr>
    <w:tblPr>
      <w:tblStyleRowBandSize w:val="1"/>
      <w:tblStyleColBandSize w:val="1"/>
    </w:tblPr>
    <w:tcPr>
      <w:shd w:val="clear" w:color="auto" w:fill="B6D0FF" w:themeFill="accent3" w:themeFillTint="33"/>
    </w:tc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insideV w:val="nil"/>
        </w:tcBorders>
        <w:shd w:val="clear" w:color="auto" w:fill="003591" w:themeFill="accent3"/>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style>
  <w:style w:type="table" w:styleId="GridTable4-Accent4">
    <w:name w:val="Grid Table 4 Accent 4"/>
    <w:basedOn w:val="TableNormal"/>
    <w:uiPriority w:val="99"/>
    <w:rsid w:val="009D630C"/>
    <w:pPr>
      <w:spacing w:after="0" w:line="240" w:lineRule="auto"/>
    </w:pPr>
    <w:tblPr>
      <w:tblStyleRowBandSize w:val="1"/>
      <w:tblStyleColBandSize w:val="1"/>
    </w:tblPr>
    <w:tcPr>
      <w:shd w:val="clear" w:color="auto" w:fill="C4EEFF" w:themeFill="accent4" w:themeFillTint="33"/>
    </w:tc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insideV w:val="nil"/>
        </w:tcBorders>
        <w:shd w:val="clear" w:color="auto" w:fill="009FDA" w:themeFill="accent4"/>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style>
  <w:style w:type="table" w:styleId="GridTable4-Accent5">
    <w:name w:val="Grid Table 4 Accent 5"/>
    <w:basedOn w:val="TableNormal"/>
    <w:uiPriority w:val="99"/>
    <w:rsid w:val="009D630C"/>
    <w:pPr>
      <w:spacing w:after="0" w:line="240" w:lineRule="auto"/>
    </w:pPr>
    <w:tblPr>
      <w:tblStyleRowBandSize w:val="1"/>
      <w:tblStyleColBandSize w:val="1"/>
    </w:tblPr>
    <w:tcPr>
      <w:shd w:val="clear" w:color="auto" w:fill="E9FFEF" w:themeFill="accent5" w:themeFillTint="33"/>
    </w:tc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insideV w:val="nil"/>
        </w:tcBorders>
        <w:shd w:val="clear" w:color="auto" w:fill="91FFB4" w:themeFill="accent5"/>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style>
  <w:style w:type="table" w:styleId="GridTable4-Accent6">
    <w:name w:val="Grid Table 4 Accent 6"/>
    <w:basedOn w:val="TableNormal"/>
    <w:uiPriority w:val="99"/>
    <w:rsid w:val="009D630C"/>
    <w:pPr>
      <w:spacing w:after="0" w:line="240" w:lineRule="auto"/>
    </w:pPr>
    <w:tblPr>
      <w:tblStyleRowBandSize w:val="1"/>
      <w:tblStyleColBandSize w:val="1"/>
    </w:tblPr>
    <w:tcPr>
      <w:shd w:val="clear" w:color="auto" w:fill="D4EFD1" w:themeFill="accent6" w:themeFillTint="33"/>
    </w:tc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insideV w:val="nil"/>
        </w:tcBorders>
        <w:shd w:val="clear" w:color="auto" w:fill="3F9C35" w:themeFill="accent6"/>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style>
  <w:style w:type="table" w:styleId="GridTable5Dark">
    <w:name w:val="Grid Table 5 Dark"/>
    <w:basedOn w:val="TableNormal"/>
    <w:uiPriority w:val="99"/>
    <w:rsid w:val="009D630C"/>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table" w:styleId="GridTable5Dark-Accent1">
    <w:name w:val="Grid Table 5 Dark Accent 1"/>
    <w:basedOn w:val="TableNormal"/>
    <w:uiPriority w:val="99"/>
    <w:rsid w:val="009D630C"/>
    <w:pPr>
      <w:spacing w:after="0" w:line="240" w:lineRule="auto"/>
    </w:pPr>
    <w:tblPr>
      <w:tblStyleRowBandSize w:val="1"/>
      <w:tblStyleColBandSize w:val="1"/>
    </w:tblPr>
    <w:tcPr>
      <w:shd w:val="clear" w:color="auto" w:fill="B9C8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1"/>
      </w:tcPr>
    </w:tblStylePr>
    <w:tblStylePr w:type="band1Vert">
      <w:tblPr/>
      <w:tcPr>
        <w:shd w:val="clear" w:color="auto" w:fill="7392E3" w:themeFill="accent1" w:themeFillTint="66"/>
      </w:tcPr>
    </w:tblStylePr>
  </w:style>
  <w:style w:type="table" w:styleId="GridTable5Dark-Accent2">
    <w:name w:val="Grid Table 5 Dark Accent 2"/>
    <w:basedOn w:val="TableNormal"/>
    <w:uiPriority w:val="99"/>
    <w:rsid w:val="009D630C"/>
    <w:pPr>
      <w:spacing w:after="0" w:line="240" w:lineRule="auto"/>
    </w:pPr>
    <w:tblPr>
      <w:tblStyleRowBandSize w:val="1"/>
      <w:tblStyleColBandSize w:val="1"/>
    </w:tblPr>
    <w:tcPr>
      <w:shd w:val="clear" w:color="auto" w:fill="EAF7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9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9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9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9F0" w:themeFill="accent2"/>
      </w:tcPr>
    </w:tblStylePr>
    <w:tblStylePr w:type="band1Vert">
      <w:tblPr/>
      <w:tcPr>
        <w:shd w:val="clear" w:color="auto" w:fill="D6EFF9" w:themeFill="accent2" w:themeFillTint="66"/>
      </w:tcPr>
    </w:tblStylePr>
  </w:style>
  <w:style w:type="table" w:styleId="GridTable5Dark-Accent3">
    <w:name w:val="Grid Table 5 Dark Accent 3"/>
    <w:basedOn w:val="TableNormal"/>
    <w:uiPriority w:val="99"/>
    <w:rsid w:val="009D630C"/>
    <w:pPr>
      <w:spacing w:after="0" w:line="240" w:lineRule="auto"/>
    </w:pPr>
    <w:tblPr>
      <w:tblStyleRowBandSize w:val="1"/>
      <w:tblStyleColBandSize w:val="1"/>
    </w:tblPr>
    <w:tcPr>
      <w:shd w:val="clear" w:color="auto" w:fill="B6D0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91" w:themeFill="accent3"/>
      </w:tcPr>
    </w:tblStylePr>
    <w:tblStylePr w:type="band1Vert">
      <w:tblPr/>
      <w:tcPr>
        <w:shd w:val="clear" w:color="auto" w:fill="6DA2FF" w:themeFill="accent3" w:themeFillTint="66"/>
      </w:tcPr>
    </w:tblStylePr>
  </w:style>
  <w:style w:type="table" w:styleId="GridTable5Dark-Accent4">
    <w:name w:val="Grid Table 5 Dark Accent 4"/>
    <w:basedOn w:val="TableNormal"/>
    <w:uiPriority w:val="99"/>
    <w:rsid w:val="009D630C"/>
    <w:pPr>
      <w:spacing w:after="0" w:line="240" w:lineRule="auto"/>
    </w:pPr>
    <w:tblPr>
      <w:tblStyleRowBandSize w:val="1"/>
      <w:tblStyleColBandSize w:val="1"/>
    </w:tblPr>
    <w:tcPr>
      <w:shd w:val="clear" w:color="auto" w:fill="C4E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D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D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D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DA" w:themeFill="accent4"/>
      </w:tcPr>
    </w:tblStylePr>
    <w:tblStylePr w:type="band1Vert">
      <w:tblPr/>
      <w:tcPr>
        <w:shd w:val="clear" w:color="auto" w:fill="8ADEFF" w:themeFill="accent4" w:themeFillTint="66"/>
      </w:tcPr>
    </w:tblStylePr>
  </w:style>
  <w:style w:type="table" w:styleId="GridTable5Dark-Accent5">
    <w:name w:val="Grid Table 5 Dark Accent 5"/>
    <w:basedOn w:val="TableNormal"/>
    <w:uiPriority w:val="99"/>
    <w:rsid w:val="009D630C"/>
    <w:pPr>
      <w:spacing w:after="0" w:line="240" w:lineRule="auto"/>
    </w:pPr>
    <w:tblPr>
      <w:tblStyleRowBandSize w:val="1"/>
      <w:tblStyleColBandSize w:val="1"/>
    </w:tblPr>
    <w:tcPr>
      <w:shd w:val="clear" w:color="auto" w:fill="E9FF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FF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FF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FF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FFB4" w:themeFill="accent5"/>
      </w:tcPr>
    </w:tblStylePr>
    <w:tblStylePr w:type="band1Vert">
      <w:tblPr/>
      <w:tcPr>
        <w:shd w:val="clear" w:color="auto" w:fill="D3FFE0" w:themeFill="accent5" w:themeFillTint="66"/>
      </w:tcPr>
    </w:tblStylePr>
  </w:style>
  <w:style w:type="table" w:styleId="GridTable5Dark-Accent6">
    <w:name w:val="Grid Table 5 Dark Accent 6"/>
    <w:basedOn w:val="TableNormal"/>
    <w:uiPriority w:val="99"/>
    <w:rsid w:val="009D630C"/>
    <w:pPr>
      <w:spacing w:after="0" w:line="240" w:lineRule="auto"/>
    </w:pPr>
    <w:tblPr>
      <w:tblStyleRowBandSize w:val="1"/>
      <w:tblStyleColBandSize w:val="1"/>
    </w:tblPr>
    <w:tcPr>
      <w:shd w:val="clear" w:color="auto" w:fill="D4EF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9C3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9C3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9C3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9C35" w:themeFill="accent6"/>
      </w:tcPr>
    </w:tblStylePr>
    <w:tblStylePr w:type="band1Vert">
      <w:tblPr/>
      <w:tcPr>
        <w:shd w:val="clear" w:color="auto" w:fill="AAE0A4" w:themeFill="accent6" w:themeFillTint="66"/>
      </w:tcPr>
    </w:tblStylePr>
  </w:style>
  <w:style w:type="table" w:styleId="GridTable6Colorful">
    <w:name w:val="Grid Table 6 Colorful"/>
    <w:basedOn w:val="TableNormal"/>
    <w:uiPriority w:val="99"/>
    <w:rsid w:val="009D63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9D630C"/>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6Colorful-Accent2">
    <w:name w:val="Grid Table 6 Colorful Accent 2"/>
    <w:basedOn w:val="TableNormal"/>
    <w:uiPriority w:val="99"/>
    <w:rsid w:val="009D630C"/>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6Colorful-Accent3">
    <w:name w:val="Grid Table 6 Colorful Accent 3"/>
    <w:basedOn w:val="TableNormal"/>
    <w:uiPriority w:val="99"/>
    <w:rsid w:val="009D630C"/>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6Colorful-Accent4">
    <w:name w:val="Grid Table 6 Colorful Accent 4"/>
    <w:basedOn w:val="TableNormal"/>
    <w:uiPriority w:val="99"/>
    <w:rsid w:val="009D630C"/>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6Colorful-Accent5">
    <w:name w:val="Grid Table 6 Colorful Accent 5"/>
    <w:basedOn w:val="TableNormal"/>
    <w:uiPriority w:val="99"/>
    <w:rsid w:val="009D630C"/>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6Colorful-Accent6">
    <w:name w:val="Grid Table 6 Colorful Accent 6"/>
    <w:basedOn w:val="TableNormal"/>
    <w:uiPriority w:val="99"/>
    <w:rsid w:val="009D630C"/>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7Colorful">
    <w:name w:val="Grid Table 7 Colorful"/>
    <w:basedOn w:val="TableNormal"/>
    <w:uiPriority w:val="99"/>
    <w:rsid w:val="009D63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9D630C"/>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7Colorful-Accent2">
    <w:name w:val="Grid Table 7 Colorful Accent 2"/>
    <w:basedOn w:val="TableNormal"/>
    <w:uiPriority w:val="99"/>
    <w:rsid w:val="009D630C"/>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7Colorful-Accent3">
    <w:name w:val="Grid Table 7 Colorful Accent 3"/>
    <w:basedOn w:val="TableNormal"/>
    <w:uiPriority w:val="99"/>
    <w:rsid w:val="009D630C"/>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7Colorful-Accent4">
    <w:name w:val="Grid Table 7 Colorful Accent 4"/>
    <w:basedOn w:val="TableNormal"/>
    <w:uiPriority w:val="99"/>
    <w:rsid w:val="009D630C"/>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7Colorful-Accent5">
    <w:name w:val="Grid Table 7 Colorful Accent 5"/>
    <w:basedOn w:val="TableNormal"/>
    <w:uiPriority w:val="99"/>
    <w:rsid w:val="009D630C"/>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7Colorful-Accent6">
    <w:name w:val="Grid Table 7 Colorful Accent 6"/>
    <w:basedOn w:val="TableNormal"/>
    <w:uiPriority w:val="99"/>
    <w:rsid w:val="009D630C"/>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character" w:styleId="Hashtag">
    <w:name w:val="Hashtag"/>
    <w:basedOn w:val="DefaultParagraphFont"/>
    <w:uiPriority w:val="99"/>
    <w:semiHidden/>
    <w:unhideWhenUsed/>
    <w:rsid w:val="009D630C"/>
    <w:rPr>
      <w:color w:val="2B579A"/>
      <w:shd w:val="clear" w:color="auto" w:fill="E1DFDD"/>
    </w:rPr>
  </w:style>
  <w:style w:type="table" w:styleId="LightGrid">
    <w:name w:val="Light Grid"/>
    <w:basedOn w:val="TableNormal"/>
    <w:uiPriority w:val="99"/>
    <w:semiHidden/>
    <w:unhideWhenUsed/>
    <w:rsid w:val="009D63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9D630C"/>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18" w:space="0" w:color="0F204B" w:themeColor="accent1"/>
          <w:right w:val="single" w:sz="8" w:space="0" w:color="0F204B" w:themeColor="accent1"/>
          <w:insideH w:val="nil"/>
          <w:insideV w:val="single" w:sz="8" w:space="0" w:color="0F20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insideH w:val="nil"/>
          <w:insideV w:val="single" w:sz="8" w:space="0" w:color="0F20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shd w:val="clear" w:color="auto" w:fill="A8BBED" w:themeFill="accent1" w:themeFillTint="3F"/>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shd w:val="clear" w:color="auto" w:fill="A8BBED" w:themeFill="accent1" w:themeFillTint="3F"/>
      </w:tcPr>
    </w:tblStylePr>
    <w:tblStylePr w:type="band2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tcPr>
    </w:tblStylePr>
  </w:style>
  <w:style w:type="table" w:styleId="LightGrid-Accent2">
    <w:name w:val="Light Grid Accent 2"/>
    <w:basedOn w:val="TableNormal"/>
    <w:uiPriority w:val="99"/>
    <w:semiHidden/>
    <w:unhideWhenUsed/>
    <w:rsid w:val="009D630C"/>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18" w:space="0" w:color="99D9F0" w:themeColor="accent2"/>
          <w:right w:val="single" w:sz="8" w:space="0" w:color="99D9F0" w:themeColor="accent2"/>
          <w:insideH w:val="nil"/>
          <w:insideV w:val="single" w:sz="8" w:space="0" w:color="99D9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insideH w:val="nil"/>
          <w:insideV w:val="single" w:sz="8" w:space="0" w:color="99D9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shd w:val="clear" w:color="auto" w:fill="E5F5FB" w:themeFill="accent2" w:themeFillTint="3F"/>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shd w:val="clear" w:color="auto" w:fill="E5F5FB" w:themeFill="accent2" w:themeFillTint="3F"/>
      </w:tcPr>
    </w:tblStylePr>
    <w:tblStylePr w:type="band2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tcPr>
    </w:tblStylePr>
  </w:style>
  <w:style w:type="table" w:styleId="LightGrid-Accent3">
    <w:name w:val="Light Grid Accent 3"/>
    <w:basedOn w:val="TableNormal"/>
    <w:uiPriority w:val="99"/>
    <w:semiHidden/>
    <w:unhideWhenUsed/>
    <w:rsid w:val="009D630C"/>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18" w:space="0" w:color="003591" w:themeColor="accent3"/>
          <w:right w:val="single" w:sz="8" w:space="0" w:color="003591" w:themeColor="accent3"/>
          <w:insideH w:val="nil"/>
          <w:insideV w:val="single" w:sz="8" w:space="0" w:color="0035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insideH w:val="nil"/>
          <w:insideV w:val="single" w:sz="8" w:space="0" w:color="0035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shd w:val="clear" w:color="auto" w:fill="A4C5FF" w:themeFill="accent3" w:themeFillTint="3F"/>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shd w:val="clear" w:color="auto" w:fill="A4C5FF" w:themeFill="accent3" w:themeFillTint="3F"/>
      </w:tcPr>
    </w:tblStylePr>
    <w:tblStylePr w:type="band2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tcPr>
    </w:tblStylePr>
  </w:style>
  <w:style w:type="table" w:styleId="LightGrid-Accent4">
    <w:name w:val="Light Grid Accent 4"/>
    <w:basedOn w:val="TableNormal"/>
    <w:uiPriority w:val="99"/>
    <w:semiHidden/>
    <w:unhideWhenUsed/>
    <w:rsid w:val="009D630C"/>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99"/>
    <w:semiHidden/>
    <w:unhideWhenUsed/>
    <w:rsid w:val="009D630C"/>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18" w:space="0" w:color="91FFB4" w:themeColor="accent5"/>
          <w:right w:val="single" w:sz="8" w:space="0" w:color="91FFB4" w:themeColor="accent5"/>
          <w:insideH w:val="nil"/>
          <w:insideV w:val="single" w:sz="8" w:space="0" w:color="91FFB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insideH w:val="nil"/>
          <w:insideV w:val="single" w:sz="8" w:space="0" w:color="91FF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shd w:val="clear" w:color="auto" w:fill="E3FFEC" w:themeFill="accent5" w:themeFillTint="3F"/>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shd w:val="clear" w:color="auto" w:fill="E3FFEC" w:themeFill="accent5" w:themeFillTint="3F"/>
      </w:tcPr>
    </w:tblStylePr>
    <w:tblStylePr w:type="band2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tcPr>
    </w:tblStylePr>
  </w:style>
  <w:style w:type="table" w:styleId="LightGrid-Accent6">
    <w:name w:val="Light Grid Accent 6"/>
    <w:basedOn w:val="TableNormal"/>
    <w:uiPriority w:val="99"/>
    <w:semiHidden/>
    <w:unhideWhenUsed/>
    <w:rsid w:val="009D630C"/>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18" w:space="0" w:color="3F9C35" w:themeColor="accent6"/>
          <w:right w:val="single" w:sz="8" w:space="0" w:color="3F9C35" w:themeColor="accent6"/>
          <w:insideH w:val="nil"/>
          <w:insideV w:val="single" w:sz="8" w:space="0" w:color="3F9C3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insideH w:val="nil"/>
          <w:insideV w:val="single" w:sz="8" w:space="0" w:color="3F9C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shd w:val="clear" w:color="auto" w:fill="CAECC7" w:themeFill="accent6" w:themeFillTint="3F"/>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shd w:val="clear" w:color="auto" w:fill="CAECC7" w:themeFill="accent6" w:themeFillTint="3F"/>
      </w:tcPr>
    </w:tblStylePr>
    <w:tblStylePr w:type="band2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tcPr>
    </w:tblStylePr>
  </w:style>
  <w:style w:type="table" w:styleId="LightList">
    <w:name w:val="Light List"/>
    <w:basedOn w:val="TableNormal"/>
    <w:uiPriority w:val="99"/>
    <w:semiHidden/>
    <w:unhideWhenUsed/>
    <w:rsid w:val="009D630C"/>
    <w:pPr>
      <w:spacing w:after="0" w:line="240" w:lineRule="auto"/>
    </w:pPr>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99"/>
    <w:semiHidden/>
    <w:unhideWhenUsed/>
    <w:rsid w:val="009D630C"/>
    <w:pPr>
      <w:spacing w:after="0" w:line="240" w:lineRule="auto"/>
    </w:pPr>
    <w:tblPr>
      <w:tblStyleRowBandSize w:val="1"/>
      <w:tblStyleColBandSize w:val="1"/>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ype="firstRow">
      <w:pPr>
        <w:spacing w:before="0" w:after="0" w:line="240" w:lineRule="auto"/>
      </w:pPr>
      <w:rPr>
        <w:b/>
        <w:bCs/>
        <w:color w:val="FFFFFF" w:themeColor="background1"/>
      </w:rPr>
      <w:tblPr/>
      <w:tcPr>
        <w:shd w:val="clear" w:color="auto" w:fill="0F204B"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99"/>
    <w:semiHidden/>
    <w:unhideWhenUsed/>
    <w:rsid w:val="009D630C"/>
    <w:pPr>
      <w:spacing w:after="0" w:line="240" w:lineRule="auto"/>
    </w:pPr>
    <w:tblPr>
      <w:tblStyleRowBandSize w:val="1"/>
      <w:tblStyleColBandSize w:val="1"/>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ype="firstRow">
      <w:pPr>
        <w:spacing w:before="0" w:after="0" w:line="240" w:lineRule="auto"/>
      </w:pPr>
      <w:rPr>
        <w:b/>
        <w:bCs/>
        <w:color w:val="FFFFFF" w:themeColor="background1"/>
      </w:rPr>
      <w:tblPr/>
      <w:tcPr>
        <w:shd w:val="clear" w:color="auto" w:fill="99D9F0"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99"/>
    <w:semiHidden/>
    <w:unhideWhenUsed/>
    <w:rsid w:val="009D630C"/>
    <w:pPr>
      <w:spacing w:after="0" w:line="240" w:lineRule="auto"/>
    </w:pPr>
    <w:tblPr>
      <w:tblStyleRowBandSize w:val="1"/>
      <w:tblStyleColBandSize w:val="1"/>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ype="firstRow">
      <w:pPr>
        <w:spacing w:before="0" w:after="0" w:line="240" w:lineRule="auto"/>
      </w:pPr>
      <w:rPr>
        <w:b/>
        <w:bCs/>
        <w:color w:val="FFFFFF" w:themeColor="background1"/>
      </w:rPr>
      <w:tblPr/>
      <w:tcPr>
        <w:shd w:val="clear" w:color="auto" w:fill="003591"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99"/>
    <w:semiHidden/>
    <w:unhideWhenUsed/>
    <w:rsid w:val="009D630C"/>
    <w:pPr>
      <w:spacing w:after="0" w:line="240" w:lineRule="auto"/>
    </w:pPr>
    <w:tblPr>
      <w:tblStyleRowBandSize w:val="1"/>
      <w:tblStyleColBandSize w:val="1"/>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ype="firstRow">
      <w:pPr>
        <w:spacing w:before="0" w:after="0" w:line="240" w:lineRule="auto"/>
      </w:pPr>
      <w:rPr>
        <w:b/>
        <w:bCs/>
        <w:color w:val="FFFFFF" w:themeColor="background1"/>
      </w:rPr>
      <w:tblPr/>
      <w:tcPr>
        <w:shd w:val="clear" w:color="auto" w:fill="009FDA"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99"/>
    <w:semiHidden/>
    <w:unhideWhenUsed/>
    <w:rsid w:val="009D630C"/>
    <w:pPr>
      <w:spacing w:after="0" w:line="240" w:lineRule="auto"/>
    </w:pPr>
    <w:tblPr>
      <w:tblStyleRowBandSize w:val="1"/>
      <w:tblStyleColBandSize w:val="1"/>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ype="firstRow">
      <w:pPr>
        <w:spacing w:before="0" w:after="0" w:line="240" w:lineRule="auto"/>
      </w:pPr>
      <w:rPr>
        <w:b/>
        <w:bCs/>
        <w:color w:val="FFFFFF" w:themeColor="background1"/>
      </w:rPr>
      <w:tblPr/>
      <w:tcPr>
        <w:shd w:val="clear" w:color="auto" w:fill="91FFB4"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99"/>
    <w:semiHidden/>
    <w:unhideWhenUsed/>
    <w:rsid w:val="009D630C"/>
    <w:pPr>
      <w:spacing w:after="0" w:line="240" w:lineRule="auto"/>
    </w:pPr>
    <w:tblPr>
      <w:tblStyleRowBandSize w:val="1"/>
      <w:tblStyleColBandSize w:val="1"/>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ype="firstRow">
      <w:pPr>
        <w:spacing w:before="0" w:after="0" w:line="240" w:lineRule="auto"/>
      </w:pPr>
      <w:rPr>
        <w:b/>
        <w:bCs/>
        <w:color w:val="FFFFFF" w:themeColor="background1"/>
      </w:rPr>
      <w:tblPr/>
      <w:tcPr>
        <w:shd w:val="clear" w:color="auto" w:fill="3F9C35"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
    <w:name w:val="Light Shading"/>
    <w:basedOn w:val="TableNormal"/>
    <w:uiPriority w:val="99"/>
    <w:semiHidden/>
    <w:unhideWhenUsed/>
    <w:rsid w:val="009D63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9D630C"/>
    <w:pPr>
      <w:spacing w:after="0" w:line="240" w:lineRule="auto"/>
    </w:pPr>
    <w:rPr>
      <w:color w:val="0B1738" w:themeColor="accent1" w:themeShade="BF"/>
    </w:rPr>
    <w:tblPr>
      <w:tblStyleRowBandSize w:val="1"/>
      <w:tblStyleColBandSize w:val="1"/>
      <w:tblBorders>
        <w:top w:val="single" w:sz="8" w:space="0" w:color="0F204B" w:themeColor="accent1"/>
        <w:bottom w:val="single" w:sz="8" w:space="0" w:color="0F204B" w:themeColor="accent1"/>
      </w:tblBorders>
    </w:tblPr>
    <w:tblStylePr w:type="fir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la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left w:val="nil"/>
          <w:right w:val="nil"/>
          <w:insideH w:val="nil"/>
          <w:insideV w:val="nil"/>
        </w:tcBorders>
        <w:shd w:val="clear" w:color="auto" w:fill="A8BBED" w:themeFill="accent1" w:themeFillTint="3F"/>
      </w:tcPr>
    </w:tblStylePr>
  </w:style>
  <w:style w:type="table" w:styleId="LightShading-Accent2">
    <w:name w:val="Light Shading Accent 2"/>
    <w:basedOn w:val="TableNormal"/>
    <w:uiPriority w:val="99"/>
    <w:semiHidden/>
    <w:unhideWhenUsed/>
    <w:rsid w:val="009D630C"/>
    <w:pPr>
      <w:spacing w:after="0" w:line="240" w:lineRule="auto"/>
    </w:pPr>
    <w:rPr>
      <w:color w:val="43B8E3" w:themeColor="accent2" w:themeShade="BF"/>
    </w:rPr>
    <w:tblPr>
      <w:tblStyleRowBandSize w:val="1"/>
      <w:tblStyleColBandSize w:val="1"/>
      <w:tblBorders>
        <w:top w:val="single" w:sz="8" w:space="0" w:color="99D9F0" w:themeColor="accent2"/>
        <w:bottom w:val="single" w:sz="8" w:space="0" w:color="99D9F0" w:themeColor="accent2"/>
      </w:tblBorders>
    </w:tblPr>
    <w:tblStylePr w:type="fir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la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left w:val="nil"/>
          <w:right w:val="nil"/>
          <w:insideH w:val="nil"/>
          <w:insideV w:val="nil"/>
        </w:tcBorders>
        <w:shd w:val="clear" w:color="auto" w:fill="E5F5FB" w:themeFill="accent2" w:themeFillTint="3F"/>
      </w:tcPr>
    </w:tblStylePr>
  </w:style>
  <w:style w:type="table" w:styleId="LightShading-Accent3">
    <w:name w:val="Light Shading Accent 3"/>
    <w:basedOn w:val="TableNormal"/>
    <w:uiPriority w:val="99"/>
    <w:semiHidden/>
    <w:unhideWhenUsed/>
    <w:rsid w:val="009D630C"/>
    <w:pPr>
      <w:spacing w:after="0" w:line="240" w:lineRule="auto"/>
    </w:pPr>
    <w:rPr>
      <w:color w:val="00276C" w:themeColor="accent3" w:themeShade="BF"/>
    </w:rPr>
    <w:tblPr>
      <w:tblStyleRowBandSize w:val="1"/>
      <w:tblStyleColBandSize w:val="1"/>
      <w:tblBorders>
        <w:top w:val="single" w:sz="8" w:space="0" w:color="003591" w:themeColor="accent3"/>
        <w:bottom w:val="single" w:sz="8" w:space="0" w:color="003591" w:themeColor="accent3"/>
      </w:tblBorders>
    </w:tblPr>
    <w:tblStylePr w:type="fir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la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left w:val="nil"/>
          <w:right w:val="nil"/>
          <w:insideH w:val="nil"/>
          <w:insideV w:val="nil"/>
        </w:tcBorders>
        <w:shd w:val="clear" w:color="auto" w:fill="A4C5FF" w:themeFill="accent3" w:themeFillTint="3F"/>
      </w:tcPr>
    </w:tblStylePr>
  </w:style>
  <w:style w:type="table" w:styleId="LightShading-Accent4">
    <w:name w:val="Light Shading Accent 4"/>
    <w:basedOn w:val="TableNormal"/>
    <w:uiPriority w:val="99"/>
    <w:semiHidden/>
    <w:unhideWhenUsed/>
    <w:rsid w:val="009D630C"/>
    <w:pPr>
      <w:spacing w:after="0" w:line="240" w:lineRule="auto"/>
    </w:pPr>
    <w:rPr>
      <w:color w:val="0076A3" w:themeColor="accent4" w:themeShade="BF"/>
    </w:rPr>
    <w:tblPr>
      <w:tblStyleRowBandSize w:val="1"/>
      <w:tblStyleColBandSize w:val="1"/>
      <w:tblBorders>
        <w:top w:val="single" w:sz="8" w:space="0" w:color="009FDA" w:themeColor="accent4"/>
        <w:bottom w:val="single" w:sz="8" w:space="0" w:color="009FDA" w:themeColor="accent4"/>
      </w:tblBorders>
    </w:tblPr>
    <w:tblStylePr w:type="fir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99"/>
    <w:semiHidden/>
    <w:unhideWhenUsed/>
    <w:rsid w:val="009D630C"/>
    <w:pPr>
      <w:spacing w:after="0" w:line="240" w:lineRule="auto"/>
    </w:pPr>
    <w:rPr>
      <w:color w:val="2CFF6F" w:themeColor="accent5" w:themeShade="BF"/>
    </w:rPr>
    <w:tblPr>
      <w:tblStyleRowBandSize w:val="1"/>
      <w:tblStyleColBandSize w:val="1"/>
      <w:tblBorders>
        <w:top w:val="single" w:sz="8" w:space="0" w:color="91FFB4" w:themeColor="accent5"/>
        <w:bottom w:val="single" w:sz="8" w:space="0" w:color="91FFB4" w:themeColor="accent5"/>
      </w:tblBorders>
    </w:tblPr>
    <w:tblStylePr w:type="fir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la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left w:val="nil"/>
          <w:right w:val="nil"/>
          <w:insideH w:val="nil"/>
          <w:insideV w:val="nil"/>
        </w:tcBorders>
        <w:shd w:val="clear" w:color="auto" w:fill="E3FFEC" w:themeFill="accent5" w:themeFillTint="3F"/>
      </w:tcPr>
    </w:tblStylePr>
  </w:style>
  <w:style w:type="table" w:styleId="LightShading-Accent6">
    <w:name w:val="Light Shading Accent 6"/>
    <w:basedOn w:val="TableNormal"/>
    <w:uiPriority w:val="99"/>
    <w:semiHidden/>
    <w:unhideWhenUsed/>
    <w:rsid w:val="009D630C"/>
    <w:pPr>
      <w:spacing w:after="0" w:line="240" w:lineRule="auto"/>
    </w:pPr>
    <w:rPr>
      <w:color w:val="2E7427" w:themeColor="accent6" w:themeShade="BF"/>
    </w:rPr>
    <w:tblPr>
      <w:tblStyleRowBandSize w:val="1"/>
      <w:tblStyleColBandSize w:val="1"/>
    </w:tblPr>
    <w:tcPr>
      <w:tcBorders>
        <w:left w:val="nil"/>
        <w:right w:val="nil"/>
      </w:tcBorders>
      <w:shd w:val="clear" w:color="auto" w:fill="CAECC7" w:themeFill="accent6" w:themeFillTint="3F"/>
    </w:tcPr>
    <w:tblStylePr w:type="fir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la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C7" w:themeFill="accent6" w:themeFillTint="3F"/>
      </w:tcPr>
    </w:tblStylePr>
  </w:style>
  <w:style w:type="table" w:styleId="ListTable1Light">
    <w:name w:val="List Table 1 Light"/>
    <w:basedOn w:val="TableNormal"/>
    <w:uiPriority w:val="99"/>
    <w:rsid w:val="009D630C"/>
    <w:pPr>
      <w:spacing w:after="0" w:line="240" w:lineRule="auto"/>
    </w:pPr>
    <w:tblPr>
      <w:tblStyleRowBandSize w:val="1"/>
      <w:tblStyleColBandSize w:val="1"/>
    </w:tblPr>
    <w:tcPr>
      <w:tcBorders>
        <w:top w:val="single" w:sz="4" w:space="0" w:color="666666" w:themeColor="text1" w:themeTint="99"/>
        <w:bottom w:val="single" w:sz="4" w:space="0" w:color="666666" w:themeColor="text1" w:themeTint="99"/>
      </w:tcBorders>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1Light-Accent1">
    <w:name w:val="List Table 1 Light Accent 1"/>
    <w:basedOn w:val="TableNormal"/>
    <w:uiPriority w:val="99"/>
    <w:rsid w:val="009D630C"/>
    <w:pPr>
      <w:spacing w:after="0" w:line="240" w:lineRule="auto"/>
    </w:pPr>
    <w:tblPr>
      <w:tblStyleRowBandSize w:val="1"/>
      <w:tblStyleColBandSize w:val="1"/>
    </w:tblPr>
    <w:tcPr>
      <w:tcBorders>
        <w:top w:val="single" w:sz="4" w:space="0" w:color="2D5CD5" w:themeColor="accent1" w:themeTint="99"/>
        <w:bottom w:val="single" w:sz="4" w:space="0" w:color="2D5CD5" w:themeColor="accent1" w:themeTint="99"/>
      </w:tcBorders>
      <w:shd w:val="clear" w:color="auto" w:fill="B9C8F1" w:themeFill="accen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1Light-Accent2">
    <w:name w:val="List Table 1 Light Accent 2"/>
    <w:basedOn w:val="TableNormal"/>
    <w:uiPriority w:val="99"/>
    <w:rsid w:val="009D630C"/>
    <w:pPr>
      <w:spacing w:after="0" w:line="240" w:lineRule="auto"/>
    </w:pPr>
    <w:tblPr>
      <w:tblStyleRowBandSize w:val="1"/>
      <w:tblStyleColBandSize w:val="1"/>
    </w:tblPr>
    <w:tcPr>
      <w:tcBorders>
        <w:top w:val="single" w:sz="4" w:space="0" w:color="C1E8F6" w:themeColor="accent2" w:themeTint="99"/>
        <w:bottom w:val="single" w:sz="4" w:space="0" w:color="C1E8F6" w:themeColor="accent2" w:themeTint="99"/>
      </w:tcBorders>
      <w:shd w:val="clear" w:color="auto" w:fill="EAF7FC" w:themeFill="accent2"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1Light-Accent3">
    <w:name w:val="List Table 1 Light Accent 3"/>
    <w:basedOn w:val="TableNormal"/>
    <w:uiPriority w:val="99"/>
    <w:rsid w:val="009D630C"/>
    <w:pPr>
      <w:spacing w:after="0" w:line="240" w:lineRule="auto"/>
    </w:pPr>
    <w:tblPr>
      <w:tblStyleRowBandSize w:val="1"/>
      <w:tblStyleColBandSize w:val="1"/>
    </w:tblPr>
    <w:tcPr>
      <w:tcBorders>
        <w:top w:val="single" w:sz="4" w:space="0" w:color="2473FF" w:themeColor="accent3" w:themeTint="99"/>
        <w:bottom w:val="single" w:sz="4" w:space="0" w:color="2473FF" w:themeColor="accent3" w:themeTint="99"/>
      </w:tcBorders>
      <w:shd w:val="clear" w:color="auto" w:fill="B6D0FF" w:themeFill="accent3"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1Light-Accent4">
    <w:name w:val="List Table 1 Light Accent 4"/>
    <w:basedOn w:val="TableNormal"/>
    <w:uiPriority w:val="99"/>
    <w:rsid w:val="009D630C"/>
    <w:pPr>
      <w:spacing w:after="0" w:line="240" w:lineRule="auto"/>
    </w:pPr>
    <w:tblPr>
      <w:tblStyleRowBandSize w:val="1"/>
      <w:tblStyleColBandSize w:val="1"/>
    </w:tblPr>
    <w:tcPr>
      <w:tcBorders>
        <w:top w:val="single" w:sz="4" w:space="0" w:color="4FCEFF" w:themeColor="accent4" w:themeTint="99"/>
        <w:bottom w:val="single" w:sz="4" w:space="0" w:color="4FCEFF" w:themeColor="accent4" w:themeTint="99"/>
      </w:tcBorders>
      <w:shd w:val="clear" w:color="auto" w:fill="C4EEFF" w:themeFill="accent4"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1Light-Accent5">
    <w:name w:val="List Table 1 Light Accent 5"/>
    <w:basedOn w:val="TableNormal"/>
    <w:uiPriority w:val="99"/>
    <w:rsid w:val="009D630C"/>
    <w:pPr>
      <w:spacing w:after="0" w:line="240" w:lineRule="auto"/>
    </w:pPr>
    <w:tblPr>
      <w:tblStyleRowBandSize w:val="1"/>
      <w:tblStyleColBandSize w:val="1"/>
    </w:tblPr>
    <w:tcPr>
      <w:tcBorders>
        <w:top w:val="single" w:sz="4" w:space="0" w:color="BDFFD1" w:themeColor="accent5" w:themeTint="99"/>
        <w:bottom w:val="single" w:sz="4" w:space="0" w:color="BDFFD1" w:themeColor="accent5" w:themeTint="99"/>
      </w:tcBorders>
      <w:shd w:val="clear" w:color="auto" w:fill="E9FFEF" w:themeFill="accent5"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1Light-Accent6">
    <w:name w:val="List Table 1 Light Accent 6"/>
    <w:basedOn w:val="TableNormal"/>
    <w:uiPriority w:val="99"/>
    <w:rsid w:val="009D630C"/>
    <w:pPr>
      <w:spacing w:after="0" w:line="240" w:lineRule="auto"/>
    </w:pPr>
    <w:tblPr>
      <w:tblStyleRowBandSize w:val="1"/>
      <w:tblStyleColBandSize w:val="1"/>
    </w:tblPr>
    <w:tcPr>
      <w:tcBorders>
        <w:top w:val="single" w:sz="4" w:space="0" w:color="80D178" w:themeColor="accent6" w:themeTint="99"/>
        <w:bottom w:val="single" w:sz="4" w:space="0" w:color="80D178" w:themeColor="accent6" w:themeTint="99"/>
      </w:tcBorders>
      <w:shd w:val="clear" w:color="auto" w:fill="D4EFD1" w:themeFill="accent6"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
    <w:name w:val="List Table 2"/>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99"/>
    <w:rsid w:val="009D630C"/>
    <w:pPr>
      <w:spacing w:after="0" w:line="240" w:lineRule="auto"/>
    </w:pPr>
    <w:tblPr>
      <w:tblStyleRowBandSize w:val="1"/>
      <w:tblStyleColBandSize w:val="1"/>
    </w:tblPr>
    <w:tcPr>
      <w:tcBorders>
        <w:top w:val="single" w:sz="4" w:space="0" w:color="000000" w:themeColor="text1"/>
        <w:bottom w:val="single" w:sz="4" w:space="0" w:color="000000" w:themeColor="text1"/>
      </w:tcBorders>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9D630C"/>
    <w:pPr>
      <w:spacing w:after="0" w:line="240" w:lineRule="auto"/>
    </w:pPr>
    <w:tblPr>
      <w:tblStyleRowBandSize w:val="1"/>
      <w:tblStyleColBandSize w:val="1"/>
    </w:tblPr>
    <w:tcPr>
      <w:tcBorders>
        <w:top w:val="single" w:sz="4" w:space="0" w:color="0F204B" w:themeColor="accent1"/>
        <w:bottom w:val="single" w:sz="4" w:space="0" w:color="0F204B" w:themeColor="accent1"/>
      </w:tcBorders>
    </w:tcPr>
    <w:tblStylePr w:type="firstRow">
      <w:rPr>
        <w:b/>
        <w:bCs/>
        <w:color w:val="FFFFFF" w:themeColor="background1"/>
      </w:rPr>
      <w:tblPr/>
      <w:tcPr>
        <w:shd w:val="clear" w:color="auto" w:fill="0F204B" w:themeFill="accent1"/>
      </w:tcPr>
    </w:tblStylePr>
    <w:tblStylePr w:type="lastRow">
      <w:rPr>
        <w:b/>
        <w:bCs/>
      </w:rPr>
      <w:tblPr/>
      <w:tcPr>
        <w:tcBorders>
          <w:top w:val="double" w:sz="4" w:space="0" w:color="0F20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204B" w:themeColor="accent1"/>
          <w:right w:val="single" w:sz="4" w:space="0" w:color="0F204B" w:themeColor="accen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204B" w:themeColor="accent1"/>
          <w:left w:val="nil"/>
        </w:tcBorders>
      </w:tcPr>
    </w:tblStylePr>
    <w:tblStylePr w:type="swCell">
      <w:tblPr/>
      <w:tcPr>
        <w:tcBorders>
          <w:top w:val="double" w:sz="4" w:space="0" w:color="0F204B" w:themeColor="accent1"/>
          <w:right w:val="nil"/>
        </w:tcBorders>
      </w:tcPr>
    </w:tblStylePr>
  </w:style>
  <w:style w:type="table" w:styleId="ListTable3-Accent2">
    <w:name w:val="List Table 3 Accent 2"/>
    <w:basedOn w:val="TableNormal"/>
    <w:uiPriority w:val="99"/>
    <w:rsid w:val="009D630C"/>
    <w:pPr>
      <w:spacing w:after="0" w:line="240" w:lineRule="auto"/>
    </w:pPr>
    <w:tblPr>
      <w:tblStyleRowBandSize w:val="1"/>
      <w:tblStyleColBandSize w:val="1"/>
    </w:tblPr>
    <w:tcPr>
      <w:tcBorders>
        <w:top w:val="single" w:sz="4" w:space="0" w:color="99D9F0" w:themeColor="accent2"/>
        <w:bottom w:val="single" w:sz="4" w:space="0" w:color="99D9F0" w:themeColor="accent2"/>
      </w:tcBorders>
    </w:tcPr>
    <w:tblStylePr w:type="firstRow">
      <w:rPr>
        <w:b/>
        <w:bCs/>
        <w:color w:val="FFFFFF" w:themeColor="background1"/>
      </w:rPr>
      <w:tblPr/>
      <w:tcPr>
        <w:shd w:val="clear" w:color="auto" w:fill="99D9F0" w:themeFill="accent2"/>
      </w:tcPr>
    </w:tblStylePr>
    <w:tblStylePr w:type="lastRow">
      <w:rPr>
        <w:b/>
        <w:bCs/>
      </w:rPr>
      <w:tblPr/>
      <w:tcPr>
        <w:tcBorders>
          <w:top w:val="double" w:sz="4" w:space="0" w:color="99D9F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D9F0" w:themeColor="accent2"/>
          <w:right w:val="single" w:sz="4" w:space="0" w:color="99D9F0" w:themeColor="accent2"/>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D9F0" w:themeColor="accent2"/>
          <w:left w:val="nil"/>
        </w:tcBorders>
      </w:tcPr>
    </w:tblStylePr>
    <w:tblStylePr w:type="swCell">
      <w:tblPr/>
      <w:tcPr>
        <w:tcBorders>
          <w:top w:val="double" w:sz="4" w:space="0" w:color="99D9F0" w:themeColor="accent2"/>
          <w:right w:val="nil"/>
        </w:tcBorders>
      </w:tcPr>
    </w:tblStylePr>
  </w:style>
  <w:style w:type="table" w:styleId="ListTable3-Accent3">
    <w:name w:val="List Table 3 Accent 3"/>
    <w:basedOn w:val="TableNormal"/>
    <w:uiPriority w:val="99"/>
    <w:rsid w:val="009D630C"/>
    <w:pPr>
      <w:spacing w:after="0" w:line="240" w:lineRule="auto"/>
    </w:pPr>
    <w:tblPr>
      <w:tblStyleRowBandSize w:val="1"/>
      <w:tblStyleColBandSize w:val="1"/>
    </w:tblPr>
    <w:tcPr>
      <w:tcBorders>
        <w:top w:val="single" w:sz="4" w:space="0" w:color="003591" w:themeColor="accent3"/>
        <w:bottom w:val="single" w:sz="4" w:space="0" w:color="003591" w:themeColor="accent3"/>
      </w:tcBorders>
    </w:tcPr>
    <w:tblStylePr w:type="firstRow">
      <w:rPr>
        <w:b/>
        <w:bCs/>
        <w:color w:val="FFFFFF" w:themeColor="background1"/>
      </w:rPr>
      <w:tblPr/>
      <w:tcPr>
        <w:shd w:val="clear" w:color="auto" w:fill="003591" w:themeFill="accent3"/>
      </w:tcPr>
    </w:tblStylePr>
    <w:tblStylePr w:type="lastRow">
      <w:rPr>
        <w:b/>
        <w:bCs/>
      </w:rPr>
      <w:tblPr/>
      <w:tcPr>
        <w:tcBorders>
          <w:top w:val="double" w:sz="4" w:space="0" w:color="0035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591" w:themeColor="accent3"/>
          <w:right w:val="single" w:sz="4" w:space="0" w:color="003591" w:themeColor="accent3"/>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591" w:themeColor="accent3"/>
          <w:left w:val="nil"/>
        </w:tcBorders>
      </w:tcPr>
    </w:tblStylePr>
    <w:tblStylePr w:type="swCell">
      <w:tblPr/>
      <w:tcPr>
        <w:tcBorders>
          <w:top w:val="double" w:sz="4" w:space="0" w:color="003591" w:themeColor="accent3"/>
          <w:right w:val="nil"/>
        </w:tcBorders>
      </w:tcPr>
    </w:tblStylePr>
  </w:style>
  <w:style w:type="table" w:styleId="ListTable3-Accent4">
    <w:name w:val="List Table 3 Accent 4"/>
    <w:basedOn w:val="TableNormal"/>
    <w:uiPriority w:val="99"/>
    <w:rsid w:val="009D630C"/>
    <w:pPr>
      <w:spacing w:after="0" w:line="240" w:lineRule="auto"/>
    </w:pPr>
    <w:tblPr>
      <w:tblStyleRowBandSize w:val="1"/>
      <w:tblStyleColBandSize w:val="1"/>
    </w:tblPr>
    <w:tcPr>
      <w:tcBorders>
        <w:top w:val="single" w:sz="4" w:space="0" w:color="009FDA" w:themeColor="accent4"/>
        <w:bottom w:val="single" w:sz="4" w:space="0" w:color="009FDA" w:themeColor="accent4"/>
      </w:tcBorders>
    </w:tcPr>
    <w:tblStylePr w:type="firstRow">
      <w:rPr>
        <w:b/>
        <w:bCs/>
        <w:color w:val="FFFFFF" w:themeColor="background1"/>
      </w:rPr>
      <w:tblPr/>
      <w:tcPr>
        <w:shd w:val="clear" w:color="auto" w:fill="009FDA" w:themeFill="accent4"/>
      </w:tcPr>
    </w:tblStylePr>
    <w:tblStylePr w:type="lastRow">
      <w:rPr>
        <w:b/>
        <w:bCs/>
      </w:rPr>
      <w:tblPr/>
      <w:tcPr>
        <w:tcBorders>
          <w:top w:val="double" w:sz="4" w:space="0" w:color="009FD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DA" w:themeColor="accent4"/>
          <w:right w:val="single" w:sz="4" w:space="0" w:color="009FDA" w:themeColor="accent4"/>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DA" w:themeColor="accent4"/>
          <w:left w:val="nil"/>
        </w:tcBorders>
      </w:tcPr>
    </w:tblStylePr>
    <w:tblStylePr w:type="swCell">
      <w:tblPr/>
      <w:tcPr>
        <w:tcBorders>
          <w:top w:val="double" w:sz="4" w:space="0" w:color="009FDA" w:themeColor="accent4"/>
          <w:right w:val="nil"/>
        </w:tcBorders>
      </w:tcPr>
    </w:tblStylePr>
  </w:style>
  <w:style w:type="table" w:styleId="ListTable3-Accent5">
    <w:name w:val="List Table 3 Accent 5"/>
    <w:basedOn w:val="TableNormal"/>
    <w:uiPriority w:val="99"/>
    <w:rsid w:val="009D630C"/>
    <w:pPr>
      <w:spacing w:after="0" w:line="240" w:lineRule="auto"/>
    </w:pPr>
    <w:tblPr>
      <w:tblStyleRowBandSize w:val="1"/>
      <w:tblStyleColBandSize w:val="1"/>
    </w:tblPr>
    <w:tcPr>
      <w:tcBorders>
        <w:top w:val="single" w:sz="4" w:space="0" w:color="91FFB4" w:themeColor="accent5"/>
        <w:bottom w:val="single" w:sz="4" w:space="0" w:color="91FFB4" w:themeColor="accent5"/>
      </w:tcBorders>
    </w:tcPr>
    <w:tblStylePr w:type="firstRow">
      <w:rPr>
        <w:b/>
        <w:bCs/>
        <w:color w:val="FFFFFF" w:themeColor="background1"/>
      </w:rPr>
      <w:tblPr/>
      <w:tcPr>
        <w:shd w:val="clear" w:color="auto" w:fill="91FFB4" w:themeFill="accent5"/>
      </w:tcPr>
    </w:tblStylePr>
    <w:tblStylePr w:type="lastRow">
      <w:rPr>
        <w:b/>
        <w:bCs/>
      </w:rPr>
      <w:tblPr/>
      <w:tcPr>
        <w:tcBorders>
          <w:top w:val="double" w:sz="4" w:space="0" w:color="91FF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FFB4" w:themeColor="accent5"/>
          <w:right w:val="single" w:sz="4" w:space="0" w:color="91FFB4" w:themeColor="accent5"/>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FFB4" w:themeColor="accent5"/>
          <w:left w:val="nil"/>
        </w:tcBorders>
      </w:tcPr>
    </w:tblStylePr>
    <w:tblStylePr w:type="swCell">
      <w:tblPr/>
      <w:tcPr>
        <w:tcBorders>
          <w:top w:val="double" w:sz="4" w:space="0" w:color="91FFB4" w:themeColor="accent5"/>
          <w:right w:val="nil"/>
        </w:tcBorders>
      </w:tcPr>
    </w:tblStylePr>
  </w:style>
  <w:style w:type="table" w:styleId="ListTable3-Accent6">
    <w:name w:val="List Table 3 Accent 6"/>
    <w:basedOn w:val="TableNormal"/>
    <w:uiPriority w:val="99"/>
    <w:rsid w:val="009D630C"/>
    <w:pPr>
      <w:spacing w:after="0" w:line="240" w:lineRule="auto"/>
    </w:pPr>
    <w:tblPr>
      <w:tblStyleRowBandSize w:val="1"/>
      <w:tblStyleColBandSize w:val="1"/>
    </w:tblPr>
    <w:tcPr>
      <w:tcBorders>
        <w:top w:val="single" w:sz="4" w:space="0" w:color="3F9C35" w:themeColor="accent6"/>
        <w:bottom w:val="single" w:sz="4" w:space="0" w:color="3F9C35" w:themeColor="accent6"/>
      </w:tcBorders>
    </w:tcPr>
    <w:tblStylePr w:type="firstRow">
      <w:rPr>
        <w:b/>
        <w:bCs/>
        <w:color w:val="FFFFFF" w:themeColor="background1"/>
      </w:rPr>
      <w:tblPr/>
      <w:tcPr>
        <w:shd w:val="clear" w:color="auto" w:fill="3F9C35" w:themeFill="accent6"/>
      </w:tcPr>
    </w:tblStylePr>
    <w:tblStylePr w:type="lastRow">
      <w:rPr>
        <w:b/>
        <w:bCs/>
      </w:rPr>
      <w:tblPr/>
      <w:tcPr>
        <w:tcBorders>
          <w:top w:val="double" w:sz="4" w:space="0" w:color="3F9C3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9C35" w:themeColor="accent6"/>
          <w:right w:val="single" w:sz="4" w:space="0" w:color="3F9C35" w:themeColor="accent6"/>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9C35" w:themeColor="accent6"/>
          <w:left w:val="nil"/>
        </w:tcBorders>
      </w:tcPr>
    </w:tblStylePr>
    <w:tblStylePr w:type="swCell">
      <w:tblPr/>
      <w:tcPr>
        <w:tcBorders>
          <w:top w:val="double" w:sz="4" w:space="0" w:color="3F9C35" w:themeColor="accent6"/>
          <w:right w:val="nil"/>
        </w:tcBorders>
      </w:tcPr>
    </w:tblStylePr>
  </w:style>
  <w:style w:type="table" w:styleId="ListTable4">
    <w:name w:val="List Table 4"/>
    <w:basedOn w:val="TableNormal"/>
    <w:uiPriority w:val="99"/>
    <w:rsid w:val="009D630C"/>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Table4-Accent1">
    <w:name w:val="List Table 4 Accent 1"/>
    <w:basedOn w:val="TableNormal"/>
    <w:uiPriority w:val="99"/>
    <w:rsid w:val="009D630C"/>
    <w:pPr>
      <w:spacing w:after="0" w:line="240" w:lineRule="auto"/>
    </w:pPr>
    <w:tblPr>
      <w:tblStyleRowBandSize w:val="1"/>
      <w:tblStyleColBandSize w:val="1"/>
    </w:tblPr>
    <w:tcPr>
      <w:shd w:val="clear" w:color="auto" w:fill="B9C8F1" w:themeFill="accent1" w:themeFillTint="33"/>
    </w:tc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tcBorders>
        <w:shd w:val="clear" w:color="auto" w:fill="0F204B" w:themeFill="accent1"/>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style>
  <w:style w:type="table" w:styleId="ListTable4-Accent2">
    <w:name w:val="List Table 4 Accent 2"/>
    <w:basedOn w:val="TableNormal"/>
    <w:uiPriority w:val="99"/>
    <w:rsid w:val="009D630C"/>
    <w:pPr>
      <w:spacing w:after="0" w:line="240" w:lineRule="auto"/>
    </w:pPr>
    <w:tblPr>
      <w:tblStyleRowBandSize w:val="1"/>
      <w:tblStyleColBandSize w:val="1"/>
    </w:tblPr>
    <w:tcPr>
      <w:shd w:val="clear" w:color="auto" w:fill="EAF7FC" w:themeFill="accent2" w:themeFillTint="33"/>
    </w:tc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tcBorders>
        <w:shd w:val="clear" w:color="auto" w:fill="99D9F0" w:themeFill="accent2"/>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style>
  <w:style w:type="table" w:styleId="ListTable4-Accent3">
    <w:name w:val="List Table 4 Accent 3"/>
    <w:basedOn w:val="TableNormal"/>
    <w:uiPriority w:val="99"/>
    <w:rsid w:val="009D630C"/>
    <w:pPr>
      <w:spacing w:after="0" w:line="240" w:lineRule="auto"/>
    </w:pPr>
    <w:tblPr>
      <w:tblStyleRowBandSize w:val="1"/>
      <w:tblStyleColBandSize w:val="1"/>
    </w:tblPr>
    <w:tcPr>
      <w:shd w:val="clear" w:color="auto" w:fill="B6D0FF" w:themeFill="accent3" w:themeFillTint="33"/>
    </w:tc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tcBorders>
        <w:shd w:val="clear" w:color="auto" w:fill="003591" w:themeFill="accent3"/>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style>
  <w:style w:type="table" w:styleId="ListTable4-Accent4">
    <w:name w:val="List Table 4 Accent 4"/>
    <w:basedOn w:val="TableNormal"/>
    <w:uiPriority w:val="99"/>
    <w:rsid w:val="009D630C"/>
    <w:pPr>
      <w:spacing w:after="0" w:line="240" w:lineRule="auto"/>
    </w:pPr>
    <w:tblPr>
      <w:tblStyleRowBandSize w:val="1"/>
      <w:tblStyleColBandSize w:val="1"/>
    </w:tblPr>
    <w:tcPr>
      <w:shd w:val="clear" w:color="auto" w:fill="C4EEFF" w:themeFill="accent4" w:themeFillTint="33"/>
    </w:tc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tcBorders>
        <w:shd w:val="clear" w:color="auto" w:fill="009FDA" w:themeFill="accent4"/>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style>
  <w:style w:type="table" w:styleId="ListTable4-Accent5">
    <w:name w:val="List Table 4 Accent 5"/>
    <w:basedOn w:val="TableNormal"/>
    <w:uiPriority w:val="99"/>
    <w:rsid w:val="009D630C"/>
    <w:pPr>
      <w:spacing w:after="0" w:line="240" w:lineRule="auto"/>
    </w:pPr>
    <w:tblPr>
      <w:tblStyleRowBandSize w:val="1"/>
      <w:tblStyleColBandSize w:val="1"/>
    </w:tblPr>
    <w:tcPr>
      <w:shd w:val="clear" w:color="auto" w:fill="E9FFEF" w:themeFill="accent5" w:themeFillTint="33"/>
    </w:tc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tcBorders>
        <w:shd w:val="clear" w:color="auto" w:fill="91FFB4" w:themeFill="accent5"/>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style>
  <w:style w:type="table" w:styleId="ListTable4-Accent6">
    <w:name w:val="List Table 4 Accent 6"/>
    <w:basedOn w:val="TableNormal"/>
    <w:uiPriority w:val="99"/>
    <w:rsid w:val="009D630C"/>
    <w:pPr>
      <w:spacing w:after="0" w:line="240" w:lineRule="auto"/>
    </w:pPr>
    <w:tblPr>
      <w:tblStyleRowBandSize w:val="1"/>
      <w:tblStyleColBandSize w:val="1"/>
    </w:tblPr>
    <w:tcPr>
      <w:shd w:val="clear" w:color="auto" w:fill="D4EFD1" w:themeFill="accent6" w:themeFillTint="33"/>
    </w:tc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tcBorders>
        <w:shd w:val="clear" w:color="auto" w:fill="3F9C35" w:themeFill="accent6"/>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style>
  <w:style w:type="table" w:styleId="ListTable5Dark">
    <w:name w:val="List Table 5 Dark"/>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0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D9F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5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FD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1FF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C3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9D630C"/>
    <w:pPr>
      <w:spacing w:after="0" w:line="240" w:lineRule="auto"/>
    </w:pPr>
    <w:rPr>
      <w:color w:val="000000" w:themeColor="text1"/>
    </w:rPr>
    <w:tblPr>
      <w:tblStyleRowBandSize w:val="1"/>
      <w:tblStyleColBandSize w:val="1"/>
    </w:tblPr>
    <w:tcPr>
      <w:shd w:val="clear" w:color="auto" w:fill="CCCCCC" w:themeFill="text1" w:themeFillTint="33"/>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style>
  <w:style w:type="table" w:styleId="ListTable6Colorful-Accent1">
    <w:name w:val="List Table 6 Colorful Accent 1"/>
    <w:basedOn w:val="TableNormal"/>
    <w:uiPriority w:val="99"/>
    <w:rsid w:val="009D630C"/>
    <w:pPr>
      <w:spacing w:after="0" w:line="240" w:lineRule="auto"/>
    </w:pPr>
    <w:rPr>
      <w:color w:val="0B1738" w:themeColor="accent1" w:themeShade="BF"/>
    </w:rPr>
    <w:tblPr>
      <w:tblStyleRowBandSize w:val="1"/>
      <w:tblStyleColBandSize w:val="1"/>
    </w:tblPr>
    <w:tcPr>
      <w:shd w:val="clear" w:color="auto" w:fill="B9C8F1" w:themeFill="accent1" w:themeFillTint="33"/>
    </w:tcPr>
    <w:tblStylePr w:type="firstRow">
      <w:rPr>
        <w:b/>
        <w:bCs/>
      </w:rPr>
      <w:tblPr/>
      <w:tcPr>
        <w:tcBorders>
          <w:bottom w:val="single" w:sz="4" w:space="0" w:color="0F204B" w:themeColor="accent1"/>
        </w:tcBorders>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style>
  <w:style w:type="table" w:styleId="ListTable6Colorful-Accent2">
    <w:name w:val="List Table 6 Colorful Accent 2"/>
    <w:basedOn w:val="TableNormal"/>
    <w:uiPriority w:val="99"/>
    <w:rsid w:val="009D630C"/>
    <w:pPr>
      <w:spacing w:after="0" w:line="240" w:lineRule="auto"/>
    </w:pPr>
    <w:rPr>
      <w:color w:val="43B8E3" w:themeColor="accent2" w:themeShade="BF"/>
    </w:rPr>
    <w:tblPr>
      <w:tblStyleRowBandSize w:val="1"/>
      <w:tblStyleColBandSize w:val="1"/>
    </w:tblPr>
    <w:tcPr>
      <w:shd w:val="clear" w:color="auto" w:fill="EAF7FC" w:themeFill="accent2" w:themeFillTint="33"/>
    </w:tcPr>
    <w:tblStylePr w:type="firstRow">
      <w:rPr>
        <w:b/>
        <w:bCs/>
      </w:rPr>
      <w:tblPr/>
      <w:tcPr>
        <w:tcBorders>
          <w:bottom w:val="single" w:sz="4" w:space="0" w:color="99D9F0" w:themeColor="accent2"/>
        </w:tcBorders>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style>
  <w:style w:type="table" w:styleId="ListTable6Colorful-Accent3">
    <w:name w:val="List Table 6 Colorful Accent 3"/>
    <w:basedOn w:val="TableNormal"/>
    <w:uiPriority w:val="99"/>
    <w:rsid w:val="009D630C"/>
    <w:pPr>
      <w:spacing w:after="0" w:line="240" w:lineRule="auto"/>
    </w:pPr>
    <w:rPr>
      <w:color w:val="00276C" w:themeColor="accent3" w:themeShade="BF"/>
    </w:rPr>
    <w:tblPr>
      <w:tblStyleRowBandSize w:val="1"/>
      <w:tblStyleColBandSize w:val="1"/>
    </w:tblPr>
    <w:tcPr>
      <w:shd w:val="clear" w:color="auto" w:fill="B6D0FF" w:themeFill="accent3" w:themeFillTint="33"/>
    </w:tcPr>
    <w:tblStylePr w:type="firstRow">
      <w:rPr>
        <w:b/>
        <w:bCs/>
      </w:rPr>
      <w:tblPr/>
      <w:tcPr>
        <w:tcBorders>
          <w:bottom w:val="single" w:sz="4" w:space="0" w:color="003591" w:themeColor="accent3"/>
        </w:tcBorders>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99"/>
    <w:rsid w:val="009D630C"/>
    <w:pPr>
      <w:spacing w:after="0" w:line="240" w:lineRule="auto"/>
    </w:pPr>
    <w:rPr>
      <w:color w:val="0076A3" w:themeColor="accent4" w:themeShade="BF"/>
    </w:rPr>
    <w:tblPr>
      <w:tblStyleRowBandSize w:val="1"/>
      <w:tblStyleColBandSize w:val="1"/>
    </w:tblPr>
    <w:tcPr>
      <w:shd w:val="clear" w:color="auto" w:fill="C4EEFF" w:themeFill="accent4" w:themeFillTint="33"/>
    </w:tcPr>
    <w:tblStylePr w:type="firstRow">
      <w:rPr>
        <w:b/>
        <w:bCs/>
      </w:rPr>
      <w:tblPr/>
      <w:tcPr>
        <w:tcBorders>
          <w:bottom w:val="single" w:sz="4" w:space="0" w:color="009FDA" w:themeColor="accent4"/>
        </w:tcBorders>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style>
  <w:style w:type="table" w:styleId="ListTable6Colorful-Accent5">
    <w:name w:val="List Table 6 Colorful Accent 5"/>
    <w:basedOn w:val="TableNormal"/>
    <w:uiPriority w:val="99"/>
    <w:rsid w:val="009D630C"/>
    <w:pPr>
      <w:spacing w:after="0" w:line="240" w:lineRule="auto"/>
    </w:pPr>
    <w:rPr>
      <w:color w:val="2CFF6F" w:themeColor="accent5" w:themeShade="BF"/>
    </w:rPr>
    <w:tblPr>
      <w:tblStyleRowBandSize w:val="1"/>
      <w:tblStyleColBandSize w:val="1"/>
    </w:tblPr>
    <w:tcPr>
      <w:shd w:val="clear" w:color="auto" w:fill="E9FFEF" w:themeFill="accent5" w:themeFillTint="33"/>
    </w:tcPr>
    <w:tblStylePr w:type="firstRow">
      <w:rPr>
        <w:b/>
        <w:bCs/>
      </w:rPr>
      <w:tblPr/>
      <w:tcPr>
        <w:tcBorders>
          <w:bottom w:val="single" w:sz="4" w:space="0" w:color="91FFB4" w:themeColor="accent5"/>
        </w:tcBorders>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style>
  <w:style w:type="table" w:styleId="ListTable6Colorful-Accent6">
    <w:name w:val="List Table 6 Colorful Accent 6"/>
    <w:basedOn w:val="TableNormal"/>
    <w:uiPriority w:val="99"/>
    <w:rsid w:val="009D630C"/>
    <w:pPr>
      <w:spacing w:after="0" w:line="240" w:lineRule="auto"/>
    </w:pPr>
    <w:rPr>
      <w:color w:val="2E7427" w:themeColor="accent6" w:themeShade="BF"/>
    </w:rPr>
    <w:tblPr>
      <w:tblStyleRowBandSize w:val="1"/>
      <w:tblStyleColBandSize w:val="1"/>
    </w:tblPr>
    <w:tcPr>
      <w:shd w:val="clear" w:color="auto" w:fill="D4EFD1" w:themeFill="accent6" w:themeFillTint="33"/>
    </w:tcPr>
    <w:tblStylePr w:type="firstRow">
      <w:rPr>
        <w:b/>
        <w:bCs/>
      </w:rPr>
      <w:tblPr/>
      <w:tcPr>
        <w:tcBorders>
          <w:bottom w:val="single" w:sz="4" w:space="0" w:color="3F9C35" w:themeColor="accent6"/>
        </w:tcBorders>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style>
  <w:style w:type="table" w:styleId="ListTable7Colorful">
    <w:name w:val="List Table 7 Colorful"/>
    <w:basedOn w:val="TableNormal"/>
    <w:uiPriority w:val="99"/>
    <w:rsid w:val="009D630C"/>
    <w:pPr>
      <w:spacing w:after="0" w:line="240" w:lineRule="auto"/>
    </w:pPr>
    <w:rPr>
      <w:color w:val="000000" w:themeColor="text1"/>
    </w:rPr>
    <w:tblPr>
      <w:tblStyleRowBandSize w:val="1"/>
      <w:tblStyleColBandSize w:val="1"/>
    </w:tblPr>
    <w:tcPr>
      <w:tcBorders>
        <w:left w:val="single" w:sz="4" w:space="0" w:color="000000" w:themeColor="text1"/>
        <w:bottom w:val="single" w:sz="4" w:space="0" w:color="000000" w:themeColor="text1"/>
      </w:tcBorders>
      <w:shd w:val="clear" w:color="auto" w:fill="CCCCCC" w:themeFill="text1"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9D630C"/>
    <w:pPr>
      <w:spacing w:after="0" w:line="240" w:lineRule="auto"/>
    </w:pPr>
    <w:rPr>
      <w:color w:val="0B1738" w:themeColor="accent1" w:themeShade="BF"/>
    </w:rPr>
    <w:tblPr>
      <w:tblStyleRowBandSize w:val="1"/>
      <w:tblStyleColBandSize w:val="1"/>
    </w:tblPr>
    <w:tcPr>
      <w:tcBorders>
        <w:left w:val="single" w:sz="4" w:space="0" w:color="0F204B" w:themeColor="accent1"/>
        <w:bottom w:val="single" w:sz="4" w:space="0" w:color="0F204B" w:themeColor="accent1"/>
      </w:tcBorders>
      <w:shd w:val="clear" w:color="auto" w:fill="B9C8F1" w:themeFill="accent1"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9D630C"/>
    <w:pPr>
      <w:spacing w:after="0" w:line="240" w:lineRule="auto"/>
    </w:pPr>
    <w:rPr>
      <w:color w:val="43B8E3" w:themeColor="accent2" w:themeShade="BF"/>
    </w:rPr>
    <w:tblPr>
      <w:tblStyleRowBandSize w:val="1"/>
      <w:tblStyleColBandSize w:val="1"/>
    </w:tblPr>
    <w:tcPr>
      <w:tcBorders>
        <w:left w:val="single" w:sz="4" w:space="0" w:color="99D9F0" w:themeColor="accent2"/>
        <w:bottom w:val="single" w:sz="4" w:space="0" w:color="99D9F0" w:themeColor="accent2"/>
      </w:tcBorders>
      <w:shd w:val="clear" w:color="auto" w:fill="EAF7FC" w:themeFill="accent2"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9D630C"/>
    <w:pPr>
      <w:spacing w:after="0" w:line="240" w:lineRule="auto"/>
    </w:pPr>
    <w:rPr>
      <w:color w:val="00276C" w:themeColor="accent3" w:themeShade="BF"/>
    </w:rPr>
    <w:tblPr>
      <w:tblStyleRowBandSize w:val="1"/>
      <w:tblStyleColBandSize w:val="1"/>
    </w:tblPr>
    <w:tcPr>
      <w:tcBorders>
        <w:left w:val="single" w:sz="4" w:space="0" w:color="003591" w:themeColor="accent3"/>
        <w:bottom w:val="single" w:sz="4" w:space="0" w:color="003591" w:themeColor="accent3"/>
      </w:tcBorders>
      <w:shd w:val="clear" w:color="auto" w:fill="B6D0FF" w:themeFill="accent3"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9D630C"/>
    <w:pPr>
      <w:spacing w:after="0" w:line="240" w:lineRule="auto"/>
    </w:pPr>
    <w:rPr>
      <w:color w:val="0076A3" w:themeColor="accent4" w:themeShade="BF"/>
    </w:rPr>
    <w:tblPr>
      <w:tblStyleRowBandSize w:val="1"/>
      <w:tblStyleColBandSize w:val="1"/>
    </w:tblPr>
    <w:tcPr>
      <w:tcBorders>
        <w:left w:val="single" w:sz="4" w:space="0" w:color="009FDA" w:themeColor="accent4"/>
        <w:bottom w:val="single" w:sz="4" w:space="0" w:color="009FDA" w:themeColor="accent4"/>
      </w:tcBorders>
      <w:shd w:val="clear" w:color="auto" w:fill="C4EEFF" w:themeFill="accent4"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9D630C"/>
    <w:pPr>
      <w:spacing w:after="0" w:line="240" w:lineRule="auto"/>
    </w:pPr>
    <w:rPr>
      <w:color w:val="2CFF6F" w:themeColor="accent5" w:themeShade="BF"/>
    </w:rPr>
    <w:tblPr>
      <w:tblStyleRowBandSize w:val="1"/>
      <w:tblStyleColBandSize w:val="1"/>
    </w:tblPr>
    <w:tcPr>
      <w:tcBorders>
        <w:left w:val="single" w:sz="4" w:space="0" w:color="91FFB4" w:themeColor="accent5"/>
        <w:bottom w:val="single" w:sz="4" w:space="0" w:color="91FFB4" w:themeColor="accent5"/>
      </w:tcBorders>
      <w:shd w:val="clear" w:color="auto" w:fill="E9FFEF" w:themeFill="accent5"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9D630C"/>
    <w:pPr>
      <w:spacing w:after="0" w:line="240" w:lineRule="auto"/>
    </w:pPr>
    <w:rPr>
      <w:color w:val="2E7427" w:themeColor="accent6" w:themeShade="BF"/>
    </w:rPr>
    <w:tblPr>
      <w:tblStyleRowBandSize w:val="1"/>
      <w:tblStyleColBandSize w:val="1"/>
    </w:tblPr>
    <w:tcPr>
      <w:tcBorders>
        <w:left w:val="single" w:sz="4" w:space="0" w:color="3F9C35" w:themeColor="accent6"/>
        <w:bottom w:val="single" w:sz="4" w:space="0" w:color="3F9C35" w:themeColor="accent6"/>
      </w:tcBorders>
      <w:shd w:val="clear" w:color="auto" w:fill="D4EFD1" w:themeFill="accent6"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9D630C"/>
    <w:pPr>
      <w:spacing w:after="0" w:line="240" w:lineRule="auto"/>
    </w:pPr>
    <w:tblPr>
      <w:tblStyleRowBandSize w:val="1"/>
      <w:tblStyleColBandSize w:val="1"/>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style>
  <w:style w:type="table" w:styleId="MediumGrid1-Accent1">
    <w:name w:val="Medium Grid 1 Accent 1"/>
    <w:basedOn w:val="TableNormal"/>
    <w:uiPriority w:val="99"/>
    <w:semiHidden/>
    <w:unhideWhenUsed/>
    <w:rsid w:val="009D630C"/>
    <w:pPr>
      <w:spacing w:after="0" w:line="240" w:lineRule="auto"/>
    </w:pPr>
    <w:tblPr>
      <w:tblStyleRowBandSize w:val="1"/>
      <w:tblStyleColBandSize w:val="1"/>
    </w:tblPr>
    <w:tcPr>
      <w:shd w:val="clear" w:color="auto" w:fill="A8BBED" w:themeFill="accent1" w:themeFillTint="3F"/>
    </w:tcPr>
    <w:tblStylePr w:type="firstRow">
      <w:rPr>
        <w:b/>
        <w:bCs/>
      </w:rPr>
    </w:tblStylePr>
    <w:tblStylePr w:type="lastRow">
      <w:rPr>
        <w:b/>
        <w:bCs/>
      </w:rPr>
      <w:tblPr/>
      <w:tcPr>
        <w:tcBorders>
          <w:top w:val="single" w:sz="18" w:space="0" w:color="2045A2" w:themeColor="accent1" w:themeTint="BF"/>
        </w:tcBorders>
      </w:tcPr>
    </w:tblStylePr>
    <w:tblStylePr w:type="firstCol">
      <w:rPr>
        <w:b/>
        <w:bCs/>
      </w:rPr>
    </w:tblStylePr>
    <w:tblStylePr w:type="lastCol">
      <w:rPr>
        <w:b/>
        <w:bCs/>
      </w:rPr>
    </w:tblStylePr>
  </w:style>
  <w:style w:type="table" w:styleId="MediumGrid1-Accent2">
    <w:name w:val="Medium Grid 1 Accent 2"/>
    <w:basedOn w:val="TableNormal"/>
    <w:uiPriority w:val="99"/>
    <w:semiHidden/>
    <w:unhideWhenUsed/>
    <w:rsid w:val="009D630C"/>
    <w:pPr>
      <w:spacing w:after="0" w:line="240" w:lineRule="auto"/>
    </w:pPr>
    <w:tblPr>
      <w:tblStyleRowBandSize w:val="1"/>
      <w:tblStyleColBandSize w:val="1"/>
    </w:tblPr>
    <w:tcPr>
      <w:shd w:val="clear" w:color="auto" w:fill="E5F5FB" w:themeFill="accent2" w:themeFillTint="3F"/>
    </w:tcPr>
    <w:tblStylePr w:type="firstRow">
      <w:rPr>
        <w:b/>
        <w:bCs/>
      </w:rPr>
    </w:tblStylePr>
    <w:tblStylePr w:type="lastRow">
      <w:rPr>
        <w:b/>
        <w:bCs/>
      </w:rPr>
      <w:tblPr/>
      <w:tcPr>
        <w:tcBorders>
          <w:top w:val="single" w:sz="18" w:space="0" w:color="B2E2F3" w:themeColor="accent2" w:themeTint="BF"/>
        </w:tcBorders>
      </w:tcPr>
    </w:tblStylePr>
    <w:tblStylePr w:type="firstCol">
      <w:rPr>
        <w:b/>
        <w:bCs/>
      </w:rPr>
    </w:tblStylePr>
    <w:tblStylePr w:type="lastCol">
      <w:rPr>
        <w:b/>
        <w:bCs/>
      </w:rPr>
    </w:tblStylePr>
  </w:style>
  <w:style w:type="table" w:styleId="MediumGrid1-Accent3">
    <w:name w:val="Medium Grid 1 Accent 3"/>
    <w:basedOn w:val="TableNormal"/>
    <w:uiPriority w:val="99"/>
    <w:semiHidden/>
    <w:unhideWhenUsed/>
    <w:rsid w:val="009D630C"/>
    <w:pPr>
      <w:spacing w:after="0" w:line="240" w:lineRule="auto"/>
    </w:pPr>
    <w:tblPr>
      <w:tblStyleRowBandSize w:val="1"/>
      <w:tblStyleColBandSize w:val="1"/>
    </w:tblPr>
    <w:tcPr>
      <w:shd w:val="clear" w:color="auto" w:fill="A4C5FF" w:themeFill="accent3" w:themeFillTint="3F"/>
    </w:tcPr>
    <w:tblStylePr w:type="firstRow">
      <w:rPr>
        <w:b/>
        <w:bCs/>
      </w:rPr>
    </w:tblStylePr>
    <w:tblStylePr w:type="lastRow">
      <w:rPr>
        <w:b/>
        <w:bCs/>
      </w:rPr>
      <w:tblPr/>
      <w:tcPr>
        <w:tcBorders>
          <w:top w:val="single" w:sz="18" w:space="0" w:color="0056EC" w:themeColor="accent3" w:themeTint="BF"/>
        </w:tcBorders>
      </w:tcPr>
    </w:tblStylePr>
    <w:tblStylePr w:type="firstCol">
      <w:rPr>
        <w:b/>
        <w:bCs/>
      </w:rPr>
    </w:tblStylePr>
    <w:tblStylePr w:type="lastCol">
      <w:rPr>
        <w:b/>
        <w:bCs/>
      </w:rPr>
    </w:tblStylePr>
  </w:style>
  <w:style w:type="table" w:styleId="MediumGrid1-Accent4">
    <w:name w:val="Medium Grid 1 Accent 4"/>
    <w:basedOn w:val="TableNormal"/>
    <w:uiPriority w:val="99"/>
    <w:semiHidden/>
    <w:unhideWhenUsed/>
    <w:rsid w:val="009D630C"/>
    <w:pPr>
      <w:spacing w:after="0" w:line="240" w:lineRule="auto"/>
    </w:pPr>
    <w:tblPr>
      <w:tblStyleRowBandSize w:val="1"/>
      <w:tblStyleColBandSize w:val="1"/>
    </w:tblPr>
    <w:tcPr>
      <w:shd w:val="clear" w:color="auto" w:fill="B6EBFF" w:themeFill="accent4" w:themeFillTint="3F"/>
    </w:tcPr>
    <w:tblStylePr w:type="firstRow">
      <w:rPr>
        <w:b/>
        <w:bCs/>
      </w:rPr>
    </w:tblStylePr>
    <w:tblStylePr w:type="lastRow">
      <w:rPr>
        <w:b/>
        <w:bCs/>
      </w:rPr>
      <w:tblPr/>
      <w:tcPr>
        <w:tcBorders>
          <w:top w:val="single" w:sz="18" w:space="0" w:color="24C2FF" w:themeColor="accent4" w:themeTint="BF"/>
        </w:tcBorders>
      </w:tcPr>
    </w:tblStylePr>
    <w:tblStylePr w:type="firstCol">
      <w:rPr>
        <w:b/>
        <w:bCs/>
      </w:rPr>
    </w:tblStylePr>
    <w:tblStylePr w:type="lastCol">
      <w:rPr>
        <w:b/>
        <w:bCs/>
      </w:rPr>
    </w:tblStylePr>
  </w:style>
  <w:style w:type="table" w:styleId="MediumGrid1-Accent5">
    <w:name w:val="Medium Grid 1 Accent 5"/>
    <w:basedOn w:val="TableNormal"/>
    <w:uiPriority w:val="99"/>
    <w:semiHidden/>
    <w:unhideWhenUsed/>
    <w:rsid w:val="009D630C"/>
    <w:pPr>
      <w:spacing w:after="0" w:line="240" w:lineRule="auto"/>
    </w:pPr>
    <w:tblPr>
      <w:tblStyleRowBandSize w:val="1"/>
      <w:tblStyleColBandSize w:val="1"/>
    </w:tblPr>
    <w:tcPr>
      <w:shd w:val="clear" w:color="auto" w:fill="E3FFEC" w:themeFill="accent5" w:themeFillTint="3F"/>
    </w:tcPr>
    <w:tblStylePr w:type="firstRow">
      <w:rPr>
        <w:b/>
        <w:bCs/>
      </w:rPr>
    </w:tblStylePr>
    <w:tblStylePr w:type="lastRow">
      <w:rPr>
        <w:b/>
        <w:bCs/>
      </w:rPr>
      <w:tblPr/>
      <w:tcPr>
        <w:tcBorders>
          <w:top w:val="single" w:sz="18" w:space="0" w:color="ACFFC6" w:themeColor="accent5" w:themeTint="BF"/>
        </w:tcBorders>
      </w:tcPr>
    </w:tblStylePr>
    <w:tblStylePr w:type="firstCol">
      <w:rPr>
        <w:b/>
        <w:bCs/>
      </w:rPr>
    </w:tblStylePr>
    <w:tblStylePr w:type="lastCol">
      <w:rPr>
        <w:b/>
        <w:bCs/>
      </w:rPr>
    </w:tblStylePr>
  </w:style>
  <w:style w:type="table" w:styleId="MediumGrid1-Accent6">
    <w:name w:val="Medium Grid 1 Accent 6"/>
    <w:basedOn w:val="TableNormal"/>
    <w:uiPriority w:val="99"/>
    <w:semiHidden/>
    <w:unhideWhenUsed/>
    <w:rsid w:val="009D630C"/>
    <w:pPr>
      <w:spacing w:after="0" w:line="240" w:lineRule="auto"/>
    </w:pPr>
    <w:tblPr>
      <w:tblStyleRowBandSize w:val="1"/>
      <w:tblStyleColBandSize w:val="1"/>
    </w:tblPr>
    <w:tcPr>
      <w:shd w:val="clear" w:color="auto" w:fill="CAECC7" w:themeFill="accent6" w:themeFillTint="3F"/>
    </w:tcPr>
    <w:tblStylePr w:type="firstRow">
      <w:rPr>
        <w:b/>
        <w:bCs/>
      </w:rPr>
    </w:tblStylePr>
    <w:tblStylePr w:type="lastRow">
      <w:rPr>
        <w:b/>
        <w:bCs/>
      </w:rPr>
      <w:tblPr/>
      <w:tcPr>
        <w:tcBorders>
          <w:top w:val="single" w:sz="18" w:space="0" w:color="60C556" w:themeColor="accent6" w:themeTint="BF"/>
        </w:tcBorders>
      </w:tcPr>
    </w:tblStylePr>
    <w:tblStylePr w:type="firstCol">
      <w:rPr>
        <w:b/>
        <w:bCs/>
      </w:rPr>
    </w:tblStylePr>
    <w:tblStylePr w:type="lastCol">
      <w:rPr>
        <w:b/>
        <w:bCs/>
      </w:rPr>
    </w:tblStylePr>
  </w:style>
  <w:style w:type="table" w:styleId="MediumGrid2">
    <w:name w:val="Medium Grid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A8BBED" w:themeFill="accent1" w:themeFillTint="3F"/>
    </w:tcPr>
    <w:tblStylePr w:type="firstRow">
      <w:rPr>
        <w:b/>
        <w:bCs/>
        <w:color w:val="000000" w:themeColor="text1"/>
      </w:rPr>
      <w:tblPr/>
      <w:tcPr>
        <w:shd w:val="clear" w:color="auto" w:fill="DCE4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C8F1" w:themeFill="accent1" w:themeFillTint="33"/>
      </w:tcPr>
    </w:tblStylePr>
    <w:tblStylePr w:type="band1Vert">
      <w:tblPr/>
      <w:tcPr>
        <w:shd w:val="clear" w:color="auto" w:fill="5077D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E5F5FB" w:themeFill="accent2" w:themeFillTint="3F"/>
    </w:tcPr>
    <w:tblStylePr w:type="firstRow">
      <w:rPr>
        <w:b/>
        <w:bCs/>
        <w:color w:val="000000" w:themeColor="text1"/>
      </w:rPr>
      <w:tblPr/>
      <w:tcPr>
        <w:shd w:val="clear" w:color="auto" w:fill="F4FB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7FC" w:themeFill="accent2" w:themeFillTint="33"/>
      </w:tcPr>
    </w:tblStylePr>
    <w:tblStylePr w:type="band1Vert">
      <w:tblPr/>
      <w:tcPr>
        <w:shd w:val="clear" w:color="auto" w:fill="CCEC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A4C5FF" w:themeFill="accent3" w:themeFillTint="3F"/>
    </w:tcPr>
    <w:tblStylePr w:type="firstRow">
      <w:rPr>
        <w:b/>
        <w:bCs/>
        <w:color w:val="000000" w:themeColor="text1"/>
      </w:rPr>
      <w:tblPr/>
      <w:tcPr>
        <w:shd w:val="clear" w:color="auto" w:fill="DBE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D0FF" w:themeFill="accent3" w:themeFillTint="33"/>
      </w:tcPr>
    </w:tblStylePr>
    <w:tblStylePr w:type="band1Vert">
      <w:tblPr/>
      <w:tcPr>
        <w:shd w:val="clear" w:color="auto" w:fill="498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B6EBFF" w:themeFill="accent4" w:themeFillTint="3F"/>
    </w:tcPr>
    <w:tblStylePr w:type="firstRow">
      <w:rPr>
        <w:b/>
        <w:bCs/>
        <w:color w:val="000000" w:themeColor="text1"/>
      </w:rPr>
      <w:tblPr/>
      <w:tcPr>
        <w:shd w:val="clear" w:color="auto" w:fill="E2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4" w:themeFillTint="33"/>
      </w:tcPr>
    </w:tblStylePr>
    <w:tblStylePr w:type="band1Vert">
      <w:tblPr/>
      <w:tcPr>
        <w:shd w:val="clear" w:color="auto" w:fill="6DD7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E3FFEC" w:themeFill="accent5" w:themeFillTint="3F"/>
    </w:tcPr>
    <w:tblStylePr w:type="firstRow">
      <w:rPr>
        <w:b/>
        <w:bCs/>
        <w:color w:val="000000" w:themeColor="text1"/>
      </w:rPr>
      <w:tblPr/>
      <w:tcPr>
        <w:shd w:val="clear" w:color="auto" w:fill="F4FF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FEF" w:themeFill="accent5" w:themeFillTint="33"/>
      </w:tcPr>
    </w:tblStylePr>
    <w:tblStylePr w:type="band1Vert">
      <w:tblPr/>
      <w:tcPr>
        <w:shd w:val="clear" w:color="auto" w:fill="C8FF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CAECC7" w:themeFill="accent6" w:themeFillTint="3F"/>
    </w:tcPr>
    <w:tblStylePr w:type="firstRow">
      <w:rPr>
        <w:b/>
        <w:bCs/>
        <w:color w:val="000000" w:themeColor="text1"/>
      </w:rPr>
      <w:tblPr/>
      <w:tcPr>
        <w:shd w:val="clear" w:color="auto" w:fill="EAF7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FD1" w:themeFill="accent6" w:themeFillTint="33"/>
      </w:tcPr>
    </w:tblStylePr>
    <w:tblStylePr w:type="band1Vert">
      <w:tblPr/>
      <w:tcPr>
        <w:shd w:val="clear" w:color="auto" w:fill="95D9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style>
  <w:style w:type="table" w:styleId="MediumGrid3-Accent1">
    <w:name w:val="Medium Grid 3 Accent 1"/>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8B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20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204B" w:themeFill="accent1"/>
      </w:tcPr>
    </w:tblStylePr>
  </w:style>
  <w:style w:type="table" w:styleId="MediumGrid3-Accent2">
    <w:name w:val="Medium Grid 3 Accent 2"/>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5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D9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D9F0" w:themeFill="accent2"/>
      </w:tcPr>
    </w:tblStylePr>
  </w:style>
  <w:style w:type="table" w:styleId="MediumGrid3-Accent3">
    <w:name w:val="Medium Grid 3 Accent 3"/>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4C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91" w:themeFill="accent3"/>
      </w:tcPr>
    </w:tblStylePr>
  </w:style>
  <w:style w:type="table" w:styleId="MediumGrid3-Accent4">
    <w:name w:val="Medium Grid 3 Accent 4"/>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E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4"/>
      </w:tcPr>
    </w:tblStylePr>
  </w:style>
  <w:style w:type="table" w:styleId="MediumGrid3-Accent5">
    <w:name w:val="Medium Grid 3 Accent 5"/>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FF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FFB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FFB4" w:themeFill="accent5"/>
      </w:tcPr>
    </w:tblStylePr>
  </w:style>
  <w:style w:type="table" w:styleId="MediumGrid3-Accent6">
    <w:name w:val="Medium Grid 3 Accent 6"/>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C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9C3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9C35" w:themeFill="accent6"/>
      </w:tcPr>
    </w:tblStylePr>
  </w:style>
  <w:style w:type="table" w:styleId="MediumList1">
    <w:name w:val="Medium List 1"/>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000000" w:themeColor="text1"/>
        <w:bottom w:val="single" w:sz="8" w:space="0" w:color="000000" w:themeColor="text1"/>
      </w:tcBorders>
      <w:shd w:val="clear" w:color="auto" w:fill="C0C0C0" w:themeFill="text1" w:themeFillTint="3F"/>
    </w:tcPr>
    <w:tblStylePr w:type="firstRow">
      <w:rPr>
        <w:rFonts w:asciiTheme="majorHAnsi" w:eastAsiaTheme="majorEastAsia" w:hAnsiTheme="majorHAnsi" w:cstheme="majorBidi"/>
      </w:rPr>
    </w:tblStylePr>
    <w:tblStylePr w:type="lastRow">
      <w:rPr>
        <w:b/>
        <w:bCs/>
        <w:color w:val="0F204B" w:themeColor="text2"/>
      </w:rPr>
    </w:tblStylePr>
    <w:tblStylePr w:type="firstCol">
      <w:rPr>
        <w:b/>
        <w:bCs/>
      </w:rPr>
    </w:tblStylePr>
    <w:tblStylePr w:type="lastCol">
      <w:rPr>
        <w:b/>
        <w:bCs/>
      </w:rPr>
    </w:tblStylePr>
  </w:style>
  <w:style w:type="table" w:styleId="MediumList1-Accent1">
    <w:name w:val="Medium List 1 Accent 1"/>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0F204B" w:themeColor="accent1"/>
        <w:bottom w:val="single" w:sz="8" w:space="0" w:color="0F204B" w:themeColor="accent1"/>
      </w:tcBorders>
      <w:shd w:val="clear" w:color="auto" w:fill="A8BBED" w:themeFill="accent1" w:themeFillTint="3F"/>
    </w:tcPr>
    <w:tblStylePr w:type="firstRow">
      <w:rPr>
        <w:rFonts w:asciiTheme="majorHAnsi" w:eastAsiaTheme="majorEastAsia" w:hAnsiTheme="majorHAnsi" w:cstheme="majorBidi"/>
      </w:rPr>
    </w:tblStylePr>
    <w:tblStylePr w:type="lastRow">
      <w:rPr>
        <w:b/>
        <w:bCs/>
        <w:color w:val="0F204B" w:themeColor="text2"/>
      </w:rPr>
    </w:tblStylePr>
    <w:tblStylePr w:type="firstCol">
      <w:rPr>
        <w:b/>
        <w:bCs/>
      </w:rPr>
    </w:tblStylePr>
    <w:tblStylePr w:type="lastCol">
      <w:rPr>
        <w:b/>
        <w:bCs/>
      </w:rPr>
    </w:tblStylePr>
  </w:style>
  <w:style w:type="table" w:styleId="MediumList1-Accent2">
    <w:name w:val="Medium List 1 Accent 2"/>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99D9F0" w:themeColor="accent2"/>
        <w:bottom w:val="single" w:sz="8" w:space="0" w:color="99D9F0" w:themeColor="accent2"/>
      </w:tcBorders>
      <w:shd w:val="clear" w:color="auto" w:fill="E5F5FB" w:themeFill="accent2" w:themeFillTint="3F"/>
    </w:tcPr>
    <w:tblStylePr w:type="firstRow">
      <w:rPr>
        <w:rFonts w:asciiTheme="majorHAnsi" w:eastAsiaTheme="majorEastAsia" w:hAnsiTheme="majorHAnsi" w:cstheme="majorBidi"/>
      </w:rPr>
    </w:tblStylePr>
    <w:tblStylePr w:type="lastRow">
      <w:rPr>
        <w:b/>
        <w:bCs/>
        <w:color w:val="0F204B" w:themeColor="text2"/>
      </w:rPr>
    </w:tblStylePr>
    <w:tblStylePr w:type="firstCol">
      <w:rPr>
        <w:b/>
        <w:bCs/>
      </w:rPr>
    </w:tblStylePr>
    <w:tblStylePr w:type="lastCol">
      <w:rPr>
        <w:b/>
        <w:bCs/>
      </w:rPr>
    </w:tblStylePr>
  </w:style>
  <w:style w:type="table" w:styleId="MediumList1-Accent3">
    <w:name w:val="Medium List 1 Accent 3"/>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003591" w:themeColor="accent3"/>
        <w:bottom w:val="single" w:sz="8" w:space="0" w:color="003591" w:themeColor="accent3"/>
      </w:tcBorders>
      <w:shd w:val="clear" w:color="auto" w:fill="A4C5FF" w:themeFill="accent3" w:themeFillTint="3F"/>
    </w:tcPr>
    <w:tblStylePr w:type="firstRow">
      <w:rPr>
        <w:rFonts w:asciiTheme="majorHAnsi" w:eastAsiaTheme="majorEastAsia" w:hAnsiTheme="majorHAnsi" w:cstheme="majorBidi"/>
      </w:rPr>
    </w:tblStylePr>
    <w:tblStylePr w:type="lastRow">
      <w:rPr>
        <w:b/>
        <w:bCs/>
        <w:color w:val="0F204B" w:themeColor="text2"/>
      </w:rPr>
    </w:tblStylePr>
    <w:tblStylePr w:type="firstCol">
      <w:rPr>
        <w:b/>
        <w:bCs/>
      </w:rPr>
    </w:tblStylePr>
    <w:tblStylePr w:type="lastCol">
      <w:rPr>
        <w:b/>
        <w:bCs/>
      </w:rPr>
    </w:tblStylePr>
  </w:style>
  <w:style w:type="table" w:styleId="MediumList1-Accent4">
    <w:name w:val="Medium List 1 Accent 4"/>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009FDA" w:themeColor="accent4"/>
        <w:bottom w:val="single" w:sz="8" w:space="0" w:color="009FDA" w:themeColor="accent4"/>
      </w:tcBorders>
      <w:shd w:val="clear" w:color="auto" w:fill="B6EBFF" w:themeFill="accent4" w:themeFillTint="3F"/>
    </w:tcPr>
    <w:tblStylePr w:type="firstRow">
      <w:rPr>
        <w:rFonts w:asciiTheme="majorHAnsi" w:eastAsiaTheme="majorEastAsia" w:hAnsiTheme="majorHAnsi" w:cstheme="majorBidi"/>
      </w:rPr>
    </w:tblStylePr>
    <w:tblStylePr w:type="lastRow">
      <w:rPr>
        <w:b/>
        <w:bCs/>
        <w:color w:val="0F204B" w:themeColor="text2"/>
      </w:rPr>
    </w:tblStylePr>
    <w:tblStylePr w:type="firstCol">
      <w:rPr>
        <w:b/>
        <w:bCs/>
      </w:rPr>
    </w:tblStylePr>
    <w:tblStylePr w:type="lastCol">
      <w:rPr>
        <w:b/>
        <w:bCs/>
      </w:rPr>
    </w:tblStylePr>
  </w:style>
  <w:style w:type="table" w:styleId="MediumList1-Accent5">
    <w:name w:val="Medium List 1 Accent 5"/>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91FFB4" w:themeColor="accent5"/>
        <w:bottom w:val="single" w:sz="8" w:space="0" w:color="91FFB4" w:themeColor="accent5"/>
      </w:tcBorders>
      <w:shd w:val="clear" w:color="auto" w:fill="E3FFEC" w:themeFill="accent5" w:themeFillTint="3F"/>
    </w:tcPr>
    <w:tblStylePr w:type="firstRow">
      <w:rPr>
        <w:rFonts w:asciiTheme="majorHAnsi" w:eastAsiaTheme="majorEastAsia" w:hAnsiTheme="majorHAnsi" w:cstheme="majorBidi"/>
      </w:rPr>
    </w:tblStylePr>
    <w:tblStylePr w:type="lastRow">
      <w:rPr>
        <w:b/>
        <w:bCs/>
        <w:color w:val="0F204B" w:themeColor="text2"/>
      </w:rPr>
    </w:tblStylePr>
    <w:tblStylePr w:type="firstCol">
      <w:rPr>
        <w:b/>
        <w:bCs/>
      </w:rPr>
    </w:tblStylePr>
    <w:tblStylePr w:type="lastCol">
      <w:rPr>
        <w:b/>
        <w:bCs/>
      </w:rPr>
    </w:tblStylePr>
  </w:style>
  <w:style w:type="table" w:styleId="MediumList1-Accent6">
    <w:name w:val="Medium List 1 Accent 6"/>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3F9C35" w:themeColor="accent6"/>
        <w:bottom w:val="single" w:sz="8" w:space="0" w:color="3F9C35" w:themeColor="accent6"/>
      </w:tcBorders>
      <w:shd w:val="clear" w:color="auto" w:fill="CAECC7" w:themeFill="accent6" w:themeFillTint="3F"/>
    </w:tcPr>
    <w:tblStylePr w:type="firstRow">
      <w:rPr>
        <w:rFonts w:asciiTheme="majorHAnsi" w:eastAsiaTheme="majorEastAsia" w:hAnsiTheme="majorHAnsi" w:cstheme="majorBidi"/>
      </w:rPr>
    </w:tblStylePr>
    <w:tblStylePr w:type="lastRow">
      <w:rPr>
        <w:b/>
        <w:bCs/>
        <w:color w:val="0F204B" w:themeColor="text2"/>
      </w:rPr>
    </w:tblStylePr>
    <w:tblStylePr w:type="firstCol">
      <w:rPr>
        <w:b/>
        <w:bCs/>
      </w:rPr>
    </w:tblStylePr>
    <w:tblStylePr w:type="lastCol">
      <w:rPr>
        <w:b/>
        <w:bCs/>
      </w:rPr>
    </w:tblStylePr>
  </w:style>
  <w:style w:type="table" w:styleId="MediumList2">
    <w:name w:val="Medium List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C0C0C0" w:themeFill="text1" w:themeFillTint="3F"/>
    </w:tc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A8BBED" w:themeFill="accent1" w:themeFillTint="3F"/>
    </w:tcPr>
    <w:tblStylePr w:type="firstRow">
      <w:rPr>
        <w:sz w:val="24"/>
        <w:szCs w:val="24"/>
      </w:rPr>
      <w:tblPr/>
      <w:tcPr>
        <w:tcBorders>
          <w:top w:val="nil"/>
          <w:left w:val="nil"/>
          <w:bottom w:val="single" w:sz="24" w:space="0" w:color="0F204B" w:themeColor="accent1"/>
          <w:right w:val="nil"/>
          <w:insideH w:val="nil"/>
          <w:insideV w:val="nil"/>
        </w:tcBorders>
        <w:shd w:val="clear" w:color="auto" w:fill="FFFFFF" w:themeFill="background1"/>
      </w:tcPr>
    </w:tblStylePr>
    <w:tblStylePr w:type="lastRow">
      <w:tblPr/>
      <w:tcPr>
        <w:tcBorders>
          <w:top w:val="single" w:sz="8" w:space="0" w:color="0F20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204B" w:themeColor="accent1"/>
          <w:insideH w:val="nil"/>
          <w:insideV w:val="nil"/>
        </w:tcBorders>
        <w:shd w:val="clear" w:color="auto" w:fill="FFFFFF" w:themeFill="background1"/>
      </w:tcPr>
    </w:tblStylePr>
    <w:tblStylePr w:type="lastCol">
      <w:tblPr/>
      <w:tcPr>
        <w:tcBorders>
          <w:top w:val="nil"/>
          <w:left w:val="single" w:sz="8" w:space="0" w:color="0F20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E5F5FB" w:themeFill="accent2" w:themeFillTint="3F"/>
    </w:tcPr>
    <w:tblStylePr w:type="firstRow">
      <w:rPr>
        <w:sz w:val="24"/>
        <w:szCs w:val="24"/>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tblPr/>
      <w:tcPr>
        <w:tcBorders>
          <w:top w:val="single" w:sz="8" w:space="0" w:color="99D9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9F0" w:themeColor="accent2"/>
          <w:insideH w:val="nil"/>
          <w:insideV w:val="nil"/>
        </w:tcBorders>
        <w:shd w:val="clear" w:color="auto" w:fill="FFFFFF" w:themeFill="background1"/>
      </w:tcPr>
    </w:tblStylePr>
    <w:tblStylePr w:type="lastCol">
      <w:tblPr/>
      <w:tcPr>
        <w:tcBorders>
          <w:top w:val="nil"/>
          <w:left w:val="single" w:sz="8" w:space="0" w:color="99D9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5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A4C5FF" w:themeFill="accent3" w:themeFillTint="3F"/>
    </w:tcPr>
    <w:tblStylePr w:type="firstRow">
      <w:rPr>
        <w:sz w:val="24"/>
        <w:szCs w:val="24"/>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tblPr/>
      <w:tcPr>
        <w:tcBorders>
          <w:top w:val="single" w:sz="8" w:space="0" w:color="0035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91" w:themeColor="accent3"/>
          <w:insideH w:val="nil"/>
          <w:insideV w:val="nil"/>
        </w:tcBorders>
        <w:shd w:val="clear" w:color="auto" w:fill="FFFFFF" w:themeFill="background1"/>
      </w:tcPr>
    </w:tblStylePr>
    <w:tblStylePr w:type="lastCol">
      <w:tblPr/>
      <w:tcPr>
        <w:tcBorders>
          <w:top w:val="nil"/>
          <w:left w:val="single" w:sz="8" w:space="0" w:color="0035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B6EBFF" w:themeFill="accent4" w:themeFillTint="3F"/>
    </w:tcPr>
    <w:tblStylePr w:type="firstRow">
      <w:rPr>
        <w:sz w:val="24"/>
        <w:szCs w:val="24"/>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E3FFEC" w:themeFill="accent5" w:themeFillTint="3F"/>
    </w:tcPr>
    <w:tblStylePr w:type="firstRow">
      <w:rPr>
        <w:sz w:val="24"/>
        <w:szCs w:val="24"/>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tblPr/>
      <w:tcPr>
        <w:tcBorders>
          <w:top w:val="single" w:sz="8" w:space="0" w:color="91FFB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FFB4" w:themeColor="accent5"/>
          <w:insideH w:val="nil"/>
          <w:insideV w:val="nil"/>
        </w:tcBorders>
        <w:shd w:val="clear" w:color="auto" w:fill="FFFFFF" w:themeFill="background1"/>
      </w:tcPr>
    </w:tblStylePr>
    <w:tblStylePr w:type="lastCol">
      <w:tblPr/>
      <w:tcPr>
        <w:tcBorders>
          <w:top w:val="nil"/>
          <w:left w:val="single" w:sz="8" w:space="0" w:color="91FFB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F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CAECC7" w:themeFill="accent6" w:themeFillTint="3F"/>
    </w:tcPr>
    <w:tblStylePr w:type="firstRow">
      <w:rPr>
        <w:sz w:val="24"/>
        <w:szCs w:val="24"/>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tblPr/>
      <w:tcPr>
        <w:tcBorders>
          <w:top w:val="single" w:sz="8" w:space="0" w:color="3F9C3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9C35" w:themeColor="accent6"/>
          <w:insideH w:val="nil"/>
          <w:insideV w:val="nil"/>
        </w:tcBorders>
        <w:shd w:val="clear" w:color="auto" w:fill="FFFFFF" w:themeFill="background1"/>
      </w:tcPr>
    </w:tblStylePr>
    <w:tblStylePr w:type="lastCol">
      <w:tblPr/>
      <w:tcPr>
        <w:tcBorders>
          <w:top w:val="nil"/>
          <w:left w:val="single" w:sz="8" w:space="0" w:color="3F9C3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9D630C"/>
    <w:pPr>
      <w:spacing w:after="0" w:line="240" w:lineRule="auto"/>
    </w:pPr>
    <w:tblPr>
      <w:tblStyleRowBandSize w:val="1"/>
      <w:tblStyleColBandSize w:val="1"/>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99"/>
    <w:semiHidden/>
    <w:unhideWhenUsed/>
    <w:rsid w:val="009D630C"/>
    <w:pPr>
      <w:spacing w:after="0" w:line="240" w:lineRule="auto"/>
    </w:pPr>
    <w:tblPr>
      <w:tblStyleRowBandSize w:val="1"/>
      <w:tblStyleColBandSize w:val="1"/>
    </w:tblPr>
    <w:tcPr>
      <w:tcBorders>
        <w:top w:val="double" w:sz="6"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tcBorders>
      <w:shd w:val="clear" w:color="auto" w:fill="A8BBED"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99"/>
    <w:semiHidden/>
    <w:unhideWhenUsed/>
    <w:rsid w:val="009D630C"/>
    <w:pPr>
      <w:spacing w:after="0" w:line="240" w:lineRule="auto"/>
    </w:pPr>
    <w:tblPr>
      <w:tblStyleRowBandSize w:val="1"/>
      <w:tblStyleColBandSize w:val="1"/>
    </w:tblPr>
    <w:tcPr>
      <w:tcBorders>
        <w:top w:val="double" w:sz="6"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tcBorders>
      <w:shd w:val="clear" w:color="auto" w:fill="E5F5FB"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99"/>
    <w:semiHidden/>
    <w:unhideWhenUsed/>
    <w:rsid w:val="009D630C"/>
    <w:pPr>
      <w:spacing w:after="0" w:line="240" w:lineRule="auto"/>
    </w:pPr>
    <w:tblPr>
      <w:tblStyleRowBandSize w:val="1"/>
      <w:tblStyleColBandSize w:val="1"/>
    </w:tblPr>
    <w:tcPr>
      <w:tcBorders>
        <w:top w:val="double" w:sz="6"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tcBorders>
      <w:shd w:val="clear" w:color="auto" w:fill="A4C5FF"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99"/>
    <w:semiHidden/>
    <w:unhideWhenUsed/>
    <w:rsid w:val="009D630C"/>
    <w:pPr>
      <w:spacing w:after="0" w:line="240" w:lineRule="auto"/>
    </w:pPr>
    <w:tblPr>
      <w:tblStyleRowBandSize w:val="1"/>
      <w:tblStyleColBandSize w:val="1"/>
    </w:tbl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tcBorders>
      <w:shd w:val="clear" w:color="auto" w:fill="B6EBFF"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99"/>
    <w:semiHidden/>
    <w:unhideWhenUsed/>
    <w:rsid w:val="009D630C"/>
    <w:pPr>
      <w:spacing w:after="0" w:line="240" w:lineRule="auto"/>
    </w:pPr>
    <w:tblPr>
      <w:tblStyleRowBandSize w:val="1"/>
      <w:tblStyleColBandSize w:val="1"/>
    </w:tblPr>
    <w:tcPr>
      <w:tcBorders>
        <w:top w:val="double" w:sz="6"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tcBorders>
      <w:shd w:val="clear" w:color="auto" w:fill="E3FFEC"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99"/>
    <w:semiHidden/>
    <w:unhideWhenUsed/>
    <w:rsid w:val="009D630C"/>
    <w:pPr>
      <w:spacing w:after="0" w:line="240" w:lineRule="auto"/>
    </w:pPr>
    <w:tblPr>
      <w:tblStyleRowBandSize w:val="1"/>
      <w:tblStyleColBandSize w:val="1"/>
    </w:tblPr>
    <w:tcPr>
      <w:tcBorders>
        <w:top w:val="double" w:sz="6"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tcBorders>
      <w:shd w:val="clear" w:color="auto" w:fill="CAECC7"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20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204B" w:themeFill="accent1"/>
      </w:tcPr>
    </w:tblStylePr>
    <w:tblStylePr w:type="lastCol">
      <w:rPr>
        <w:b/>
        <w:bCs/>
        <w:color w:val="FFFFFF" w:themeColor="background1"/>
      </w:rPr>
      <w:tblPr/>
      <w:tcPr>
        <w:tcBorders>
          <w:left w:val="nil"/>
          <w:right w:val="nil"/>
          <w:insideH w:val="nil"/>
          <w:insideV w:val="nil"/>
        </w:tcBorders>
        <w:shd w:val="clear" w:color="auto" w:fill="0F204B" w:themeFill="accent1"/>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D9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D9F0" w:themeFill="accent2"/>
      </w:tcPr>
    </w:tblStylePr>
    <w:tblStylePr w:type="lastCol">
      <w:rPr>
        <w:b/>
        <w:bCs/>
        <w:color w:val="FFFFFF" w:themeColor="background1"/>
      </w:rPr>
      <w:tblPr/>
      <w:tcPr>
        <w:tcBorders>
          <w:left w:val="nil"/>
          <w:right w:val="nil"/>
          <w:insideH w:val="nil"/>
          <w:insideV w:val="nil"/>
        </w:tcBorders>
        <w:shd w:val="clear" w:color="auto" w:fill="99D9F0" w:themeFill="accent2"/>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91" w:themeFill="accent3"/>
      </w:tcPr>
    </w:tblStylePr>
    <w:tblStylePr w:type="lastCol">
      <w:rPr>
        <w:b/>
        <w:bCs/>
        <w:color w:val="FFFFFF" w:themeColor="background1"/>
      </w:rPr>
      <w:tblPr/>
      <w:tcPr>
        <w:tcBorders>
          <w:left w:val="nil"/>
          <w:right w:val="nil"/>
          <w:insideH w:val="nil"/>
          <w:insideV w:val="nil"/>
        </w:tcBorders>
        <w:shd w:val="clear" w:color="auto" w:fill="003591" w:themeFill="accent3"/>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cPr>
        <w:tcBorders>
          <w:left w:val="nil"/>
          <w:right w:val="nil"/>
          <w:insideH w:val="nil"/>
          <w:insideV w:val="nil"/>
        </w:tcBorders>
        <w:shd w:val="clear" w:color="auto" w:fill="009FDA" w:themeFill="accent4"/>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FFB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FFB4" w:themeFill="accent5"/>
      </w:tcPr>
    </w:tblStylePr>
    <w:tblStylePr w:type="lastCol">
      <w:rPr>
        <w:b/>
        <w:bCs/>
        <w:color w:val="FFFFFF" w:themeColor="background1"/>
      </w:rPr>
      <w:tblPr/>
      <w:tcPr>
        <w:tcBorders>
          <w:left w:val="nil"/>
          <w:right w:val="nil"/>
          <w:insideH w:val="nil"/>
          <w:insideV w:val="nil"/>
        </w:tcBorders>
        <w:shd w:val="clear" w:color="auto" w:fill="91FFB4" w:themeFill="accent5"/>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9C3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9C35" w:themeFill="accent6"/>
      </w:tcPr>
    </w:tblStylePr>
    <w:tblStylePr w:type="lastCol">
      <w:rPr>
        <w:b/>
        <w:bCs/>
        <w:color w:val="FFFFFF" w:themeColor="background1"/>
      </w:rPr>
      <w:tblPr/>
      <w:tcPr>
        <w:tcBorders>
          <w:left w:val="nil"/>
          <w:right w:val="nil"/>
          <w:insideH w:val="nil"/>
          <w:insideV w:val="nil"/>
        </w:tcBorders>
        <w:shd w:val="clear" w:color="auto" w:fill="3F9C35" w:themeFill="accent6"/>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9D630C"/>
    <w:rPr>
      <w:color w:val="2B579A"/>
      <w:shd w:val="clear" w:color="auto" w:fill="E1DFDD"/>
    </w:rPr>
  </w:style>
  <w:style w:type="table" w:styleId="PlainTable1">
    <w:name w:val="Plain Table 1"/>
    <w:basedOn w:val="TableNormal"/>
    <w:uiPriority w:val="99"/>
    <w:rsid w:val="009D630C"/>
    <w:pPr>
      <w:spacing w:after="0" w:line="240" w:lineRule="auto"/>
    </w:pPr>
    <w:tblPr>
      <w:tblStyleRowBandSize w:val="1"/>
      <w:tblStyleColBandSize w:val="1"/>
    </w:tblPr>
    <w:tcPr>
      <w:tcBorders>
        <w:top w:val="double" w:sz="4" w:space="0" w:color="BFBFBF" w:themeColor="background1" w:themeShade="BF"/>
      </w:tcBorders>
      <w:shd w:val="clear" w:color="auto" w:fill="F2F2F2" w:themeFill="background1" w:themeFillShade="F2"/>
    </w:tcPr>
    <w:tblStylePr w:type="firstRow">
      <w:rPr>
        <w:b/>
        <w:bCs/>
      </w:rPr>
    </w:tblStylePr>
    <w:tblStylePr w:type="lastRow">
      <w:rPr>
        <w:b/>
        <w:bCs/>
      </w:rPr>
    </w:tblStylePr>
    <w:tblStylePr w:type="firstCol">
      <w:rPr>
        <w:b/>
        <w:bCs/>
      </w:rPr>
    </w:tblStylePr>
    <w:tblStylePr w:type="lastCol">
      <w:rPr>
        <w:b/>
        <w:bCs/>
      </w:rPr>
    </w:tblStylePr>
  </w:style>
  <w:style w:type="table" w:styleId="PlainTable2">
    <w:name w:val="Plain Table 2"/>
    <w:basedOn w:val="TableNormal"/>
    <w:uiPriority w:val="99"/>
    <w:rsid w:val="009D630C"/>
    <w:pPr>
      <w:spacing w:after="0" w:line="240" w:lineRule="auto"/>
    </w:pPr>
    <w:tblPr>
      <w:tblStyleRowBandSize w:val="1"/>
      <w:tblStyleColBandSize w:val="1"/>
    </w:tblPr>
    <w:tcPr>
      <w:tcBorders>
        <w:top w:val="single" w:sz="4" w:space="0" w:color="7F7F7F" w:themeColor="text1" w:themeTint="80"/>
        <w:bottom w:val="single" w:sz="4" w:space="0" w:color="7F7F7F" w:themeColor="text1" w:themeTint="80"/>
      </w:tcBorders>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style>
  <w:style w:type="table" w:styleId="PlainTable3">
    <w:name w:val="Plain Table 3"/>
    <w:basedOn w:val="TableNormal"/>
    <w:uiPriority w:val="99"/>
    <w:rsid w:val="009D630C"/>
    <w:pPr>
      <w:spacing w:after="0" w:line="240" w:lineRule="auto"/>
    </w:pPr>
    <w:tblPr>
      <w:tblStyleRowBandSize w:val="1"/>
      <w:tblStyleColBandSize w:val="1"/>
    </w:tblPr>
    <w:tcPr>
      <w:tcBorders>
        <w:bottom w:val="single" w:sz="4" w:space="0" w:color="7F7F7F" w:themeColor="text1" w:themeTint="80"/>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9D630C"/>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99"/>
    <w:rsid w:val="009D630C"/>
    <w:pPr>
      <w:spacing w:after="0" w:line="240" w:lineRule="auto"/>
    </w:pPr>
    <w:tblPr>
      <w:tblStyleRowBandSize w:val="1"/>
      <w:tblStyleColBandSize w:val="1"/>
    </w:tblPr>
    <w:tcPr>
      <w:tcBorders>
        <w:top w:val="single" w:sz="4" w:space="0" w:color="7F7F7F" w:themeColor="text1" w:themeTint="80"/>
        <w:right w:val="single" w:sz="4" w:space="0" w:color="7F7F7F" w:themeColor="text1" w:themeTint="80"/>
      </w:tcBorders>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9D630C"/>
    <w:rPr>
      <w:u w:val="dotted"/>
    </w:rPr>
  </w:style>
  <w:style w:type="character" w:styleId="SmartLink">
    <w:name w:val="Smart Link"/>
    <w:basedOn w:val="DefaultParagraphFont"/>
    <w:uiPriority w:val="99"/>
    <w:semiHidden/>
    <w:unhideWhenUsed/>
    <w:rsid w:val="009D630C"/>
    <w:rPr>
      <w:color w:val="0000FF"/>
      <w:u w:val="single"/>
      <w:shd w:val="clear" w:color="auto" w:fill="F3F2F1"/>
    </w:rPr>
  </w:style>
  <w:style w:type="table" w:styleId="Table3Deffects1">
    <w:name w:val="Table 3D effects 1"/>
    <w:basedOn w:val="TableNormal"/>
    <w:uiPriority w:val="99"/>
    <w:semiHidden/>
    <w:unhideWhenUsed/>
    <w:rsid w:val="009D630C"/>
    <w:pPr>
      <w:spacing w:after="0" w:line="240" w:lineRule="auto"/>
    </w:p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D630C"/>
    <w:pPr>
      <w:spacing w:after="0" w:line="240" w:lineRule="auto"/>
    </w:p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D630C"/>
    <w:pPr>
      <w:spacing w:after="0" w:line="240" w:lineRule="auto"/>
    </w:p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D630C"/>
    <w:pPr>
      <w:spacing w:after="0" w:line="240" w:lineRule="auto"/>
    </w:p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uiPriority w:val="99"/>
    <w:semiHidden/>
    <w:unhideWhenUsed/>
    <w:rsid w:val="009D630C"/>
    <w:pPr>
      <w:spacing w:after="0" w:line="240" w:lineRule="auto"/>
    </w:p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D630C"/>
    <w:pPr>
      <w:spacing w:after="0" w:line="240" w:lineRule="auto"/>
    </w:pPr>
    <w:rPr>
      <w:color w:val="000080"/>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uiPriority w:val="99"/>
    <w:semiHidden/>
    <w:unhideWhenUsed/>
    <w:rsid w:val="009D630C"/>
    <w:pPr>
      <w:spacing w:after="0" w:line="240" w:lineRule="auto"/>
    </w:p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D630C"/>
    <w:pPr>
      <w:spacing w:after="0" w:line="240" w:lineRule="auto"/>
    </w:pPr>
    <w:rPr>
      <w:color w:val="FFFFFF"/>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uiPriority w:val="99"/>
    <w:semiHidden/>
    <w:unhideWhenUsed/>
    <w:rsid w:val="009D630C"/>
    <w:pPr>
      <w:spacing w:after="0" w:line="240" w:lineRule="auto"/>
    </w:p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D630C"/>
    <w:pPr>
      <w:spacing w:after="0" w:line="240" w:lineRule="auto"/>
    </w:pPr>
    <w:tblPr/>
    <w:tblStylePr w:type="nwCell">
      <w:rPr>
        <w:b/>
        <w:bCs/>
        <w:color w:val="FFFFFF"/>
      </w:rPr>
    </w:tblStylePr>
  </w:style>
  <w:style w:type="table" w:styleId="TableColumns1">
    <w:name w:val="Table Columns 1"/>
    <w:basedOn w:val="TableNormal"/>
    <w:uiPriority w:val="99"/>
    <w:semiHidden/>
    <w:unhideWhenUsed/>
    <w:rsid w:val="009D630C"/>
    <w:pPr>
      <w:spacing w:after="0" w:line="240" w:lineRule="auto"/>
    </w:pPr>
    <w:rPr>
      <w:b/>
      <w:bCs/>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D630C"/>
    <w:pPr>
      <w:spacing w:after="0" w:line="240" w:lineRule="auto"/>
    </w:pPr>
    <w:rPr>
      <w:b/>
      <w:bCs/>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D630C"/>
    <w:pPr>
      <w:spacing w:after="0" w:line="240" w:lineRule="auto"/>
    </w:pPr>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uiPriority w:val="99"/>
    <w:semiHidden/>
    <w:unhideWhenUsed/>
    <w:rsid w:val="009D630C"/>
    <w:pPr>
      <w:spacing w:after="0" w:line="240" w:lineRule="auto"/>
    </w:p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uiPriority w:val="99"/>
    <w:semiHidden/>
    <w:unhideWhenUsed/>
    <w:rsid w:val="009D630C"/>
    <w:pPr>
      <w:spacing w:after="0" w:line="240" w:lineRule="auto"/>
    </w:p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uiPriority w:val="99"/>
    <w:semiHidden/>
    <w:unhideWhenUsed/>
    <w:rsid w:val="009D630C"/>
    <w:pPr>
      <w:spacing w:after="0" w:line="240" w:lineRule="auto"/>
    </w:p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uiPriority w:val="99"/>
    <w:semiHidden/>
    <w:unhideWhenUsed/>
    <w:rsid w:val="009D630C"/>
    <w:pPr>
      <w:spacing w:after="0" w:line="240" w:lineRule="auto"/>
    </w:pPr>
    <w:tblPr/>
    <w:tblStylePr w:type="firstRow">
      <w:rPr>
        <w:caps/>
        <w:color w:val="auto"/>
      </w:rPr>
    </w:tblStylePr>
  </w:style>
  <w:style w:type="table" w:styleId="TableGrid">
    <w:name w:val="Table Grid"/>
    <w:basedOn w:val="TableNormal"/>
    <w:uiPriority w:val="99"/>
    <w:rsid w:val="009D630C"/>
    <w:pPr>
      <w:spacing w:after="0" w:line="240" w:lineRule="auto"/>
    </w:pPr>
    <w:tblPr/>
  </w:style>
  <w:style w:type="table" w:styleId="TableGrid1">
    <w:name w:val="Table Grid 1"/>
    <w:basedOn w:val="TableNormal"/>
    <w:uiPriority w:val="99"/>
    <w:semiHidden/>
    <w:unhideWhenUsed/>
    <w:rsid w:val="009D630C"/>
    <w:pPr>
      <w:spacing w:after="0" w:line="240" w:lineRule="auto"/>
    </w:pPr>
    <w:tblPr/>
    <w:tblStylePr w:type="lastRow">
      <w:rPr>
        <w:i/>
        <w:iCs/>
      </w:rPr>
    </w:tblStylePr>
    <w:tblStylePr w:type="lastCol">
      <w:rPr>
        <w:i/>
        <w:iCs/>
      </w:rPr>
    </w:tblStylePr>
  </w:style>
  <w:style w:type="table" w:styleId="TableGrid2">
    <w:name w:val="Table Grid 2"/>
    <w:basedOn w:val="TableNormal"/>
    <w:uiPriority w:val="99"/>
    <w:semiHidden/>
    <w:unhideWhenUsed/>
    <w:rsid w:val="009D630C"/>
    <w:pPr>
      <w:spacing w:after="0" w:line="240" w:lineRule="auto"/>
    </w:p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TableGrid3">
    <w:name w:val="Table Grid 3"/>
    <w:basedOn w:val="TableNormal"/>
    <w:uiPriority w:val="99"/>
    <w:semiHidden/>
    <w:unhideWhenUsed/>
    <w:rsid w:val="009D630C"/>
    <w:pPr>
      <w:spacing w:after="0" w:line="240" w:lineRule="auto"/>
    </w:pPr>
    <w:tblPr/>
    <w:tcPr>
      <w:tcBorders>
        <w:bottom w:val="single" w:sz="6" w:space="0" w:color="000000"/>
      </w:tcBorders>
      <w:shd w:val="clear" w:color="auto" w:fill="auto"/>
    </w:tcPr>
    <w:tblStylePr w:type="lastRow">
      <w:rPr>
        <w:b/>
        <w:bCs/>
      </w:rPr>
    </w:tblStylePr>
    <w:tblStylePr w:type="lastCol">
      <w:rPr>
        <w:b/>
        <w:bCs/>
      </w:rPr>
    </w:tblStylePr>
  </w:style>
  <w:style w:type="table" w:styleId="TableGrid4">
    <w:name w:val="Table Grid 4"/>
    <w:basedOn w:val="TableNormal"/>
    <w:uiPriority w:val="99"/>
    <w:semiHidden/>
    <w:unhideWhenUsed/>
    <w:rsid w:val="009D630C"/>
    <w:pPr>
      <w:spacing w:after="0" w:line="240" w:lineRule="auto"/>
    </w:pPr>
    <w:tblPr/>
    <w:tblStylePr w:type="firstRow">
      <w:rPr>
        <w:color w:val="auto"/>
      </w:rPr>
    </w:tblStylePr>
    <w:tblStylePr w:type="lastRow">
      <w:rPr>
        <w:b/>
        <w:bCs/>
        <w:color w:val="auto"/>
      </w:rPr>
    </w:tblStylePr>
    <w:tblStylePr w:type="lastCol">
      <w:rPr>
        <w:b/>
        <w:bCs/>
        <w:color w:val="auto"/>
      </w:rPr>
    </w:tblStylePr>
  </w:style>
  <w:style w:type="table" w:styleId="TableGrid5">
    <w:name w:val="Table Grid 5"/>
    <w:basedOn w:val="TableNormal"/>
    <w:uiPriority w:val="99"/>
    <w:semiHidden/>
    <w:unhideWhenUsed/>
    <w:rsid w:val="009D630C"/>
    <w:pPr>
      <w:spacing w:after="0" w:line="240" w:lineRule="auto"/>
    </w:pPr>
    <w:tblPr/>
    <w:tblStylePr w:type="lastRow">
      <w:rPr>
        <w:b/>
        <w:bCs/>
      </w:rPr>
    </w:tblStylePr>
    <w:tblStylePr w:type="lastCol">
      <w:rPr>
        <w:b/>
        <w:bCs/>
      </w:rPr>
    </w:tblStylePr>
  </w:style>
  <w:style w:type="table" w:styleId="TableGrid6">
    <w:name w:val="Table Grid 6"/>
    <w:basedOn w:val="TableNormal"/>
    <w:uiPriority w:val="99"/>
    <w:semiHidden/>
    <w:unhideWhenUsed/>
    <w:rsid w:val="009D630C"/>
    <w:pPr>
      <w:spacing w:after="0" w:line="240" w:lineRule="auto"/>
    </w:p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D630C"/>
    <w:pPr>
      <w:spacing w:after="0" w:line="240" w:lineRule="auto"/>
    </w:pPr>
    <w:rPr>
      <w:b/>
      <w:bCs/>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D630C"/>
    <w:pPr>
      <w:spacing w:after="0" w:line="240" w:lineRule="auto"/>
    </w:p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GridLight">
    <w:name w:val="Grid Table Light"/>
    <w:basedOn w:val="TableNormal"/>
    <w:uiPriority w:val="99"/>
    <w:rsid w:val="009D630C"/>
    <w:pPr>
      <w:spacing w:after="0" w:line="240" w:lineRule="auto"/>
    </w:pPr>
    <w:tblPr/>
  </w:style>
  <w:style w:type="table" w:styleId="TableList1">
    <w:name w:val="Table List 1"/>
    <w:basedOn w:val="TableNormal"/>
    <w:uiPriority w:val="99"/>
    <w:semiHidden/>
    <w:unhideWhenUsed/>
    <w:rsid w:val="009D630C"/>
    <w:pPr>
      <w:spacing w:after="0" w:line="240" w:lineRule="auto"/>
    </w:p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D630C"/>
    <w:pPr>
      <w:spacing w:after="0" w:line="240" w:lineRule="auto"/>
    </w:p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D630C"/>
    <w:pPr>
      <w:spacing w:after="0" w:line="240" w:lineRule="auto"/>
    </w:p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D630C"/>
    <w:pPr>
      <w:spacing w:after="0" w:line="240" w:lineRule="auto"/>
    </w:pPr>
    <w:tblPr/>
    <w:tblStylePr w:type="firstRow">
      <w:rPr>
        <w:b/>
        <w:bCs/>
        <w:color w:val="FFFFFF"/>
      </w:rPr>
    </w:tblStylePr>
  </w:style>
  <w:style w:type="table" w:styleId="TableList5">
    <w:name w:val="Table List 5"/>
    <w:basedOn w:val="TableNormal"/>
    <w:uiPriority w:val="99"/>
    <w:semiHidden/>
    <w:unhideWhenUsed/>
    <w:rsid w:val="009D630C"/>
    <w:pPr>
      <w:spacing w:after="0" w:line="240" w:lineRule="auto"/>
    </w:pPr>
    <w:tblPr/>
    <w:tblStylePr w:type="firstRow">
      <w:rPr>
        <w:b/>
        <w:bCs/>
      </w:rPr>
    </w:tblStylePr>
    <w:tblStylePr w:type="firstCol">
      <w:rPr>
        <w:b/>
        <w:bCs/>
      </w:rPr>
    </w:tblStylePr>
  </w:style>
  <w:style w:type="table" w:styleId="TableList6">
    <w:name w:val="Table List 6"/>
    <w:basedOn w:val="TableNormal"/>
    <w:uiPriority w:val="99"/>
    <w:semiHidden/>
    <w:unhideWhenUsed/>
    <w:rsid w:val="009D630C"/>
    <w:pPr>
      <w:spacing w:after="0" w:line="240" w:lineRule="auto"/>
    </w:p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List7">
    <w:name w:val="Table List 7"/>
    <w:basedOn w:val="TableNormal"/>
    <w:uiPriority w:val="99"/>
    <w:semiHidden/>
    <w:unhideWhenUsed/>
    <w:rsid w:val="009D630C"/>
    <w:pPr>
      <w:spacing w:after="0" w:line="240" w:lineRule="auto"/>
    </w:p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uiPriority w:val="99"/>
    <w:semiHidden/>
    <w:unhideWhenUsed/>
    <w:rsid w:val="009D630C"/>
    <w:pPr>
      <w:spacing w:after="0" w:line="240" w:lineRule="auto"/>
    </w:p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uiPriority w:val="99"/>
    <w:semiHidden/>
    <w:unhideWhenUsed/>
    <w:rsid w:val="009D630C"/>
    <w:pPr>
      <w:spacing w:after="0" w:line="240" w:lineRule="auto"/>
    </w:pPr>
    <w:tblPr/>
    <w:tblStylePr w:type="firstRow">
      <w:rPr>
        <w:b/>
        <w:bCs/>
        <w:color w:val="auto"/>
      </w:rPr>
    </w:tblStylePr>
  </w:style>
  <w:style w:type="table" w:styleId="TableSimple1">
    <w:name w:val="Table Simple 1"/>
    <w:basedOn w:val="TableNormal"/>
    <w:uiPriority w:val="99"/>
    <w:semiHidden/>
    <w:unhideWhenUsed/>
    <w:rsid w:val="009D630C"/>
    <w:pPr>
      <w:spacing w:after="0" w:line="240" w:lineRule="auto"/>
    </w:p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D630C"/>
    <w:pPr>
      <w:spacing w:after="0" w:line="240" w:lineRule="auto"/>
    </w:p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uiPriority w:val="99"/>
    <w:semiHidden/>
    <w:unhideWhenUsed/>
    <w:rsid w:val="009D630C"/>
    <w:pPr>
      <w:spacing w:after="0" w:line="240" w:lineRule="auto"/>
    </w:pPr>
    <w:tblPr/>
    <w:tcPr>
      <w:shd w:val="clear" w:color="auto" w:fill="auto"/>
    </w:tcPr>
    <w:tblStylePr w:type="firstRow">
      <w:rPr>
        <w:b/>
        <w:bCs/>
        <w:color w:val="FFFFFF"/>
      </w:rPr>
    </w:tblStylePr>
  </w:style>
  <w:style w:type="table" w:styleId="TableSubtle1">
    <w:name w:val="Table Subtle 1"/>
    <w:basedOn w:val="TableNormal"/>
    <w:uiPriority w:val="99"/>
    <w:semiHidden/>
    <w:unhideWhenUsed/>
    <w:rsid w:val="009D630C"/>
    <w:pPr>
      <w:spacing w:after="0" w:line="240" w:lineRule="auto"/>
    </w:p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D630C"/>
    <w:pPr>
      <w:spacing w:after="0" w:line="240" w:lineRule="auto"/>
    </w:p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D630C"/>
    <w:pPr>
      <w:spacing w:after="0" w:line="240" w:lineRule="auto"/>
    </w:pPr>
    <w:tblPr/>
  </w:style>
  <w:style w:type="table" w:styleId="TableWeb1">
    <w:name w:val="Table Web 1"/>
    <w:basedOn w:val="TableNormal"/>
    <w:uiPriority w:val="99"/>
    <w:semiHidden/>
    <w:unhideWhenUsed/>
    <w:rsid w:val="009D630C"/>
    <w:pPr>
      <w:spacing w:after="0" w:line="240" w:lineRule="auto"/>
    </w:pPr>
    <w:tblPr/>
    <w:tblStylePr w:type="firstRow">
      <w:rPr>
        <w:color w:val="auto"/>
      </w:rPr>
    </w:tblStylePr>
  </w:style>
  <w:style w:type="table" w:styleId="TableWeb2">
    <w:name w:val="Table Web 2"/>
    <w:basedOn w:val="TableNormal"/>
    <w:uiPriority w:val="99"/>
    <w:semiHidden/>
    <w:unhideWhenUsed/>
    <w:rsid w:val="009D630C"/>
    <w:pPr>
      <w:spacing w:after="0" w:line="240" w:lineRule="auto"/>
    </w:pPr>
    <w:tblPr/>
    <w:tblStylePr w:type="firstRow">
      <w:rPr>
        <w:color w:val="auto"/>
      </w:rPr>
    </w:tblStylePr>
  </w:style>
  <w:style w:type="table" w:styleId="TableWeb3">
    <w:name w:val="Table Web 3"/>
    <w:basedOn w:val="TableNormal"/>
    <w:uiPriority w:val="99"/>
    <w:semiHidden/>
    <w:unhideWhenUsed/>
    <w:rsid w:val="009D630C"/>
    <w:pPr>
      <w:spacing w:after="0" w:line="240" w:lineRule="auto"/>
    </w:pPr>
    <w:tblPr/>
    <w:tblStylePr w:type="firstRow">
      <w:rPr>
        <w:color w:val="auto"/>
      </w:rPr>
    </w:tblStylePr>
  </w:style>
  <w:style w:type="character" w:styleId="UnresolvedMention">
    <w:name w:val="Unresolved Mention"/>
    <w:basedOn w:val="DefaultParagraphFont"/>
    <w:uiPriority w:val="99"/>
    <w:unhideWhenUsed/>
    <w:rsid w:val="009D630C"/>
    <w:rPr>
      <w:color w:val="605E5C"/>
      <w:shd w:val="clear" w:color="auto" w:fill="E1DFDD"/>
    </w:rPr>
  </w:style>
  <w:style w:type="paragraph" w:customStyle="1" w:styleId="Bullet1">
    <w:name w:val="Bullet 1"/>
    <w:basedOn w:val="BodyText"/>
    <w:link w:val="Bullet1Char"/>
    <w:uiPriority w:val="1"/>
    <w:qFormat/>
    <w:rsid w:val="00E63F4E"/>
    <w:pPr>
      <w:numPr>
        <w:numId w:val="23"/>
      </w:numPr>
      <w:spacing w:after="40"/>
    </w:pPr>
  </w:style>
  <w:style w:type="character" w:customStyle="1" w:styleId="Bullet1Char">
    <w:name w:val="Bullet 1 Char"/>
    <w:basedOn w:val="BodyTextChar"/>
    <w:link w:val="Bullet1"/>
    <w:uiPriority w:val="1"/>
    <w:rsid w:val="00E63F4E"/>
    <w:rPr>
      <w:rFonts w:ascii="Arial" w:hAnsi="Arial" w:cs="Arial"/>
      <w:sz w:val="18"/>
      <w:szCs w:val="18"/>
      <w:lang w:val="en-GB"/>
    </w:rPr>
  </w:style>
  <w:style w:type="paragraph" w:customStyle="1" w:styleId="Bullet1Last">
    <w:name w:val="Bullet 1 Last"/>
    <w:basedOn w:val="Bullet1"/>
    <w:link w:val="Bullet1LastChar"/>
    <w:uiPriority w:val="1"/>
    <w:qFormat/>
    <w:rsid w:val="00E63F4E"/>
    <w:pPr>
      <w:spacing w:after="140"/>
    </w:pPr>
  </w:style>
  <w:style w:type="character" w:customStyle="1" w:styleId="Bullet1LastChar">
    <w:name w:val="Bullet 1 Last Char"/>
    <w:basedOn w:val="Bullet1Char"/>
    <w:link w:val="Bullet1Last"/>
    <w:uiPriority w:val="1"/>
    <w:rsid w:val="00E63F4E"/>
    <w:rPr>
      <w:rFonts w:ascii="Arial" w:hAnsi="Arial" w:cs="Arial"/>
      <w:sz w:val="18"/>
      <w:szCs w:val="18"/>
      <w:lang w:val="en-GB"/>
    </w:rPr>
  </w:style>
  <w:style w:type="paragraph" w:styleId="Revision">
    <w:name w:val="Revision"/>
    <w:hidden/>
    <w:uiPriority w:val="99"/>
    <w:semiHidden/>
    <w:rsid w:val="00211064"/>
    <w:pPr>
      <w:spacing w:after="0" w:line="240" w:lineRule="auto"/>
    </w:pPr>
    <w:rPr>
      <w:rFonts w:ascii="Arial" w:hAnsi="Arial" w:cs="Arial"/>
      <w:sz w:val="18"/>
      <w:szCs w:val="18"/>
      <w:lang w:val="en-GB"/>
    </w:rPr>
  </w:style>
  <w:style w:type="table" w:customStyle="1" w:styleId="DNV">
    <w:name w:val="DNV"/>
    <w:basedOn w:val="TableNormal"/>
    <w:uiPriority w:val="99"/>
    <w:rsid w:val="00452F21"/>
    <w:pPr>
      <w:spacing w:after="0" w:line="240" w:lineRule="auto"/>
    </w:pPr>
    <w:tblPr>
      <w:tblStyleRowBandSize w:val="1"/>
    </w:tblPr>
    <w:tcPr>
      <w:shd w:val="clear" w:color="auto" w:fill="F2F2F2" w:themeFill="background1" w:themeFillShade="F2"/>
      <w:vAlign w:val="center"/>
    </w:tcPr>
    <w:tblStylePr w:type="firstRow">
      <w:pPr>
        <w:jc w:val="center"/>
      </w:pPr>
      <w:rPr>
        <w:rFonts w:asciiTheme="minorHAnsi" w:hAnsiTheme="minorHAnsi"/>
        <w:b/>
        <w:sz w:val="18"/>
      </w:rPr>
      <w:tblPr/>
      <w:tcPr>
        <w:shd w:val="clear" w:color="auto" w:fill="0F204B" w:themeFill="accent1"/>
        <w:vAlign w:val="center"/>
      </w:tcPr>
    </w:tblStylePr>
    <w:tblStylePr w:type="band1Horz">
      <w:pPr>
        <w:jc w:val="left"/>
      </w:pPr>
      <w:rPr>
        <w:rFonts w:asciiTheme="minorHAnsi" w:hAnsiTheme="minorHAnsi"/>
        <w:sz w:val="18"/>
      </w:rPr>
    </w:tblStylePr>
    <w:tblStylePr w:type="band2Horz">
      <w:pPr>
        <w:jc w:val="left"/>
      </w:pPr>
      <w:rPr>
        <w:rFonts w:asciiTheme="minorHAnsi" w:hAnsiTheme="minorHAnsi"/>
        <w:sz w:val="18"/>
      </w:rPr>
      <w:tblPr/>
      <w:tcPr>
        <w:vAlign w:val="center"/>
      </w:tcPr>
    </w:tblStylePr>
  </w:style>
  <w:style w:type="paragraph" w:customStyle="1" w:styleId="FigureTitle">
    <w:name w:val="Figure Title"/>
    <w:basedOn w:val="BodyText"/>
    <w:link w:val="FigureTitleChar"/>
    <w:uiPriority w:val="1"/>
    <w:qFormat/>
    <w:rsid w:val="003A0C48"/>
    <w:pPr>
      <w:keepNext/>
      <w:spacing w:after="120"/>
    </w:pPr>
    <w:rPr>
      <w:b/>
      <w:bCs/>
      <w:color w:val="0F204B" w:themeColor="accent1"/>
    </w:rPr>
  </w:style>
  <w:style w:type="character" w:customStyle="1" w:styleId="FigureTitleChar">
    <w:name w:val="Figure Title Char"/>
    <w:basedOn w:val="BodyTextChar"/>
    <w:link w:val="FigureTitle"/>
    <w:uiPriority w:val="1"/>
    <w:rsid w:val="003A0C48"/>
    <w:rPr>
      <w:rFonts w:ascii="Arial" w:hAnsi="Arial" w:cs="Arial"/>
      <w:b/>
      <w:bCs/>
      <w:color w:val="0F204B" w:themeColor="accent1"/>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021599">
      <w:bodyDiv w:val="1"/>
      <w:marLeft w:val="0"/>
      <w:marRight w:val="0"/>
      <w:marTop w:val="0"/>
      <w:marBottom w:val="0"/>
      <w:divBdr>
        <w:top w:val="none" w:sz="0" w:space="0" w:color="auto"/>
        <w:left w:val="none" w:sz="0" w:space="0" w:color="auto"/>
        <w:bottom w:val="none" w:sz="0" w:space="0" w:color="auto"/>
        <w:right w:val="none" w:sz="0" w:space="0" w:color="auto"/>
      </w:divBdr>
      <w:divsChild>
        <w:div w:id="670329454">
          <w:marLeft w:val="0"/>
          <w:marRight w:val="0"/>
          <w:marTop w:val="0"/>
          <w:marBottom w:val="0"/>
          <w:divBdr>
            <w:top w:val="none" w:sz="0" w:space="0" w:color="auto"/>
            <w:left w:val="none" w:sz="0" w:space="0" w:color="auto"/>
            <w:bottom w:val="none" w:sz="0" w:space="0" w:color="auto"/>
            <w:right w:val="none" w:sz="0" w:space="0" w:color="auto"/>
          </w:divBdr>
        </w:div>
      </w:divsChild>
    </w:div>
    <w:div w:id="1879387724">
      <w:bodyDiv w:val="1"/>
      <w:marLeft w:val="0"/>
      <w:marRight w:val="0"/>
      <w:marTop w:val="0"/>
      <w:marBottom w:val="0"/>
      <w:divBdr>
        <w:top w:val="none" w:sz="0" w:space="0" w:color="auto"/>
        <w:left w:val="none" w:sz="0" w:space="0" w:color="auto"/>
        <w:bottom w:val="none" w:sz="0" w:space="0" w:color="auto"/>
        <w:right w:val="none" w:sz="0" w:space="0" w:color="auto"/>
      </w:divBdr>
    </w:div>
    <w:div w:id="204258499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image" Target="media/image11.png"/><Relationship Id="rId49"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energy.ca.gov/publications/2023/2022-california-commercial-end-use-survey-ceus-final-report" TargetMode="External"/><Relationship Id="rId2" Type="http://schemas.openxmlformats.org/officeDocument/2006/relationships/hyperlink" Target="https://www.energy.ca.gov/data-reports/surveys/2006-california-commercial-end-use-survey-ceus" TargetMode="External"/><Relationship Id="rId1" Type="http://schemas.openxmlformats.org/officeDocument/2006/relationships/hyperlink" Target="https://www.energy.ca.gov/data-reports/surveys/california-commercial-end-use-survey" TargetMode="External"/><Relationship Id="rId6" Type="http://schemas.openxmlformats.org/officeDocument/2006/relationships/hyperlink" Target="https://pro.arcgis.com/en/pro-app/latest/tool-reference/spatial-statistics/h-how-hot-spot-analysis-getis-ord-gi-spatial-stati.htm" TargetMode="External"/><Relationship Id="rId5" Type="http://schemas.openxmlformats.org/officeDocument/2006/relationships/hyperlink" Target="https://data.census.gov/table?g=040XX00US06$1400000&amp;y=2022&amp;d=ACS+5-Year+Estimates+Data+Profiles" TargetMode="External"/><Relationship Id="rId4" Type="http://schemas.openxmlformats.org/officeDocument/2006/relationships/hyperlink" Target="https://www.census.gov/nai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NV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DN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root>
  <Tag name="dgCompanyName01"/>
  <Tag name="DpProjName01"/>
  <Tag name="DgReportTitle01"/>
  <Tag name="DgCustomer01"/>
  <Tag name="DgDnvReportNo01">23-xxxx</Tag>
  <Tag name="DgRevNo01"/>
  <Tag name="DgDNVDocNo01"/>
  <Tag name="DgDocDate01"/>
  <Tag name="DgDnvDivision01">Energy Systems</Tag>
  <Tag name="DgDnvSubDivLong01">DNV Netherlands B.V.</Tag>
  <Tag name="DgDnvOfficePost01">Utrechtseweg 310-B50
6812 AR Arnhem
The Netherlands
</Tag>
  <Tag name="DgDnvTelephone01">+31 26 356 9111</Tag>
  <Tag name="DgDnvEnterpriseNo01">Registered Arnhem 09006404</Tag>
  <Tag name="DgCustomerAddress01"/>
  <Tag name="DgContactPerson01"/>
  <Tag name="DpProjNo01"/>
  <Tag name="DgDnvSubDivShort01"/>
  <Tag name="DgAuthorName01"/>
  <Tag name="DgAuthorTitle01"/>
  <Tag name="DgVerifier01"/>
  <Tag name="DgVerifierTitle01"/>
  <Tag name="DgApprovedBy01"/>
  <Tag name="DgApprovedByTitle01"/>
  <Tag name="DnvglDistrConSpec">--</Tag>
</root>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7ea962-132b-493e-bfa2-5110a4092c56">
      <Terms xmlns="http://schemas.microsoft.com/office/infopath/2007/PartnerControls"/>
    </lcf76f155ced4ddcb4097134ff3c332f>
    <Funding xmlns="a17ea962-132b-493e-bfa2-5110a4092c56">EPIC</Funding>
    <Recipient xmlns="a17ea962-132b-493e-bfa2-5110a4092c56" xsi:nil="true"/>
    <Agreement_x0023_ xmlns="a17ea962-132b-493e-bfa2-5110a4092c56" xsi:nil="true"/>
    <TaxCatchAll xmlns="5067c814-4b34-462c-a21d-c185ff6548d2" xsi:nil="true"/>
    <AgreementStatus xmlns="a17ea962-132b-493e-bfa2-5110a4092c56">Active</AgreementStatus>
    <KeyTerms xmlns="a17ea962-132b-493e-bfa2-5110a4092c56">
      <Value>Air Quality</Value>
    </KeyTerms>
    <ProjectTitle xmlns="a17ea962-132b-493e-bfa2-5110a4092c56" xsi:nil="true"/>
    <CAM xmlns="a17ea962-132b-493e-bfa2-5110a4092c56">
      <UserInfo>
        <DisplayName/>
        <AccountId xsi:nil="true"/>
        <AccountType/>
      </UserInfo>
    </CAM>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08811F69A18B94C9690D43217B04F68" ma:contentTypeVersion="24" ma:contentTypeDescription="Create a new document." ma:contentTypeScope="" ma:versionID="1d139123b10c79fddbc6c9dd7f770663">
  <xsd:schema xmlns:xsd="http://www.w3.org/2001/XMLSchema" xmlns:xs="http://www.w3.org/2001/XMLSchema" xmlns:p="http://schemas.microsoft.com/office/2006/metadata/properties" xmlns:ns2="a17ea962-132b-493e-bfa2-5110a4092c56" xmlns:ns3="5067c814-4b34-462c-a21d-c185ff6548d2" targetNamespace="http://schemas.microsoft.com/office/2006/metadata/properties" ma:root="true" ma:fieldsID="d8eae98444654300018bdf2a17a50833" ns2:_="" ns3:_="">
    <xsd:import namespace="a17ea962-132b-493e-bfa2-5110a4092c56"/>
    <xsd:import namespace="5067c814-4b34-462c-a21d-c185ff6548d2"/>
    <xsd:element name="properties">
      <xsd:complexType>
        <xsd:sequence>
          <xsd:element name="documentManagement">
            <xsd:complexType>
              <xsd:all>
                <xsd:element ref="ns2:ProjectTitle" minOccurs="0"/>
                <xsd:element ref="ns2:Recipient" minOccurs="0"/>
                <xsd:element ref="ns2:CAM" minOccurs="0"/>
                <xsd:element ref="ns2:Agreement_x0023_" minOccurs="0"/>
                <xsd:element ref="ns2:Funding" minOccurs="0"/>
                <xsd:element ref="ns2:AgreementStatus" minOccurs="0"/>
                <xsd:element ref="ns2:KeyTerm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a962-132b-493e-bfa2-5110a4092c56" elementFormDefault="qualified">
    <xsd:import namespace="http://schemas.microsoft.com/office/2006/documentManagement/types"/>
    <xsd:import namespace="http://schemas.microsoft.com/office/infopath/2007/PartnerControls"/>
    <xsd:element name="ProjectTitle" ma:index="8" nillable="true" ma:displayName="Project Title" ma:internalName="ProjectTitle">
      <xsd:simpleType>
        <xsd:restriction base="dms:Note">
          <xsd:maxLength value="255"/>
        </xsd:restriction>
      </xsd:simpleType>
    </xsd:element>
    <xsd:element name="Recipient" ma:index="9" nillable="true" ma:displayName="Recipient" ma:internalName="Recipient">
      <xsd:simpleType>
        <xsd:restriction base="dms:Text">
          <xsd:maxLength value="255"/>
        </xsd:restriction>
      </xsd:simpleType>
    </xsd:element>
    <xsd:element name="CAM" ma:index="10" nillable="true" ma:displayName="CAM" ma:list="UserInfo" ma:SharePointGroup="0" ma:internalName="CA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greement_x0023_" ma:index="11" nillable="true" ma:displayName="Agreement #" ma:internalName="Agreement_x0023_">
      <xsd:simpleType>
        <xsd:restriction base="dms:Text">
          <xsd:maxLength value="255"/>
        </xsd:restriction>
      </xsd:simpleType>
    </xsd:element>
    <xsd:element name="Funding" ma:index="12" nillable="true" ma:displayName="Funding" ma:default="EPIC" ma:format="Dropdown" ma:internalName="Funding">
      <xsd:simpleType>
        <xsd:union memberTypes="dms:Text">
          <xsd:simpleType>
            <xsd:restriction base="dms:Choice">
              <xsd:enumeration value="EPIC"/>
              <xsd:enumeration value="NG"/>
              <xsd:enumeration value="FPIP"/>
              <xsd:enumeration value="ERPA"/>
              <xsd:enumeration value="PVEA"/>
            </xsd:restriction>
          </xsd:simpleType>
        </xsd:union>
      </xsd:simpleType>
    </xsd:element>
    <xsd:element name="AgreementStatus" ma:index="13" nillable="true" ma:displayName="Agreement Status" ma:default="Active" ma:format="Dropdown" ma:internalName="AgreementStatus">
      <xsd:simpleType>
        <xsd:restriction base="dms:Choice">
          <xsd:enumeration value="Active"/>
          <xsd:enumeration value="Completed"/>
          <xsd:enumeration value="Terminated"/>
          <xsd:enumeration value="Cancelled"/>
          <xsd:enumeration value="Development"/>
          <xsd:enumeration value="Hide"/>
        </xsd:restriction>
      </xsd:simpleType>
    </xsd:element>
    <xsd:element name="KeyTerms" ma:index="14" nillable="true" ma:displayName="Key Terms" ma:default="Air Quality" ma:format="Dropdown" ma:internalName="KeyTerms">
      <xsd:complexType>
        <xsd:complexContent>
          <xsd:extension base="dms:MultiChoiceFillIn">
            <xsd:sequence>
              <xsd:element name="Value" maxOccurs="unbounded" minOccurs="0" nillable="true">
                <xsd:simpleType>
                  <xsd:union memberTypes="dms:Text">
                    <xsd:simpleType>
                      <xsd:restriction base="dms:Choice">
                        <xsd:enumeration value="Air Quality"/>
                      </xsd:restriction>
                    </xsd:simpleType>
                  </xsd:union>
                </xsd:simpleType>
              </xsd:element>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ternalName="MediaServiceLocation" ma:readOnly="true">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752bcb9-f337-4c4d-ab40-c128a420f593}"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1003BF-19B7-4107-98A8-80AAF970BD98}">
  <ds:schemaRefs>
    <ds:schemaRef ds:uri="http://schemas.openxmlformats.org/officeDocument/2006/bibliography"/>
  </ds:schemaRefs>
</ds:datastoreItem>
</file>

<file path=customXml/itemProps2.xml><?xml version="1.0" encoding="utf-8"?>
<ds:datastoreItem xmlns:ds="http://schemas.openxmlformats.org/officeDocument/2006/customXml" ds:itemID="{EF1FBFD9-254B-4211-BDD1-9E9C244D9C81}">
  <ds:schemaRefs>
    <ds:schemaRef ds:uri="http://schemas.microsoft.com/sharepoint/v3/contenttype/forms"/>
  </ds:schemaRefs>
</ds:datastoreItem>
</file>

<file path=customXml/itemProps3.xml><?xml version="1.0" encoding="utf-8"?>
<ds:datastoreItem xmlns:ds="http://schemas.openxmlformats.org/officeDocument/2006/customXml" ds:itemID="{5CA4A4C5-54AF-4604-9925-3D577EA5FC6C}">
  <ds:schemaRefs/>
</ds:datastoreItem>
</file>

<file path=customXml/itemProps4.xml><?xml version="1.0" encoding="utf-8"?>
<ds:datastoreItem xmlns:ds="http://schemas.openxmlformats.org/officeDocument/2006/customXml" ds:itemID="{91FA645C-8A00-4FCA-8084-5937DC531C9F}">
  <ds:schemaRefs>
    <ds:schemaRef ds:uri="http://schemas.microsoft.com/office/2006/metadata/properties"/>
    <ds:schemaRef ds:uri="http://schemas.microsoft.com/office/infopath/2007/PartnerControls"/>
    <ds:schemaRef ds:uri="a17ea962-132b-493e-bfa2-5110a4092c56"/>
    <ds:schemaRef ds:uri="5067c814-4b34-462c-a21d-c185ff6548d2"/>
  </ds:schemaRefs>
</ds:datastoreItem>
</file>

<file path=customXml/itemProps5.xml><?xml version="1.0" encoding="utf-8"?>
<ds:datastoreItem xmlns:ds="http://schemas.openxmlformats.org/officeDocument/2006/customXml" ds:itemID="{51B3019D-07E6-4950-902B-499FFEBF6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ea962-132b-493e-bfa2-5110a4092c56"/>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340d318-f867-4a4c-9861-eaaff4d93030}" enabled="1" method="Privileged" siteId="{adf10e2b-b6e9-41d6-be2f-c12bb566019c}" removed="0"/>
</clbl:labelList>
</file>

<file path=docProps/app.xml><?xml version="1.0" encoding="utf-8"?>
<Properties xmlns="http://schemas.openxmlformats.org/officeDocument/2006/extended-properties" xmlns:vt="http://schemas.openxmlformats.org/officeDocument/2006/docPropsVTypes">
  <Template>Normal</Template>
  <TotalTime>56</TotalTime>
  <Pages>24</Pages>
  <Words>6230</Words>
  <Characters>35514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DNV Report Template ES NE English</vt:lpstr>
    </vt:vector>
  </TitlesOfParts>
  <Company/>
  <LinksUpToDate>false</LinksUpToDate>
  <CharactersWithSpaces>41661</CharactersWithSpaces>
  <SharedDoc>false</SharedDoc>
  <HLinks>
    <vt:vector size="42" baseType="variant">
      <vt:variant>
        <vt:i4>4849731</vt:i4>
      </vt:variant>
      <vt:variant>
        <vt:i4>15</vt:i4>
      </vt:variant>
      <vt:variant>
        <vt:i4>0</vt:i4>
      </vt:variant>
      <vt:variant>
        <vt:i4>5</vt:i4>
      </vt:variant>
      <vt:variant>
        <vt:lpwstr>https://pro.arcgis.com/en/pro-app/latest/tool-reference/spatial-statistics/h-how-hot-spot-analysis-getis-ord-gi-spatial-stati.htm</vt:lpwstr>
      </vt:variant>
      <vt:variant>
        <vt:lpwstr/>
      </vt:variant>
      <vt:variant>
        <vt:i4>7209018</vt:i4>
      </vt:variant>
      <vt:variant>
        <vt:i4>12</vt:i4>
      </vt:variant>
      <vt:variant>
        <vt:i4>0</vt:i4>
      </vt:variant>
      <vt:variant>
        <vt:i4>5</vt:i4>
      </vt:variant>
      <vt:variant>
        <vt:lpwstr>https://data.census.gov/table?g=040XX00US06$1400000&amp;y=2022&amp;d=ACS+5-Year+Estimates+Data+Profiles</vt:lpwstr>
      </vt:variant>
      <vt:variant>
        <vt:lpwstr/>
      </vt:variant>
      <vt:variant>
        <vt:i4>4718676</vt:i4>
      </vt:variant>
      <vt:variant>
        <vt:i4>9</vt:i4>
      </vt:variant>
      <vt:variant>
        <vt:i4>0</vt:i4>
      </vt:variant>
      <vt:variant>
        <vt:i4>5</vt:i4>
      </vt:variant>
      <vt:variant>
        <vt:lpwstr>https://www.census.gov/naics/</vt:lpwstr>
      </vt:variant>
      <vt:variant>
        <vt:lpwstr/>
      </vt:variant>
      <vt:variant>
        <vt:i4>7274554</vt:i4>
      </vt:variant>
      <vt:variant>
        <vt:i4>6</vt:i4>
      </vt:variant>
      <vt:variant>
        <vt:i4>0</vt:i4>
      </vt:variant>
      <vt:variant>
        <vt:i4>5</vt:i4>
      </vt:variant>
      <vt:variant>
        <vt:lpwstr>https://www.energy.ca.gov/publications/2023/2022-california-commercial-end-use-survey-ceus-final-report</vt:lpwstr>
      </vt:variant>
      <vt:variant>
        <vt:lpwstr/>
      </vt:variant>
      <vt:variant>
        <vt:i4>4587601</vt:i4>
      </vt:variant>
      <vt:variant>
        <vt:i4>3</vt:i4>
      </vt:variant>
      <vt:variant>
        <vt:i4>0</vt:i4>
      </vt:variant>
      <vt:variant>
        <vt:i4>5</vt:i4>
      </vt:variant>
      <vt:variant>
        <vt:lpwstr>https://www.energy.ca.gov/data-reports/surveys/2006-california-commercial-end-use-survey-ceus</vt:lpwstr>
      </vt:variant>
      <vt:variant>
        <vt:lpwstr/>
      </vt:variant>
      <vt:variant>
        <vt:i4>7012466</vt:i4>
      </vt:variant>
      <vt:variant>
        <vt:i4>0</vt:i4>
      </vt:variant>
      <vt:variant>
        <vt:i4>0</vt:i4>
      </vt:variant>
      <vt:variant>
        <vt:i4>5</vt:i4>
      </vt:variant>
      <vt:variant>
        <vt:lpwstr>https://www.energy.ca.gov/data-reports/surveys/california-commercial-end-use-survey</vt:lpwstr>
      </vt:variant>
      <vt:variant>
        <vt:lpwstr/>
      </vt:variant>
      <vt:variant>
        <vt:i4>7209072</vt:i4>
      </vt:variant>
      <vt:variant>
        <vt:i4>0</vt:i4>
      </vt:variant>
      <vt:variant>
        <vt:i4>0</vt:i4>
      </vt:variant>
      <vt:variant>
        <vt:i4>5</vt:i4>
      </vt:variant>
      <vt:variant>
        <vt:lpwstr>https://census.ca.gov/htc-map/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DNV Report Template ES NE English</dc:title>
  <dc:subject/>
  <dc:creator>Ree, Monique van</dc:creator>
  <cp:keywords/>
  <cp:lastModifiedBy>Schmidt-Poolman, Martine@Energy</cp:lastModifiedBy>
  <cp:revision>38</cp:revision>
  <dcterms:created xsi:type="dcterms:W3CDTF">2025-12-15T23:16:00Z</dcterms:created>
  <dcterms:modified xsi:type="dcterms:W3CDTF">2025-12-18T18:58:00Z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20210216 124511</vt:lpwstr>
  </property>
  <property fmtid="{D5CDD505-2E9C-101B-9397-08002B2CF9AE}" pid="3" name="TB name">
    <vt:lpwstr>COR 006</vt:lpwstr>
  </property>
  <property fmtid="{D5CDD505-2E9C-101B-9397-08002B2CF9AE}" pid="4" name="TB id">
    <vt:lpwstr>7262</vt:lpwstr>
  </property>
  <property fmtid="{D5CDD505-2E9C-101B-9397-08002B2CF9AE}" pid="5" name="TB filename">
    <vt:lpwstr>COR006.dotx</vt:lpwstr>
  </property>
  <property fmtid="{D5CDD505-2E9C-101B-9397-08002B2CF9AE}" pid="6" name="MSIP_Label_22fbb032-08bf-4f1e-af46-2528cd3f96ca_Enabled">
    <vt:lpwstr>true</vt:lpwstr>
  </property>
  <property fmtid="{D5CDD505-2E9C-101B-9397-08002B2CF9AE}" pid="7" name="MSIP_Label_22fbb032-08bf-4f1e-af46-2528cd3f96ca_SetDate">
    <vt:lpwstr>2021-04-13T07:44:50Z</vt:lpwstr>
  </property>
  <property fmtid="{D5CDD505-2E9C-101B-9397-08002B2CF9AE}" pid="8" name="MSIP_Label_22fbb032-08bf-4f1e-af46-2528cd3f96ca_Method">
    <vt:lpwstr>Privileged</vt:lpwstr>
  </property>
  <property fmtid="{D5CDD505-2E9C-101B-9397-08002B2CF9AE}" pid="9" name="MSIP_Label_22fbb032-08bf-4f1e-af46-2528cd3f96ca_Name">
    <vt:lpwstr>22fbb032-08bf-4f1e-af46-2528cd3f96ca</vt:lpwstr>
  </property>
  <property fmtid="{D5CDD505-2E9C-101B-9397-08002B2CF9AE}" pid="10" name="MSIP_Label_22fbb032-08bf-4f1e-af46-2528cd3f96ca_SiteId">
    <vt:lpwstr>adf10e2b-b6e9-41d6-be2f-c12bb566019c</vt:lpwstr>
  </property>
  <property fmtid="{D5CDD505-2E9C-101B-9397-08002B2CF9AE}" pid="11" name="MSIP_Label_22fbb032-08bf-4f1e-af46-2528cd3f96ca_ActionId">
    <vt:lpwstr>d52e2608-a863-4095-875d-2ce940aef69b</vt:lpwstr>
  </property>
  <property fmtid="{D5CDD505-2E9C-101B-9397-08002B2CF9AE}" pid="12" name="MSIP_Label_22fbb032-08bf-4f1e-af46-2528cd3f96ca_ContentBits">
    <vt:lpwstr>0</vt:lpwstr>
  </property>
  <property fmtid="{D5CDD505-2E9C-101B-9397-08002B2CF9AE}" pid="13" name="MSIP_Label_7340d318-f867-4a4c-9861-eaaff4d93030_Enabled">
    <vt:lpwstr>true</vt:lpwstr>
  </property>
  <property fmtid="{D5CDD505-2E9C-101B-9397-08002B2CF9AE}" pid="14" name="MSIP_Label_7340d318-f867-4a4c-9861-eaaff4d93030_Name">
    <vt:lpwstr>7340d318-f867-4a4c-9861-eaaff4d93030</vt:lpwstr>
  </property>
  <property fmtid="{D5CDD505-2E9C-101B-9397-08002B2CF9AE}" pid="15" name="MSIP_Label_7340d318-f867-4a4c-9861-eaaff4d93030_SetDate">
    <vt:lpwstr>2021-05-10T12:17:41Z</vt:lpwstr>
  </property>
  <property fmtid="{D5CDD505-2E9C-101B-9397-08002B2CF9AE}" pid="16" name="MSIP_Label_7340d318-f867-4a4c-9861-eaaff4d93030_SiteId">
    <vt:lpwstr>adf10e2b-b6e9-41d6-be2f-c12bb566019c</vt:lpwstr>
  </property>
  <property fmtid="{D5CDD505-2E9C-101B-9397-08002B2CF9AE}" pid="17" name="MSIP_Label_7340d318-f867-4a4c-9861-eaaff4d93030_ActionId">
    <vt:lpwstr>98576c42-fe8c-47ef-b006-6c408b1c1289</vt:lpwstr>
  </property>
  <property fmtid="{D5CDD505-2E9C-101B-9397-08002B2CF9AE}" pid="18" name="MSIP_Label_7340d318-f867-4a4c-9861-eaaff4d93030_ContentBits">
    <vt:lpwstr>0</vt:lpwstr>
  </property>
  <property fmtid="{D5CDD505-2E9C-101B-9397-08002B2CF9AE}" pid="19" name="MSIP_Label_7340d318-f867-4a4c-9861-eaaff4d93030_Method">
    <vt:lpwstr>Privileged</vt:lpwstr>
  </property>
  <property fmtid="{D5CDD505-2E9C-101B-9397-08002B2CF9AE}" pid="20" name="ContentTypeId">
    <vt:lpwstr>0x010100108811F69A18B94C9690D43217B04F68</vt:lpwstr>
  </property>
  <property fmtid="{D5CDD505-2E9C-101B-9397-08002B2CF9AE}" pid="21" name="docLang">
    <vt:lpwstr>en</vt:lpwstr>
  </property>
  <property fmtid="{D5CDD505-2E9C-101B-9397-08002B2CF9AE}" pid="22" name="MediaServiceImageTags">
    <vt:lpwstr/>
  </property>
</Properties>
</file>