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620780D5"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t>GFO-</w:t>
      </w:r>
      <w:r w:rsidR="00D3464F">
        <w:rPr>
          <w:rFonts w:ascii="Arial" w:eastAsia="Times New Roman" w:hAnsi="Arial" w:cs="Arial"/>
          <w:sz w:val="24"/>
          <w:szCs w:val="24"/>
        </w:rPr>
        <w:t>25-304</w:t>
      </w:r>
      <w:r w:rsidRPr="00ED7E0C">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proofErr w:type="gramStart"/>
      <w:r w:rsidRPr="0083587C">
        <w:rPr>
          <w:rFonts w:ascii="Arial" w:hAnsi="Arial" w:cs="Arial"/>
          <w:sz w:val="24"/>
          <w:szCs w:val="24"/>
        </w:rPr>
        <w:t>Is</w:t>
      </w:r>
      <w:proofErr w:type="gramEnd"/>
      <w:r w:rsidRPr="0083587C">
        <w:rPr>
          <w:rFonts w:ascii="Arial" w:hAnsi="Arial" w:cs="Arial"/>
          <w:sz w:val="24"/>
          <w:szCs w:val="24"/>
        </w:rPr>
        <w:t xml:space="preserve">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61B60F5B" w14:textId="77777777" w:rsidR="0083587C" w:rsidRPr="0083587C" w:rsidRDefault="0083587C" w:rsidP="0083587C">
      <w:pPr>
        <w:pStyle w:val="ListParagraph"/>
        <w:rPr>
          <w:rFonts w:ascii="Arial" w:hAnsi="Arial" w:cs="Arial"/>
          <w:sz w:val="24"/>
          <w:szCs w:val="24"/>
        </w:rPr>
      </w:pP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lastRenderedPageBreak/>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currently being sued by any entity (public or private) or </w:t>
      </w:r>
      <w:proofErr w:type="gramStart"/>
      <w:r w:rsidRPr="00751039">
        <w:rPr>
          <w:rFonts w:ascii="Arial" w:hAnsi="Arial" w:cs="Arial"/>
          <w:sz w:val="24"/>
          <w:szCs w:val="24"/>
        </w:rPr>
        <w:t>individual, and</w:t>
      </w:r>
      <w:proofErr w:type="gramEnd"/>
      <w:r w:rsidRPr="00751039">
        <w:rPr>
          <w:rFonts w:ascii="Arial" w:hAnsi="Arial" w:cs="Arial"/>
          <w:sz w:val="24"/>
          <w:szCs w:val="24"/>
        </w:rPr>
        <w:t xml:space="preserve">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the terms of all settlement agreements, if any, </w:t>
      </w:r>
      <w:proofErr w:type="gramStart"/>
      <w:r w:rsidRPr="00751039">
        <w:rPr>
          <w:rFonts w:ascii="Arial" w:hAnsi="Arial" w:cs="Arial"/>
          <w:sz w:val="24"/>
          <w:szCs w:val="24"/>
        </w:rPr>
        <w:t>entered into</w:t>
      </w:r>
      <w:proofErr w:type="gramEnd"/>
      <w:r w:rsidRPr="00751039">
        <w:rPr>
          <w:rFonts w:ascii="Arial" w:hAnsi="Arial" w:cs="Arial"/>
          <w:sz w:val="24"/>
          <w:szCs w:val="24"/>
        </w:rPr>
        <w:t xml:space="preserve">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 in compliance with</w:t>
      </w:r>
      <w:proofErr w:type="gramEnd"/>
      <w:r w:rsidRPr="00751039">
        <w:rPr>
          <w:rFonts w:ascii="Arial" w:hAnsi="Arial" w:cs="Arial"/>
          <w:sz w:val="24"/>
          <w:szCs w:val="24"/>
        </w:rPr>
        <w:t xml:space="preserve">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proofErr w:type="gramStart"/>
      <w:r w:rsidRPr="00751039">
        <w:rPr>
          <w:rFonts w:ascii="Arial" w:hAnsi="Arial" w:cs="Arial"/>
          <w:sz w:val="24"/>
          <w:szCs w:val="24"/>
        </w:rPr>
        <w:t>Is</w:t>
      </w:r>
      <w:proofErr w:type="gramEnd"/>
      <w:r w:rsidRPr="00751039">
        <w:rPr>
          <w:rFonts w:ascii="Arial" w:hAnsi="Arial" w:cs="Arial"/>
          <w:sz w:val="24"/>
          <w:szCs w:val="24"/>
        </w:rPr>
        <w:t xml:space="preserve">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742348B0" w14:textId="77777777" w:rsidR="00B6544C" w:rsidRPr="00E2254F" w:rsidRDefault="00B6544C" w:rsidP="00B6544C"/>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p w14:paraId="7311258E" w14:textId="77777777" w:rsidR="00B6544C" w:rsidRPr="00B6544C" w:rsidRDefault="00B6544C" w:rsidP="00B6544C">
      <w:pPr>
        <w:rPr>
          <w:rFonts w:ascii="Arial" w:hAnsi="Arial" w:cs="Arial"/>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746579">
        <w:trPr>
          <w:trHeight w:val="14"/>
          <w:tblCellSpacing w:w="15" w:type="dxa"/>
        </w:trPr>
        <w:tc>
          <w:tcPr>
            <w:tcW w:w="4846"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746579">
        <w:trPr>
          <w:trHeight w:val="671"/>
          <w:tblCellSpacing w:w="15" w:type="dxa"/>
        </w:trPr>
        <w:tc>
          <w:tcPr>
            <w:tcW w:w="4846"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746579">
        <w:trPr>
          <w:trHeight w:val="14"/>
          <w:tblCellSpacing w:w="15" w:type="dxa"/>
        </w:trPr>
        <w:tc>
          <w:tcPr>
            <w:tcW w:w="4846"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746579">
        <w:trPr>
          <w:trHeight w:val="14"/>
          <w:tblCellSpacing w:w="15" w:type="dxa"/>
        </w:trPr>
        <w:tc>
          <w:tcPr>
            <w:tcW w:w="4846" w:type="pct"/>
            <w:vAlign w:val="center"/>
          </w:tcPr>
          <w:p w14:paraId="02BD55E1" w14:textId="700E066D" w:rsidR="00B6544C" w:rsidRPr="009A6943"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2F32BF"/>
    <w:sectPr w:rsidR="00E2254F" w:rsidRPr="000848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2506" w14:textId="77777777" w:rsidR="00F677CF" w:rsidRDefault="00F677CF" w:rsidP="009A00A4">
      <w:pPr>
        <w:spacing w:after="0" w:line="240" w:lineRule="auto"/>
      </w:pPr>
      <w:r>
        <w:separator/>
      </w:r>
    </w:p>
  </w:endnote>
  <w:endnote w:type="continuationSeparator" w:id="0">
    <w:p w14:paraId="68384AA9" w14:textId="77777777" w:rsidR="00F677CF" w:rsidRDefault="00F677CF" w:rsidP="009A00A4">
      <w:pPr>
        <w:spacing w:after="0" w:line="240" w:lineRule="auto"/>
      </w:pPr>
      <w:r>
        <w:continuationSeparator/>
      </w:r>
    </w:p>
  </w:endnote>
  <w:endnote w:type="continuationNotice" w:id="1">
    <w:p w14:paraId="3CF49145" w14:textId="77777777" w:rsidR="00F677CF" w:rsidRDefault="00F67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1BED" w14:textId="77777777" w:rsidR="00475046" w:rsidRDefault="00475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7544" w14:textId="3F2D27CE" w:rsidR="00475046" w:rsidRDefault="00475046">
    <w:pPr>
      <w:pStyle w:val="Footer"/>
      <w:rPr>
        <w:rFonts w:ascii="Arial" w:hAnsi="Arial" w:cs="Arial"/>
        <w:sz w:val="20"/>
        <w:szCs w:val="20"/>
      </w:rPr>
    </w:pPr>
    <w:r>
      <w:rPr>
        <w:rFonts w:ascii="Arial" w:hAnsi="Arial" w:cs="Arial"/>
        <w:sz w:val="20"/>
        <w:szCs w:val="20"/>
      </w:rPr>
      <w:t xml:space="preserve">January </w:t>
    </w:r>
    <w:r w:rsidRPr="00475046">
      <w:rPr>
        <w:rFonts w:ascii="Arial" w:hAnsi="Arial" w:cs="Arial"/>
        <w:sz w:val="20"/>
        <w:szCs w:val="20"/>
      </w:rPr>
      <w:t>2026</w:t>
    </w:r>
    <w:r w:rsidRPr="00475046">
      <w:rPr>
        <w:rFonts w:ascii="Arial" w:hAnsi="Arial" w:cs="Arial"/>
        <w:sz w:val="20"/>
        <w:szCs w:val="20"/>
      </w:rPr>
      <w:ptab w:relativeTo="margin" w:alignment="center" w:leader="none"/>
    </w:r>
    <w:r w:rsidRPr="00475046">
      <w:rPr>
        <w:rFonts w:ascii="Arial" w:hAnsi="Arial" w:cs="Arial"/>
        <w:sz w:val="20"/>
        <w:szCs w:val="20"/>
      </w:rPr>
      <w:t xml:space="preserve">Page </w:t>
    </w:r>
    <w:r w:rsidRPr="00475046">
      <w:rPr>
        <w:rFonts w:ascii="Arial" w:hAnsi="Arial" w:cs="Arial"/>
        <w:sz w:val="20"/>
        <w:szCs w:val="20"/>
      </w:rPr>
      <w:fldChar w:fldCharType="begin"/>
    </w:r>
    <w:r w:rsidRPr="00475046">
      <w:rPr>
        <w:rFonts w:ascii="Arial" w:hAnsi="Arial" w:cs="Arial"/>
        <w:sz w:val="20"/>
        <w:szCs w:val="20"/>
      </w:rPr>
      <w:instrText xml:space="preserve"> PAGE  \* Arabic  \* MERGEFORMAT </w:instrText>
    </w:r>
    <w:r w:rsidRPr="00475046">
      <w:rPr>
        <w:rFonts w:ascii="Arial" w:hAnsi="Arial" w:cs="Arial"/>
        <w:sz w:val="20"/>
        <w:szCs w:val="20"/>
      </w:rPr>
      <w:fldChar w:fldCharType="separate"/>
    </w:r>
    <w:r w:rsidRPr="00475046">
      <w:rPr>
        <w:rFonts w:ascii="Arial" w:hAnsi="Arial" w:cs="Arial"/>
        <w:noProof/>
        <w:sz w:val="20"/>
        <w:szCs w:val="20"/>
      </w:rPr>
      <w:t>1</w:t>
    </w:r>
    <w:r w:rsidRPr="00475046">
      <w:rPr>
        <w:rFonts w:ascii="Arial" w:hAnsi="Arial" w:cs="Arial"/>
        <w:sz w:val="20"/>
        <w:szCs w:val="20"/>
      </w:rPr>
      <w:fldChar w:fldCharType="end"/>
    </w:r>
    <w:r w:rsidRPr="00475046">
      <w:rPr>
        <w:rFonts w:ascii="Arial" w:hAnsi="Arial" w:cs="Arial"/>
        <w:sz w:val="20"/>
        <w:szCs w:val="20"/>
      </w:rPr>
      <w:t xml:space="preserve"> of </w:t>
    </w:r>
    <w:r w:rsidRPr="00475046">
      <w:rPr>
        <w:rFonts w:ascii="Arial" w:hAnsi="Arial" w:cs="Arial"/>
        <w:sz w:val="20"/>
        <w:szCs w:val="20"/>
      </w:rPr>
      <w:fldChar w:fldCharType="begin"/>
    </w:r>
    <w:r w:rsidRPr="00475046">
      <w:rPr>
        <w:rFonts w:ascii="Arial" w:hAnsi="Arial" w:cs="Arial"/>
        <w:sz w:val="20"/>
        <w:szCs w:val="20"/>
      </w:rPr>
      <w:instrText xml:space="preserve"> NUMPAGES  \* Arabic  \* MERGEFORMAT </w:instrText>
    </w:r>
    <w:r w:rsidRPr="00475046">
      <w:rPr>
        <w:rFonts w:ascii="Arial" w:hAnsi="Arial" w:cs="Arial"/>
        <w:sz w:val="20"/>
        <w:szCs w:val="20"/>
      </w:rPr>
      <w:fldChar w:fldCharType="separate"/>
    </w:r>
    <w:r w:rsidRPr="00475046">
      <w:rPr>
        <w:rFonts w:ascii="Arial" w:hAnsi="Arial" w:cs="Arial"/>
        <w:noProof/>
        <w:sz w:val="20"/>
        <w:szCs w:val="20"/>
      </w:rPr>
      <w:t>2</w:t>
    </w:r>
    <w:r w:rsidRPr="00475046">
      <w:rPr>
        <w:rFonts w:ascii="Arial" w:hAnsi="Arial" w:cs="Arial"/>
        <w:sz w:val="20"/>
        <w:szCs w:val="20"/>
      </w:rPr>
      <w:fldChar w:fldCharType="end"/>
    </w:r>
    <w:r w:rsidRPr="00475046">
      <w:rPr>
        <w:rFonts w:ascii="Arial" w:hAnsi="Arial" w:cs="Arial"/>
        <w:sz w:val="20"/>
        <w:szCs w:val="20"/>
      </w:rPr>
      <w:ptab w:relativeTo="margin" w:alignment="right" w:leader="none"/>
    </w:r>
    <w:r>
      <w:rPr>
        <w:rFonts w:ascii="Arial" w:hAnsi="Arial" w:cs="Arial"/>
        <w:sz w:val="20"/>
        <w:szCs w:val="20"/>
      </w:rPr>
      <w:t>GFO-25-304</w:t>
    </w:r>
  </w:p>
  <w:p w14:paraId="496408C1" w14:textId="77777777" w:rsidR="00D327B3" w:rsidRPr="00D327B3" w:rsidRDefault="00D327B3" w:rsidP="00D327B3">
    <w:pPr>
      <w:tabs>
        <w:tab w:val="center" w:pos="4680"/>
        <w:tab w:val="right" w:pos="9360"/>
      </w:tabs>
      <w:spacing w:after="0" w:line="240" w:lineRule="auto"/>
      <w:jc w:val="right"/>
      <w:rPr>
        <w:rFonts w:ascii="Arial" w:eastAsia="Calibri" w:hAnsi="Arial" w:cs="Arial"/>
        <w:sz w:val="20"/>
        <w:szCs w:val="20"/>
      </w:rPr>
    </w:pPr>
    <w:r w:rsidRPr="00D327B3">
      <w:rPr>
        <w:rFonts w:ascii="Arial" w:eastAsia="Calibri" w:hAnsi="Arial" w:cs="Arial"/>
        <w:sz w:val="20"/>
        <w:szCs w:val="20"/>
      </w:rPr>
      <w:t>Modeling and Monitoring Air Quality</w:t>
    </w:r>
  </w:p>
  <w:p w14:paraId="01E4A686" w14:textId="30E128D1" w:rsidR="00475046" w:rsidRPr="00475046" w:rsidRDefault="00D327B3" w:rsidP="00D327B3">
    <w:pPr>
      <w:tabs>
        <w:tab w:val="center" w:pos="4680"/>
        <w:tab w:val="right" w:pos="9360"/>
      </w:tabs>
      <w:spacing w:after="0" w:line="240" w:lineRule="auto"/>
      <w:jc w:val="right"/>
      <w:rPr>
        <w:rFonts w:ascii="Arial" w:hAnsi="Arial" w:cs="Arial"/>
        <w:sz w:val="20"/>
        <w:szCs w:val="20"/>
      </w:rPr>
    </w:pPr>
    <w:r w:rsidRPr="00D327B3">
      <w:rPr>
        <w:rFonts w:ascii="Arial" w:eastAsia="Calibri" w:hAnsi="Arial" w:cs="Arial"/>
        <w:sz w:val="20"/>
        <w:szCs w:val="20"/>
      </w:rPr>
      <w:tab/>
    </w:r>
    <w:r w:rsidRPr="00D327B3">
      <w:rPr>
        <w:rFonts w:ascii="Arial" w:eastAsia="Calibri" w:hAnsi="Arial" w:cs="Arial"/>
        <w:sz w:val="20"/>
        <w:szCs w:val="20"/>
      </w:rPr>
      <w:tab/>
      <w:t>and Co-Benefits of Energy Interventions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78B5" w14:textId="77777777" w:rsidR="00475046" w:rsidRDefault="0047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8B92" w14:textId="77777777" w:rsidR="00F677CF" w:rsidRDefault="00F677CF" w:rsidP="009A00A4">
      <w:pPr>
        <w:spacing w:after="0" w:line="240" w:lineRule="auto"/>
      </w:pPr>
      <w:r>
        <w:separator/>
      </w:r>
    </w:p>
  </w:footnote>
  <w:footnote w:type="continuationSeparator" w:id="0">
    <w:p w14:paraId="210589F0" w14:textId="77777777" w:rsidR="00F677CF" w:rsidRDefault="00F677CF" w:rsidP="009A00A4">
      <w:pPr>
        <w:spacing w:after="0" w:line="240" w:lineRule="auto"/>
      </w:pPr>
      <w:r>
        <w:continuationSeparator/>
      </w:r>
    </w:p>
  </w:footnote>
  <w:footnote w:type="continuationNotice" w:id="1">
    <w:p w14:paraId="73B52E94" w14:textId="77777777" w:rsidR="00F677CF" w:rsidRDefault="00F67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A43D" w14:textId="77777777" w:rsidR="00475046" w:rsidRDefault="00475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033C" w14:textId="77777777" w:rsidR="00475046" w:rsidRDefault="00475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2F32BF"/>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44AAA"/>
    <w:rsid w:val="004478F7"/>
    <w:rsid w:val="00464E03"/>
    <w:rsid w:val="0047263F"/>
    <w:rsid w:val="00475046"/>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C31E9"/>
    <w:rsid w:val="009C3DED"/>
    <w:rsid w:val="009E6AED"/>
    <w:rsid w:val="00A01AF1"/>
    <w:rsid w:val="00A2007F"/>
    <w:rsid w:val="00A300E4"/>
    <w:rsid w:val="00A50C75"/>
    <w:rsid w:val="00A5417A"/>
    <w:rsid w:val="00A6622B"/>
    <w:rsid w:val="00A77C96"/>
    <w:rsid w:val="00A87BC5"/>
    <w:rsid w:val="00AB0BC8"/>
    <w:rsid w:val="00AC38B3"/>
    <w:rsid w:val="00AD7817"/>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24A2"/>
    <w:rsid w:val="00C176BB"/>
    <w:rsid w:val="00C31A05"/>
    <w:rsid w:val="00C32A06"/>
    <w:rsid w:val="00C3353E"/>
    <w:rsid w:val="00C4054D"/>
    <w:rsid w:val="00C54FD2"/>
    <w:rsid w:val="00C550CD"/>
    <w:rsid w:val="00C70681"/>
    <w:rsid w:val="00C80A5E"/>
    <w:rsid w:val="00C94018"/>
    <w:rsid w:val="00C949E8"/>
    <w:rsid w:val="00CA0822"/>
    <w:rsid w:val="00CA1FCF"/>
    <w:rsid w:val="00CC1939"/>
    <w:rsid w:val="00CC393A"/>
    <w:rsid w:val="00CD626E"/>
    <w:rsid w:val="00CE52DE"/>
    <w:rsid w:val="00D03515"/>
    <w:rsid w:val="00D327B3"/>
    <w:rsid w:val="00D3464F"/>
    <w:rsid w:val="00D415FE"/>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53791"/>
    <w:rsid w:val="00F677CF"/>
    <w:rsid w:val="00F72BFB"/>
    <w:rsid w:val="00F756DF"/>
    <w:rsid w:val="00F82E8E"/>
    <w:rsid w:val="00F8707B"/>
    <w:rsid w:val="00F94A3B"/>
    <w:rsid w:val="00F95DD4"/>
    <w:rsid w:val="00FA1954"/>
    <w:rsid w:val="00FA4BE4"/>
    <w:rsid w:val="00FA51C3"/>
    <w:rsid w:val="00FD1962"/>
    <w:rsid w:val="00FD1C10"/>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04C74-2E6A-45B9-9A70-6E72EA1CC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CC91D-5CA3-439E-8724-A838F540F631}">
  <ds:schemaRefs>
    <ds:schemaRef ds:uri="http://schemas.microsoft.com/sharepoint/v3/contenttype/forms"/>
  </ds:schemaRefs>
</ds:datastoreItem>
</file>

<file path=customXml/itemProps3.xml><?xml version="1.0" encoding="utf-8"?>
<ds:datastoreItem xmlns:ds="http://schemas.openxmlformats.org/officeDocument/2006/customXml" ds:itemID="{95876702-63E8-45A1-AD19-CE6B79F3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3169</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Dyer, Phil@Energy</cp:lastModifiedBy>
  <cp:revision>14</cp:revision>
  <dcterms:created xsi:type="dcterms:W3CDTF">2023-09-29T19:48:00Z</dcterms:created>
  <dcterms:modified xsi:type="dcterms:W3CDTF">2026-01-16T23:08:00Z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MediaServiceImageTags">
    <vt:lpwstr/>
  </property>
  <property fmtid="{D5CDD505-2E9C-101B-9397-08002B2CF9AE}" pid="4" name="Order">
    <vt:r8>149500</vt:r8>
  </property>
  <property fmtid="{D5CDD505-2E9C-101B-9397-08002B2CF9AE}" pid="5" name="xd_Signature">
    <vt:bool>false</vt:bool>
  </property>
  <property fmtid="{D5CDD505-2E9C-101B-9397-08002B2CF9AE}" pid="6" name="Branch">
    <vt:lpwstr/>
  </property>
  <property fmtid="{D5CDD505-2E9C-101B-9397-08002B2CF9AE}" pid="7" name="RequestType">
    <vt:lpwstr/>
  </property>
  <property fmtid="{D5CDD505-2E9C-101B-9397-08002B2CF9AE}" pid="8" name="xd_ProgID">
    <vt:lpwstr/>
  </property>
  <property fmtid="{D5CDD505-2E9C-101B-9397-08002B2CF9AE}" pid="9" name="SharedWithUsers">
    <vt:lpwstr/>
  </property>
  <property fmtid="{D5CDD505-2E9C-101B-9397-08002B2CF9AE}" pid="10" name="DocumentSetDescription">
    <vt:lpwstr/>
  </property>
  <property fmtid="{D5CDD505-2E9C-101B-9397-08002B2CF9AE}" pid="11" name="TriggerFlowInfo">
    <vt:lpwstr/>
  </property>
  <property fmtid="{D5CDD505-2E9C-101B-9397-08002B2CF9AE}" pid="12" name="RoutingStatus">
    <vt:lpwstr/>
  </property>
  <property fmtid="{D5CDD505-2E9C-101B-9397-08002B2CF9AE}" pid="13" name="ComplianceAssetId">
    <vt:lpwstr/>
  </property>
  <property fmtid="{D5CDD505-2E9C-101B-9397-08002B2CF9AE}" pid="14" name="TemplateUrl">
    <vt:lpwstr/>
  </property>
  <property fmtid="{D5CDD505-2E9C-101B-9397-08002B2CF9AE}" pid="15" name="Program">
    <vt:lpwstr/>
  </property>
  <property fmtid="{D5CDD505-2E9C-101B-9397-08002B2CF9AE}" pid="16" name="lcf76f155ced4ddcb4097134ff3c332f">
    <vt:lpwstr/>
  </property>
  <property fmtid="{D5CDD505-2E9C-101B-9397-08002B2CF9AE}" pid="17" name="TaxCatchAll">
    <vt:lpwstr/>
  </property>
</Properties>
</file>