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378C" w14:textId="33BA11FE" w:rsidR="7D141A9D" w:rsidRDefault="7D141A9D" w:rsidP="77447815">
      <w:pPr>
        <w:pStyle w:val="ListParagraph"/>
        <w:shd w:val="clear" w:color="auto" w:fill="FFFFFF" w:themeFill="background1"/>
        <w:spacing w:after="0"/>
        <w:jc w:val="center"/>
        <w:rPr>
          <w:rFonts w:ascii="Calibri" w:eastAsia="Calibri" w:hAnsi="Calibri" w:cs="Calibri"/>
          <w:b/>
          <w:bCs/>
        </w:rPr>
      </w:pPr>
      <w:r w:rsidRPr="028DD7F5">
        <w:rPr>
          <w:rFonts w:ascii="Calibri" w:eastAsia="Calibri" w:hAnsi="Calibri" w:cs="Calibri"/>
          <w:b/>
          <w:bCs/>
        </w:rPr>
        <w:t>GFO-23-313</w:t>
      </w:r>
    </w:p>
    <w:p w14:paraId="2805FEB5" w14:textId="3004BCF8" w:rsidR="59ABB17A" w:rsidRDefault="59ABB17A" w:rsidP="77447815">
      <w:pPr>
        <w:pStyle w:val="ListParagraph"/>
        <w:shd w:val="clear" w:color="auto" w:fill="FFFFFF" w:themeFill="background1"/>
        <w:spacing w:after="0"/>
        <w:jc w:val="center"/>
        <w:rPr>
          <w:rFonts w:ascii="Calibri" w:eastAsia="Calibri" w:hAnsi="Calibri" w:cs="Calibri"/>
          <w:b/>
          <w:bCs/>
          <w:color w:val="000000" w:themeColor="text1"/>
        </w:rPr>
      </w:pPr>
      <w:r w:rsidRPr="028DD7F5">
        <w:rPr>
          <w:rFonts w:ascii="Calibri" w:eastAsia="Calibri" w:hAnsi="Calibri" w:cs="Calibri"/>
          <w:b/>
          <w:bCs/>
          <w:color w:val="000000" w:themeColor="text1"/>
        </w:rPr>
        <w:t>Deployment of Decarbonization Technologies and Strategies for CA Industrial Facilities (INDIGO Program) Round 3</w:t>
      </w:r>
    </w:p>
    <w:p w14:paraId="0BFCFED0" w14:textId="37E5E682" w:rsidR="59ABB17A" w:rsidRDefault="59ABB17A" w:rsidP="77447815">
      <w:pPr>
        <w:pStyle w:val="ListParagraph"/>
        <w:shd w:val="clear" w:color="auto" w:fill="FFFFFF" w:themeFill="background1"/>
        <w:spacing w:after="0"/>
        <w:jc w:val="center"/>
        <w:rPr>
          <w:rFonts w:ascii="Calibri" w:eastAsia="Calibri" w:hAnsi="Calibri" w:cs="Calibri"/>
          <w:color w:val="000000" w:themeColor="text1"/>
        </w:rPr>
      </w:pPr>
      <w:r w:rsidRPr="028DD7F5">
        <w:rPr>
          <w:rFonts w:ascii="Calibri" w:eastAsia="Calibri" w:hAnsi="Calibri" w:cs="Calibri"/>
          <w:color w:val="000000" w:themeColor="text1"/>
        </w:rPr>
        <w:t xml:space="preserve">January </w:t>
      </w:r>
      <w:r w:rsidR="4884BB62" w:rsidRPr="028DD7F5">
        <w:rPr>
          <w:rFonts w:ascii="Calibri" w:eastAsia="Calibri" w:hAnsi="Calibri" w:cs="Calibri"/>
          <w:color w:val="000000" w:themeColor="text1"/>
        </w:rPr>
        <w:t>23</w:t>
      </w:r>
      <w:r w:rsidR="4884BB62" w:rsidRPr="028DD7F5">
        <w:rPr>
          <w:rFonts w:ascii="Calibri" w:eastAsia="Calibri" w:hAnsi="Calibri" w:cs="Calibri"/>
          <w:color w:val="000000" w:themeColor="text1"/>
          <w:vertAlign w:val="superscript"/>
        </w:rPr>
        <w:t>rd</w:t>
      </w:r>
      <w:r w:rsidRPr="028DD7F5">
        <w:rPr>
          <w:rFonts w:ascii="Calibri" w:eastAsia="Calibri" w:hAnsi="Calibri" w:cs="Calibri"/>
          <w:color w:val="000000" w:themeColor="text1"/>
        </w:rPr>
        <w:t>, 2026</w:t>
      </w:r>
    </w:p>
    <w:p w14:paraId="360AC0B4" w14:textId="2DE0CB04" w:rsidR="59ABB17A" w:rsidRDefault="59ABB17A" w:rsidP="77447815">
      <w:pPr>
        <w:spacing w:before="240" w:after="240"/>
        <w:rPr>
          <w:rFonts w:ascii="Calibri" w:eastAsia="Calibri" w:hAnsi="Calibri" w:cs="Calibri"/>
          <w:b/>
          <w:bCs/>
          <w:color w:val="000000" w:themeColor="text1"/>
        </w:rPr>
      </w:pPr>
      <w:r w:rsidRPr="028DD7F5">
        <w:rPr>
          <w:rFonts w:ascii="Calibri" w:eastAsia="Calibri" w:hAnsi="Calibri" w:cs="Calibri"/>
          <w:b/>
          <w:bCs/>
          <w:color w:val="000000" w:themeColor="text1"/>
        </w:rPr>
        <w:t>Questions and Answers Document</w:t>
      </w:r>
    </w:p>
    <w:p w14:paraId="40E79C0C" w14:textId="16229153" w:rsidR="59ABB17A" w:rsidRDefault="59ABB17A" w:rsidP="007E41D6">
      <w:pPr>
        <w:pStyle w:val="Heading5"/>
      </w:pPr>
      <w:r w:rsidRPr="028DD7F5">
        <w:t>Disclaimer</w:t>
      </w:r>
    </w:p>
    <w:p w14:paraId="68F23F68" w14:textId="2CE14D16" w:rsidR="59ABB17A" w:rsidRDefault="59ABB17A" w:rsidP="77447815">
      <w:pPr>
        <w:spacing w:before="240" w:after="240"/>
        <w:rPr>
          <w:rFonts w:ascii="Calibri" w:eastAsia="Calibri" w:hAnsi="Calibri" w:cs="Calibri"/>
          <w:color w:val="000000" w:themeColor="text1"/>
        </w:rPr>
      </w:pPr>
      <w:r w:rsidRPr="028DD7F5">
        <w:rPr>
          <w:rFonts w:ascii="Calibri" w:eastAsia="Calibri" w:hAnsi="Calibri" w:cs="Calibri"/>
          <w:color w:val="000000" w:themeColor="text1"/>
        </w:rPr>
        <w:t>The following answers are based on California Energy Commission (CEC) staff’s interpretation of the questions received. It is the Applicant’s responsibility to review the Solicitation Manual and to determine whether their proposed project is eligible for funding by reviewing the Eligibility Requirements within the solicitation. The CEC cannot give definitive advice as to whether a particular project is eligible for funding, because not all proposal details are known.</w:t>
      </w:r>
    </w:p>
    <w:p w14:paraId="56654E9C" w14:textId="436067C8" w:rsidR="36A46FC4" w:rsidRDefault="36A46FC4" w:rsidP="007E41D6">
      <w:pPr>
        <w:pStyle w:val="Heading4"/>
      </w:pPr>
      <w:r w:rsidRPr="028DD7F5">
        <w:t>Project and Technology</w:t>
      </w:r>
      <w:r w:rsidR="4CC44EC6" w:rsidRPr="028DD7F5">
        <w:t xml:space="preserve"> Eligibility</w:t>
      </w:r>
    </w:p>
    <w:p w14:paraId="6756AFFC" w14:textId="159FDB57" w:rsidR="00022605" w:rsidRDefault="0C864052" w:rsidP="77447815">
      <w:pPr>
        <w:pStyle w:val="ListParagraph"/>
        <w:numPr>
          <w:ilvl w:val="0"/>
          <w:numId w:val="14"/>
        </w:numPr>
        <w:shd w:val="clear" w:color="auto" w:fill="FFFFFF" w:themeFill="background1"/>
        <w:spacing w:after="0"/>
        <w:rPr>
          <w:rFonts w:ascii="Calibri" w:eastAsia="Calibri" w:hAnsi="Calibri" w:cs="Calibri"/>
          <w:color w:val="000000" w:themeColor="text1"/>
        </w:rPr>
      </w:pPr>
      <w:r w:rsidRPr="028DD7F5">
        <w:rPr>
          <w:rFonts w:ascii="Calibri" w:eastAsia="Calibri" w:hAnsi="Calibri" w:cs="Calibri"/>
        </w:rPr>
        <w:t>Are publicly owned wastewater treatment plants eligible to participate in this program as the deployment facility for a (proposed) decarbonization technology?</w:t>
      </w:r>
    </w:p>
    <w:p w14:paraId="4DF7A974" w14:textId="5F5DBB50" w:rsidR="1632EF4F" w:rsidRDefault="1632EF4F" w:rsidP="77447815">
      <w:pPr>
        <w:pStyle w:val="ListParagraph"/>
        <w:shd w:val="clear" w:color="auto" w:fill="FFFFFF" w:themeFill="background1"/>
        <w:spacing w:after="0"/>
        <w:rPr>
          <w:rFonts w:ascii="Calibri" w:eastAsia="Calibri" w:hAnsi="Calibri" w:cs="Calibri"/>
          <w:color w:val="156082" w:themeColor="accent1"/>
        </w:rPr>
      </w:pPr>
    </w:p>
    <w:p w14:paraId="4A2C34B4" w14:textId="5834CD9C" w:rsidR="25D50D14" w:rsidRDefault="25D50D14" w:rsidP="77447815">
      <w:pPr>
        <w:pStyle w:val="ListParagraph"/>
        <w:shd w:val="clear" w:color="auto" w:fill="FFFFFF" w:themeFill="background1"/>
        <w:spacing w:after="0"/>
        <w:rPr>
          <w:rFonts w:ascii="Calibri" w:eastAsia="Calibri" w:hAnsi="Calibri" w:cs="Calibri"/>
        </w:rPr>
      </w:pPr>
      <w:r w:rsidRPr="028DD7F5">
        <w:rPr>
          <w:rFonts w:ascii="Calibri" w:eastAsia="Calibri" w:hAnsi="Calibri" w:cs="Calibri"/>
          <w:b/>
          <w:bCs/>
          <w:color w:val="156082" w:themeColor="accent1"/>
        </w:rPr>
        <w:t>CEC:</w:t>
      </w:r>
      <w:r w:rsidRPr="028DD7F5">
        <w:rPr>
          <w:rFonts w:ascii="Calibri" w:eastAsia="Calibri" w:hAnsi="Calibri" w:cs="Calibri"/>
          <w:color w:val="156082" w:themeColor="accent1"/>
        </w:rPr>
        <w:t xml:space="preserve"> </w:t>
      </w:r>
      <w:r w:rsidR="11E829FE" w:rsidRPr="028DD7F5">
        <w:rPr>
          <w:rFonts w:ascii="Calibri" w:eastAsia="Calibri" w:hAnsi="Calibri" w:cs="Calibri"/>
          <w:color w:val="156082" w:themeColor="accent1"/>
        </w:rPr>
        <w:t>Yes</w:t>
      </w:r>
      <w:r w:rsidR="6C3477D2" w:rsidRPr="028DD7F5">
        <w:rPr>
          <w:rFonts w:ascii="Calibri" w:eastAsia="Calibri" w:hAnsi="Calibri" w:cs="Calibri"/>
          <w:color w:val="156082" w:themeColor="accent1"/>
        </w:rPr>
        <w:t xml:space="preserve">, </w:t>
      </w:r>
      <w:r w:rsidR="005C6D9B" w:rsidRPr="028DD7F5">
        <w:rPr>
          <w:rFonts w:ascii="Calibri" w:eastAsia="Calibri" w:hAnsi="Calibri" w:cs="Calibri"/>
          <w:color w:val="156082" w:themeColor="accent1"/>
        </w:rPr>
        <w:t xml:space="preserve">if the publicly owned wastewater treatment plant is existing, it is considered eligible as an industrial demonstration site. The </w:t>
      </w:r>
      <w:r w:rsidR="00696C79" w:rsidRPr="028DD7F5">
        <w:rPr>
          <w:rFonts w:ascii="Calibri" w:eastAsia="Calibri" w:hAnsi="Calibri" w:cs="Calibri"/>
          <w:color w:val="156082" w:themeColor="accent1"/>
        </w:rPr>
        <w:t>project</w:t>
      </w:r>
      <w:r w:rsidR="005C6D9B" w:rsidRPr="028DD7F5">
        <w:rPr>
          <w:rFonts w:ascii="Calibri" w:eastAsia="Calibri" w:hAnsi="Calibri" w:cs="Calibri"/>
          <w:color w:val="156082" w:themeColor="accent1"/>
        </w:rPr>
        <w:t xml:space="preserve"> must meet all requirements in </w:t>
      </w:r>
      <w:r w:rsidR="6C3477D2" w:rsidRPr="028DD7F5">
        <w:rPr>
          <w:rFonts w:ascii="Calibri" w:eastAsia="Calibri" w:hAnsi="Calibri" w:cs="Calibri"/>
          <w:color w:val="156082" w:themeColor="accent1"/>
        </w:rPr>
        <w:t xml:space="preserve">Section </w:t>
      </w:r>
      <w:r w:rsidR="250EB030" w:rsidRPr="028DD7F5">
        <w:rPr>
          <w:rFonts w:ascii="Calibri" w:eastAsia="Calibri" w:hAnsi="Calibri" w:cs="Calibri"/>
          <w:color w:val="156082" w:themeColor="accent1"/>
        </w:rPr>
        <w:t>II</w:t>
      </w:r>
      <w:r w:rsidR="00D419B5" w:rsidRPr="028DD7F5">
        <w:rPr>
          <w:rFonts w:ascii="Calibri" w:eastAsia="Calibri" w:hAnsi="Calibri" w:cs="Calibri"/>
          <w:color w:val="156082" w:themeColor="accent1"/>
        </w:rPr>
        <w:t>.</w:t>
      </w:r>
      <w:r w:rsidR="6C3477D2" w:rsidRPr="028DD7F5">
        <w:rPr>
          <w:rFonts w:ascii="Calibri" w:eastAsia="Calibri" w:hAnsi="Calibri" w:cs="Calibri"/>
          <w:color w:val="156082" w:themeColor="accent1"/>
        </w:rPr>
        <w:t xml:space="preserve"> </w:t>
      </w:r>
      <w:r w:rsidR="007862C7" w:rsidRPr="028DD7F5">
        <w:rPr>
          <w:rFonts w:ascii="Calibri" w:eastAsia="Calibri" w:hAnsi="Calibri" w:cs="Calibri"/>
          <w:color w:val="156082" w:themeColor="accent1"/>
        </w:rPr>
        <w:t>Eligibility Requirements</w:t>
      </w:r>
      <w:r w:rsidR="005C6D9B" w:rsidRPr="028DD7F5">
        <w:rPr>
          <w:rFonts w:ascii="Calibri" w:eastAsia="Calibri" w:hAnsi="Calibri" w:cs="Calibri"/>
          <w:color w:val="156082" w:themeColor="accent1"/>
        </w:rPr>
        <w:t xml:space="preserve">. </w:t>
      </w:r>
    </w:p>
    <w:p w14:paraId="73139700" w14:textId="0C4EED9F" w:rsidR="1632EF4F" w:rsidRDefault="1632EF4F" w:rsidP="77447815">
      <w:pPr>
        <w:pStyle w:val="ListParagraph"/>
        <w:shd w:val="clear" w:color="auto" w:fill="FFFFFF" w:themeFill="background1"/>
        <w:spacing w:after="0"/>
        <w:rPr>
          <w:rFonts w:ascii="Calibri" w:eastAsia="Calibri" w:hAnsi="Calibri" w:cs="Calibri"/>
          <w:color w:val="156082" w:themeColor="accent1"/>
        </w:rPr>
      </w:pPr>
    </w:p>
    <w:p w14:paraId="07D05687" w14:textId="331D9BAD" w:rsidR="00022605" w:rsidRDefault="0C864052" w:rsidP="77447815">
      <w:pPr>
        <w:pStyle w:val="ListParagraph"/>
        <w:numPr>
          <w:ilvl w:val="0"/>
          <w:numId w:val="14"/>
        </w:numPr>
        <w:shd w:val="clear" w:color="auto" w:fill="FFFFFF" w:themeFill="background1"/>
        <w:spacing w:after="0"/>
        <w:rPr>
          <w:rFonts w:ascii="Calibri" w:eastAsia="Calibri" w:hAnsi="Calibri" w:cs="Calibri"/>
          <w:color w:val="000000" w:themeColor="text1"/>
        </w:rPr>
      </w:pPr>
      <w:r w:rsidRPr="028DD7F5">
        <w:rPr>
          <w:rFonts w:ascii="Calibri" w:eastAsia="Calibri" w:hAnsi="Calibri" w:cs="Calibri"/>
        </w:rPr>
        <w:t>Can an engineering consultant company be the prime applicant leading a team of equipment manufacturers, public utility, and others (e.g., contractors required for installation of the proposed equipment)?</w:t>
      </w:r>
    </w:p>
    <w:p w14:paraId="111C2BC4" w14:textId="5438E592" w:rsidR="1632EF4F" w:rsidRDefault="1632EF4F" w:rsidP="77447815">
      <w:pPr>
        <w:shd w:val="clear" w:color="auto" w:fill="FFFFFF" w:themeFill="background1"/>
        <w:spacing w:after="0"/>
        <w:rPr>
          <w:rFonts w:ascii="Calibri" w:eastAsia="Calibri" w:hAnsi="Calibri" w:cs="Calibri"/>
        </w:rPr>
      </w:pPr>
    </w:p>
    <w:p w14:paraId="0C84105D" w14:textId="71F974CF" w:rsidR="36B6083A" w:rsidRDefault="36B6083A" w:rsidP="77447815">
      <w:pPr>
        <w:spacing w:after="0"/>
        <w:ind w:left="720"/>
        <w:rPr>
          <w:rFonts w:ascii="Calibri" w:eastAsia="Calibri" w:hAnsi="Calibri" w:cs="Calibri"/>
          <w:color w:val="155F81"/>
        </w:rPr>
      </w:pPr>
      <w:r w:rsidRPr="028DD7F5">
        <w:rPr>
          <w:rFonts w:ascii="Calibri" w:eastAsia="Calibri" w:hAnsi="Calibri" w:cs="Calibri"/>
          <w:b/>
          <w:bCs/>
          <w:color w:val="155F81"/>
        </w:rPr>
        <w:t>CEC:</w:t>
      </w:r>
      <w:r w:rsidRPr="028DD7F5">
        <w:rPr>
          <w:rFonts w:ascii="Calibri" w:eastAsia="Calibri" w:hAnsi="Calibri" w:cs="Calibri"/>
          <w:color w:val="155F81"/>
        </w:rPr>
        <w:t xml:space="preserve"> Yes, an engineering consultant company </w:t>
      </w:r>
      <w:r w:rsidR="0005731D" w:rsidRPr="028DD7F5">
        <w:rPr>
          <w:rFonts w:ascii="Calibri" w:eastAsia="Calibri" w:hAnsi="Calibri" w:cs="Calibri"/>
          <w:color w:val="155F81"/>
        </w:rPr>
        <w:t xml:space="preserve">is eligible to </w:t>
      </w:r>
      <w:r w:rsidRPr="028DD7F5">
        <w:rPr>
          <w:rFonts w:ascii="Calibri" w:eastAsia="Calibri" w:hAnsi="Calibri" w:cs="Calibri"/>
          <w:color w:val="155F81"/>
        </w:rPr>
        <w:t>be the prime applicant</w:t>
      </w:r>
      <w:r w:rsidR="00AC11F6" w:rsidRPr="028DD7F5">
        <w:rPr>
          <w:rFonts w:ascii="Calibri" w:eastAsia="Calibri" w:hAnsi="Calibri" w:cs="Calibri"/>
          <w:color w:val="155F81"/>
        </w:rPr>
        <w:t xml:space="preserve">. </w:t>
      </w:r>
      <w:r w:rsidR="0025142C" w:rsidRPr="028DD7F5">
        <w:rPr>
          <w:rFonts w:ascii="Calibri" w:eastAsia="Calibri" w:hAnsi="Calibri" w:cs="Calibri"/>
          <w:color w:val="155F81"/>
        </w:rPr>
        <w:t xml:space="preserve">The </w:t>
      </w:r>
      <w:r w:rsidR="00696C79" w:rsidRPr="028DD7F5">
        <w:rPr>
          <w:rFonts w:ascii="Calibri" w:eastAsia="Calibri" w:hAnsi="Calibri" w:cs="Calibri"/>
          <w:color w:val="155F81"/>
        </w:rPr>
        <w:t>project</w:t>
      </w:r>
      <w:r w:rsidR="0025142C" w:rsidRPr="028DD7F5">
        <w:rPr>
          <w:rFonts w:ascii="Calibri" w:eastAsia="Calibri" w:hAnsi="Calibri" w:cs="Calibri"/>
          <w:color w:val="155F81"/>
        </w:rPr>
        <w:t xml:space="preserve"> must meet all requirements in Section II</w:t>
      </w:r>
      <w:r w:rsidR="00D419B5" w:rsidRPr="028DD7F5">
        <w:rPr>
          <w:rFonts w:ascii="Calibri" w:eastAsia="Calibri" w:hAnsi="Calibri" w:cs="Calibri"/>
          <w:color w:val="155F81"/>
        </w:rPr>
        <w:t>.</w:t>
      </w:r>
      <w:r w:rsidR="0025142C" w:rsidRPr="028DD7F5">
        <w:rPr>
          <w:rFonts w:ascii="Calibri" w:eastAsia="Calibri" w:hAnsi="Calibri" w:cs="Calibri"/>
          <w:color w:val="155F81"/>
        </w:rPr>
        <w:t xml:space="preserve"> Eligibility Requirements.</w:t>
      </w:r>
    </w:p>
    <w:p w14:paraId="69D350C3" w14:textId="661829BA" w:rsidR="1632EF4F" w:rsidRDefault="1632EF4F" w:rsidP="77447815">
      <w:pPr>
        <w:spacing w:after="0"/>
        <w:ind w:left="720"/>
        <w:rPr>
          <w:rFonts w:ascii="Calibri" w:eastAsia="Calibri" w:hAnsi="Calibri" w:cs="Calibri"/>
          <w:color w:val="155F81"/>
        </w:rPr>
      </w:pPr>
    </w:p>
    <w:p w14:paraId="1CCAA948" w14:textId="68D65D94" w:rsidR="1632EF4F" w:rsidRDefault="45297C08"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rPr>
        <w:t>I am with a sanitary district</w:t>
      </w:r>
      <w:r w:rsidR="6A3182FB" w:rsidRPr="028DD7F5">
        <w:rPr>
          <w:rFonts w:ascii="Calibri" w:eastAsia="Calibri" w:hAnsi="Calibri" w:cs="Calibri"/>
        </w:rPr>
        <w:t>,</w:t>
      </w:r>
      <w:r w:rsidRPr="028DD7F5">
        <w:rPr>
          <w:rFonts w:ascii="Calibri" w:eastAsia="Calibri" w:hAnsi="Calibri" w:cs="Calibri"/>
        </w:rPr>
        <w:t xml:space="preserve"> and we are severely power constrained at present. We are looking into opportunities to address the issue. Would we be considered an eligible industrial applicant for the new INDIGO Round 3 funding? We’re considering onsite generation through solar, improved methane capture at our digester, or both. I want to make sure we’re eligible before we finalize the scope.</w:t>
      </w:r>
    </w:p>
    <w:p w14:paraId="049D5619" w14:textId="58E4B5C7" w:rsidR="1632EF4F" w:rsidRDefault="1632EF4F" w:rsidP="77447815">
      <w:pPr>
        <w:spacing w:after="0"/>
        <w:ind w:firstLine="720"/>
        <w:rPr>
          <w:rFonts w:ascii="Calibri" w:eastAsia="Calibri" w:hAnsi="Calibri" w:cs="Calibri"/>
          <w:color w:val="000000" w:themeColor="text1"/>
        </w:rPr>
      </w:pPr>
    </w:p>
    <w:p w14:paraId="36DF4E35" w14:textId="58872B3F" w:rsidR="1632EF4F" w:rsidRPr="00FC256F" w:rsidRDefault="45297C08" w:rsidP="77447815">
      <w:pPr>
        <w:pStyle w:val="ListParagraph"/>
        <w:shd w:val="clear" w:color="auto" w:fill="FFFFFF" w:themeFill="background1"/>
        <w:spacing w:after="0"/>
        <w:rPr>
          <w:rFonts w:ascii="Calibri" w:eastAsia="Calibri" w:hAnsi="Calibri" w:cs="Calibri"/>
        </w:rPr>
      </w:pPr>
      <w:r w:rsidRPr="028DD7F5">
        <w:rPr>
          <w:rFonts w:ascii="Calibri" w:eastAsia="Calibri" w:hAnsi="Calibri" w:cs="Calibri"/>
          <w:b/>
          <w:bCs/>
          <w:color w:val="156082" w:themeColor="accent1"/>
        </w:rPr>
        <w:t>CEC:</w:t>
      </w:r>
      <w:r w:rsidRPr="028DD7F5">
        <w:rPr>
          <w:rFonts w:ascii="Calibri" w:eastAsia="Calibri" w:hAnsi="Calibri" w:cs="Calibri"/>
          <w:color w:val="156082" w:themeColor="accent1"/>
        </w:rPr>
        <w:t xml:space="preserve"> Yes, if the sanitary district is existing, it is considered eligible as an industrial demonstration site. Projects that support industrial decarbonization, including those that partially or fully electrify industrial processes, implement onsite renewable </w:t>
      </w:r>
      <w:r w:rsidRPr="028DD7F5">
        <w:rPr>
          <w:rFonts w:ascii="Calibri" w:eastAsia="Calibri" w:hAnsi="Calibri" w:cs="Calibri"/>
          <w:color w:val="156082" w:themeColor="accent1"/>
        </w:rPr>
        <w:lastRenderedPageBreak/>
        <w:t>generation (e.g., solar), and improve methane capture are eligible project types. The project must meet all requirements in Section II</w:t>
      </w:r>
      <w:r w:rsidR="00D419B5" w:rsidRPr="028DD7F5">
        <w:rPr>
          <w:rFonts w:ascii="Calibri" w:eastAsia="Calibri" w:hAnsi="Calibri" w:cs="Calibri"/>
          <w:color w:val="156082" w:themeColor="accent1"/>
        </w:rPr>
        <w:t>.</w:t>
      </w:r>
      <w:r w:rsidRPr="028DD7F5">
        <w:rPr>
          <w:rFonts w:ascii="Calibri" w:eastAsia="Calibri" w:hAnsi="Calibri" w:cs="Calibri"/>
          <w:color w:val="156082" w:themeColor="accent1"/>
        </w:rPr>
        <w:t xml:space="preserve"> Eligibility Requirements. </w:t>
      </w:r>
    </w:p>
    <w:p w14:paraId="16BDD14F" w14:textId="675EF5AC" w:rsidR="1632EF4F" w:rsidRDefault="1632EF4F" w:rsidP="77447815">
      <w:pPr>
        <w:spacing w:after="0"/>
        <w:ind w:left="720"/>
        <w:rPr>
          <w:rFonts w:ascii="Calibri" w:eastAsia="Calibri" w:hAnsi="Calibri" w:cs="Calibri"/>
          <w:color w:val="156082" w:themeColor="accent1"/>
        </w:rPr>
      </w:pPr>
    </w:p>
    <w:p w14:paraId="77196B36" w14:textId="3D9A5E13" w:rsidR="1632EF4F" w:rsidRDefault="45297C08"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rPr>
        <w:t xml:space="preserve">The project is to create a factory facility that will process excess forest biomass into a potting product for California horticulture as a replacement for peat moss. The project entails use of machines that process wood chips into a fibrous product that horticulture can use in their potting mixes, to replace or supplement GHG intensive imported materials (peat and coco coir). </w:t>
      </w:r>
    </w:p>
    <w:p w14:paraId="210E6B29" w14:textId="28EC1604" w:rsidR="1632EF4F" w:rsidRDefault="45297C08" w:rsidP="77447815">
      <w:pPr>
        <w:spacing w:after="0"/>
        <w:rPr>
          <w:rFonts w:ascii="Calibri" w:eastAsia="Calibri" w:hAnsi="Calibri" w:cs="Calibri"/>
          <w:color w:val="000000" w:themeColor="text1"/>
        </w:rPr>
      </w:pPr>
      <w:r w:rsidRPr="028DD7F5">
        <w:rPr>
          <w:rFonts w:ascii="Calibri" w:eastAsia="Calibri" w:hAnsi="Calibri" w:cs="Calibri"/>
        </w:rPr>
        <w:t xml:space="preserve"> </w:t>
      </w:r>
    </w:p>
    <w:p w14:paraId="1A1AE903" w14:textId="1C90DEC5"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The project meets the following requirements in </w:t>
      </w:r>
      <w:r w:rsidR="421C6E18" w:rsidRPr="028DD7F5">
        <w:rPr>
          <w:rFonts w:ascii="Calibri" w:eastAsia="Calibri" w:hAnsi="Calibri" w:cs="Calibri"/>
        </w:rPr>
        <w:t>S</w:t>
      </w:r>
      <w:r w:rsidRPr="028DD7F5">
        <w:rPr>
          <w:rFonts w:ascii="Calibri" w:eastAsia="Calibri" w:hAnsi="Calibri" w:cs="Calibri"/>
        </w:rPr>
        <w:t>ection II</w:t>
      </w:r>
      <w:r w:rsidR="150926E7" w:rsidRPr="028DD7F5">
        <w:rPr>
          <w:rFonts w:ascii="Calibri" w:eastAsia="Calibri" w:hAnsi="Calibri" w:cs="Calibri"/>
        </w:rPr>
        <w:t>.</w:t>
      </w:r>
      <w:r w:rsidRPr="028DD7F5">
        <w:rPr>
          <w:rFonts w:ascii="Calibri" w:eastAsia="Calibri" w:hAnsi="Calibri" w:cs="Calibri"/>
        </w:rPr>
        <w:t>B, 1+2, of the Grant Funding Opportunity Addendum 8:</w:t>
      </w:r>
    </w:p>
    <w:p w14:paraId="30DA99E6" w14:textId="1B7C20EF"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 </w:t>
      </w:r>
    </w:p>
    <w:p w14:paraId="53E7A122" w14:textId="3653E1E7"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1-Implements a cutting-edge, emerging technology of TRL 9 that has not been deployed in California but has been proven commercially in Europe and East Coast US for at least a decade. The technology is extruder machines engineered specifically for the purpose of producing wood fiber potting substrate from woody biomass for horticulture. </w:t>
      </w:r>
    </w:p>
    <w:p w14:paraId="50A62B71" w14:textId="190CA55F"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2-The process is electrified, offsets high GHG impacts of extracting peat and of transporting peat and coco coir from distant locations, is scalable to numerous locations throughout California, provides air pollution benefits by reducing wildfire risk to priority populations and beyond.</w:t>
      </w:r>
    </w:p>
    <w:p w14:paraId="3A39140C" w14:textId="61F2013B"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3-Initial demonstration project will be located in a disadvantaged and low-income area, has demonstrated public support, and will provide additional jobs.</w:t>
      </w:r>
    </w:p>
    <w:p w14:paraId="72E9EE8D" w14:textId="045636F3"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 </w:t>
      </w:r>
    </w:p>
    <w:p w14:paraId="02E81B46" w14:textId="1D3B3CC8"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The process is an alternative process that uses an alternative feedstock to switch from raw materials that release GHG emissions. Currently the horticulture industry has a high dependence on peat moss from Canada and coco coir from SE Asia for potting and amendment mixes. Peat moss extraction from peat bog carbon sinks causes release of CO2 from the sinks, and transport GHG impacts from Canada are high. Coco coir has high transport GHG impacts. Using a local material reduces these impacts by a factor of 5, while assisting with fire mitigation efforts, which ultimately help retain the carbon sink of existing forests. </w:t>
      </w:r>
    </w:p>
    <w:p w14:paraId="05D1A7C2" w14:textId="3F3B74E8" w:rsidR="1632EF4F" w:rsidRDefault="1632EF4F" w:rsidP="77447815">
      <w:pPr>
        <w:pStyle w:val="ListParagraph"/>
        <w:spacing w:after="0"/>
        <w:rPr>
          <w:rFonts w:ascii="Calibri" w:eastAsia="Calibri" w:hAnsi="Calibri" w:cs="Calibri"/>
          <w:color w:val="000000" w:themeColor="text1"/>
        </w:rPr>
      </w:pPr>
    </w:p>
    <w:p w14:paraId="027277E1" w14:textId="1C4BF274"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However, the process would cause additional use of electrical power in the state as processing takes place, and the project does not directly "use alternative processing approaches that replace carbon-intensive thermal energy use" as described in the </w:t>
      </w:r>
      <w:r w:rsidR="6A23A90A" w:rsidRPr="028DD7F5">
        <w:rPr>
          <w:rFonts w:ascii="Calibri" w:eastAsia="Calibri" w:hAnsi="Calibri" w:cs="Calibri"/>
        </w:rPr>
        <w:t>solicitation manual</w:t>
      </w:r>
      <w:r w:rsidRPr="028DD7F5">
        <w:rPr>
          <w:rFonts w:ascii="Calibri" w:eastAsia="Calibri" w:hAnsi="Calibri" w:cs="Calibri"/>
        </w:rPr>
        <w:t xml:space="preserve">. It does, however, replace the carbon-intensive energy use of importing foreign materials for horticulture. </w:t>
      </w:r>
    </w:p>
    <w:p w14:paraId="7131D3AE" w14:textId="5BE9D9FC"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 </w:t>
      </w:r>
    </w:p>
    <w:p w14:paraId="53A94A57" w14:textId="7151175C"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lastRenderedPageBreak/>
        <w:t xml:space="preserve">Note that the intended plan would use electricity from a biomass electrical generation plant, rather than from the grid. </w:t>
      </w:r>
    </w:p>
    <w:p w14:paraId="3EAF203A" w14:textId="530DB22B"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 </w:t>
      </w:r>
    </w:p>
    <w:p w14:paraId="4DE9D052" w14:textId="3D3E6911" w:rsidR="1632EF4F" w:rsidRDefault="45297C08" w:rsidP="77447815">
      <w:pPr>
        <w:pStyle w:val="ListParagraph"/>
        <w:spacing w:after="0"/>
        <w:rPr>
          <w:rFonts w:ascii="Calibri" w:eastAsia="Calibri" w:hAnsi="Calibri" w:cs="Calibri"/>
          <w:color w:val="000000" w:themeColor="text1"/>
        </w:rPr>
      </w:pPr>
      <w:r w:rsidRPr="028DD7F5">
        <w:rPr>
          <w:rFonts w:ascii="Calibri" w:eastAsia="Calibri" w:hAnsi="Calibri" w:cs="Calibri"/>
        </w:rPr>
        <w:t>Does this project qualify for application for the INDIGO grant?</w:t>
      </w:r>
    </w:p>
    <w:p w14:paraId="5584DAF9" w14:textId="667E13F2" w:rsidR="1632EF4F" w:rsidRDefault="1632EF4F" w:rsidP="77447815">
      <w:pPr>
        <w:pStyle w:val="ListParagraph"/>
        <w:spacing w:after="0"/>
        <w:rPr>
          <w:rFonts w:ascii="Calibri" w:eastAsia="Calibri" w:hAnsi="Calibri" w:cs="Calibri"/>
          <w:color w:val="000000" w:themeColor="text1"/>
        </w:rPr>
      </w:pPr>
    </w:p>
    <w:p w14:paraId="311F6CFF" w14:textId="46DF6E54" w:rsidR="00852F90" w:rsidRDefault="45297C08" w:rsidP="77447815">
      <w:pPr>
        <w:pStyle w:val="ListParagraph"/>
        <w:spacing w:after="0"/>
        <w:rPr>
          <w:rFonts w:ascii="Calibri" w:eastAsia="Calibri" w:hAnsi="Calibri" w:cs="Calibri"/>
          <w:b/>
          <w:bCs/>
          <w:color w:val="155F81"/>
        </w:rPr>
      </w:pPr>
      <w:r w:rsidRPr="028DD7F5">
        <w:rPr>
          <w:rFonts w:ascii="Calibri" w:eastAsia="Calibri" w:hAnsi="Calibri" w:cs="Calibri"/>
          <w:b/>
          <w:bCs/>
          <w:color w:val="155F81"/>
        </w:rPr>
        <w:t xml:space="preserve">CEC: </w:t>
      </w:r>
      <w:r w:rsidR="381C525A" w:rsidRPr="028DD7F5">
        <w:rPr>
          <w:rFonts w:ascii="Calibri" w:eastAsia="Calibri" w:hAnsi="Calibri" w:cs="Calibri"/>
          <w:color w:val="156082" w:themeColor="accent1"/>
        </w:rPr>
        <w:t xml:space="preserve">This program is open to </w:t>
      </w:r>
      <w:r w:rsidR="381C525A" w:rsidRPr="028DD7F5">
        <w:rPr>
          <w:rFonts w:ascii="Calibri" w:eastAsia="Calibri" w:hAnsi="Calibri" w:cs="Calibri"/>
          <w:color w:val="156082" w:themeColor="accent1"/>
          <w:u w:val="single"/>
        </w:rPr>
        <w:t xml:space="preserve">existing </w:t>
      </w:r>
      <w:r w:rsidR="381C525A" w:rsidRPr="028DD7F5">
        <w:rPr>
          <w:rFonts w:ascii="Calibri" w:eastAsia="Calibri" w:hAnsi="Calibri" w:cs="Calibri"/>
          <w:color w:val="156082" w:themeColor="accent1"/>
        </w:rPr>
        <w:t>industrial facilities, utilities, equipment manufacturers, energy service companies, project aggregators, and project developers who propose to implement projects in California’s industrial sector (Section II</w:t>
      </w:r>
      <w:r w:rsidR="71A80416" w:rsidRPr="028DD7F5">
        <w:rPr>
          <w:rFonts w:ascii="Calibri" w:eastAsia="Calibri" w:hAnsi="Calibri" w:cs="Calibri"/>
          <w:color w:val="156082" w:themeColor="accent1"/>
        </w:rPr>
        <w:t>.</w:t>
      </w:r>
      <w:r w:rsidR="381C525A" w:rsidRPr="028DD7F5">
        <w:rPr>
          <w:rFonts w:ascii="Calibri" w:eastAsia="Calibri" w:hAnsi="Calibri" w:cs="Calibri"/>
          <w:color w:val="156082" w:themeColor="accent1"/>
        </w:rPr>
        <w:t>A</w:t>
      </w:r>
      <w:r w:rsidR="00FE5B90" w:rsidRPr="028DD7F5">
        <w:rPr>
          <w:rFonts w:ascii="Calibri" w:eastAsia="Calibri" w:hAnsi="Calibri" w:cs="Calibri"/>
          <w:color w:val="156082" w:themeColor="accent1"/>
        </w:rPr>
        <w:t xml:space="preserve">. </w:t>
      </w:r>
      <w:r w:rsidR="00DA344D" w:rsidRPr="028DD7F5">
        <w:rPr>
          <w:rFonts w:ascii="Calibri" w:eastAsia="Calibri" w:hAnsi="Calibri" w:cs="Calibri"/>
          <w:color w:val="156082" w:themeColor="accent1"/>
        </w:rPr>
        <w:t>Applicant Requirements</w:t>
      </w:r>
      <w:r w:rsidR="381C525A" w:rsidRPr="028DD7F5">
        <w:rPr>
          <w:rFonts w:ascii="Calibri" w:eastAsia="Calibri" w:hAnsi="Calibri" w:cs="Calibri"/>
          <w:color w:val="156082" w:themeColor="accent1"/>
        </w:rPr>
        <w:t>).</w:t>
      </w:r>
      <w:r w:rsidR="381C525A" w:rsidRPr="028DD7F5">
        <w:rPr>
          <w:rFonts w:ascii="Calibri" w:eastAsia="Calibri" w:hAnsi="Calibri" w:cs="Calibri"/>
          <w:color w:val="156082" w:themeColor="accent1"/>
          <w:sz w:val="22"/>
          <w:szCs w:val="22"/>
        </w:rPr>
        <w:t xml:space="preserve"> </w:t>
      </w:r>
      <w:r w:rsidRPr="028DD7F5">
        <w:rPr>
          <w:rFonts w:ascii="Calibri" w:eastAsia="Calibri" w:hAnsi="Calibri" w:cs="Calibri"/>
          <w:b/>
          <w:bCs/>
          <w:color w:val="155F81"/>
        </w:rPr>
        <w:t xml:space="preserve"> </w:t>
      </w:r>
    </w:p>
    <w:p w14:paraId="4C253E17" w14:textId="77777777" w:rsidR="00852F90" w:rsidRDefault="00852F90" w:rsidP="77447815">
      <w:pPr>
        <w:pStyle w:val="ListParagraph"/>
        <w:spacing w:after="0"/>
        <w:rPr>
          <w:rFonts w:ascii="Calibri" w:eastAsia="Calibri" w:hAnsi="Calibri" w:cs="Calibri"/>
          <w:color w:val="155F81"/>
        </w:rPr>
      </w:pPr>
    </w:p>
    <w:p w14:paraId="7A55BFCA" w14:textId="4B7CA8B3" w:rsidR="1632EF4F" w:rsidRDefault="45297C08" w:rsidP="77447815">
      <w:pPr>
        <w:pStyle w:val="ListParagraph"/>
        <w:spacing w:after="0"/>
        <w:rPr>
          <w:rFonts w:ascii="Calibri" w:eastAsia="Calibri" w:hAnsi="Calibri" w:cs="Calibri"/>
          <w:color w:val="156082" w:themeColor="accent1"/>
        </w:rPr>
      </w:pPr>
      <w:r w:rsidRPr="028DD7F5">
        <w:rPr>
          <w:rFonts w:ascii="Calibri" w:eastAsia="Calibri" w:hAnsi="Calibri" w:cs="Calibri"/>
          <w:color w:val="155F81"/>
        </w:rPr>
        <w:t>Qualifying p</w:t>
      </w:r>
      <w:r w:rsidRPr="028DD7F5">
        <w:rPr>
          <w:rFonts w:ascii="Calibri" w:eastAsia="Calibri" w:hAnsi="Calibri" w:cs="Calibri"/>
          <w:color w:val="156082" w:themeColor="accent1"/>
        </w:rPr>
        <w:t>rojects must achieve at least one of the following goals from Section II</w:t>
      </w:r>
      <w:r w:rsidR="00DA344D" w:rsidRPr="028DD7F5">
        <w:rPr>
          <w:rFonts w:ascii="Calibri" w:eastAsia="Calibri" w:hAnsi="Calibri" w:cs="Calibri"/>
          <w:color w:val="156082" w:themeColor="accent1"/>
        </w:rPr>
        <w:t>.</w:t>
      </w:r>
      <w:r w:rsidRPr="028DD7F5">
        <w:rPr>
          <w:rFonts w:ascii="Calibri" w:eastAsia="Calibri" w:hAnsi="Calibri" w:cs="Calibri"/>
          <w:color w:val="156082" w:themeColor="accent1"/>
        </w:rPr>
        <w:t xml:space="preserve">B. Project Requirements at the industrial demonstration site(s).  Additional points </w:t>
      </w:r>
      <w:r w:rsidR="6890FFFF" w:rsidRPr="028DD7F5">
        <w:rPr>
          <w:rFonts w:ascii="Calibri" w:eastAsia="Calibri" w:hAnsi="Calibri" w:cs="Calibri"/>
          <w:color w:val="156082" w:themeColor="accent1"/>
        </w:rPr>
        <w:t>may</w:t>
      </w:r>
      <w:r w:rsidRPr="028DD7F5">
        <w:rPr>
          <w:rFonts w:ascii="Calibri" w:eastAsia="Calibri" w:hAnsi="Calibri" w:cs="Calibri"/>
          <w:color w:val="156082" w:themeColor="accent1"/>
        </w:rPr>
        <w:t xml:space="preserve"> be awarded for </w:t>
      </w:r>
      <w:r w:rsidR="7C37AAEC" w:rsidRPr="028DD7F5">
        <w:rPr>
          <w:rFonts w:ascii="Calibri" w:eastAsia="Calibri" w:hAnsi="Calibri" w:cs="Calibri"/>
          <w:color w:val="156082" w:themeColor="accent1"/>
        </w:rPr>
        <w:t xml:space="preserve">projects </w:t>
      </w:r>
      <w:r w:rsidRPr="028DD7F5">
        <w:rPr>
          <w:rFonts w:ascii="Calibri" w:eastAsia="Calibri" w:hAnsi="Calibri" w:cs="Calibri"/>
          <w:color w:val="156082" w:themeColor="accent1"/>
        </w:rPr>
        <w:t xml:space="preserve">meeting multiple goals: </w:t>
      </w:r>
    </w:p>
    <w:p w14:paraId="03050071" w14:textId="262A5948" w:rsidR="1632EF4F" w:rsidRDefault="45297C08" w:rsidP="77447815">
      <w:pPr>
        <w:pStyle w:val="ListParagraph"/>
        <w:numPr>
          <w:ilvl w:val="1"/>
          <w:numId w:val="3"/>
        </w:numPr>
        <w:tabs>
          <w:tab w:val="left" w:pos="1350"/>
        </w:tabs>
        <w:spacing w:before="120" w:after="0"/>
        <w:rPr>
          <w:rFonts w:ascii="Calibri" w:eastAsia="Calibri" w:hAnsi="Calibri" w:cs="Calibri"/>
          <w:color w:val="156082" w:themeColor="accent1"/>
        </w:rPr>
      </w:pPr>
      <w:r w:rsidRPr="028DD7F5">
        <w:rPr>
          <w:rFonts w:ascii="Calibri" w:eastAsia="Calibri" w:hAnsi="Calibri" w:cs="Calibri"/>
          <w:color w:val="156082" w:themeColor="accent1"/>
        </w:rPr>
        <w:t>Electrify some or all industrial processes</w:t>
      </w:r>
    </w:p>
    <w:p w14:paraId="2F743C7D" w14:textId="4B4AD64B" w:rsidR="1632EF4F" w:rsidRDefault="45297C08" w:rsidP="77447815">
      <w:pPr>
        <w:pStyle w:val="ListParagraph"/>
        <w:numPr>
          <w:ilvl w:val="1"/>
          <w:numId w:val="3"/>
        </w:numPr>
        <w:tabs>
          <w:tab w:val="left" w:pos="1350"/>
        </w:tabs>
        <w:spacing w:before="120" w:after="0"/>
        <w:rPr>
          <w:rFonts w:ascii="Calibri" w:eastAsia="Calibri" w:hAnsi="Calibri" w:cs="Calibri"/>
          <w:color w:val="156082" w:themeColor="accent1"/>
        </w:rPr>
      </w:pPr>
      <w:r w:rsidRPr="028DD7F5">
        <w:rPr>
          <w:rFonts w:ascii="Calibri" w:eastAsia="Calibri" w:hAnsi="Calibri" w:cs="Calibri"/>
          <w:color w:val="156082" w:themeColor="accent1"/>
        </w:rPr>
        <w:t>Maximize GHG emission reductions</w:t>
      </w:r>
    </w:p>
    <w:p w14:paraId="54911557" w14:textId="01559A87" w:rsidR="1632EF4F" w:rsidRDefault="45297C08" w:rsidP="77447815">
      <w:pPr>
        <w:pStyle w:val="ListParagraph"/>
        <w:numPr>
          <w:ilvl w:val="1"/>
          <w:numId w:val="3"/>
        </w:numPr>
        <w:tabs>
          <w:tab w:val="left" w:pos="1350"/>
        </w:tabs>
        <w:spacing w:before="120" w:after="0"/>
        <w:rPr>
          <w:rFonts w:ascii="Calibri" w:eastAsia="Calibri" w:hAnsi="Calibri" w:cs="Calibri"/>
          <w:color w:val="156082" w:themeColor="accent1"/>
        </w:rPr>
      </w:pPr>
      <w:r w:rsidRPr="028DD7F5">
        <w:rPr>
          <w:rFonts w:ascii="Calibri" w:eastAsia="Calibri" w:hAnsi="Calibri" w:cs="Calibri"/>
          <w:color w:val="156082" w:themeColor="accent1"/>
        </w:rPr>
        <w:t>Drive scalability and application of project technology to other facilities/industries/processes</w:t>
      </w:r>
    </w:p>
    <w:p w14:paraId="6C84FC8D" w14:textId="33A6332C" w:rsidR="1632EF4F" w:rsidRDefault="45297C08" w:rsidP="77447815">
      <w:pPr>
        <w:pStyle w:val="ListParagraph"/>
        <w:numPr>
          <w:ilvl w:val="1"/>
          <w:numId w:val="3"/>
        </w:numPr>
        <w:tabs>
          <w:tab w:val="left" w:pos="1350"/>
        </w:tabs>
        <w:spacing w:before="120" w:after="0"/>
        <w:rPr>
          <w:rFonts w:ascii="Calibri" w:eastAsia="Calibri" w:hAnsi="Calibri" w:cs="Calibri"/>
          <w:color w:val="156082" w:themeColor="accent1"/>
        </w:rPr>
      </w:pPr>
      <w:r w:rsidRPr="028DD7F5">
        <w:rPr>
          <w:rFonts w:ascii="Calibri" w:eastAsia="Calibri" w:hAnsi="Calibri" w:cs="Calibri"/>
          <w:color w:val="156082" w:themeColor="accent1"/>
        </w:rPr>
        <w:t>Reduce electrical demand during net peak periods</w:t>
      </w:r>
    </w:p>
    <w:p w14:paraId="58FD1330" w14:textId="31EBDB22" w:rsidR="1632EF4F" w:rsidRDefault="45297C08" w:rsidP="77447815">
      <w:pPr>
        <w:pStyle w:val="ListParagraph"/>
        <w:numPr>
          <w:ilvl w:val="1"/>
          <w:numId w:val="3"/>
        </w:numPr>
        <w:tabs>
          <w:tab w:val="left" w:pos="1350"/>
        </w:tabs>
        <w:spacing w:before="120" w:after="0"/>
        <w:rPr>
          <w:rFonts w:ascii="Calibri" w:eastAsia="Calibri" w:hAnsi="Calibri" w:cs="Calibri"/>
          <w:color w:val="156082" w:themeColor="accent1"/>
        </w:rPr>
      </w:pPr>
      <w:r w:rsidRPr="028DD7F5">
        <w:rPr>
          <w:rFonts w:ascii="Calibri" w:eastAsia="Calibri" w:hAnsi="Calibri" w:cs="Calibri"/>
          <w:color w:val="156082" w:themeColor="accent1"/>
        </w:rPr>
        <w:t>Provide air pollution benefits to priority populations</w:t>
      </w:r>
    </w:p>
    <w:p w14:paraId="66954DA7" w14:textId="30DC2319" w:rsidR="1632EF4F" w:rsidRDefault="1632EF4F" w:rsidP="77447815">
      <w:pPr>
        <w:pStyle w:val="ListParagraph"/>
        <w:tabs>
          <w:tab w:val="left" w:pos="1350"/>
        </w:tabs>
        <w:spacing w:before="120" w:after="0"/>
        <w:ind w:left="1440"/>
        <w:rPr>
          <w:rFonts w:ascii="Calibri" w:eastAsia="Calibri" w:hAnsi="Calibri" w:cs="Calibri"/>
          <w:color w:val="156082" w:themeColor="accent1"/>
        </w:rPr>
      </w:pPr>
    </w:p>
    <w:p w14:paraId="13C77C30" w14:textId="178E4D85" w:rsidR="1632EF4F" w:rsidRDefault="6DF0A40F" w:rsidP="77447815">
      <w:pPr>
        <w:pStyle w:val="ListParagraph"/>
        <w:numPr>
          <w:ilvl w:val="0"/>
          <w:numId w:val="14"/>
        </w:numPr>
        <w:spacing w:after="0"/>
        <w:rPr>
          <w:rFonts w:ascii="Calibri" w:eastAsia="Calibri" w:hAnsi="Calibri" w:cs="Calibri"/>
        </w:rPr>
      </w:pPr>
      <w:r w:rsidRPr="028DD7F5">
        <w:rPr>
          <w:rFonts w:ascii="Calibri" w:eastAsia="Calibri" w:hAnsi="Calibri" w:cs="Calibri"/>
        </w:rPr>
        <w:t xml:space="preserve">Solar Thermal Technology Eligibility - Are solar thermal projects focused on decarbonizing </w:t>
      </w:r>
      <w:r w:rsidR="496F7105" w:rsidRPr="028DD7F5">
        <w:rPr>
          <w:rFonts w:ascii="Calibri" w:eastAsia="Calibri" w:hAnsi="Calibri" w:cs="Calibri"/>
        </w:rPr>
        <w:t>f</w:t>
      </w:r>
      <w:r w:rsidRPr="028DD7F5">
        <w:rPr>
          <w:rFonts w:ascii="Calibri" w:eastAsia="Calibri" w:hAnsi="Calibri" w:cs="Calibri"/>
        </w:rPr>
        <w:t xml:space="preserve">ood plant industrial processes eligible? </w:t>
      </w:r>
    </w:p>
    <w:p w14:paraId="77927794" w14:textId="05798373" w:rsidR="1632EF4F" w:rsidRDefault="6DF0A40F" w:rsidP="77447815">
      <w:pPr>
        <w:pStyle w:val="ListParagraph"/>
        <w:numPr>
          <w:ilvl w:val="1"/>
          <w:numId w:val="14"/>
        </w:numPr>
        <w:spacing w:after="0"/>
        <w:rPr>
          <w:rFonts w:ascii="Calibri" w:eastAsia="Calibri" w:hAnsi="Calibri" w:cs="Calibri"/>
        </w:rPr>
      </w:pPr>
      <w:r w:rsidRPr="028DD7F5">
        <w:rPr>
          <w:rFonts w:ascii="Calibri" w:eastAsia="Calibri" w:hAnsi="Calibri" w:cs="Calibri"/>
        </w:rPr>
        <w:t xml:space="preserve">We note that these projects will meet at least 3 of the 5 stated program goals (C. Project Focus, B.1. Eligibility), reducing </w:t>
      </w:r>
      <w:r w:rsidR="7ACD88FB" w:rsidRPr="028DD7F5">
        <w:rPr>
          <w:rFonts w:ascii="Calibri" w:eastAsia="Calibri" w:hAnsi="Calibri" w:cs="Calibri"/>
        </w:rPr>
        <w:t>f</w:t>
      </w:r>
      <w:r w:rsidRPr="028DD7F5">
        <w:rPr>
          <w:rFonts w:ascii="Calibri" w:eastAsia="Calibri" w:hAnsi="Calibri" w:cs="Calibri"/>
        </w:rPr>
        <w:t xml:space="preserve">ood plant gas use. </w:t>
      </w:r>
    </w:p>
    <w:p w14:paraId="2FDD0113" w14:textId="14A927D2" w:rsidR="1632EF4F" w:rsidRDefault="6DF0A40F" w:rsidP="77447815">
      <w:pPr>
        <w:pStyle w:val="ListParagraph"/>
        <w:numPr>
          <w:ilvl w:val="1"/>
          <w:numId w:val="14"/>
        </w:numPr>
        <w:spacing w:after="0"/>
        <w:rPr>
          <w:rFonts w:ascii="Calibri" w:eastAsia="Calibri" w:hAnsi="Calibri" w:cs="Calibri"/>
        </w:rPr>
      </w:pPr>
      <w:r w:rsidRPr="028DD7F5">
        <w:rPr>
          <w:rFonts w:ascii="Calibri" w:eastAsia="Calibri" w:hAnsi="Calibri" w:cs="Calibri"/>
        </w:rPr>
        <w:t>We ask as a clarification (1) noting Q&amp;A Round 1, question 39 explicitly referred to "solar thermal system hybridized with electrification</w:t>
      </w:r>
      <w:r w:rsidR="6B499AC1" w:rsidRPr="028DD7F5">
        <w:rPr>
          <w:rFonts w:ascii="Calibri" w:eastAsia="Calibri" w:hAnsi="Calibri" w:cs="Calibri"/>
        </w:rPr>
        <w:t>,</w:t>
      </w:r>
      <w:r w:rsidRPr="028DD7F5">
        <w:rPr>
          <w:rFonts w:ascii="Calibri" w:eastAsia="Calibri" w:hAnsi="Calibri" w:cs="Calibri"/>
        </w:rPr>
        <w:t>" where</w:t>
      </w:r>
      <w:r w:rsidR="51F30B62" w:rsidRPr="028DD7F5">
        <w:rPr>
          <w:rFonts w:ascii="Calibri" w:eastAsia="Calibri" w:hAnsi="Calibri" w:cs="Calibri"/>
        </w:rPr>
        <w:t>as</w:t>
      </w:r>
      <w:r w:rsidRPr="028DD7F5">
        <w:rPr>
          <w:rFonts w:ascii="Calibri" w:eastAsia="Calibri" w:hAnsi="Calibri" w:cs="Calibri"/>
        </w:rPr>
        <w:t xml:space="preserve"> our projects will solely produce heat energy for the industrial heat processes; (2) Section II.B.2. does not explicitly list solar thermal as an eligible technology, and (3) Section II.B.2. states that "Additional technologies could be added as a result of comments received during the written questions period (see Section I.E., Key Activities Schedule). However, these technologies must be consistent with the purposes of the solicitation (Section I.A.). Any added technologies will be posted in an addendum."</w:t>
      </w:r>
    </w:p>
    <w:p w14:paraId="6190C280" w14:textId="1DC2C5C9" w:rsidR="1632EF4F" w:rsidRDefault="1632EF4F" w:rsidP="77447815">
      <w:pPr>
        <w:spacing w:after="0"/>
        <w:ind w:firstLine="720"/>
        <w:rPr>
          <w:rFonts w:ascii="Calibri" w:eastAsia="Calibri" w:hAnsi="Calibri" w:cs="Calibri"/>
          <w:b/>
          <w:bCs/>
          <w:color w:val="155F81"/>
          <w:lang w:val="en-CA"/>
        </w:rPr>
      </w:pPr>
    </w:p>
    <w:p w14:paraId="3A16EE76" w14:textId="65FB0853" w:rsidR="1632EF4F" w:rsidRDefault="6DF0A40F" w:rsidP="77447815">
      <w:pPr>
        <w:spacing w:after="0"/>
        <w:ind w:left="720"/>
        <w:rPr>
          <w:rFonts w:ascii="Calibri" w:eastAsia="Calibri" w:hAnsi="Calibri" w:cs="Calibri"/>
          <w:color w:val="155F81"/>
          <w:lang w:val="en-CA"/>
        </w:rPr>
      </w:pPr>
      <w:r w:rsidRPr="028DD7F5">
        <w:rPr>
          <w:rFonts w:ascii="Calibri" w:eastAsia="Calibri" w:hAnsi="Calibri" w:cs="Calibri"/>
          <w:b/>
          <w:bCs/>
          <w:color w:val="155F81"/>
          <w:lang w:val="en-CA"/>
        </w:rPr>
        <w:t>CEC</w:t>
      </w:r>
      <w:r w:rsidRPr="028DD7F5">
        <w:rPr>
          <w:rFonts w:ascii="Calibri" w:eastAsia="Calibri" w:hAnsi="Calibri" w:cs="Calibri"/>
          <w:color w:val="155F81"/>
          <w:lang w:val="en-CA"/>
        </w:rPr>
        <w:t>: The application of solar thermal energy to an industrial process qualifies as an eligible technology. The project must achieve at least one of the following goals from Section II</w:t>
      </w:r>
      <w:r w:rsidR="00DA344D" w:rsidRPr="028DD7F5">
        <w:rPr>
          <w:rFonts w:ascii="Calibri" w:eastAsia="Calibri" w:hAnsi="Calibri" w:cs="Calibri"/>
          <w:color w:val="155F81"/>
          <w:lang w:val="en-CA"/>
        </w:rPr>
        <w:t>.</w:t>
      </w:r>
      <w:r w:rsidRPr="028DD7F5">
        <w:rPr>
          <w:rFonts w:ascii="Calibri" w:eastAsia="Calibri" w:hAnsi="Calibri" w:cs="Calibri"/>
          <w:color w:val="155F81"/>
          <w:lang w:val="en-CA"/>
        </w:rPr>
        <w:t xml:space="preserve">B. Project Requirements at the industrial demonstration site(s).  Additional points </w:t>
      </w:r>
      <w:r w:rsidR="6D737113" w:rsidRPr="028DD7F5">
        <w:rPr>
          <w:rFonts w:ascii="Calibri" w:eastAsia="Calibri" w:hAnsi="Calibri" w:cs="Calibri"/>
          <w:color w:val="155F81"/>
          <w:lang w:val="en-CA"/>
        </w:rPr>
        <w:t>may</w:t>
      </w:r>
      <w:r w:rsidRPr="028DD7F5">
        <w:rPr>
          <w:rFonts w:ascii="Calibri" w:eastAsia="Calibri" w:hAnsi="Calibri" w:cs="Calibri"/>
          <w:color w:val="155F81"/>
          <w:lang w:val="en-CA"/>
        </w:rPr>
        <w:t xml:space="preserve"> be awarded for </w:t>
      </w:r>
      <w:r w:rsidR="197DCFAE" w:rsidRPr="028DD7F5">
        <w:rPr>
          <w:rFonts w:ascii="Calibri" w:eastAsia="Calibri" w:hAnsi="Calibri" w:cs="Calibri"/>
          <w:color w:val="155F81"/>
          <w:lang w:val="en-CA"/>
        </w:rPr>
        <w:t xml:space="preserve">projects </w:t>
      </w:r>
      <w:r w:rsidRPr="028DD7F5">
        <w:rPr>
          <w:rFonts w:ascii="Calibri" w:eastAsia="Calibri" w:hAnsi="Calibri" w:cs="Calibri"/>
          <w:color w:val="155F81"/>
          <w:lang w:val="en-CA"/>
        </w:rPr>
        <w:t xml:space="preserve">meeting multiple goals: </w:t>
      </w:r>
    </w:p>
    <w:p w14:paraId="67B1E1F9" w14:textId="1B9CDE7D" w:rsidR="1632EF4F" w:rsidRPr="00FC256F" w:rsidRDefault="6DF0A40F" w:rsidP="77447815">
      <w:pPr>
        <w:pStyle w:val="ListParagraph"/>
        <w:keepNext/>
        <w:numPr>
          <w:ilvl w:val="0"/>
          <w:numId w:val="15"/>
        </w:numPr>
        <w:spacing w:after="0"/>
        <w:ind w:right="720"/>
        <w:rPr>
          <w:rFonts w:ascii="Calibri" w:eastAsia="Calibri" w:hAnsi="Calibri" w:cs="Calibri"/>
          <w:color w:val="156082" w:themeColor="accent1"/>
          <w:lang w:val="en-CA"/>
        </w:rPr>
      </w:pPr>
      <w:r w:rsidRPr="028DD7F5">
        <w:rPr>
          <w:rFonts w:ascii="Calibri" w:eastAsia="Calibri" w:hAnsi="Calibri" w:cs="Calibri"/>
          <w:color w:val="156082" w:themeColor="accent1"/>
        </w:rPr>
        <w:lastRenderedPageBreak/>
        <w:t>Electrify some or all industrial processes</w:t>
      </w:r>
    </w:p>
    <w:p w14:paraId="5C1B3AD4" w14:textId="014C07CB" w:rsidR="1632EF4F" w:rsidRPr="00FC256F" w:rsidRDefault="6DF0A40F" w:rsidP="77447815">
      <w:pPr>
        <w:pStyle w:val="ListParagraph"/>
        <w:keepNext/>
        <w:numPr>
          <w:ilvl w:val="0"/>
          <w:numId w:val="15"/>
        </w:numPr>
        <w:spacing w:after="0"/>
        <w:ind w:right="720"/>
        <w:rPr>
          <w:rFonts w:ascii="Calibri" w:eastAsia="Calibri" w:hAnsi="Calibri" w:cs="Calibri"/>
          <w:color w:val="156082" w:themeColor="accent1"/>
          <w:lang w:val="en-CA"/>
        </w:rPr>
      </w:pPr>
      <w:r w:rsidRPr="028DD7F5">
        <w:rPr>
          <w:rFonts w:ascii="Calibri" w:eastAsia="Calibri" w:hAnsi="Calibri" w:cs="Calibri"/>
          <w:color w:val="156082" w:themeColor="accent1"/>
        </w:rPr>
        <w:t>Maximize GHG emission reductions</w:t>
      </w:r>
    </w:p>
    <w:p w14:paraId="0AE9D178" w14:textId="35972B59" w:rsidR="1632EF4F" w:rsidRPr="00FC256F" w:rsidRDefault="6DF0A40F" w:rsidP="77447815">
      <w:pPr>
        <w:pStyle w:val="ListParagraph"/>
        <w:keepNext/>
        <w:numPr>
          <w:ilvl w:val="0"/>
          <w:numId w:val="15"/>
        </w:numPr>
        <w:spacing w:after="0"/>
        <w:ind w:right="720"/>
        <w:rPr>
          <w:rFonts w:ascii="Calibri" w:eastAsia="Calibri" w:hAnsi="Calibri" w:cs="Calibri"/>
          <w:color w:val="156082" w:themeColor="accent1"/>
          <w:lang w:val="en-CA"/>
        </w:rPr>
      </w:pPr>
      <w:r w:rsidRPr="028DD7F5">
        <w:rPr>
          <w:rFonts w:ascii="Calibri" w:eastAsia="Calibri" w:hAnsi="Calibri" w:cs="Calibri"/>
          <w:color w:val="156082" w:themeColor="accent1"/>
        </w:rPr>
        <w:t>Drive scalability and application of project technology to other facilities/industries/processes</w:t>
      </w:r>
    </w:p>
    <w:p w14:paraId="22318F6F" w14:textId="7EB3218D" w:rsidR="1632EF4F" w:rsidRPr="00FC256F" w:rsidRDefault="6DF0A40F" w:rsidP="77447815">
      <w:pPr>
        <w:pStyle w:val="ListParagraph"/>
        <w:keepNext/>
        <w:numPr>
          <w:ilvl w:val="0"/>
          <w:numId w:val="15"/>
        </w:numPr>
        <w:spacing w:after="0"/>
        <w:ind w:right="720"/>
        <w:rPr>
          <w:rFonts w:ascii="Calibri" w:eastAsia="Calibri" w:hAnsi="Calibri" w:cs="Calibri"/>
          <w:color w:val="156082" w:themeColor="accent1"/>
          <w:lang w:val="en-CA"/>
        </w:rPr>
      </w:pPr>
      <w:r w:rsidRPr="028DD7F5">
        <w:rPr>
          <w:rFonts w:ascii="Calibri" w:eastAsia="Calibri" w:hAnsi="Calibri" w:cs="Calibri"/>
          <w:color w:val="156082" w:themeColor="accent1"/>
        </w:rPr>
        <w:t>Reduce electrical demand during net peak periods</w:t>
      </w:r>
    </w:p>
    <w:p w14:paraId="506D7A06" w14:textId="12436F95" w:rsidR="1632EF4F" w:rsidRPr="00FC256F" w:rsidRDefault="6DF0A40F" w:rsidP="77447815">
      <w:pPr>
        <w:pStyle w:val="ListParagraph"/>
        <w:keepNext/>
        <w:numPr>
          <w:ilvl w:val="0"/>
          <w:numId w:val="15"/>
        </w:numPr>
        <w:spacing w:after="0"/>
        <w:ind w:right="720"/>
        <w:rPr>
          <w:rFonts w:ascii="Calibri" w:eastAsia="Calibri" w:hAnsi="Calibri" w:cs="Calibri"/>
          <w:color w:val="156082" w:themeColor="accent1"/>
          <w:lang w:val="en-CA"/>
        </w:rPr>
      </w:pPr>
      <w:r w:rsidRPr="028DD7F5">
        <w:rPr>
          <w:rFonts w:ascii="Calibri" w:eastAsia="Calibri" w:hAnsi="Calibri" w:cs="Calibri"/>
          <w:color w:val="156082" w:themeColor="accent1"/>
        </w:rPr>
        <w:t>Provide air pollution benefits to priority populations</w:t>
      </w:r>
    </w:p>
    <w:p w14:paraId="2B86168B" w14:textId="77777777" w:rsidR="00852F90" w:rsidRPr="00FC256F" w:rsidRDefault="00852F90" w:rsidP="028DD7F5">
      <w:pPr>
        <w:keepNext/>
        <w:spacing w:after="0"/>
        <w:ind w:left="1440" w:right="720"/>
        <w:rPr>
          <w:rFonts w:ascii="Calibri" w:eastAsia="Calibri" w:hAnsi="Calibri" w:cs="Calibri"/>
          <w:color w:val="156082" w:themeColor="accent1"/>
          <w:lang w:val="en-CA"/>
        </w:rPr>
      </w:pPr>
    </w:p>
    <w:p w14:paraId="4F1B1FCE" w14:textId="247E25F7" w:rsidR="1632EF4F" w:rsidRDefault="6E5A6BA9"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color w:val="000000" w:themeColor="text1"/>
        </w:rPr>
        <w:t>Seasonal operation — Are commercial projects that only operate during the host processing season (~100–120 days/yr) eligible?</w:t>
      </w:r>
    </w:p>
    <w:p w14:paraId="13DB5272" w14:textId="6284188A" w:rsidR="1632EF4F" w:rsidRDefault="1632EF4F" w:rsidP="77447815">
      <w:pPr>
        <w:spacing w:after="0"/>
        <w:rPr>
          <w:rFonts w:ascii="Calibri" w:eastAsia="Calibri" w:hAnsi="Calibri" w:cs="Calibri"/>
          <w:color w:val="000000" w:themeColor="text1"/>
        </w:rPr>
      </w:pPr>
    </w:p>
    <w:p w14:paraId="25D780DE" w14:textId="422AAF97" w:rsidR="00852F90" w:rsidRDefault="6E5A6BA9" w:rsidP="77447815">
      <w:pPr>
        <w:spacing w:after="0"/>
        <w:ind w:left="720"/>
        <w:rPr>
          <w:rFonts w:ascii="Calibri" w:eastAsia="Calibri" w:hAnsi="Calibri" w:cs="Calibri"/>
          <w:color w:val="155F81"/>
        </w:rPr>
      </w:pPr>
      <w:r w:rsidRPr="028DD7F5">
        <w:rPr>
          <w:rFonts w:ascii="Calibri" w:eastAsia="Calibri" w:hAnsi="Calibri" w:cs="Calibri"/>
          <w:b/>
          <w:bCs/>
          <w:color w:val="155F81"/>
        </w:rPr>
        <w:t>CEC</w:t>
      </w:r>
      <w:r w:rsidRPr="028DD7F5">
        <w:rPr>
          <w:rFonts w:ascii="Calibri" w:eastAsia="Calibri" w:hAnsi="Calibri" w:cs="Calibri"/>
          <w:color w:val="155F81"/>
        </w:rPr>
        <w:t>: Seasonal operational projects are eligible</w:t>
      </w:r>
      <w:r w:rsidR="4014B4BF" w:rsidRPr="028DD7F5">
        <w:rPr>
          <w:rFonts w:ascii="Calibri" w:eastAsia="Calibri" w:hAnsi="Calibri" w:cs="Calibri"/>
          <w:color w:val="155F81"/>
        </w:rPr>
        <w:t>;</w:t>
      </w:r>
      <w:r w:rsidRPr="028DD7F5">
        <w:rPr>
          <w:rFonts w:ascii="Calibri" w:eastAsia="Calibri" w:hAnsi="Calibri" w:cs="Calibri"/>
          <w:color w:val="155F81"/>
        </w:rPr>
        <w:t xml:space="preserve"> however, </w:t>
      </w:r>
      <w:r w:rsidR="43B85105" w:rsidRPr="028DD7F5">
        <w:rPr>
          <w:rFonts w:ascii="Calibri" w:eastAsia="Calibri" w:hAnsi="Calibri" w:cs="Calibri"/>
          <w:color w:val="155F81"/>
        </w:rPr>
        <w:t>they</w:t>
      </w:r>
      <w:r w:rsidRPr="028DD7F5">
        <w:rPr>
          <w:rFonts w:ascii="Calibri" w:eastAsia="Calibri" w:hAnsi="Calibri" w:cs="Calibri"/>
          <w:color w:val="155F81"/>
        </w:rPr>
        <w:t xml:space="preserve"> would likely be scored alongside projects that operate year-round</w:t>
      </w:r>
      <w:r w:rsidR="7D8B9559" w:rsidRPr="028DD7F5">
        <w:rPr>
          <w:rFonts w:ascii="Calibri" w:eastAsia="Calibri" w:hAnsi="Calibri" w:cs="Calibri"/>
          <w:color w:val="155F81"/>
        </w:rPr>
        <w:t xml:space="preserve"> and should clearly articulate their project benefits in their applications</w:t>
      </w:r>
      <w:r w:rsidRPr="028DD7F5">
        <w:rPr>
          <w:rFonts w:ascii="Calibri" w:eastAsia="Calibri" w:hAnsi="Calibri" w:cs="Calibri"/>
          <w:color w:val="155F81"/>
        </w:rPr>
        <w:t xml:space="preserve">. </w:t>
      </w:r>
      <w:r w:rsidR="458B6234" w:rsidRPr="028DD7F5">
        <w:rPr>
          <w:rFonts w:ascii="Calibri" w:eastAsia="Calibri" w:hAnsi="Calibri" w:cs="Calibri"/>
          <w:color w:val="155F81"/>
        </w:rPr>
        <w:t xml:space="preserve">For example, </w:t>
      </w:r>
      <w:r w:rsidR="3E01B9E1" w:rsidRPr="028DD7F5">
        <w:rPr>
          <w:rFonts w:ascii="Calibri" w:eastAsia="Calibri" w:hAnsi="Calibri" w:cs="Calibri"/>
          <w:color w:val="155F81"/>
        </w:rPr>
        <w:t>i</w:t>
      </w:r>
      <w:r w:rsidRPr="028DD7F5">
        <w:rPr>
          <w:rFonts w:ascii="Calibri" w:eastAsia="Calibri" w:hAnsi="Calibri" w:cs="Calibri"/>
          <w:color w:val="155F81"/>
        </w:rPr>
        <w:t>n Section IV.F Stage Two: Application Scoring, the Scoring Criteri</w:t>
      </w:r>
      <w:r w:rsidR="22435AEB" w:rsidRPr="028DD7F5">
        <w:rPr>
          <w:rFonts w:ascii="Calibri" w:eastAsia="Calibri" w:hAnsi="Calibri" w:cs="Calibri"/>
          <w:color w:val="155F81"/>
        </w:rPr>
        <w:t>on</w:t>
      </w:r>
      <w:r w:rsidRPr="028DD7F5">
        <w:rPr>
          <w:rFonts w:ascii="Calibri" w:eastAsia="Calibri" w:hAnsi="Calibri" w:cs="Calibri"/>
          <w:color w:val="155F81"/>
        </w:rPr>
        <w:t xml:space="preserve"> for Electric Grid Benefits states:</w:t>
      </w:r>
    </w:p>
    <w:p w14:paraId="329B0C96" w14:textId="30F799E4" w:rsidR="1632EF4F" w:rsidRDefault="6E5A6BA9" w:rsidP="77447815">
      <w:pPr>
        <w:spacing w:after="0"/>
        <w:ind w:left="720"/>
        <w:rPr>
          <w:rFonts w:ascii="Calibri" w:eastAsia="Calibri" w:hAnsi="Calibri" w:cs="Calibri"/>
          <w:color w:val="155F81"/>
        </w:rPr>
      </w:pPr>
      <w:r w:rsidRPr="028DD7F5">
        <w:rPr>
          <w:rFonts w:ascii="Calibri" w:eastAsia="Calibri" w:hAnsi="Calibri" w:cs="Calibri"/>
          <w:color w:val="155F81"/>
        </w:rPr>
        <w:t xml:space="preserve"> </w:t>
      </w:r>
    </w:p>
    <w:p w14:paraId="6E2B4466" w14:textId="6341B88F" w:rsidR="1632EF4F" w:rsidRDefault="6E5A6BA9" w:rsidP="77447815">
      <w:pPr>
        <w:spacing w:after="0"/>
        <w:ind w:left="1440"/>
        <w:rPr>
          <w:rFonts w:ascii="Calibri" w:eastAsia="Calibri" w:hAnsi="Calibri" w:cs="Calibri"/>
          <w:color w:val="156082" w:themeColor="accent1"/>
        </w:rPr>
      </w:pPr>
      <w:r w:rsidRPr="028DD7F5">
        <w:rPr>
          <w:rFonts w:ascii="Calibri" w:eastAsia="Calibri" w:hAnsi="Calibri" w:cs="Calibri"/>
          <w:color w:val="156082" w:themeColor="accent1"/>
        </w:rPr>
        <w:t>To receive additional points, the proposed project must reduce overall electric usage (kWh) during the project facility’s utility rate peak periods. These reductions can result from implementing energy efficiency, load management, or electric generation and/or storage projects. If multiple facilities are bundled under one application, an analysis must be provided for each individual facility. Additionally, explain whether these reductions result from energy efficiency, load flexibility, or energy generation and/or storage projects.</w:t>
      </w:r>
    </w:p>
    <w:p w14:paraId="23CC5379" w14:textId="77777777" w:rsidR="00852F90" w:rsidRPr="00FC256F" w:rsidRDefault="00852F90" w:rsidP="77447815">
      <w:pPr>
        <w:spacing w:after="0"/>
        <w:ind w:left="1440"/>
        <w:rPr>
          <w:rFonts w:ascii="Calibri" w:eastAsia="Calibri" w:hAnsi="Calibri" w:cs="Calibri"/>
          <w:color w:val="156082" w:themeColor="accent1"/>
        </w:rPr>
      </w:pPr>
    </w:p>
    <w:p w14:paraId="6A472430" w14:textId="433CC551" w:rsidR="7667FEC8" w:rsidRPr="00FC256F" w:rsidRDefault="7667FEC8" w:rsidP="028DD7F5">
      <w:pPr>
        <w:spacing w:after="0"/>
        <w:ind w:left="720"/>
        <w:rPr>
          <w:rFonts w:ascii="Calibri" w:eastAsia="Calibri" w:hAnsi="Calibri" w:cs="Calibri"/>
          <w:color w:val="156082" w:themeColor="accent1"/>
        </w:rPr>
      </w:pPr>
      <w:r w:rsidRPr="028DD7F5">
        <w:rPr>
          <w:rFonts w:ascii="Calibri" w:eastAsia="Calibri" w:hAnsi="Calibri" w:cs="Calibri"/>
          <w:color w:val="156082" w:themeColor="accent1"/>
        </w:rPr>
        <w:t>For this criterion, t</w:t>
      </w:r>
      <w:r w:rsidR="6893B396" w:rsidRPr="028DD7F5">
        <w:rPr>
          <w:rFonts w:ascii="Calibri" w:eastAsia="Calibri" w:hAnsi="Calibri" w:cs="Calibri"/>
          <w:color w:val="156082" w:themeColor="accent1"/>
        </w:rPr>
        <w:t xml:space="preserve">he application should make clear whether the processing season coincides with the utility rate peak periods. </w:t>
      </w:r>
    </w:p>
    <w:p w14:paraId="2AF21FAA" w14:textId="6335C7EC" w:rsidR="25AB2C45" w:rsidRPr="00FC256F" w:rsidRDefault="25AB2C45" w:rsidP="25AB2C45">
      <w:pPr>
        <w:spacing w:after="0"/>
        <w:ind w:left="1440"/>
        <w:rPr>
          <w:rFonts w:ascii="Calibri" w:eastAsia="Calibri" w:hAnsi="Calibri" w:cs="Calibri"/>
          <w:color w:val="156082" w:themeColor="accent1"/>
        </w:rPr>
      </w:pPr>
    </w:p>
    <w:p w14:paraId="227A55DF" w14:textId="57E4F8D3" w:rsidR="1632EF4F" w:rsidRDefault="1F2C7C43"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color w:val="000000" w:themeColor="text1"/>
        </w:rPr>
        <w:t>Applicant model — Can a developer of an on-site project selling energy to a facility under a heat/power purchase agreement apply as the applicant? Or does the host facility have to apply directly?</w:t>
      </w:r>
    </w:p>
    <w:p w14:paraId="1140E313" w14:textId="2AA9B20A" w:rsidR="1632EF4F" w:rsidRDefault="1632EF4F" w:rsidP="77447815">
      <w:pPr>
        <w:pStyle w:val="ListParagraph"/>
        <w:spacing w:after="0"/>
        <w:rPr>
          <w:rFonts w:ascii="Calibri" w:eastAsia="Calibri" w:hAnsi="Calibri" w:cs="Calibri"/>
          <w:color w:val="000000" w:themeColor="text1"/>
        </w:rPr>
      </w:pPr>
    </w:p>
    <w:p w14:paraId="28026E86" w14:textId="7F97B18D" w:rsidR="1632EF4F" w:rsidRDefault="1F2C7C43" w:rsidP="00852F90">
      <w:pPr>
        <w:spacing w:after="0"/>
        <w:ind w:left="720"/>
        <w:rPr>
          <w:rFonts w:ascii="Calibri" w:eastAsia="Calibri" w:hAnsi="Calibri" w:cs="Calibri"/>
          <w:color w:val="155F81"/>
        </w:rPr>
      </w:pPr>
      <w:r w:rsidRPr="028DD7F5">
        <w:rPr>
          <w:rFonts w:ascii="Calibri" w:eastAsia="Calibri" w:hAnsi="Calibri" w:cs="Calibri"/>
          <w:b/>
          <w:bCs/>
          <w:color w:val="155F81"/>
        </w:rPr>
        <w:t>CEC</w:t>
      </w:r>
      <w:r w:rsidRPr="028DD7F5">
        <w:rPr>
          <w:rFonts w:ascii="Calibri" w:eastAsia="Calibri" w:hAnsi="Calibri" w:cs="Calibri"/>
          <w:color w:val="155F81"/>
        </w:rPr>
        <w:t>: The developer is an eligible Prime Applicant.</w:t>
      </w:r>
      <w:r w:rsidR="00852F90" w:rsidRPr="028DD7F5">
        <w:rPr>
          <w:rFonts w:ascii="Calibri" w:eastAsia="Calibri" w:hAnsi="Calibri" w:cs="Calibri"/>
          <w:color w:val="155F81"/>
        </w:rPr>
        <w:t xml:space="preserve"> The project must meet all requirements in Section II</w:t>
      </w:r>
      <w:r w:rsidR="00D419B5" w:rsidRPr="028DD7F5">
        <w:rPr>
          <w:rFonts w:ascii="Calibri" w:eastAsia="Calibri" w:hAnsi="Calibri" w:cs="Calibri"/>
          <w:color w:val="155F81"/>
        </w:rPr>
        <w:t>.</w:t>
      </w:r>
      <w:r w:rsidR="00852F90" w:rsidRPr="028DD7F5">
        <w:rPr>
          <w:rFonts w:ascii="Calibri" w:eastAsia="Calibri" w:hAnsi="Calibri" w:cs="Calibri"/>
          <w:color w:val="155F81"/>
        </w:rPr>
        <w:t xml:space="preserve"> Eligibility Requirements.</w:t>
      </w:r>
    </w:p>
    <w:p w14:paraId="4D9D5BBC" w14:textId="4EEA2920" w:rsidR="1632EF4F" w:rsidRDefault="1632EF4F" w:rsidP="77447815">
      <w:pPr>
        <w:shd w:val="clear" w:color="auto" w:fill="FFFFFF" w:themeFill="background1"/>
        <w:spacing w:after="0"/>
        <w:rPr>
          <w:rFonts w:ascii="Calibri" w:eastAsia="Calibri" w:hAnsi="Calibri" w:cs="Calibri"/>
          <w:b/>
          <w:bCs/>
          <w:color w:val="156082" w:themeColor="accent1"/>
        </w:rPr>
      </w:pPr>
    </w:p>
    <w:p w14:paraId="2DD86932" w14:textId="16BB0687" w:rsidR="1632EF4F" w:rsidRDefault="6DF0A40F" w:rsidP="00005DBD">
      <w:pPr>
        <w:pStyle w:val="Heading4"/>
        <w:keepLines w:val="0"/>
        <w:spacing w:line="278" w:lineRule="auto"/>
      </w:pPr>
      <w:r w:rsidRPr="028DD7F5">
        <w:lastRenderedPageBreak/>
        <w:t>Administrative</w:t>
      </w:r>
    </w:p>
    <w:p w14:paraId="6732AE36" w14:textId="0CA865B6" w:rsidR="77447815" w:rsidRDefault="77447815" w:rsidP="00005DBD">
      <w:pPr>
        <w:keepNext/>
        <w:shd w:val="clear" w:color="auto" w:fill="FFFFFF" w:themeFill="background1"/>
        <w:spacing w:after="0" w:line="278" w:lineRule="auto"/>
        <w:rPr>
          <w:rFonts w:ascii="Calibri" w:eastAsia="Calibri" w:hAnsi="Calibri" w:cs="Calibri"/>
          <w:b/>
          <w:bCs/>
          <w:color w:val="156082" w:themeColor="accent1"/>
        </w:rPr>
      </w:pPr>
    </w:p>
    <w:p w14:paraId="3AA0B906" w14:textId="1D65494C" w:rsidR="4FC0E909" w:rsidRDefault="0C864052" w:rsidP="00005DBD">
      <w:pPr>
        <w:pStyle w:val="ListParagraph"/>
        <w:keepNext/>
        <w:numPr>
          <w:ilvl w:val="0"/>
          <w:numId w:val="14"/>
        </w:numPr>
        <w:shd w:val="clear" w:color="auto" w:fill="FFFFFF" w:themeFill="background1"/>
        <w:spacing w:after="0" w:line="278" w:lineRule="auto"/>
        <w:rPr>
          <w:rFonts w:ascii="Calibri" w:eastAsia="Calibri" w:hAnsi="Calibri" w:cs="Calibri"/>
          <w:color w:val="000000" w:themeColor="text1"/>
        </w:rPr>
      </w:pPr>
      <w:r w:rsidRPr="028DD7F5">
        <w:rPr>
          <w:rFonts w:ascii="Calibri" w:eastAsia="Calibri" w:hAnsi="Calibri" w:cs="Calibri"/>
        </w:rPr>
        <w:t xml:space="preserve">Can you confirm whether the INDIGO Calculator (filename: </w:t>
      </w:r>
      <w:r w:rsidRPr="028DD7F5">
        <w:rPr>
          <w:rFonts w:ascii="Calibri" w:eastAsia="Calibri" w:hAnsi="Calibri" w:cs="Calibri"/>
          <w:i/>
          <w:iCs/>
        </w:rPr>
        <w:t>cec_indigo_finalcalculator_v2</w:t>
      </w:r>
      <w:r w:rsidRPr="028DD7F5">
        <w:rPr>
          <w:rFonts w:ascii="Calibri" w:eastAsia="Calibri" w:hAnsi="Calibri" w:cs="Calibri"/>
        </w:rPr>
        <w:t xml:space="preserve">) adequately addresses the scope of eligible projects listed in the </w:t>
      </w:r>
      <w:r w:rsidRPr="028DD7F5">
        <w:rPr>
          <w:rFonts w:ascii="Calibri" w:eastAsia="Calibri" w:hAnsi="Calibri" w:cs="Calibri"/>
          <w:i/>
          <w:iCs/>
        </w:rPr>
        <w:t>Inputs_AB1550</w:t>
      </w:r>
      <w:r w:rsidRPr="028DD7F5">
        <w:rPr>
          <w:rFonts w:ascii="Calibri" w:eastAsia="Calibri" w:hAnsi="Calibri" w:cs="Calibri"/>
        </w:rPr>
        <w:t xml:space="preserve"> tab.</w:t>
      </w:r>
    </w:p>
    <w:p w14:paraId="73BD2014" w14:textId="6D04FCCD" w:rsidR="4FC0E909" w:rsidRDefault="0C864052" w:rsidP="77447815">
      <w:pPr>
        <w:pStyle w:val="ListParagraph"/>
        <w:spacing w:after="0"/>
        <w:rPr>
          <w:rFonts w:ascii="Calibri" w:eastAsia="Calibri" w:hAnsi="Calibri" w:cs="Calibri"/>
          <w:color w:val="000000" w:themeColor="text1"/>
        </w:rPr>
      </w:pPr>
      <w:r w:rsidRPr="028DD7F5">
        <w:rPr>
          <w:rFonts w:ascii="Calibri" w:eastAsia="Calibri" w:hAnsi="Calibri" w:cs="Calibri"/>
        </w:rPr>
        <w:t xml:space="preserve">Some examples on that tab, under </w:t>
      </w:r>
      <w:r w:rsidRPr="028DD7F5">
        <w:rPr>
          <w:rFonts w:ascii="Calibri" w:eastAsia="Calibri" w:hAnsi="Calibri" w:cs="Calibri"/>
          <w:i/>
          <w:iCs/>
        </w:rPr>
        <w:t>Step 3</w:t>
      </w:r>
      <w:r w:rsidRPr="028DD7F5">
        <w:rPr>
          <w:rFonts w:ascii="Calibri" w:eastAsia="Calibri" w:hAnsi="Calibri" w:cs="Calibri"/>
        </w:rPr>
        <w:t xml:space="preserve"> where it lists specific Benefits:</w:t>
      </w:r>
    </w:p>
    <w:p w14:paraId="1C74430C" w14:textId="6A453A11" w:rsidR="4FC0E909" w:rsidRDefault="0C864052" w:rsidP="77447815">
      <w:pPr>
        <w:pStyle w:val="ListParagraph"/>
        <w:numPr>
          <w:ilvl w:val="0"/>
          <w:numId w:val="11"/>
        </w:numPr>
        <w:spacing w:after="0"/>
        <w:rPr>
          <w:rFonts w:ascii="Calibri" w:eastAsia="Calibri" w:hAnsi="Calibri" w:cs="Calibri"/>
          <w:color w:val="000000" w:themeColor="text1"/>
        </w:rPr>
      </w:pPr>
      <w:r w:rsidRPr="028DD7F5">
        <w:rPr>
          <w:rFonts w:ascii="Calibri" w:eastAsia="Calibri" w:hAnsi="Calibri" w:cs="Calibri"/>
        </w:rPr>
        <w:t>Two of the four benefits (listed as items A and B) are related to benefits (use cases) in a residential setting. Such as residential energy efficiency upgrades (A), and residential energy cost savings (B). Whereas INDIGO is fundamentally targeting industrial use cases, not residential use cases. So these benefits seem not applicable/possible from projects funded by the INDIGO program.</w:t>
      </w:r>
    </w:p>
    <w:p w14:paraId="3E403FFD" w14:textId="7EAFB8A4" w:rsidR="4FC0E909" w:rsidRDefault="0C864052" w:rsidP="77447815">
      <w:pPr>
        <w:pStyle w:val="ListParagraph"/>
        <w:numPr>
          <w:ilvl w:val="0"/>
          <w:numId w:val="11"/>
        </w:numPr>
        <w:spacing w:after="0"/>
        <w:rPr>
          <w:rFonts w:ascii="Calibri" w:eastAsia="Calibri" w:hAnsi="Calibri" w:cs="Calibri"/>
          <w:color w:val="000000" w:themeColor="text1"/>
        </w:rPr>
      </w:pPr>
      <w:r w:rsidRPr="028DD7F5">
        <w:rPr>
          <w:rFonts w:ascii="Calibri" w:eastAsia="Calibri" w:hAnsi="Calibri" w:cs="Calibri"/>
        </w:rPr>
        <w:t>Item C specifies benefits from reducing “on-site criteria air pollutant or toxic air contaminant emissions through reduction of fossil fuel consumption via efficiency improvements or electrification”. But this appears to omit reductions in fossil fuel consumption through other eligible INDIGO project types such as alternative feedstocks and carbon capture.</w:t>
      </w:r>
    </w:p>
    <w:p w14:paraId="781CF47D" w14:textId="59087ACB" w:rsidR="4FC0E909" w:rsidRDefault="4FC0E909" w:rsidP="77447815">
      <w:pPr>
        <w:spacing w:after="0"/>
        <w:rPr>
          <w:rFonts w:ascii="Calibri" w:eastAsia="Calibri" w:hAnsi="Calibri" w:cs="Calibri"/>
        </w:rPr>
      </w:pPr>
    </w:p>
    <w:p w14:paraId="26C47A13" w14:textId="48496CCB" w:rsidR="4FC0E909" w:rsidRDefault="6371A372" w:rsidP="77447815">
      <w:pPr>
        <w:spacing w:after="0" w:line="257" w:lineRule="auto"/>
        <w:ind w:left="720"/>
        <w:rPr>
          <w:rFonts w:ascii="Calibri" w:eastAsia="Calibri" w:hAnsi="Calibri" w:cs="Calibri"/>
          <w:color w:val="156082" w:themeColor="accent1"/>
        </w:rPr>
      </w:pPr>
      <w:r w:rsidRPr="028DD7F5">
        <w:rPr>
          <w:rFonts w:ascii="Calibri" w:eastAsia="Calibri" w:hAnsi="Calibri" w:cs="Calibri"/>
          <w:b/>
          <w:bCs/>
          <w:color w:val="155F81"/>
        </w:rPr>
        <w:t>CEC:</w:t>
      </w:r>
      <w:r w:rsidR="573F4603" w:rsidRPr="028DD7F5">
        <w:rPr>
          <w:rFonts w:ascii="Calibri" w:eastAsia="Calibri" w:hAnsi="Calibri" w:cs="Calibri"/>
          <w:b/>
          <w:bCs/>
          <w:color w:val="156082" w:themeColor="accent1"/>
        </w:rPr>
        <w:t xml:space="preserve"> </w:t>
      </w:r>
      <w:r w:rsidR="2A0CFBB0" w:rsidRPr="028DD7F5">
        <w:rPr>
          <w:rFonts w:ascii="Calibri" w:eastAsia="Calibri" w:hAnsi="Calibri" w:cs="Calibri"/>
          <w:color w:val="156082" w:themeColor="accent1"/>
        </w:rPr>
        <w:t xml:space="preserve">Yes, </w:t>
      </w:r>
      <w:r w:rsidR="0025142C" w:rsidRPr="028DD7F5">
        <w:rPr>
          <w:rFonts w:ascii="Calibri" w:eastAsia="Calibri" w:hAnsi="Calibri" w:cs="Calibri"/>
          <w:color w:val="156082" w:themeColor="accent1"/>
        </w:rPr>
        <w:t xml:space="preserve">the INDIGO Calculator </w:t>
      </w:r>
      <w:r w:rsidR="2A0CFBB0" w:rsidRPr="028DD7F5">
        <w:rPr>
          <w:rFonts w:ascii="Calibri" w:eastAsia="Calibri" w:hAnsi="Calibri" w:cs="Calibri"/>
          <w:color w:val="156082" w:themeColor="accent1"/>
        </w:rPr>
        <w:t xml:space="preserve">adequately addresses the scope of this solicitation. </w:t>
      </w:r>
      <w:r w:rsidR="0025142C" w:rsidRPr="028DD7F5">
        <w:rPr>
          <w:rFonts w:ascii="Calibri" w:eastAsia="Calibri" w:hAnsi="Calibri" w:cs="Calibri"/>
          <w:color w:val="156082" w:themeColor="accent1"/>
        </w:rPr>
        <w:t xml:space="preserve">For CCUS projects, the estimated GHG emission savings should be quantified and justified in the Impacts and Benefits section. </w:t>
      </w:r>
      <w:r w:rsidR="132F9FBE" w:rsidRPr="028DD7F5">
        <w:rPr>
          <w:rFonts w:ascii="Calibri" w:eastAsia="Calibri" w:hAnsi="Calibri" w:cs="Calibri"/>
          <w:color w:val="156082" w:themeColor="accent1"/>
        </w:rPr>
        <w:t xml:space="preserve">Step 3 Items A and B may not be applicable for INDIGO projects but </w:t>
      </w:r>
      <w:r w:rsidR="6A206854" w:rsidRPr="028DD7F5">
        <w:rPr>
          <w:rFonts w:ascii="Calibri" w:eastAsia="Calibri" w:hAnsi="Calibri" w:cs="Calibri"/>
          <w:color w:val="156082" w:themeColor="accent1"/>
        </w:rPr>
        <w:t>are</w:t>
      </w:r>
      <w:r w:rsidR="132F9FBE" w:rsidRPr="028DD7F5">
        <w:rPr>
          <w:rFonts w:ascii="Calibri" w:eastAsia="Calibri" w:hAnsi="Calibri" w:cs="Calibri"/>
          <w:color w:val="156082" w:themeColor="accent1"/>
        </w:rPr>
        <w:t xml:space="preserve"> included for consistency across various California Climate Investments programs and in support of </w:t>
      </w:r>
      <w:r w:rsidR="290CCB10" w:rsidRPr="028DD7F5">
        <w:rPr>
          <w:rFonts w:ascii="Calibri" w:eastAsia="Calibri" w:hAnsi="Calibri" w:cs="Calibri"/>
          <w:color w:val="156082" w:themeColor="accent1"/>
        </w:rPr>
        <w:t>Assembly Bill (</w:t>
      </w:r>
      <w:r w:rsidR="132F9FBE" w:rsidRPr="028DD7F5">
        <w:rPr>
          <w:rFonts w:ascii="Calibri" w:eastAsia="Calibri" w:hAnsi="Calibri" w:cs="Calibri"/>
          <w:color w:val="156082" w:themeColor="accent1"/>
        </w:rPr>
        <w:t>AB</w:t>
      </w:r>
      <w:r w:rsidR="6BF3267C" w:rsidRPr="028DD7F5">
        <w:rPr>
          <w:rFonts w:ascii="Calibri" w:eastAsia="Calibri" w:hAnsi="Calibri" w:cs="Calibri"/>
          <w:color w:val="156082" w:themeColor="accent1"/>
        </w:rPr>
        <w:t xml:space="preserve">) </w:t>
      </w:r>
      <w:r w:rsidR="132F9FBE" w:rsidRPr="028DD7F5">
        <w:rPr>
          <w:rFonts w:ascii="Calibri" w:eastAsia="Calibri" w:hAnsi="Calibri" w:cs="Calibri"/>
          <w:color w:val="156082" w:themeColor="accent1"/>
        </w:rPr>
        <w:t>1550.</w:t>
      </w:r>
      <w:r w:rsidR="029C9F35" w:rsidRPr="028DD7F5">
        <w:rPr>
          <w:rFonts w:ascii="Calibri" w:eastAsia="Calibri" w:hAnsi="Calibri" w:cs="Calibri"/>
          <w:color w:val="156082" w:themeColor="accent1"/>
        </w:rPr>
        <w:t xml:space="preserve"> Item C supports the reporting purposes of AB</w:t>
      </w:r>
      <w:r w:rsidR="2DCF6009" w:rsidRPr="028DD7F5">
        <w:rPr>
          <w:rFonts w:ascii="Calibri" w:eastAsia="Calibri" w:hAnsi="Calibri" w:cs="Calibri"/>
          <w:color w:val="156082" w:themeColor="accent1"/>
        </w:rPr>
        <w:t xml:space="preserve"> </w:t>
      </w:r>
      <w:r w:rsidR="029C9F35" w:rsidRPr="028DD7F5">
        <w:rPr>
          <w:rFonts w:ascii="Calibri" w:eastAsia="Calibri" w:hAnsi="Calibri" w:cs="Calibri"/>
          <w:color w:val="156082" w:themeColor="accent1"/>
        </w:rPr>
        <w:t xml:space="preserve">1550, while impacts and benefits from all </w:t>
      </w:r>
      <w:r w:rsidR="6B1982A3" w:rsidRPr="028DD7F5">
        <w:rPr>
          <w:rFonts w:ascii="Calibri" w:eastAsia="Calibri" w:hAnsi="Calibri" w:cs="Calibri"/>
          <w:color w:val="156082" w:themeColor="accent1"/>
        </w:rPr>
        <w:t>eligible</w:t>
      </w:r>
      <w:r w:rsidR="029C9F35" w:rsidRPr="028DD7F5">
        <w:rPr>
          <w:rFonts w:ascii="Calibri" w:eastAsia="Calibri" w:hAnsi="Calibri" w:cs="Calibri"/>
          <w:color w:val="156082" w:themeColor="accent1"/>
        </w:rPr>
        <w:t xml:space="preserve"> technologies</w:t>
      </w:r>
      <w:r w:rsidR="30BE796A" w:rsidRPr="028DD7F5">
        <w:rPr>
          <w:rFonts w:ascii="Calibri" w:eastAsia="Calibri" w:hAnsi="Calibri" w:cs="Calibri"/>
          <w:color w:val="156082" w:themeColor="accent1"/>
        </w:rPr>
        <w:t xml:space="preserve"> </w:t>
      </w:r>
      <w:r w:rsidR="029C9F35" w:rsidRPr="028DD7F5">
        <w:rPr>
          <w:rFonts w:ascii="Calibri" w:eastAsia="Calibri" w:hAnsi="Calibri" w:cs="Calibri"/>
          <w:color w:val="156082" w:themeColor="accent1"/>
        </w:rPr>
        <w:t xml:space="preserve">should be </w:t>
      </w:r>
      <w:r w:rsidR="4D541011" w:rsidRPr="028DD7F5">
        <w:rPr>
          <w:rFonts w:ascii="Calibri" w:eastAsia="Calibri" w:hAnsi="Calibri" w:cs="Calibri"/>
          <w:color w:val="156082" w:themeColor="accent1"/>
        </w:rPr>
        <w:t>documented</w:t>
      </w:r>
      <w:r w:rsidR="029C9F35" w:rsidRPr="028DD7F5">
        <w:rPr>
          <w:rFonts w:ascii="Calibri" w:eastAsia="Calibri" w:hAnsi="Calibri" w:cs="Calibri"/>
          <w:color w:val="156082" w:themeColor="accent1"/>
        </w:rPr>
        <w:t xml:space="preserve"> on the “Inputs_General” tab and in the Project Narrative.</w:t>
      </w:r>
      <w:r w:rsidR="00B93143" w:rsidRPr="028DD7F5">
        <w:rPr>
          <w:rFonts w:ascii="Calibri" w:eastAsia="Calibri" w:hAnsi="Calibri" w:cs="Calibri"/>
          <w:color w:val="156082" w:themeColor="accent1"/>
        </w:rPr>
        <w:t xml:space="preserve"> </w:t>
      </w:r>
      <w:r w:rsidR="0983940C" w:rsidRPr="028DD7F5">
        <w:rPr>
          <w:rFonts w:ascii="Calibri" w:eastAsia="Calibri" w:hAnsi="Calibri" w:cs="Calibri"/>
          <w:color w:val="156082" w:themeColor="accent1"/>
        </w:rPr>
        <w:t>Similarly, please address any impacts and benefits that cannot be captured in the calculator in the Project Narrative section of the application.</w:t>
      </w:r>
    </w:p>
    <w:p w14:paraId="26352BE4" w14:textId="2541DBBC" w:rsidR="4FC0E909" w:rsidRDefault="4FC0E909" w:rsidP="77447815">
      <w:pPr>
        <w:pStyle w:val="ListParagraph"/>
        <w:spacing w:after="0"/>
        <w:rPr>
          <w:rFonts w:ascii="Calibri" w:eastAsia="Calibri" w:hAnsi="Calibri" w:cs="Calibri"/>
          <w:b/>
          <w:bCs/>
          <w:color w:val="000000" w:themeColor="text1"/>
        </w:rPr>
      </w:pPr>
    </w:p>
    <w:p w14:paraId="0D5A795F" w14:textId="42B6586D" w:rsidR="63F01319" w:rsidRDefault="63F01319" w:rsidP="5D63AF7F">
      <w:pPr>
        <w:pStyle w:val="ListParagraph"/>
        <w:numPr>
          <w:ilvl w:val="0"/>
          <w:numId w:val="14"/>
        </w:numPr>
        <w:spacing w:after="0"/>
        <w:rPr>
          <w:rFonts w:ascii="Calibri" w:eastAsia="Calibri" w:hAnsi="Calibri" w:cs="Calibri"/>
          <w:lang w:val="en-CA"/>
        </w:rPr>
      </w:pPr>
      <w:r w:rsidRPr="028DD7F5">
        <w:rPr>
          <w:rFonts w:ascii="Calibri" w:eastAsia="Calibri" w:hAnsi="Calibri" w:cs="Calibri"/>
        </w:rPr>
        <w:t xml:space="preserve">Completion date - In Q&amp;A Round 1, question 53, it is clarified that </w:t>
      </w:r>
      <w:r w:rsidRPr="028DD7F5">
        <w:rPr>
          <w:rFonts w:ascii="Calibri" w:eastAsia="Calibri" w:hAnsi="Calibri" w:cs="Calibri"/>
          <w:lang w:val="en-CA"/>
        </w:rPr>
        <w:t>completion shall be no later than June 30, 2028. This is adjusted to June 30, 2030, in the Addendum 07 Section I.E. Key Activities Schedule. Can you offer further description for the definition of "completion"? What specific deliverable or milestone(s) must be met to achieve the “completion of the agreement” deadline?</w:t>
      </w:r>
    </w:p>
    <w:p w14:paraId="744BB6B1" w14:textId="24182706" w:rsidR="77447815" w:rsidRDefault="77447815" w:rsidP="77447815">
      <w:pPr>
        <w:pStyle w:val="ListParagraph"/>
        <w:spacing w:after="0"/>
        <w:ind w:left="1440"/>
        <w:rPr>
          <w:rFonts w:ascii="Calibri" w:eastAsia="Calibri" w:hAnsi="Calibri" w:cs="Calibri"/>
          <w:lang w:val="en-CA"/>
        </w:rPr>
      </w:pPr>
    </w:p>
    <w:p w14:paraId="68219B9B" w14:textId="27C1B48F" w:rsidR="6A82C779" w:rsidRDefault="63F01319" w:rsidP="77447815">
      <w:pPr>
        <w:spacing w:after="0"/>
        <w:ind w:left="720"/>
        <w:rPr>
          <w:rFonts w:ascii="Calibri" w:eastAsia="Calibri" w:hAnsi="Calibri" w:cs="Calibri"/>
        </w:rPr>
      </w:pPr>
      <w:r w:rsidRPr="028DD7F5">
        <w:rPr>
          <w:rFonts w:ascii="Calibri" w:eastAsia="Calibri" w:hAnsi="Calibri" w:cs="Calibri"/>
          <w:b/>
          <w:bCs/>
          <w:color w:val="155F81"/>
        </w:rPr>
        <w:t>CEC</w:t>
      </w:r>
      <w:r w:rsidRPr="028DD7F5">
        <w:rPr>
          <w:rFonts w:ascii="Calibri" w:eastAsia="Calibri" w:hAnsi="Calibri" w:cs="Calibri"/>
          <w:color w:val="155F81"/>
        </w:rPr>
        <w:t>: Completion means the end of the agreement. The agreement end date is project dependent and specified in each project agreement and may not extend beyond the liquidation date, which is the final date by which CEC has legal authority to pay funds obligated under the agreement. Completion of the agreement includes final delivery and CEC acceptance of all required products and deliverables</w:t>
      </w:r>
      <w:r w:rsidR="78154999" w:rsidRPr="028DD7F5">
        <w:rPr>
          <w:rFonts w:ascii="Calibri" w:eastAsia="Calibri" w:hAnsi="Calibri" w:cs="Calibri"/>
          <w:color w:val="155F81"/>
        </w:rPr>
        <w:t>,</w:t>
      </w:r>
      <w:r w:rsidRPr="028DD7F5">
        <w:rPr>
          <w:rFonts w:ascii="Calibri" w:eastAsia="Calibri" w:hAnsi="Calibri" w:cs="Calibri"/>
          <w:color w:val="155F81"/>
        </w:rPr>
        <w:t xml:space="preserve"> satisfactory completion of </w:t>
      </w:r>
      <w:r w:rsidRPr="028DD7F5">
        <w:rPr>
          <w:rFonts w:ascii="Calibri" w:eastAsia="Calibri" w:hAnsi="Calibri" w:cs="Calibri"/>
          <w:color w:val="155F81"/>
        </w:rPr>
        <w:lastRenderedPageBreak/>
        <w:t>all tasks identified in the scope of work</w:t>
      </w:r>
      <w:r w:rsidR="29164B10" w:rsidRPr="028DD7F5">
        <w:rPr>
          <w:rFonts w:ascii="Calibri" w:eastAsia="Calibri" w:hAnsi="Calibri" w:cs="Calibri"/>
          <w:color w:val="155F81"/>
        </w:rPr>
        <w:t>,</w:t>
      </w:r>
      <w:r w:rsidRPr="028DD7F5">
        <w:rPr>
          <w:rFonts w:ascii="Calibri" w:eastAsia="Calibri" w:hAnsi="Calibri" w:cs="Calibri"/>
          <w:color w:val="155F81"/>
        </w:rPr>
        <w:t xml:space="preserve"> and submission of the final invoice for payment in accordance with the agreement terms.</w:t>
      </w:r>
    </w:p>
    <w:p w14:paraId="3DEF3B35" w14:textId="2E2F8114" w:rsidR="77447815" w:rsidRDefault="77447815" w:rsidP="77447815">
      <w:pPr>
        <w:spacing w:after="0"/>
        <w:rPr>
          <w:rFonts w:ascii="Calibri" w:eastAsia="Calibri" w:hAnsi="Calibri" w:cs="Calibri"/>
          <w:lang w:val="en-CA"/>
        </w:rPr>
      </w:pPr>
    </w:p>
    <w:p w14:paraId="26F3D728" w14:textId="12D6D3C9" w:rsidR="63F01319" w:rsidRDefault="63F01319" w:rsidP="77447815">
      <w:pPr>
        <w:pStyle w:val="ListParagraph"/>
        <w:numPr>
          <w:ilvl w:val="0"/>
          <w:numId w:val="14"/>
        </w:numPr>
        <w:spacing w:after="0"/>
        <w:rPr>
          <w:rFonts w:ascii="Calibri" w:eastAsia="Calibri" w:hAnsi="Calibri" w:cs="Calibri"/>
        </w:rPr>
      </w:pPr>
      <w:r w:rsidRPr="028DD7F5">
        <w:rPr>
          <w:rFonts w:ascii="Calibri" w:eastAsia="Calibri" w:hAnsi="Calibri" w:cs="Calibri"/>
        </w:rPr>
        <w:t>Beginning of Project - Section IV.B.2. states that "grant recipients may begin the project only after full execution of the grant agreement</w:t>
      </w:r>
      <w:r w:rsidR="7D3664F8" w:rsidRPr="028DD7F5">
        <w:rPr>
          <w:rFonts w:ascii="Calibri" w:eastAsia="Calibri" w:hAnsi="Calibri" w:cs="Calibri"/>
        </w:rPr>
        <w:t>.</w:t>
      </w:r>
      <w:r w:rsidRPr="028DD7F5">
        <w:rPr>
          <w:rFonts w:ascii="Calibri" w:eastAsia="Calibri" w:hAnsi="Calibri" w:cs="Calibri"/>
        </w:rPr>
        <w:t>" Can stages of engineering begin prior to execution of the grant agreement? For example, completion of requisite geotechnical studies, early stage design?</w:t>
      </w:r>
    </w:p>
    <w:p w14:paraId="44510457" w14:textId="62621733" w:rsidR="77447815" w:rsidRDefault="77447815" w:rsidP="77447815">
      <w:pPr>
        <w:pStyle w:val="ListParagraph"/>
        <w:spacing w:after="0"/>
        <w:rPr>
          <w:rFonts w:ascii="Calibri" w:eastAsia="Calibri" w:hAnsi="Calibri" w:cs="Calibri"/>
        </w:rPr>
      </w:pPr>
    </w:p>
    <w:p w14:paraId="3B40692F" w14:textId="2B563618" w:rsidR="63F01319" w:rsidRDefault="3BC9CCED" w:rsidP="77447815">
      <w:pPr>
        <w:pStyle w:val="ListParagraph"/>
        <w:spacing w:after="0"/>
        <w:rPr>
          <w:rFonts w:ascii="Calibri" w:eastAsia="Calibri" w:hAnsi="Calibri" w:cs="Calibri"/>
          <w:color w:val="0E2841" w:themeColor="text2"/>
        </w:rPr>
      </w:pPr>
      <w:r w:rsidRPr="028DD7F5">
        <w:rPr>
          <w:rFonts w:ascii="Calibri" w:eastAsia="Calibri" w:hAnsi="Calibri" w:cs="Calibri"/>
          <w:b/>
          <w:bCs/>
          <w:color w:val="155F81"/>
        </w:rPr>
        <w:t>CEC</w:t>
      </w:r>
      <w:r w:rsidRPr="028DD7F5">
        <w:rPr>
          <w:rFonts w:ascii="Calibri" w:eastAsia="Calibri" w:hAnsi="Calibri" w:cs="Calibri"/>
          <w:color w:val="155F81"/>
        </w:rPr>
        <w:t>: Any activities, including but not limited to engineering, completed prior to agreement execution will not be reimbursed</w:t>
      </w:r>
      <w:r w:rsidR="2C18AADF" w:rsidRPr="028DD7F5">
        <w:rPr>
          <w:rFonts w:ascii="Calibri" w:eastAsia="Calibri" w:hAnsi="Calibri" w:cs="Calibri"/>
          <w:color w:val="155F81"/>
        </w:rPr>
        <w:t xml:space="preserve"> and </w:t>
      </w:r>
      <w:r w:rsidR="7C39BFB7" w:rsidRPr="028DD7F5">
        <w:rPr>
          <w:rFonts w:ascii="Calibri" w:eastAsia="Calibri" w:hAnsi="Calibri" w:cs="Calibri"/>
          <w:color w:val="155F81"/>
        </w:rPr>
        <w:t xml:space="preserve">are not eligible </w:t>
      </w:r>
      <w:r w:rsidR="3F3315D8" w:rsidRPr="028DD7F5">
        <w:rPr>
          <w:rFonts w:ascii="Calibri" w:eastAsia="Calibri" w:hAnsi="Calibri" w:cs="Calibri"/>
          <w:color w:val="155F81"/>
        </w:rPr>
        <w:t>to count towards project match funds</w:t>
      </w:r>
      <w:r w:rsidR="5BDF1AE4" w:rsidRPr="028DD7F5">
        <w:rPr>
          <w:rFonts w:ascii="Calibri" w:eastAsia="Calibri" w:hAnsi="Calibri" w:cs="Calibri"/>
          <w:color w:val="155F81"/>
        </w:rPr>
        <w:t>.</w:t>
      </w:r>
    </w:p>
    <w:p w14:paraId="7B501E32" w14:textId="5C8E8C0F" w:rsidR="77447815" w:rsidRDefault="77447815" w:rsidP="028DD7F5">
      <w:pPr>
        <w:pStyle w:val="ListParagraph"/>
        <w:spacing w:after="0"/>
        <w:rPr>
          <w:rFonts w:ascii="Calibri" w:eastAsia="Calibri" w:hAnsi="Calibri" w:cs="Calibri"/>
          <w:b/>
          <w:bCs/>
          <w:color w:val="000000" w:themeColor="text1"/>
        </w:rPr>
      </w:pPr>
    </w:p>
    <w:p w14:paraId="1BAD2881" w14:textId="16DC156A" w:rsidR="1B05DA00" w:rsidRDefault="1B05DA00" w:rsidP="007E41D6">
      <w:pPr>
        <w:pStyle w:val="Heading4"/>
      </w:pPr>
      <w:r w:rsidRPr="028DD7F5">
        <w:t>CEQA</w:t>
      </w:r>
      <w:r w:rsidR="696E6649" w:rsidRPr="028DD7F5">
        <w:t xml:space="preserve">, </w:t>
      </w:r>
      <w:r w:rsidRPr="028DD7F5">
        <w:t>Environmental Review</w:t>
      </w:r>
      <w:r w:rsidR="5F7876B2" w:rsidRPr="028DD7F5">
        <w:t>, and Monitoring</w:t>
      </w:r>
    </w:p>
    <w:p w14:paraId="63438459" w14:textId="5AA30176" w:rsidR="77447815" w:rsidRDefault="77447815" w:rsidP="77447815">
      <w:pPr>
        <w:pStyle w:val="ListParagraph"/>
        <w:spacing w:after="0"/>
        <w:rPr>
          <w:rFonts w:ascii="Calibri" w:eastAsia="Calibri" w:hAnsi="Calibri" w:cs="Calibri"/>
          <w:b/>
          <w:bCs/>
          <w:color w:val="000000" w:themeColor="text1"/>
        </w:rPr>
      </w:pPr>
    </w:p>
    <w:p w14:paraId="7A33BE8C" w14:textId="688F374F" w:rsidR="4FC0E909" w:rsidRDefault="2E6E5FB2"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rPr>
        <w:t xml:space="preserve">How much time does CEC need to review CEQA info from a Lead Agency in order for CEC to do its own review? </w:t>
      </w:r>
    </w:p>
    <w:p w14:paraId="4AB41E02" w14:textId="068AB6D7" w:rsidR="4FC0E909" w:rsidRDefault="4FC0E909" w:rsidP="77447815">
      <w:pPr>
        <w:spacing w:after="0"/>
        <w:rPr>
          <w:rFonts w:ascii="Calibri" w:eastAsia="Calibri" w:hAnsi="Calibri" w:cs="Calibri"/>
          <w:color w:val="000000" w:themeColor="text1"/>
        </w:rPr>
      </w:pPr>
    </w:p>
    <w:p w14:paraId="3902A4DC" w14:textId="31DBCE66" w:rsidR="006934D1" w:rsidRDefault="4AEC50DB" w:rsidP="77447815">
      <w:pPr>
        <w:pStyle w:val="ListParagraph"/>
        <w:spacing w:after="0"/>
        <w:rPr>
          <w:rFonts w:ascii="Calibri" w:eastAsia="Calibri" w:hAnsi="Calibri" w:cs="Calibri"/>
          <w:color w:val="155F81"/>
        </w:rPr>
      </w:pPr>
      <w:r w:rsidRPr="028DD7F5">
        <w:rPr>
          <w:rFonts w:ascii="Calibri" w:eastAsia="Calibri" w:hAnsi="Calibri" w:cs="Calibri"/>
          <w:b/>
          <w:bCs/>
          <w:color w:val="155F81"/>
        </w:rPr>
        <w:t>CEC:</w:t>
      </w:r>
      <w:r w:rsidR="75CE9A04" w:rsidRPr="028DD7F5">
        <w:rPr>
          <w:rFonts w:ascii="Calibri" w:eastAsia="Calibri" w:hAnsi="Calibri" w:cs="Calibri"/>
          <w:b/>
          <w:bCs/>
          <w:color w:val="155F81"/>
        </w:rPr>
        <w:t xml:space="preserve"> </w:t>
      </w:r>
      <w:r w:rsidR="318206C8" w:rsidRPr="028DD7F5">
        <w:rPr>
          <w:rFonts w:ascii="Calibri" w:eastAsia="Calibri" w:hAnsi="Calibri" w:cs="Calibri"/>
          <w:color w:val="155F81"/>
        </w:rPr>
        <w:t xml:space="preserve">After </w:t>
      </w:r>
      <w:r w:rsidR="008B668C" w:rsidRPr="028DD7F5">
        <w:rPr>
          <w:rFonts w:ascii="Calibri" w:eastAsia="Calibri" w:hAnsi="Calibri" w:cs="Calibri"/>
          <w:color w:val="155F81"/>
        </w:rPr>
        <w:t>Notice of Proposed Award (</w:t>
      </w:r>
      <w:r w:rsidR="318206C8" w:rsidRPr="028DD7F5">
        <w:rPr>
          <w:rFonts w:ascii="Calibri" w:eastAsia="Calibri" w:hAnsi="Calibri" w:cs="Calibri"/>
          <w:color w:val="155F81"/>
        </w:rPr>
        <w:t>NOPA</w:t>
      </w:r>
      <w:r w:rsidR="008B668C" w:rsidRPr="028DD7F5">
        <w:rPr>
          <w:rFonts w:ascii="Calibri" w:eastAsia="Calibri" w:hAnsi="Calibri" w:cs="Calibri"/>
          <w:color w:val="155F81"/>
        </w:rPr>
        <w:t>)</w:t>
      </w:r>
      <w:r w:rsidR="318206C8" w:rsidRPr="028DD7F5">
        <w:rPr>
          <w:rFonts w:ascii="Calibri" w:eastAsia="Calibri" w:hAnsi="Calibri" w:cs="Calibri"/>
          <w:color w:val="155F81"/>
        </w:rPr>
        <w:t xml:space="preserve"> release</w:t>
      </w:r>
      <w:r w:rsidR="008B668C" w:rsidRPr="028DD7F5">
        <w:rPr>
          <w:rFonts w:ascii="Calibri" w:eastAsia="Calibri" w:hAnsi="Calibri" w:cs="Calibri"/>
          <w:color w:val="155F81"/>
        </w:rPr>
        <w:t>, CEC will work with selected recipients to develop agreements in preparation for business meeting approval. While timelines vary by project, completion of the full project package</w:t>
      </w:r>
      <w:r w:rsidR="00AC03FF" w:rsidRPr="028DD7F5">
        <w:rPr>
          <w:rFonts w:ascii="Calibri" w:eastAsia="Calibri" w:hAnsi="Calibri" w:cs="Calibri"/>
          <w:color w:val="155F81"/>
        </w:rPr>
        <w:t xml:space="preserve">, </w:t>
      </w:r>
      <w:r w:rsidR="008B668C" w:rsidRPr="028DD7F5">
        <w:rPr>
          <w:rFonts w:ascii="Calibri" w:eastAsia="Calibri" w:hAnsi="Calibri" w:cs="Calibri"/>
          <w:color w:val="155F81"/>
        </w:rPr>
        <w:t>including CEQA documentation review</w:t>
      </w:r>
      <w:r w:rsidR="00AC03FF" w:rsidRPr="028DD7F5">
        <w:rPr>
          <w:rFonts w:ascii="Calibri" w:eastAsia="Calibri" w:hAnsi="Calibri" w:cs="Calibri"/>
          <w:color w:val="155F81"/>
        </w:rPr>
        <w:t xml:space="preserve">, </w:t>
      </w:r>
      <w:r w:rsidR="008B668C" w:rsidRPr="028DD7F5">
        <w:rPr>
          <w:rFonts w:ascii="Calibri" w:eastAsia="Calibri" w:hAnsi="Calibri" w:cs="Calibri"/>
          <w:color w:val="155F81"/>
        </w:rPr>
        <w:t xml:space="preserve">is </w:t>
      </w:r>
      <w:r w:rsidR="02577EB3" w:rsidRPr="028DD7F5">
        <w:rPr>
          <w:rFonts w:ascii="Calibri" w:eastAsia="Calibri" w:hAnsi="Calibri" w:cs="Calibri"/>
          <w:color w:val="155F81"/>
        </w:rPr>
        <w:t xml:space="preserve">typically </w:t>
      </w:r>
      <w:r w:rsidR="008B668C" w:rsidRPr="028DD7F5">
        <w:rPr>
          <w:rFonts w:ascii="Calibri" w:eastAsia="Calibri" w:hAnsi="Calibri" w:cs="Calibri"/>
          <w:color w:val="155F81"/>
        </w:rPr>
        <w:t xml:space="preserve">anticipated within 45 days of each NOPA. </w:t>
      </w:r>
    </w:p>
    <w:p w14:paraId="1798E211" w14:textId="77777777" w:rsidR="00CC3DB6" w:rsidRDefault="00CC3DB6" w:rsidP="77447815">
      <w:pPr>
        <w:pStyle w:val="ListParagraph"/>
        <w:spacing w:after="0"/>
        <w:rPr>
          <w:rFonts w:ascii="Calibri" w:eastAsia="Calibri" w:hAnsi="Calibri" w:cs="Calibri"/>
          <w:color w:val="155F81"/>
        </w:rPr>
      </w:pPr>
    </w:p>
    <w:p w14:paraId="442FA5A7" w14:textId="77777777" w:rsidR="00C10CE1" w:rsidRPr="00DF6498" w:rsidRDefault="00CC3DB6" w:rsidP="00C10CE1">
      <w:pPr>
        <w:pStyle w:val="ListParagraph"/>
        <w:spacing w:after="0"/>
        <w:rPr>
          <w:rFonts w:ascii="Calibri" w:eastAsia="Calibri" w:hAnsi="Calibri" w:cs="Calibri"/>
          <w:color w:val="155F81"/>
        </w:rPr>
      </w:pPr>
      <w:r w:rsidRPr="028DD7F5">
        <w:rPr>
          <w:rFonts w:ascii="Calibri" w:eastAsia="Calibri" w:hAnsi="Calibri" w:cs="Calibri"/>
          <w:color w:val="155F81"/>
        </w:rPr>
        <w:t>See</w:t>
      </w:r>
      <w:r w:rsidR="00CA1237" w:rsidRPr="028DD7F5">
        <w:rPr>
          <w:rFonts w:ascii="Calibri" w:eastAsia="Calibri" w:hAnsi="Calibri" w:cs="Calibri"/>
          <w:color w:val="155F81"/>
        </w:rPr>
        <w:t xml:space="preserve"> Section I.</w:t>
      </w:r>
      <w:r w:rsidR="003F4503" w:rsidRPr="028DD7F5">
        <w:rPr>
          <w:rFonts w:ascii="Calibri" w:eastAsia="Calibri" w:hAnsi="Calibri" w:cs="Calibri"/>
          <w:color w:val="155F81"/>
        </w:rPr>
        <w:t xml:space="preserve">E. Key Activities Schedule </w:t>
      </w:r>
      <w:r w:rsidR="00C10CE1" w:rsidRPr="028DD7F5">
        <w:rPr>
          <w:rFonts w:ascii="Calibri" w:eastAsia="Calibri" w:hAnsi="Calibri" w:cs="Calibri"/>
          <w:color w:val="155F81"/>
        </w:rPr>
        <w:t>for key activities, dates, and times for this solicitation.</w:t>
      </w:r>
    </w:p>
    <w:p w14:paraId="5D0D76EC" w14:textId="5A5D3E5C" w:rsidR="00AC03FF" w:rsidRPr="00C10CE1" w:rsidRDefault="00AC03FF" w:rsidP="028DD7F5">
      <w:pPr>
        <w:spacing w:after="0"/>
        <w:rPr>
          <w:rFonts w:ascii="Calibri" w:eastAsia="Calibri" w:hAnsi="Calibri" w:cs="Calibri"/>
          <w:color w:val="155F81"/>
        </w:rPr>
      </w:pPr>
    </w:p>
    <w:p w14:paraId="41ECAD03" w14:textId="7842D036" w:rsidR="008B668C" w:rsidRPr="00FC256F" w:rsidRDefault="00522294" w:rsidP="77447815">
      <w:pPr>
        <w:pStyle w:val="ListParagraph"/>
        <w:spacing w:after="0"/>
        <w:rPr>
          <w:rFonts w:ascii="Calibri" w:eastAsia="Calibri" w:hAnsi="Calibri" w:cs="Calibri"/>
          <w:b/>
          <w:bCs/>
          <w:color w:val="155F81"/>
        </w:rPr>
      </w:pPr>
      <w:r w:rsidRPr="028DD7F5">
        <w:rPr>
          <w:rFonts w:ascii="Calibri" w:eastAsia="Calibri" w:hAnsi="Calibri" w:cs="Calibri"/>
          <w:color w:val="155F81"/>
        </w:rPr>
        <w:t xml:space="preserve">Please note, failure to complete the CEQA process in a timely manner after the CEC’s </w:t>
      </w:r>
      <w:r w:rsidR="008B668C" w:rsidRPr="028DD7F5">
        <w:rPr>
          <w:rFonts w:ascii="Calibri" w:eastAsia="Calibri" w:hAnsi="Calibri" w:cs="Calibri"/>
          <w:color w:val="155F81"/>
        </w:rPr>
        <w:t>NOPA</w:t>
      </w:r>
      <w:r w:rsidRPr="028DD7F5">
        <w:rPr>
          <w:rFonts w:ascii="Calibri" w:eastAsia="Calibri" w:hAnsi="Calibri" w:cs="Calibri"/>
          <w:color w:val="155F81"/>
        </w:rPr>
        <w:t xml:space="preserve"> may, in the CEC’s sole discretion and without limiting any of the CEC’s other rights and remedies, result in the cancellation of a proposed award and allocation of funding elsewhere, such as to the next highest-scoring project.</w:t>
      </w:r>
    </w:p>
    <w:p w14:paraId="20000E72" w14:textId="2268294D" w:rsidR="4FC0E909" w:rsidRPr="00FC256F" w:rsidRDefault="4FC0E909" w:rsidP="77447815">
      <w:pPr>
        <w:pStyle w:val="ListParagraph"/>
        <w:spacing w:after="0"/>
        <w:rPr>
          <w:rFonts w:ascii="Calibri" w:eastAsia="Calibri" w:hAnsi="Calibri" w:cs="Calibri"/>
          <w:b/>
          <w:bCs/>
          <w:color w:val="155F81"/>
        </w:rPr>
      </w:pPr>
    </w:p>
    <w:p w14:paraId="5E9F7A7F" w14:textId="4C4F0BDC" w:rsidR="4FC0E909" w:rsidRDefault="2E6E5FB2"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rPr>
        <w:t>When should CEQA information from a Lead Agency be submitted to CEC in order to give CEC enough time for review prior to the encumbrance deadline of June 30th?</w:t>
      </w:r>
    </w:p>
    <w:p w14:paraId="666D007A" w14:textId="39A52075" w:rsidR="4FC0E909" w:rsidRDefault="4FC0E909" w:rsidP="77447815">
      <w:pPr>
        <w:spacing w:after="0"/>
        <w:rPr>
          <w:rFonts w:ascii="Calibri" w:eastAsia="Calibri" w:hAnsi="Calibri" w:cs="Calibri"/>
          <w:color w:val="000000" w:themeColor="text1"/>
        </w:rPr>
      </w:pPr>
    </w:p>
    <w:p w14:paraId="00454540" w14:textId="6C77A64F" w:rsidR="00AD4F96" w:rsidRPr="00AD4F96" w:rsidRDefault="26444E44" w:rsidP="77447815">
      <w:pPr>
        <w:pStyle w:val="ListParagraph"/>
        <w:spacing w:after="0"/>
        <w:rPr>
          <w:rFonts w:ascii="Calibri" w:eastAsia="Calibri" w:hAnsi="Calibri" w:cs="Calibri"/>
          <w:b/>
          <w:bCs/>
          <w:color w:val="155F81"/>
        </w:rPr>
      </w:pPr>
      <w:r w:rsidRPr="028DD7F5">
        <w:rPr>
          <w:rFonts w:ascii="Calibri" w:eastAsia="Calibri" w:hAnsi="Calibri" w:cs="Calibri"/>
          <w:b/>
          <w:bCs/>
          <w:color w:val="155F81"/>
        </w:rPr>
        <w:t>CEC:</w:t>
      </w:r>
      <w:r w:rsidR="735F1192" w:rsidRPr="028DD7F5">
        <w:rPr>
          <w:rFonts w:ascii="Calibri" w:eastAsia="Calibri" w:hAnsi="Calibri" w:cs="Calibri"/>
          <w:b/>
          <w:bCs/>
          <w:color w:val="155F81"/>
        </w:rPr>
        <w:t xml:space="preserve"> </w:t>
      </w:r>
      <w:r w:rsidR="00AD4F96" w:rsidRPr="028DD7F5">
        <w:rPr>
          <w:rFonts w:ascii="Calibri" w:eastAsia="Calibri" w:hAnsi="Calibri" w:cs="Calibri"/>
          <w:color w:val="155F81"/>
        </w:rPr>
        <w:t xml:space="preserve">The time required for CEC to review CEQA information is project dependent. Applicants are strongly encouraged to engage early with their lead agency, as early coordination helps </w:t>
      </w:r>
      <w:r w:rsidR="00E87B1C" w:rsidRPr="028DD7F5">
        <w:rPr>
          <w:rFonts w:ascii="Calibri" w:eastAsia="Calibri" w:hAnsi="Calibri" w:cs="Calibri"/>
          <w:color w:val="155F81"/>
        </w:rPr>
        <w:t>support</w:t>
      </w:r>
      <w:r w:rsidR="00AD4F96" w:rsidRPr="028DD7F5">
        <w:rPr>
          <w:rFonts w:ascii="Calibri" w:eastAsia="Calibri" w:hAnsi="Calibri" w:cs="Calibri"/>
          <w:color w:val="155F81"/>
        </w:rPr>
        <w:t xml:space="preserve"> </w:t>
      </w:r>
      <w:r w:rsidR="00BB6CFF" w:rsidRPr="028DD7F5">
        <w:rPr>
          <w:rFonts w:ascii="Calibri" w:eastAsia="Calibri" w:hAnsi="Calibri" w:cs="Calibri"/>
          <w:color w:val="155F81"/>
        </w:rPr>
        <w:t xml:space="preserve">providing </w:t>
      </w:r>
      <w:r w:rsidR="00AD4F96" w:rsidRPr="028DD7F5">
        <w:rPr>
          <w:rFonts w:ascii="Calibri" w:eastAsia="Calibri" w:hAnsi="Calibri" w:cs="Calibri"/>
          <w:color w:val="155F81"/>
        </w:rPr>
        <w:t xml:space="preserve">sufficient information at the application stage to demonstrate progress toward CEQA compliance, consistent with the requirements in </w:t>
      </w:r>
      <w:r w:rsidR="00AD4F96" w:rsidRPr="028DD7F5">
        <w:rPr>
          <w:rFonts w:ascii="Calibri" w:eastAsia="Calibri" w:hAnsi="Calibri" w:cs="Calibri"/>
          <w:color w:val="155F81"/>
        </w:rPr>
        <w:lastRenderedPageBreak/>
        <w:t>Sections I.I</w:t>
      </w:r>
      <w:r w:rsidR="00D419B5" w:rsidRPr="028DD7F5">
        <w:rPr>
          <w:rFonts w:ascii="Calibri" w:eastAsia="Calibri" w:hAnsi="Calibri" w:cs="Calibri"/>
          <w:color w:val="155F81"/>
        </w:rPr>
        <w:t>.</w:t>
      </w:r>
      <w:r w:rsidR="002E098E" w:rsidRPr="028DD7F5">
        <w:rPr>
          <w:rFonts w:ascii="Calibri" w:eastAsia="Calibri" w:hAnsi="Calibri" w:cs="Calibri"/>
          <w:color w:val="155F81"/>
        </w:rPr>
        <w:t xml:space="preserve"> Additional Requirements Regarding Environmental Review</w:t>
      </w:r>
      <w:r w:rsidR="00AD4F96" w:rsidRPr="028DD7F5">
        <w:rPr>
          <w:rFonts w:ascii="Calibri" w:eastAsia="Calibri" w:hAnsi="Calibri" w:cs="Calibri"/>
          <w:color w:val="155F81"/>
        </w:rPr>
        <w:t xml:space="preserve"> and </w:t>
      </w:r>
      <w:r w:rsidR="008B50F2" w:rsidRPr="028DD7F5">
        <w:rPr>
          <w:rFonts w:ascii="Calibri" w:eastAsia="Calibri" w:hAnsi="Calibri" w:cs="Calibri"/>
          <w:color w:val="155F81"/>
        </w:rPr>
        <w:t>CEQA Compliance Form (Attachment 06)</w:t>
      </w:r>
      <w:r w:rsidR="00AD4F96" w:rsidRPr="028DD7F5">
        <w:rPr>
          <w:rFonts w:ascii="Calibri" w:eastAsia="Calibri" w:hAnsi="Calibri" w:cs="Calibri"/>
          <w:color w:val="155F81"/>
        </w:rPr>
        <w:t>.</w:t>
      </w:r>
    </w:p>
    <w:p w14:paraId="7A07F854" w14:textId="7C7E48D7" w:rsidR="00121628" w:rsidRDefault="00121628" w:rsidP="77447815">
      <w:pPr>
        <w:pStyle w:val="ListParagraph"/>
        <w:spacing w:after="0"/>
        <w:rPr>
          <w:rFonts w:ascii="Calibri" w:eastAsia="Calibri" w:hAnsi="Calibri" w:cs="Calibri"/>
          <w:color w:val="155F81"/>
        </w:rPr>
      </w:pPr>
    </w:p>
    <w:p w14:paraId="29F31315" w14:textId="60B293D3" w:rsidR="00F1582A" w:rsidRPr="00F1582A" w:rsidRDefault="00F1582A" w:rsidP="77447815">
      <w:pPr>
        <w:pStyle w:val="ListParagraph"/>
        <w:spacing w:after="0"/>
        <w:rPr>
          <w:rFonts w:ascii="Calibri" w:eastAsia="Calibri" w:hAnsi="Calibri" w:cs="Calibri"/>
          <w:color w:val="155F81"/>
        </w:rPr>
      </w:pPr>
      <w:r w:rsidRPr="028DD7F5">
        <w:rPr>
          <w:rFonts w:ascii="Calibri" w:eastAsia="Calibri" w:hAnsi="Calibri" w:cs="Calibri"/>
          <w:color w:val="155F81"/>
        </w:rPr>
        <w:t xml:space="preserve">Following release of the NOPA, the CEC will work with selected recipients to develop agreements in preparation for business meeting approval. While timelines vary by project, completion of the full project package, including CEC’s review of CEQA documentation, is </w:t>
      </w:r>
      <w:r w:rsidR="21CD5EE5" w:rsidRPr="028DD7F5">
        <w:rPr>
          <w:rFonts w:ascii="Calibri" w:eastAsia="Calibri" w:hAnsi="Calibri" w:cs="Calibri"/>
          <w:color w:val="155F81"/>
        </w:rPr>
        <w:t xml:space="preserve">typically </w:t>
      </w:r>
      <w:r w:rsidRPr="028DD7F5">
        <w:rPr>
          <w:rFonts w:ascii="Calibri" w:eastAsia="Calibri" w:hAnsi="Calibri" w:cs="Calibri"/>
          <w:color w:val="155F81"/>
        </w:rPr>
        <w:t>anticipated within approximately 45 days of each NOPA.</w:t>
      </w:r>
    </w:p>
    <w:p w14:paraId="17C42E38" w14:textId="77777777" w:rsidR="00F1582A" w:rsidRDefault="00F1582A" w:rsidP="77447815">
      <w:pPr>
        <w:pStyle w:val="ListParagraph"/>
        <w:spacing w:after="0"/>
        <w:rPr>
          <w:rFonts w:ascii="Calibri" w:eastAsia="Calibri" w:hAnsi="Calibri" w:cs="Calibri"/>
          <w:color w:val="155F81"/>
        </w:rPr>
      </w:pPr>
    </w:p>
    <w:p w14:paraId="4A944563" w14:textId="6D54A7CB" w:rsidR="00F1582A" w:rsidRDefault="004C7D04" w:rsidP="77447815">
      <w:pPr>
        <w:pStyle w:val="ListParagraph"/>
        <w:spacing w:after="0"/>
        <w:rPr>
          <w:rFonts w:ascii="Calibri" w:eastAsia="Calibri" w:hAnsi="Calibri" w:cs="Calibri"/>
          <w:color w:val="155F81"/>
        </w:rPr>
      </w:pPr>
      <w:r w:rsidRPr="028DD7F5">
        <w:rPr>
          <w:rFonts w:ascii="Calibri" w:eastAsia="Calibri" w:hAnsi="Calibri" w:cs="Calibri"/>
          <w:color w:val="155F81"/>
        </w:rPr>
        <w:t xml:space="preserve">The full project package must be completed prior to proceeding to a business meeting and </w:t>
      </w:r>
      <w:r w:rsidR="00AE5A58" w:rsidRPr="028DD7F5">
        <w:rPr>
          <w:rFonts w:ascii="Calibri" w:eastAsia="Calibri" w:hAnsi="Calibri" w:cs="Calibri"/>
          <w:color w:val="155F81"/>
        </w:rPr>
        <w:t xml:space="preserve">would </w:t>
      </w:r>
      <w:r w:rsidRPr="028DD7F5">
        <w:rPr>
          <w:rFonts w:ascii="Calibri" w:eastAsia="Calibri" w:hAnsi="Calibri" w:cs="Calibri"/>
          <w:color w:val="155F81"/>
        </w:rPr>
        <w:t>include, as applicable, final and available CEQA documentation (e.g., Notice of Determination, Final EIR, Negative or Mitigated Negative Declaration, Notice of Exemption).</w:t>
      </w:r>
    </w:p>
    <w:p w14:paraId="080EF209" w14:textId="77777777" w:rsidR="00640394" w:rsidRDefault="00640394" w:rsidP="77447815">
      <w:pPr>
        <w:pStyle w:val="ListParagraph"/>
        <w:spacing w:after="0"/>
        <w:rPr>
          <w:rFonts w:ascii="Calibri" w:eastAsia="Calibri" w:hAnsi="Calibri" w:cs="Calibri"/>
          <w:b/>
          <w:bCs/>
          <w:color w:val="155F81"/>
        </w:rPr>
      </w:pPr>
    </w:p>
    <w:p w14:paraId="36BAB468" w14:textId="3A52C5B3" w:rsidR="006D577D" w:rsidRPr="00FC256F" w:rsidRDefault="006D577D" w:rsidP="00C10CE1">
      <w:pPr>
        <w:pStyle w:val="ListParagraph"/>
        <w:spacing w:after="0"/>
        <w:rPr>
          <w:rFonts w:ascii="Calibri" w:eastAsia="Calibri" w:hAnsi="Calibri" w:cs="Calibri"/>
          <w:color w:val="155F81"/>
        </w:rPr>
      </w:pPr>
      <w:r w:rsidRPr="028DD7F5">
        <w:rPr>
          <w:rFonts w:ascii="Calibri" w:eastAsia="Calibri" w:hAnsi="Calibri" w:cs="Calibri"/>
          <w:color w:val="155F81"/>
        </w:rPr>
        <w:t xml:space="preserve">See Section I.E. Key Activities Schedule </w:t>
      </w:r>
      <w:r w:rsidR="00C10CE1" w:rsidRPr="028DD7F5">
        <w:rPr>
          <w:rFonts w:ascii="Calibri" w:eastAsia="Calibri" w:hAnsi="Calibri" w:cs="Calibri"/>
          <w:color w:val="155F81"/>
        </w:rPr>
        <w:t>for key activities, dates, and times for this solicitation.</w:t>
      </w:r>
      <w:r w:rsidRPr="028DD7F5">
        <w:rPr>
          <w:rFonts w:ascii="Calibri" w:eastAsia="Calibri" w:hAnsi="Calibri" w:cs="Calibri"/>
          <w:color w:val="155F81"/>
        </w:rPr>
        <w:t xml:space="preserve"> </w:t>
      </w:r>
    </w:p>
    <w:p w14:paraId="3AEA5944" w14:textId="77777777" w:rsidR="006D577D" w:rsidRDefault="006D577D" w:rsidP="77447815">
      <w:pPr>
        <w:pStyle w:val="ListParagraph"/>
        <w:spacing w:after="0"/>
        <w:rPr>
          <w:rFonts w:ascii="Calibri" w:eastAsia="Calibri" w:hAnsi="Calibri" w:cs="Calibri"/>
          <w:color w:val="155F81"/>
        </w:rPr>
      </w:pPr>
    </w:p>
    <w:p w14:paraId="34D27973" w14:textId="252FEED6" w:rsidR="00640394" w:rsidRPr="0003566E" w:rsidRDefault="00640394" w:rsidP="77447815">
      <w:pPr>
        <w:pStyle w:val="ListParagraph"/>
        <w:spacing w:after="0"/>
        <w:rPr>
          <w:rFonts w:ascii="Calibri" w:eastAsia="Calibri" w:hAnsi="Calibri" w:cs="Calibri"/>
          <w:b/>
          <w:bCs/>
          <w:color w:val="155F81"/>
        </w:rPr>
      </w:pPr>
      <w:r w:rsidRPr="028DD7F5">
        <w:rPr>
          <w:rFonts w:ascii="Calibri" w:eastAsia="Calibri" w:hAnsi="Calibri" w:cs="Calibri"/>
          <w:color w:val="155F81"/>
        </w:rPr>
        <w:t>Please note, failure to complete the CEQA process in a timely manner after the CEC’s NOPA may, in the CEC’s sole discretion and without limiting any of the CEC’s other rights and remedies, result in the cancellation of a proposed award and allocation of funding elsewhere, such as to the next highest-scoring project.</w:t>
      </w:r>
    </w:p>
    <w:p w14:paraId="2E3B326F" w14:textId="3CFB0507" w:rsidR="4FC0E909" w:rsidRDefault="4FC0E909" w:rsidP="77447815">
      <w:pPr>
        <w:pStyle w:val="ListParagraph"/>
        <w:spacing w:after="0"/>
        <w:rPr>
          <w:rFonts w:ascii="Calibri" w:eastAsia="Calibri" w:hAnsi="Calibri" w:cs="Calibri"/>
          <w:color w:val="000000" w:themeColor="text1"/>
        </w:rPr>
      </w:pPr>
    </w:p>
    <w:p w14:paraId="70AB1863" w14:textId="2F9C617E" w:rsidR="4FC0E909" w:rsidRDefault="2E6E5FB2"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rPr>
        <w:t>Is final CEQA determination by the Lead Agency required by the application deadline of February 23?</w:t>
      </w:r>
    </w:p>
    <w:p w14:paraId="3C31564E" w14:textId="3FC3C703" w:rsidR="4FC0E909" w:rsidRDefault="4FC0E909" w:rsidP="77447815">
      <w:pPr>
        <w:spacing w:after="0"/>
        <w:rPr>
          <w:rFonts w:ascii="Calibri" w:eastAsia="Calibri" w:hAnsi="Calibri" w:cs="Calibri"/>
          <w:color w:val="000000" w:themeColor="text1"/>
        </w:rPr>
      </w:pPr>
    </w:p>
    <w:p w14:paraId="5D0BBBCC" w14:textId="1E95BC75" w:rsidR="4FC0E909" w:rsidRDefault="428BCA90" w:rsidP="77447815">
      <w:pPr>
        <w:pStyle w:val="ListParagraph"/>
        <w:spacing w:after="0"/>
        <w:rPr>
          <w:rFonts w:ascii="Calibri" w:eastAsia="Calibri" w:hAnsi="Calibri" w:cs="Calibri"/>
          <w:color w:val="155F81"/>
        </w:rPr>
      </w:pPr>
      <w:r w:rsidRPr="028DD7F5">
        <w:rPr>
          <w:rFonts w:ascii="Calibri" w:eastAsia="Calibri" w:hAnsi="Calibri" w:cs="Calibri"/>
          <w:b/>
          <w:bCs/>
          <w:color w:val="155F81"/>
        </w:rPr>
        <w:t>CEC:</w:t>
      </w:r>
      <w:r w:rsidR="4134F14D" w:rsidRPr="028DD7F5">
        <w:rPr>
          <w:rFonts w:ascii="Calibri" w:eastAsia="Calibri" w:hAnsi="Calibri" w:cs="Calibri"/>
          <w:b/>
          <w:bCs/>
          <w:color w:val="155F81"/>
        </w:rPr>
        <w:t xml:space="preserve"> </w:t>
      </w:r>
      <w:r w:rsidR="7B84B703" w:rsidRPr="028DD7F5">
        <w:rPr>
          <w:rFonts w:ascii="Calibri" w:eastAsia="Calibri" w:hAnsi="Calibri" w:cs="Calibri"/>
          <w:color w:val="155F81"/>
        </w:rPr>
        <w:t xml:space="preserve">The CEQA determination </w:t>
      </w:r>
      <w:r w:rsidR="66266D11" w:rsidRPr="028DD7F5">
        <w:rPr>
          <w:rFonts w:ascii="Calibri" w:eastAsia="Calibri" w:hAnsi="Calibri" w:cs="Calibri"/>
          <w:color w:val="155F81"/>
        </w:rPr>
        <w:t xml:space="preserve">may </w:t>
      </w:r>
      <w:r w:rsidR="4134F14D" w:rsidRPr="028DD7F5">
        <w:rPr>
          <w:rFonts w:ascii="Calibri" w:eastAsia="Calibri" w:hAnsi="Calibri" w:cs="Calibri"/>
          <w:color w:val="155F81"/>
        </w:rPr>
        <w:t>be under review at time of proposal</w:t>
      </w:r>
      <w:r w:rsidR="0CA0AD65" w:rsidRPr="028DD7F5">
        <w:rPr>
          <w:rFonts w:ascii="Calibri" w:eastAsia="Calibri" w:hAnsi="Calibri" w:cs="Calibri"/>
          <w:color w:val="155F81"/>
        </w:rPr>
        <w:t xml:space="preserve"> but</w:t>
      </w:r>
      <w:r w:rsidR="0CA0AD65" w:rsidRPr="028DD7F5">
        <w:rPr>
          <w:rFonts w:ascii="Calibri" w:eastAsia="Calibri" w:hAnsi="Calibri" w:cs="Calibri"/>
          <w:b/>
          <w:bCs/>
          <w:color w:val="155F81"/>
        </w:rPr>
        <w:t xml:space="preserve"> </w:t>
      </w:r>
      <w:r w:rsidR="5AE7D1F6" w:rsidRPr="028DD7F5">
        <w:rPr>
          <w:rFonts w:ascii="Calibri" w:eastAsia="Calibri" w:hAnsi="Calibri" w:cs="Calibri"/>
          <w:color w:val="155F81"/>
        </w:rPr>
        <w:t xml:space="preserve">could result in agreement development delays if received later. Timing is project dependent, </w:t>
      </w:r>
      <w:r w:rsidR="6A7B7075" w:rsidRPr="028DD7F5">
        <w:rPr>
          <w:rFonts w:ascii="Calibri" w:eastAsia="Calibri" w:hAnsi="Calibri" w:cs="Calibri"/>
          <w:color w:val="155F81"/>
        </w:rPr>
        <w:t xml:space="preserve">and projects are expected to have CEQA determination completed by </w:t>
      </w:r>
      <w:r w:rsidR="09AC027C" w:rsidRPr="028DD7F5">
        <w:rPr>
          <w:rFonts w:ascii="Calibri" w:eastAsia="Calibri" w:hAnsi="Calibri" w:cs="Calibri"/>
          <w:color w:val="155F81"/>
        </w:rPr>
        <w:t>the</w:t>
      </w:r>
      <w:r w:rsidR="6A7B7075" w:rsidRPr="028DD7F5">
        <w:rPr>
          <w:rFonts w:ascii="Calibri" w:eastAsia="Calibri" w:hAnsi="Calibri" w:cs="Calibri"/>
          <w:color w:val="155F81"/>
        </w:rPr>
        <w:t xml:space="preserve"> time of the Business Meeting.</w:t>
      </w:r>
    </w:p>
    <w:p w14:paraId="0AAE4DC7" w14:textId="77777777" w:rsidR="00644A42" w:rsidRDefault="00644A42" w:rsidP="77447815">
      <w:pPr>
        <w:pStyle w:val="ListParagraph"/>
        <w:spacing w:after="0"/>
        <w:rPr>
          <w:rFonts w:ascii="Calibri" w:eastAsia="Calibri" w:hAnsi="Calibri" w:cs="Calibri"/>
          <w:b/>
          <w:bCs/>
          <w:color w:val="156082" w:themeColor="accent1"/>
        </w:rPr>
      </w:pPr>
    </w:p>
    <w:p w14:paraId="7BC53E6B" w14:textId="62B8103C" w:rsidR="00644A42" w:rsidRPr="00FC256F" w:rsidRDefault="00644A42" w:rsidP="00644A42">
      <w:pPr>
        <w:pStyle w:val="ListParagraph"/>
        <w:spacing w:after="0"/>
        <w:rPr>
          <w:rFonts w:ascii="Calibri" w:eastAsia="Calibri" w:hAnsi="Calibri" w:cs="Calibri"/>
          <w:color w:val="155F81"/>
        </w:rPr>
      </w:pPr>
      <w:r w:rsidRPr="028DD7F5">
        <w:rPr>
          <w:rFonts w:ascii="Calibri" w:eastAsia="Calibri" w:hAnsi="Calibri" w:cs="Calibri"/>
          <w:color w:val="155F81"/>
        </w:rPr>
        <w:t xml:space="preserve">See Section I.E. Key Activities Schedule for </w:t>
      </w:r>
      <w:r w:rsidR="00C10CE1" w:rsidRPr="028DD7F5">
        <w:rPr>
          <w:rFonts w:ascii="Calibri" w:eastAsia="Calibri" w:hAnsi="Calibri" w:cs="Calibri"/>
          <w:color w:val="155F81"/>
        </w:rPr>
        <w:t>key activities, dates, and times for this solicitation.</w:t>
      </w:r>
    </w:p>
    <w:p w14:paraId="240100A7" w14:textId="3578F82B" w:rsidR="4FC0E909" w:rsidRDefault="4FC0E909" w:rsidP="77447815">
      <w:pPr>
        <w:spacing w:after="0"/>
        <w:rPr>
          <w:rFonts w:ascii="Calibri" w:eastAsia="Calibri" w:hAnsi="Calibri" w:cs="Calibri"/>
          <w:color w:val="000000" w:themeColor="text1"/>
        </w:rPr>
      </w:pPr>
    </w:p>
    <w:p w14:paraId="4BF5D52B" w14:textId="61FE674B" w:rsidR="4FC0E909" w:rsidRDefault="2E6E5FB2"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rPr>
        <w:t>Is a letter from the Lead Agency stating that an Initial Study is under way enough to meet application filing requirements for the application deadline of February 23?</w:t>
      </w:r>
    </w:p>
    <w:p w14:paraId="68FFACEA" w14:textId="65372A62" w:rsidR="4FC0E909" w:rsidRDefault="4FC0E909" w:rsidP="77447815">
      <w:pPr>
        <w:pStyle w:val="ListParagraph"/>
        <w:spacing w:after="0"/>
        <w:rPr>
          <w:rFonts w:ascii="Calibri" w:eastAsia="Calibri" w:hAnsi="Calibri" w:cs="Calibri"/>
          <w:b/>
          <w:bCs/>
          <w:color w:val="156082" w:themeColor="accent1"/>
          <w:highlight w:val="yellow"/>
        </w:rPr>
      </w:pPr>
    </w:p>
    <w:p w14:paraId="49A2DE6C" w14:textId="6A7948BC" w:rsidR="4FC0E909" w:rsidRDefault="437F2918" w:rsidP="77447815">
      <w:pPr>
        <w:pStyle w:val="ListParagraph"/>
        <w:spacing w:after="0"/>
        <w:rPr>
          <w:rFonts w:ascii="Calibri" w:eastAsia="Calibri" w:hAnsi="Calibri" w:cs="Calibri"/>
          <w:color w:val="156082" w:themeColor="accent1"/>
          <w:highlight w:val="yellow"/>
        </w:rPr>
      </w:pPr>
      <w:r w:rsidRPr="028DD7F5">
        <w:rPr>
          <w:rFonts w:ascii="Calibri" w:eastAsia="Calibri" w:hAnsi="Calibri" w:cs="Calibri"/>
          <w:b/>
          <w:bCs/>
          <w:color w:val="155F81"/>
        </w:rPr>
        <w:t>CEC:</w:t>
      </w:r>
      <w:r w:rsidR="3A283C50" w:rsidRPr="028DD7F5">
        <w:rPr>
          <w:rFonts w:ascii="Calibri" w:eastAsia="Calibri" w:hAnsi="Calibri" w:cs="Calibri"/>
          <w:color w:val="155F81"/>
        </w:rPr>
        <w:t xml:space="preserve"> </w:t>
      </w:r>
      <w:r w:rsidR="6B5AA2E6" w:rsidRPr="028DD7F5">
        <w:rPr>
          <w:rFonts w:ascii="Calibri" w:eastAsia="Calibri" w:hAnsi="Calibri" w:cs="Calibri"/>
          <w:color w:val="155F81"/>
        </w:rPr>
        <w:t xml:space="preserve">See questions </w:t>
      </w:r>
      <w:r w:rsidR="07E1E6BF" w:rsidRPr="028DD7F5">
        <w:rPr>
          <w:rFonts w:ascii="Calibri" w:eastAsia="Calibri" w:hAnsi="Calibri" w:cs="Calibri"/>
          <w:color w:val="155F81"/>
        </w:rPr>
        <w:t>11</w:t>
      </w:r>
      <w:r w:rsidR="71A38948" w:rsidRPr="028DD7F5">
        <w:rPr>
          <w:rFonts w:ascii="Calibri" w:eastAsia="Calibri" w:hAnsi="Calibri" w:cs="Calibri"/>
          <w:color w:val="155F81"/>
        </w:rPr>
        <w:t>-13</w:t>
      </w:r>
      <w:r w:rsidR="6DC3A935" w:rsidRPr="028DD7F5">
        <w:rPr>
          <w:rFonts w:ascii="Calibri" w:eastAsia="Calibri" w:hAnsi="Calibri" w:cs="Calibri"/>
          <w:color w:val="155F81"/>
        </w:rPr>
        <w:t>.</w:t>
      </w:r>
    </w:p>
    <w:p w14:paraId="6B61949C" w14:textId="5CDD3A59" w:rsidR="77447815" w:rsidRDefault="77447815" w:rsidP="77447815">
      <w:pPr>
        <w:pStyle w:val="ListParagraph"/>
        <w:spacing w:after="0"/>
        <w:rPr>
          <w:rFonts w:ascii="Calibri" w:eastAsia="Calibri" w:hAnsi="Calibri" w:cs="Calibri"/>
          <w:color w:val="155F81"/>
          <w:highlight w:val="yellow"/>
        </w:rPr>
      </w:pPr>
    </w:p>
    <w:p w14:paraId="1722A2BC" w14:textId="630AC413" w:rsidR="656C7A58" w:rsidRDefault="656C7A58"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color w:val="000000" w:themeColor="text1"/>
        </w:rPr>
        <w:lastRenderedPageBreak/>
        <w:t>Air permitting — For projects that displace or modify boilers, is an issued/updated air permit required at the application stage?</w:t>
      </w:r>
    </w:p>
    <w:p w14:paraId="5ADBE5D6" w14:textId="28E787B7" w:rsidR="77447815" w:rsidRDefault="77447815" w:rsidP="77447815">
      <w:pPr>
        <w:spacing w:after="0"/>
        <w:rPr>
          <w:rFonts w:ascii="Calibri" w:eastAsia="Calibri" w:hAnsi="Calibri" w:cs="Calibri"/>
          <w:color w:val="000000" w:themeColor="text1"/>
        </w:rPr>
      </w:pPr>
    </w:p>
    <w:p w14:paraId="50DA925D" w14:textId="479E597B" w:rsidR="00517387" w:rsidRDefault="485F0716" w:rsidP="028DD7F5">
      <w:pPr>
        <w:ind w:left="720"/>
        <w:rPr>
          <w:rFonts w:ascii="Calibri" w:eastAsia="Calibri" w:hAnsi="Calibri" w:cs="Calibri"/>
          <w:color w:val="156082" w:themeColor="accent1"/>
        </w:rPr>
      </w:pPr>
      <w:r w:rsidRPr="028DD7F5">
        <w:rPr>
          <w:rFonts w:ascii="Calibri" w:eastAsia="Calibri" w:hAnsi="Calibri" w:cs="Calibri"/>
          <w:b/>
          <w:bCs/>
          <w:color w:val="155F81"/>
        </w:rPr>
        <w:t>CEC</w:t>
      </w:r>
      <w:r w:rsidRPr="028DD7F5">
        <w:rPr>
          <w:rFonts w:ascii="Calibri" w:eastAsia="Calibri" w:hAnsi="Calibri" w:cs="Calibri"/>
          <w:color w:val="155F81"/>
        </w:rPr>
        <w:t xml:space="preserve">: </w:t>
      </w:r>
      <w:r w:rsidR="0B8E8E5C" w:rsidRPr="028DD7F5">
        <w:rPr>
          <w:rFonts w:ascii="Calibri" w:eastAsia="Calibri" w:hAnsi="Calibri" w:cs="Calibri"/>
          <w:color w:val="156082" w:themeColor="accent1"/>
        </w:rPr>
        <w:t xml:space="preserve">Issued/updated permits are not required at the time of application, though having such permits </w:t>
      </w:r>
      <w:r w:rsidR="20A63976" w:rsidRPr="028DD7F5">
        <w:rPr>
          <w:rFonts w:ascii="Calibri" w:eastAsia="Calibri" w:hAnsi="Calibri" w:cs="Calibri"/>
          <w:color w:val="156082" w:themeColor="accent1"/>
        </w:rPr>
        <w:t>would be considered favorably</w:t>
      </w:r>
      <w:r w:rsidR="0B8E8E5C" w:rsidRPr="028DD7F5">
        <w:rPr>
          <w:rFonts w:ascii="Calibri" w:eastAsia="Calibri" w:hAnsi="Calibri" w:cs="Calibri"/>
          <w:color w:val="156082" w:themeColor="accent1"/>
        </w:rPr>
        <w:t xml:space="preserve"> in scoring. Neither are such permits required at the time of business meeting approval. However, failure to obtain any required permits or updates thereto constitutes grounds for voiding </w:t>
      </w:r>
      <w:r w:rsidR="63C18057" w:rsidRPr="028DD7F5">
        <w:rPr>
          <w:rFonts w:ascii="Calibri" w:eastAsia="Calibri" w:hAnsi="Calibri" w:cs="Calibri"/>
          <w:color w:val="156082" w:themeColor="accent1"/>
        </w:rPr>
        <w:t>an</w:t>
      </w:r>
      <w:r w:rsidR="0B8E8E5C" w:rsidRPr="028DD7F5">
        <w:rPr>
          <w:rFonts w:ascii="Calibri" w:eastAsia="Calibri" w:hAnsi="Calibri" w:cs="Calibri"/>
          <w:color w:val="156082" w:themeColor="accent1"/>
        </w:rPr>
        <w:t xml:space="preserve"> agreement</w:t>
      </w:r>
      <w:r w:rsidR="0B8E8E5C" w:rsidRPr="028DD7F5">
        <w:rPr>
          <w:rFonts w:ascii="Calibri" w:eastAsia="Calibri" w:hAnsi="Calibri" w:cs="Calibri"/>
          <w:color w:val="333333"/>
          <w:sz w:val="18"/>
          <w:szCs w:val="18"/>
        </w:rPr>
        <w:t>.</w:t>
      </w:r>
      <w:r w:rsidR="0B8E8E5C" w:rsidRPr="028DD7F5">
        <w:rPr>
          <w:rFonts w:ascii="Calibri" w:eastAsia="Calibri" w:hAnsi="Calibri" w:cs="Calibri"/>
        </w:rPr>
        <w:t xml:space="preserve"> </w:t>
      </w:r>
      <w:r w:rsidRPr="028DD7F5">
        <w:rPr>
          <w:rFonts w:ascii="Calibri" w:eastAsia="Calibri" w:hAnsi="Calibri" w:cs="Calibri"/>
          <w:color w:val="155F81"/>
        </w:rPr>
        <w:t>The Project Narrative should d</w:t>
      </w:r>
      <w:r w:rsidRPr="028DD7F5">
        <w:rPr>
          <w:rFonts w:ascii="Calibri" w:eastAsia="Calibri" w:hAnsi="Calibri" w:cs="Calibri"/>
          <w:color w:val="156082" w:themeColor="accent1"/>
        </w:rPr>
        <w:t xml:space="preserve">iscuss any outstanding permitting issues (e.g., local air districts), local community issues, and/or equipment performance tests to be completed prior to equipment installation at the facility(ies) and how and when </w:t>
      </w:r>
      <w:r w:rsidR="40C54069" w:rsidRPr="028DD7F5">
        <w:rPr>
          <w:rFonts w:ascii="Calibri" w:eastAsia="Calibri" w:hAnsi="Calibri" w:cs="Calibri"/>
          <w:color w:val="156082" w:themeColor="accent1"/>
        </w:rPr>
        <w:t xml:space="preserve">the project team plans to resolve </w:t>
      </w:r>
      <w:r w:rsidRPr="028DD7F5">
        <w:rPr>
          <w:rFonts w:ascii="Calibri" w:eastAsia="Calibri" w:hAnsi="Calibri" w:cs="Calibri"/>
          <w:color w:val="156082" w:themeColor="accent1"/>
        </w:rPr>
        <w:t xml:space="preserve">these matters.  </w:t>
      </w:r>
    </w:p>
    <w:p w14:paraId="054FF0CB" w14:textId="77777777" w:rsidR="00517387" w:rsidRPr="00DF6498" w:rsidRDefault="00517387" w:rsidP="00517387">
      <w:pPr>
        <w:pStyle w:val="ListParagraph"/>
        <w:spacing w:after="0"/>
        <w:rPr>
          <w:rFonts w:ascii="Calibri" w:eastAsia="Calibri" w:hAnsi="Calibri" w:cs="Calibri"/>
          <w:color w:val="155F81"/>
        </w:rPr>
      </w:pPr>
      <w:r w:rsidRPr="028DD7F5">
        <w:rPr>
          <w:rFonts w:ascii="Calibri" w:eastAsia="Calibri" w:hAnsi="Calibri" w:cs="Calibri"/>
          <w:color w:val="155F81"/>
        </w:rPr>
        <w:t>See Section I.E. Key Activities Schedule for key activities, dates, and times for this solicitation.</w:t>
      </w:r>
    </w:p>
    <w:p w14:paraId="0F13F6D9" w14:textId="77777777" w:rsidR="00517387" w:rsidRDefault="00517387" w:rsidP="77447815">
      <w:pPr>
        <w:ind w:left="720"/>
        <w:rPr>
          <w:rFonts w:ascii="Calibri" w:eastAsia="Calibri" w:hAnsi="Calibri" w:cs="Calibri"/>
          <w:color w:val="155F81"/>
        </w:rPr>
      </w:pPr>
    </w:p>
    <w:p w14:paraId="2067D4EB" w14:textId="23DFDF52" w:rsidR="342FA548" w:rsidRDefault="342FA548"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color w:val="000000" w:themeColor="text1"/>
        </w:rPr>
        <w:t>M&amp;V — Given the solicitation’s 4-month pre-install and 12-month post-install minima, will the Commission accept a seasonal post-install measurement (one full season) plus normalization (e.g., CO₂ avoided per unit processed)?</w:t>
      </w:r>
    </w:p>
    <w:p w14:paraId="39DCF002" w14:textId="59C25689" w:rsidR="77447815" w:rsidRDefault="77447815" w:rsidP="77447815">
      <w:pPr>
        <w:pStyle w:val="ListParagraph"/>
        <w:spacing w:after="0"/>
        <w:rPr>
          <w:rFonts w:ascii="Calibri" w:eastAsia="Calibri" w:hAnsi="Calibri" w:cs="Calibri"/>
          <w:color w:val="000000" w:themeColor="text1"/>
        </w:rPr>
      </w:pPr>
    </w:p>
    <w:p w14:paraId="01E88D4F" w14:textId="287821A3" w:rsidR="37D18BD2" w:rsidRPr="00FC256F" w:rsidRDefault="342FA548" w:rsidP="77447815">
      <w:pPr>
        <w:spacing w:after="120"/>
        <w:ind w:left="720"/>
        <w:rPr>
          <w:rFonts w:ascii="Calibri" w:eastAsia="Calibri" w:hAnsi="Calibri" w:cs="Calibri"/>
          <w:color w:val="155F81"/>
        </w:rPr>
      </w:pPr>
      <w:r w:rsidRPr="028DD7F5">
        <w:rPr>
          <w:rFonts w:ascii="Calibri" w:eastAsia="Calibri" w:hAnsi="Calibri" w:cs="Calibri"/>
          <w:b/>
          <w:bCs/>
          <w:color w:val="155F81"/>
        </w:rPr>
        <w:t>CEC</w:t>
      </w:r>
      <w:r w:rsidRPr="028DD7F5">
        <w:rPr>
          <w:rFonts w:ascii="Calibri" w:eastAsia="Calibri" w:hAnsi="Calibri" w:cs="Calibri"/>
          <w:color w:val="155F81"/>
        </w:rPr>
        <w:t>:</w:t>
      </w:r>
      <w:r w:rsidR="4FA3AD36" w:rsidRPr="028DD7F5">
        <w:rPr>
          <w:rFonts w:ascii="Calibri" w:eastAsia="Calibri" w:hAnsi="Calibri" w:cs="Calibri"/>
          <w:color w:val="155F81"/>
        </w:rPr>
        <w:t xml:space="preserve"> Please see Addendum 9</w:t>
      </w:r>
      <w:r w:rsidR="00446141" w:rsidRPr="028DD7F5">
        <w:rPr>
          <w:rFonts w:ascii="Calibri" w:eastAsia="Calibri" w:hAnsi="Calibri" w:cs="Calibri"/>
          <w:color w:val="155F81"/>
        </w:rPr>
        <w:t xml:space="preserve"> of the Solicitation Manual</w:t>
      </w:r>
      <w:r w:rsidR="00111E22" w:rsidRPr="028DD7F5">
        <w:rPr>
          <w:rFonts w:ascii="Calibri" w:eastAsia="Calibri" w:hAnsi="Calibri" w:cs="Calibri"/>
          <w:color w:val="155F81"/>
        </w:rPr>
        <w:t>.</w:t>
      </w:r>
      <w:r w:rsidR="4FA3AD36" w:rsidRPr="028DD7F5">
        <w:rPr>
          <w:rFonts w:ascii="Calibri" w:eastAsia="Calibri" w:hAnsi="Calibri" w:cs="Calibri"/>
          <w:color w:val="155F81"/>
        </w:rPr>
        <w:t xml:space="preserve"> </w:t>
      </w:r>
      <w:r w:rsidR="00111E22" w:rsidRPr="028DD7F5">
        <w:rPr>
          <w:rFonts w:ascii="Calibri" w:eastAsia="Calibri" w:hAnsi="Calibri" w:cs="Calibri"/>
          <w:color w:val="155F81"/>
        </w:rPr>
        <w:t>T</w:t>
      </w:r>
      <w:r w:rsidRPr="028DD7F5">
        <w:rPr>
          <w:rFonts w:ascii="Calibri" w:eastAsia="Calibri" w:hAnsi="Calibri" w:cs="Calibri"/>
          <w:color w:val="155F81"/>
        </w:rPr>
        <w:t>he minimum period of measurement required to meet this solicitation, as stated in Section II.B.3. Measurement and Verification Plan, is as follows:</w:t>
      </w:r>
    </w:p>
    <w:p w14:paraId="37EF959D" w14:textId="081E7562" w:rsidR="342FA548" w:rsidRPr="00FC256F" w:rsidRDefault="342FA548" w:rsidP="77447815">
      <w:pPr>
        <w:pStyle w:val="ListParagraph"/>
        <w:numPr>
          <w:ilvl w:val="0"/>
          <w:numId w:val="1"/>
        </w:numPr>
        <w:spacing w:after="0"/>
        <w:ind w:left="1080"/>
        <w:rPr>
          <w:rFonts w:ascii="Calibri" w:eastAsia="Calibri" w:hAnsi="Calibri" w:cs="Calibri"/>
          <w:color w:val="155F81"/>
        </w:rPr>
      </w:pPr>
      <w:r w:rsidRPr="028DD7F5">
        <w:rPr>
          <w:rFonts w:ascii="Calibri" w:eastAsia="Calibri" w:hAnsi="Calibri" w:cs="Calibri"/>
          <w:b/>
          <w:bCs/>
          <w:color w:val="155F81"/>
        </w:rPr>
        <w:t>Pre-installation</w:t>
      </w:r>
      <w:r w:rsidRPr="028DD7F5">
        <w:rPr>
          <w:rFonts w:ascii="Calibri" w:eastAsia="Calibri" w:hAnsi="Calibri" w:cs="Calibri"/>
          <w:color w:val="155F81"/>
        </w:rPr>
        <w:t xml:space="preserve">: </w:t>
      </w:r>
    </w:p>
    <w:p w14:paraId="76947789" w14:textId="0ADB8186" w:rsidR="342FA548" w:rsidRPr="00FC256F" w:rsidRDefault="342FA548" w:rsidP="77447815">
      <w:pPr>
        <w:pStyle w:val="ListParagraph"/>
        <w:numPr>
          <w:ilvl w:val="1"/>
          <w:numId w:val="1"/>
        </w:numPr>
        <w:spacing w:after="120"/>
        <w:rPr>
          <w:rFonts w:ascii="Calibri" w:eastAsia="Calibri" w:hAnsi="Calibri" w:cs="Calibri"/>
          <w:color w:val="155F81"/>
        </w:rPr>
      </w:pPr>
      <w:r w:rsidRPr="028DD7F5">
        <w:rPr>
          <w:rFonts w:ascii="Calibri" w:eastAsia="Calibri" w:hAnsi="Calibri" w:cs="Calibri"/>
          <w:color w:val="155F81"/>
        </w:rPr>
        <w:t>A minimum of 4 months pre-installation on the equipment and systems to be retrofitted/replaced</w:t>
      </w:r>
      <w:r w:rsidR="01729B3E" w:rsidRPr="028DD7F5">
        <w:rPr>
          <w:rFonts w:ascii="Calibri" w:eastAsia="Calibri" w:hAnsi="Calibri" w:cs="Calibri"/>
          <w:color w:val="155F81"/>
        </w:rPr>
        <w:t xml:space="preserve"> </w:t>
      </w:r>
      <w:r w:rsidR="01729B3E" w:rsidRPr="028DD7F5">
        <w:rPr>
          <w:rFonts w:ascii="Calibri" w:eastAsia="Calibri" w:hAnsi="Calibri" w:cs="Calibri"/>
          <w:b/>
          <w:bCs/>
          <w:color w:val="156082" w:themeColor="accent1"/>
          <w:u w:val="single"/>
        </w:rPr>
        <w:t xml:space="preserve">or one season for seasonal </w:t>
      </w:r>
      <w:r w:rsidR="00107D70" w:rsidRPr="028DD7F5">
        <w:rPr>
          <w:rFonts w:ascii="Calibri" w:eastAsia="Calibri" w:hAnsi="Calibri" w:cs="Calibri"/>
          <w:b/>
          <w:bCs/>
          <w:color w:val="156082" w:themeColor="accent1"/>
          <w:u w:val="single"/>
        </w:rPr>
        <w:t>operations</w:t>
      </w:r>
      <w:r w:rsidR="01729B3E" w:rsidRPr="028DD7F5">
        <w:rPr>
          <w:rFonts w:ascii="Calibri" w:eastAsia="Calibri" w:hAnsi="Calibri" w:cs="Calibri"/>
          <w:b/>
          <w:bCs/>
          <w:color w:val="156082" w:themeColor="accent1"/>
          <w:u w:val="single"/>
        </w:rPr>
        <w:t>.</w:t>
      </w:r>
    </w:p>
    <w:p w14:paraId="6266E7AB" w14:textId="28874C31" w:rsidR="342FA548" w:rsidRPr="00FC256F" w:rsidRDefault="342FA548" w:rsidP="77447815">
      <w:pPr>
        <w:pStyle w:val="ListParagraph"/>
        <w:numPr>
          <w:ilvl w:val="0"/>
          <w:numId w:val="1"/>
        </w:numPr>
        <w:spacing w:after="0"/>
        <w:ind w:left="1080"/>
        <w:rPr>
          <w:rFonts w:ascii="Calibri" w:eastAsia="Calibri" w:hAnsi="Calibri" w:cs="Calibri"/>
          <w:b/>
          <w:bCs/>
          <w:color w:val="155F81"/>
        </w:rPr>
      </w:pPr>
      <w:r w:rsidRPr="028DD7F5">
        <w:rPr>
          <w:rFonts w:ascii="Calibri" w:eastAsia="Calibri" w:hAnsi="Calibri" w:cs="Calibri"/>
          <w:b/>
          <w:bCs/>
          <w:color w:val="155F81"/>
        </w:rPr>
        <w:t>Post-installation:</w:t>
      </w:r>
    </w:p>
    <w:p w14:paraId="2A5BC053" w14:textId="6BAFA5B9" w:rsidR="77447815" w:rsidRPr="00FC256F" w:rsidRDefault="342FA548" w:rsidP="028DD7F5">
      <w:pPr>
        <w:pStyle w:val="ListParagraph"/>
        <w:numPr>
          <w:ilvl w:val="1"/>
          <w:numId w:val="1"/>
        </w:numPr>
        <w:spacing w:after="120"/>
        <w:rPr>
          <w:rFonts w:ascii="Calibri" w:eastAsia="Calibri" w:hAnsi="Calibri" w:cs="Calibri"/>
          <w:color w:val="155F81"/>
        </w:rPr>
      </w:pPr>
      <w:r w:rsidRPr="028DD7F5">
        <w:rPr>
          <w:rFonts w:ascii="Calibri" w:eastAsia="Calibri" w:hAnsi="Calibri" w:cs="Calibri"/>
          <w:color w:val="155F81"/>
        </w:rPr>
        <w:t>A minimum of 12 months post-installation on the equipment/systems installed</w:t>
      </w:r>
      <w:r w:rsidR="09425C6C" w:rsidRPr="028DD7F5">
        <w:rPr>
          <w:rFonts w:ascii="Calibri" w:eastAsia="Calibri" w:hAnsi="Calibri" w:cs="Calibri"/>
          <w:color w:val="155F81"/>
        </w:rPr>
        <w:t xml:space="preserve"> </w:t>
      </w:r>
      <w:r w:rsidR="09425C6C" w:rsidRPr="028DD7F5">
        <w:rPr>
          <w:rFonts w:ascii="Calibri" w:eastAsia="Calibri" w:hAnsi="Calibri" w:cs="Calibri"/>
          <w:b/>
          <w:bCs/>
          <w:color w:val="156082" w:themeColor="accent1"/>
          <w:sz w:val="22"/>
          <w:szCs w:val="22"/>
          <w:u w:val="single"/>
        </w:rPr>
        <w:t xml:space="preserve">or one season for seasonal </w:t>
      </w:r>
      <w:r w:rsidR="00111E22" w:rsidRPr="028DD7F5">
        <w:rPr>
          <w:rFonts w:ascii="Calibri" w:eastAsia="Calibri" w:hAnsi="Calibri" w:cs="Calibri"/>
          <w:b/>
          <w:bCs/>
          <w:color w:val="156082" w:themeColor="accent1"/>
          <w:sz w:val="22"/>
          <w:szCs w:val="22"/>
          <w:u w:val="single"/>
        </w:rPr>
        <w:t>operations</w:t>
      </w:r>
      <w:r w:rsidR="09425C6C" w:rsidRPr="028DD7F5">
        <w:rPr>
          <w:rFonts w:ascii="Calibri" w:eastAsia="Calibri" w:hAnsi="Calibri" w:cs="Calibri"/>
          <w:b/>
          <w:bCs/>
          <w:color w:val="156082" w:themeColor="accent1"/>
          <w:sz w:val="22"/>
          <w:szCs w:val="22"/>
          <w:u w:val="single"/>
        </w:rPr>
        <w:t>.</w:t>
      </w:r>
    </w:p>
    <w:p w14:paraId="20392E8F" w14:textId="7702F0CF" w:rsidR="77447815" w:rsidRDefault="4995E3C7" w:rsidP="007E41D6">
      <w:pPr>
        <w:pStyle w:val="Heading4"/>
      </w:pPr>
      <w:r w:rsidRPr="028DD7F5">
        <w:t>Match Funding</w:t>
      </w:r>
    </w:p>
    <w:p w14:paraId="2BDE4A34" w14:textId="77777777" w:rsidR="007E41D6" w:rsidRPr="007E41D6" w:rsidRDefault="007E41D6" w:rsidP="007E41D6"/>
    <w:p w14:paraId="1925BB7F" w14:textId="205F59C4" w:rsidR="4FC0E909" w:rsidRDefault="23ADFF21" w:rsidP="77447815">
      <w:pPr>
        <w:pStyle w:val="ListParagraph"/>
        <w:numPr>
          <w:ilvl w:val="0"/>
          <w:numId w:val="14"/>
        </w:numPr>
        <w:spacing w:after="0"/>
        <w:rPr>
          <w:rFonts w:ascii="Calibri" w:eastAsia="Calibri" w:hAnsi="Calibri" w:cs="Calibri"/>
        </w:rPr>
      </w:pPr>
      <w:r w:rsidRPr="028DD7F5">
        <w:rPr>
          <w:rFonts w:ascii="Calibri" w:eastAsia="Calibri" w:hAnsi="Calibri" w:cs="Calibri"/>
        </w:rPr>
        <w:t xml:space="preserve">We note that in Q&amp;A Round 1 question 62 it is clarified that any DOE OCED funding used </w:t>
      </w:r>
      <w:r w:rsidRPr="028DD7F5">
        <w:rPr>
          <w:rFonts w:ascii="Calibri" w:eastAsia="Calibri" w:hAnsi="Calibri" w:cs="Calibri"/>
          <w:u w:val="single"/>
        </w:rPr>
        <w:t>as part of the minimum 25% Matching Funds</w:t>
      </w:r>
      <w:r w:rsidRPr="028DD7F5">
        <w:rPr>
          <w:rFonts w:ascii="Calibri" w:eastAsia="Calibri" w:hAnsi="Calibri" w:cs="Calibri"/>
        </w:rPr>
        <w:t xml:space="preserve"> must be in place at the time of making application.</w:t>
      </w:r>
    </w:p>
    <w:p w14:paraId="2111360D" w14:textId="2E5148FE" w:rsidR="4FC0E909" w:rsidRDefault="23ADFF21" w:rsidP="77447815">
      <w:pPr>
        <w:pStyle w:val="ListParagraph"/>
        <w:numPr>
          <w:ilvl w:val="1"/>
          <w:numId w:val="14"/>
        </w:numPr>
        <w:spacing w:after="0"/>
        <w:rPr>
          <w:rFonts w:ascii="Calibri" w:eastAsia="Calibri" w:hAnsi="Calibri" w:cs="Calibri"/>
        </w:rPr>
      </w:pPr>
      <w:r w:rsidRPr="028DD7F5">
        <w:rPr>
          <w:rFonts w:ascii="Calibri" w:eastAsia="Calibri" w:hAnsi="Calibri" w:cs="Calibri"/>
        </w:rPr>
        <w:t>Stacking - Are there any restrictions (absolute or as a %) regarding stacking from federal programs (e.g. DOE OCED) or other California incentive programs? Same question regarding any incentives offered by 3rd party sources?</w:t>
      </w:r>
    </w:p>
    <w:p w14:paraId="454D291F" w14:textId="677C802F" w:rsidR="00695B6F" w:rsidRDefault="5F9A9DC7" w:rsidP="77447815">
      <w:pPr>
        <w:spacing w:after="0"/>
        <w:ind w:left="720"/>
        <w:rPr>
          <w:rFonts w:ascii="Calibri" w:eastAsia="Calibri" w:hAnsi="Calibri" w:cs="Calibri"/>
          <w:color w:val="155F81"/>
        </w:rPr>
      </w:pPr>
      <w:r w:rsidRPr="028DD7F5">
        <w:rPr>
          <w:rFonts w:ascii="Calibri" w:eastAsia="Calibri" w:hAnsi="Calibri" w:cs="Calibri"/>
          <w:b/>
          <w:bCs/>
          <w:color w:val="155F81"/>
        </w:rPr>
        <w:lastRenderedPageBreak/>
        <w:t>CEC</w:t>
      </w:r>
      <w:r w:rsidRPr="028DD7F5">
        <w:rPr>
          <w:rFonts w:ascii="Calibri" w:eastAsia="Calibri" w:hAnsi="Calibri" w:cs="Calibri"/>
          <w:color w:val="155F81"/>
        </w:rPr>
        <w:t xml:space="preserve">: </w:t>
      </w:r>
      <w:r w:rsidR="17A306B7" w:rsidRPr="028DD7F5">
        <w:rPr>
          <w:rFonts w:ascii="Calibri" w:eastAsia="Calibri" w:hAnsi="Calibri" w:cs="Calibri"/>
          <w:color w:val="155F81"/>
        </w:rPr>
        <w:t>There are no restrictions on stacking, but all match funds – regardless of source – must</w:t>
      </w:r>
      <w:r w:rsidR="008132C9" w:rsidRPr="028DD7F5">
        <w:rPr>
          <w:rFonts w:ascii="Calibri" w:eastAsia="Calibri" w:hAnsi="Calibri" w:cs="Calibri"/>
          <w:color w:val="155F81"/>
        </w:rPr>
        <w:t xml:space="preserve"> be backed by </w:t>
      </w:r>
      <w:r w:rsidR="00473688" w:rsidRPr="028DD7F5">
        <w:rPr>
          <w:rFonts w:ascii="Calibri" w:eastAsia="Calibri" w:hAnsi="Calibri" w:cs="Calibri"/>
          <w:color w:val="155F81"/>
        </w:rPr>
        <w:t xml:space="preserve">commitment letters </w:t>
      </w:r>
      <w:r w:rsidR="00697066" w:rsidRPr="028DD7F5">
        <w:rPr>
          <w:rFonts w:ascii="Calibri" w:eastAsia="Calibri" w:hAnsi="Calibri" w:cs="Calibri"/>
          <w:color w:val="155F81"/>
        </w:rPr>
        <w:t xml:space="preserve">providing </w:t>
      </w:r>
      <w:r w:rsidR="008132C9" w:rsidRPr="028DD7F5">
        <w:rPr>
          <w:rFonts w:ascii="Calibri" w:eastAsia="Calibri" w:hAnsi="Calibri" w:cs="Calibri"/>
          <w:color w:val="155F81"/>
        </w:rPr>
        <w:t xml:space="preserve">an unqualified commitment (i.e., without reservations or limitations) that guarantees the funds will be available for the project at the time </w:t>
      </w:r>
      <w:r w:rsidR="17A306B7" w:rsidRPr="028DD7F5">
        <w:rPr>
          <w:rFonts w:ascii="Calibri" w:eastAsia="Calibri" w:hAnsi="Calibri" w:cs="Calibri"/>
          <w:color w:val="155F81"/>
        </w:rPr>
        <w:t xml:space="preserve">of application. </w:t>
      </w:r>
      <w:r w:rsidR="4EAA7A70" w:rsidRPr="028DD7F5">
        <w:rPr>
          <w:rFonts w:ascii="Calibri" w:eastAsia="Calibri" w:hAnsi="Calibri" w:cs="Calibri"/>
          <w:color w:val="155F81"/>
        </w:rPr>
        <w:t xml:space="preserve">Federal programs (e.g. DOE OCED), other California incentive programs, and any incentives offered by 3rd party sources are eligible as other project related sources under the match funds definition. If the applicant is leveraging or pursuing funding from multiple sources of the </w:t>
      </w:r>
      <w:r w:rsidR="008B6F15" w:rsidRPr="028DD7F5">
        <w:rPr>
          <w:rFonts w:ascii="Calibri" w:eastAsia="Calibri" w:hAnsi="Calibri" w:cs="Calibri"/>
          <w:color w:val="155F81"/>
        </w:rPr>
        <w:t>Greenhou</w:t>
      </w:r>
      <w:r w:rsidR="1EECDFFE" w:rsidRPr="028DD7F5">
        <w:rPr>
          <w:rFonts w:ascii="Calibri" w:eastAsia="Calibri" w:hAnsi="Calibri" w:cs="Calibri"/>
          <w:color w:val="155F81"/>
        </w:rPr>
        <w:t>s</w:t>
      </w:r>
      <w:r w:rsidR="008B6F15" w:rsidRPr="028DD7F5">
        <w:rPr>
          <w:rFonts w:ascii="Calibri" w:eastAsia="Calibri" w:hAnsi="Calibri" w:cs="Calibri"/>
          <w:color w:val="155F81"/>
        </w:rPr>
        <w:t>e Gas Reduction Fund (</w:t>
      </w:r>
      <w:r w:rsidR="4EAA7A70" w:rsidRPr="028DD7F5">
        <w:rPr>
          <w:rFonts w:ascii="Calibri" w:eastAsia="Calibri" w:hAnsi="Calibri" w:cs="Calibri"/>
          <w:color w:val="155F81"/>
        </w:rPr>
        <w:t>GGRF</w:t>
      </w:r>
      <w:r w:rsidR="008B6F15" w:rsidRPr="028DD7F5">
        <w:rPr>
          <w:rFonts w:ascii="Calibri" w:eastAsia="Calibri" w:hAnsi="Calibri" w:cs="Calibri"/>
          <w:color w:val="155F81"/>
        </w:rPr>
        <w:t>)</w:t>
      </w:r>
      <w:r w:rsidR="4EAA7A70" w:rsidRPr="028DD7F5">
        <w:rPr>
          <w:rFonts w:ascii="Calibri" w:eastAsia="Calibri" w:hAnsi="Calibri" w:cs="Calibri"/>
          <w:color w:val="155F81"/>
        </w:rPr>
        <w:t xml:space="preserve">, the applicant must describe all existing or potential GGRF sources in </w:t>
      </w:r>
      <w:r w:rsidR="4205176D" w:rsidRPr="028DD7F5">
        <w:rPr>
          <w:rFonts w:ascii="Calibri" w:eastAsia="Calibri" w:hAnsi="Calibri" w:cs="Calibri"/>
          <w:color w:val="155F81"/>
        </w:rPr>
        <w:t>its</w:t>
      </w:r>
      <w:r w:rsidR="4EAA7A70" w:rsidRPr="028DD7F5">
        <w:rPr>
          <w:rFonts w:ascii="Calibri" w:eastAsia="Calibri" w:hAnsi="Calibri" w:cs="Calibri"/>
          <w:color w:val="155F81"/>
        </w:rPr>
        <w:t xml:space="preserve"> application materials. </w:t>
      </w:r>
    </w:p>
    <w:p w14:paraId="61BDDC4A" w14:textId="77777777" w:rsidR="00695B6F" w:rsidRDefault="00695B6F" w:rsidP="77447815">
      <w:pPr>
        <w:spacing w:after="0"/>
        <w:ind w:left="720"/>
        <w:rPr>
          <w:rFonts w:ascii="Calibri" w:eastAsia="Calibri" w:hAnsi="Calibri" w:cs="Calibri"/>
          <w:color w:val="155F81"/>
        </w:rPr>
      </w:pPr>
    </w:p>
    <w:p w14:paraId="4417B9F4" w14:textId="4BFE6438" w:rsidR="00F54D7C" w:rsidRDefault="004A6A36" w:rsidP="77447815">
      <w:pPr>
        <w:spacing w:after="0"/>
        <w:ind w:left="720"/>
        <w:rPr>
          <w:rFonts w:ascii="Calibri" w:eastAsia="Calibri" w:hAnsi="Calibri" w:cs="Calibri"/>
          <w:color w:val="333333"/>
        </w:rPr>
      </w:pPr>
      <w:r w:rsidRPr="028DD7F5">
        <w:rPr>
          <w:rFonts w:ascii="Calibri" w:eastAsia="Calibri" w:hAnsi="Calibri" w:cs="Calibri"/>
          <w:color w:val="155F81"/>
        </w:rPr>
        <w:t xml:space="preserve">As stated in Section I.K. Match Funding and </w:t>
      </w:r>
      <w:r w:rsidR="00051A15" w:rsidRPr="028DD7F5">
        <w:rPr>
          <w:rFonts w:ascii="Calibri" w:eastAsia="Calibri" w:hAnsi="Calibri" w:cs="Calibri"/>
          <w:color w:val="155F81"/>
        </w:rPr>
        <w:t xml:space="preserve">Section </w:t>
      </w:r>
      <w:r w:rsidR="009060E5" w:rsidRPr="028DD7F5">
        <w:rPr>
          <w:rFonts w:ascii="Calibri" w:eastAsia="Calibri" w:hAnsi="Calibri" w:cs="Calibri"/>
          <w:color w:val="155F81"/>
        </w:rPr>
        <w:t>I</w:t>
      </w:r>
      <w:r w:rsidR="008F66E0" w:rsidRPr="028DD7F5">
        <w:rPr>
          <w:rFonts w:ascii="Calibri" w:eastAsia="Calibri" w:hAnsi="Calibri" w:cs="Calibri"/>
          <w:color w:val="155F81"/>
        </w:rPr>
        <w:t>I. B. Applicant Requirements, m</w:t>
      </w:r>
      <w:r w:rsidR="4EAA7A70" w:rsidRPr="028DD7F5">
        <w:rPr>
          <w:rFonts w:ascii="Calibri" w:eastAsia="Calibri" w:hAnsi="Calibri" w:cs="Calibri"/>
          <w:color w:val="155F81"/>
        </w:rPr>
        <w:t xml:space="preserve">atch funds do not include: INDIGO program awards, any other CEC awards, future/contingent awards from other entities (public or private), or the cost or value of the project work site. Also, Food and beverage industries and related support facilities that are receiving funding for the same project, or portions of the same project, from the CEC’s Food Production Investment Program (FPIP) are </w:t>
      </w:r>
      <w:r w:rsidR="4EAA7A70" w:rsidRPr="028DD7F5">
        <w:rPr>
          <w:rFonts w:ascii="Calibri" w:eastAsia="Calibri" w:hAnsi="Calibri" w:cs="Calibri"/>
          <w:b/>
          <w:bCs/>
          <w:color w:val="155F81"/>
        </w:rPr>
        <w:t>ineligible</w:t>
      </w:r>
      <w:r w:rsidR="4EAA7A70" w:rsidRPr="028DD7F5">
        <w:rPr>
          <w:rFonts w:ascii="Calibri" w:eastAsia="Calibri" w:hAnsi="Calibri" w:cs="Calibri"/>
          <w:color w:val="155F81"/>
        </w:rPr>
        <w:t xml:space="preserve"> for funding from the INDIGO Program or to use funds received from FPIP as match funds.</w:t>
      </w:r>
    </w:p>
    <w:p w14:paraId="353ACBC3" w14:textId="31A267F0" w:rsidR="00022605" w:rsidRDefault="6468F90A" w:rsidP="77447815">
      <w:pPr>
        <w:shd w:val="clear" w:color="auto" w:fill="FFFFFF" w:themeFill="background1"/>
        <w:spacing w:after="0"/>
        <w:ind w:left="720"/>
        <w:rPr>
          <w:rFonts w:ascii="Calibri" w:eastAsia="Calibri" w:hAnsi="Calibri" w:cs="Calibri"/>
          <w:color w:val="0E2740"/>
        </w:rPr>
      </w:pPr>
      <w:r w:rsidRPr="028DD7F5">
        <w:rPr>
          <w:rFonts w:ascii="Calibri" w:eastAsia="Calibri" w:hAnsi="Calibri" w:cs="Calibri"/>
          <w:lang w:val="en-CA"/>
        </w:rPr>
        <w:t xml:space="preserve"> </w:t>
      </w:r>
    </w:p>
    <w:p w14:paraId="048BDBC0" w14:textId="348A606F" w:rsidR="00022605" w:rsidRDefault="6468F90A" w:rsidP="77447815">
      <w:pPr>
        <w:pStyle w:val="ListParagraph"/>
        <w:numPr>
          <w:ilvl w:val="0"/>
          <w:numId w:val="14"/>
        </w:numPr>
        <w:spacing w:after="0"/>
        <w:rPr>
          <w:rFonts w:ascii="Calibri" w:eastAsia="Calibri" w:hAnsi="Calibri" w:cs="Calibri"/>
          <w:lang w:val="en-CA"/>
        </w:rPr>
      </w:pPr>
      <w:r w:rsidRPr="028DD7F5">
        <w:rPr>
          <w:rFonts w:ascii="Calibri" w:eastAsia="Calibri" w:hAnsi="Calibri" w:cs="Calibri"/>
          <w:lang w:val="en-CA"/>
        </w:rPr>
        <w:t>I.D.3 Costs that may be covered by matching funding includes “technology certification</w:t>
      </w:r>
      <w:r w:rsidR="1C3AB990" w:rsidRPr="028DD7F5">
        <w:rPr>
          <w:rFonts w:ascii="Calibri" w:eastAsia="Calibri" w:hAnsi="Calibri" w:cs="Calibri"/>
          <w:lang w:val="en-CA"/>
        </w:rPr>
        <w:t>.</w:t>
      </w:r>
      <w:r w:rsidRPr="028DD7F5">
        <w:rPr>
          <w:rFonts w:ascii="Calibri" w:eastAsia="Calibri" w:hAnsi="Calibri" w:cs="Calibri"/>
          <w:lang w:val="en-CA"/>
        </w:rPr>
        <w:t>” Considering that eligible technologies must be TRL9 – what does this cost refer to you? Do you have an example?</w:t>
      </w:r>
    </w:p>
    <w:p w14:paraId="1DCDA80E" w14:textId="278C1E4F" w:rsidR="00022605" w:rsidRDefault="00022605" w:rsidP="77447815">
      <w:pPr>
        <w:pStyle w:val="ListParagraph"/>
        <w:rPr>
          <w:rFonts w:ascii="Calibri" w:eastAsia="Calibri" w:hAnsi="Calibri" w:cs="Calibri"/>
          <w:b/>
          <w:bCs/>
          <w:color w:val="155F81"/>
        </w:rPr>
      </w:pPr>
    </w:p>
    <w:p w14:paraId="43383A89" w14:textId="02774627" w:rsidR="00022605" w:rsidRDefault="6468F90A" w:rsidP="77447815">
      <w:pPr>
        <w:pStyle w:val="ListParagraph"/>
        <w:rPr>
          <w:rFonts w:ascii="Calibri" w:eastAsia="Calibri" w:hAnsi="Calibri" w:cs="Calibri"/>
          <w:color w:val="155F81"/>
        </w:rPr>
      </w:pPr>
      <w:r w:rsidRPr="028DD7F5">
        <w:rPr>
          <w:rFonts w:ascii="Calibri" w:eastAsia="Calibri" w:hAnsi="Calibri" w:cs="Calibri"/>
          <w:b/>
          <w:bCs/>
          <w:color w:val="155F81"/>
        </w:rPr>
        <w:t>CEC</w:t>
      </w:r>
      <w:r w:rsidRPr="028DD7F5">
        <w:rPr>
          <w:rFonts w:ascii="Calibri" w:eastAsia="Calibri" w:hAnsi="Calibri" w:cs="Calibri"/>
          <w:color w:val="155F81"/>
        </w:rPr>
        <w:t>:</w:t>
      </w:r>
      <w:r w:rsidR="3F0983A4" w:rsidRPr="028DD7F5">
        <w:rPr>
          <w:rFonts w:ascii="Calibri" w:eastAsia="Calibri" w:hAnsi="Calibri" w:cs="Calibri"/>
          <w:color w:val="155F81"/>
        </w:rPr>
        <w:t xml:space="preserve"> </w:t>
      </w:r>
      <w:r w:rsidR="19D78866" w:rsidRPr="028DD7F5">
        <w:rPr>
          <w:rFonts w:ascii="Calibri" w:eastAsia="Calibri" w:hAnsi="Calibri" w:cs="Calibri"/>
          <w:color w:val="155F81"/>
        </w:rPr>
        <w:t>The minimum TRL requirement for this solicitation is TRL 6.</w:t>
      </w:r>
      <w:r w:rsidR="63CB5235" w:rsidRPr="028DD7F5">
        <w:rPr>
          <w:rFonts w:ascii="Calibri" w:eastAsia="Calibri" w:hAnsi="Calibri" w:cs="Calibri"/>
          <w:color w:val="155F81"/>
        </w:rPr>
        <w:t xml:space="preserve"> </w:t>
      </w:r>
      <w:r w:rsidR="00086332" w:rsidRPr="028DD7F5">
        <w:rPr>
          <w:rFonts w:ascii="Calibri" w:eastAsia="Calibri" w:hAnsi="Calibri" w:cs="Calibri"/>
          <w:color w:val="155F81"/>
        </w:rPr>
        <w:t>T</w:t>
      </w:r>
      <w:r w:rsidR="63CB5235" w:rsidRPr="028DD7F5">
        <w:rPr>
          <w:rFonts w:ascii="Calibri" w:eastAsia="Calibri" w:hAnsi="Calibri" w:cs="Calibri"/>
          <w:color w:val="155F81"/>
        </w:rPr>
        <w:t xml:space="preserve">echnology certification that could be covered by match funds </w:t>
      </w:r>
      <w:r w:rsidR="00086332" w:rsidRPr="028DD7F5">
        <w:rPr>
          <w:rFonts w:ascii="Calibri" w:eastAsia="Calibri" w:hAnsi="Calibri" w:cs="Calibri"/>
          <w:color w:val="155F81"/>
        </w:rPr>
        <w:t xml:space="preserve">may include but </w:t>
      </w:r>
      <w:r w:rsidR="763D5890" w:rsidRPr="028DD7F5">
        <w:rPr>
          <w:rFonts w:ascii="Calibri" w:eastAsia="Calibri" w:hAnsi="Calibri" w:cs="Calibri"/>
          <w:color w:val="155F81"/>
        </w:rPr>
        <w:t xml:space="preserve">is </w:t>
      </w:r>
      <w:r w:rsidR="00086332" w:rsidRPr="028DD7F5">
        <w:rPr>
          <w:rFonts w:ascii="Calibri" w:eastAsia="Calibri" w:hAnsi="Calibri" w:cs="Calibri"/>
          <w:color w:val="155F81"/>
        </w:rPr>
        <w:t>not limited to</w:t>
      </w:r>
      <w:r w:rsidR="63CB5235" w:rsidRPr="028DD7F5">
        <w:rPr>
          <w:rFonts w:ascii="Calibri" w:eastAsia="Calibri" w:hAnsi="Calibri" w:cs="Calibri"/>
          <w:color w:val="155F81"/>
        </w:rPr>
        <w:t xml:space="preserve"> </w:t>
      </w:r>
      <w:r w:rsidR="00086332" w:rsidRPr="028DD7F5">
        <w:rPr>
          <w:rFonts w:ascii="Calibri" w:eastAsia="Calibri" w:hAnsi="Calibri" w:cs="Calibri"/>
          <w:color w:val="155F81"/>
        </w:rPr>
        <w:t xml:space="preserve">testing and certification fees, listing </w:t>
      </w:r>
      <w:r w:rsidR="00257215" w:rsidRPr="028DD7F5">
        <w:rPr>
          <w:rFonts w:ascii="Calibri" w:eastAsia="Calibri" w:hAnsi="Calibri" w:cs="Calibri"/>
          <w:color w:val="155F81"/>
        </w:rPr>
        <w:t xml:space="preserve">or </w:t>
      </w:r>
      <w:r w:rsidR="00086332" w:rsidRPr="028DD7F5">
        <w:rPr>
          <w:rFonts w:ascii="Calibri" w:eastAsia="Calibri" w:hAnsi="Calibri" w:cs="Calibri"/>
          <w:color w:val="155F81"/>
        </w:rPr>
        <w:t>qualification program fees</w:t>
      </w:r>
      <w:r w:rsidR="00823365" w:rsidRPr="028DD7F5">
        <w:rPr>
          <w:rFonts w:ascii="Calibri" w:eastAsia="Calibri" w:hAnsi="Calibri" w:cs="Calibri"/>
          <w:color w:val="155F81"/>
        </w:rPr>
        <w:t xml:space="preserve">, and interoperability and industry certifications. </w:t>
      </w:r>
    </w:p>
    <w:p w14:paraId="34553BDC" w14:textId="4C40E26A" w:rsidR="00022605" w:rsidRDefault="00022605" w:rsidP="77447815">
      <w:pPr>
        <w:pStyle w:val="ListParagraph"/>
        <w:rPr>
          <w:rFonts w:ascii="Calibri" w:eastAsia="Calibri" w:hAnsi="Calibri" w:cs="Calibri"/>
          <w:color w:val="155F81"/>
        </w:rPr>
      </w:pPr>
    </w:p>
    <w:p w14:paraId="0C703C8F" w14:textId="1F8577BB" w:rsidR="00022605" w:rsidRDefault="726C6E19" w:rsidP="77447815">
      <w:pPr>
        <w:pStyle w:val="ListParagraph"/>
        <w:numPr>
          <w:ilvl w:val="0"/>
          <w:numId w:val="14"/>
        </w:numPr>
        <w:spacing w:after="0"/>
        <w:rPr>
          <w:rFonts w:ascii="Calibri" w:eastAsia="Calibri" w:hAnsi="Calibri" w:cs="Calibri"/>
          <w:lang w:val="en-CA"/>
        </w:rPr>
      </w:pPr>
      <w:r w:rsidRPr="028DD7F5">
        <w:rPr>
          <w:rFonts w:ascii="Calibri" w:eastAsia="Calibri" w:hAnsi="Calibri" w:cs="Calibri"/>
          <w:lang w:val="en-CA"/>
        </w:rPr>
        <w:t>I.K. Matching Funding – states that match funding does not include “cost or value of the project site</w:t>
      </w:r>
      <w:r w:rsidR="331E2DAE" w:rsidRPr="028DD7F5">
        <w:rPr>
          <w:rFonts w:ascii="Calibri" w:eastAsia="Calibri" w:hAnsi="Calibri" w:cs="Calibri"/>
          <w:lang w:val="en-CA"/>
        </w:rPr>
        <w:t>.</w:t>
      </w:r>
      <w:r w:rsidRPr="028DD7F5">
        <w:rPr>
          <w:rFonts w:ascii="Calibri" w:eastAsia="Calibri" w:hAnsi="Calibri" w:cs="Calibri"/>
          <w:lang w:val="en-CA"/>
        </w:rPr>
        <w:t>” Is this a reference to the value of land if land procurement is required as part of the project? Please clarify what this is referring to.</w:t>
      </w:r>
    </w:p>
    <w:p w14:paraId="5F4168AB" w14:textId="62621733" w:rsidR="00022605" w:rsidRDefault="00022605" w:rsidP="77447815">
      <w:pPr>
        <w:pStyle w:val="ListParagraph"/>
        <w:spacing w:after="0"/>
        <w:rPr>
          <w:rFonts w:ascii="Calibri" w:eastAsia="Calibri" w:hAnsi="Calibri" w:cs="Calibri"/>
        </w:rPr>
      </w:pPr>
    </w:p>
    <w:p w14:paraId="141EA0A2" w14:textId="1AB7858B" w:rsidR="00022605" w:rsidRDefault="7DCAF61E" w:rsidP="77447815">
      <w:pPr>
        <w:spacing w:after="0"/>
        <w:ind w:left="720"/>
        <w:rPr>
          <w:rFonts w:ascii="Calibri" w:eastAsia="Calibri" w:hAnsi="Calibri" w:cs="Calibri"/>
          <w:color w:val="155F81"/>
        </w:rPr>
      </w:pPr>
      <w:r w:rsidRPr="028DD7F5">
        <w:rPr>
          <w:rFonts w:ascii="Calibri" w:eastAsia="Calibri" w:hAnsi="Calibri" w:cs="Calibri"/>
          <w:b/>
          <w:bCs/>
          <w:color w:val="155F81"/>
        </w:rPr>
        <w:t>CEC</w:t>
      </w:r>
      <w:r w:rsidRPr="028DD7F5">
        <w:rPr>
          <w:rFonts w:ascii="Calibri" w:eastAsia="Calibri" w:hAnsi="Calibri" w:cs="Calibri"/>
          <w:color w:val="155F81"/>
        </w:rPr>
        <w:t xml:space="preserve">: </w:t>
      </w:r>
      <w:r w:rsidR="5D75E4DB" w:rsidRPr="028DD7F5">
        <w:rPr>
          <w:rFonts w:ascii="Calibri" w:eastAsia="Calibri" w:hAnsi="Calibri" w:cs="Calibri"/>
          <w:color w:val="155F81"/>
        </w:rPr>
        <w:t>L</w:t>
      </w:r>
      <w:r w:rsidR="50B9CDBD" w:rsidRPr="028DD7F5">
        <w:rPr>
          <w:rFonts w:ascii="Calibri" w:eastAsia="Calibri" w:hAnsi="Calibri" w:cs="Calibri"/>
          <w:color w:val="155F81"/>
        </w:rPr>
        <w:t>and procurement</w:t>
      </w:r>
      <w:r w:rsidR="368044DB" w:rsidRPr="028DD7F5">
        <w:rPr>
          <w:rFonts w:ascii="Calibri" w:eastAsia="Calibri" w:hAnsi="Calibri" w:cs="Calibri"/>
          <w:color w:val="155F81"/>
        </w:rPr>
        <w:t xml:space="preserve"> – whether before or during the project term -</w:t>
      </w:r>
      <w:r w:rsidR="50B9CDBD" w:rsidRPr="028DD7F5">
        <w:rPr>
          <w:rFonts w:ascii="Calibri" w:eastAsia="Calibri" w:hAnsi="Calibri" w:cs="Calibri"/>
          <w:color w:val="155F81"/>
        </w:rPr>
        <w:t xml:space="preserve"> </w:t>
      </w:r>
      <w:r w:rsidR="4C284C99" w:rsidRPr="028DD7F5">
        <w:rPr>
          <w:rFonts w:ascii="Calibri" w:eastAsia="Calibri" w:hAnsi="Calibri" w:cs="Calibri"/>
          <w:color w:val="155F81"/>
        </w:rPr>
        <w:t>would be considered</w:t>
      </w:r>
      <w:r w:rsidR="4397A87B" w:rsidRPr="028DD7F5">
        <w:rPr>
          <w:rFonts w:ascii="Calibri" w:eastAsia="Calibri" w:hAnsi="Calibri" w:cs="Calibri"/>
          <w:color w:val="155F81"/>
        </w:rPr>
        <w:t xml:space="preserve"> </w:t>
      </w:r>
      <w:r w:rsidR="5DE91D94" w:rsidRPr="028DD7F5">
        <w:rPr>
          <w:rFonts w:ascii="Calibri" w:eastAsia="Calibri" w:hAnsi="Calibri" w:cs="Calibri"/>
          <w:color w:val="155F81"/>
        </w:rPr>
        <w:t>a cost or value of the project site and</w:t>
      </w:r>
      <w:r w:rsidR="5BE2B89F" w:rsidRPr="028DD7F5">
        <w:rPr>
          <w:rFonts w:ascii="Calibri" w:eastAsia="Calibri" w:hAnsi="Calibri" w:cs="Calibri"/>
          <w:color w:val="155F81"/>
        </w:rPr>
        <w:t xml:space="preserve"> is</w:t>
      </w:r>
      <w:r w:rsidR="5DE91D94" w:rsidRPr="028DD7F5">
        <w:rPr>
          <w:rFonts w:ascii="Calibri" w:eastAsia="Calibri" w:hAnsi="Calibri" w:cs="Calibri"/>
          <w:color w:val="155F81"/>
        </w:rPr>
        <w:t xml:space="preserve"> therefore an ineligible use of </w:t>
      </w:r>
      <w:r w:rsidR="50B9CDBD" w:rsidRPr="028DD7F5">
        <w:rPr>
          <w:rFonts w:ascii="Calibri" w:eastAsia="Calibri" w:hAnsi="Calibri" w:cs="Calibri"/>
          <w:color w:val="155F81"/>
        </w:rPr>
        <w:t>match fund</w:t>
      </w:r>
      <w:r w:rsidR="5CB35593" w:rsidRPr="028DD7F5">
        <w:rPr>
          <w:rFonts w:ascii="Calibri" w:eastAsia="Calibri" w:hAnsi="Calibri" w:cs="Calibri"/>
          <w:color w:val="155F81"/>
        </w:rPr>
        <w:t>s</w:t>
      </w:r>
      <w:r w:rsidR="50B9CDBD" w:rsidRPr="028DD7F5">
        <w:rPr>
          <w:rFonts w:ascii="Calibri" w:eastAsia="Calibri" w:hAnsi="Calibri" w:cs="Calibri"/>
          <w:color w:val="155F81"/>
        </w:rPr>
        <w:t xml:space="preserve">. </w:t>
      </w:r>
      <w:r w:rsidR="3DA3956C" w:rsidRPr="028DD7F5">
        <w:rPr>
          <w:rFonts w:ascii="Calibri" w:eastAsia="Calibri" w:hAnsi="Calibri" w:cs="Calibri"/>
          <w:color w:val="155F81"/>
        </w:rPr>
        <w:t xml:space="preserve">The value of the site facility is also ineligible to qualify as match. </w:t>
      </w:r>
    </w:p>
    <w:p w14:paraId="6BCEE276" w14:textId="0ED8C4E6" w:rsidR="00022605" w:rsidRDefault="00022605" w:rsidP="77447815">
      <w:pPr>
        <w:spacing w:after="0"/>
        <w:rPr>
          <w:rFonts w:ascii="Calibri" w:eastAsia="Calibri" w:hAnsi="Calibri" w:cs="Calibri"/>
          <w:lang w:val="en-CA"/>
        </w:rPr>
      </w:pPr>
    </w:p>
    <w:p w14:paraId="6D0E4C41" w14:textId="54D6789A" w:rsidR="00022605" w:rsidRDefault="2EF7D376" w:rsidP="77447815">
      <w:pPr>
        <w:pStyle w:val="ListParagraph"/>
        <w:numPr>
          <w:ilvl w:val="0"/>
          <w:numId w:val="14"/>
        </w:numPr>
        <w:spacing w:after="0"/>
        <w:rPr>
          <w:rFonts w:ascii="Calibri" w:eastAsia="Calibri" w:hAnsi="Calibri" w:cs="Calibri"/>
          <w:lang w:val="en-CA"/>
        </w:rPr>
      </w:pPr>
      <w:r w:rsidRPr="028DD7F5">
        <w:rPr>
          <w:rFonts w:ascii="Calibri" w:eastAsia="Calibri" w:hAnsi="Calibri" w:cs="Calibri"/>
          <w:lang w:val="en-CA"/>
        </w:rPr>
        <w:t>I.K. Matching Funding – states that “if the applicant is leveraging or pursuing funding from multiple sources of the GGR</w:t>
      </w:r>
      <w:r w:rsidR="37CFF21E" w:rsidRPr="028DD7F5">
        <w:rPr>
          <w:rFonts w:ascii="Calibri" w:eastAsia="Calibri" w:hAnsi="Calibri" w:cs="Calibri"/>
          <w:lang w:val="en-CA"/>
        </w:rPr>
        <w:t>F.</w:t>
      </w:r>
      <w:r w:rsidRPr="028DD7F5">
        <w:rPr>
          <w:rFonts w:ascii="Calibri" w:eastAsia="Calibri" w:hAnsi="Calibri" w:cs="Calibri"/>
          <w:lang w:val="en-CA"/>
        </w:rPr>
        <w:t>” What does GGRF stand for?</w:t>
      </w:r>
    </w:p>
    <w:p w14:paraId="29C5B025" w14:textId="62621733" w:rsidR="00022605" w:rsidRDefault="00022605" w:rsidP="77447815">
      <w:pPr>
        <w:pStyle w:val="ListParagraph"/>
        <w:spacing w:after="0"/>
        <w:rPr>
          <w:rFonts w:ascii="Calibri" w:eastAsia="Calibri" w:hAnsi="Calibri" w:cs="Calibri"/>
        </w:rPr>
      </w:pPr>
    </w:p>
    <w:p w14:paraId="2C078E63" w14:textId="33FFF18B" w:rsidR="00022605" w:rsidRDefault="2EF7D376" w:rsidP="77447815">
      <w:pPr>
        <w:ind w:left="720"/>
        <w:rPr>
          <w:rFonts w:ascii="Calibri" w:eastAsia="Calibri" w:hAnsi="Calibri" w:cs="Calibri"/>
        </w:rPr>
      </w:pPr>
      <w:r w:rsidRPr="028DD7F5">
        <w:rPr>
          <w:rFonts w:ascii="Calibri" w:eastAsia="Calibri" w:hAnsi="Calibri" w:cs="Calibri"/>
          <w:b/>
          <w:bCs/>
          <w:color w:val="155F81"/>
        </w:rPr>
        <w:lastRenderedPageBreak/>
        <w:t>CEC</w:t>
      </w:r>
      <w:r w:rsidRPr="028DD7F5">
        <w:rPr>
          <w:rFonts w:ascii="Calibri" w:eastAsia="Calibri" w:hAnsi="Calibri" w:cs="Calibri"/>
          <w:color w:val="155F81"/>
        </w:rPr>
        <w:t>: Greenhouse Gas Reduction Fund (GGRF)</w:t>
      </w:r>
      <w:r w:rsidR="38D22908" w:rsidRPr="028DD7F5">
        <w:rPr>
          <w:rFonts w:ascii="Calibri" w:eastAsia="Calibri" w:hAnsi="Calibri" w:cs="Calibri"/>
          <w:color w:val="155F81"/>
        </w:rPr>
        <w:t>, which</w:t>
      </w:r>
      <w:r w:rsidR="4A6281E5" w:rsidRPr="028DD7F5">
        <w:rPr>
          <w:rFonts w:ascii="Calibri" w:eastAsia="Calibri" w:hAnsi="Calibri" w:cs="Calibri"/>
          <w:color w:val="155F81"/>
        </w:rPr>
        <w:t xml:space="preserve"> </w:t>
      </w:r>
      <w:r w:rsidR="133F8400" w:rsidRPr="028DD7F5">
        <w:rPr>
          <w:rFonts w:ascii="Calibri" w:eastAsia="Calibri" w:hAnsi="Calibri" w:cs="Calibri"/>
          <w:color w:val="155F81"/>
        </w:rPr>
        <w:t>is generated from the sale of state-owned allowances through California’s quarterly Cap-and-Invest auction</w:t>
      </w:r>
      <w:r w:rsidR="2EB82CA2" w:rsidRPr="028DD7F5">
        <w:rPr>
          <w:rFonts w:ascii="Calibri" w:eastAsia="Calibri" w:hAnsi="Calibri" w:cs="Calibri"/>
          <w:color w:val="155F81"/>
        </w:rPr>
        <w:t xml:space="preserve">. More information can be found here: </w:t>
      </w:r>
      <w:hyperlink r:id="rId10" w:history="1">
        <w:r w:rsidR="4A6281E5" w:rsidRPr="028DD7F5">
          <w:rPr>
            <w:rStyle w:val="Hyperlink"/>
            <w:rFonts w:ascii="Calibri" w:eastAsia="Calibri" w:hAnsi="Calibri" w:cs="Calibri"/>
          </w:rPr>
          <w:t>California Climate Investments Funded Programs | California Air Resources Board</w:t>
        </w:r>
      </w:hyperlink>
      <w:r w:rsidR="7ADF88EB" w:rsidRPr="028DD7F5">
        <w:rPr>
          <w:rFonts w:ascii="Calibri" w:eastAsia="Calibri" w:hAnsi="Calibri" w:cs="Calibri"/>
        </w:rPr>
        <w:t xml:space="preserve">. </w:t>
      </w:r>
    </w:p>
    <w:p w14:paraId="6B6F5BF3" w14:textId="52B8C9BD" w:rsidR="1D2EFB54" w:rsidRDefault="1D2EFB54" w:rsidP="77447815">
      <w:pPr>
        <w:spacing w:after="0"/>
        <w:rPr>
          <w:rFonts w:ascii="Calibri" w:eastAsia="Calibri" w:hAnsi="Calibri" w:cs="Calibri"/>
          <w:color w:val="000000" w:themeColor="text1"/>
        </w:rPr>
      </w:pPr>
    </w:p>
    <w:p w14:paraId="4551F91A" w14:textId="3275AB28" w:rsidR="4D5B9C88" w:rsidRDefault="4D5B9C88" w:rsidP="77447815">
      <w:pPr>
        <w:pStyle w:val="ListParagraph"/>
        <w:numPr>
          <w:ilvl w:val="0"/>
          <w:numId w:val="14"/>
        </w:numPr>
        <w:spacing w:after="0"/>
        <w:rPr>
          <w:rFonts w:ascii="Calibri" w:eastAsia="Calibri" w:hAnsi="Calibri" w:cs="Calibri"/>
          <w:color w:val="000000" w:themeColor="text1"/>
        </w:rPr>
      </w:pPr>
      <w:r w:rsidRPr="028DD7F5">
        <w:rPr>
          <w:rFonts w:ascii="Calibri" w:eastAsia="Calibri" w:hAnsi="Calibri" w:cs="Calibri"/>
          <w:color w:val="000000" w:themeColor="text1"/>
        </w:rPr>
        <w:t>Match financing — What documentation is required to prove match financing at the application stage?</w:t>
      </w:r>
    </w:p>
    <w:p w14:paraId="21615CDA" w14:textId="2877735F" w:rsidR="1D2EFB54" w:rsidRDefault="1D2EFB54" w:rsidP="77447815">
      <w:pPr>
        <w:pStyle w:val="ListParagraph"/>
        <w:spacing w:after="0"/>
        <w:rPr>
          <w:rFonts w:ascii="Calibri" w:eastAsia="Calibri" w:hAnsi="Calibri" w:cs="Calibri"/>
          <w:color w:val="000000" w:themeColor="text1"/>
        </w:rPr>
      </w:pPr>
    </w:p>
    <w:p w14:paraId="39EBD786" w14:textId="44B38F11" w:rsidR="001149DE" w:rsidRDefault="001149DE" w:rsidP="77447815">
      <w:pPr>
        <w:ind w:firstLine="720"/>
        <w:rPr>
          <w:rFonts w:ascii="Calibri" w:eastAsia="Calibri" w:hAnsi="Calibri" w:cs="Calibri"/>
          <w:color w:val="155F81"/>
        </w:rPr>
      </w:pPr>
      <w:r w:rsidRPr="028DD7F5">
        <w:rPr>
          <w:rFonts w:ascii="Calibri" w:eastAsia="Calibri" w:hAnsi="Calibri" w:cs="Calibri"/>
          <w:b/>
          <w:bCs/>
          <w:color w:val="155F81"/>
        </w:rPr>
        <w:t>CEC</w:t>
      </w:r>
      <w:r w:rsidRPr="028DD7F5">
        <w:rPr>
          <w:rFonts w:ascii="Calibri" w:eastAsia="Calibri" w:hAnsi="Calibri" w:cs="Calibri"/>
          <w:color w:val="155F81"/>
        </w:rPr>
        <w:t>:</w:t>
      </w:r>
      <w:r w:rsidR="13C1E3C5" w:rsidRPr="028DD7F5">
        <w:rPr>
          <w:rFonts w:ascii="Calibri" w:eastAsia="Calibri" w:hAnsi="Calibri" w:cs="Calibri"/>
          <w:color w:val="155F81"/>
        </w:rPr>
        <w:t xml:space="preserve"> In Section </w:t>
      </w:r>
      <w:r w:rsidR="00264A53" w:rsidRPr="028DD7F5">
        <w:rPr>
          <w:rFonts w:ascii="Calibri" w:eastAsia="Calibri" w:hAnsi="Calibri" w:cs="Calibri"/>
          <w:color w:val="155F81"/>
        </w:rPr>
        <w:t>I.</w:t>
      </w:r>
      <w:r w:rsidR="13C1E3C5" w:rsidRPr="028DD7F5">
        <w:rPr>
          <w:rFonts w:ascii="Calibri" w:eastAsia="Calibri" w:hAnsi="Calibri" w:cs="Calibri"/>
          <w:color w:val="155F81"/>
        </w:rPr>
        <w:t>K</w:t>
      </w:r>
      <w:r w:rsidR="00264A53" w:rsidRPr="028DD7F5">
        <w:rPr>
          <w:rFonts w:ascii="Calibri" w:eastAsia="Calibri" w:hAnsi="Calibri" w:cs="Calibri"/>
          <w:color w:val="155F81"/>
        </w:rPr>
        <w:t>. Match Funding</w:t>
      </w:r>
      <w:r w:rsidR="13C1E3C5" w:rsidRPr="028DD7F5">
        <w:rPr>
          <w:rFonts w:ascii="Calibri" w:eastAsia="Calibri" w:hAnsi="Calibri" w:cs="Calibri"/>
          <w:color w:val="155F81"/>
        </w:rPr>
        <w:t>,</w:t>
      </w:r>
      <w:r w:rsidRPr="028DD7F5">
        <w:rPr>
          <w:rFonts w:ascii="Calibri" w:eastAsia="Calibri" w:hAnsi="Calibri" w:cs="Calibri"/>
          <w:color w:val="155F81"/>
        </w:rPr>
        <w:t xml:space="preserve"> Signed </w:t>
      </w:r>
      <w:r w:rsidR="61F039D8" w:rsidRPr="028DD7F5">
        <w:rPr>
          <w:rFonts w:ascii="Calibri" w:eastAsia="Calibri" w:hAnsi="Calibri" w:cs="Calibri"/>
          <w:color w:val="155F81"/>
        </w:rPr>
        <w:t>Commitment/Support Letters</w:t>
      </w:r>
      <w:r w:rsidR="008B4C2D" w:rsidRPr="028DD7F5">
        <w:rPr>
          <w:rFonts w:ascii="Calibri" w:eastAsia="Calibri" w:hAnsi="Calibri" w:cs="Calibri"/>
          <w:color w:val="155F81"/>
        </w:rPr>
        <w:t xml:space="preserve"> are required: </w:t>
      </w:r>
    </w:p>
    <w:p w14:paraId="66211739" w14:textId="7C982C6E" w:rsidR="61F039D8" w:rsidRDefault="61F039D8" w:rsidP="028DD7F5">
      <w:pPr>
        <w:tabs>
          <w:tab w:val="left" w:pos="1080"/>
        </w:tabs>
        <w:spacing w:after="120"/>
        <w:ind w:left="1440"/>
        <w:rPr>
          <w:rFonts w:ascii="Calibri" w:eastAsia="Calibri" w:hAnsi="Calibri" w:cs="Calibri"/>
          <w:color w:val="156082" w:themeColor="accent1"/>
        </w:rPr>
      </w:pPr>
      <w:r w:rsidRPr="028DD7F5">
        <w:rPr>
          <w:rFonts w:ascii="Calibri" w:eastAsia="Calibri" w:hAnsi="Calibri" w:cs="Calibri"/>
          <w:color w:val="156082" w:themeColor="accent1"/>
        </w:rPr>
        <w:t xml:space="preserve">All applications that include match funds must submit commitment letters, </w:t>
      </w:r>
      <w:r w:rsidRPr="028DD7F5">
        <w:rPr>
          <w:rFonts w:ascii="Calibri" w:eastAsia="Calibri" w:hAnsi="Calibri" w:cs="Calibri"/>
          <w:b/>
          <w:bCs/>
          <w:color w:val="156082" w:themeColor="accent1"/>
        </w:rPr>
        <w:t>including applicant, subrecipients</w:t>
      </w:r>
      <w:r w:rsidRPr="028DD7F5">
        <w:rPr>
          <w:rFonts w:ascii="Calibri" w:eastAsia="Calibri" w:hAnsi="Calibri" w:cs="Calibri"/>
          <w:color w:val="156082" w:themeColor="accent1"/>
        </w:rPr>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2AF9581C" w14:textId="44954D5A" w:rsidR="77447815" w:rsidRDefault="77447815" w:rsidP="77447815">
      <w:pPr>
        <w:ind w:firstLine="720"/>
        <w:rPr>
          <w:rFonts w:ascii="Calibri" w:eastAsia="Calibri" w:hAnsi="Calibri" w:cs="Calibri"/>
          <w:color w:val="155F81"/>
        </w:rPr>
      </w:pPr>
    </w:p>
    <w:sectPr w:rsidR="774478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27C1" w14:textId="77777777" w:rsidR="002B7A19" w:rsidRDefault="002B7A19">
      <w:pPr>
        <w:spacing w:after="0" w:line="240" w:lineRule="auto"/>
      </w:pPr>
      <w:r>
        <w:separator/>
      </w:r>
    </w:p>
  </w:endnote>
  <w:endnote w:type="continuationSeparator" w:id="0">
    <w:p w14:paraId="1572938E" w14:textId="77777777" w:rsidR="002B7A19" w:rsidRDefault="002B7A19">
      <w:pPr>
        <w:spacing w:after="0" w:line="240" w:lineRule="auto"/>
      </w:pPr>
      <w:r>
        <w:continuationSeparator/>
      </w:r>
    </w:p>
  </w:endnote>
  <w:endnote w:type="continuationNotice" w:id="1">
    <w:p w14:paraId="200B449C" w14:textId="77777777" w:rsidR="002B7A19" w:rsidRDefault="002B7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C649" w14:textId="77777777" w:rsidR="00FC256F" w:rsidRDefault="00FC2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155C" w14:textId="722063B9" w:rsidR="1D2EFB54" w:rsidRDefault="00FC256F" w:rsidP="00FC256F">
    <w:pPr>
      <w:pStyle w:val="Footer"/>
      <w:jc w:val="center"/>
    </w:pPr>
    <w:r>
      <w:t xml:space="preserve">Page </w:t>
    </w:r>
    <w:sdt>
      <w:sdtPr>
        <w:id w:val="2164030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9EF" w14:textId="77777777" w:rsidR="00FC256F" w:rsidRDefault="00FC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E3CC" w14:textId="77777777" w:rsidR="002B7A19" w:rsidRDefault="002B7A19">
      <w:pPr>
        <w:spacing w:after="0" w:line="240" w:lineRule="auto"/>
      </w:pPr>
      <w:r>
        <w:separator/>
      </w:r>
    </w:p>
  </w:footnote>
  <w:footnote w:type="continuationSeparator" w:id="0">
    <w:p w14:paraId="7C56C7FB" w14:textId="77777777" w:rsidR="002B7A19" w:rsidRDefault="002B7A19">
      <w:pPr>
        <w:spacing w:after="0" w:line="240" w:lineRule="auto"/>
      </w:pPr>
      <w:r>
        <w:continuationSeparator/>
      </w:r>
    </w:p>
  </w:footnote>
  <w:footnote w:type="continuationNotice" w:id="1">
    <w:p w14:paraId="26535852" w14:textId="77777777" w:rsidR="002B7A19" w:rsidRDefault="002B7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5B54" w14:textId="77777777" w:rsidR="00FC256F" w:rsidRDefault="00FC2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D2EFB54" w14:paraId="62D108F8" w14:textId="77777777" w:rsidTr="1D2EFB54">
      <w:trPr>
        <w:trHeight w:val="300"/>
      </w:trPr>
      <w:tc>
        <w:tcPr>
          <w:tcW w:w="3120" w:type="dxa"/>
        </w:tcPr>
        <w:p w14:paraId="42DAD552" w14:textId="5F8190FF" w:rsidR="1D2EFB54" w:rsidRDefault="1D2EFB54" w:rsidP="1D2EFB54">
          <w:pPr>
            <w:pStyle w:val="Header"/>
            <w:ind w:left="-115"/>
          </w:pPr>
        </w:p>
      </w:tc>
      <w:tc>
        <w:tcPr>
          <w:tcW w:w="3120" w:type="dxa"/>
        </w:tcPr>
        <w:p w14:paraId="3B3BA5A4" w14:textId="0E41E301" w:rsidR="1D2EFB54" w:rsidRDefault="1D2EFB54" w:rsidP="1D2EFB54">
          <w:pPr>
            <w:pStyle w:val="Header"/>
            <w:jc w:val="center"/>
          </w:pPr>
        </w:p>
      </w:tc>
      <w:tc>
        <w:tcPr>
          <w:tcW w:w="3120" w:type="dxa"/>
        </w:tcPr>
        <w:p w14:paraId="55B1F24E" w14:textId="36A7F540" w:rsidR="1D2EFB54" w:rsidRDefault="1D2EFB54" w:rsidP="1D2EFB54">
          <w:pPr>
            <w:pStyle w:val="Header"/>
            <w:ind w:right="-115"/>
            <w:jc w:val="right"/>
          </w:pPr>
        </w:p>
      </w:tc>
    </w:tr>
  </w:tbl>
  <w:p w14:paraId="04821AE1" w14:textId="4FD94712" w:rsidR="1D2EFB54" w:rsidRDefault="1D2EFB54" w:rsidP="1D2EF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0762" w14:textId="77777777" w:rsidR="00FC256F" w:rsidRDefault="00FC2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1C80"/>
    <w:multiLevelType w:val="hybridMultilevel"/>
    <w:tmpl w:val="964A0890"/>
    <w:lvl w:ilvl="0" w:tplc="E184FECC">
      <w:start w:val="1"/>
      <w:numFmt w:val="decimal"/>
      <w:lvlText w:val="%1."/>
      <w:lvlJc w:val="left"/>
      <w:pPr>
        <w:ind w:left="720" w:hanging="360"/>
      </w:pPr>
    </w:lvl>
    <w:lvl w:ilvl="1" w:tplc="994EB53C">
      <w:start w:val="1"/>
      <w:numFmt w:val="lowerLetter"/>
      <w:lvlText w:val="%2."/>
      <w:lvlJc w:val="left"/>
      <w:pPr>
        <w:ind w:left="1440" w:hanging="360"/>
      </w:pPr>
    </w:lvl>
    <w:lvl w:ilvl="2" w:tplc="505E8D7C">
      <w:start w:val="1"/>
      <w:numFmt w:val="lowerRoman"/>
      <w:lvlText w:val="%3."/>
      <w:lvlJc w:val="right"/>
      <w:pPr>
        <w:ind w:left="2160" w:hanging="180"/>
      </w:pPr>
    </w:lvl>
    <w:lvl w:ilvl="3" w:tplc="5E72C698">
      <w:start w:val="1"/>
      <w:numFmt w:val="decimal"/>
      <w:lvlText w:val="%4."/>
      <w:lvlJc w:val="left"/>
      <w:pPr>
        <w:ind w:left="2880" w:hanging="360"/>
      </w:pPr>
    </w:lvl>
    <w:lvl w:ilvl="4" w:tplc="39942D12">
      <w:start w:val="1"/>
      <w:numFmt w:val="lowerLetter"/>
      <w:lvlText w:val="%5."/>
      <w:lvlJc w:val="left"/>
      <w:pPr>
        <w:ind w:left="3600" w:hanging="360"/>
      </w:pPr>
    </w:lvl>
    <w:lvl w:ilvl="5" w:tplc="8D740984">
      <w:start w:val="1"/>
      <w:numFmt w:val="lowerRoman"/>
      <w:lvlText w:val="%6."/>
      <w:lvlJc w:val="right"/>
      <w:pPr>
        <w:ind w:left="4320" w:hanging="180"/>
      </w:pPr>
    </w:lvl>
    <w:lvl w:ilvl="6" w:tplc="4F96AF48">
      <w:start w:val="1"/>
      <w:numFmt w:val="decimal"/>
      <w:lvlText w:val="%7."/>
      <w:lvlJc w:val="left"/>
      <w:pPr>
        <w:ind w:left="5040" w:hanging="360"/>
      </w:pPr>
    </w:lvl>
    <w:lvl w:ilvl="7" w:tplc="E2F09DCC">
      <w:start w:val="1"/>
      <w:numFmt w:val="lowerLetter"/>
      <w:lvlText w:val="%8."/>
      <w:lvlJc w:val="left"/>
      <w:pPr>
        <w:ind w:left="5760" w:hanging="360"/>
      </w:pPr>
    </w:lvl>
    <w:lvl w:ilvl="8" w:tplc="4D26FDF8">
      <w:start w:val="1"/>
      <w:numFmt w:val="lowerRoman"/>
      <w:lvlText w:val="%9."/>
      <w:lvlJc w:val="right"/>
      <w:pPr>
        <w:ind w:left="6480" w:hanging="180"/>
      </w:pPr>
    </w:lvl>
  </w:abstractNum>
  <w:abstractNum w:abstractNumId="1" w15:restartNumberingAfterBreak="0">
    <w:nsid w:val="139E0047"/>
    <w:multiLevelType w:val="hybridMultilevel"/>
    <w:tmpl w:val="BA7EF55C"/>
    <w:lvl w:ilvl="0" w:tplc="92F660BC">
      <w:start w:val="1"/>
      <w:numFmt w:val="bullet"/>
      <w:lvlText w:val=""/>
      <w:lvlJc w:val="left"/>
      <w:pPr>
        <w:ind w:left="720" w:hanging="360"/>
      </w:pPr>
      <w:rPr>
        <w:rFonts w:ascii="Symbol" w:hAnsi="Symbol" w:hint="default"/>
      </w:rPr>
    </w:lvl>
    <w:lvl w:ilvl="1" w:tplc="A5A41F3A">
      <w:start w:val="1"/>
      <w:numFmt w:val="bullet"/>
      <w:lvlText w:val="o"/>
      <w:lvlJc w:val="left"/>
      <w:pPr>
        <w:ind w:left="1440" w:hanging="360"/>
      </w:pPr>
      <w:rPr>
        <w:rFonts w:ascii="Courier New" w:hAnsi="Courier New" w:hint="default"/>
      </w:rPr>
    </w:lvl>
    <w:lvl w:ilvl="2" w:tplc="496E7844">
      <w:start w:val="1"/>
      <w:numFmt w:val="bullet"/>
      <w:lvlText w:val=""/>
      <w:lvlJc w:val="left"/>
      <w:pPr>
        <w:ind w:left="2160" w:hanging="360"/>
      </w:pPr>
      <w:rPr>
        <w:rFonts w:ascii="Wingdings" w:hAnsi="Wingdings" w:hint="default"/>
      </w:rPr>
    </w:lvl>
    <w:lvl w:ilvl="3" w:tplc="2A0EC96A">
      <w:start w:val="1"/>
      <w:numFmt w:val="bullet"/>
      <w:lvlText w:val=""/>
      <w:lvlJc w:val="left"/>
      <w:pPr>
        <w:ind w:left="2880" w:hanging="360"/>
      </w:pPr>
      <w:rPr>
        <w:rFonts w:ascii="Symbol" w:hAnsi="Symbol" w:hint="default"/>
      </w:rPr>
    </w:lvl>
    <w:lvl w:ilvl="4" w:tplc="72FC99A6">
      <w:start w:val="1"/>
      <w:numFmt w:val="bullet"/>
      <w:lvlText w:val="o"/>
      <w:lvlJc w:val="left"/>
      <w:pPr>
        <w:ind w:left="3600" w:hanging="360"/>
      </w:pPr>
      <w:rPr>
        <w:rFonts w:ascii="Courier New" w:hAnsi="Courier New" w:hint="default"/>
      </w:rPr>
    </w:lvl>
    <w:lvl w:ilvl="5" w:tplc="12AE1CF6">
      <w:start w:val="1"/>
      <w:numFmt w:val="bullet"/>
      <w:lvlText w:val=""/>
      <w:lvlJc w:val="left"/>
      <w:pPr>
        <w:ind w:left="4320" w:hanging="360"/>
      </w:pPr>
      <w:rPr>
        <w:rFonts w:ascii="Wingdings" w:hAnsi="Wingdings" w:hint="default"/>
      </w:rPr>
    </w:lvl>
    <w:lvl w:ilvl="6" w:tplc="5E147F24">
      <w:start w:val="1"/>
      <w:numFmt w:val="bullet"/>
      <w:lvlText w:val=""/>
      <w:lvlJc w:val="left"/>
      <w:pPr>
        <w:ind w:left="5040" w:hanging="360"/>
      </w:pPr>
      <w:rPr>
        <w:rFonts w:ascii="Symbol" w:hAnsi="Symbol" w:hint="default"/>
      </w:rPr>
    </w:lvl>
    <w:lvl w:ilvl="7" w:tplc="2FFA0A5C">
      <w:start w:val="1"/>
      <w:numFmt w:val="bullet"/>
      <w:lvlText w:val="o"/>
      <w:lvlJc w:val="left"/>
      <w:pPr>
        <w:ind w:left="5760" w:hanging="360"/>
      </w:pPr>
      <w:rPr>
        <w:rFonts w:ascii="Courier New" w:hAnsi="Courier New" w:hint="default"/>
      </w:rPr>
    </w:lvl>
    <w:lvl w:ilvl="8" w:tplc="EB968F32">
      <w:start w:val="1"/>
      <w:numFmt w:val="bullet"/>
      <w:lvlText w:val=""/>
      <w:lvlJc w:val="left"/>
      <w:pPr>
        <w:ind w:left="6480" w:hanging="360"/>
      </w:pPr>
      <w:rPr>
        <w:rFonts w:ascii="Wingdings" w:hAnsi="Wingdings" w:hint="default"/>
      </w:rPr>
    </w:lvl>
  </w:abstractNum>
  <w:abstractNum w:abstractNumId="2" w15:restartNumberingAfterBreak="0">
    <w:nsid w:val="1DE13F59"/>
    <w:multiLevelType w:val="hybridMultilevel"/>
    <w:tmpl w:val="1740480E"/>
    <w:lvl w:ilvl="0" w:tplc="B83ED9EA">
      <w:start w:val="1"/>
      <w:numFmt w:val="bullet"/>
      <w:lvlText w:val=""/>
      <w:lvlJc w:val="left"/>
      <w:pPr>
        <w:ind w:left="720" w:hanging="360"/>
      </w:pPr>
      <w:rPr>
        <w:rFonts w:ascii="Symbol" w:hAnsi="Symbol" w:hint="default"/>
      </w:rPr>
    </w:lvl>
    <w:lvl w:ilvl="1" w:tplc="6FD6C978">
      <w:start w:val="1"/>
      <w:numFmt w:val="bullet"/>
      <w:lvlText w:val="o"/>
      <w:lvlJc w:val="left"/>
      <w:pPr>
        <w:ind w:left="1440" w:hanging="360"/>
      </w:pPr>
      <w:rPr>
        <w:rFonts w:ascii="Courier New" w:hAnsi="Courier New" w:hint="default"/>
      </w:rPr>
    </w:lvl>
    <w:lvl w:ilvl="2" w:tplc="AF526BD2">
      <w:start w:val="1"/>
      <w:numFmt w:val="bullet"/>
      <w:lvlText w:val=""/>
      <w:lvlJc w:val="left"/>
      <w:pPr>
        <w:ind w:left="2160" w:hanging="360"/>
      </w:pPr>
      <w:rPr>
        <w:rFonts w:ascii="Wingdings" w:hAnsi="Wingdings" w:hint="default"/>
      </w:rPr>
    </w:lvl>
    <w:lvl w:ilvl="3" w:tplc="D01AED52">
      <w:start w:val="1"/>
      <w:numFmt w:val="bullet"/>
      <w:lvlText w:val=""/>
      <w:lvlJc w:val="left"/>
      <w:pPr>
        <w:ind w:left="2880" w:hanging="360"/>
      </w:pPr>
      <w:rPr>
        <w:rFonts w:ascii="Symbol" w:hAnsi="Symbol" w:hint="default"/>
      </w:rPr>
    </w:lvl>
    <w:lvl w:ilvl="4" w:tplc="F79011B0">
      <w:start w:val="1"/>
      <w:numFmt w:val="bullet"/>
      <w:lvlText w:val="o"/>
      <w:lvlJc w:val="left"/>
      <w:pPr>
        <w:ind w:left="3600" w:hanging="360"/>
      </w:pPr>
      <w:rPr>
        <w:rFonts w:ascii="Courier New" w:hAnsi="Courier New" w:hint="default"/>
      </w:rPr>
    </w:lvl>
    <w:lvl w:ilvl="5" w:tplc="0D9451D4">
      <w:start w:val="1"/>
      <w:numFmt w:val="bullet"/>
      <w:lvlText w:val=""/>
      <w:lvlJc w:val="left"/>
      <w:pPr>
        <w:ind w:left="4320" w:hanging="360"/>
      </w:pPr>
      <w:rPr>
        <w:rFonts w:ascii="Wingdings" w:hAnsi="Wingdings" w:hint="default"/>
      </w:rPr>
    </w:lvl>
    <w:lvl w:ilvl="6" w:tplc="C42EA69E">
      <w:start w:val="1"/>
      <w:numFmt w:val="bullet"/>
      <w:lvlText w:val=""/>
      <w:lvlJc w:val="left"/>
      <w:pPr>
        <w:ind w:left="5040" w:hanging="360"/>
      </w:pPr>
      <w:rPr>
        <w:rFonts w:ascii="Symbol" w:hAnsi="Symbol" w:hint="default"/>
      </w:rPr>
    </w:lvl>
    <w:lvl w:ilvl="7" w:tplc="6BB69238">
      <w:start w:val="1"/>
      <w:numFmt w:val="bullet"/>
      <w:lvlText w:val="o"/>
      <w:lvlJc w:val="left"/>
      <w:pPr>
        <w:ind w:left="5760" w:hanging="360"/>
      </w:pPr>
      <w:rPr>
        <w:rFonts w:ascii="Courier New" w:hAnsi="Courier New" w:hint="default"/>
      </w:rPr>
    </w:lvl>
    <w:lvl w:ilvl="8" w:tplc="EFF65BFE">
      <w:start w:val="1"/>
      <w:numFmt w:val="bullet"/>
      <w:lvlText w:val=""/>
      <w:lvlJc w:val="left"/>
      <w:pPr>
        <w:ind w:left="6480" w:hanging="360"/>
      </w:pPr>
      <w:rPr>
        <w:rFonts w:ascii="Wingdings" w:hAnsi="Wingdings" w:hint="default"/>
      </w:rPr>
    </w:lvl>
  </w:abstractNum>
  <w:abstractNum w:abstractNumId="3" w15:restartNumberingAfterBreak="0">
    <w:nsid w:val="2A38F3FF"/>
    <w:multiLevelType w:val="hybridMultilevel"/>
    <w:tmpl w:val="98FA45CA"/>
    <w:lvl w:ilvl="0" w:tplc="CC127338">
      <w:start w:val="1"/>
      <w:numFmt w:val="bullet"/>
      <w:lvlText w:val=""/>
      <w:lvlJc w:val="left"/>
      <w:pPr>
        <w:ind w:left="720" w:hanging="360"/>
      </w:pPr>
      <w:rPr>
        <w:rFonts w:ascii="Symbol" w:hAnsi="Symbol" w:hint="default"/>
      </w:rPr>
    </w:lvl>
    <w:lvl w:ilvl="1" w:tplc="C14AD116">
      <w:start w:val="1"/>
      <w:numFmt w:val="bullet"/>
      <w:lvlText w:val="o"/>
      <w:lvlJc w:val="left"/>
      <w:pPr>
        <w:ind w:left="1440" w:hanging="360"/>
      </w:pPr>
      <w:rPr>
        <w:rFonts w:ascii="Courier New" w:hAnsi="Courier New" w:hint="default"/>
      </w:rPr>
    </w:lvl>
    <w:lvl w:ilvl="2" w:tplc="E4B0D414">
      <w:start w:val="1"/>
      <w:numFmt w:val="bullet"/>
      <w:lvlText w:val=""/>
      <w:lvlJc w:val="left"/>
      <w:pPr>
        <w:ind w:left="2160" w:hanging="360"/>
      </w:pPr>
      <w:rPr>
        <w:rFonts w:ascii="Wingdings" w:hAnsi="Wingdings" w:hint="default"/>
      </w:rPr>
    </w:lvl>
    <w:lvl w:ilvl="3" w:tplc="899A5BB0">
      <w:start w:val="1"/>
      <w:numFmt w:val="bullet"/>
      <w:lvlText w:val=""/>
      <w:lvlJc w:val="left"/>
      <w:pPr>
        <w:ind w:left="2880" w:hanging="360"/>
      </w:pPr>
      <w:rPr>
        <w:rFonts w:ascii="Symbol" w:hAnsi="Symbol" w:hint="default"/>
      </w:rPr>
    </w:lvl>
    <w:lvl w:ilvl="4" w:tplc="EB5E2930">
      <w:start w:val="1"/>
      <w:numFmt w:val="bullet"/>
      <w:lvlText w:val="o"/>
      <w:lvlJc w:val="left"/>
      <w:pPr>
        <w:ind w:left="3600" w:hanging="360"/>
      </w:pPr>
      <w:rPr>
        <w:rFonts w:ascii="Courier New" w:hAnsi="Courier New" w:hint="default"/>
      </w:rPr>
    </w:lvl>
    <w:lvl w:ilvl="5" w:tplc="A274BFC4">
      <w:start w:val="1"/>
      <w:numFmt w:val="bullet"/>
      <w:lvlText w:val=""/>
      <w:lvlJc w:val="left"/>
      <w:pPr>
        <w:ind w:left="4320" w:hanging="360"/>
      </w:pPr>
      <w:rPr>
        <w:rFonts w:ascii="Wingdings" w:hAnsi="Wingdings" w:hint="default"/>
      </w:rPr>
    </w:lvl>
    <w:lvl w:ilvl="6" w:tplc="72EC4506">
      <w:start w:val="1"/>
      <w:numFmt w:val="bullet"/>
      <w:lvlText w:val=""/>
      <w:lvlJc w:val="left"/>
      <w:pPr>
        <w:ind w:left="5040" w:hanging="360"/>
      </w:pPr>
      <w:rPr>
        <w:rFonts w:ascii="Symbol" w:hAnsi="Symbol" w:hint="default"/>
      </w:rPr>
    </w:lvl>
    <w:lvl w:ilvl="7" w:tplc="67F6C364">
      <w:start w:val="1"/>
      <w:numFmt w:val="bullet"/>
      <w:lvlText w:val="o"/>
      <w:lvlJc w:val="left"/>
      <w:pPr>
        <w:ind w:left="5760" w:hanging="360"/>
      </w:pPr>
      <w:rPr>
        <w:rFonts w:ascii="Courier New" w:hAnsi="Courier New" w:hint="default"/>
      </w:rPr>
    </w:lvl>
    <w:lvl w:ilvl="8" w:tplc="5EB482AA">
      <w:start w:val="1"/>
      <w:numFmt w:val="bullet"/>
      <w:lvlText w:val=""/>
      <w:lvlJc w:val="left"/>
      <w:pPr>
        <w:ind w:left="6480" w:hanging="360"/>
      </w:pPr>
      <w:rPr>
        <w:rFonts w:ascii="Wingdings" w:hAnsi="Wingdings" w:hint="default"/>
      </w:rPr>
    </w:lvl>
  </w:abstractNum>
  <w:abstractNum w:abstractNumId="4" w15:restartNumberingAfterBreak="0">
    <w:nsid w:val="34714AC8"/>
    <w:multiLevelType w:val="hybridMultilevel"/>
    <w:tmpl w:val="E00A77D6"/>
    <w:lvl w:ilvl="0" w:tplc="B4942B52">
      <w:start w:val="1"/>
      <w:numFmt w:val="bullet"/>
      <w:lvlText w:val=""/>
      <w:lvlJc w:val="left"/>
      <w:pPr>
        <w:ind w:left="1080" w:hanging="360"/>
      </w:pPr>
      <w:rPr>
        <w:rFonts w:ascii="Symbol" w:hAnsi="Symbol" w:hint="default"/>
      </w:rPr>
    </w:lvl>
    <w:lvl w:ilvl="1" w:tplc="53C65F8C">
      <w:start w:val="1"/>
      <w:numFmt w:val="bullet"/>
      <w:lvlText w:val="o"/>
      <w:lvlJc w:val="left"/>
      <w:pPr>
        <w:ind w:left="1800" w:hanging="360"/>
      </w:pPr>
      <w:rPr>
        <w:rFonts w:ascii="Courier New" w:hAnsi="Courier New" w:hint="default"/>
      </w:rPr>
    </w:lvl>
    <w:lvl w:ilvl="2" w:tplc="0C8472E0">
      <w:start w:val="1"/>
      <w:numFmt w:val="bullet"/>
      <w:lvlText w:val=""/>
      <w:lvlJc w:val="left"/>
      <w:pPr>
        <w:ind w:left="2520" w:hanging="360"/>
      </w:pPr>
      <w:rPr>
        <w:rFonts w:ascii="Wingdings" w:hAnsi="Wingdings" w:hint="default"/>
      </w:rPr>
    </w:lvl>
    <w:lvl w:ilvl="3" w:tplc="9CB08266">
      <w:start w:val="1"/>
      <w:numFmt w:val="bullet"/>
      <w:lvlText w:val=""/>
      <w:lvlJc w:val="left"/>
      <w:pPr>
        <w:ind w:left="3240" w:hanging="360"/>
      </w:pPr>
      <w:rPr>
        <w:rFonts w:ascii="Symbol" w:hAnsi="Symbol" w:hint="default"/>
      </w:rPr>
    </w:lvl>
    <w:lvl w:ilvl="4" w:tplc="E5BE6540">
      <w:start w:val="1"/>
      <w:numFmt w:val="bullet"/>
      <w:lvlText w:val="o"/>
      <w:lvlJc w:val="left"/>
      <w:pPr>
        <w:ind w:left="3960" w:hanging="360"/>
      </w:pPr>
      <w:rPr>
        <w:rFonts w:ascii="Courier New" w:hAnsi="Courier New" w:hint="default"/>
      </w:rPr>
    </w:lvl>
    <w:lvl w:ilvl="5" w:tplc="E6E682B8">
      <w:start w:val="1"/>
      <w:numFmt w:val="bullet"/>
      <w:lvlText w:val=""/>
      <w:lvlJc w:val="left"/>
      <w:pPr>
        <w:ind w:left="4680" w:hanging="360"/>
      </w:pPr>
      <w:rPr>
        <w:rFonts w:ascii="Wingdings" w:hAnsi="Wingdings" w:hint="default"/>
      </w:rPr>
    </w:lvl>
    <w:lvl w:ilvl="6" w:tplc="62722D60">
      <w:start w:val="1"/>
      <w:numFmt w:val="bullet"/>
      <w:lvlText w:val=""/>
      <w:lvlJc w:val="left"/>
      <w:pPr>
        <w:ind w:left="5400" w:hanging="360"/>
      </w:pPr>
      <w:rPr>
        <w:rFonts w:ascii="Symbol" w:hAnsi="Symbol" w:hint="default"/>
      </w:rPr>
    </w:lvl>
    <w:lvl w:ilvl="7" w:tplc="12EEA74A">
      <w:start w:val="1"/>
      <w:numFmt w:val="bullet"/>
      <w:lvlText w:val="o"/>
      <w:lvlJc w:val="left"/>
      <w:pPr>
        <w:ind w:left="6120" w:hanging="360"/>
      </w:pPr>
      <w:rPr>
        <w:rFonts w:ascii="Courier New" w:hAnsi="Courier New" w:hint="default"/>
      </w:rPr>
    </w:lvl>
    <w:lvl w:ilvl="8" w:tplc="3168C1E2">
      <w:start w:val="1"/>
      <w:numFmt w:val="bullet"/>
      <w:lvlText w:val=""/>
      <w:lvlJc w:val="left"/>
      <w:pPr>
        <w:ind w:left="6840" w:hanging="360"/>
      </w:pPr>
      <w:rPr>
        <w:rFonts w:ascii="Wingdings" w:hAnsi="Wingdings" w:hint="default"/>
      </w:rPr>
    </w:lvl>
  </w:abstractNum>
  <w:abstractNum w:abstractNumId="5" w15:restartNumberingAfterBreak="0">
    <w:nsid w:val="3E32EF12"/>
    <w:multiLevelType w:val="hybridMultilevel"/>
    <w:tmpl w:val="8872239A"/>
    <w:lvl w:ilvl="0" w:tplc="40DA6068">
      <w:start w:val="1"/>
      <w:numFmt w:val="bullet"/>
      <w:lvlText w:val=""/>
      <w:lvlJc w:val="left"/>
      <w:pPr>
        <w:ind w:left="720" w:hanging="360"/>
      </w:pPr>
      <w:rPr>
        <w:rFonts w:ascii="Symbol" w:hAnsi="Symbol" w:hint="default"/>
      </w:rPr>
    </w:lvl>
    <w:lvl w:ilvl="1" w:tplc="016010CA">
      <w:start w:val="1"/>
      <w:numFmt w:val="bullet"/>
      <w:lvlText w:val="o"/>
      <w:lvlJc w:val="left"/>
      <w:pPr>
        <w:ind w:left="1440" w:hanging="360"/>
      </w:pPr>
      <w:rPr>
        <w:rFonts w:ascii="Symbol" w:hAnsi="Symbol" w:hint="default"/>
      </w:rPr>
    </w:lvl>
    <w:lvl w:ilvl="2" w:tplc="63E0E0DC">
      <w:start w:val="1"/>
      <w:numFmt w:val="bullet"/>
      <w:lvlText w:val=""/>
      <w:lvlJc w:val="left"/>
      <w:pPr>
        <w:ind w:left="2160" w:hanging="360"/>
      </w:pPr>
      <w:rPr>
        <w:rFonts w:ascii="Wingdings" w:hAnsi="Wingdings" w:hint="default"/>
      </w:rPr>
    </w:lvl>
    <w:lvl w:ilvl="3" w:tplc="D70C6498">
      <w:start w:val="1"/>
      <w:numFmt w:val="bullet"/>
      <w:lvlText w:val=""/>
      <w:lvlJc w:val="left"/>
      <w:pPr>
        <w:ind w:left="2880" w:hanging="360"/>
      </w:pPr>
      <w:rPr>
        <w:rFonts w:ascii="Symbol" w:hAnsi="Symbol" w:hint="default"/>
      </w:rPr>
    </w:lvl>
    <w:lvl w:ilvl="4" w:tplc="7D34C52C">
      <w:start w:val="1"/>
      <w:numFmt w:val="bullet"/>
      <w:lvlText w:val="o"/>
      <w:lvlJc w:val="left"/>
      <w:pPr>
        <w:ind w:left="3600" w:hanging="360"/>
      </w:pPr>
      <w:rPr>
        <w:rFonts w:ascii="Courier New" w:hAnsi="Courier New" w:hint="default"/>
      </w:rPr>
    </w:lvl>
    <w:lvl w:ilvl="5" w:tplc="A3D2269E">
      <w:start w:val="1"/>
      <w:numFmt w:val="bullet"/>
      <w:lvlText w:val=""/>
      <w:lvlJc w:val="left"/>
      <w:pPr>
        <w:ind w:left="4320" w:hanging="360"/>
      </w:pPr>
      <w:rPr>
        <w:rFonts w:ascii="Wingdings" w:hAnsi="Wingdings" w:hint="default"/>
      </w:rPr>
    </w:lvl>
    <w:lvl w:ilvl="6" w:tplc="F1D64484">
      <w:start w:val="1"/>
      <w:numFmt w:val="bullet"/>
      <w:lvlText w:val=""/>
      <w:lvlJc w:val="left"/>
      <w:pPr>
        <w:ind w:left="5040" w:hanging="360"/>
      </w:pPr>
      <w:rPr>
        <w:rFonts w:ascii="Symbol" w:hAnsi="Symbol" w:hint="default"/>
      </w:rPr>
    </w:lvl>
    <w:lvl w:ilvl="7" w:tplc="C77A2006">
      <w:start w:val="1"/>
      <w:numFmt w:val="bullet"/>
      <w:lvlText w:val="o"/>
      <w:lvlJc w:val="left"/>
      <w:pPr>
        <w:ind w:left="5760" w:hanging="360"/>
      </w:pPr>
      <w:rPr>
        <w:rFonts w:ascii="Courier New" w:hAnsi="Courier New" w:hint="default"/>
      </w:rPr>
    </w:lvl>
    <w:lvl w:ilvl="8" w:tplc="E186670E">
      <w:start w:val="1"/>
      <w:numFmt w:val="bullet"/>
      <w:lvlText w:val=""/>
      <w:lvlJc w:val="left"/>
      <w:pPr>
        <w:ind w:left="6480" w:hanging="360"/>
      </w:pPr>
      <w:rPr>
        <w:rFonts w:ascii="Wingdings" w:hAnsi="Wingdings" w:hint="default"/>
      </w:rPr>
    </w:lvl>
  </w:abstractNum>
  <w:abstractNum w:abstractNumId="6" w15:restartNumberingAfterBreak="0">
    <w:nsid w:val="3E73A850"/>
    <w:multiLevelType w:val="hybridMultilevel"/>
    <w:tmpl w:val="DB560C1C"/>
    <w:lvl w:ilvl="0" w:tplc="DC4CF1B0">
      <w:start w:val="1"/>
      <w:numFmt w:val="decimal"/>
      <w:lvlText w:val="%1."/>
      <w:lvlJc w:val="left"/>
      <w:pPr>
        <w:ind w:left="720" w:hanging="360"/>
      </w:pPr>
    </w:lvl>
    <w:lvl w:ilvl="1" w:tplc="82CC3078">
      <w:start w:val="1"/>
      <w:numFmt w:val="lowerLetter"/>
      <w:lvlText w:val="%2."/>
      <w:lvlJc w:val="left"/>
      <w:pPr>
        <w:ind w:left="1440" w:hanging="360"/>
      </w:pPr>
    </w:lvl>
    <w:lvl w:ilvl="2" w:tplc="F214A0BA">
      <w:start w:val="1"/>
      <w:numFmt w:val="lowerRoman"/>
      <w:lvlText w:val="%3."/>
      <w:lvlJc w:val="right"/>
      <w:pPr>
        <w:ind w:left="2160" w:hanging="180"/>
      </w:pPr>
    </w:lvl>
    <w:lvl w:ilvl="3" w:tplc="8724F2E4">
      <w:start w:val="1"/>
      <w:numFmt w:val="decimal"/>
      <w:lvlText w:val="%4."/>
      <w:lvlJc w:val="left"/>
      <w:pPr>
        <w:ind w:left="2880" w:hanging="360"/>
      </w:pPr>
    </w:lvl>
    <w:lvl w:ilvl="4" w:tplc="946C65AC">
      <w:start w:val="1"/>
      <w:numFmt w:val="lowerLetter"/>
      <w:lvlText w:val="%5."/>
      <w:lvlJc w:val="left"/>
      <w:pPr>
        <w:ind w:left="3600" w:hanging="360"/>
      </w:pPr>
    </w:lvl>
    <w:lvl w:ilvl="5" w:tplc="12B0449C">
      <w:start w:val="1"/>
      <w:numFmt w:val="lowerRoman"/>
      <w:lvlText w:val="%6."/>
      <w:lvlJc w:val="right"/>
      <w:pPr>
        <w:ind w:left="4320" w:hanging="180"/>
      </w:pPr>
    </w:lvl>
    <w:lvl w:ilvl="6" w:tplc="628AA04E">
      <w:start w:val="1"/>
      <w:numFmt w:val="decimal"/>
      <w:lvlText w:val="%7."/>
      <w:lvlJc w:val="left"/>
      <w:pPr>
        <w:ind w:left="5040" w:hanging="360"/>
      </w:pPr>
    </w:lvl>
    <w:lvl w:ilvl="7" w:tplc="3F7CE8C0">
      <w:start w:val="1"/>
      <w:numFmt w:val="lowerLetter"/>
      <w:lvlText w:val="%8."/>
      <w:lvlJc w:val="left"/>
      <w:pPr>
        <w:ind w:left="5760" w:hanging="360"/>
      </w:pPr>
    </w:lvl>
    <w:lvl w:ilvl="8" w:tplc="A00A29FA">
      <w:start w:val="1"/>
      <w:numFmt w:val="lowerRoman"/>
      <w:lvlText w:val="%9."/>
      <w:lvlJc w:val="right"/>
      <w:pPr>
        <w:ind w:left="6480" w:hanging="180"/>
      </w:pPr>
    </w:lvl>
  </w:abstractNum>
  <w:abstractNum w:abstractNumId="7" w15:restartNumberingAfterBreak="0">
    <w:nsid w:val="4543EF81"/>
    <w:multiLevelType w:val="hybridMultilevel"/>
    <w:tmpl w:val="9C307B80"/>
    <w:lvl w:ilvl="0" w:tplc="66AEB164">
      <w:start w:val="1"/>
      <w:numFmt w:val="bullet"/>
      <w:lvlText w:val=""/>
      <w:lvlJc w:val="left"/>
      <w:pPr>
        <w:ind w:left="720" w:hanging="360"/>
      </w:pPr>
      <w:rPr>
        <w:rFonts w:ascii="Symbol" w:hAnsi="Symbol" w:hint="default"/>
      </w:rPr>
    </w:lvl>
    <w:lvl w:ilvl="1" w:tplc="DD92E7DA">
      <w:start w:val="1"/>
      <w:numFmt w:val="bullet"/>
      <w:lvlText w:val="o"/>
      <w:lvlJc w:val="left"/>
      <w:pPr>
        <w:ind w:left="1440" w:hanging="360"/>
      </w:pPr>
      <w:rPr>
        <w:rFonts w:ascii="Courier New" w:hAnsi="Courier New" w:hint="default"/>
      </w:rPr>
    </w:lvl>
    <w:lvl w:ilvl="2" w:tplc="14846668">
      <w:start w:val="1"/>
      <w:numFmt w:val="bullet"/>
      <w:lvlText w:val=""/>
      <w:lvlJc w:val="left"/>
      <w:pPr>
        <w:ind w:left="2160" w:hanging="360"/>
      </w:pPr>
      <w:rPr>
        <w:rFonts w:ascii="Wingdings" w:hAnsi="Wingdings" w:hint="default"/>
      </w:rPr>
    </w:lvl>
    <w:lvl w:ilvl="3" w:tplc="225A40B0">
      <w:start w:val="1"/>
      <w:numFmt w:val="bullet"/>
      <w:lvlText w:val=""/>
      <w:lvlJc w:val="left"/>
      <w:pPr>
        <w:ind w:left="2880" w:hanging="360"/>
      </w:pPr>
      <w:rPr>
        <w:rFonts w:ascii="Symbol" w:hAnsi="Symbol" w:hint="default"/>
      </w:rPr>
    </w:lvl>
    <w:lvl w:ilvl="4" w:tplc="FB78BD82">
      <w:start w:val="1"/>
      <w:numFmt w:val="bullet"/>
      <w:lvlText w:val="o"/>
      <w:lvlJc w:val="left"/>
      <w:pPr>
        <w:ind w:left="3600" w:hanging="360"/>
      </w:pPr>
      <w:rPr>
        <w:rFonts w:ascii="Courier New" w:hAnsi="Courier New" w:hint="default"/>
      </w:rPr>
    </w:lvl>
    <w:lvl w:ilvl="5" w:tplc="C636B75E">
      <w:start w:val="1"/>
      <w:numFmt w:val="bullet"/>
      <w:lvlText w:val=""/>
      <w:lvlJc w:val="left"/>
      <w:pPr>
        <w:ind w:left="4320" w:hanging="360"/>
      </w:pPr>
      <w:rPr>
        <w:rFonts w:ascii="Wingdings" w:hAnsi="Wingdings" w:hint="default"/>
      </w:rPr>
    </w:lvl>
    <w:lvl w:ilvl="6" w:tplc="2BE66B06">
      <w:start w:val="1"/>
      <w:numFmt w:val="bullet"/>
      <w:lvlText w:val=""/>
      <w:lvlJc w:val="left"/>
      <w:pPr>
        <w:ind w:left="5040" w:hanging="360"/>
      </w:pPr>
      <w:rPr>
        <w:rFonts w:ascii="Symbol" w:hAnsi="Symbol" w:hint="default"/>
      </w:rPr>
    </w:lvl>
    <w:lvl w:ilvl="7" w:tplc="1C6CE1C4">
      <w:start w:val="1"/>
      <w:numFmt w:val="bullet"/>
      <w:lvlText w:val="o"/>
      <w:lvlJc w:val="left"/>
      <w:pPr>
        <w:ind w:left="5760" w:hanging="360"/>
      </w:pPr>
      <w:rPr>
        <w:rFonts w:ascii="Courier New" w:hAnsi="Courier New" w:hint="default"/>
      </w:rPr>
    </w:lvl>
    <w:lvl w:ilvl="8" w:tplc="BC464AE2">
      <w:start w:val="1"/>
      <w:numFmt w:val="bullet"/>
      <w:lvlText w:val=""/>
      <w:lvlJc w:val="left"/>
      <w:pPr>
        <w:ind w:left="6480" w:hanging="360"/>
      </w:pPr>
      <w:rPr>
        <w:rFonts w:ascii="Wingdings" w:hAnsi="Wingdings" w:hint="default"/>
      </w:rPr>
    </w:lvl>
  </w:abstractNum>
  <w:abstractNum w:abstractNumId="8" w15:restartNumberingAfterBreak="0">
    <w:nsid w:val="466698CE"/>
    <w:multiLevelType w:val="hybridMultilevel"/>
    <w:tmpl w:val="04C421E6"/>
    <w:lvl w:ilvl="0" w:tplc="D1507B10">
      <w:start w:val="1"/>
      <w:numFmt w:val="decimal"/>
      <w:lvlText w:val="%1."/>
      <w:lvlJc w:val="left"/>
      <w:pPr>
        <w:ind w:left="720" w:hanging="360"/>
      </w:pPr>
    </w:lvl>
    <w:lvl w:ilvl="1" w:tplc="B8D8DA9A">
      <w:start w:val="1"/>
      <w:numFmt w:val="lowerLetter"/>
      <w:lvlText w:val="%2."/>
      <w:lvlJc w:val="left"/>
      <w:pPr>
        <w:ind w:left="1440" w:hanging="360"/>
      </w:pPr>
    </w:lvl>
    <w:lvl w:ilvl="2" w:tplc="F19C7456">
      <w:start w:val="1"/>
      <w:numFmt w:val="lowerRoman"/>
      <w:lvlText w:val="%3."/>
      <w:lvlJc w:val="right"/>
      <w:pPr>
        <w:ind w:left="2160" w:hanging="180"/>
      </w:pPr>
    </w:lvl>
    <w:lvl w:ilvl="3" w:tplc="6F1A9736">
      <w:start w:val="1"/>
      <w:numFmt w:val="decimal"/>
      <w:lvlText w:val="%4."/>
      <w:lvlJc w:val="left"/>
      <w:pPr>
        <w:ind w:left="2880" w:hanging="360"/>
      </w:pPr>
    </w:lvl>
    <w:lvl w:ilvl="4" w:tplc="68B0AA3A">
      <w:start w:val="1"/>
      <w:numFmt w:val="lowerLetter"/>
      <w:lvlText w:val="%5."/>
      <w:lvlJc w:val="left"/>
      <w:pPr>
        <w:ind w:left="3600" w:hanging="360"/>
      </w:pPr>
    </w:lvl>
    <w:lvl w:ilvl="5" w:tplc="052CECB6">
      <w:start w:val="1"/>
      <w:numFmt w:val="lowerRoman"/>
      <w:lvlText w:val="%6."/>
      <w:lvlJc w:val="right"/>
      <w:pPr>
        <w:ind w:left="4320" w:hanging="180"/>
      </w:pPr>
    </w:lvl>
    <w:lvl w:ilvl="6" w:tplc="8870D58C">
      <w:start w:val="1"/>
      <w:numFmt w:val="decimal"/>
      <w:lvlText w:val="%7."/>
      <w:lvlJc w:val="left"/>
      <w:pPr>
        <w:ind w:left="5040" w:hanging="360"/>
      </w:pPr>
    </w:lvl>
    <w:lvl w:ilvl="7" w:tplc="DA2A0424">
      <w:start w:val="1"/>
      <w:numFmt w:val="lowerLetter"/>
      <w:lvlText w:val="%8."/>
      <w:lvlJc w:val="left"/>
      <w:pPr>
        <w:ind w:left="5760" w:hanging="360"/>
      </w:pPr>
    </w:lvl>
    <w:lvl w:ilvl="8" w:tplc="2416B10A">
      <w:start w:val="1"/>
      <w:numFmt w:val="lowerRoman"/>
      <w:lvlText w:val="%9."/>
      <w:lvlJc w:val="right"/>
      <w:pPr>
        <w:ind w:left="6480" w:hanging="180"/>
      </w:pPr>
    </w:lvl>
  </w:abstractNum>
  <w:abstractNum w:abstractNumId="9" w15:restartNumberingAfterBreak="0">
    <w:nsid w:val="4C6A631A"/>
    <w:multiLevelType w:val="hybridMultilevel"/>
    <w:tmpl w:val="FFFFFFFF"/>
    <w:lvl w:ilvl="0" w:tplc="0F1E3982">
      <w:start w:val="1"/>
      <w:numFmt w:val="bullet"/>
      <w:lvlText w:val=""/>
      <w:lvlJc w:val="left"/>
      <w:pPr>
        <w:ind w:left="1800" w:hanging="360"/>
      </w:pPr>
      <w:rPr>
        <w:rFonts w:ascii="Symbol" w:hAnsi="Symbol" w:hint="default"/>
      </w:rPr>
    </w:lvl>
    <w:lvl w:ilvl="1" w:tplc="AE707106">
      <w:start w:val="1"/>
      <w:numFmt w:val="bullet"/>
      <w:lvlText w:val="o"/>
      <w:lvlJc w:val="left"/>
      <w:pPr>
        <w:ind w:left="2520" w:hanging="360"/>
      </w:pPr>
      <w:rPr>
        <w:rFonts w:ascii="Courier New" w:hAnsi="Courier New" w:hint="default"/>
      </w:rPr>
    </w:lvl>
    <w:lvl w:ilvl="2" w:tplc="5EAE94BA">
      <w:start w:val="1"/>
      <w:numFmt w:val="bullet"/>
      <w:lvlText w:val=""/>
      <w:lvlJc w:val="left"/>
      <w:pPr>
        <w:ind w:left="3240" w:hanging="360"/>
      </w:pPr>
      <w:rPr>
        <w:rFonts w:ascii="Wingdings" w:hAnsi="Wingdings" w:hint="default"/>
      </w:rPr>
    </w:lvl>
    <w:lvl w:ilvl="3" w:tplc="10C4A51E">
      <w:start w:val="1"/>
      <w:numFmt w:val="bullet"/>
      <w:lvlText w:val=""/>
      <w:lvlJc w:val="left"/>
      <w:pPr>
        <w:ind w:left="3960" w:hanging="360"/>
      </w:pPr>
      <w:rPr>
        <w:rFonts w:ascii="Symbol" w:hAnsi="Symbol" w:hint="default"/>
      </w:rPr>
    </w:lvl>
    <w:lvl w:ilvl="4" w:tplc="0C4AC64A">
      <w:start w:val="1"/>
      <w:numFmt w:val="bullet"/>
      <w:lvlText w:val="o"/>
      <w:lvlJc w:val="left"/>
      <w:pPr>
        <w:ind w:left="4680" w:hanging="360"/>
      </w:pPr>
      <w:rPr>
        <w:rFonts w:ascii="Courier New" w:hAnsi="Courier New" w:hint="default"/>
      </w:rPr>
    </w:lvl>
    <w:lvl w:ilvl="5" w:tplc="910C0CEE">
      <w:start w:val="1"/>
      <w:numFmt w:val="bullet"/>
      <w:lvlText w:val=""/>
      <w:lvlJc w:val="left"/>
      <w:pPr>
        <w:ind w:left="5400" w:hanging="360"/>
      </w:pPr>
      <w:rPr>
        <w:rFonts w:ascii="Wingdings" w:hAnsi="Wingdings" w:hint="default"/>
      </w:rPr>
    </w:lvl>
    <w:lvl w:ilvl="6" w:tplc="552CE8B6">
      <w:start w:val="1"/>
      <w:numFmt w:val="bullet"/>
      <w:lvlText w:val=""/>
      <w:lvlJc w:val="left"/>
      <w:pPr>
        <w:ind w:left="6120" w:hanging="360"/>
      </w:pPr>
      <w:rPr>
        <w:rFonts w:ascii="Symbol" w:hAnsi="Symbol" w:hint="default"/>
      </w:rPr>
    </w:lvl>
    <w:lvl w:ilvl="7" w:tplc="3B9C17DA">
      <w:start w:val="1"/>
      <w:numFmt w:val="bullet"/>
      <w:lvlText w:val="o"/>
      <w:lvlJc w:val="left"/>
      <w:pPr>
        <w:ind w:left="6840" w:hanging="360"/>
      </w:pPr>
      <w:rPr>
        <w:rFonts w:ascii="Courier New" w:hAnsi="Courier New" w:hint="default"/>
      </w:rPr>
    </w:lvl>
    <w:lvl w:ilvl="8" w:tplc="5C92CAC2">
      <w:start w:val="1"/>
      <w:numFmt w:val="bullet"/>
      <w:lvlText w:val=""/>
      <w:lvlJc w:val="left"/>
      <w:pPr>
        <w:ind w:left="7560" w:hanging="360"/>
      </w:pPr>
      <w:rPr>
        <w:rFonts w:ascii="Wingdings" w:hAnsi="Wingdings" w:hint="default"/>
      </w:rPr>
    </w:lvl>
  </w:abstractNum>
  <w:abstractNum w:abstractNumId="10" w15:restartNumberingAfterBreak="0">
    <w:nsid w:val="587E4BE0"/>
    <w:multiLevelType w:val="hybridMultilevel"/>
    <w:tmpl w:val="89D4F816"/>
    <w:lvl w:ilvl="0" w:tplc="276EFBF8">
      <w:start w:val="1"/>
      <w:numFmt w:val="bullet"/>
      <w:lvlText w:val=""/>
      <w:lvlJc w:val="left"/>
      <w:pPr>
        <w:ind w:left="720" w:hanging="360"/>
      </w:pPr>
      <w:rPr>
        <w:rFonts w:ascii="Symbol" w:hAnsi="Symbol" w:hint="default"/>
      </w:rPr>
    </w:lvl>
    <w:lvl w:ilvl="1" w:tplc="070477B4">
      <w:start w:val="1"/>
      <w:numFmt w:val="bullet"/>
      <w:lvlText w:val="o"/>
      <w:lvlJc w:val="left"/>
      <w:pPr>
        <w:ind w:left="1440" w:hanging="360"/>
      </w:pPr>
      <w:rPr>
        <w:rFonts w:ascii="Courier New" w:hAnsi="Courier New" w:hint="default"/>
      </w:rPr>
    </w:lvl>
    <w:lvl w:ilvl="2" w:tplc="904655F4">
      <w:start w:val="1"/>
      <w:numFmt w:val="bullet"/>
      <w:lvlText w:val=""/>
      <w:lvlJc w:val="left"/>
      <w:pPr>
        <w:ind w:left="2160" w:hanging="360"/>
      </w:pPr>
      <w:rPr>
        <w:rFonts w:ascii="Wingdings" w:hAnsi="Wingdings" w:hint="default"/>
      </w:rPr>
    </w:lvl>
    <w:lvl w:ilvl="3" w:tplc="CBD2D12A">
      <w:start w:val="1"/>
      <w:numFmt w:val="bullet"/>
      <w:lvlText w:val=""/>
      <w:lvlJc w:val="left"/>
      <w:pPr>
        <w:ind w:left="2880" w:hanging="360"/>
      </w:pPr>
      <w:rPr>
        <w:rFonts w:ascii="Symbol" w:hAnsi="Symbol" w:hint="default"/>
      </w:rPr>
    </w:lvl>
    <w:lvl w:ilvl="4" w:tplc="C282A0FA">
      <w:start w:val="1"/>
      <w:numFmt w:val="bullet"/>
      <w:lvlText w:val="o"/>
      <w:lvlJc w:val="left"/>
      <w:pPr>
        <w:ind w:left="3600" w:hanging="360"/>
      </w:pPr>
      <w:rPr>
        <w:rFonts w:ascii="Courier New" w:hAnsi="Courier New" w:hint="default"/>
      </w:rPr>
    </w:lvl>
    <w:lvl w:ilvl="5" w:tplc="37FE765E">
      <w:start w:val="1"/>
      <w:numFmt w:val="bullet"/>
      <w:lvlText w:val=""/>
      <w:lvlJc w:val="left"/>
      <w:pPr>
        <w:ind w:left="4320" w:hanging="360"/>
      </w:pPr>
      <w:rPr>
        <w:rFonts w:ascii="Wingdings" w:hAnsi="Wingdings" w:hint="default"/>
      </w:rPr>
    </w:lvl>
    <w:lvl w:ilvl="6" w:tplc="52E6D93E">
      <w:start w:val="1"/>
      <w:numFmt w:val="bullet"/>
      <w:lvlText w:val=""/>
      <w:lvlJc w:val="left"/>
      <w:pPr>
        <w:ind w:left="5040" w:hanging="360"/>
      </w:pPr>
      <w:rPr>
        <w:rFonts w:ascii="Symbol" w:hAnsi="Symbol" w:hint="default"/>
      </w:rPr>
    </w:lvl>
    <w:lvl w:ilvl="7" w:tplc="D730D260">
      <w:start w:val="1"/>
      <w:numFmt w:val="bullet"/>
      <w:lvlText w:val="o"/>
      <w:lvlJc w:val="left"/>
      <w:pPr>
        <w:ind w:left="5760" w:hanging="360"/>
      </w:pPr>
      <w:rPr>
        <w:rFonts w:ascii="Courier New" w:hAnsi="Courier New" w:hint="default"/>
      </w:rPr>
    </w:lvl>
    <w:lvl w:ilvl="8" w:tplc="45985716">
      <w:start w:val="1"/>
      <w:numFmt w:val="bullet"/>
      <w:lvlText w:val=""/>
      <w:lvlJc w:val="left"/>
      <w:pPr>
        <w:ind w:left="6480" w:hanging="360"/>
      </w:pPr>
      <w:rPr>
        <w:rFonts w:ascii="Wingdings" w:hAnsi="Wingdings" w:hint="default"/>
      </w:rPr>
    </w:lvl>
  </w:abstractNum>
  <w:abstractNum w:abstractNumId="11" w15:restartNumberingAfterBreak="0">
    <w:nsid w:val="5F484CB2"/>
    <w:multiLevelType w:val="hybridMultilevel"/>
    <w:tmpl w:val="D85A97DC"/>
    <w:lvl w:ilvl="0" w:tplc="4DB0C2BA">
      <w:start w:val="1"/>
      <w:numFmt w:val="decimal"/>
      <w:lvlText w:val="%1."/>
      <w:lvlJc w:val="left"/>
      <w:pPr>
        <w:ind w:left="1440" w:hanging="360"/>
      </w:pPr>
    </w:lvl>
    <w:lvl w:ilvl="1" w:tplc="10584236">
      <w:start w:val="1"/>
      <w:numFmt w:val="lowerLetter"/>
      <w:lvlText w:val="%2."/>
      <w:lvlJc w:val="left"/>
      <w:pPr>
        <w:ind w:left="2160" w:hanging="360"/>
      </w:pPr>
    </w:lvl>
    <w:lvl w:ilvl="2" w:tplc="905A5B92">
      <w:start w:val="1"/>
      <w:numFmt w:val="lowerRoman"/>
      <w:lvlText w:val="%3."/>
      <w:lvlJc w:val="right"/>
      <w:pPr>
        <w:ind w:left="2880" w:hanging="180"/>
      </w:pPr>
    </w:lvl>
    <w:lvl w:ilvl="3" w:tplc="4F5E183C">
      <w:start w:val="1"/>
      <w:numFmt w:val="decimal"/>
      <w:lvlText w:val="%4."/>
      <w:lvlJc w:val="left"/>
      <w:pPr>
        <w:ind w:left="3600" w:hanging="360"/>
      </w:pPr>
    </w:lvl>
    <w:lvl w:ilvl="4" w:tplc="FD0A07C6">
      <w:start w:val="1"/>
      <w:numFmt w:val="lowerLetter"/>
      <w:lvlText w:val="%5."/>
      <w:lvlJc w:val="left"/>
      <w:pPr>
        <w:ind w:left="4320" w:hanging="360"/>
      </w:pPr>
    </w:lvl>
    <w:lvl w:ilvl="5" w:tplc="8CF416D4">
      <w:start w:val="1"/>
      <w:numFmt w:val="lowerRoman"/>
      <w:lvlText w:val="%6."/>
      <w:lvlJc w:val="right"/>
      <w:pPr>
        <w:ind w:left="5040" w:hanging="180"/>
      </w:pPr>
    </w:lvl>
    <w:lvl w:ilvl="6" w:tplc="4C52330A">
      <w:start w:val="1"/>
      <w:numFmt w:val="decimal"/>
      <w:lvlText w:val="%7."/>
      <w:lvlJc w:val="left"/>
      <w:pPr>
        <w:ind w:left="5760" w:hanging="360"/>
      </w:pPr>
    </w:lvl>
    <w:lvl w:ilvl="7" w:tplc="627A3FE8">
      <w:start w:val="1"/>
      <w:numFmt w:val="lowerLetter"/>
      <w:lvlText w:val="%8."/>
      <w:lvlJc w:val="left"/>
      <w:pPr>
        <w:ind w:left="6480" w:hanging="360"/>
      </w:pPr>
    </w:lvl>
    <w:lvl w:ilvl="8" w:tplc="FF3AED9A">
      <w:start w:val="1"/>
      <w:numFmt w:val="lowerRoman"/>
      <w:lvlText w:val="%9."/>
      <w:lvlJc w:val="right"/>
      <w:pPr>
        <w:ind w:left="7200" w:hanging="180"/>
      </w:pPr>
    </w:lvl>
  </w:abstractNum>
  <w:abstractNum w:abstractNumId="12" w15:restartNumberingAfterBreak="0">
    <w:nsid w:val="6BC304AF"/>
    <w:multiLevelType w:val="hybridMultilevel"/>
    <w:tmpl w:val="16B6BBC8"/>
    <w:lvl w:ilvl="0" w:tplc="78A002FE">
      <w:start w:val="1"/>
      <w:numFmt w:val="bullet"/>
      <w:lvlText w:val=""/>
      <w:lvlJc w:val="left"/>
      <w:pPr>
        <w:ind w:left="720" w:hanging="360"/>
      </w:pPr>
      <w:rPr>
        <w:rFonts w:ascii="Symbol" w:hAnsi="Symbol" w:hint="default"/>
      </w:rPr>
    </w:lvl>
    <w:lvl w:ilvl="1" w:tplc="2F80CD34">
      <w:start w:val="1"/>
      <w:numFmt w:val="bullet"/>
      <w:lvlText w:val="o"/>
      <w:lvlJc w:val="left"/>
      <w:pPr>
        <w:ind w:left="1440" w:hanging="360"/>
      </w:pPr>
      <w:rPr>
        <w:rFonts w:ascii="Courier New" w:hAnsi="Courier New" w:hint="default"/>
      </w:rPr>
    </w:lvl>
    <w:lvl w:ilvl="2" w:tplc="F560057E">
      <w:start w:val="1"/>
      <w:numFmt w:val="bullet"/>
      <w:lvlText w:val=""/>
      <w:lvlJc w:val="left"/>
      <w:pPr>
        <w:ind w:left="2160" w:hanging="360"/>
      </w:pPr>
      <w:rPr>
        <w:rFonts w:ascii="Wingdings" w:hAnsi="Wingdings" w:hint="default"/>
      </w:rPr>
    </w:lvl>
    <w:lvl w:ilvl="3" w:tplc="2174D400">
      <w:start w:val="1"/>
      <w:numFmt w:val="bullet"/>
      <w:lvlText w:val=""/>
      <w:lvlJc w:val="left"/>
      <w:pPr>
        <w:ind w:left="2880" w:hanging="360"/>
      </w:pPr>
      <w:rPr>
        <w:rFonts w:ascii="Symbol" w:hAnsi="Symbol" w:hint="default"/>
      </w:rPr>
    </w:lvl>
    <w:lvl w:ilvl="4" w:tplc="8A1CDF3A">
      <w:start w:val="1"/>
      <w:numFmt w:val="bullet"/>
      <w:lvlText w:val="o"/>
      <w:lvlJc w:val="left"/>
      <w:pPr>
        <w:ind w:left="3600" w:hanging="360"/>
      </w:pPr>
      <w:rPr>
        <w:rFonts w:ascii="Courier New" w:hAnsi="Courier New" w:hint="default"/>
      </w:rPr>
    </w:lvl>
    <w:lvl w:ilvl="5" w:tplc="696A9F9A">
      <w:start w:val="1"/>
      <w:numFmt w:val="bullet"/>
      <w:lvlText w:val=""/>
      <w:lvlJc w:val="left"/>
      <w:pPr>
        <w:ind w:left="4320" w:hanging="360"/>
      </w:pPr>
      <w:rPr>
        <w:rFonts w:ascii="Wingdings" w:hAnsi="Wingdings" w:hint="default"/>
      </w:rPr>
    </w:lvl>
    <w:lvl w:ilvl="6" w:tplc="4674390A">
      <w:start w:val="1"/>
      <w:numFmt w:val="bullet"/>
      <w:lvlText w:val=""/>
      <w:lvlJc w:val="left"/>
      <w:pPr>
        <w:ind w:left="5040" w:hanging="360"/>
      </w:pPr>
      <w:rPr>
        <w:rFonts w:ascii="Symbol" w:hAnsi="Symbol" w:hint="default"/>
      </w:rPr>
    </w:lvl>
    <w:lvl w:ilvl="7" w:tplc="B608C058">
      <w:start w:val="1"/>
      <w:numFmt w:val="bullet"/>
      <w:lvlText w:val="o"/>
      <w:lvlJc w:val="left"/>
      <w:pPr>
        <w:ind w:left="5760" w:hanging="360"/>
      </w:pPr>
      <w:rPr>
        <w:rFonts w:ascii="Courier New" w:hAnsi="Courier New" w:hint="default"/>
      </w:rPr>
    </w:lvl>
    <w:lvl w:ilvl="8" w:tplc="77044132">
      <w:start w:val="1"/>
      <w:numFmt w:val="bullet"/>
      <w:lvlText w:val=""/>
      <w:lvlJc w:val="left"/>
      <w:pPr>
        <w:ind w:left="6480" w:hanging="360"/>
      </w:pPr>
      <w:rPr>
        <w:rFonts w:ascii="Wingdings" w:hAnsi="Wingdings" w:hint="default"/>
      </w:rPr>
    </w:lvl>
  </w:abstractNum>
  <w:abstractNum w:abstractNumId="13" w15:restartNumberingAfterBreak="0">
    <w:nsid w:val="7A2927DF"/>
    <w:multiLevelType w:val="hybridMultilevel"/>
    <w:tmpl w:val="BF524698"/>
    <w:lvl w:ilvl="0" w:tplc="C59C956E">
      <w:start w:val="1"/>
      <w:numFmt w:val="decimal"/>
      <w:lvlText w:val="%1."/>
      <w:lvlJc w:val="left"/>
      <w:pPr>
        <w:ind w:left="900" w:hanging="360"/>
      </w:pPr>
    </w:lvl>
    <w:lvl w:ilvl="1" w:tplc="41C6BC8E">
      <w:start w:val="1"/>
      <w:numFmt w:val="lowerLetter"/>
      <w:lvlText w:val="%2."/>
      <w:lvlJc w:val="left"/>
      <w:pPr>
        <w:ind w:left="1620" w:hanging="360"/>
      </w:pPr>
    </w:lvl>
    <w:lvl w:ilvl="2" w:tplc="3E9E7E28">
      <w:start w:val="1"/>
      <w:numFmt w:val="lowerRoman"/>
      <w:lvlText w:val="%3."/>
      <w:lvlJc w:val="right"/>
      <w:pPr>
        <w:ind w:left="2340" w:hanging="180"/>
      </w:pPr>
    </w:lvl>
    <w:lvl w:ilvl="3" w:tplc="5E741188">
      <w:start w:val="1"/>
      <w:numFmt w:val="decimal"/>
      <w:lvlText w:val="%4."/>
      <w:lvlJc w:val="left"/>
      <w:pPr>
        <w:ind w:left="3060" w:hanging="360"/>
      </w:pPr>
    </w:lvl>
    <w:lvl w:ilvl="4" w:tplc="F0629F00">
      <w:start w:val="1"/>
      <w:numFmt w:val="lowerLetter"/>
      <w:lvlText w:val="%5."/>
      <w:lvlJc w:val="left"/>
      <w:pPr>
        <w:ind w:left="3780" w:hanging="360"/>
      </w:pPr>
    </w:lvl>
    <w:lvl w:ilvl="5" w:tplc="42B6C7F4">
      <w:start w:val="1"/>
      <w:numFmt w:val="lowerRoman"/>
      <w:lvlText w:val="%6."/>
      <w:lvlJc w:val="right"/>
      <w:pPr>
        <w:ind w:left="4500" w:hanging="180"/>
      </w:pPr>
    </w:lvl>
    <w:lvl w:ilvl="6" w:tplc="93DE3DA0">
      <w:start w:val="1"/>
      <w:numFmt w:val="decimal"/>
      <w:lvlText w:val="%7."/>
      <w:lvlJc w:val="left"/>
      <w:pPr>
        <w:ind w:left="5220" w:hanging="360"/>
      </w:pPr>
    </w:lvl>
    <w:lvl w:ilvl="7" w:tplc="7576AAD6">
      <w:start w:val="1"/>
      <w:numFmt w:val="lowerLetter"/>
      <w:lvlText w:val="%8."/>
      <w:lvlJc w:val="left"/>
      <w:pPr>
        <w:ind w:left="5940" w:hanging="360"/>
      </w:pPr>
    </w:lvl>
    <w:lvl w:ilvl="8" w:tplc="5BAAE51A">
      <w:start w:val="1"/>
      <w:numFmt w:val="lowerRoman"/>
      <w:lvlText w:val="%9."/>
      <w:lvlJc w:val="right"/>
      <w:pPr>
        <w:ind w:left="6660" w:hanging="180"/>
      </w:pPr>
    </w:lvl>
  </w:abstractNum>
  <w:abstractNum w:abstractNumId="14" w15:restartNumberingAfterBreak="0">
    <w:nsid w:val="7C9F4E9C"/>
    <w:multiLevelType w:val="hybridMultilevel"/>
    <w:tmpl w:val="FFFFFFFF"/>
    <w:lvl w:ilvl="0" w:tplc="4440ADCC">
      <w:start w:val="1"/>
      <w:numFmt w:val="bullet"/>
      <w:lvlText w:val=""/>
      <w:lvlJc w:val="left"/>
      <w:pPr>
        <w:ind w:left="720" w:hanging="360"/>
      </w:pPr>
      <w:rPr>
        <w:rFonts w:ascii="Symbol" w:hAnsi="Symbol" w:hint="default"/>
      </w:rPr>
    </w:lvl>
    <w:lvl w:ilvl="1" w:tplc="1E24B05E">
      <w:start w:val="1"/>
      <w:numFmt w:val="bullet"/>
      <w:lvlText w:val="o"/>
      <w:lvlJc w:val="left"/>
      <w:pPr>
        <w:ind w:left="1440" w:hanging="360"/>
      </w:pPr>
      <w:rPr>
        <w:rFonts w:ascii="Symbol" w:hAnsi="Symbol" w:hint="default"/>
      </w:rPr>
    </w:lvl>
    <w:lvl w:ilvl="2" w:tplc="787CAF90">
      <w:start w:val="1"/>
      <w:numFmt w:val="bullet"/>
      <w:lvlText w:val=""/>
      <w:lvlJc w:val="left"/>
      <w:pPr>
        <w:ind w:left="2160" w:hanging="360"/>
      </w:pPr>
      <w:rPr>
        <w:rFonts w:ascii="Wingdings" w:hAnsi="Wingdings" w:hint="default"/>
      </w:rPr>
    </w:lvl>
    <w:lvl w:ilvl="3" w:tplc="9E3CCF2C">
      <w:start w:val="1"/>
      <w:numFmt w:val="bullet"/>
      <w:lvlText w:val=""/>
      <w:lvlJc w:val="left"/>
      <w:pPr>
        <w:ind w:left="2880" w:hanging="360"/>
      </w:pPr>
      <w:rPr>
        <w:rFonts w:ascii="Symbol" w:hAnsi="Symbol" w:hint="default"/>
      </w:rPr>
    </w:lvl>
    <w:lvl w:ilvl="4" w:tplc="4A725F6A">
      <w:start w:val="1"/>
      <w:numFmt w:val="bullet"/>
      <w:lvlText w:val="o"/>
      <w:lvlJc w:val="left"/>
      <w:pPr>
        <w:ind w:left="3600" w:hanging="360"/>
      </w:pPr>
      <w:rPr>
        <w:rFonts w:ascii="Courier New" w:hAnsi="Courier New" w:hint="default"/>
      </w:rPr>
    </w:lvl>
    <w:lvl w:ilvl="5" w:tplc="FCFAAB40">
      <w:start w:val="1"/>
      <w:numFmt w:val="bullet"/>
      <w:lvlText w:val=""/>
      <w:lvlJc w:val="left"/>
      <w:pPr>
        <w:ind w:left="4320" w:hanging="360"/>
      </w:pPr>
      <w:rPr>
        <w:rFonts w:ascii="Wingdings" w:hAnsi="Wingdings" w:hint="default"/>
      </w:rPr>
    </w:lvl>
    <w:lvl w:ilvl="6" w:tplc="660C2FEC">
      <w:start w:val="1"/>
      <w:numFmt w:val="bullet"/>
      <w:lvlText w:val=""/>
      <w:lvlJc w:val="left"/>
      <w:pPr>
        <w:ind w:left="5040" w:hanging="360"/>
      </w:pPr>
      <w:rPr>
        <w:rFonts w:ascii="Symbol" w:hAnsi="Symbol" w:hint="default"/>
      </w:rPr>
    </w:lvl>
    <w:lvl w:ilvl="7" w:tplc="BFD85E88">
      <w:start w:val="1"/>
      <w:numFmt w:val="bullet"/>
      <w:lvlText w:val="o"/>
      <w:lvlJc w:val="left"/>
      <w:pPr>
        <w:ind w:left="5760" w:hanging="360"/>
      </w:pPr>
      <w:rPr>
        <w:rFonts w:ascii="Courier New" w:hAnsi="Courier New" w:hint="default"/>
      </w:rPr>
    </w:lvl>
    <w:lvl w:ilvl="8" w:tplc="DB1691FC">
      <w:start w:val="1"/>
      <w:numFmt w:val="bullet"/>
      <w:lvlText w:val=""/>
      <w:lvlJc w:val="left"/>
      <w:pPr>
        <w:ind w:left="6480" w:hanging="360"/>
      </w:pPr>
      <w:rPr>
        <w:rFonts w:ascii="Wingdings" w:hAnsi="Wingdings" w:hint="default"/>
      </w:rPr>
    </w:lvl>
  </w:abstractNum>
  <w:num w:numId="1" w16cid:durableId="1560090378">
    <w:abstractNumId w:val="14"/>
  </w:num>
  <w:num w:numId="2" w16cid:durableId="1893229532">
    <w:abstractNumId w:val="6"/>
  </w:num>
  <w:num w:numId="3" w16cid:durableId="361174126">
    <w:abstractNumId w:val="5"/>
  </w:num>
  <w:num w:numId="4" w16cid:durableId="723483207">
    <w:abstractNumId w:val="1"/>
  </w:num>
  <w:num w:numId="5" w16cid:durableId="921336692">
    <w:abstractNumId w:val="0"/>
  </w:num>
  <w:num w:numId="6" w16cid:durableId="1411735513">
    <w:abstractNumId w:val="13"/>
  </w:num>
  <w:num w:numId="7" w16cid:durableId="922491807">
    <w:abstractNumId w:val="11"/>
  </w:num>
  <w:num w:numId="8" w16cid:durableId="637760016">
    <w:abstractNumId w:val="12"/>
  </w:num>
  <w:num w:numId="9" w16cid:durableId="998115301">
    <w:abstractNumId w:val="7"/>
  </w:num>
  <w:num w:numId="10" w16cid:durableId="391805869">
    <w:abstractNumId w:val="10"/>
  </w:num>
  <w:num w:numId="11" w16cid:durableId="1482651060">
    <w:abstractNumId w:val="4"/>
  </w:num>
  <w:num w:numId="12" w16cid:durableId="8878532">
    <w:abstractNumId w:val="2"/>
  </w:num>
  <w:num w:numId="13" w16cid:durableId="1226838092">
    <w:abstractNumId w:val="3"/>
  </w:num>
  <w:num w:numId="14" w16cid:durableId="1453984024">
    <w:abstractNumId w:val="8"/>
  </w:num>
  <w:num w:numId="15" w16cid:durableId="1538197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FEAA7B"/>
    <w:rsid w:val="000028F1"/>
    <w:rsid w:val="000039A3"/>
    <w:rsid w:val="00005DBD"/>
    <w:rsid w:val="000121A8"/>
    <w:rsid w:val="00022605"/>
    <w:rsid w:val="000256B5"/>
    <w:rsid w:val="0003185D"/>
    <w:rsid w:val="00031B81"/>
    <w:rsid w:val="00035ACA"/>
    <w:rsid w:val="00040457"/>
    <w:rsid w:val="00040BEB"/>
    <w:rsid w:val="000511F7"/>
    <w:rsid w:val="00051435"/>
    <w:rsid w:val="00051A15"/>
    <w:rsid w:val="0005731D"/>
    <w:rsid w:val="0005A987"/>
    <w:rsid w:val="000607E3"/>
    <w:rsid w:val="00062BF0"/>
    <w:rsid w:val="000637B3"/>
    <w:rsid w:val="00067D49"/>
    <w:rsid w:val="0007615F"/>
    <w:rsid w:val="00077EB2"/>
    <w:rsid w:val="00080365"/>
    <w:rsid w:val="00082697"/>
    <w:rsid w:val="00086332"/>
    <w:rsid w:val="000901D6"/>
    <w:rsid w:val="000A0A96"/>
    <w:rsid w:val="000A1990"/>
    <w:rsid w:val="000A62B1"/>
    <w:rsid w:val="000A6878"/>
    <w:rsid w:val="000B2484"/>
    <w:rsid w:val="000B3A7D"/>
    <w:rsid w:val="000C14E6"/>
    <w:rsid w:val="000D26EA"/>
    <w:rsid w:val="000D39D7"/>
    <w:rsid w:val="000D3F34"/>
    <w:rsid w:val="000D5B75"/>
    <w:rsid w:val="000D76A9"/>
    <w:rsid w:val="000D7818"/>
    <w:rsid w:val="000E2D06"/>
    <w:rsid w:val="000E4353"/>
    <w:rsid w:val="000E64FA"/>
    <w:rsid w:val="000E7FE1"/>
    <w:rsid w:val="000F05A6"/>
    <w:rsid w:val="000F0816"/>
    <w:rsid w:val="000F095B"/>
    <w:rsid w:val="000F0F4B"/>
    <w:rsid w:val="0010271D"/>
    <w:rsid w:val="00106C97"/>
    <w:rsid w:val="00107D70"/>
    <w:rsid w:val="00111DD3"/>
    <w:rsid w:val="00111E22"/>
    <w:rsid w:val="001149DE"/>
    <w:rsid w:val="00121628"/>
    <w:rsid w:val="00121724"/>
    <w:rsid w:val="001220B2"/>
    <w:rsid w:val="00122392"/>
    <w:rsid w:val="001227C2"/>
    <w:rsid w:val="00123D31"/>
    <w:rsid w:val="00124134"/>
    <w:rsid w:val="00134275"/>
    <w:rsid w:val="00135077"/>
    <w:rsid w:val="00141420"/>
    <w:rsid w:val="00143511"/>
    <w:rsid w:val="001446C3"/>
    <w:rsid w:val="0014502F"/>
    <w:rsid w:val="001450C9"/>
    <w:rsid w:val="00162153"/>
    <w:rsid w:val="00163FA8"/>
    <w:rsid w:val="001646EE"/>
    <w:rsid w:val="00165486"/>
    <w:rsid w:val="00170AE7"/>
    <w:rsid w:val="00171CEA"/>
    <w:rsid w:val="0017243A"/>
    <w:rsid w:val="001725F1"/>
    <w:rsid w:val="00182B50"/>
    <w:rsid w:val="001853D2"/>
    <w:rsid w:val="00185A39"/>
    <w:rsid w:val="001909D5"/>
    <w:rsid w:val="001937D9"/>
    <w:rsid w:val="0019690E"/>
    <w:rsid w:val="00197E48"/>
    <w:rsid w:val="001A0A3A"/>
    <w:rsid w:val="001A40C7"/>
    <w:rsid w:val="001A5B8B"/>
    <w:rsid w:val="001A7B01"/>
    <w:rsid w:val="001B2188"/>
    <w:rsid w:val="001C0BB4"/>
    <w:rsid w:val="001C10FE"/>
    <w:rsid w:val="001C4920"/>
    <w:rsid w:val="001C507D"/>
    <w:rsid w:val="001C70AD"/>
    <w:rsid w:val="001D31D3"/>
    <w:rsid w:val="001D328D"/>
    <w:rsid w:val="001E013D"/>
    <w:rsid w:val="001E1341"/>
    <w:rsid w:val="001E26A0"/>
    <w:rsid w:val="001F73B3"/>
    <w:rsid w:val="001F74A0"/>
    <w:rsid w:val="001F7BC9"/>
    <w:rsid w:val="00201535"/>
    <w:rsid w:val="00205E09"/>
    <w:rsid w:val="00216192"/>
    <w:rsid w:val="0021674F"/>
    <w:rsid w:val="0022095B"/>
    <w:rsid w:val="00222B31"/>
    <w:rsid w:val="0022512C"/>
    <w:rsid w:val="00225D8B"/>
    <w:rsid w:val="00226445"/>
    <w:rsid w:val="0022785D"/>
    <w:rsid w:val="00230580"/>
    <w:rsid w:val="00232473"/>
    <w:rsid w:val="002406C2"/>
    <w:rsid w:val="00241294"/>
    <w:rsid w:val="00243C10"/>
    <w:rsid w:val="0025142C"/>
    <w:rsid w:val="002526C0"/>
    <w:rsid w:val="00255AD4"/>
    <w:rsid w:val="002561BD"/>
    <w:rsid w:val="0025683B"/>
    <w:rsid w:val="00257215"/>
    <w:rsid w:val="00260AFA"/>
    <w:rsid w:val="00264A53"/>
    <w:rsid w:val="00266935"/>
    <w:rsid w:val="00270389"/>
    <w:rsid w:val="00273616"/>
    <w:rsid w:val="00273E22"/>
    <w:rsid w:val="00280324"/>
    <w:rsid w:val="00280BC5"/>
    <w:rsid w:val="002866CA"/>
    <w:rsid w:val="00291A25"/>
    <w:rsid w:val="00296D46"/>
    <w:rsid w:val="002A15EA"/>
    <w:rsid w:val="002A63A6"/>
    <w:rsid w:val="002B7A19"/>
    <w:rsid w:val="002C2D0F"/>
    <w:rsid w:val="002C5DC7"/>
    <w:rsid w:val="002C6360"/>
    <w:rsid w:val="002C7DDA"/>
    <w:rsid w:val="002D11BE"/>
    <w:rsid w:val="002D2BB5"/>
    <w:rsid w:val="002D494F"/>
    <w:rsid w:val="002D4BB8"/>
    <w:rsid w:val="002D54B2"/>
    <w:rsid w:val="002D5CCF"/>
    <w:rsid w:val="002D7167"/>
    <w:rsid w:val="002E098E"/>
    <w:rsid w:val="002E6B45"/>
    <w:rsid w:val="002F2B01"/>
    <w:rsid w:val="002F428D"/>
    <w:rsid w:val="00304626"/>
    <w:rsid w:val="00311124"/>
    <w:rsid w:val="00314008"/>
    <w:rsid w:val="00315698"/>
    <w:rsid w:val="00315E23"/>
    <w:rsid w:val="0031705E"/>
    <w:rsid w:val="0032119F"/>
    <w:rsid w:val="003234E5"/>
    <w:rsid w:val="00325CD5"/>
    <w:rsid w:val="0032615E"/>
    <w:rsid w:val="00326F56"/>
    <w:rsid w:val="00327F19"/>
    <w:rsid w:val="00333EF7"/>
    <w:rsid w:val="0033503E"/>
    <w:rsid w:val="00337D4D"/>
    <w:rsid w:val="00344BBB"/>
    <w:rsid w:val="003450E5"/>
    <w:rsid w:val="00347760"/>
    <w:rsid w:val="00351302"/>
    <w:rsid w:val="003623FE"/>
    <w:rsid w:val="00367612"/>
    <w:rsid w:val="0037043C"/>
    <w:rsid w:val="00372B00"/>
    <w:rsid w:val="00377954"/>
    <w:rsid w:val="00386F66"/>
    <w:rsid w:val="003936EC"/>
    <w:rsid w:val="00395745"/>
    <w:rsid w:val="003A4CCE"/>
    <w:rsid w:val="003B0EB1"/>
    <w:rsid w:val="003B2BC6"/>
    <w:rsid w:val="003B3CE3"/>
    <w:rsid w:val="003B67CF"/>
    <w:rsid w:val="003C0CFF"/>
    <w:rsid w:val="003C4541"/>
    <w:rsid w:val="003D1352"/>
    <w:rsid w:val="003D5B99"/>
    <w:rsid w:val="003E003A"/>
    <w:rsid w:val="003E05FA"/>
    <w:rsid w:val="003E21EF"/>
    <w:rsid w:val="003E29C1"/>
    <w:rsid w:val="003E5FE2"/>
    <w:rsid w:val="003E6524"/>
    <w:rsid w:val="003E766E"/>
    <w:rsid w:val="003F4503"/>
    <w:rsid w:val="003F61D5"/>
    <w:rsid w:val="003F74A4"/>
    <w:rsid w:val="00402219"/>
    <w:rsid w:val="00402F66"/>
    <w:rsid w:val="00415533"/>
    <w:rsid w:val="00420B46"/>
    <w:rsid w:val="00423CAE"/>
    <w:rsid w:val="004258A6"/>
    <w:rsid w:val="00427BF1"/>
    <w:rsid w:val="00432B28"/>
    <w:rsid w:val="00434567"/>
    <w:rsid w:val="00441EDB"/>
    <w:rsid w:val="00442D50"/>
    <w:rsid w:val="00443D5F"/>
    <w:rsid w:val="00446141"/>
    <w:rsid w:val="004468B5"/>
    <w:rsid w:val="00462AC6"/>
    <w:rsid w:val="00462D03"/>
    <w:rsid w:val="00463C8E"/>
    <w:rsid w:val="00471A7A"/>
    <w:rsid w:val="00471E76"/>
    <w:rsid w:val="00472276"/>
    <w:rsid w:val="00473688"/>
    <w:rsid w:val="004752B3"/>
    <w:rsid w:val="00475A99"/>
    <w:rsid w:val="0047630C"/>
    <w:rsid w:val="00477B7F"/>
    <w:rsid w:val="00485206"/>
    <w:rsid w:val="0049025B"/>
    <w:rsid w:val="00491C37"/>
    <w:rsid w:val="004943E3"/>
    <w:rsid w:val="004A6A36"/>
    <w:rsid w:val="004A6BF4"/>
    <w:rsid w:val="004A7097"/>
    <w:rsid w:val="004B21F5"/>
    <w:rsid w:val="004C7D04"/>
    <w:rsid w:val="004D21A2"/>
    <w:rsid w:val="004D2319"/>
    <w:rsid w:val="004D2C51"/>
    <w:rsid w:val="004D39FC"/>
    <w:rsid w:val="004D603E"/>
    <w:rsid w:val="004D6C80"/>
    <w:rsid w:val="004E4D1A"/>
    <w:rsid w:val="004E5ED5"/>
    <w:rsid w:val="004E6988"/>
    <w:rsid w:val="004E7202"/>
    <w:rsid w:val="004F14B2"/>
    <w:rsid w:val="004F1523"/>
    <w:rsid w:val="004F2F66"/>
    <w:rsid w:val="004F35DB"/>
    <w:rsid w:val="004F3F14"/>
    <w:rsid w:val="004F679B"/>
    <w:rsid w:val="005013F7"/>
    <w:rsid w:val="0051216F"/>
    <w:rsid w:val="00514A84"/>
    <w:rsid w:val="00517387"/>
    <w:rsid w:val="00517719"/>
    <w:rsid w:val="00517F30"/>
    <w:rsid w:val="00522294"/>
    <w:rsid w:val="005338A1"/>
    <w:rsid w:val="00534971"/>
    <w:rsid w:val="005442C0"/>
    <w:rsid w:val="00544FF5"/>
    <w:rsid w:val="00546060"/>
    <w:rsid w:val="005503B7"/>
    <w:rsid w:val="0055098D"/>
    <w:rsid w:val="00551844"/>
    <w:rsid w:val="0055346F"/>
    <w:rsid w:val="00560A06"/>
    <w:rsid w:val="005621BF"/>
    <w:rsid w:val="00566523"/>
    <w:rsid w:val="00575800"/>
    <w:rsid w:val="00580B20"/>
    <w:rsid w:val="00580CEC"/>
    <w:rsid w:val="00580FB2"/>
    <w:rsid w:val="00581215"/>
    <w:rsid w:val="005816B5"/>
    <w:rsid w:val="00583160"/>
    <w:rsid w:val="005925EC"/>
    <w:rsid w:val="00595987"/>
    <w:rsid w:val="005A2974"/>
    <w:rsid w:val="005A7BAD"/>
    <w:rsid w:val="005B5108"/>
    <w:rsid w:val="005B63AD"/>
    <w:rsid w:val="005B71B0"/>
    <w:rsid w:val="005C27D5"/>
    <w:rsid w:val="005C2F07"/>
    <w:rsid w:val="005C2F55"/>
    <w:rsid w:val="005C3800"/>
    <w:rsid w:val="005C4239"/>
    <w:rsid w:val="005C59A0"/>
    <w:rsid w:val="005C6D9B"/>
    <w:rsid w:val="005D4290"/>
    <w:rsid w:val="005D752E"/>
    <w:rsid w:val="005E18B0"/>
    <w:rsid w:val="005E1DD2"/>
    <w:rsid w:val="005E490E"/>
    <w:rsid w:val="005E52D2"/>
    <w:rsid w:val="005F114A"/>
    <w:rsid w:val="005F2879"/>
    <w:rsid w:val="005F32CC"/>
    <w:rsid w:val="005F6219"/>
    <w:rsid w:val="005F635F"/>
    <w:rsid w:val="005F79DE"/>
    <w:rsid w:val="0060109A"/>
    <w:rsid w:val="006047E6"/>
    <w:rsid w:val="00604D40"/>
    <w:rsid w:val="0060738A"/>
    <w:rsid w:val="00610A44"/>
    <w:rsid w:val="006129BD"/>
    <w:rsid w:val="0061339A"/>
    <w:rsid w:val="006145CC"/>
    <w:rsid w:val="00614FAA"/>
    <w:rsid w:val="00620A3E"/>
    <w:rsid w:val="00623142"/>
    <w:rsid w:val="00624901"/>
    <w:rsid w:val="0062569D"/>
    <w:rsid w:val="00632B60"/>
    <w:rsid w:val="00634104"/>
    <w:rsid w:val="00635FE1"/>
    <w:rsid w:val="00636F5B"/>
    <w:rsid w:val="00637926"/>
    <w:rsid w:val="00640394"/>
    <w:rsid w:val="00644A42"/>
    <w:rsid w:val="0064774D"/>
    <w:rsid w:val="00654648"/>
    <w:rsid w:val="006550F9"/>
    <w:rsid w:val="006569F6"/>
    <w:rsid w:val="006633B2"/>
    <w:rsid w:val="006641C3"/>
    <w:rsid w:val="006717D1"/>
    <w:rsid w:val="006722A7"/>
    <w:rsid w:val="006725E5"/>
    <w:rsid w:val="00672FED"/>
    <w:rsid w:val="00675A33"/>
    <w:rsid w:val="00677DCB"/>
    <w:rsid w:val="006841A0"/>
    <w:rsid w:val="00685193"/>
    <w:rsid w:val="00692543"/>
    <w:rsid w:val="006934D1"/>
    <w:rsid w:val="0069457B"/>
    <w:rsid w:val="00695B6F"/>
    <w:rsid w:val="00696C79"/>
    <w:rsid w:val="00696D10"/>
    <w:rsid w:val="00697066"/>
    <w:rsid w:val="006A0E79"/>
    <w:rsid w:val="006A2629"/>
    <w:rsid w:val="006A4ED1"/>
    <w:rsid w:val="006B0117"/>
    <w:rsid w:val="006B2E73"/>
    <w:rsid w:val="006B537E"/>
    <w:rsid w:val="006B69B8"/>
    <w:rsid w:val="006C1442"/>
    <w:rsid w:val="006C1DE4"/>
    <w:rsid w:val="006D577D"/>
    <w:rsid w:val="006D6287"/>
    <w:rsid w:val="006D6876"/>
    <w:rsid w:val="006E4143"/>
    <w:rsid w:val="006E5292"/>
    <w:rsid w:val="006F0854"/>
    <w:rsid w:val="006F510C"/>
    <w:rsid w:val="006F5644"/>
    <w:rsid w:val="006F6AC4"/>
    <w:rsid w:val="007068DD"/>
    <w:rsid w:val="00707EBB"/>
    <w:rsid w:val="007100EA"/>
    <w:rsid w:val="007107C7"/>
    <w:rsid w:val="007129F8"/>
    <w:rsid w:val="00714C76"/>
    <w:rsid w:val="007177D3"/>
    <w:rsid w:val="00723592"/>
    <w:rsid w:val="00726B62"/>
    <w:rsid w:val="00730A76"/>
    <w:rsid w:val="0073511D"/>
    <w:rsid w:val="00736433"/>
    <w:rsid w:val="00754FCE"/>
    <w:rsid w:val="00755D5D"/>
    <w:rsid w:val="00756777"/>
    <w:rsid w:val="00757F99"/>
    <w:rsid w:val="00760E17"/>
    <w:rsid w:val="00761BBA"/>
    <w:rsid w:val="00761EFB"/>
    <w:rsid w:val="00762C98"/>
    <w:rsid w:val="00765209"/>
    <w:rsid w:val="0076717D"/>
    <w:rsid w:val="00770FF0"/>
    <w:rsid w:val="007736EA"/>
    <w:rsid w:val="00777DDD"/>
    <w:rsid w:val="00781574"/>
    <w:rsid w:val="00783404"/>
    <w:rsid w:val="007862C7"/>
    <w:rsid w:val="00790E59"/>
    <w:rsid w:val="0079141B"/>
    <w:rsid w:val="007917BA"/>
    <w:rsid w:val="00796DA0"/>
    <w:rsid w:val="007A1274"/>
    <w:rsid w:val="007A1665"/>
    <w:rsid w:val="007A26D9"/>
    <w:rsid w:val="007A2967"/>
    <w:rsid w:val="007A33F0"/>
    <w:rsid w:val="007A75B7"/>
    <w:rsid w:val="007B5023"/>
    <w:rsid w:val="007C0C76"/>
    <w:rsid w:val="007C35BF"/>
    <w:rsid w:val="007C4B00"/>
    <w:rsid w:val="007C79C3"/>
    <w:rsid w:val="007D083B"/>
    <w:rsid w:val="007D16AD"/>
    <w:rsid w:val="007E1318"/>
    <w:rsid w:val="007E41D6"/>
    <w:rsid w:val="007F19B8"/>
    <w:rsid w:val="007F74CE"/>
    <w:rsid w:val="007F7716"/>
    <w:rsid w:val="0080037E"/>
    <w:rsid w:val="00805FE2"/>
    <w:rsid w:val="00806060"/>
    <w:rsid w:val="008132C9"/>
    <w:rsid w:val="00817156"/>
    <w:rsid w:val="0082247D"/>
    <w:rsid w:val="00822A03"/>
    <w:rsid w:val="00823365"/>
    <w:rsid w:val="008247A9"/>
    <w:rsid w:val="00825D9E"/>
    <w:rsid w:val="00845369"/>
    <w:rsid w:val="00846A0A"/>
    <w:rsid w:val="00846C80"/>
    <w:rsid w:val="00852F90"/>
    <w:rsid w:val="00853C0E"/>
    <w:rsid w:val="00862D55"/>
    <w:rsid w:val="00862F7F"/>
    <w:rsid w:val="00864F37"/>
    <w:rsid w:val="00872AFD"/>
    <w:rsid w:val="0087388F"/>
    <w:rsid w:val="008756F2"/>
    <w:rsid w:val="00884895"/>
    <w:rsid w:val="00891793"/>
    <w:rsid w:val="00894279"/>
    <w:rsid w:val="008A19B7"/>
    <w:rsid w:val="008A1FFF"/>
    <w:rsid w:val="008A217B"/>
    <w:rsid w:val="008A28D4"/>
    <w:rsid w:val="008A326E"/>
    <w:rsid w:val="008A497A"/>
    <w:rsid w:val="008A5373"/>
    <w:rsid w:val="008B0FAB"/>
    <w:rsid w:val="008B4C2D"/>
    <w:rsid w:val="008B50F2"/>
    <w:rsid w:val="008B668C"/>
    <w:rsid w:val="008B6F15"/>
    <w:rsid w:val="008B7908"/>
    <w:rsid w:val="008C4CC8"/>
    <w:rsid w:val="008D1A1A"/>
    <w:rsid w:val="008D22F1"/>
    <w:rsid w:val="008D6A33"/>
    <w:rsid w:val="008E2D5C"/>
    <w:rsid w:val="008F36D8"/>
    <w:rsid w:val="008F66E0"/>
    <w:rsid w:val="008F7371"/>
    <w:rsid w:val="008F78DA"/>
    <w:rsid w:val="00900DBE"/>
    <w:rsid w:val="009020CB"/>
    <w:rsid w:val="00906012"/>
    <w:rsid w:val="009060E5"/>
    <w:rsid w:val="00910B44"/>
    <w:rsid w:val="00911AB3"/>
    <w:rsid w:val="00913120"/>
    <w:rsid w:val="00913F64"/>
    <w:rsid w:val="0091645A"/>
    <w:rsid w:val="009172B3"/>
    <w:rsid w:val="00917F23"/>
    <w:rsid w:val="00923DBC"/>
    <w:rsid w:val="00924432"/>
    <w:rsid w:val="00924801"/>
    <w:rsid w:val="009275D8"/>
    <w:rsid w:val="0093098D"/>
    <w:rsid w:val="00930FDB"/>
    <w:rsid w:val="0093192B"/>
    <w:rsid w:val="0093523A"/>
    <w:rsid w:val="009530EE"/>
    <w:rsid w:val="00954D97"/>
    <w:rsid w:val="009602FF"/>
    <w:rsid w:val="00970856"/>
    <w:rsid w:val="00972A21"/>
    <w:rsid w:val="00972C5C"/>
    <w:rsid w:val="0097525A"/>
    <w:rsid w:val="00977272"/>
    <w:rsid w:val="009816DF"/>
    <w:rsid w:val="009902B0"/>
    <w:rsid w:val="00993E10"/>
    <w:rsid w:val="00994835"/>
    <w:rsid w:val="00995224"/>
    <w:rsid w:val="009A2442"/>
    <w:rsid w:val="009B180E"/>
    <w:rsid w:val="009B1BC4"/>
    <w:rsid w:val="009B3157"/>
    <w:rsid w:val="009B3FAF"/>
    <w:rsid w:val="009B47DC"/>
    <w:rsid w:val="009C2294"/>
    <w:rsid w:val="009C3725"/>
    <w:rsid w:val="009C40F9"/>
    <w:rsid w:val="009C6B09"/>
    <w:rsid w:val="009D4222"/>
    <w:rsid w:val="009D4A18"/>
    <w:rsid w:val="009E4939"/>
    <w:rsid w:val="00A05CD8"/>
    <w:rsid w:val="00A05F7C"/>
    <w:rsid w:val="00A10ACB"/>
    <w:rsid w:val="00A11024"/>
    <w:rsid w:val="00A12A66"/>
    <w:rsid w:val="00A15AEA"/>
    <w:rsid w:val="00A1670D"/>
    <w:rsid w:val="00A22241"/>
    <w:rsid w:val="00A30028"/>
    <w:rsid w:val="00A31D93"/>
    <w:rsid w:val="00A3247D"/>
    <w:rsid w:val="00A53465"/>
    <w:rsid w:val="00A568C9"/>
    <w:rsid w:val="00A60FD4"/>
    <w:rsid w:val="00A64B25"/>
    <w:rsid w:val="00A6593A"/>
    <w:rsid w:val="00A7424C"/>
    <w:rsid w:val="00A81A62"/>
    <w:rsid w:val="00A83714"/>
    <w:rsid w:val="00A841D7"/>
    <w:rsid w:val="00A91471"/>
    <w:rsid w:val="00A9252C"/>
    <w:rsid w:val="00A9380A"/>
    <w:rsid w:val="00A9442F"/>
    <w:rsid w:val="00A977EC"/>
    <w:rsid w:val="00A97D37"/>
    <w:rsid w:val="00AA141D"/>
    <w:rsid w:val="00AA446F"/>
    <w:rsid w:val="00AA5C0F"/>
    <w:rsid w:val="00AB03EF"/>
    <w:rsid w:val="00AB4CC3"/>
    <w:rsid w:val="00AB71F1"/>
    <w:rsid w:val="00AC0025"/>
    <w:rsid w:val="00AC03FF"/>
    <w:rsid w:val="00AC0BC5"/>
    <w:rsid w:val="00AC11F6"/>
    <w:rsid w:val="00AC5CAA"/>
    <w:rsid w:val="00AC7F83"/>
    <w:rsid w:val="00AD4D79"/>
    <w:rsid w:val="00AD4F96"/>
    <w:rsid w:val="00AE5A58"/>
    <w:rsid w:val="00AF4563"/>
    <w:rsid w:val="00AF47CA"/>
    <w:rsid w:val="00AF7F48"/>
    <w:rsid w:val="00B01B1B"/>
    <w:rsid w:val="00B02CA0"/>
    <w:rsid w:val="00B05FA8"/>
    <w:rsid w:val="00B06C1E"/>
    <w:rsid w:val="00B077B0"/>
    <w:rsid w:val="00B10888"/>
    <w:rsid w:val="00B123A3"/>
    <w:rsid w:val="00B163C7"/>
    <w:rsid w:val="00B1709F"/>
    <w:rsid w:val="00B2324B"/>
    <w:rsid w:val="00B24B6E"/>
    <w:rsid w:val="00B259CA"/>
    <w:rsid w:val="00B25DBA"/>
    <w:rsid w:val="00B26B18"/>
    <w:rsid w:val="00B30735"/>
    <w:rsid w:val="00B316B0"/>
    <w:rsid w:val="00B342FD"/>
    <w:rsid w:val="00B35EBE"/>
    <w:rsid w:val="00B35F97"/>
    <w:rsid w:val="00B430E4"/>
    <w:rsid w:val="00B466EC"/>
    <w:rsid w:val="00B46A92"/>
    <w:rsid w:val="00B5155D"/>
    <w:rsid w:val="00B51C27"/>
    <w:rsid w:val="00B62A5B"/>
    <w:rsid w:val="00B735D2"/>
    <w:rsid w:val="00B75267"/>
    <w:rsid w:val="00B8004C"/>
    <w:rsid w:val="00B82ADF"/>
    <w:rsid w:val="00B90E6F"/>
    <w:rsid w:val="00B9109B"/>
    <w:rsid w:val="00B93143"/>
    <w:rsid w:val="00B938D3"/>
    <w:rsid w:val="00B940A5"/>
    <w:rsid w:val="00B9547C"/>
    <w:rsid w:val="00B96F35"/>
    <w:rsid w:val="00BA1036"/>
    <w:rsid w:val="00BA186A"/>
    <w:rsid w:val="00BA2D70"/>
    <w:rsid w:val="00BA3734"/>
    <w:rsid w:val="00BA4F50"/>
    <w:rsid w:val="00BB2DBD"/>
    <w:rsid w:val="00BB6CFF"/>
    <w:rsid w:val="00BC536F"/>
    <w:rsid w:val="00BC6351"/>
    <w:rsid w:val="00BEAFB3"/>
    <w:rsid w:val="00BF07D9"/>
    <w:rsid w:val="00BF34D6"/>
    <w:rsid w:val="00BF4F32"/>
    <w:rsid w:val="00BF762B"/>
    <w:rsid w:val="00C10CE1"/>
    <w:rsid w:val="00C11B7F"/>
    <w:rsid w:val="00C14D27"/>
    <w:rsid w:val="00C3063E"/>
    <w:rsid w:val="00C33259"/>
    <w:rsid w:val="00C3326A"/>
    <w:rsid w:val="00C40572"/>
    <w:rsid w:val="00C41C78"/>
    <w:rsid w:val="00C4799B"/>
    <w:rsid w:val="00C51CA6"/>
    <w:rsid w:val="00C54586"/>
    <w:rsid w:val="00C60B50"/>
    <w:rsid w:val="00C6159C"/>
    <w:rsid w:val="00C62BA4"/>
    <w:rsid w:val="00C63772"/>
    <w:rsid w:val="00C655E0"/>
    <w:rsid w:val="00C66D58"/>
    <w:rsid w:val="00C709FA"/>
    <w:rsid w:val="00C75A41"/>
    <w:rsid w:val="00C81876"/>
    <w:rsid w:val="00C85F8B"/>
    <w:rsid w:val="00C86DE5"/>
    <w:rsid w:val="00CA1237"/>
    <w:rsid w:val="00CA1832"/>
    <w:rsid w:val="00CB2AB8"/>
    <w:rsid w:val="00CB4538"/>
    <w:rsid w:val="00CB47DB"/>
    <w:rsid w:val="00CC3DB6"/>
    <w:rsid w:val="00CC58EC"/>
    <w:rsid w:val="00CC5E59"/>
    <w:rsid w:val="00CC7B45"/>
    <w:rsid w:val="00CD4EE0"/>
    <w:rsid w:val="00CD6244"/>
    <w:rsid w:val="00CD658C"/>
    <w:rsid w:val="00CD7101"/>
    <w:rsid w:val="00CE5488"/>
    <w:rsid w:val="00CE7399"/>
    <w:rsid w:val="00CF0E60"/>
    <w:rsid w:val="00CF31F4"/>
    <w:rsid w:val="00CF6668"/>
    <w:rsid w:val="00CF7006"/>
    <w:rsid w:val="00CF7D9F"/>
    <w:rsid w:val="00D11318"/>
    <w:rsid w:val="00D162C5"/>
    <w:rsid w:val="00D210DB"/>
    <w:rsid w:val="00D22BDF"/>
    <w:rsid w:val="00D263F9"/>
    <w:rsid w:val="00D303AC"/>
    <w:rsid w:val="00D310BF"/>
    <w:rsid w:val="00D3439F"/>
    <w:rsid w:val="00D34815"/>
    <w:rsid w:val="00D419B5"/>
    <w:rsid w:val="00D4336A"/>
    <w:rsid w:val="00D45F76"/>
    <w:rsid w:val="00D46014"/>
    <w:rsid w:val="00D52882"/>
    <w:rsid w:val="00D543FE"/>
    <w:rsid w:val="00D561B0"/>
    <w:rsid w:val="00D577A3"/>
    <w:rsid w:val="00D649DC"/>
    <w:rsid w:val="00D67F34"/>
    <w:rsid w:val="00D7427F"/>
    <w:rsid w:val="00D7735A"/>
    <w:rsid w:val="00D806E9"/>
    <w:rsid w:val="00D91CEF"/>
    <w:rsid w:val="00DA1D6B"/>
    <w:rsid w:val="00DA344D"/>
    <w:rsid w:val="00DA401A"/>
    <w:rsid w:val="00DA48F6"/>
    <w:rsid w:val="00DA4BC9"/>
    <w:rsid w:val="00DA616F"/>
    <w:rsid w:val="00DB3382"/>
    <w:rsid w:val="00DB7397"/>
    <w:rsid w:val="00DC25F2"/>
    <w:rsid w:val="00DC4DA8"/>
    <w:rsid w:val="00DC59DF"/>
    <w:rsid w:val="00DD13EA"/>
    <w:rsid w:val="00DD4613"/>
    <w:rsid w:val="00DD5C3E"/>
    <w:rsid w:val="00DD6560"/>
    <w:rsid w:val="00DD6BAF"/>
    <w:rsid w:val="00DD7DDE"/>
    <w:rsid w:val="00DE5034"/>
    <w:rsid w:val="00DE50EA"/>
    <w:rsid w:val="00DE77C3"/>
    <w:rsid w:val="00DF0247"/>
    <w:rsid w:val="00DF5256"/>
    <w:rsid w:val="00E02E1F"/>
    <w:rsid w:val="00E03305"/>
    <w:rsid w:val="00E042EB"/>
    <w:rsid w:val="00E0439A"/>
    <w:rsid w:val="00E051BA"/>
    <w:rsid w:val="00E088BF"/>
    <w:rsid w:val="00E16197"/>
    <w:rsid w:val="00E25916"/>
    <w:rsid w:val="00E26B74"/>
    <w:rsid w:val="00E27A76"/>
    <w:rsid w:val="00E307D2"/>
    <w:rsid w:val="00E32E16"/>
    <w:rsid w:val="00E32F89"/>
    <w:rsid w:val="00E34B50"/>
    <w:rsid w:val="00E364CB"/>
    <w:rsid w:val="00E3652D"/>
    <w:rsid w:val="00E37AB5"/>
    <w:rsid w:val="00E430CF"/>
    <w:rsid w:val="00E43C50"/>
    <w:rsid w:val="00E53910"/>
    <w:rsid w:val="00E57CEA"/>
    <w:rsid w:val="00E62693"/>
    <w:rsid w:val="00E64DF1"/>
    <w:rsid w:val="00E71626"/>
    <w:rsid w:val="00E77102"/>
    <w:rsid w:val="00E82EEF"/>
    <w:rsid w:val="00E8380B"/>
    <w:rsid w:val="00E87B1C"/>
    <w:rsid w:val="00E90DAB"/>
    <w:rsid w:val="00E91F40"/>
    <w:rsid w:val="00E97A6C"/>
    <w:rsid w:val="00EA1EAE"/>
    <w:rsid w:val="00EB122F"/>
    <w:rsid w:val="00EB239D"/>
    <w:rsid w:val="00EB414A"/>
    <w:rsid w:val="00EC4B98"/>
    <w:rsid w:val="00ED1BCC"/>
    <w:rsid w:val="00ED2B79"/>
    <w:rsid w:val="00ED447F"/>
    <w:rsid w:val="00EE6A6E"/>
    <w:rsid w:val="00EF4FB2"/>
    <w:rsid w:val="00EF5352"/>
    <w:rsid w:val="00EF76D8"/>
    <w:rsid w:val="00EF7C58"/>
    <w:rsid w:val="00F013A0"/>
    <w:rsid w:val="00F023DB"/>
    <w:rsid w:val="00F02F3D"/>
    <w:rsid w:val="00F1165F"/>
    <w:rsid w:val="00F1582A"/>
    <w:rsid w:val="00F17F88"/>
    <w:rsid w:val="00F204B9"/>
    <w:rsid w:val="00F21FDF"/>
    <w:rsid w:val="00F2593D"/>
    <w:rsid w:val="00F26F1E"/>
    <w:rsid w:val="00F31542"/>
    <w:rsid w:val="00F33CBD"/>
    <w:rsid w:val="00F378AC"/>
    <w:rsid w:val="00F4086B"/>
    <w:rsid w:val="00F41A09"/>
    <w:rsid w:val="00F41F6B"/>
    <w:rsid w:val="00F453D5"/>
    <w:rsid w:val="00F46227"/>
    <w:rsid w:val="00F463B7"/>
    <w:rsid w:val="00F479EB"/>
    <w:rsid w:val="00F54D7C"/>
    <w:rsid w:val="00F55D7A"/>
    <w:rsid w:val="00F56688"/>
    <w:rsid w:val="00F56DF7"/>
    <w:rsid w:val="00F62D35"/>
    <w:rsid w:val="00F63396"/>
    <w:rsid w:val="00F722E8"/>
    <w:rsid w:val="00F7542C"/>
    <w:rsid w:val="00F7734F"/>
    <w:rsid w:val="00F77DEF"/>
    <w:rsid w:val="00F80276"/>
    <w:rsid w:val="00F83C2F"/>
    <w:rsid w:val="00F86F40"/>
    <w:rsid w:val="00F909F2"/>
    <w:rsid w:val="00F975FC"/>
    <w:rsid w:val="00FA07D1"/>
    <w:rsid w:val="00FA159D"/>
    <w:rsid w:val="00FA30F9"/>
    <w:rsid w:val="00FA42C8"/>
    <w:rsid w:val="00FB1B26"/>
    <w:rsid w:val="00FB364B"/>
    <w:rsid w:val="00FB7715"/>
    <w:rsid w:val="00FC256F"/>
    <w:rsid w:val="00FC4C15"/>
    <w:rsid w:val="00FD17AB"/>
    <w:rsid w:val="00FD3338"/>
    <w:rsid w:val="00FD38D8"/>
    <w:rsid w:val="00FD4DCE"/>
    <w:rsid w:val="00FD68A1"/>
    <w:rsid w:val="00FE0B3C"/>
    <w:rsid w:val="00FE2E3C"/>
    <w:rsid w:val="00FE5B90"/>
    <w:rsid w:val="00FE5E49"/>
    <w:rsid w:val="00FF05D5"/>
    <w:rsid w:val="00FF42B0"/>
    <w:rsid w:val="00FF4D7E"/>
    <w:rsid w:val="00FF748A"/>
    <w:rsid w:val="00FF7FD3"/>
    <w:rsid w:val="0132A100"/>
    <w:rsid w:val="01729B3E"/>
    <w:rsid w:val="0205B35A"/>
    <w:rsid w:val="02577EB3"/>
    <w:rsid w:val="028DD7F5"/>
    <w:rsid w:val="029C9F35"/>
    <w:rsid w:val="02D5977D"/>
    <w:rsid w:val="02EA919D"/>
    <w:rsid w:val="03D4BC86"/>
    <w:rsid w:val="0499CFD3"/>
    <w:rsid w:val="04D1E981"/>
    <w:rsid w:val="0532623C"/>
    <w:rsid w:val="05541E57"/>
    <w:rsid w:val="058B9692"/>
    <w:rsid w:val="05B78522"/>
    <w:rsid w:val="062CC391"/>
    <w:rsid w:val="062F3AAF"/>
    <w:rsid w:val="06979430"/>
    <w:rsid w:val="069C07F0"/>
    <w:rsid w:val="06A5F6DB"/>
    <w:rsid w:val="071709BB"/>
    <w:rsid w:val="07E1E6BF"/>
    <w:rsid w:val="08623F09"/>
    <w:rsid w:val="087A2CF6"/>
    <w:rsid w:val="08B4490A"/>
    <w:rsid w:val="09425C6C"/>
    <w:rsid w:val="0958B68C"/>
    <w:rsid w:val="0983940C"/>
    <w:rsid w:val="09A78F74"/>
    <w:rsid w:val="09AC027C"/>
    <w:rsid w:val="0A666B0B"/>
    <w:rsid w:val="0A7E3959"/>
    <w:rsid w:val="0B8E8E5C"/>
    <w:rsid w:val="0B93D236"/>
    <w:rsid w:val="0C7EE83F"/>
    <w:rsid w:val="0C864052"/>
    <w:rsid w:val="0CA0AD65"/>
    <w:rsid w:val="0CB1AF86"/>
    <w:rsid w:val="0D0BFC4F"/>
    <w:rsid w:val="0D4A4A2F"/>
    <w:rsid w:val="0D51E7B0"/>
    <w:rsid w:val="0DE7EA03"/>
    <w:rsid w:val="0E07B2EC"/>
    <w:rsid w:val="0E1D4D4D"/>
    <w:rsid w:val="0E36F2C9"/>
    <w:rsid w:val="0E54377A"/>
    <w:rsid w:val="0EB39331"/>
    <w:rsid w:val="0EB7448A"/>
    <w:rsid w:val="0F5CAA81"/>
    <w:rsid w:val="11118FC6"/>
    <w:rsid w:val="11724551"/>
    <w:rsid w:val="118326D1"/>
    <w:rsid w:val="11D76529"/>
    <w:rsid w:val="11E829FE"/>
    <w:rsid w:val="120AE45C"/>
    <w:rsid w:val="1253D3FE"/>
    <w:rsid w:val="12849B2B"/>
    <w:rsid w:val="132F9FBE"/>
    <w:rsid w:val="133F8400"/>
    <w:rsid w:val="13C1E3C5"/>
    <w:rsid w:val="150926E7"/>
    <w:rsid w:val="154F316D"/>
    <w:rsid w:val="15AB0788"/>
    <w:rsid w:val="15D5B301"/>
    <w:rsid w:val="15DA62C6"/>
    <w:rsid w:val="15EEF3E1"/>
    <w:rsid w:val="1632EF4F"/>
    <w:rsid w:val="16585689"/>
    <w:rsid w:val="16C943F4"/>
    <w:rsid w:val="16F46AB7"/>
    <w:rsid w:val="17055795"/>
    <w:rsid w:val="172948DA"/>
    <w:rsid w:val="17A306B7"/>
    <w:rsid w:val="18769D0D"/>
    <w:rsid w:val="1891349C"/>
    <w:rsid w:val="197DCFAE"/>
    <w:rsid w:val="198F6E3F"/>
    <w:rsid w:val="19ADF1D4"/>
    <w:rsid w:val="19D78866"/>
    <w:rsid w:val="1A2B4E90"/>
    <w:rsid w:val="1A6CFB53"/>
    <w:rsid w:val="1B05DA00"/>
    <w:rsid w:val="1B3EE843"/>
    <w:rsid w:val="1B48B077"/>
    <w:rsid w:val="1BAA5972"/>
    <w:rsid w:val="1BE7CA50"/>
    <w:rsid w:val="1C3AB990"/>
    <w:rsid w:val="1C7D014F"/>
    <w:rsid w:val="1D2EFB54"/>
    <w:rsid w:val="1DC29B28"/>
    <w:rsid w:val="1DFBFC55"/>
    <w:rsid w:val="1E560A01"/>
    <w:rsid w:val="1EECDFFE"/>
    <w:rsid w:val="1F1A2968"/>
    <w:rsid w:val="1F2C7C43"/>
    <w:rsid w:val="1F617BDD"/>
    <w:rsid w:val="1F8BB9B2"/>
    <w:rsid w:val="1F931E1B"/>
    <w:rsid w:val="1F942AE4"/>
    <w:rsid w:val="2048AD01"/>
    <w:rsid w:val="20A63976"/>
    <w:rsid w:val="20BEE4FB"/>
    <w:rsid w:val="21CD5EE5"/>
    <w:rsid w:val="22435AEB"/>
    <w:rsid w:val="236BE03F"/>
    <w:rsid w:val="23A7B786"/>
    <w:rsid w:val="23ADFF21"/>
    <w:rsid w:val="23F7364A"/>
    <w:rsid w:val="241585CC"/>
    <w:rsid w:val="24203254"/>
    <w:rsid w:val="24A5361A"/>
    <w:rsid w:val="250EB030"/>
    <w:rsid w:val="253175C5"/>
    <w:rsid w:val="25322DBF"/>
    <w:rsid w:val="25949770"/>
    <w:rsid w:val="25AB2C45"/>
    <w:rsid w:val="25D50D14"/>
    <w:rsid w:val="26444E44"/>
    <w:rsid w:val="26449350"/>
    <w:rsid w:val="26AFB96C"/>
    <w:rsid w:val="26C7DA4C"/>
    <w:rsid w:val="276E1AB6"/>
    <w:rsid w:val="283727DC"/>
    <w:rsid w:val="287A7108"/>
    <w:rsid w:val="287C5646"/>
    <w:rsid w:val="28D50AA5"/>
    <w:rsid w:val="290CCB10"/>
    <w:rsid w:val="29164B10"/>
    <w:rsid w:val="29978395"/>
    <w:rsid w:val="29F3FC29"/>
    <w:rsid w:val="2A0CFBB0"/>
    <w:rsid w:val="2B163795"/>
    <w:rsid w:val="2BE20A36"/>
    <w:rsid w:val="2C13380F"/>
    <w:rsid w:val="2C18AADF"/>
    <w:rsid w:val="2D81580B"/>
    <w:rsid w:val="2D8C5824"/>
    <w:rsid w:val="2DCF6009"/>
    <w:rsid w:val="2E6E5FB2"/>
    <w:rsid w:val="2EB82CA2"/>
    <w:rsid w:val="2EF7D376"/>
    <w:rsid w:val="2F4701AC"/>
    <w:rsid w:val="3004E73A"/>
    <w:rsid w:val="30561A5B"/>
    <w:rsid w:val="308C9E6F"/>
    <w:rsid w:val="30BE796A"/>
    <w:rsid w:val="30DEF787"/>
    <w:rsid w:val="30E672FD"/>
    <w:rsid w:val="3149AB4D"/>
    <w:rsid w:val="318206C8"/>
    <w:rsid w:val="319148A0"/>
    <w:rsid w:val="31976284"/>
    <w:rsid w:val="31B586BC"/>
    <w:rsid w:val="321D8F33"/>
    <w:rsid w:val="32D366CC"/>
    <w:rsid w:val="331E2DAE"/>
    <w:rsid w:val="342FA548"/>
    <w:rsid w:val="34A0D960"/>
    <w:rsid w:val="34C9D195"/>
    <w:rsid w:val="34CB2D3D"/>
    <w:rsid w:val="351AEE07"/>
    <w:rsid w:val="352620AA"/>
    <w:rsid w:val="355664DD"/>
    <w:rsid w:val="358E1F5E"/>
    <w:rsid w:val="35AB4394"/>
    <w:rsid w:val="35AFA87E"/>
    <w:rsid w:val="35C2BBB7"/>
    <w:rsid w:val="363239EC"/>
    <w:rsid w:val="3671259F"/>
    <w:rsid w:val="368044DB"/>
    <w:rsid w:val="36A46FC4"/>
    <w:rsid w:val="36B6083A"/>
    <w:rsid w:val="3788AB3F"/>
    <w:rsid w:val="37CFF21E"/>
    <w:rsid w:val="37D18BD2"/>
    <w:rsid w:val="381C525A"/>
    <w:rsid w:val="38999662"/>
    <w:rsid w:val="38C93810"/>
    <w:rsid w:val="38D22908"/>
    <w:rsid w:val="3979A08B"/>
    <w:rsid w:val="39865609"/>
    <w:rsid w:val="39CCC118"/>
    <w:rsid w:val="3A21B4CC"/>
    <w:rsid w:val="3A23A6A3"/>
    <w:rsid w:val="3A283C50"/>
    <w:rsid w:val="3A2B6EFA"/>
    <w:rsid w:val="3B2D5BA8"/>
    <w:rsid w:val="3BC9CCED"/>
    <w:rsid w:val="3C78F0D0"/>
    <w:rsid w:val="3C99E589"/>
    <w:rsid w:val="3D046097"/>
    <w:rsid w:val="3D49112E"/>
    <w:rsid w:val="3D50B887"/>
    <w:rsid w:val="3DA3956C"/>
    <w:rsid w:val="3DD6E914"/>
    <w:rsid w:val="3E01B9E1"/>
    <w:rsid w:val="3E981AE9"/>
    <w:rsid w:val="3EF619E7"/>
    <w:rsid w:val="3F0983A4"/>
    <w:rsid w:val="3F3315D8"/>
    <w:rsid w:val="3FE306DA"/>
    <w:rsid w:val="4014B4BF"/>
    <w:rsid w:val="402FC284"/>
    <w:rsid w:val="403BEFBF"/>
    <w:rsid w:val="40C54069"/>
    <w:rsid w:val="4134F14D"/>
    <w:rsid w:val="41B3A5CF"/>
    <w:rsid w:val="41F2DFAE"/>
    <w:rsid w:val="4205176D"/>
    <w:rsid w:val="421C6E18"/>
    <w:rsid w:val="428BCA90"/>
    <w:rsid w:val="42942F75"/>
    <w:rsid w:val="429FE448"/>
    <w:rsid w:val="437F2918"/>
    <w:rsid w:val="4397A87B"/>
    <w:rsid w:val="439FEF5A"/>
    <w:rsid w:val="43B85105"/>
    <w:rsid w:val="43C1C983"/>
    <w:rsid w:val="43C5FC76"/>
    <w:rsid w:val="44382D55"/>
    <w:rsid w:val="45297C08"/>
    <w:rsid w:val="458B6234"/>
    <w:rsid w:val="45952D57"/>
    <w:rsid w:val="45D700E7"/>
    <w:rsid w:val="461A86E8"/>
    <w:rsid w:val="46FA22CF"/>
    <w:rsid w:val="47B8DAFD"/>
    <w:rsid w:val="4844CE33"/>
    <w:rsid w:val="485F0716"/>
    <w:rsid w:val="486D3118"/>
    <w:rsid w:val="4884BB62"/>
    <w:rsid w:val="492D863B"/>
    <w:rsid w:val="496F7105"/>
    <w:rsid w:val="4995E3C7"/>
    <w:rsid w:val="49D2D683"/>
    <w:rsid w:val="49E06BD2"/>
    <w:rsid w:val="4A6281E5"/>
    <w:rsid w:val="4A7A579C"/>
    <w:rsid w:val="4AEC50DB"/>
    <w:rsid w:val="4B11CD6B"/>
    <w:rsid w:val="4B2B9735"/>
    <w:rsid w:val="4B8230E4"/>
    <w:rsid w:val="4C284C99"/>
    <w:rsid w:val="4C6C1FFE"/>
    <w:rsid w:val="4CC44EC6"/>
    <w:rsid w:val="4D03AFCF"/>
    <w:rsid w:val="4D541011"/>
    <w:rsid w:val="4D5B9C88"/>
    <w:rsid w:val="4D983F06"/>
    <w:rsid w:val="4DC0623D"/>
    <w:rsid w:val="4E3C0651"/>
    <w:rsid w:val="4E404735"/>
    <w:rsid w:val="4E498A6F"/>
    <w:rsid w:val="4E4F8164"/>
    <w:rsid w:val="4E7E2AB4"/>
    <w:rsid w:val="4EAA7A70"/>
    <w:rsid w:val="4EF40F39"/>
    <w:rsid w:val="4FA3AD36"/>
    <w:rsid w:val="4FA4EE1D"/>
    <w:rsid w:val="4FC0E909"/>
    <w:rsid w:val="508A237B"/>
    <w:rsid w:val="50B9CDBD"/>
    <w:rsid w:val="50C39395"/>
    <w:rsid w:val="51028E44"/>
    <w:rsid w:val="511A9AA5"/>
    <w:rsid w:val="51761E93"/>
    <w:rsid w:val="51F30B62"/>
    <w:rsid w:val="5251CC4A"/>
    <w:rsid w:val="534E52AE"/>
    <w:rsid w:val="53CA1272"/>
    <w:rsid w:val="540B75DD"/>
    <w:rsid w:val="545F09E5"/>
    <w:rsid w:val="55062C3F"/>
    <w:rsid w:val="55B0A1E0"/>
    <w:rsid w:val="55C244FC"/>
    <w:rsid w:val="56419D71"/>
    <w:rsid w:val="56FB8A02"/>
    <w:rsid w:val="571415FD"/>
    <w:rsid w:val="573F4603"/>
    <w:rsid w:val="57769D00"/>
    <w:rsid w:val="57874FAE"/>
    <w:rsid w:val="57FEAA7B"/>
    <w:rsid w:val="5808BCA7"/>
    <w:rsid w:val="5871CE0E"/>
    <w:rsid w:val="588BBA90"/>
    <w:rsid w:val="58A98206"/>
    <w:rsid w:val="5932EC13"/>
    <w:rsid w:val="59AB0AD9"/>
    <w:rsid w:val="59ABB17A"/>
    <w:rsid w:val="5AE7D1F6"/>
    <w:rsid w:val="5BDF1AE4"/>
    <w:rsid w:val="5BE2B89F"/>
    <w:rsid w:val="5BFA26BA"/>
    <w:rsid w:val="5C13FD4B"/>
    <w:rsid w:val="5C469F6F"/>
    <w:rsid w:val="5C4CCA63"/>
    <w:rsid w:val="5CB35593"/>
    <w:rsid w:val="5CC5F871"/>
    <w:rsid w:val="5CF27B33"/>
    <w:rsid w:val="5D09CD5A"/>
    <w:rsid w:val="5D4494DB"/>
    <w:rsid w:val="5D63AF7F"/>
    <w:rsid w:val="5D75E4DB"/>
    <w:rsid w:val="5DC59981"/>
    <w:rsid w:val="5DD3D0CA"/>
    <w:rsid w:val="5DE91D94"/>
    <w:rsid w:val="5E1ED2A3"/>
    <w:rsid w:val="5EA13DBD"/>
    <w:rsid w:val="5EF738E4"/>
    <w:rsid w:val="5F15609C"/>
    <w:rsid w:val="5F7876B2"/>
    <w:rsid w:val="5F9A9DC7"/>
    <w:rsid w:val="5FDD7731"/>
    <w:rsid w:val="60C5BAC7"/>
    <w:rsid w:val="60CA8024"/>
    <w:rsid w:val="60DB7EF8"/>
    <w:rsid w:val="610FE71E"/>
    <w:rsid w:val="6133C2BD"/>
    <w:rsid w:val="6133C6B0"/>
    <w:rsid w:val="61944D8B"/>
    <w:rsid w:val="61AC72FA"/>
    <w:rsid w:val="61B22066"/>
    <w:rsid w:val="61D30296"/>
    <w:rsid w:val="61E08BD0"/>
    <w:rsid w:val="61F039D8"/>
    <w:rsid w:val="62EB7D22"/>
    <w:rsid w:val="6371A372"/>
    <w:rsid w:val="63946606"/>
    <w:rsid w:val="63C18057"/>
    <w:rsid w:val="63CA7FCC"/>
    <w:rsid w:val="63CB5235"/>
    <w:rsid w:val="63F01319"/>
    <w:rsid w:val="6468F90A"/>
    <w:rsid w:val="64C77E53"/>
    <w:rsid w:val="656C7A58"/>
    <w:rsid w:val="66266D11"/>
    <w:rsid w:val="668803E0"/>
    <w:rsid w:val="66944710"/>
    <w:rsid w:val="672B7D83"/>
    <w:rsid w:val="674A78C4"/>
    <w:rsid w:val="676F5E47"/>
    <w:rsid w:val="67A65846"/>
    <w:rsid w:val="67BF838F"/>
    <w:rsid w:val="67D62166"/>
    <w:rsid w:val="6808F2A6"/>
    <w:rsid w:val="6809E60B"/>
    <w:rsid w:val="68219433"/>
    <w:rsid w:val="6890FFFF"/>
    <w:rsid w:val="6893B396"/>
    <w:rsid w:val="68E88F98"/>
    <w:rsid w:val="69084D8B"/>
    <w:rsid w:val="696E6649"/>
    <w:rsid w:val="6A13715F"/>
    <w:rsid w:val="6A206854"/>
    <w:rsid w:val="6A23A90A"/>
    <w:rsid w:val="6A3182FB"/>
    <w:rsid w:val="6A7B7075"/>
    <w:rsid w:val="6A82C779"/>
    <w:rsid w:val="6B1982A3"/>
    <w:rsid w:val="6B499AC1"/>
    <w:rsid w:val="6B5AA2E6"/>
    <w:rsid w:val="6BA50C1F"/>
    <w:rsid w:val="6BF3267C"/>
    <w:rsid w:val="6C3477D2"/>
    <w:rsid w:val="6C4BCF1B"/>
    <w:rsid w:val="6C56961F"/>
    <w:rsid w:val="6C79C2F8"/>
    <w:rsid w:val="6D2497A8"/>
    <w:rsid w:val="6D737113"/>
    <w:rsid w:val="6DC3A935"/>
    <w:rsid w:val="6DE1F879"/>
    <w:rsid w:val="6DF0A40F"/>
    <w:rsid w:val="6E595132"/>
    <w:rsid w:val="6E5A6BA9"/>
    <w:rsid w:val="6EE9F226"/>
    <w:rsid w:val="7016A337"/>
    <w:rsid w:val="705236F1"/>
    <w:rsid w:val="708252B4"/>
    <w:rsid w:val="70843439"/>
    <w:rsid w:val="70CD3E62"/>
    <w:rsid w:val="714C7FFF"/>
    <w:rsid w:val="71A38948"/>
    <w:rsid w:val="71A80416"/>
    <w:rsid w:val="726C6E19"/>
    <w:rsid w:val="72787949"/>
    <w:rsid w:val="731FB654"/>
    <w:rsid w:val="734C23BD"/>
    <w:rsid w:val="735F1192"/>
    <w:rsid w:val="738357D9"/>
    <w:rsid w:val="7487D1BF"/>
    <w:rsid w:val="750283D4"/>
    <w:rsid w:val="758E5723"/>
    <w:rsid w:val="75C4C362"/>
    <w:rsid w:val="75CE9A04"/>
    <w:rsid w:val="763D5890"/>
    <w:rsid w:val="7667FEC8"/>
    <w:rsid w:val="76AA00D6"/>
    <w:rsid w:val="76B5A6E6"/>
    <w:rsid w:val="770CB66E"/>
    <w:rsid w:val="77447815"/>
    <w:rsid w:val="77571BD0"/>
    <w:rsid w:val="77A366D7"/>
    <w:rsid w:val="77C06B60"/>
    <w:rsid w:val="78154999"/>
    <w:rsid w:val="783B327A"/>
    <w:rsid w:val="78A4DA9E"/>
    <w:rsid w:val="78AEDB0A"/>
    <w:rsid w:val="78E427F0"/>
    <w:rsid w:val="790AF90A"/>
    <w:rsid w:val="7927F798"/>
    <w:rsid w:val="798D4B2B"/>
    <w:rsid w:val="7A16707A"/>
    <w:rsid w:val="7AB06667"/>
    <w:rsid w:val="7ACD88FB"/>
    <w:rsid w:val="7ADF88EB"/>
    <w:rsid w:val="7B411A23"/>
    <w:rsid w:val="7B84B703"/>
    <w:rsid w:val="7BEEFAF6"/>
    <w:rsid w:val="7C28B9C7"/>
    <w:rsid w:val="7C37AAEC"/>
    <w:rsid w:val="7C39BFB7"/>
    <w:rsid w:val="7CE3D7B6"/>
    <w:rsid w:val="7D11575F"/>
    <w:rsid w:val="7D141A9D"/>
    <w:rsid w:val="7D320A93"/>
    <w:rsid w:val="7D3664F8"/>
    <w:rsid w:val="7D6BBB06"/>
    <w:rsid w:val="7D8B9559"/>
    <w:rsid w:val="7DCAF61E"/>
    <w:rsid w:val="7E1BC8D3"/>
    <w:rsid w:val="7E738F06"/>
    <w:rsid w:val="7E8AD5B3"/>
    <w:rsid w:val="7ECF5528"/>
    <w:rsid w:val="7EF77110"/>
    <w:rsid w:val="7FB01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AA7B"/>
  <w15:chartTrackingRefBased/>
  <w15:docId w15:val="{599640CB-368B-4024-975B-F8FE990C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1D2EFB54"/>
    <w:pPr>
      <w:tabs>
        <w:tab w:val="center" w:pos="4680"/>
        <w:tab w:val="right" w:pos="9360"/>
      </w:tabs>
      <w:spacing w:after="0" w:line="240" w:lineRule="auto"/>
    </w:pPr>
  </w:style>
  <w:style w:type="paragraph" w:styleId="Footer">
    <w:name w:val="footer"/>
    <w:basedOn w:val="Normal"/>
    <w:link w:val="FooterChar"/>
    <w:uiPriority w:val="99"/>
    <w:unhideWhenUsed/>
    <w:rsid w:val="1D2EFB5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25D8B"/>
    <w:pPr>
      <w:spacing w:after="0" w:line="240" w:lineRule="auto"/>
    </w:pPr>
  </w:style>
  <w:style w:type="paragraph" w:styleId="CommentSubject">
    <w:name w:val="annotation subject"/>
    <w:basedOn w:val="CommentText"/>
    <w:next w:val="CommentText"/>
    <w:link w:val="CommentSubjectChar"/>
    <w:uiPriority w:val="99"/>
    <w:semiHidden/>
    <w:unhideWhenUsed/>
    <w:rsid w:val="00924432"/>
    <w:rPr>
      <w:b/>
      <w:bCs/>
    </w:rPr>
  </w:style>
  <w:style w:type="character" w:customStyle="1" w:styleId="CommentSubjectChar">
    <w:name w:val="Comment Subject Char"/>
    <w:basedOn w:val="CommentTextChar"/>
    <w:link w:val="CommentSubject"/>
    <w:uiPriority w:val="99"/>
    <w:semiHidden/>
    <w:rsid w:val="00924432"/>
    <w:rPr>
      <w:b/>
      <w:bCs/>
      <w:sz w:val="20"/>
      <w:szCs w:val="20"/>
    </w:rPr>
  </w:style>
  <w:style w:type="character" w:styleId="Mention">
    <w:name w:val="Mention"/>
    <w:basedOn w:val="DefaultParagraphFont"/>
    <w:uiPriority w:val="99"/>
    <w:unhideWhenUsed/>
    <w:rsid w:val="00924432"/>
    <w:rPr>
      <w:color w:val="2B579A"/>
      <w:shd w:val="clear" w:color="auto" w:fill="E1DFDD"/>
    </w:rPr>
  </w:style>
  <w:style w:type="character" w:styleId="Hyperlink">
    <w:name w:val="Hyperlink"/>
    <w:basedOn w:val="DefaultParagraphFont"/>
    <w:uiPriority w:val="99"/>
    <w:unhideWhenUsed/>
    <w:rsid w:val="63CA7FCC"/>
    <w:rPr>
      <w:color w:val="467886"/>
      <w:u w:val="single"/>
    </w:rPr>
  </w:style>
  <w:style w:type="character" w:styleId="UnresolvedMention">
    <w:name w:val="Unresolved Mention"/>
    <w:basedOn w:val="DefaultParagraphFont"/>
    <w:uiPriority w:val="99"/>
    <w:semiHidden/>
    <w:unhideWhenUsed/>
    <w:rsid w:val="00FD38D8"/>
    <w:rPr>
      <w:color w:val="605E5C"/>
      <w:shd w:val="clear" w:color="auto" w:fill="E1DFDD"/>
    </w:rPr>
  </w:style>
  <w:style w:type="paragraph" w:styleId="NormalWeb">
    <w:name w:val="Normal (Web)"/>
    <w:basedOn w:val="Normal"/>
    <w:uiPriority w:val="99"/>
    <w:semiHidden/>
    <w:unhideWhenUsed/>
    <w:rsid w:val="00AD4F96"/>
    <w:rPr>
      <w:rFonts w:ascii="Times New Roman" w:hAnsi="Times New Roman" w:cs="Times New Roman"/>
    </w:rPr>
  </w:style>
  <w:style w:type="character" w:styleId="FollowedHyperlink">
    <w:name w:val="FollowedHyperlink"/>
    <w:basedOn w:val="DefaultParagraphFont"/>
    <w:uiPriority w:val="99"/>
    <w:semiHidden/>
    <w:unhideWhenUsed/>
    <w:rsid w:val="00AA446F"/>
    <w:rPr>
      <w:color w:val="96607D" w:themeColor="followedHyperlink"/>
      <w:u w:val="single"/>
    </w:rPr>
  </w:style>
  <w:style w:type="character" w:customStyle="1" w:styleId="FooterChar">
    <w:name w:val="Footer Char"/>
    <w:basedOn w:val="DefaultParagraphFont"/>
    <w:link w:val="Footer"/>
    <w:uiPriority w:val="99"/>
    <w:rsid w:val="00FC2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2.arb.ca.gov/our-work/programs/california-climate-investments/california-climate-investments-funded-programs"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FA85655-3ADF-4B46-AFF7-FB5BC4D03C48}">
    <t:Anchor>
      <t:Comment id="2054659352"/>
    </t:Anchor>
    <t:History>
      <t:Event id="{509BECBA-6E21-46EB-98C2-850E12732535}" time="2026-01-13T21:00:36.905Z">
        <t:Attribution userId="S::tannis.abdoli@energy.ca.gov::05c4d9ea-a595-4434-9f37-9ee4db940b3b" userProvider="AD" userName="Abdoli, Tannis@Energy"/>
        <t:Anchor>
          <t:Comment id="807546106"/>
        </t:Anchor>
        <t:Create/>
      </t:Event>
      <t:Event id="{0D0122A6-6513-4E46-A62F-5F6A9BD3800C}" time="2026-01-13T21:00:36.905Z">
        <t:Attribution userId="S::tannis.abdoli@energy.ca.gov::05c4d9ea-a595-4434-9f37-9ee4db940b3b" userProvider="AD" userName="Abdoli, Tannis@Energy"/>
        <t:Anchor>
          <t:Comment id="807546106"/>
        </t:Anchor>
        <t:Assign userId="S::Raj.Dixit@energy.ca.gov::5340933d-9306-47ba-aa5c-f79ab62c9f17" userProvider="AD" userName="Dixit, Raj@Energy"/>
      </t:Event>
      <t:Event id="{9EA80F34-8F18-4227-8615-BB4263848517}" time="2026-01-13T21:00:36.905Z">
        <t:Attribution userId="S::tannis.abdoli@energy.ca.gov::05c4d9ea-a595-4434-9f37-9ee4db940b3b" userProvider="AD" userName="Abdoli, Tannis@Energy"/>
        <t:Anchor>
          <t:Comment id="807546106"/>
        </t:Anchor>
        <t:SetTitle title="@Dixit, Raj@Energy can you double check on this for us please?"/>
      </t:Event>
      <t:Event id="{D69E1510-4A8B-4EB3-9B79-5E43E79B37AB}" time="2026-01-13T21:50:01.65Z">
        <t:Attribution userId="S::tannis.abdoli@energy.ca.gov::05c4d9ea-a595-4434-9f37-9ee4db940b3b" userProvider="AD" userName="Abdoli, Tannis@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156F2D-152E-4183-9756-8226525D0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70DB1-BE2B-4367-9306-0126DAB03868}">
  <ds:schemaRefs>
    <ds:schemaRef ds:uri="http://schemas.microsoft.com/sharepoint/v3/contenttype/forms"/>
  </ds:schemaRefs>
</ds:datastoreItem>
</file>

<file path=customXml/itemProps3.xml><?xml version="1.0" encoding="utf-8"?>
<ds:datastoreItem xmlns:ds="http://schemas.openxmlformats.org/officeDocument/2006/customXml" ds:itemID="{DE5BAE6C-E477-4EF1-8DFB-924E269F417A}">
  <ds:schemaRefs>
    <ds:schemaRef ds:uri="http://schemas.microsoft.com/office/2006/documentManagement/types"/>
    <ds:schemaRef ds:uri="785685f2-c2e1-4352-89aa-3faca8eaba52"/>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5067c814-4b34-462c-a21d-c185ff6548d2"/>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3063</Words>
  <Characters>17435</Characters>
  <Application>Microsoft Office Word</Application>
  <DocSecurity>0</DocSecurity>
  <Lines>355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Abdoli, Tannis@Energy</dc:creator>
  <cp:keywords/>
  <dc:description/>
  <cp:lastModifiedBy>Piper, Kevyn@Energy</cp:lastModifiedBy>
  <cp:revision>4</cp:revision>
  <dcterms:created xsi:type="dcterms:W3CDTF">2026-01-23T23:40:00Z</dcterms:created>
  <dcterms:modified xsi:type="dcterms:W3CDTF">2026-01-26T15:14:00Z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