
<file path=[Content_Types].xml><?xml version="1.0" encoding="utf-8"?>
<Types xmlns="http://schemas.openxmlformats.org/package/2006/content-types">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126A4" w14:textId="0BA61927" w:rsidR="009E6C35" w:rsidRPr="00F06CED" w:rsidRDefault="00C241FC" w:rsidP="00B33F69">
      <w:pPr>
        <w:pStyle w:val="paragraph"/>
        <w:ind w:left="4320"/>
        <w:jc w:val="right"/>
        <w:textAlignment w:val="baseline"/>
        <w:rPr>
          <w:rStyle w:val="normaltextrun"/>
          <w:rFonts w:ascii="Tahoma" w:hAnsi="Tahoma" w:cs="Tahoma"/>
        </w:rPr>
      </w:pPr>
      <w:r w:rsidRPr="43B53AFF">
        <w:rPr>
          <w:rStyle w:val="normaltextrun"/>
          <w:rFonts w:ascii="Tahoma" w:hAnsi="Tahoma" w:cs="Tahoma"/>
        </w:rPr>
        <w:t xml:space="preserve">January </w:t>
      </w:r>
      <w:r w:rsidR="0076420C" w:rsidRPr="43B53AFF">
        <w:rPr>
          <w:rStyle w:val="normaltextrun"/>
          <w:rFonts w:ascii="Tahoma" w:hAnsi="Tahoma" w:cs="Tahoma"/>
        </w:rPr>
        <w:t>2</w:t>
      </w:r>
      <w:r w:rsidR="18942C11" w:rsidRPr="43B53AFF">
        <w:rPr>
          <w:rStyle w:val="normaltextrun"/>
          <w:rFonts w:ascii="Tahoma" w:hAnsi="Tahoma" w:cs="Tahoma"/>
        </w:rPr>
        <w:t>7</w:t>
      </w:r>
      <w:r w:rsidRPr="43B53AFF">
        <w:rPr>
          <w:rStyle w:val="normaltextrun"/>
          <w:rFonts w:ascii="Tahoma" w:hAnsi="Tahoma" w:cs="Tahoma"/>
        </w:rPr>
        <w:t>, 2026</w:t>
      </w:r>
    </w:p>
    <w:p w14:paraId="3049D69B" w14:textId="1805C7E0" w:rsidR="00B1122A" w:rsidRPr="00F06CED" w:rsidRDefault="00B1122A" w:rsidP="00B1122A">
      <w:pPr>
        <w:jc w:val="center"/>
        <w:rPr>
          <w:rFonts w:ascii="Tahoma" w:hAnsi="Tahoma" w:cs="Tahoma"/>
          <w:b/>
          <w:bCs/>
        </w:rPr>
      </w:pPr>
      <w:r w:rsidRPr="00F06CED">
        <w:rPr>
          <w:rFonts w:ascii="Tahoma" w:hAnsi="Tahoma" w:cs="Tahoma"/>
          <w:b/>
          <w:bCs/>
        </w:rPr>
        <w:t>GFO-2</w:t>
      </w:r>
      <w:r w:rsidR="3E07790D" w:rsidRPr="00F06CED">
        <w:rPr>
          <w:rFonts w:ascii="Tahoma" w:hAnsi="Tahoma" w:cs="Tahoma"/>
          <w:b/>
          <w:bCs/>
        </w:rPr>
        <w:t>4</w:t>
      </w:r>
      <w:r w:rsidR="00353981" w:rsidRPr="00F06CED">
        <w:rPr>
          <w:rFonts w:ascii="Tahoma" w:hAnsi="Tahoma" w:cs="Tahoma"/>
          <w:b/>
          <w:bCs/>
        </w:rPr>
        <w:t>-6</w:t>
      </w:r>
      <w:r w:rsidR="00076083" w:rsidRPr="00F06CED">
        <w:rPr>
          <w:rFonts w:ascii="Tahoma" w:hAnsi="Tahoma" w:cs="Tahoma"/>
          <w:b/>
          <w:bCs/>
        </w:rPr>
        <w:t>1</w:t>
      </w:r>
      <w:r w:rsidR="00657F71" w:rsidRPr="00F06CED">
        <w:rPr>
          <w:rFonts w:ascii="Tahoma" w:hAnsi="Tahoma" w:cs="Tahoma"/>
          <w:b/>
          <w:bCs/>
        </w:rPr>
        <w:t>0</w:t>
      </w:r>
    </w:p>
    <w:p w14:paraId="119B227B" w14:textId="77777777" w:rsidR="00AD6D89" w:rsidRPr="00AD6D89" w:rsidRDefault="00AD6D89" w:rsidP="001C2F0B">
      <w:pPr>
        <w:jc w:val="center"/>
        <w:rPr>
          <w:rFonts w:ascii="Tahoma" w:eastAsia="Calibri" w:hAnsi="Tahoma" w:cs="Tahoma"/>
          <w:b/>
          <w:color w:val="000000" w:themeColor="text1"/>
        </w:rPr>
      </w:pPr>
      <w:r w:rsidRPr="00AD6D89">
        <w:rPr>
          <w:rFonts w:ascii="Tahoma" w:eastAsia="Calibri" w:hAnsi="Tahoma" w:cs="Tahoma"/>
          <w:b/>
          <w:bCs/>
          <w:color w:val="000000" w:themeColor="text1"/>
        </w:rPr>
        <w:t xml:space="preserve">Medium- and Heavy-Duty Zero-Emission Vehicle Port Infrastructure </w:t>
      </w:r>
    </w:p>
    <w:p w14:paraId="6587D6BB" w14:textId="0A7FEBA0" w:rsidR="00B1122A" w:rsidRPr="00F06CED" w:rsidRDefault="00B1122A" w:rsidP="00B1122A">
      <w:pPr>
        <w:autoSpaceDE w:val="0"/>
        <w:autoSpaceDN w:val="0"/>
        <w:adjustRightInd w:val="0"/>
        <w:jc w:val="center"/>
        <w:rPr>
          <w:rFonts w:ascii="Tahoma" w:eastAsia="Calibri" w:hAnsi="Tahoma" w:cs="Tahoma"/>
          <w:b/>
          <w:bCs/>
          <w:color w:val="000000"/>
        </w:rPr>
      </w:pPr>
      <w:r w:rsidRPr="00F06CED">
        <w:rPr>
          <w:rFonts w:ascii="Tahoma" w:eastAsia="Calibri" w:hAnsi="Tahoma" w:cs="Tahoma"/>
          <w:b/>
          <w:bCs/>
          <w:color w:val="000000" w:themeColor="text1"/>
        </w:rPr>
        <w:t xml:space="preserve">Addendum </w:t>
      </w:r>
      <w:r w:rsidR="00C73E13">
        <w:rPr>
          <w:rFonts w:ascii="Tahoma" w:eastAsia="Calibri" w:hAnsi="Tahoma" w:cs="Tahoma"/>
          <w:b/>
          <w:bCs/>
          <w:color w:val="000000" w:themeColor="text1"/>
        </w:rPr>
        <w:t>9</w:t>
      </w:r>
    </w:p>
    <w:p w14:paraId="363B15A9" w14:textId="77777777" w:rsidR="00B1122A" w:rsidRPr="00F06CED" w:rsidRDefault="00B1122A" w:rsidP="00B1122A">
      <w:pPr>
        <w:autoSpaceDE w:val="0"/>
        <w:autoSpaceDN w:val="0"/>
        <w:adjustRightInd w:val="0"/>
        <w:jc w:val="center"/>
        <w:rPr>
          <w:rFonts w:ascii="Tahoma" w:eastAsia="Calibri" w:hAnsi="Tahoma" w:cs="Tahoma"/>
          <w:b/>
          <w:bCs/>
          <w:color w:val="000000"/>
        </w:rPr>
      </w:pPr>
    </w:p>
    <w:p w14:paraId="28220DB1" w14:textId="67C021BB" w:rsidR="00FD441B" w:rsidRPr="00F06CED" w:rsidRDefault="00B1122A" w:rsidP="00B1122A">
      <w:pPr>
        <w:autoSpaceDE w:val="0"/>
        <w:autoSpaceDN w:val="0"/>
        <w:adjustRightInd w:val="0"/>
        <w:rPr>
          <w:rFonts w:ascii="Tahoma" w:eastAsia="Calibri" w:hAnsi="Tahoma" w:cs="Tahoma"/>
          <w:color w:val="000000"/>
        </w:rPr>
      </w:pPr>
      <w:r w:rsidRPr="00F06CED">
        <w:rPr>
          <w:rFonts w:ascii="Tahoma" w:eastAsia="Calibri" w:hAnsi="Tahoma" w:cs="Tahoma"/>
          <w:color w:val="000000" w:themeColor="text1"/>
        </w:rPr>
        <w:t>The purpose of this addendum is to notify potential applicants of changes that have been made to GFO-2</w:t>
      </w:r>
      <w:r w:rsidR="6BF0E62C" w:rsidRPr="00F06CED">
        <w:rPr>
          <w:rFonts w:ascii="Tahoma" w:eastAsia="Calibri" w:hAnsi="Tahoma" w:cs="Tahoma"/>
          <w:color w:val="000000" w:themeColor="text1"/>
        </w:rPr>
        <w:t>4</w:t>
      </w:r>
      <w:r w:rsidR="00353981" w:rsidRPr="00F06CED">
        <w:rPr>
          <w:rFonts w:ascii="Tahoma" w:eastAsia="Calibri" w:hAnsi="Tahoma" w:cs="Tahoma"/>
          <w:color w:val="000000" w:themeColor="text1"/>
        </w:rPr>
        <w:t>-6</w:t>
      </w:r>
      <w:r w:rsidR="00076083" w:rsidRPr="00F06CED">
        <w:rPr>
          <w:rFonts w:ascii="Tahoma" w:eastAsia="Calibri" w:hAnsi="Tahoma" w:cs="Tahoma"/>
          <w:color w:val="000000" w:themeColor="text1"/>
        </w:rPr>
        <w:t>1</w:t>
      </w:r>
      <w:r w:rsidR="002879B4" w:rsidRPr="00F06CED">
        <w:rPr>
          <w:rFonts w:ascii="Tahoma" w:eastAsia="Calibri" w:hAnsi="Tahoma" w:cs="Tahoma"/>
          <w:color w:val="000000" w:themeColor="text1"/>
        </w:rPr>
        <w:t>0</w:t>
      </w:r>
      <w:r w:rsidRPr="00F06CED">
        <w:rPr>
          <w:rFonts w:ascii="Tahoma" w:eastAsia="Calibri" w:hAnsi="Tahoma" w:cs="Tahoma"/>
          <w:color w:val="000000" w:themeColor="text1"/>
        </w:rPr>
        <w:t xml:space="preserve">. </w:t>
      </w:r>
    </w:p>
    <w:p w14:paraId="24A5A8EC" w14:textId="77777777" w:rsidR="00FD441B" w:rsidRPr="00F06CED" w:rsidRDefault="00FD441B" w:rsidP="00B1122A">
      <w:pPr>
        <w:autoSpaceDE w:val="0"/>
        <w:autoSpaceDN w:val="0"/>
        <w:adjustRightInd w:val="0"/>
        <w:rPr>
          <w:rFonts w:ascii="Tahoma" w:eastAsia="Calibri" w:hAnsi="Tahoma" w:cs="Tahoma"/>
          <w:color w:val="000000"/>
        </w:rPr>
      </w:pPr>
    </w:p>
    <w:p w14:paraId="1DD1E9EF" w14:textId="70F039DF" w:rsidR="00657F71" w:rsidRPr="00F06CED" w:rsidRDefault="00657F71" w:rsidP="00657F71">
      <w:pPr>
        <w:autoSpaceDE w:val="0"/>
        <w:autoSpaceDN w:val="0"/>
        <w:adjustRightInd w:val="0"/>
        <w:rPr>
          <w:rFonts w:ascii="Tahoma" w:eastAsia="Calibri" w:hAnsi="Tahoma" w:cs="Tahoma"/>
          <w:color w:val="000000"/>
        </w:rPr>
      </w:pPr>
      <w:r w:rsidRPr="00F06CED">
        <w:rPr>
          <w:rFonts w:ascii="Tahoma" w:eastAsia="Calibri" w:hAnsi="Tahoma" w:cs="Tahoma"/>
          <w:color w:val="000000"/>
        </w:rPr>
        <w:t>The addendum includes revisions to the Solicitation Manual</w:t>
      </w:r>
      <w:r w:rsidR="002462BF">
        <w:rPr>
          <w:rFonts w:ascii="Tahoma" w:eastAsia="Calibri" w:hAnsi="Tahoma" w:cs="Tahoma"/>
          <w:color w:val="000000"/>
        </w:rPr>
        <w:t xml:space="preserve"> and Questions and Answers</w:t>
      </w:r>
      <w:r w:rsidRPr="00F06CED">
        <w:rPr>
          <w:rFonts w:ascii="Tahoma" w:eastAsia="Calibri" w:hAnsi="Tahoma" w:cs="Tahoma"/>
          <w:color w:val="000000"/>
        </w:rPr>
        <w:t xml:space="preserve">. Added language appears in </w:t>
      </w:r>
      <w:r w:rsidRPr="00F06CED">
        <w:rPr>
          <w:rFonts w:ascii="Tahoma" w:eastAsia="Calibri" w:hAnsi="Tahoma" w:cs="Tahoma"/>
          <w:b/>
          <w:bCs/>
          <w:color w:val="000000"/>
          <w:u w:val="single"/>
        </w:rPr>
        <w:t>bold underline</w:t>
      </w:r>
      <w:r w:rsidRPr="00F06CED">
        <w:rPr>
          <w:rFonts w:ascii="Tahoma" w:eastAsia="Calibri" w:hAnsi="Tahoma" w:cs="Tahoma"/>
          <w:color w:val="000000"/>
        </w:rPr>
        <w:t>, and deleted language appears in [</w:t>
      </w:r>
      <w:r w:rsidRPr="00F06CED">
        <w:rPr>
          <w:rFonts w:ascii="Tahoma" w:eastAsia="Calibri" w:hAnsi="Tahoma" w:cs="Tahoma"/>
          <w:strike/>
          <w:color w:val="000000"/>
        </w:rPr>
        <w:t>strikethrough</w:t>
      </w:r>
      <w:r w:rsidRPr="00F06CED">
        <w:rPr>
          <w:rFonts w:ascii="Tahoma" w:eastAsia="Calibri" w:hAnsi="Tahoma" w:cs="Tahoma"/>
          <w:color w:val="000000"/>
        </w:rPr>
        <w:t>] and within square brackets.</w:t>
      </w:r>
    </w:p>
    <w:p w14:paraId="08640EF7" w14:textId="77777777" w:rsidR="002462BF" w:rsidRDefault="002462BF" w:rsidP="00657F71">
      <w:pPr>
        <w:autoSpaceDE w:val="0"/>
        <w:autoSpaceDN w:val="0"/>
        <w:adjustRightInd w:val="0"/>
        <w:rPr>
          <w:rFonts w:ascii="Tahoma" w:eastAsia="Calibri" w:hAnsi="Tahoma" w:cs="Tahoma"/>
          <w:color w:val="000000"/>
        </w:rPr>
      </w:pPr>
    </w:p>
    <w:p w14:paraId="4A26A095" w14:textId="7F237B4C" w:rsidR="002462BF" w:rsidRPr="00F06CED" w:rsidRDefault="002462BF" w:rsidP="00657F71">
      <w:pPr>
        <w:autoSpaceDE w:val="0"/>
        <w:autoSpaceDN w:val="0"/>
        <w:adjustRightInd w:val="0"/>
        <w:rPr>
          <w:rFonts w:ascii="Tahoma" w:eastAsia="Calibri" w:hAnsi="Tahoma" w:cs="Tahoma"/>
          <w:color w:val="000000"/>
        </w:rPr>
      </w:pPr>
      <w:r>
        <w:rPr>
          <w:rFonts w:ascii="Tahoma" w:eastAsia="Calibri" w:hAnsi="Tahoma" w:cs="Tahoma"/>
          <w:color w:val="000000"/>
        </w:rPr>
        <w:t xml:space="preserve">The addendum also includes an updated question-and-answer set posted on the </w:t>
      </w:r>
      <w:hyperlink r:id="rId11" w:history="1">
        <w:r w:rsidRPr="00F96371">
          <w:rPr>
            <w:rStyle w:val="Hyperlink"/>
            <w:rFonts w:ascii="Tahoma" w:eastAsia="Calibri" w:hAnsi="Tahoma" w:cs="Tahoma"/>
          </w:rPr>
          <w:t>CEC’s solicitation information website</w:t>
        </w:r>
      </w:hyperlink>
      <w:r>
        <w:rPr>
          <w:rFonts w:ascii="Tahoma" w:eastAsia="Calibri" w:hAnsi="Tahoma" w:cs="Tahoma"/>
          <w:color w:val="000000"/>
        </w:rPr>
        <w:t xml:space="preserve"> at </w:t>
      </w:r>
      <w:r w:rsidR="00F16C59">
        <w:rPr>
          <w:rStyle w:val="normaltextrun"/>
          <w:rFonts w:ascii="Tahoma" w:hAnsi="Tahoma" w:cs="Tahoma"/>
          <w:color w:val="000000"/>
          <w:shd w:val="clear" w:color="auto" w:fill="FFFFFF"/>
        </w:rPr>
        <w:t>www.energy.ca.gov/funding-opportunities/solicitations.</w:t>
      </w:r>
    </w:p>
    <w:p w14:paraId="75680E49" w14:textId="77777777" w:rsidR="008F4EE9" w:rsidRPr="00F06CED" w:rsidRDefault="008F4EE9" w:rsidP="0000028A">
      <w:pPr>
        <w:autoSpaceDE w:val="0"/>
        <w:autoSpaceDN w:val="0"/>
        <w:adjustRightInd w:val="0"/>
        <w:rPr>
          <w:rFonts w:ascii="Tahoma" w:eastAsia="Calibri" w:hAnsi="Tahoma" w:cs="Tahoma"/>
          <w:color w:val="000000"/>
        </w:rPr>
      </w:pPr>
    </w:p>
    <w:p w14:paraId="48667D19" w14:textId="1DEF493C" w:rsidR="00292E6D" w:rsidRPr="00F06CED" w:rsidRDefault="00B1122A" w:rsidP="00AD0BD5">
      <w:pPr>
        <w:keepNext/>
        <w:keepLines/>
        <w:spacing w:after="240"/>
        <w:outlineLvl w:val="1"/>
        <w:rPr>
          <w:rFonts w:ascii="Tahoma" w:hAnsi="Tahoma" w:cs="Tahoma"/>
          <w:b/>
          <w:bCs/>
        </w:rPr>
      </w:pPr>
      <w:r w:rsidRPr="00F06CED">
        <w:rPr>
          <w:rFonts w:ascii="Tahoma" w:eastAsiaTheme="majorEastAsia" w:hAnsi="Tahoma" w:cs="Tahoma"/>
          <w:b/>
        </w:rPr>
        <w:t>Solicitation Manual</w:t>
      </w:r>
    </w:p>
    <w:p w14:paraId="54DCC217" w14:textId="61FDA1C0" w:rsidR="005F79FD" w:rsidRDefault="009E4146" w:rsidP="005615F4">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bookmarkStart w:id="0" w:name="_Toc155803478"/>
      <w:r w:rsidRPr="00F06CED">
        <w:rPr>
          <w:rFonts w:ascii="Tahoma" w:eastAsiaTheme="majorEastAsia" w:hAnsi="Tahoma" w:cs="Tahoma"/>
          <w:bCs/>
          <w:smallCaps w:val="0"/>
          <w:sz w:val="24"/>
          <w:szCs w:val="24"/>
          <w:lang w:val="en-US" w:eastAsia="en-US"/>
        </w:rPr>
        <w:t xml:space="preserve">Section </w:t>
      </w:r>
      <w:r w:rsidR="00012767">
        <w:rPr>
          <w:rFonts w:ascii="Tahoma" w:eastAsiaTheme="majorEastAsia" w:hAnsi="Tahoma" w:cs="Tahoma"/>
          <w:bCs/>
          <w:smallCaps w:val="0"/>
          <w:sz w:val="24"/>
          <w:szCs w:val="24"/>
          <w:lang w:val="en-US" w:eastAsia="en-US"/>
        </w:rPr>
        <w:t>II.B.2</w:t>
      </w:r>
      <w:r w:rsidRPr="00F06CED">
        <w:rPr>
          <w:rFonts w:ascii="Tahoma" w:eastAsiaTheme="majorEastAsia" w:hAnsi="Tahoma" w:cs="Tahoma"/>
          <w:bCs/>
          <w:smallCaps w:val="0"/>
          <w:sz w:val="24"/>
          <w:szCs w:val="24"/>
          <w:lang w:val="en-US" w:eastAsia="en-US"/>
        </w:rPr>
        <w:t xml:space="preserve"> </w:t>
      </w:r>
      <w:r w:rsidR="005615F4">
        <w:rPr>
          <w:rFonts w:ascii="Tahoma" w:eastAsiaTheme="majorEastAsia" w:hAnsi="Tahoma" w:cs="Tahoma"/>
          <w:bCs/>
          <w:smallCaps w:val="0"/>
          <w:sz w:val="24"/>
          <w:szCs w:val="24"/>
          <w:lang w:val="en-US" w:eastAsia="en-US"/>
        </w:rPr>
        <w:t xml:space="preserve">Eligible Project Accessibility Requirements </w:t>
      </w:r>
      <w:bookmarkEnd w:id="0"/>
    </w:p>
    <w:p w14:paraId="5CA644DE" w14:textId="77777777" w:rsidR="00E01CB5" w:rsidRDefault="00E01CB5" w:rsidP="00E01CB5">
      <w:pPr>
        <w:ind w:left="1440"/>
        <w:rPr>
          <w:rFonts w:ascii="Tahoma" w:eastAsia="Tahoma" w:hAnsi="Tahoma" w:cs="Tahoma"/>
          <w:bCs/>
          <w:color w:val="000000"/>
        </w:rPr>
      </w:pPr>
    </w:p>
    <w:p w14:paraId="16657BA6" w14:textId="11E6C1D2" w:rsidR="00E01CB5" w:rsidRPr="003C2F05" w:rsidRDefault="00E01CB5" w:rsidP="00E01CB5">
      <w:pPr>
        <w:ind w:left="720"/>
        <w:rPr>
          <w:rFonts w:ascii="Tahoma" w:eastAsia="Tahoma" w:hAnsi="Tahoma" w:cs="Tahoma"/>
          <w:bCs/>
          <w:color w:val="000000"/>
        </w:rPr>
      </w:pPr>
      <w:r w:rsidRPr="003C2F05">
        <w:rPr>
          <w:rFonts w:ascii="Tahoma" w:eastAsia="Tahoma" w:hAnsi="Tahoma" w:cs="Tahoma"/>
          <w:bCs/>
          <w:color w:val="000000"/>
        </w:rPr>
        <w:t xml:space="preserve">For the purposes of this solicitation, project accessibility types are as follows: </w:t>
      </w:r>
    </w:p>
    <w:p w14:paraId="4E454F5E" w14:textId="77777777" w:rsidR="00E01CB5" w:rsidRPr="003C2F05" w:rsidRDefault="00E01CB5" w:rsidP="00E01CB5">
      <w:pPr>
        <w:pStyle w:val="ListParagraph"/>
        <w:numPr>
          <w:ilvl w:val="0"/>
          <w:numId w:val="31"/>
        </w:numPr>
        <w:spacing w:after="120"/>
        <w:ind w:left="1440"/>
        <w:rPr>
          <w:rFonts w:ascii="Tahoma" w:eastAsia="Tahoma" w:hAnsi="Tahoma" w:cs="Tahoma"/>
          <w:bCs/>
          <w:color w:val="000000"/>
        </w:rPr>
      </w:pPr>
      <w:bookmarkStart w:id="1" w:name="_Hlk205480463"/>
      <w:r w:rsidRPr="003C2F05">
        <w:rPr>
          <w:rFonts w:ascii="Tahoma" w:eastAsia="Tahoma" w:hAnsi="Tahoma" w:cs="Tahoma"/>
          <w:bCs/>
          <w:color w:val="000000"/>
        </w:rPr>
        <w:t xml:space="preserve">Public Access – Open to the </w:t>
      </w:r>
      <w:proofErr w:type="gramStart"/>
      <w:r w:rsidRPr="003C2F05">
        <w:rPr>
          <w:rFonts w:ascii="Tahoma" w:eastAsia="Tahoma" w:hAnsi="Tahoma" w:cs="Tahoma"/>
          <w:bCs/>
          <w:color w:val="000000"/>
        </w:rPr>
        <w:t>general public</w:t>
      </w:r>
      <w:proofErr w:type="gramEnd"/>
      <w:r w:rsidRPr="003C2F05">
        <w:rPr>
          <w:rFonts w:ascii="Tahoma" w:eastAsia="Tahoma" w:hAnsi="Tahoma" w:cs="Tahoma"/>
          <w:bCs/>
          <w:color w:val="000000"/>
        </w:rPr>
        <w:t xml:space="preserve"> without restriction. </w:t>
      </w:r>
    </w:p>
    <w:bookmarkEnd w:id="1"/>
    <w:p w14:paraId="5402AE9A" w14:textId="77777777" w:rsidR="00E01CB5" w:rsidRPr="003C2F05" w:rsidRDefault="00E01CB5" w:rsidP="00E01CB5">
      <w:pPr>
        <w:pStyle w:val="ListParagraph"/>
        <w:numPr>
          <w:ilvl w:val="1"/>
          <w:numId w:val="31"/>
        </w:numPr>
        <w:spacing w:after="120"/>
        <w:ind w:left="1440"/>
        <w:rPr>
          <w:rFonts w:ascii="Tahoma" w:eastAsia="Tahoma" w:hAnsi="Tahoma" w:cs="Tahoma"/>
          <w:bCs/>
          <w:color w:val="000000"/>
        </w:rPr>
      </w:pPr>
      <w:r w:rsidRPr="003C2F05">
        <w:rPr>
          <w:rFonts w:ascii="Tahoma" w:eastAsia="Tahoma" w:hAnsi="Tahoma" w:cs="Tahoma"/>
          <w:bCs/>
          <w:color w:val="000000"/>
        </w:rPr>
        <w:t>Examples include truck stops and locations along major freight corridors or a mix of overnight and opportunity (</w:t>
      </w:r>
      <w:proofErr w:type="spellStart"/>
      <w:r w:rsidRPr="003C2F05">
        <w:rPr>
          <w:rFonts w:ascii="Tahoma" w:eastAsia="Tahoma" w:hAnsi="Tahoma" w:cs="Tahoma"/>
          <w:bCs/>
          <w:color w:val="000000"/>
        </w:rPr>
        <w:t>en</w:t>
      </w:r>
      <w:proofErr w:type="spellEnd"/>
      <w:r w:rsidRPr="003C2F05">
        <w:rPr>
          <w:rFonts w:ascii="Tahoma" w:eastAsia="Tahoma" w:hAnsi="Tahoma" w:cs="Tahoma"/>
          <w:bCs/>
          <w:color w:val="000000"/>
        </w:rPr>
        <w:t xml:space="preserve">-route, fast charging/fast filling). Public Access may allow reservation systems so that operators are confident that a charging port or hydrogen nozzle will be available when they arrive.  </w:t>
      </w:r>
    </w:p>
    <w:p w14:paraId="05F1218A" w14:textId="77777777" w:rsidR="00E01CB5" w:rsidRPr="003C2F05" w:rsidRDefault="00E01CB5" w:rsidP="00E01CB5">
      <w:pPr>
        <w:pStyle w:val="ListParagraph"/>
        <w:numPr>
          <w:ilvl w:val="0"/>
          <w:numId w:val="31"/>
        </w:numPr>
        <w:spacing w:after="120"/>
        <w:ind w:left="1440"/>
        <w:rPr>
          <w:rFonts w:ascii="Tahoma" w:eastAsia="Tahoma" w:hAnsi="Tahoma" w:cs="Tahoma"/>
          <w:bCs/>
          <w:color w:val="000000"/>
        </w:rPr>
      </w:pPr>
      <w:bookmarkStart w:id="2" w:name="_Hlk205480452"/>
      <w:r w:rsidRPr="003C2F05">
        <w:rPr>
          <w:rFonts w:ascii="Tahoma" w:eastAsia="Tahoma" w:hAnsi="Tahoma" w:cs="Tahoma"/>
          <w:bCs/>
          <w:color w:val="000000"/>
        </w:rPr>
        <w:t xml:space="preserve">Shared Access – Available to more than one </w:t>
      </w:r>
      <w:proofErr w:type="gramStart"/>
      <w:r w:rsidRPr="003C2F05">
        <w:rPr>
          <w:rFonts w:ascii="Tahoma" w:eastAsia="Tahoma" w:hAnsi="Tahoma" w:cs="Tahoma"/>
          <w:bCs/>
          <w:color w:val="000000"/>
        </w:rPr>
        <w:t>fleet, but</w:t>
      </w:r>
      <w:proofErr w:type="gramEnd"/>
      <w:r w:rsidRPr="003C2F05">
        <w:rPr>
          <w:rFonts w:ascii="Tahoma" w:eastAsia="Tahoma" w:hAnsi="Tahoma" w:cs="Tahoma"/>
          <w:bCs/>
          <w:color w:val="000000"/>
        </w:rPr>
        <w:t xml:space="preserve"> not open to the </w:t>
      </w:r>
      <w:proofErr w:type="gramStart"/>
      <w:r w:rsidRPr="003C2F05">
        <w:rPr>
          <w:rFonts w:ascii="Tahoma" w:eastAsia="Tahoma" w:hAnsi="Tahoma" w:cs="Tahoma"/>
          <w:bCs/>
          <w:color w:val="000000"/>
        </w:rPr>
        <w:t>general public</w:t>
      </w:r>
      <w:proofErr w:type="gramEnd"/>
      <w:r w:rsidRPr="003C2F05">
        <w:rPr>
          <w:rFonts w:ascii="Tahoma" w:eastAsia="Tahoma" w:hAnsi="Tahoma" w:cs="Tahoma"/>
          <w:bCs/>
          <w:color w:val="000000"/>
        </w:rPr>
        <w:t>.</w:t>
      </w:r>
    </w:p>
    <w:p w14:paraId="0EA06B93" w14:textId="77777777" w:rsidR="00E01CB5" w:rsidRPr="003C2F05" w:rsidRDefault="00E01CB5" w:rsidP="00E01CB5">
      <w:pPr>
        <w:pStyle w:val="ListParagraph"/>
        <w:numPr>
          <w:ilvl w:val="0"/>
          <w:numId w:val="31"/>
        </w:numPr>
        <w:spacing w:after="120"/>
        <w:ind w:left="1440"/>
        <w:rPr>
          <w:rFonts w:ascii="Tahoma" w:eastAsia="Tahoma" w:hAnsi="Tahoma" w:cs="Tahoma"/>
          <w:bCs/>
          <w:color w:val="000000"/>
        </w:rPr>
      </w:pPr>
      <w:r w:rsidRPr="003C2F05">
        <w:rPr>
          <w:rFonts w:ascii="Tahoma" w:eastAsia="Tahoma" w:hAnsi="Tahoma" w:cs="Tahoma"/>
          <w:bCs/>
          <w:color w:val="000000"/>
        </w:rPr>
        <w:t>Private Access – Available to one dedicated fleet. Infrastructure is not shared with another fleet and not open to the public.</w:t>
      </w:r>
    </w:p>
    <w:bookmarkEnd w:id="2"/>
    <w:p w14:paraId="3B4BA1F9" w14:textId="77777777" w:rsidR="00E01CB5" w:rsidRPr="003C2F05" w:rsidRDefault="00E01CB5" w:rsidP="00E01CB5">
      <w:pPr>
        <w:ind w:left="720"/>
        <w:rPr>
          <w:rFonts w:ascii="Tahoma" w:hAnsi="Tahoma" w:cs="Tahoma"/>
          <w:bCs/>
          <w:highlight w:val="yellow"/>
        </w:rPr>
      </w:pPr>
      <w:r w:rsidRPr="003C2F05">
        <w:rPr>
          <w:rFonts w:ascii="Tahoma" w:hAnsi="Tahoma" w:cs="Tahoma"/>
          <w:bCs/>
        </w:rPr>
        <w:t xml:space="preserve">Applicants may propose Private Access infrastructure as an eligible project so long as the infrastructure meets the additional requirements listed below in II.B.3. </w:t>
      </w:r>
    </w:p>
    <w:p w14:paraId="5F919071" w14:textId="00878585" w:rsidR="00E01CB5" w:rsidRPr="00BE7674" w:rsidRDefault="00E01CB5" w:rsidP="00E01CB5">
      <w:pPr>
        <w:pStyle w:val="ListParagraph"/>
        <w:spacing w:before="100" w:beforeAutospacing="1" w:after="100" w:afterAutospacing="1"/>
        <w:rPr>
          <w:rFonts w:ascii="Tahoma" w:hAnsi="Tahoma" w:cs="Tahoma"/>
          <w:b/>
          <w:u w:val="single"/>
        </w:rPr>
      </w:pPr>
      <w:r w:rsidRPr="00BE7674">
        <w:rPr>
          <w:rFonts w:ascii="Tahoma" w:hAnsi="Tahoma" w:cs="Tahoma"/>
          <w:b/>
          <w:u w:val="single"/>
        </w:rPr>
        <w:t xml:space="preserve">Projects will be evaluated </w:t>
      </w:r>
      <w:proofErr w:type="gramStart"/>
      <w:r w:rsidRPr="00BE7674">
        <w:rPr>
          <w:rFonts w:ascii="Tahoma" w:hAnsi="Tahoma" w:cs="Tahoma"/>
          <w:b/>
          <w:u w:val="single"/>
        </w:rPr>
        <w:t>on</w:t>
      </w:r>
      <w:proofErr w:type="gramEnd"/>
      <w:r w:rsidRPr="00BE7674">
        <w:rPr>
          <w:rFonts w:ascii="Tahoma" w:hAnsi="Tahoma" w:cs="Tahoma"/>
          <w:b/>
          <w:u w:val="single"/>
        </w:rPr>
        <w:t xml:space="preserve"> the degree to which the proposed infrastructure is accessible to the public.</w:t>
      </w:r>
      <w:r w:rsidR="00F70ED8">
        <w:rPr>
          <w:rFonts w:ascii="Tahoma" w:hAnsi="Tahoma" w:cs="Tahoma"/>
          <w:b/>
          <w:u w:val="single"/>
        </w:rPr>
        <w:br/>
      </w:r>
    </w:p>
    <w:p w14:paraId="6E5F27B9" w14:textId="77777777" w:rsidR="00E01CB5" w:rsidRDefault="00E01CB5" w:rsidP="00E01CB5">
      <w:pPr>
        <w:pStyle w:val="ListParagraph"/>
        <w:spacing w:before="100" w:beforeAutospacing="1" w:after="100" w:afterAutospacing="1"/>
        <w:rPr>
          <w:rFonts w:ascii="Tahoma" w:hAnsi="Tahoma" w:cs="Tahoma"/>
          <w:bCs/>
        </w:rPr>
      </w:pPr>
      <w:r w:rsidRPr="003C2F05">
        <w:rPr>
          <w:rFonts w:ascii="Tahoma" w:hAnsi="Tahoma" w:cs="Tahoma"/>
          <w:bCs/>
        </w:rPr>
        <w:t xml:space="preserve">For infrastructure projects supporting the fleets of </w:t>
      </w:r>
      <w:r w:rsidRPr="003C2F05">
        <w:rPr>
          <w:rFonts w:ascii="Tahoma" w:eastAsia="Yu Mincho" w:hAnsi="Tahoma" w:cs="Tahoma"/>
          <w:bCs/>
          <w:lang w:eastAsia="ja-JP"/>
        </w:rPr>
        <w:t>California public entities such as cities, counties, and other local government entities</w:t>
      </w:r>
      <w:r w:rsidRPr="003C2F05">
        <w:rPr>
          <w:rFonts w:ascii="Tahoma" w:hAnsi="Tahoma" w:cs="Tahoma"/>
          <w:bCs/>
        </w:rPr>
        <w:t>, applicants must propose infrastructure with at least 25% of the charging ports/hydrogen fueling positions available as Public Access during normal operating hours. The remaining</w:t>
      </w:r>
      <w:r>
        <w:rPr>
          <w:rFonts w:ascii="Tahoma" w:hAnsi="Tahoma" w:cs="Tahoma"/>
          <w:bCs/>
        </w:rPr>
        <w:t xml:space="preserve"> </w:t>
      </w:r>
      <w:r w:rsidRPr="00E02A31">
        <w:rPr>
          <w:rFonts w:ascii="Tahoma" w:hAnsi="Tahoma" w:cs="Tahoma"/>
          <w:b/>
          <w:u w:val="single"/>
        </w:rPr>
        <w:t>75% of</w:t>
      </w:r>
      <w:r>
        <w:rPr>
          <w:rFonts w:ascii="Tahoma" w:hAnsi="Tahoma" w:cs="Tahoma"/>
          <w:bCs/>
        </w:rPr>
        <w:t xml:space="preserve"> </w:t>
      </w:r>
      <w:r w:rsidRPr="003C2F05">
        <w:rPr>
          <w:rFonts w:ascii="Tahoma" w:hAnsi="Tahoma" w:cs="Tahoma"/>
          <w:bCs/>
        </w:rPr>
        <w:t>infrastructure may be Public, Shared, or Private Access.</w:t>
      </w:r>
    </w:p>
    <w:p w14:paraId="21AFACFB" w14:textId="77777777" w:rsidR="00E01CB5" w:rsidRDefault="00E01CB5" w:rsidP="00E01CB5">
      <w:pPr>
        <w:pStyle w:val="ListParagraph"/>
        <w:spacing w:before="100" w:beforeAutospacing="1" w:after="100" w:afterAutospacing="1"/>
        <w:rPr>
          <w:rFonts w:ascii="Tahoma" w:eastAsia="Tahoma" w:hAnsi="Tahoma" w:cs="Tahoma"/>
          <w:b/>
          <w:bCs/>
          <w:color w:val="000000" w:themeColor="text1"/>
          <w:u w:val="single"/>
        </w:rPr>
      </w:pPr>
    </w:p>
    <w:p w14:paraId="5383DAE4" w14:textId="140BBF1E" w:rsidR="00E01CB5" w:rsidRDefault="00E01CB5" w:rsidP="00E01CB5">
      <w:pPr>
        <w:pStyle w:val="ListParagraph"/>
        <w:spacing w:before="100" w:beforeAutospacing="1" w:after="100" w:afterAutospacing="1"/>
        <w:rPr>
          <w:rFonts w:ascii="Tahoma" w:eastAsia="Tahoma" w:hAnsi="Tahoma" w:cs="Tahoma"/>
          <w:b/>
          <w:bCs/>
          <w:color w:val="000000" w:themeColor="text1"/>
          <w:u w:val="single"/>
        </w:rPr>
      </w:pPr>
      <w:r w:rsidRPr="00963A77">
        <w:rPr>
          <w:rFonts w:ascii="Tahoma" w:eastAsia="Tahoma" w:hAnsi="Tahoma" w:cs="Tahoma"/>
          <w:b/>
          <w:bCs/>
          <w:color w:val="000000" w:themeColor="text1"/>
          <w:u w:val="single"/>
        </w:rPr>
        <w:t>Public Access requirements apply to all public entity Applicants</w:t>
      </w:r>
      <w:r>
        <w:rPr>
          <w:rFonts w:ascii="Tahoma" w:eastAsia="Tahoma" w:hAnsi="Tahoma" w:cs="Tahoma"/>
          <w:b/>
          <w:bCs/>
          <w:color w:val="000000" w:themeColor="text1"/>
          <w:u w:val="single"/>
        </w:rPr>
        <w:t xml:space="preserve">. </w:t>
      </w:r>
    </w:p>
    <w:p w14:paraId="6D3D00CE" w14:textId="77777777" w:rsidR="00E01CB5" w:rsidRDefault="00E01CB5" w:rsidP="00E01CB5">
      <w:pPr>
        <w:pStyle w:val="ListParagraph"/>
        <w:spacing w:before="100" w:beforeAutospacing="1" w:after="100" w:afterAutospacing="1"/>
        <w:rPr>
          <w:rFonts w:ascii="Tahoma" w:eastAsia="Tahoma" w:hAnsi="Tahoma" w:cs="Tahoma"/>
          <w:b/>
          <w:bCs/>
          <w:color w:val="000000" w:themeColor="text1"/>
          <w:u w:val="single"/>
        </w:rPr>
      </w:pPr>
    </w:p>
    <w:p w14:paraId="0471523F" w14:textId="44454F63" w:rsidR="00E01CB5" w:rsidRDefault="00E01CB5" w:rsidP="00E01CB5">
      <w:pPr>
        <w:pStyle w:val="ListParagraph"/>
        <w:spacing w:before="100" w:beforeAutospacing="1" w:after="100" w:afterAutospacing="1"/>
        <w:rPr>
          <w:rFonts w:ascii="Tahoma" w:eastAsia="Tahoma" w:hAnsi="Tahoma" w:cs="Tahoma"/>
          <w:b/>
          <w:bCs/>
          <w:color w:val="000000" w:themeColor="text1"/>
          <w:u w:val="single"/>
        </w:rPr>
      </w:pPr>
      <w:r w:rsidRPr="0BB073FF">
        <w:rPr>
          <w:rFonts w:ascii="Tahoma" w:eastAsia="Tahoma" w:hAnsi="Tahoma" w:cs="Tahoma"/>
          <w:b/>
          <w:bCs/>
          <w:color w:val="000000" w:themeColor="text1"/>
          <w:u w:val="single"/>
        </w:rPr>
        <w:t xml:space="preserve">Applicants proposing </w:t>
      </w:r>
      <w:r w:rsidR="009D7532">
        <w:rPr>
          <w:rFonts w:ascii="Tahoma" w:eastAsia="Tahoma" w:hAnsi="Tahoma" w:cs="Tahoma"/>
          <w:b/>
          <w:bCs/>
          <w:color w:val="000000" w:themeColor="text1"/>
          <w:u w:val="single"/>
        </w:rPr>
        <w:t>a project that will</w:t>
      </w:r>
      <w:r w:rsidRPr="0BB073FF">
        <w:rPr>
          <w:rFonts w:ascii="Tahoma" w:eastAsia="Tahoma" w:hAnsi="Tahoma" w:cs="Tahoma"/>
          <w:b/>
          <w:bCs/>
          <w:color w:val="000000" w:themeColor="text1"/>
          <w:u w:val="single"/>
        </w:rPr>
        <w:t xml:space="preserve"> support a public entity must adhere to all requirements established for public entities.</w:t>
      </w:r>
    </w:p>
    <w:p w14:paraId="0E41D514" w14:textId="77777777" w:rsidR="006C683F" w:rsidRDefault="006C683F" w:rsidP="00E01CB5">
      <w:pPr>
        <w:pStyle w:val="ListParagraph"/>
        <w:spacing w:before="100" w:beforeAutospacing="1" w:after="100" w:afterAutospacing="1"/>
        <w:rPr>
          <w:rFonts w:ascii="Tahoma" w:eastAsia="Tahoma" w:hAnsi="Tahoma" w:cs="Tahoma"/>
          <w:b/>
          <w:bCs/>
          <w:color w:val="000000" w:themeColor="text1"/>
          <w:u w:val="single"/>
        </w:rPr>
      </w:pPr>
    </w:p>
    <w:p w14:paraId="476C7C33" w14:textId="77777777" w:rsidR="000B2D17" w:rsidRDefault="006C683F" w:rsidP="006C683F">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r w:rsidRPr="00F06CED">
        <w:rPr>
          <w:rFonts w:ascii="Tahoma" w:eastAsiaTheme="majorEastAsia" w:hAnsi="Tahoma" w:cs="Tahoma"/>
          <w:bCs/>
          <w:smallCaps w:val="0"/>
          <w:sz w:val="24"/>
          <w:szCs w:val="24"/>
          <w:lang w:val="en-US" w:eastAsia="en-US"/>
        </w:rPr>
        <w:t xml:space="preserve">Section </w:t>
      </w:r>
      <w:r>
        <w:rPr>
          <w:rFonts w:ascii="Tahoma" w:eastAsiaTheme="majorEastAsia" w:hAnsi="Tahoma" w:cs="Tahoma"/>
          <w:bCs/>
          <w:smallCaps w:val="0"/>
          <w:sz w:val="24"/>
          <w:szCs w:val="24"/>
          <w:lang w:val="en-US" w:eastAsia="en-US"/>
        </w:rPr>
        <w:t>II.B.4</w:t>
      </w:r>
      <w:r w:rsidRPr="00F06CED">
        <w:rPr>
          <w:rFonts w:ascii="Tahoma" w:eastAsiaTheme="majorEastAsia" w:hAnsi="Tahoma" w:cs="Tahoma"/>
          <w:bCs/>
          <w:smallCaps w:val="0"/>
          <w:sz w:val="24"/>
          <w:szCs w:val="24"/>
          <w:lang w:val="en-US" w:eastAsia="en-US"/>
        </w:rPr>
        <w:t xml:space="preserve"> </w:t>
      </w:r>
      <w:r>
        <w:rPr>
          <w:rFonts w:ascii="Tahoma" w:eastAsiaTheme="majorEastAsia" w:hAnsi="Tahoma" w:cs="Tahoma"/>
          <w:bCs/>
          <w:smallCaps w:val="0"/>
          <w:sz w:val="24"/>
          <w:szCs w:val="24"/>
          <w:lang w:val="en-US" w:eastAsia="en-US"/>
        </w:rPr>
        <w:t>Vehicle Deployment Requirements</w:t>
      </w:r>
    </w:p>
    <w:p w14:paraId="50D012D9" w14:textId="77777777" w:rsidR="000B2D17" w:rsidRPr="003C2F05" w:rsidRDefault="000B2D17" w:rsidP="000B2D17">
      <w:pPr>
        <w:spacing w:before="100" w:beforeAutospacing="1" w:after="100" w:afterAutospacing="1"/>
        <w:ind w:left="720"/>
        <w:rPr>
          <w:rFonts w:ascii="Tahoma" w:eastAsia="Tahoma" w:hAnsi="Tahoma" w:cs="Tahoma"/>
          <w:bCs/>
        </w:rPr>
      </w:pPr>
      <w:r w:rsidRPr="003C2F05">
        <w:rPr>
          <w:rFonts w:ascii="Tahoma" w:eastAsia="Tahoma" w:hAnsi="Tahoma" w:cs="Tahoma"/>
          <w:bCs/>
        </w:rPr>
        <w:t xml:space="preserve">If proposing a Private Access </w:t>
      </w:r>
      <w:r>
        <w:rPr>
          <w:rFonts w:ascii="Tahoma" w:eastAsia="Tahoma" w:hAnsi="Tahoma" w:cs="Tahoma"/>
          <w:bCs/>
        </w:rPr>
        <w:t>[</w:t>
      </w:r>
      <w:r w:rsidRPr="00CE71DD">
        <w:rPr>
          <w:rFonts w:ascii="Tahoma" w:eastAsia="Tahoma" w:hAnsi="Tahoma" w:cs="Tahoma"/>
          <w:bCs/>
          <w:strike/>
        </w:rPr>
        <w:t>or Shared Access</w:t>
      </w:r>
      <w:r>
        <w:rPr>
          <w:rFonts w:ascii="Tahoma" w:eastAsia="Tahoma" w:hAnsi="Tahoma" w:cs="Tahoma"/>
          <w:bCs/>
        </w:rPr>
        <w:t>]</w:t>
      </w:r>
      <w:r w:rsidRPr="003C2F05">
        <w:rPr>
          <w:rFonts w:ascii="Tahoma" w:eastAsia="Tahoma" w:hAnsi="Tahoma" w:cs="Tahoma"/>
          <w:bCs/>
        </w:rPr>
        <w:t xml:space="preserve"> infrastructure project, the fleet that is being supported must commit to supporting:</w:t>
      </w:r>
    </w:p>
    <w:p w14:paraId="5970007F" w14:textId="7B41A34F" w:rsidR="000B2D17" w:rsidRPr="003C2F05" w:rsidRDefault="000B2D17" w:rsidP="00656273">
      <w:pPr>
        <w:pStyle w:val="ListParagraph"/>
        <w:numPr>
          <w:ilvl w:val="1"/>
          <w:numId w:val="3"/>
        </w:numPr>
        <w:spacing w:before="100" w:beforeAutospacing="1" w:after="120"/>
        <w:ind w:left="1166" w:hanging="446"/>
        <w:contextualSpacing w:val="0"/>
        <w:rPr>
          <w:rFonts w:ascii="Tahoma" w:eastAsia="Tahoma" w:hAnsi="Tahoma" w:cs="Tahoma"/>
          <w:bCs/>
          <w:color w:val="000000" w:themeColor="text1"/>
        </w:rPr>
      </w:pPr>
      <w:r w:rsidRPr="003C2F05">
        <w:rPr>
          <w:rFonts w:ascii="Tahoma" w:eastAsia="Tahoma" w:hAnsi="Tahoma" w:cs="Tahoma"/>
          <w:bCs/>
          <w:color w:val="000000" w:themeColor="text1"/>
        </w:rPr>
        <w:t xml:space="preserve">At least </w:t>
      </w:r>
      <w:r>
        <w:rPr>
          <w:rFonts w:ascii="Tahoma" w:eastAsia="Tahoma" w:hAnsi="Tahoma" w:cs="Tahoma"/>
          <w:bCs/>
          <w:color w:val="000000" w:themeColor="text1"/>
        </w:rPr>
        <w:t>[</w:t>
      </w:r>
      <w:r w:rsidRPr="002364EB">
        <w:rPr>
          <w:rFonts w:ascii="Tahoma" w:eastAsia="Tahoma" w:hAnsi="Tahoma" w:cs="Tahoma"/>
          <w:bCs/>
          <w:strike/>
          <w:color w:val="000000" w:themeColor="text1"/>
        </w:rPr>
        <w:t>two</w:t>
      </w:r>
      <w:r>
        <w:rPr>
          <w:rFonts w:ascii="Tahoma" w:eastAsia="Tahoma" w:hAnsi="Tahoma" w:cs="Tahoma"/>
          <w:bCs/>
          <w:color w:val="000000" w:themeColor="text1"/>
        </w:rPr>
        <w:t>]</w:t>
      </w:r>
      <w:r w:rsidRPr="003C2F05">
        <w:rPr>
          <w:rFonts w:ascii="Tahoma" w:eastAsia="Tahoma" w:hAnsi="Tahoma" w:cs="Tahoma"/>
          <w:bCs/>
          <w:color w:val="000000" w:themeColor="text1"/>
        </w:rPr>
        <w:t xml:space="preserve"> </w:t>
      </w:r>
      <w:r w:rsidRPr="002364EB">
        <w:rPr>
          <w:rFonts w:ascii="Tahoma" w:eastAsia="Tahoma" w:hAnsi="Tahoma" w:cs="Tahoma"/>
          <w:b/>
          <w:color w:val="000000" w:themeColor="text1"/>
          <w:u w:val="single"/>
        </w:rPr>
        <w:t>one</w:t>
      </w:r>
      <w:r>
        <w:rPr>
          <w:rFonts w:ascii="Tahoma" w:eastAsia="Tahoma" w:hAnsi="Tahoma" w:cs="Tahoma"/>
          <w:bCs/>
          <w:color w:val="000000" w:themeColor="text1"/>
        </w:rPr>
        <w:t xml:space="preserve"> </w:t>
      </w:r>
      <w:r w:rsidRPr="003C2F05">
        <w:rPr>
          <w:rFonts w:ascii="Tahoma" w:eastAsia="Tahoma" w:hAnsi="Tahoma" w:cs="Tahoma"/>
          <w:bCs/>
          <w:color w:val="000000" w:themeColor="text1"/>
        </w:rPr>
        <w:t>MDHD EV</w:t>
      </w:r>
      <w:r>
        <w:rPr>
          <w:rFonts w:ascii="Tahoma" w:eastAsia="Tahoma" w:hAnsi="Tahoma" w:cs="Tahoma"/>
          <w:bCs/>
          <w:color w:val="000000" w:themeColor="text1"/>
        </w:rPr>
        <w:t>[</w:t>
      </w:r>
      <w:r w:rsidRPr="002364EB">
        <w:rPr>
          <w:rFonts w:ascii="Tahoma" w:eastAsia="Tahoma" w:hAnsi="Tahoma" w:cs="Tahoma"/>
          <w:bCs/>
          <w:strike/>
          <w:color w:val="000000" w:themeColor="text1"/>
        </w:rPr>
        <w:t>s</w:t>
      </w:r>
      <w:r>
        <w:rPr>
          <w:rFonts w:ascii="Tahoma" w:eastAsia="Tahoma" w:hAnsi="Tahoma" w:cs="Tahoma"/>
          <w:bCs/>
          <w:color w:val="000000" w:themeColor="text1"/>
        </w:rPr>
        <w:t>]</w:t>
      </w:r>
      <w:r w:rsidRPr="003C2F05">
        <w:rPr>
          <w:rFonts w:ascii="Tahoma" w:eastAsia="Tahoma" w:hAnsi="Tahoma" w:cs="Tahoma"/>
          <w:bCs/>
          <w:color w:val="000000" w:themeColor="text1"/>
        </w:rPr>
        <w:t xml:space="preserve"> per </w:t>
      </w:r>
      <w:r>
        <w:rPr>
          <w:rFonts w:ascii="Tahoma" w:eastAsia="Tahoma" w:hAnsi="Tahoma" w:cs="Tahoma"/>
          <w:bCs/>
          <w:color w:val="000000" w:themeColor="text1"/>
        </w:rPr>
        <w:t>[</w:t>
      </w:r>
      <w:r w:rsidRPr="002364EB">
        <w:rPr>
          <w:rFonts w:ascii="Tahoma" w:eastAsia="Tahoma" w:hAnsi="Tahoma" w:cs="Tahoma"/>
          <w:bCs/>
          <w:strike/>
          <w:color w:val="000000" w:themeColor="text1"/>
        </w:rPr>
        <w:t>Level 2</w:t>
      </w:r>
      <w:r>
        <w:rPr>
          <w:rFonts w:ascii="Tahoma" w:eastAsia="Tahoma" w:hAnsi="Tahoma" w:cs="Tahoma"/>
          <w:bCs/>
          <w:color w:val="000000" w:themeColor="text1"/>
        </w:rPr>
        <w:t>]</w:t>
      </w:r>
      <w:r w:rsidRPr="003C2F05">
        <w:rPr>
          <w:rFonts w:ascii="Tahoma" w:eastAsia="Tahoma" w:hAnsi="Tahoma" w:cs="Tahoma"/>
          <w:bCs/>
          <w:color w:val="000000" w:themeColor="text1"/>
        </w:rPr>
        <w:t xml:space="preserve"> </w:t>
      </w:r>
      <w:r w:rsidRPr="00B707E3">
        <w:rPr>
          <w:rFonts w:ascii="Tahoma" w:eastAsia="Tahoma" w:hAnsi="Tahoma" w:cs="Tahoma"/>
          <w:bCs/>
          <w:color w:val="000000" w:themeColor="text1"/>
        </w:rPr>
        <w:t xml:space="preserve">charging port </w:t>
      </w:r>
      <w:r w:rsidRPr="003C2F05">
        <w:rPr>
          <w:rFonts w:ascii="Tahoma" w:eastAsia="Tahoma" w:hAnsi="Tahoma" w:cs="Tahoma"/>
          <w:bCs/>
          <w:color w:val="000000" w:themeColor="text1"/>
        </w:rPr>
        <w:t xml:space="preserve">proposed </w:t>
      </w:r>
      <w:r w:rsidRPr="7E1B752E">
        <w:rPr>
          <w:rFonts w:ascii="Tahoma" w:eastAsia="Tahoma" w:hAnsi="Tahoma" w:cs="Tahoma"/>
          <w:color w:val="000000" w:themeColor="text1"/>
        </w:rPr>
        <w:t>for CEC funding</w:t>
      </w:r>
      <w:r w:rsidRPr="7E1B752E">
        <w:rPr>
          <w:rFonts w:ascii="Tahoma" w:eastAsia="Tahoma" w:hAnsi="Tahoma" w:cs="Tahoma"/>
          <w:b/>
          <w:bCs/>
          <w:color w:val="000000" w:themeColor="text1"/>
          <w:u w:val="single"/>
        </w:rPr>
        <w:t>.</w:t>
      </w:r>
      <w:r w:rsidRPr="003817BB">
        <w:rPr>
          <w:rFonts w:ascii="Tahoma" w:eastAsia="Tahoma" w:hAnsi="Tahoma" w:cs="Tahoma"/>
          <w:b/>
          <w:color w:val="000000" w:themeColor="text1"/>
          <w:u w:val="single"/>
        </w:rPr>
        <w:t xml:space="preserve"> Applicants that can demonstrate vehicles above a 1-to-1 ratio will score higher.</w:t>
      </w:r>
    </w:p>
    <w:p w14:paraId="38CFF708" w14:textId="77777777" w:rsidR="000B2D17" w:rsidRPr="003C2F05" w:rsidRDefault="000B2D17" w:rsidP="00656273">
      <w:pPr>
        <w:pStyle w:val="ListParagraph"/>
        <w:numPr>
          <w:ilvl w:val="1"/>
          <w:numId w:val="3"/>
        </w:numPr>
        <w:spacing w:before="100" w:beforeAutospacing="1" w:after="120"/>
        <w:ind w:left="1166" w:hanging="446"/>
        <w:contextualSpacing w:val="0"/>
        <w:rPr>
          <w:rFonts w:ascii="Tahoma" w:eastAsia="Tahoma" w:hAnsi="Tahoma" w:cs="Tahoma"/>
          <w:bCs/>
          <w:color w:val="000000" w:themeColor="text1"/>
        </w:rPr>
      </w:pPr>
      <w:r>
        <w:rPr>
          <w:rFonts w:ascii="Tahoma" w:eastAsia="Tahoma" w:hAnsi="Tahoma" w:cs="Tahoma"/>
          <w:bCs/>
          <w:color w:val="000000" w:themeColor="text1"/>
        </w:rPr>
        <w:t>[</w:t>
      </w:r>
      <w:r w:rsidRPr="0008526C">
        <w:rPr>
          <w:rFonts w:ascii="Tahoma" w:eastAsia="Tahoma" w:hAnsi="Tahoma" w:cs="Tahoma"/>
          <w:bCs/>
          <w:strike/>
          <w:color w:val="000000" w:themeColor="text1"/>
        </w:rPr>
        <w:t>At least three MDHD EVs per DC fast charging port proposed for CEC funding;</w:t>
      </w:r>
      <w:r>
        <w:rPr>
          <w:rFonts w:ascii="Tahoma" w:eastAsia="Tahoma" w:hAnsi="Tahoma" w:cs="Tahoma"/>
          <w:bCs/>
          <w:color w:val="000000" w:themeColor="text1"/>
        </w:rPr>
        <w:t>]</w:t>
      </w:r>
    </w:p>
    <w:p w14:paraId="1D44C127" w14:textId="77777777" w:rsidR="000B2D17" w:rsidRPr="000C0B70" w:rsidRDefault="000B2D17" w:rsidP="00656273">
      <w:pPr>
        <w:pStyle w:val="ListParagraph"/>
        <w:numPr>
          <w:ilvl w:val="1"/>
          <w:numId w:val="3"/>
        </w:numPr>
        <w:spacing w:before="100" w:beforeAutospacing="1" w:after="120"/>
        <w:ind w:left="1166" w:hanging="446"/>
        <w:contextualSpacing w:val="0"/>
        <w:rPr>
          <w:rFonts w:ascii="Tahoma" w:eastAsia="Tahoma" w:hAnsi="Tahoma" w:cs="Tahoma"/>
          <w:bCs/>
          <w:color w:val="000000" w:themeColor="text1"/>
        </w:rPr>
      </w:pPr>
      <w:r w:rsidRPr="003C2F05">
        <w:rPr>
          <w:rFonts w:ascii="Tahoma" w:eastAsia="Tahoma" w:hAnsi="Tahoma" w:cs="Tahoma"/>
          <w:bCs/>
          <w:color w:val="000000" w:themeColor="text1"/>
        </w:rPr>
        <w:t xml:space="preserve">At least 30 MDHD FCEVs per every two hydrogen fueling positions proposed for CEC </w:t>
      </w:r>
      <w:proofErr w:type="gramStart"/>
      <w:r w:rsidRPr="003C2F05">
        <w:rPr>
          <w:rFonts w:ascii="Tahoma" w:eastAsia="Tahoma" w:hAnsi="Tahoma" w:cs="Tahoma"/>
          <w:bCs/>
          <w:color w:val="000000" w:themeColor="text1"/>
        </w:rPr>
        <w:t>funding</w:t>
      </w:r>
      <w:r w:rsidRPr="00AE1565">
        <w:rPr>
          <w:rFonts w:ascii="Tahoma" w:eastAsia="Tahoma" w:hAnsi="Tahoma" w:cs="Tahoma"/>
          <w:bCs/>
          <w:color w:val="000000" w:themeColor="text1"/>
        </w:rPr>
        <w:t>;</w:t>
      </w:r>
      <w:proofErr w:type="gramEnd"/>
      <w:r w:rsidRPr="00AE1565">
        <w:rPr>
          <w:rFonts w:ascii="Tahoma" w:eastAsia="Tahoma" w:hAnsi="Tahoma" w:cs="Tahoma"/>
          <w:bCs/>
          <w:color w:val="000000" w:themeColor="text1"/>
        </w:rPr>
        <w:t xml:space="preserve"> or</w:t>
      </w:r>
    </w:p>
    <w:p w14:paraId="71B2C770" w14:textId="77777777" w:rsidR="000B2D17" w:rsidRPr="00474922" w:rsidRDefault="000B2D17" w:rsidP="00656273">
      <w:pPr>
        <w:pStyle w:val="ListParagraph"/>
        <w:numPr>
          <w:ilvl w:val="1"/>
          <w:numId w:val="3"/>
        </w:numPr>
        <w:spacing w:before="100" w:beforeAutospacing="1" w:after="120"/>
        <w:ind w:left="1166" w:hanging="446"/>
        <w:contextualSpacing w:val="0"/>
        <w:rPr>
          <w:rFonts w:ascii="Tahoma" w:eastAsia="Tahoma" w:hAnsi="Tahoma" w:cs="Tahoma"/>
          <w:bCs/>
          <w:color w:val="000000" w:themeColor="text1"/>
        </w:rPr>
      </w:pPr>
      <w:r w:rsidRPr="00AE1565">
        <w:rPr>
          <w:rFonts w:ascii="Tahoma" w:eastAsia="Tahoma" w:hAnsi="Tahoma" w:cs="Tahoma"/>
          <w:bCs/>
          <w:color w:val="000000" w:themeColor="text1"/>
        </w:rPr>
        <w:t>At least one specialty vehicle, off-road equipment/vehicle, or non-road vehicle per EV charging port or hydrogen fueling position proposed for CEC funding.</w:t>
      </w:r>
    </w:p>
    <w:p w14:paraId="7299FE75" w14:textId="77777777" w:rsidR="000B2D17" w:rsidRPr="00E00B70" w:rsidRDefault="000B2D17" w:rsidP="000B2D17">
      <w:pPr>
        <w:spacing w:before="100" w:beforeAutospacing="1"/>
        <w:ind w:left="720"/>
        <w:rPr>
          <w:rFonts w:ascii="Tahoma" w:eastAsia="Yu Gothic" w:hAnsi="Tahoma" w:cs="Tahoma"/>
          <w:b/>
          <w:bCs/>
          <w:u w:val="single"/>
          <w:lang w:eastAsia="ja-JP"/>
        </w:rPr>
      </w:pPr>
      <w:r w:rsidRPr="00E00B70">
        <w:rPr>
          <w:rFonts w:ascii="Tahoma" w:eastAsia="Yu Gothic" w:hAnsi="Tahoma" w:cs="Tahoma"/>
          <w:b/>
          <w:bCs/>
          <w:u w:val="single"/>
          <w:lang w:eastAsia="ja-JP"/>
        </w:rPr>
        <w:t>These vehicle</w:t>
      </w:r>
      <w:r w:rsidRPr="00E00B70">
        <w:rPr>
          <w:rFonts w:ascii="Tahoma" w:eastAsia="Yu Gothic" w:hAnsi="Tahoma" w:cs="Tahoma"/>
          <w:b/>
          <w:bCs/>
          <w:u w:val="single"/>
          <w:lang w:eastAsia="ja-JP"/>
        </w:rPr>
        <w:noBreakHyphen/>
        <w:t>to</w:t>
      </w:r>
      <w:r w:rsidRPr="00E00B70">
        <w:rPr>
          <w:rFonts w:ascii="Tahoma" w:eastAsia="Yu Gothic" w:hAnsi="Tahoma" w:cs="Tahoma"/>
          <w:b/>
          <w:bCs/>
          <w:u w:val="single"/>
          <w:lang w:eastAsia="ja-JP"/>
        </w:rPr>
        <w:noBreakHyphen/>
        <w:t>infrastructure ratios are used solely to assess eligibility and infrastructure justification. They are not duty</w:t>
      </w:r>
      <w:r w:rsidRPr="00E00B70">
        <w:rPr>
          <w:rFonts w:ascii="Tahoma" w:eastAsia="Yu Gothic" w:hAnsi="Tahoma" w:cs="Tahoma"/>
          <w:b/>
          <w:bCs/>
          <w:u w:val="single"/>
          <w:lang w:eastAsia="ja-JP"/>
        </w:rPr>
        <w:noBreakHyphen/>
        <w:t>cycle or in</w:t>
      </w:r>
      <w:r w:rsidRPr="00E00B70">
        <w:rPr>
          <w:rFonts w:ascii="Tahoma" w:eastAsia="Yu Gothic" w:hAnsi="Tahoma" w:cs="Tahoma"/>
          <w:b/>
          <w:bCs/>
          <w:u w:val="single"/>
          <w:lang w:eastAsia="ja-JP"/>
        </w:rPr>
        <w:noBreakHyphen/>
        <w:t>use operational requirements.</w:t>
      </w:r>
    </w:p>
    <w:p w14:paraId="18C3C891" w14:textId="77777777" w:rsidR="000B2D17" w:rsidRPr="003C2F05" w:rsidRDefault="000B2D17" w:rsidP="000B2D17">
      <w:pPr>
        <w:spacing w:before="100" w:beforeAutospacing="1" w:after="100" w:afterAutospacing="1"/>
        <w:ind w:left="720"/>
        <w:rPr>
          <w:rFonts w:ascii="Tahoma" w:eastAsia="Yu Gothic" w:hAnsi="Tahoma" w:cs="Tahoma"/>
          <w:bCs/>
          <w:szCs w:val="22"/>
          <w:lang w:eastAsia="ja-JP"/>
        </w:rPr>
      </w:pPr>
      <w:r w:rsidRPr="003C2F05">
        <w:rPr>
          <w:rFonts w:ascii="Tahoma" w:eastAsia="Yu Gothic" w:hAnsi="Tahoma" w:cs="Tahoma"/>
          <w:bCs/>
          <w:szCs w:val="22"/>
          <w:lang w:eastAsia="ja-JP"/>
        </w:rPr>
        <w:t xml:space="preserve">The vehicles being supported must either be new vehicles being </w:t>
      </w:r>
      <w:proofErr w:type="gramStart"/>
      <w:r w:rsidRPr="003C2F05">
        <w:rPr>
          <w:rFonts w:ascii="Tahoma" w:eastAsia="Yu Gothic" w:hAnsi="Tahoma" w:cs="Tahoma"/>
          <w:bCs/>
          <w:szCs w:val="22"/>
          <w:lang w:eastAsia="ja-JP"/>
        </w:rPr>
        <w:t>procured</w:t>
      </w:r>
      <w:proofErr w:type="gramEnd"/>
      <w:r w:rsidRPr="003C2F05">
        <w:rPr>
          <w:rFonts w:ascii="Tahoma" w:eastAsia="Yu Gothic" w:hAnsi="Tahoma" w:cs="Tahoma"/>
          <w:bCs/>
          <w:szCs w:val="22"/>
          <w:lang w:eastAsia="ja-JP"/>
        </w:rPr>
        <w:t xml:space="preserve"> or existing vehicles that were not able to be used due to a lack of infrastructure. New vehicles procured as part of a resulting grant agreement may be eligible for match funding. Existing vehicles are not eligible for reimbursement or match funding.</w:t>
      </w:r>
    </w:p>
    <w:p w14:paraId="29F2121B" w14:textId="77777777" w:rsidR="000B2D17" w:rsidRPr="003C2F05" w:rsidRDefault="000B2D17" w:rsidP="000B2D17">
      <w:pPr>
        <w:spacing w:before="100" w:beforeAutospacing="1" w:after="100" w:afterAutospacing="1"/>
        <w:ind w:left="720"/>
        <w:rPr>
          <w:rFonts w:ascii="Tahoma" w:eastAsia="Yu Gothic" w:hAnsi="Tahoma" w:cs="Tahoma"/>
          <w:bCs/>
          <w:szCs w:val="22"/>
          <w:lang w:eastAsia="ja-JP"/>
        </w:rPr>
      </w:pPr>
      <w:r w:rsidRPr="003C2F05">
        <w:rPr>
          <w:rFonts w:ascii="Tahoma" w:eastAsia="Yu Gothic" w:hAnsi="Tahoma" w:cs="Tahoma"/>
          <w:bCs/>
          <w:szCs w:val="22"/>
          <w:lang w:eastAsia="ja-JP"/>
        </w:rPr>
        <w:t xml:space="preserve">If proposing a Shared Access infrastructure project, the application must demonstrate that at least two fleets are </w:t>
      </w:r>
      <w:proofErr w:type="gramStart"/>
      <w:r w:rsidRPr="003C2F05">
        <w:rPr>
          <w:rFonts w:ascii="Tahoma" w:eastAsia="Yu Gothic" w:hAnsi="Tahoma" w:cs="Tahoma"/>
          <w:bCs/>
          <w:szCs w:val="22"/>
          <w:lang w:eastAsia="ja-JP"/>
        </w:rPr>
        <w:t>being supported</w:t>
      </w:r>
      <w:proofErr w:type="gramEnd"/>
      <w:r w:rsidRPr="003C2F05">
        <w:rPr>
          <w:rFonts w:ascii="Tahoma" w:eastAsia="Yu Gothic" w:hAnsi="Tahoma" w:cs="Tahoma"/>
          <w:bCs/>
          <w:szCs w:val="22"/>
          <w:lang w:eastAsia="ja-JP"/>
        </w:rPr>
        <w:t xml:space="preserve"> by the proposed infrastructure</w:t>
      </w:r>
      <w:r w:rsidRPr="0062191B">
        <w:rPr>
          <w:rFonts w:ascii="Tahoma" w:eastAsia="Yu Gothic" w:hAnsi="Tahoma" w:cs="Tahoma"/>
          <w:b/>
          <w:szCs w:val="22"/>
          <w:u w:val="single"/>
          <w:lang w:eastAsia="ja-JP"/>
        </w:rPr>
        <w:t>.</w:t>
      </w:r>
      <w:r w:rsidRPr="003C2F05">
        <w:rPr>
          <w:rFonts w:ascii="Tahoma" w:eastAsia="Yu Gothic" w:hAnsi="Tahoma" w:cs="Tahoma"/>
          <w:bCs/>
          <w:szCs w:val="22"/>
          <w:lang w:eastAsia="ja-JP"/>
        </w:rPr>
        <w:t xml:space="preserve"> </w:t>
      </w:r>
      <w:r>
        <w:rPr>
          <w:rFonts w:ascii="Tahoma" w:eastAsia="Yu Gothic" w:hAnsi="Tahoma" w:cs="Tahoma"/>
          <w:bCs/>
          <w:szCs w:val="22"/>
          <w:lang w:eastAsia="ja-JP"/>
        </w:rPr>
        <w:t>[</w:t>
      </w:r>
      <w:r w:rsidRPr="00890823">
        <w:rPr>
          <w:rFonts w:ascii="Tahoma" w:eastAsia="Yu Gothic" w:hAnsi="Tahoma" w:cs="Tahoma"/>
          <w:bCs/>
          <w:strike/>
          <w:szCs w:val="22"/>
          <w:lang w:eastAsia="ja-JP"/>
        </w:rPr>
        <w:t>and the cumulative vehicles supported meet the minimum commitment numbers listed above. The vehicles being supported must either be new vehicles being procured or existing vehicles that were not able to be used due to a lack of infrastructure.</w:t>
      </w:r>
      <w:r>
        <w:rPr>
          <w:rFonts w:ascii="Tahoma" w:eastAsia="Yu Gothic" w:hAnsi="Tahoma" w:cs="Tahoma"/>
          <w:bCs/>
          <w:szCs w:val="22"/>
          <w:lang w:eastAsia="ja-JP"/>
        </w:rPr>
        <w:t>]</w:t>
      </w:r>
    </w:p>
    <w:p w14:paraId="46AD6ED3" w14:textId="77777777" w:rsidR="000B2D17" w:rsidRPr="003C2F05" w:rsidRDefault="000B2D17" w:rsidP="000B2D17">
      <w:pPr>
        <w:spacing w:before="100" w:beforeAutospacing="1" w:after="100" w:afterAutospacing="1"/>
        <w:ind w:left="720"/>
        <w:rPr>
          <w:rFonts w:ascii="Tahoma" w:eastAsia="Yu Gothic" w:hAnsi="Tahoma" w:cs="Tahoma"/>
          <w:bCs/>
          <w:szCs w:val="22"/>
          <w:lang w:eastAsia="ja-JP"/>
        </w:rPr>
      </w:pPr>
      <w:r w:rsidRPr="00890823">
        <w:rPr>
          <w:rFonts w:ascii="Tahoma" w:eastAsia="Yu Gothic" w:hAnsi="Tahoma" w:cs="Tahoma"/>
          <w:b/>
          <w:szCs w:val="22"/>
          <w:u w:val="single"/>
          <w:lang w:eastAsia="ja-JP"/>
        </w:rPr>
        <w:t>Shared and</w:t>
      </w:r>
      <w:r>
        <w:rPr>
          <w:rFonts w:ascii="Tahoma" w:eastAsia="Yu Gothic" w:hAnsi="Tahoma" w:cs="Tahoma"/>
          <w:bCs/>
          <w:szCs w:val="22"/>
          <w:lang w:eastAsia="ja-JP"/>
        </w:rPr>
        <w:t xml:space="preserve"> </w:t>
      </w:r>
      <w:r w:rsidRPr="003C2F05">
        <w:rPr>
          <w:rFonts w:ascii="Tahoma" w:eastAsia="Yu Gothic" w:hAnsi="Tahoma" w:cs="Tahoma"/>
          <w:bCs/>
          <w:szCs w:val="22"/>
          <w:lang w:eastAsia="ja-JP"/>
        </w:rPr>
        <w:t xml:space="preserve">Public Access infrastructure projects are not required to meet the vehicle deployment requirements; however, applications will be scored on the degree to which proposed projects maximize vehicle deployment and market growth. </w:t>
      </w:r>
    </w:p>
    <w:p w14:paraId="06816667" w14:textId="3F85ED1C" w:rsidR="000B2D17" w:rsidRPr="003C2F05" w:rsidRDefault="000B2D17" w:rsidP="000B2D17">
      <w:pPr>
        <w:spacing w:before="100" w:beforeAutospacing="1" w:after="100" w:afterAutospacing="1"/>
        <w:ind w:left="720"/>
        <w:rPr>
          <w:rFonts w:ascii="Tahoma" w:eastAsia="Yu Gothic" w:hAnsi="Tahoma" w:cs="Tahoma"/>
          <w:bCs/>
          <w:szCs w:val="22"/>
          <w:lang w:eastAsia="ja-JP"/>
        </w:rPr>
      </w:pPr>
      <w:r w:rsidRPr="003C2F05">
        <w:rPr>
          <w:rFonts w:ascii="Tahoma" w:eastAsia="Yu Gothic" w:hAnsi="Tahoma" w:cs="Tahoma"/>
          <w:bCs/>
          <w:szCs w:val="22"/>
          <w:lang w:eastAsia="ja-JP"/>
        </w:rPr>
        <w:t>If a project is a combination of Public</w:t>
      </w:r>
      <w:r w:rsidRPr="00890823">
        <w:rPr>
          <w:rFonts w:ascii="Tahoma" w:eastAsia="Yu Gothic" w:hAnsi="Tahoma" w:cs="Tahoma"/>
          <w:b/>
          <w:szCs w:val="22"/>
          <w:u w:val="single"/>
          <w:lang w:eastAsia="ja-JP"/>
        </w:rPr>
        <w:t>/Shared</w:t>
      </w:r>
      <w:r w:rsidRPr="003C2F05">
        <w:rPr>
          <w:rFonts w:ascii="Tahoma" w:eastAsia="Yu Gothic" w:hAnsi="Tahoma" w:cs="Tahoma"/>
          <w:bCs/>
          <w:szCs w:val="22"/>
          <w:lang w:eastAsia="ja-JP"/>
        </w:rPr>
        <w:t xml:space="preserve"> and </w:t>
      </w:r>
      <w:r>
        <w:rPr>
          <w:rFonts w:ascii="Tahoma" w:eastAsia="Yu Gothic" w:hAnsi="Tahoma" w:cs="Tahoma"/>
          <w:bCs/>
          <w:szCs w:val="22"/>
          <w:lang w:eastAsia="ja-JP"/>
        </w:rPr>
        <w:t>[</w:t>
      </w:r>
      <w:r w:rsidRPr="00890823">
        <w:rPr>
          <w:rFonts w:ascii="Tahoma" w:eastAsia="Yu Gothic" w:hAnsi="Tahoma" w:cs="Tahoma"/>
          <w:bCs/>
          <w:strike/>
          <w:szCs w:val="22"/>
          <w:lang w:eastAsia="ja-JP"/>
        </w:rPr>
        <w:t>Shared</w:t>
      </w:r>
      <w:proofErr w:type="gramStart"/>
      <w:r w:rsidRPr="00890823">
        <w:rPr>
          <w:rFonts w:ascii="Tahoma" w:eastAsia="Yu Gothic" w:hAnsi="Tahoma" w:cs="Tahoma"/>
          <w:bCs/>
          <w:strike/>
          <w:szCs w:val="22"/>
          <w:lang w:eastAsia="ja-JP"/>
        </w:rPr>
        <w:t>/</w:t>
      </w:r>
      <w:r>
        <w:rPr>
          <w:rFonts w:ascii="Tahoma" w:eastAsia="Yu Gothic" w:hAnsi="Tahoma" w:cs="Tahoma"/>
          <w:bCs/>
          <w:szCs w:val="22"/>
          <w:lang w:eastAsia="ja-JP"/>
        </w:rPr>
        <w:t>]</w:t>
      </w:r>
      <w:r w:rsidRPr="003C2F05">
        <w:rPr>
          <w:rFonts w:ascii="Tahoma" w:eastAsia="Yu Gothic" w:hAnsi="Tahoma" w:cs="Tahoma"/>
          <w:bCs/>
          <w:szCs w:val="22"/>
          <w:lang w:eastAsia="ja-JP"/>
        </w:rPr>
        <w:t>Private</w:t>
      </w:r>
      <w:proofErr w:type="gramEnd"/>
      <w:r w:rsidRPr="003C2F05">
        <w:rPr>
          <w:rFonts w:ascii="Tahoma" w:eastAsia="Yu Gothic" w:hAnsi="Tahoma" w:cs="Tahoma"/>
          <w:bCs/>
          <w:szCs w:val="22"/>
          <w:lang w:eastAsia="ja-JP"/>
        </w:rPr>
        <w:t xml:space="preserve"> Access infrastructure, then the portion of the infrastructure with </w:t>
      </w:r>
      <w:r>
        <w:rPr>
          <w:rFonts w:ascii="Tahoma" w:eastAsia="Yu Gothic" w:hAnsi="Tahoma" w:cs="Tahoma"/>
          <w:bCs/>
          <w:szCs w:val="22"/>
          <w:lang w:eastAsia="ja-JP"/>
        </w:rPr>
        <w:t>[</w:t>
      </w:r>
      <w:r w:rsidRPr="00890823">
        <w:rPr>
          <w:rFonts w:ascii="Tahoma" w:eastAsia="Yu Gothic" w:hAnsi="Tahoma" w:cs="Tahoma"/>
          <w:bCs/>
          <w:strike/>
          <w:szCs w:val="22"/>
          <w:lang w:eastAsia="ja-JP"/>
        </w:rPr>
        <w:t>Shared</w:t>
      </w:r>
      <w:proofErr w:type="gramStart"/>
      <w:r w:rsidRPr="00890823">
        <w:rPr>
          <w:rFonts w:ascii="Tahoma" w:eastAsia="Yu Gothic" w:hAnsi="Tahoma" w:cs="Tahoma"/>
          <w:bCs/>
          <w:strike/>
          <w:szCs w:val="22"/>
          <w:lang w:eastAsia="ja-JP"/>
        </w:rPr>
        <w:t>/</w:t>
      </w:r>
      <w:r>
        <w:rPr>
          <w:rFonts w:ascii="Tahoma" w:eastAsia="Yu Gothic" w:hAnsi="Tahoma" w:cs="Tahoma"/>
          <w:bCs/>
          <w:szCs w:val="22"/>
          <w:lang w:eastAsia="ja-JP"/>
        </w:rPr>
        <w:t>]</w:t>
      </w:r>
      <w:r w:rsidRPr="003C2F05">
        <w:rPr>
          <w:rFonts w:ascii="Tahoma" w:eastAsia="Yu Gothic" w:hAnsi="Tahoma" w:cs="Tahoma"/>
          <w:bCs/>
          <w:szCs w:val="22"/>
          <w:lang w:eastAsia="ja-JP"/>
        </w:rPr>
        <w:t>Private</w:t>
      </w:r>
      <w:proofErr w:type="gramEnd"/>
      <w:r w:rsidRPr="003C2F05">
        <w:rPr>
          <w:rFonts w:ascii="Tahoma" w:eastAsia="Yu Gothic" w:hAnsi="Tahoma" w:cs="Tahoma"/>
          <w:bCs/>
          <w:szCs w:val="22"/>
          <w:lang w:eastAsia="ja-JP"/>
        </w:rPr>
        <w:t xml:space="preserve"> Access must meet the vehicle deployment </w:t>
      </w:r>
      <w:r w:rsidR="008C28DF">
        <w:rPr>
          <w:rFonts w:ascii="Tahoma" w:eastAsia="Yu Gothic" w:hAnsi="Tahoma" w:cs="Tahoma"/>
          <w:bCs/>
          <w:szCs w:val="22"/>
          <w:lang w:eastAsia="ja-JP"/>
        </w:rPr>
        <w:t>[</w:t>
      </w:r>
      <w:r w:rsidRPr="008C28DF">
        <w:rPr>
          <w:rFonts w:ascii="Tahoma" w:eastAsia="Yu Gothic" w:hAnsi="Tahoma" w:cs="Tahoma"/>
          <w:strike/>
          <w:szCs w:val="22"/>
          <w:lang w:eastAsia="ja-JP"/>
        </w:rPr>
        <w:t>and/or number of fleets supported</w:t>
      </w:r>
      <w:r w:rsidR="008C28DF">
        <w:rPr>
          <w:rFonts w:ascii="Tahoma" w:eastAsia="Yu Gothic" w:hAnsi="Tahoma" w:cs="Tahoma"/>
          <w:bCs/>
          <w:szCs w:val="22"/>
          <w:lang w:eastAsia="ja-JP"/>
        </w:rPr>
        <w:t>]</w:t>
      </w:r>
      <w:r w:rsidRPr="003C2F05">
        <w:rPr>
          <w:rFonts w:ascii="Tahoma" w:eastAsia="Yu Gothic" w:hAnsi="Tahoma" w:cs="Tahoma"/>
          <w:bCs/>
          <w:szCs w:val="22"/>
          <w:lang w:eastAsia="ja-JP"/>
        </w:rPr>
        <w:t xml:space="preserve"> requirements.</w:t>
      </w:r>
    </w:p>
    <w:p w14:paraId="2D42376A" w14:textId="62D13586" w:rsidR="000B2D17" w:rsidRPr="003C2F05" w:rsidRDefault="000B2D17" w:rsidP="000B2D17">
      <w:pPr>
        <w:spacing w:before="100" w:beforeAutospacing="1" w:after="100" w:afterAutospacing="1"/>
        <w:ind w:left="720"/>
        <w:rPr>
          <w:rFonts w:ascii="Tahoma" w:eastAsia="Tahoma" w:hAnsi="Tahoma" w:cs="Tahoma"/>
          <w:bCs/>
        </w:rPr>
      </w:pPr>
      <w:r w:rsidRPr="003C2F05">
        <w:rPr>
          <w:rFonts w:ascii="Tahoma" w:eastAsia="Yu Gothic" w:hAnsi="Tahoma" w:cs="Tahoma"/>
          <w:bCs/>
          <w:szCs w:val="22"/>
          <w:lang w:eastAsia="ja-JP"/>
        </w:rPr>
        <w:t xml:space="preserve">To </w:t>
      </w:r>
      <w:r w:rsidRPr="003C2F05">
        <w:rPr>
          <w:rFonts w:ascii="Tahoma" w:eastAsia="Tahoma" w:hAnsi="Tahoma" w:cs="Tahoma"/>
          <w:bCs/>
        </w:rPr>
        <w:t xml:space="preserve">ensure that the infrastructure funded under this solicitation will be utilized, Applicants of </w:t>
      </w:r>
      <w:r w:rsidR="008F0B91">
        <w:rPr>
          <w:rFonts w:ascii="Tahoma" w:eastAsia="Tahoma" w:hAnsi="Tahoma" w:cs="Tahoma"/>
          <w:b/>
          <w:u w:val="single"/>
        </w:rPr>
        <w:t xml:space="preserve">all </w:t>
      </w:r>
      <w:r w:rsidRPr="003C2F05">
        <w:rPr>
          <w:rFonts w:ascii="Tahoma" w:eastAsia="Tahoma" w:hAnsi="Tahoma" w:cs="Tahoma"/>
          <w:bCs/>
        </w:rPr>
        <w:t xml:space="preserve">Private </w:t>
      </w:r>
      <w:r>
        <w:rPr>
          <w:rFonts w:ascii="Tahoma" w:eastAsia="Tahoma" w:hAnsi="Tahoma" w:cs="Tahoma"/>
          <w:bCs/>
        </w:rPr>
        <w:t>[</w:t>
      </w:r>
      <w:r w:rsidRPr="00890823">
        <w:rPr>
          <w:rFonts w:ascii="Tahoma" w:eastAsia="Tahoma" w:hAnsi="Tahoma" w:cs="Tahoma"/>
          <w:bCs/>
          <w:strike/>
        </w:rPr>
        <w:t xml:space="preserve">or Shared </w:t>
      </w:r>
      <w:proofErr w:type="gramStart"/>
      <w:r w:rsidRPr="00890823">
        <w:rPr>
          <w:rFonts w:ascii="Tahoma" w:eastAsia="Tahoma" w:hAnsi="Tahoma" w:cs="Tahoma"/>
          <w:bCs/>
          <w:strike/>
        </w:rPr>
        <w:t>a</w:t>
      </w:r>
      <w:r>
        <w:rPr>
          <w:rFonts w:ascii="Tahoma" w:eastAsia="Tahoma" w:hAnsi="Tahoma" w:cs="Tahoma"/>
          <w:bCs/>
        </w:rPr>
        <w:t>]</w:t>
      </w:r>
      <w:r w:rsidRPr="00890823">
        <w:rPr>
          <w:rFonts w:ascii="Tahoma" w:eastAsia="Tahoma" w:hAnsi="Tahoma" w:cs="Tahoma"/>
          <w:b/>
          <w:u w:val="single"/>
        </w:rPr>
        <w:t>A</w:t>
      </w:r>
      <w:r w:rsidRPr="003C2F05">
        <w:rPr>
          <w:rFonts w:ascii="Tahoma" w:eastAsia="Tahoma" w:hAnsi="Tahoma" w:cs="Tahoma"/>
          <w:bCs/>
        </w:rPr>
        <w:t>ccess</w:t>
      </w:r>
      <w:proofErr w:type="gramEnd"/>
      <w:r w:rsidRPr="003C2F05">
        <w:rPr>
          <w:rFonts w:ascii="Tahoma" w:eastAsia="Tahoma" w:hAnsi="Tahoma" w:cs="Tahoma"/>
          <w:bCs/>
        </w:rPr>
        <w:t xml:space="preserve"> infrastructure projects must submit a Letter(s) of Intent to Place a Purchase Order (Attachment 21) per fleet with their application, </w:t>
      </w:r>
      <w:proofErr w:type="gramStart"/>
      <w:r w:rsidRPr="003C2F05">
        <w:rPr>
          <w:rFonts w:ascii="Tahoma" w:eastAsia="Tahoma" w:hAnsi="Tahoma" w:cs="Tahoma"/>
          <w:bCs/>
        </w:rPr>
        <w:t>with the exception of</w:t>
      </w:r>
      <w:proofErr w:type="gramEnd"/>
      <w:r w:rsidRPr="003C2F05">
        <w:rPr>
          <w:rFonts w:ascii="Tahoma" w:eastAsia="Tahoma" w:hAnsi="Tahoma" w:cs="Tahoma"/>
          <w:bCs/>
        </w:rPr>
        <w:t xml:space="preserve"> applicants using existing vehicles. The letter(s) must specify the type(s) and number(s) of ZEVs to be procured and justify the need for the proposed infrastructure. </w:t>
      </w:r>
    </w:p>
    <w:p w14:paraId="6054A79C" w14:textId="77777777" w:rsidR="000B2D17" w:rsidRPr="003C2F05" w:rsidRDefault="000B2D17" w:rsidP="000B2D17">
      <w:pPr>
        <w:spacing w:before="100" w:beforeAutospacing="1" w:after="100" w:afterAutospacing="1"/>
        <w:ind w:left="720"/>
        <w:rPr>
          <w:rFonts w:ascii="Tahoma" w:eastAsia="Tahoma" w:hAnsi="Tahoma" w:cs="Tahoma"/>
          <w:bCs/>
        </w:rPr>
      </w:pPr>
      <w:bookmarkStart w:id="3" w:name="_Hlk212023935"/>
      <w:r w:rsidRPr="003C2F05">
        <w:rPr>
          <w:rFonts w:ascii="Tahoma" w:eastAsia="Tahoma" w:hAnsi="Tahoma" w:cs="Tahoma"/>
          <w:bCs/>
        </w:rPr>
        <w:t xml:space="preserve">If an Applicant cannot place a purchase order within three (3) months of agreement execution, the CEC reserves the right, in addition to any other rights it has, to cancel the award and offer funding to the next highest scored eligible Applicant in the same Funding Category on the NOPA list. While the purchase order must be placed within three months of agreement execution, there is not a firm </w:t>
      </w:r>
      <w:proofErr w:type="gramStart"/>
      <w:r w:rsidRPr="003C2F05">
        <w:rPr>
          <w:rFonts w:ascii="Tahoma" w:eastAsia="Tahoma" w:hAnsi="Tahoma" w:cs="Tahoma"/>
          <w:bCs/>
        </w:rPr>
        <w:t>requirement by</w:t>
      </w:r>
      <w:proofErr w:type="gramEnd"/>
      <w:r w:rsidRPr="003C2F05">
        <w:rPr>
          <w:rFonts w:ascii="Tahoma" w:eastAsia="Tahoma" w:hAnsi="Tahoma" w:cs="Tahoma"/>
          <w:bCs/>
        </w:rPr>
        <w:t xml:space="preserve"> when the vehicles must be delivered. Infrastructure lead times or vehicle production lead </w:t>
      </w:r>
      <w:r w:rsidRPr="00AE1565">
        <w:rPr>
          <w:rFonts w:ascii="Tahoma" w:eastAsia="Tahoma" w:hAnsi="Tahoma" w:cs="Tahoma"/>
          <w:bCs/>
        </w:rPr>
        <w:t xml:space="preserve">times </w:t>
      </w:r>
      <w:r w:rsidRPr="003C2F05">
        <w:rPr>
          <w:rFonts w:ascii="Tahoma" w:eastAsia="Tahoma" w:hAnsi="Tahoma" w:cs="Tahoma"/>
          <w:bCs/>
        </w:rPr>
        <w:t xml:space="preserve">may </w:t>
      </w:r>
      <w:proofErr w:type="gramStart"/>
      <w:r w:rsidRPr="003C2F05">
        <w:rPr>
          <w:rFonts w:ascii="Tahoma" w:eastAsia="Tahoma" w:hAnsi="Tahoma" w:cs="Tahoma"/>
          <w:bCs/>
        </w:rPr>
        <w:t>vary</w:t>
      </w:r>
      <w:proofErr w:type="gramEnd"/>
      <w:r w:rsidRPr="003C2F05">
        <w:rPr>
          <w:rFonts w:ascii="Tahoma" w:eastAsia="Tahoma" w:hAnsi="Tahoma" w:cs="Tahoma"/>
          <w:bCs/>
        </w:rPr>
        <w:t xml:space="preserve"> and the fleet operator may need to ensure alignment of those. However, the vehicle orders must take </w:t>
      </w:r>
      <w:proofErr w:type="gramStart"/>
      <w:r w:rsidRPr="003C2F05">
        <w:rPr>
          <w:rFonts w:ascii="Tahoma" w:eastAsia="Tahoma" w:hAnsi="Tahoma" w:cs="Tahoma"/>
          <w:bCs/>
        </w:rPr>
        <w:t>place</w:t>
      </w:r>
      <w:proofErr w:type="gramEnd"/>
      <w:r w:rsidRPr="003C2F05">
        <w:rPr>
          <w:rFonts w:ascii="Tahoma" w:eastAsia="Tahoma" w:hAnsi="Tahoma" w:cs="Tahoma"/>
          <w:bCs/>
        </w:rPr>
        <w:t xml:space="preserve"> and vehicles</w:t>
      </w:r>
      <w:r w:rsidRPr="00474922">
        <w:rPr>
          <w:rFonts w:ascii="Tahoma" w:eastAsia="Tahoma" w:hAnsi="Tahoma" w:cs="Tahoma"/>
          <w:bCs/>
        </w:rPr>
        <w:t xml:space="preserve"> </w:t>
      </w:r>
      <w:r w:rsidRPr="00AE1565">
        <w:rPr>
          <w:rFonts w:ascii="Tahoma" w:eastAsia="Tahoma" w:hAnsi="Tahoma" w:cs="Tahoma"/>
          <w:bCs/>
        </w:rPr>
        <w:t xml:space="preserve">must be </w:t>
      </w:r>
      <w:r w:rsidRPr="003C2F05">
        <w:rPr>
          <w:rFonts w:ascii="Tahoma" w:eastAsia="Tahoma" w:hAnsi="Tahoma" w:cs="Tahoma"/>
          <w:bCs/>
        </w:rPr>
        <w:t>delivered by the time the infrastructure becomes energized and operational. Costs for vehicles are not reimbursable; however, they may be used towards match.</w:t>
      </w:r>
    </w:p>
    <w:bookmarkEnd w:id="3"/>
    <w:p w14:paraId="2AAEFE2A" w14:textId="77777777" w:rsidR="000B2D17" w:rsidRPr="003C2F05" w:rsidRDefault="000B2D17" w:rsidP="000B2D17">
      <w:pPr>
        <w:spacing w:before="100" w:beforeAutospacing="1" w:after="100" w:afterAutospacing="1"/>
        <w:ind w:left="720"/>
        <w:rPr>
          <w:rFonts w:ascii="Tahoma" w:eastAsia="Tahoma" w:hAnsi="Tahoma" w:cs="Tahoma"/>
          <w:bCs/>
        </w:rPr>
      </w:pPr>
      <w:r w:rsidRPr="003C2F05">
        <w:rPr>
          <w:rFonts w:ascii="Tahoma" w:eastAsia="Tahoma" w:hAnsi="Tahoma" w:cs="Tahoma"/>
          <w:bCs/>
        </w:rPr>
        <w:t>Applicants who already own ZEVs or have recently placed a purchase order for ZEVs that will use the proposed infrastructure must submit a letter stating the type(s) and number(s) of ZEVs and explaining the need for the new infrastructure instead of a Letter of Intent to Place a Purchase Order (Attachment 21).</w:t>
      </w:r>
      <w:r>
        <w:rPr>
          <w:rFonts w:ascii="Tahoma" w:eastAsia="Tahoma" w:hAnsi="Tahoma" w:cs="Tahoma"/>
          <w:bCs/>
        </w:rPr>
        <w:t xml:space="preserve"> </w:t>
      </w:r>
      <w:r w:rsidRPr="002733C9">
        <w:rPr>
          <w:rFonts w:ascii="Tahoma" w:eastAsia="Tahoma" w:hAnsi="Tahoma" w:cs="Tahoma"/>
          <w:b/>
          <w:u w:val="single"/>
        </w:rPr>
        <w:t>The proposed number of charging ports or refueling positions must be reasonably aligned with the applicant’s existing or incoming ZEV fleet size.</w:t>
      </w:r>
    </w:p>
    <w:p w14:paraId="165959B7" w14:textId="77777777" w:rsidR="000B2D17" w:rsidRPr="003C2F05" w:rsidRDefault="000B2D17" w:rsidP="000B2D17">
      <w:pPr>
        <w:spacing w:before="100" w:beforeAutospacing="1" w:after="100" w:afterAutospacing="1"/>
        <w:ind w:left="720"/>
        <w:rPr>
          <w:rFonts w:ascii="Tahoma" w:eastAsia="Tahoma" w:hAnsi="Tahoma" w:cs="Tahoma"/>
          <w:bCs/>
        </w:rPr>
      </w:pPr>
      <w:r w:rsidRPr="003C2F05">
        <w:rPr>
          <w:rFonts w:ascii="Tahoma" w:eastAsia="Tahoma" w:hAnsi="Tahoma" w:cs="Tahoma"/>
          <w:bCs/>
        </w:rPr>
        <w:t>All applications, regardless of access-type, must demonstrate how the proposed project will maximize zero-emission vehicle deployment, including descriptions of fleet commitments and strategies the Applicant will take to maximize market growth.</w:t>
      </w:r>
    </w:p>
    <w:p w14:paraId="7CD38DC1" w14:textId="77777777" w:rsidR="000B2D17" w:rsidRPr="003C2F05" w:rsidRDefault="000B2D17" w:rsidP="000B2D17">
      <w:pPr>
        <w:spacing w:before="100" w:beforeAutospacing="1" w:after="100" w:afterAutospacing="1"/>
        <w:ind w:left="720"/>
        <w:rPr>
          <w:rFonts w:ascii="Tahoma" w:eastAsia="Tahoma" w:hAnsi="Tahoma" w:cs="Tahoma"/>
          <w:bCs/>
        </w:rPr>
      </w:pPr>
      <w:r w:rsidRPr="003C2F05">
        <w:rPr>
          <w:rFonts w:ascii="Tahoma" w:eastAsia="Tahoma" w:hAnsi="Tahoma" w:cs="Tahoma"/>
          <w:bCs/>
        </w:rPr>
        <w:t>If the proposed project is Private or Shared Access, applications must also provide the following information regarding the fleet(s) being supported by the proposed infrastructure in the Project Narrative (Attachment 1):</w:t>
      </w:r>
    </w:p>
    <w:p w14:paraId="5AF221DE" w14:textId="77777777" w:rsidR="000B2D17" w:rsidRPr="003C2F05" w:rsidRDefault="000B2D17" w:rsidP="000B2D17">
      <w:pPr>
        <w:pStyle w:val="ListParagraph"/>
        <w:numPr>
          <w:ilvl w:val="1"/>
          <w:numId w:val="3"/>
        </w:numPr>
        <w:spacing w:before="100" w:beforeAutospacing="1" w:after="100" w:afterAutospacing="1"/>
        <w:ind w:left="1080"/>
        <w:contextualSpacing w:val="0"/>
        <w:rPr>
          <w:rFonts w:ascii="Tahoma" w:eastAsia="Tahoma" w:hAnsi="Tahoma" w:cs="Tahoma"/>
          <w:bCs/>
          <w:color w:val="000000" w:themeColor="text1"/>
        </w:rPr>
      </w:pPr>
      <w:r w:rsidRPr="003C2F05">
        <w:rPr>
          <w:rFonts w:ascii="Tahoma" w:eastAsia="Tahoma" w:hAnsi="Tahoma" w:cs="Tahoma"/>
          <w:bCs/>
          <w:color w:val="000000" w:themeColor="text1"/>
        </w:rPr>
        <w:t>Quantity and type of all vehicles in the current fleet (including vehicle size/class, fuel type, and quantity).</w:t>
      </w:r>
    </w:p>
    <w:p w14:paraId="160A2C20" w14:textId="77777777" w:rsidR="000B2D17" w:rsidRPr="003C2F05" w:rsidRDefault="000B2D17" w:rsidP="000B2D17">
      <w:pPr>
        <w:pStyle w:val="ListParagraph"/>
        <w:numPr>
          <w:ilvl w:val="1"/>
          <w:numId w:val="3"/>
        </w:numPr>
        <w:spacing w:before="100" w:beforeAutospacing="1" w:after="100" w:afterAutospacing="1"/>
        <w:ind w:left="1080"/>
        <w:contextualSpacing w:val="0"/>
        <w:rPr>
          <w:rFonts w:ascii="Tahoma" w:eastAsia="Tahoma" w:hAnsi="Tahoma" w:cs="Tahoma"/>
          <w:bCs/>
          <w:color w:val="000000" w:themeColor="text1"/>
        </w:rPr>
      </w:pPr>
      <w:r w:rsidRPr="003C2F05">
        <w:rPr>
          <w:rFonts w:ascii="Tahoma" w:eastAsia="Tahoma" w:hAnsi="Tahoma" w:cs="Tahoma"/>
          <w:bCs/>
          <w:color w:val="000000" w:themeColor="text1"/>
        </w:rPr>
        <w:t>Operations and average daily vehicle-miles-traveled (VMT) for each vehicle</w:t>
      </w:r>
      <w:r w:rsidRPr="00AE1565">
        <w:rPr>
          <w:rFonts w:ascii="Tahoma" w:eastAsia="Tahoma" w:hAnsi="Tahoma" w:cs="Tahoma"/>
          <w:bCs/>
          <w:color w:val="000000" w:themeColor="text1"/>
        </w:rPr>
        <w:t>, or operations and average daily engine hours for specialty, off-road, or non-road applications</w:t>
      </w:r>
      <w:r w:rsidRPr="003C2F05">
        <w:rPr>
          <w:rFonts w:ascii="Tahoma" w:eastAsia="Tahoma" w:hAnsi="Tahoma" w:cs="Tahoma"/>
          <w:bCs/>
          <w:color w:val="000000" w:themeColor="text1"/>
        </w:rPr>
        <w:t>.</w:t>
      </w:r>
    </w:p>
    <w:p w14:paraId="1F4B7F60" w14:textId="77777777" w:rsidR="000B2D17" w:rsidRPr="003C2F05" w:rsidRDefault="000B2D17" w:rsidP="000B2D17">
      <w:pPr>
        <w:pStyle w:val="ListParagraph"/>
        <w:numPr>
          <w:ilvl w:val="1"/>
          <w:numId w:val="3"/>
        </w:numPr>
        <w:spacing w:before="100" w:beforeAutospacing="1" w:after="100" w:afterAutospacing="1"/>
        <w:ind w:left="1080"/>
        <w:contextualSpacing w:val="0"/>
        <w:rPr>
          <w:rFonts w:ascii="Tahoma" w:eastAsia="Tahoma" w:hAnsi="Tahoma" w:cs="Tahoma"/>
          <w:bCs/>
          <w:color w:val="000000" w:themeColor="text1"/>
        </w:rPr>
      </w:pPr>
      <w:r w:rsidRPr="003C2F05">
        <w:rPr>
          <w:rFonts w:ascii="Tahoma" w:eastAsia="Tahoma" w:hAnsi="Tahoma" w:cs="Tahoma"/>
          <w:bCs/>
          <w:color w:val="000000" w:themeColor="text1"/>
        </w:rPr>
        <w:t>Quantity and timeline of how many of the fleet’s vehicles will be converted to zero-emission.</w:t>
      </w:r>
    </w:p>
    <w:p w14:paraId="2E623EBF" w14:textId="77777777" w:rsidR="000B2D17" w:rsidRPr="003C2F05" w:rsidRDefault="000B2D17" w:rsidP="000B2D17">
      <w:pPr>
        <w:pStyle w:val="ListParagraph"/>
        <w:numPr>
          <w:ilvl w:val="1"/>
          <w:numId w:val="3"/>
        </w:numPr>
        <w:spacing w:before="100" w:beforeAutospacing="1" w:after="100" w:afterAutospacing="1"/>
        <w:ind w:left="1080"/>
        <w:contextualSpacing w:val="0"/>
        <w:rPr>
          <w:rFonts w:ascii="Tahoma" w:eastAsia="Tahoma" w:hAnsi="Tahoma" w:cs="Tahoma"/>
          <w:bCs/>
          <w:color w:val="000000" w:themeColor="text1"/>
        </w:rPr>
      </w:pPr>
      <w:r w:rsidRPr="003C2F05">
        <w:rPr>
          <w:rFonts w:ascii="Tahoma" w:eastAsia="Tahoma" w:hAnsi="Tahoma" w:cs="Tahoma"/>
          <w:bCs/>
          <w:color w:val="000000" w:themeColor="text1"/>
        </w:rPr>
        <w:t>Number of miles that will be converted from fossil-fuel-VMT to zero-emission-VMT</w:t>
      </w:r>
      <w:r w:rsidRPr="00AE1565">
        <w:rPr>
          <w:rFonts w:ascii="Tahoma" w:eastAsia="Tahoma" w:hAnsi="Tahoma" w:cs="Tahoma"/>
          <w:bCs/>
          <w:color w:val="000000" w:themeColor="text1"/>
        </w:rPr>
        <w:t>, or number of engine hours and fuel volume to be replaced by zero-emission alternatives for specialty, off-road, or non-road applications</w:t>
      </w:r>
      <w:r w:rsidRPr="003C2F05">
        <w:rPr>
          <w:rFonts w:ascii="Tahoma" w:eastAsia="Tahoma" w:hAnsi="Tahoma" w:cs="Tahoma"/>
          <w:bCs/>
          <w:color w:val="000000" w:themeColor="text1"/>
        </w:rPr>
        <w:t>.</w:t>
      </w:r>
    </w:p>
    <w:p w14:paraId="0A0DFA0F" w14:textId="77777777" w:rsidR="000B2D17" w:rsidRPr="003C2F05" w:rsidRDefault="000B2D17" w:rsidP="000B2D17">
      <w:pPr>
        <w:spacing w:before="100" w:beforeAutospacing="1" w:after="100" w:afterAutospacing="1"/>
        <w:ind w:left="720"/>
        <w:rPr>
          <w:rFonts w:ascii="Tahoma" w:eastAsia="Tahoma" w:hAnsi="Tahoma" w:cs="Tahoma"/>
          <w:bCs/>
        </w:rPr>
      </w:pPr>
      <w:r w:rsidRPr="003C2F05">
        <w:rPr>
          <w:rFonts w:ascii="Tahoma" w:eastAsia="Tahoma" w:hAnsi="Tahoma" w:cs="Tahoma"/>
          <w:bCs/>
        </w:rPr>
        <w:t xml:space="preserve">Please see Section IV.E., Evaluation Criteria for further </w:t>
      </w:r>
      <w:proofErr w:type="gramStart"/>
      <w:r w:rsidRPr="003C2F05">
        <w:rPr>
          <w:rFonts w:ascii="Tahoma" w:eastAsia="Tahoma" w:hAnsi="Tahoma" w:cs="Tahoma"/>
          <w:bCs/>
        </w:rPr>
        <w:t>detail</w:t>
      </w:r>
      <w:proofErr w:type="gramEnd"/>
      <w:r w:rsidRPr="003C2F05">
        <w:rPr>
          <w:rFonts w:ascii="Tahoma" w:eastAsia="Tahoma" w:hAnsi="Tahoma" w:cs="Tahoma"/>
          <w:bCs/>
        </w:rPr>
        <w:t>. Applicants will be evaluated on the degree to which fleets maximize their vehicle deployment and zero-emission-VMT.</w:t>
      </w:r>
    </w:p>
    <w:p w14:paraId="553ECEAA" w14:textId="1916B5C8" w:rsidR="000B2D17" w:rsidRDefault="000B2D17" w:rsidP="000B2D17">
      <w:pPr>
        <w:spacing w:before="100" w:beforeAutospacing="1" w:after="100" w:afterAutospacing="1"/>
        <w:ind w:left="720"/>
        <w:rPr>
          <w:rFonts w:ascii="Tahoma" w:eastAsia="Tahoma" w:hAnsi="Tahoma" w:cs="Tahoma"/>
          <w:bCs/>
        </w:rPr>
      </w:pPr>
      <w:r w:rsidRPr="003C2F05">
        <w:rPr>
          <w:rFonts w:ascii="Tahoma" w:eastAsia="Tahoma" w:hAnsi="Tahoma" w:cs="Tahoma"/>
          <w:bCs/>
        </w:rPr>
        <w:t xml:space="preserve">Please note that applicants </w:t>
      </w:r>
      <w:r w:rsidRPr="002733C9">
        <w:rPr>
          <w:rFonts w:ascii="Tahoma" w:eastAsia="Tahoma" w:hAnsi="Tahoma" w:cs="Tahoma"/>
          <w:b/>
          <w:u w:val="single"/>
        </w:rPr>
        <w:t>proposing Private Access infrastructure projects</w:t>
      </w:r>
      <w:r>
        <w:rPr>
          <w:rFonts w:ascii="Tahoma" w:eastAsia="Tahoma" w:hAnsi="Tahoma" w:cs="Tahoma"/>
        </w:rPr>
        <w:t xml:space="preserve"> </w:t>
      </w:r>
      <w:r w:rsidRPr="003C2F05">
        <w:rPr>
          <w:rFonts w:ascii="Tahoma" w:eastAsia="Tahoma" w:hAnsi="Tahoma" w:cs="Tahoma"/>
          <w:bCs/>
        </w:rPr>
        <w:t xml:space="preserve">may propose installing additional infrastructure with match funding. </w:t>
      </w:r>
      <w:r>
        <w:rPr>
          <w:rFonts w:ascii="Tahoma" w:eastAsia="Tahoma" w:hAnsi="Tahoma" w:cs="Tahoma"/>
          <w:bCs/>
        </w:rPr>
        <w:t>[</w:t>
      </w:r>
      <w:r w:rsidRPr="002733C9">
        <w:rPr>
          <w:rFonts w:ascii="Tahoma" w:eastAsia="Tahoma" w:hAnsi="Tahoma" w:cs="Tahoma"/>
          <w:bCs/>
          <w:strike/>
        </w:rPr>
        <w:t>For example, for a Private Access site, if a fleet cannot support two vehicles with one Level 2 charger, the fleet may use its own funds to procure and install additional Level 2 chargers to meet their needs. The additional chargers may be considered eligible match funding.</w:t>
      </w:r>
      <w:r>
        <w:rPr>
          <w:rFonts w:ascii="Tahoma" w:eastAsia="Tahoma" w:hAnsi="Tahoma" w:cs="Tahoma"/>
          <w:bCs/>
        </w:rPr>
        <w:t>]</w:t>
      </w:r>
    </w:p>
    <w:p w14:paraId="658B38F5" w14:textId="77777777" w:rsidR="000B2D17" w:rsidRPr="007953A9" w:rsidRDefault="000B2D17" w:rsidP="000B2D17">
      <w:pPr>
        <w:spacing w:before="100" w:beforeAutospacing="1"/>
        <w:ind w:left="720"/>
        <w:rPr>
          <w:rFonts w:ascii="Tahoma" w:eastAsia="Tahoma" w:hAnsi="Tahoma" w:cs="Tahoma"/>
          <w:b/>
          <w:bCs/>
          <w:u w:val="single"/>
        </w:rPr>
      </w:pPr>
      <w:r w:rsidRPr="007953A9">
        <w:rPr>
          <w:rFonts w:ascii="Tahoma" w:eastAsia="Tahoma" w:hAnsi="Tahoma" w:cs="Tahoma"/>
          <w:b/>
          <w:bCs/>
          <w:u w:val="single"/>
        </w:rPr>
        <w:t xml:space="preserve">For Example: </w:t>
      </w:r>
    </w:p>
    <w:p w14:paraId="2914E9BE" w14:textId="71B3D3DE" w:rsidR="000B2D17" w:rsidRDefault="000B2D17" w:rsidP="000B2D17">
      <w:pPr>
        <w:spacing w:before="100" w:beforeAutospacing="1"/>
        <w:ind w:left="720"/>
        <w:rPr>
          <w:rFonts w:ascii="Tahoma" w:eastAsia="Tahoma" w:hAnsi="Tahoma" w:cs="Tahoma"/>
          <w:b/>
          <w:bCs/>
          <w:u w:val="single"/>
        </w:rPr>
      </w:pPr>
      <w:r w:rsidRPr="007953A9">
        <w:rPr>
          <w:rFonts w:ascii="Tahoma" w:eastAsia="Tahoma" w:hAnsi="Tahoma" w:cs="Tahoma"/>
          <w:b/>
          <w:bCs/>
          <w:u w:val="single"/>
        </w:rPr>
        <w:t>A Private Access fleet determines that it needs 2</w:t>
      </w:r>
      <w:r>
        <w:rPr>
          <w:rFonts w:ascii="Tahoma" w:eastAsia="Tahoma" w:hAnsi="Tahoma" w:cs="Tahoma"/>
          <w:b/>
          <w:bCs/>
          <w:u w:val="single"/>
        </w:rPr>
        <w:t>0</w:t>
      </w:r>
      <w:r w:rsidRPr="007953A9">
        <w:rPr>
          <w:rFonts w:ascii="Tahoma" w:eastAsia="Tahoma" w:hAnsi="Tahoma" w:cs="Tahoma"/>
          <w:b/>
          <w:bCs/>
          <w:u w:val="single"/>
        </w:rPr>
        <w:t xml:space="preserve"> charging ports to meet its operational needs.</w:t>
      </w:r>
    </w:p>
    <w:p w14:paraId="2257F697" w14:textId="614256C8" w:rsidR="000B2D17" w:rsidRDefault="000B2D17" w:rsidP="000B2D17">
      <w:pPr>
        <w:spacing w:before="100" w:beforeAutospacing="1"/>
        <w:ind w:left="720"/>
        <w:rPr>
          <w:rFonts w:ascii="Tahoma" w:eastAsia="Tahoma" w:hAnsi="Tahoma" w:cs="Tahoma"/>
          <w:b/>
          <w:bCs/>
          <w:u w:val="single"/>
        </w:rPr>
      </w:pPr>
      <w:r w:rsidRPr="007953A9">
        <w:rPr>
          <w:rFonts w:ascii="Tahoma" w:eastAsia="Tahoma" w:hAnsi="Tahoma" w:cs="Tahoma"/>
          <w:b/>
          <w:bCs/>
          <w:u w:val="single"/>
        </w:rPr>
        <w:t xml:space="preserve">Under the solicitation requirements, each </w:t>
      </w:r>
      <w:r w:rsidR="00D326A0">
        <w:rPr>
          <w:rFonts w:ascii="Tahoma" w:eastAsia="Tahoma" w:hAnsi="Tahoma" w:cs="Tahoma"/>
          <w:b/>
          <w:bCs/>
          <w:u w:val="single"/>
        </w:rPr>
        <w:t>charging port</w:t>
      </w:r>
      <w:r w:rsidRPr="007953A9">
        <w:rPr>
          <w:rFonts w:ascii="Tahoma" w:eastAsia="Tahoma" w:hAnsi="Tahoma" w:cs="Tahoma"/>
          <w:b/>
          <w:bCs/>
          <w:u w:val="single"/>
        </w:rPr>
        <w:t xml:space="preserve"> must be able to support </w:t>
      </w:r>
      <w:r>
        <w:rPr>
          <w:rFonts w:ascii="Tahoma" w:eastAsia="Tahoma" w:hAnsi="Tahoma" w:cs="Tahoma"/>
          <w:b/>
          <w:bCs/>
          <w:u w:val="single"/>
        </w:rPr>
        <w:t>one</w:t>
      </w:r>
      <w:r w:rsidRPr="007953A9">
        <w:rPr>
          <w:rFonts w:ascii="Tahoma" w:eastAsia="Tahoma" w:hAnsi="Tahoma" w:cs="Tahoma"/>
          <w:b/>
          <w:bCs/>
          <w:u w:val="single"/>
        </w:rPr>
        <w:t xml:space="preserve"> ZEV.</w:t>
      </w:r>
      <w:r>
        <w:rPr>
          <w:rFonts w:ascii="Tahoma" w:eastAsia="Tahoma" w:hAnsi="Tahoma" w:cs="Tahoma"/>
          <w:b/>
          <w:bCs/>
          <w:u w:val="single"/>
        </w:rPr>
        <w:t xml:space="preserve"> </w:t>
      </w:r>
      <w:r w:rsidRPr="007953A9">
        <w:rPr>
          <w:rFonts w:ascii="Tahoma" w:eastAsia="Tahoma" w:hAnsi="Tahoma" w:cs="Tahoma"/>
          <w:b/>
          <w:bCs/>
          <w:u w:val="single"/>
        </w:rPr>
        <w:t xml:space="preserve">Therefore, the fleet must demonstrate: </w:t>
      </w:r>
    </w:p>
    <w:p w14:paraId="239BCD28" w14:textId="77777777" w:rsidR="000B2D17" w:rsidRPr="007953A9" w:rsidRDefault="000B2D17" w:rsidP="000B2D17">
      <w:pPr>
        <w:spacing w:before="100" w:beforeAutospacing="1"/>
        <w:ind w:left="720" w:firstLine="720"/>
        <w:rPr>
          <w:rFonts w:ascii="Tahoma" w:eastAsia="Tahoma" w:hAnsi="Tahoma" w:cs="Tahoma"/>
          <w:b/>
          <w:bCs/>
          <w:u w:val="single"/>
        </w:rPr>
      </w:pPr>
      <w:r w:rsidRPr="007953A9">
        <w:rPr>
          <w:rFonts w:ascii="Tahoma" w:eastAsia="Tahoma" w:hAnsi="Tahoma" w:cs="Tahoma"/>
          <w:b/>
          <w:bCs/>
          <w:u w:val="single"/>
        </w:rPr>
        <w:t>2</w:t>
      </w:r>
      <w:r>
        <w:rPr>
          <w:rFonts w:ascii="Tahoma" w:eastAsia="Tahoma" w:hAnsi="Tahoma" w:cs="Tahoma"/>
          <w:b/>
          <w:bCs/>
          <w:u w:val="single"/>
        </w:rPr>
        <w:t>0</w:t>
      </w:r>
      <w:r w:rsidRPr="007953A9">
        <w:rPr>
          <w:rFonts w:ascii="Tahoma" w:eastAsia="Tahoma" w:hAnsi="Tahoma" w:cs="Tahoma"/>
          <w:b/>
          <w:bCs/>
          <w:u w:val="single"/>
        </w:rPr>
        <w:t xml:space="preserve"> charging ports x </w:t>
      </w:r>
      <w:r>
        <w:rPr>
          <w:rFonts w:ascii="Tahoma" w:eastAsia="Tahoma" w:hAnsi="Tahoma" w:cs="Tahoma"/>
          <w:b/>
          <w:bCs/>
          <w:u w:val="single"/>
        </w:rPr>
        <w:t>1</w:t>
      </w:r>
      <w:r w:rsidRPr="007953A9">
        <w:rPr>
          <w:rFonts w:ascii="Tahoma" w:eastAsia="Tahoma" w:hAnsi="Tahoma" w:cs="Tahoma"/>
          <w:b/>
          <w:bCs/>
          <w:u w:val="single"/>
        </w:rPr>
        <w:t xml:space="preserve"> </w:t>
      </w:r>
      <w:r>
        <w:rPr>
          <w:rFonts w:ascii="Tahoma" w:eastAsia="Tahoma" w:hAnsi="Tahoma" w:cs="Tahoma"/>
          <w:b/>
          <w:bCs/>
          <w:u w:val="single"/>
        </w:rPr>
        <w:t>ZEV per port</w:t>
      </w:r>
      <w:r w:rsidRPr="007953A9">
        <w:rPr>
          <w:rFonts w:ascii="Tahoma" w:eastAsia="Tahoma" w:hAnsi="Tahoma" w:cs="Tahoma"/>
          <w:b/>
          <w:bCs/>
          <w:u w:val="single"/>
        </w:rPr>
        <w:t xml:space="preserve"> = </w:t>
      </w:r>
      <w:r>
        <w:rPr>
          <w:rFonts w:ascii="Tahoma" w:eastAsia="Tahoma" w:hAnsi="Tahoma" w:cs="Tahoma"/>
          <w:b/>
          <w:bCs/>
          <w:u w:val="single"/>
        </w:rPr>
        <w:t>2</w:t>
      </w:r>
      <w:r w:rsidRPr="007953A9">
        <w:rPr>
          <w:rFonts w:ascii="Tahoma" w:eastAsia="Tahoma" w:hAnsi="Tahoma" w:cs="Tahoma"/>
          <w:b/>
          <w:bCs/>
          <w:u w:val="single"/>
        </w:rPr>
        <w:t>0 ZEVs</w:t>
      </w:r>
      <w:r>
        <w:rPr>
          <w:rFonts w:ascii="Tahoma" w:eastAsia="Tahoma" w:hAnsi="Tahoma" w:cs="Tahoma"/>
          <w:b/>
          <w:bCs/>
          <w:u w:val="single"/>
        </w:rPr>
        <w:t xml:space="preserve"> required.</w:t>
      </w:r>
    </w:p>
    <w:p w14:paraId="2B1A4A41" w14:textId="37D94FC2" w:rsidR="000B2D17" w:rsidRPr="007953A9" w:rsidRDefault="000B2D17" w:rsidP="000B2D17">
      <w:pPr>
        <w:spacing w:before="100" w:beforeAutospacing="1"/>
        <w:ind w:left="720"/>
        <w:rPr>
          <w:rFonts w:ascii="Tahoma" w:eastAsia="Tahoma" w:hAnsi="Tahoma" w:cs="Tahoma"/>
          <w:b/>
          <w:bCs/>
          <w:u w:val="single"/>
        </w:rPr>
      </w:pPr>
      <w:r w:rsidRPr="007953A9">
        <w:rPr>
          <w:rFonts w:ascii="Tahoma" w:eastAsia="Tahoma" w:hAnsi="Tahoma" w:cs="Tahoma"/>
          <w:b/>
          <w:bCs/>
          <w:u w:val="single"/>
        </w:rPr>
        <w:t xml:space="preserve">The applicant currently owns </w:t>
      </w:r>
      <w:r>
        <w:rPr>
          <w:rFonts w:ascii="Tahoma" w:eastAsia="Tahoma" w:hAnsi="Tahoma" w:cs="Tahoma"/>
          <w:b/>
          <w:bCs/>
          <w:u w:val="single"/>
        </w:rPr>
        <w:t>10</w:t>
      </w:r>
      <w:r w:rsidRPr="007953A9">
        <w:rPr>
          <w:rFonts w:ascii="Tahoma" w:eastAsia="Tahoma" w:hAnsi="Tahoma" w:cs="Tahoma"/>
          <w:b/>
          <w:bCs/>
          <w:u w:val="single"/>
        </w:rPr>
        <w:t xml:space="preserve"> ZEVs and </w:t>
      </w:r>
      <w:r w:rsidR="00EE4941">
        <w:rPr>
          <w:rFonts w:ascii="Tahoma" w:eastAsia="Tahoma" w:hAnsi="Tahoma" w:cs="Tahoma"/>
          <w:b/>
          <w:bCs/>
          <w:u w:val="single"/>
        </w:rPr>
        <w:t>plans to</w:t>
      </w:r>
      <w:r w:rsidRPr="007953A9">
        <w:rPr>
          <w:rFonts w:ascii="Tahoma" w:eastAsia="Tahoma" w:hAnsi="Tahoma" w:cs="Tahoma"/>
          <w:b/>
          <w:bCs/>
          <w:u w:val="single"/>
        </w:rPr>
        <w:t xml:space="preserve"> order </w:t>
      </w:r>
      <w:r>
        <w:rPr>
          <w:rFonts w:ascii="Tahoma" w:eastAsia="Tahoma" w:hAnsi="Tahoma" w:cs="Tahoma"/>
          <w:b/>
          <w:bCs/>
          <w:u w:val="single"/>
        </w:rPr>
        <w:t>5</w:t>
      </w:r>
      <w:r w:rsidRPr="007953A9">
        <w:rPr>
          <w:rFonts w:ascii="Tahoma" w:eastAsia="Tahoma" w:hAnsi="Tahoma" w:cs="Tahoma"/>
          <w:b/>
          <w:bCs/>
          <w:u w:val="single"/>
        </w:rPr>
        <w:t xml:space="preserve"> </w:t>
      </w:r>
      <w:r w:rsidR="00EE4941">
        <w:rPr>
          <w:rFonts w:ascii="Tahoma" w:eastAsia="Tahoma" w:hAnsi="Tahoma" w:cs="Tahoma"/>
          <w:b/>
          <w:bCs/>
          <w:u w:val="single"/>
        </w:rPr>
        <w:t xml:space="preserve">additional </w:t>
      </w:r>
      <w:r w:rsidRPr="007953A9">
        <w:rPr>
          <w:rFonts w:ascii="Tahoma" w:eastAsia="Tahoma" w:hAnsi="Tahoma" w:cs="Tahoma"/>
          <w:b/>
          <w:bCs/>
          <w:u w:val="single"/>
        </w:rPr>
        <w:t>ZEV</w:t>
      </w:r>
      <w:r w:rsidR="00EE4941">
        <w:rPr>
          <w:rFonts w:ascii="Tahoma" w:eastAsia="Tahoma" w:hAnsi="Tahoma" w:cs="Tahoma"/>
          <w:b/>
          <w:bCs/>
          <w:u w:val="single"/>
        </w:rPr>
        <w:t>s within three months of agreement execution</w:t>
      </w:r>
      <w:r w:rsidRPr="007953A9">
        <w:rPr>
          <w:rFonts w:ascii="Tahoma" w:eastAsia="Tahoma" w:hAnsi="Tahoma" w:cs="Tahoma"/>
          <w:b/>
          <w:bCs/>
          <w:u w:val="single"/>
        </w:rPr>
        <w:t xml:space="preserve">, for a total of </w:t>
      </w:r>
      <w:r>
        <w:rPr>
          <w:rFonts w:ascii="Tahoma" w:eastAsia="Tahoma" w:hAnsi="Tahoma" w:cs="Tahoma"/>
          <w:b/>
          <w:bCs/>
          <w:u w:val="single"/>
        </w:rPr>
        <w:t>15</w:t>
      </w:r>
      <w:r w:rsidRPr="007953A9">
        <w:rPr>
          <w:rFonts w:ascii="Tahoma" w:eastAsia="Tahoma" w:hAnsi="Tahoma" w:cs="Tahoma"/>
          <w:b/>
          <w:bCs/>
          <w:u w:val="single"/>
        </w:rPr>
        <w:t xml:space="preserve"> ZEVs.</w:t>
      </w:r>
      <w:r w:rsidR="00EE4941">
        <w:rPr>
          <w:rFonts w:ascii="Tahoma" w:eastAsia="Tahoma" w:hAnsi="Tahoma" w:cs="Tahoma"/>
          <w:b/>
          <w:bCs/>
          <w:u w:val="single"/>
        </w:rPr>
        <w:t xml:space="preserve"> They do not intend to place any further vehicle orders for the next three years.</w:t>
      </w:r>
    </w:p>
    <w:p w14:paraId="2A9F6779" w14:textId="77777777" w:rsidR="000B2D17" w:rsidRPr="007953A9" w:rsidRDefault="000B2D17" w:rsidP="000B2D17">
      <w:pPr>
        <w:spacing w:before="100" w:beforeAutospacing="1"/>
        <w:ind w:left="720"/>
        <w:rPr>
          <w:rFonts w:ascii="Tahoma" w:eastAsia="Tahoma" w:hAnsi="Tahoma" w:cs="Tahoma"/>
          <w:b/>
          <w:bCs/>
          <w:u w:val="single"/>
        </w:rPr>
      </w:pPr>
      <w:r w:rsidRPr="007953A9">
        <w:rPr>
          <w:rFonts w:ascii="Tahoma" w:eastAsia="Tahoma" w:hAnsi="Tahoma" w:cs="Tahoma"/>
          <w:b/>
          <w:bCs/>
          <w:u w:val="single"/>
        </w:rPr>
        <w:t xml:space="preserve">Because the fleet has </w:t>
      </w:r>
      <w:r>
        <w:rPr>
          <w:rFonts w:ascii="Tahoma" w:eastAsia="Tahoma" w:hAnsi="Tahoma" w:cs="Tahoma"/>
          <w:b/>
          <w:bCs/>
          <w:u w:val="single"/>
        </w:rPr>
        <w:t>15</w:t>
      </w:r>
      <w:r w:rsidRPr="007953A9">
        <w:rPr>
          <w:rFonts w:ascii="Tahoma" w:eastAsia="Tahoma" w:hAnsi="Tahoma" w:cs="Tahoma"/>
          <w:b/>
          <w:bCs/>
          <w:u w:val="single"/>
        </w:rPr>
        <w:t xml:space="preserve"> ZEVs, which is fewer than the required </w:t>
      </w:r>
      <w:r>
        <w:rPr>
          <w:rFonts w:ascii="Tahoma" w:eastAsia="Tahoma" w:hAnsi="Tahoma" w:cs="Tahoma"/>
          <w:b/>
          <w:bCs/>
          <w:u w:val="single"/>
        </w:rPr>
        <w:t>20 ZEVs</w:t>
      </w:r>
      <w:r w:rsidRPr="007953A9">
        <w:rPr>
          <w:rFonts w:ascii="Tahoma" w:eastAsia="Tahoma" w:hAnsi="Tahoma" w:cs="Tahoma"/>
          <w:b/>
          <w:bCs/>
          <w:u w:val="single"/>
        </w:rPr>
        <w:t xml:space="preserve">, it </w:t>
      </w:r>
      <w:r>
        <w:rPr>
          <w:rFonts w:ascii="Tahoma" w:eastAsia="Tahoma" w:hAnsi="Tahoma" w:cs="Tahoma"/>
          <w:b/>
          <w:bCs/>
          <w:u w:val="single"/>
        </w:rPr>
        <w:t>is not eligible for</w:t>
      </w:r>
      <w:r w:rsidRPr="007953A9">
        <w:rPr>
          <w:rFonts w:ascii="Tahoma" w:eastAsia="Tahoma" w:hAnsi="Tahoma" w:cs="Tahoma"/>
          <w:b/>
          <w:bCs/>
          <w:u w:val="single"/>
        </w:rPr>
        <w:t xml:space="preserve"> CEC funding for all </w:t>
      </w:r>
      <w:r>
        <w:rPr>
          <w:rFonts w:ascii="Tahoma" w:eastAsia="Tahoma" w:hAnsi="Tahoma" w:cs="Tahoma"/>
          <w:b/>
          <w:bCs/>
          <w:u w:val="single"/>
        </w:rPr>
        <w:t>20</w:t>
      </w:r>
      <w:r w:rsidRPr="007953A9">
        <w:rPr>
          <w:rFonts w:ascii="Tahoma" w:eastAsia="Tahoma" w:hAnsi="Tahoma" w:cs="Tahoma"/>
          <w:b/>
          <w:bCs/>
          <w:u w:val="single"/>
        </w:rPr>
        <w:t xml:space="preserve"> charging ports.</w:t>
      </w:r>
    </w:p>
    <w:p w14:paraId="405147DA" w14:textId="324C2605" w:rsidR="000B2D17" w:rsidRDefault="000B2D17" w:rsidP="000B2D17">
      <w:pPr>
        <w:spacing w:before="100" w:beforeAutospacing="1"/>
        <w:ind w:left="720"/>
        <w:rPr>
          <w:rFonts w:ascii="Tahoma" w:eastAsia="Tahoma" w:hAnsi="Tahoma" w:cs="Tahoma"/>
          <w:b/>
          <w:bCs/>
          <w:u w:val="single"/>
        </w:rPr>
      </w:pPr>
      <w:r>
        <w:rPr>
          <w:rFonts w:ascii="Tahoma" w:eastAsia="Tahoma" w:hAnsi="Tahoma" w:cs="Tahoma"/>
        </w:rPr>
        <w:tab/>
      </w:r>
      <w:r>
        <w:rPr>
          <w:rFonts w:ascii="Tahoma" w:eastAsia="Tahoma" w:hAnsi="Tahoma" w:cs="Tahoma"/>
          <w:b/>
          <w:bCs/>
          <w:u w:val="single"/>
        </w:rPr>
        <w:t>15 ZEVs / 1 ZEV per charging port = 15 charging ports</w:t>
      </w:r>
    </w:p>
    <w:p w14:paraId="093E4732" w14:textId="078BAFDB" w:rsidR="000B2D17" w:rsidRPr="007953A9" w:rsidRDefault="000B2D17" w:rsidP="000B2D17">
      <w:pPr>
        <w:spacing w:before="100" w:beforeAutospacing="1"/>
        <w:ind w:left="720"/>
        <w:rPr>
          <w:rFonts w:ascii="Tahoma" w:eastAsia="Tahoma" w:hAnsi="Tahoma" w:cs="Tahoma"/>
          <w:b/>
          <w:bCs/>
          <w:u w:val="single"/>
        </w:rPr>
      </w:pPr>
      <w:r w:rsidRPr="007953A9">
        <w:rPr>
          <w:rFonts w:ascii="Tahoma" w:eastAsia="Tahoma" w:hAnsi="Tahoma" w:cs="Tahoma"/>
          <w:b/>
          <w:bCs/>
          <w:u w:val="single"/>
        </w:rPr>
        <w:t xml:space="preserve">Applicants cannot request a fraction of a </w:t>
      </w:r>
      <w:r w:rsidRPr="49FB0EBE">
        <w:rPr>
          <w:rFonts w:ascii="Tahoma" w:eastAsia="Tahoma" w:hAnsi="Tahoma" w:cs="Tahoma"/>
          <w:b/>
          <w:bCs/>
          <w:u w:val="single"/>
        </w:rPr>
        <w:t>charging port</w:t>
      </w:r>
      <w:r w:rsidRPr="007953A9">
        <w:rPr>
          <w:rFonts w:ascii="Tahoma" w:eastAsia="Tahoma" w:hAnsi="Tahoma" w:cs="Tahoma"/>
          <w:b/>
          <w:bCs/>
          <w:u w:val="single"/>
        </w:rPr>
        <w:t xml:space="preserve">, so the fleet is eligible for </w:t>
      </w:r>
      <w:r w:rsidR="007157D3">
        <w:rPr>
          <w:rFonts w:ascii="Tahoma" w:eastAsia="Tahoma" w:hAnsi="Tahoma" w:cs="Tahoma"/>
          <w:b/>
          <w:bCs/>
          <w:u w:val="single"/>
        </w:rPr>
        <w:t xml:space="preserve">CEC funding for </w:t>
      </w:r>
      <w:r w:rsidRPr="007953A9">
        <w:rPr>
          <w:rFonts w:ascii="Tahoma" w:eastAsia="Tahoma" w:hAnsi="Tahoma" w:cs="Tahoma"/>
          <w:b/>
          <w:bCs/>
          <w:u w:val="single"/>
        </w:rPr>
        <w:t xml:space="preserve">up to </w:t>
      </w:r>
      <w:r>
        <w:rPr>
          <w:rFonts w:ascii="Tahoma" w:eastAsia="Tahoma" w:hAnsi="Tahoma" w:cs="Tahoma"/>
          <w:b/>
          <w:bCs/>
          <w:u w:val="single"/>
        </w:rPr>
        <w:t>15</w:t>
      </w:r>
      <w:r w:rsidRPr="007953A9">
        <w:rPr>
          <w:rFonts w:ascii="Tahoma" w:eastAsia="Tahoma" w:hAnsi="Tahoma" w:cs="Tahoma"/>
          <w:b/>
          <w:bCs/>
          <w:u w:val="single"/>
        </w:rPr>
        <w:t xml:space="preserve"> charging ports</w:t>
      </w:r>
      <w:r w:rsidR="007157D3">
        <w:rPr>
          <w:rFonts w:ascii="Tahoma" w:eastAsia="Tahoma" w:hAnsi="Tahoma" w:cs="Tahoma"/>
          <w:b/>
          <w:bCs/>
          <w:u w:val="single"/>
        </w:rPr>
        <w:t>.</w:t>
      </w:r>
    </w:p>
    <w:p w14:paraId="353E0A34" w14:textId="77777777" w:rsidR="000B2D17" w:rsidRPr="007953A9" w:rsidRDefault="000B2D17" w:rsidP="000B2D17">
      <w:pPr>
        <w:spacing w:before="100" w:beforeAutospacing="1"/>
        <w:ind w:left="720"/>
        <w:rPr>
          <w:rFonts w:ascii="Tahoma" w:eastAsia="Tahoma" w:hAnsi="Tahoma" w:cs="Tahoma"/>
          <w:b/>
          <w:bCs/>
          <w:u w:val="single"/>
        </w:rPr>
      </w:pPr>
      <w:r w:rsidRPr="007953A9">
        <w:rPr>
          <w:rFonts w:ascii="Tahoma" w:eastAsia="Tahoma" w:hAnsi="Tahoma" w:cs="Tahoma"/>
          <w:b/>
          <w:bCs/>
          <w:u w:val="single"/>
        </w:rPr>
        <w:t>To still meet its operational need for 2</w:t>
      </w:r>
      <w:r>
        <w:rPr>
          <w:rFonts w:ascii="Tahoma" w:eastAsia="Tahoma" w:hAnsi="Tahoma" w:cs="Tahoma"/>
          <w:b/>
          <w:bCs/>
          <w:u w:val="single"/>
        </w:rPr>
        <w:t>0</w:t>
      </w:r>
      <w:r w:rsidRPr="007953A9">
        <w:rPr>
          <w:rFonts w:ascii="Tahoma" w:eastAsia="Tahoma" w:hAnsi="Tahoma" w:cs="Tahoma"/>
          <w:b/>
          <w:bCs/>
          <w:u w:val="single"/>
        </w:rPr>
        <w:t xml:space="preserve"> </w:t>
      </w:r>
      <w:r w:rsidRPr="1C068375">
        <w:rPr>
          <w:rFonts w:ascii="Tahoma" w:eastAsia="Tahoma" w:hAnsi="Tahoma" w:cs="Tahoma"/>
          <w:b/>
          <w:bCs/>
          <w:u w:val="single"/>
        </w:rPr>
        <w:t>charging ports</w:t>
      </w:r>
      <w:r w:rsidRPr="007953A9">
        <w:rPr>
          <w:rFonts w:ascii="Tahoma" w:eastAsia="Tahoma" w:hAnsi="Tahoma" w:cs="Tahoma"/>
          <w:b/>
          <w:bCs/>
          <w:u w:val="single"/>
        </w:rPr>
        <w:t xml:space="preserve">, the fleet may install the remaining 5 charging ports using its own funds. These additional </w:t>
      </w:r>
      <w:r w:rsidRPr="77AC02E3">
        <w:rPr>
          <w:rFonts w:ascii="Tahoma" w:eastAsia="Tahoma" w:hAnsi="Tahoma" w:cs="Tahoma"/>
          <w:b/>
          <w:bCs/>
          <w:u w:val="single"/>
        </w:rPr>
        <w:t>charging ports</w:t>
      </w:r>
      <w:r w:rsidRPr="007953A9">
        <w:rPr>
          <w:rFonts w:ascii="Tahoma" w:eastAsia="Tahoma" w:hAnsi="Tahoma" w:cs="Tahoma"/>
          <w:b/>
          <w:bCs/>
          <w:u w:val="single"/>
        </w:rPr>
        <w:t xml:space="preserve"> may be counted as eligible match funding.</w:t>
      </w:r>
    </w:p>
    <w:p w14:paraId="74E3BF48" w14:textId="7CBBB06F" w:rsidR="006C683F" w:rsidRDefault="006C683F" w:rsidP="000B2D17">
      <w:r>
        <w:t xml:space="preserve"> </w:t>
      </w:r>
    </w:p>
    <w:p w14:paraId="7C685F68" w14:textId="0EAE450B" w:rsidR="00B74FE5" w:rsidRDefault="00B74FE5" w:rsidP="00003900">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r>
        <w:rPr>
          <w:rFonts w:ascii="Tahoma" w:eastAsiaTheme="majorEastAsia" w:hAnsi="Tahoma" w:cs="Tahoma"/>
          <w:bCs/>
          <w:smallCaps w:val="0"/>
          <w:sz w:val="24"/>
          <w:szCs w:val="24"/>
          <w:lang w:val="en-US" w:eastAsia="en-US"/>
        </w:rPr>
        <w:t>Section II.C.</w:t>
      </w:r>
      <w:r w:rsidR="009D2367">
        <w:rPr>
          <w:rFonts w:ascii="Tahoma" w:eastAsiaTheme="majorEastAsia" w:hAnsi="Tahoma" w:cs="Tahoma"/>
          <w:bCs/>
          <w:smallCaps w:val="0"/>
          <w:sz w:val="24"/>
          <w:szCs w:val="24"/>
          <w:lang w:val="en-US" w:eastAsia="en-US"/>
        </w:rPr>
        <w:t>1 Minimum Technical Requirements for Electric Vehicle Charging Stations</w:t>
      </w:r>
    </w:p>
    <w:p w14:paraId="39D7E692" w14:textId="77777777" w:rsidR="009D2367" w:rsidRDefault="009D2367" w:rsidP="009D2367">
      <w:pPr>
        <w:pStyle w:val="Heading3"/>
      </w:pPr>
    </w:p>
    <w:p w14:paraId="6ECF9A4F" w14:textId="566AFB0B" w:rsidR="007804A0" w:rsidRPr="0062781F" w:rsidRDefault="007804A0" w:rsidP="007804A0">
      <w:pPr>
        <w:pStyle w:val="ListParagraph"/>
        <w:numPr>
          <w:ilvl w:val="0"/>
          <w:numId w:val="32"/>
        </w:numPr>
        <w:spacing w:before="100" w:after="100"/>
        <w:ind w:hanging="720"/>
        <w:contextualSpacing w:val="0"/>
        <w:rPr>
          <w:rFonts w:ascii="Tahoma" w:hAnsi="Tahoma" w:cs="Tahoma"/>
        </w:rPr>
      </w:pPr>
      <w:r w:rsidRPr="0062781F">
        <w:rPr>
          <w:rFonts w:ascii="Tahoma" w:hAnsi="Tahoma" w:cs="Tahoma"/>
        </w:rPr>
        <w:t xml:space="preserve">The Energy Infrastructure Incentives for Zero-Emission Commercial Vehicles (EnergIIZE) program is an incentive program funded by the CEC and administered by CALSTART. The charging station equipment funded under this solicitation must conform </w:t>
      </w:r>
      <w:r>
        <w:rPr>
          <w:rFonts w:ascii="Tahoma" w:hAnsi="Tahoma" w:cs="Tahoma"/>
          <w:b/>
          <w:bCs/>
          <w:u w:val="single"/>
        </w:rPr>
        <w:t xml:space="preserve">to the applicable safety and technical standards listed in the solicitation. As long as the charger meets the same standards that listed equipment is required to meet, and that compliance can be verified, an Applicant may purchase equipment not formally included on the </w:t>
      </w:r>
      <w:hyperlink r:id="rId12" w:history="1">
        <w:r w:rsidRPr="001A092D">
          <w:rPr>
            <w:rStyle w:val="Hyperlink"/>
            <w:rFonts w:ascii="Tahoma" w:hAnsi="Tahoma" w:cs="Tahoma"/>
            <w:b/>
            <w:bCs/>
          </w:rPr>
          <w:t>EnergIIZE Equipment Catalog</w:t>
        </w:r>
      </w:hyperlink>
      <w:r>
        <w:rPr>
          <w:rFonts w:ascii="Tahoma" w:hAnsi="Tahoma" w:cs="Tahoma"/>
          <w:b/>
          <w:bCs/>
          <w:u w:val="single"/>
        </w:rPr>
        <w:t xml:space="preserve"> list </w:t>
      </w:r>
      <w:r w:rsidRPr="00CD2D69">
        <w:rPr>
          <w:rFonts w:ascii="Tahoma" w:hAnsi="Tahoma" w:cs="Tahoma"/>
        </w:rPr>
        <w:t>[</w:t>
      </w:r>
      <w:r w:rsidRPr="00995F02">
        <w:rPr>
          <w:rFonts w:ascii="Tahoma" w:hAnsi="Tahoma" w:cs="Tahoma"/>
          <w:strike/>
        </w:rPr>
        <w:t xml:space="preserve">with equipment detailed in the </w:t>
      </w:r>
      <w:hyperlink r:id="rId13" w:history="1">
        <w:r w:rsidRPr="00995F02">
          <w:rPr>
            <w:rStyle w:val="Hyperlink"/>
            <w:rFonts w:ascii="Tahoma" w:hAnsi="Tahoma" w:cs="Tahoma"/>
            <w:strike/>
          </w:rPr>
          <w:t>EnergIIZE [Eligible Electric Technology] Catalog</w:t>
        </w:r>
      </w:hyperlink>
      <w:r w:rsidR="00874191">
        <w:t>]</w:t>
      </w:r>
      <w:r w:rsidRPr="00FF2CF6">
        <w:rPr>
          <w:rFonts w:ascii="Tahoma" w:hAnsi="Tahoma" w:cs="Tahoma"/>
        </w:rPr>
        <w:t xml:space="preserve"> which can be found at </w:t>
      </w:r>
      <w:r w:rsidR="00874191">
        <w:rPr>
          <w:rFonts w:ascii="Tahoma" w:hAnsi="Tahoma" w:cs="Tahoma"/>
        </w:rPr>
        <w:t>[</w:t>
      </w:r>
      <w:hyperlink r:id="rId14" w:history="1">
        <w:r w:rsidRPr="00995F02">
          <w:rPr>
            <w:rStyle w:val="Hyperlink"/>
            <w:rFonts w:ascii="Tahoma" w:hAnsi="Tahoma" w:cs="Tahoma"/>
            <w:strike/>
            <w:lang w:eastAsia="x-none"/>
          </w:rPr>
          <w:t>https://www.energiize.org/infrastructure?section=infrastructure.more-details.technology</w:t>
        </w:r>
      </w:hyperlink>
      <w:r w:rsidRPr="00B06CE2">
        <w:rPr>
          <w:rFonts w:ascii="Tahoma" w:hAnsi="Tahoma" w:cs="Tahoma"/>
        </w:rPr>
        <w:t xml:space="preserve">] </w:t>
      </w:r>
      <w:hyperlink r:id="rId15" w:history="1">
        <w:r w:rsidRPr="00B06CE2">
          <w:rPr>
            <w:rStyle w:val="Hyperlink"/>
            <w:rFonts w:ascii="Tahoma" w:hAnsi="Tahoma" w:cs="Tahoma"/>
            <w:b/>
            <w:bCs/>
          </w:rPr>
          <w:t>https://energiize.org/equipment-catalog/</w:t>
        </w:r>
      </w:hyperlink>
      <w:r w:rsidRPr="00B06CE2">
        <w:rPr>
          <w:rFonts w:ascii="Tahoma" w:hAnsi="Tahoma" w:cs="Tahoma"/>
        </w:rPr>
        <w:t>.</w:t>
      </w:r>
    </w:p>
    <w:p w14:paraId="419D91EF" w14:textId="77777777" w:rsidR="00831AC0" w:rsidRPr="00831AC0" w:rsidRDefault="00831AC0" w:rsidP="00831AC0">
      <w:pPr>
        <w:ind w:left="720"/>
      </w:pPr>
    </w:p>
    <w:p w14:paraId="05FA95BD" w14:textId="7173A406" w:rsidR="00003900" w:rsidRDefault="00003900" w:rsidP="00003900">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r w:rsidRPr="00F06CED">
        <w:rPr>
          <w:rFonts w:ascii="Tahoma" w:eastAsiaTheme="majorEastAsia" w:hAnsi="Tahoma" w:cs="Tahoma"/>
          <w:bCs/>
          <w:smallCaps w:val="0"/>
          <w:sz w:val="24"/>
          <w:szCs w:val="24"/>
          <w:lang w:val="en-US" w:eastAsia="en-US"/>
        </w:rPr>
        <w:t xml:space="preserve">Section </w:t>
      </w:r>
      <w:r>
        <w:rPr>
          <w:rFonts w:ascii="Tahoma" w:eastAsiaTheme="majorEastAsia" w:hAnsi="Tahoma" w:cs="Tahoma"/>
          <w:bCs/>
          <w:smallCaps w:val="0"/>
          <w:sz w:val="24"/>
          <w:szCs w:val="24"/>
          <w:lang w:val="en-US" w:eastAsia="en-US"/>
        </w:rPr>
        <w:t>II.C.4</w:t>
      </w:r>
      <w:r w:rsidRPr="00F06CED">
        <w:rPr>
          <w:rFonts w:ascii="Tahoma" w:eastAsiaTheme="majorEastAsia" w:hAnsi="Tahoma" w:cs="Tahoma"/>
          <w:bCs/>
          <w:smallCaps w:val="0"/>
          <w:sz w:val="24"/>
          <w:szCs w:val="24"/>
          <w:lang w:val="en-US" w:eastAsia="en-US"/>
        </w:rPr>
        <w:t xml:space="preserve"> </w:t>
      </w:r>
      <w:r w:rsidR="00D51027">
        <w:rPr>
          <w:rFonts w:ascii="Tahoma" w:eastAsiaTheme="majorEastAsia" w:hAnsi="Tahoma" w:cs="Tahoma"/>
          <w:bCs/>
          <w:smallCaps w:val="0"/>
          <w:sz w:val="24"/>
          <w:szCs w:val="24"/>
          <w:lang w:val="en-US" w:eastAsia="en-US"/>
        </w:rPr>
        <w:t>Minimum Technical Requirements for Electric Vehicle Charging Stations</w:t>
      </w:r>
    </w:p>
    <w:p w14:paraId="18B87D09" w14:textId="77777777" w:rsidR="00414EAF" w:rsidRPr="00414EAF" w:rsidRDefault="00414EAF" w:rsidP="00414EAF">
      <w:pPr>
        <w:pStyle w:val="Heading3"/>
      </w:pPr>
    </w:p>
    <w:p w14:paraId="0CB4AD27" w14:textId="6CA27200" w:rsidR="00414EAF" w:rsidRDefault="00414EAF" w:rsidP="00414EAF">
      <w:pPr>
        <w:ind w:left="1440" w:hanging="720"/>
        <w:rPr>
          <w:rFonts w:ascii="Tahoma" w:hAnsi="Tahoma" w:cs="Tahoma"/>
        </w:rPr>
      </w:pPr>
      <w:r w:rsidRPr="00206807">
        <w:rPr>
          <w:rFonts w:ascii="Tahoma" w:hAnsi="Tahoma" w:cs="Tahoma"/>
        </w:rPr>
        <w:t>4.</w:t>
      </w:r>
      <w:r w:rsidRPr="00206807">
        <w:rPr>
          <w:rFonts w:ascii="Tahoma" w:hAnsi="Tahoma" w:cs="Tahoma"/>
        </w:rPr>
        <w:tab/>
      </w:r>
      <w:r w:rsidRPr="00414EAF">
        <w:rPr>
          <w:rFonts w:ascii="Tahoma" w:hAnsi="Tahoma" w:cs="Tahoma"/>
        </w:rPr>
        <w:t>[</w:t>
      </w:r>
      <w:r w:rsidRPr="00414EAF">
        <w:rPr>
          <w:rFonts w:ascii="Tahoma" w:hAnsi="Tahoma" w:cs="Tahoma"/>
          <w:strike/>
        </w:rPr>
        <w:t xml:space="preserve">The charging port must be Energy Star certified and listed on the </w:t>
      </w:r>
      <w:hyperlink r:id="rId16">
        <w:r w:rsidRPr="00414EAF">
          <w:rPr>
            <w:rStyle w:val="Hyperlink"/>
            <w:rFonts w:ascii="Tahoma" w:hAnsi="Tahoma" w:cs="Tahoma"/>
            <w:strike/>
            <w:lang w:eastAsia="x-none"/>
          </w:rPr>
          <w:t>Energy Star Product Finder Page</w:t>
        </w:r>
      </w:hyperlink>
      <w:r w:rsidRPr="00414EAF">
        <w:rPr>
          <w:rFonts w:ascii="Tahoma" w:hAnsi="Tahoma" w:cs="Tahoma"/>
          <w:strike/>
        </w:rPr>
        <w:t xml:space="preserve">. They do not have to be certified at the time of submitting the proposal but must be certified prior to submitting an invoice that seeks repayment </w:t>
      </w:r>
      <w:proofErr w:type="gramStart"/>
      <w:r w:rsidRPr="00414EAF">
        <w:rPr>
          <w:rFonts w:ascii="Tahoma" w:hAnsi="Tahoma" w:cs="Tahoma"/>
          <w:strike/>
        </w:rPr>
        <w:t>for</w:t>
      </w:r>
      <w:proofErr w:type="gramEnd"/>
      <w:r w:rsidRPr="00414EAF">
        <w:rPr>
          <w:rFonts w:ascii="Tahoma" w:hAnsi="Tahoma" w:cs="Tahoma"/>
          <w:strike/>
        </w:rPr>
        <w:t xml:space="preserve"> the chargers. Chargers over 350 kW are not required to be Energy Star certified.</w:t>
      </w:r>
      <w:r w:rsidRPr="00414EAF">
        <w:rPr>
          <w:rFonts w:ascii="Tahoma" w:hAnsi="Tahoma" w:cs="Tahoma"/>
        </w:rPr>
        <w:t>]  </w:t>
      </w:r>
    </w:p>
    <w:p w14:paraId="2FA4F0EE" w14:textId="77777777" w:rsidR="00BB3AE8" w:rsidRPr="000914DE" w:rsidRDefault="00BB3AE8" w:rsidP="00414EAF">
      <w:pPr>
        <w:ind w:left="1440" w:hanging="720"/>
        <w:rPr>
          <w:rFonts w:ascii="Tahoma" w:hAnsi="Tahoma" w:cs="Tahoma"/>
        </w:rPr>
      </w:pPr>
    </w:p>
    <w:p w14:paraId="10161673" w14:textId="33E828A3" w:rsidR="00BB3AE8" w:rsidRDefault="00BB3AE8" w:rsidP="00BB3AE8">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r w:rsidRPr="00F06CED">
        <w:rPr>
          <w:rFonts w:ascii="Tahoma" w:eastAsiaTheme="majorEastAsia" w:hAnsi="Tahoma" w:cs="Tahoma"/>
          <w:bCs/>
          <w:smallCaps w:val="0"/>
          <w:sz w:val="24"/>
          <w:szCs w:val="24"/>
          <w:lang w:val="en-US" w:eastAsia="en-US"/>
        </w:rPr>
        <w:t xml:space="preserve">Section </w:t>
      </w:r>
      <w:r>
        <w:rPr>
          <w:rFonts w:ascii="Tahoma" w:eastAsiaTheme="majorEastAsia" w:hAnsi="Tahoma" w:cs="Tahoma"/>
          <w:bCs/>
          <w:smallCaps w:val="0"/>
          <w:sz w:val="24"/>
          <w:szCs w:val="24"/>
          <w:lang w:val="en-US" w:eastAsia="en-US"/>
        </w:rPr>
        <w:t>III.D.2.a.i.</w:t>
      </w:r>
      <w:r w:rsidRPr="00F06CED">
        <w:rPr>
          <w:rFonts w:ascii="Tahoma" w:eastAsiaTheme="majorEastAsia" w:hAnsi="Tahoma" w:cs="Tahoma"/>
          <w:bCs/>
          <w:smallCaps w:val="0"/>
          <w:sz w:val="24"/>
          <w:szCs w:val="24"/>
          <w:lang w:val="en-US" w:eastAsia="en-US"/>
        </w:rPr>
        <w:t xml:space="preserve"> </w:t>
      </w:r>
      <w:r w:rsidR="007500C3">
        <w:rPr>
          <w:rFonts w:ascii="Tahoma" w:eastAsiaTheme="majorEastAsia" w:hAnsi="Tahoma" w:cs="Tahoma"/>
          <w:bCs/>
          <w:smallCaps w:val="0"/>
          <w:sz w:val="24"/>
          <w:szCs w:val="24"/>
          <w:lang w:val="en-US" w:eastAsia="en-US"/>
        </w:rPr>
        <w:t>Project Readiness/Implementation</w:t>
      </w:r>
    </w:p>
    <w:p w14:paraId="4BE15C82" w14:textId="3A90119C" w:rsidR="007E18AE" w:rsidRPr="008C5DBF" w:rsidRDefault="007E18AE" w:rsidP="007E18AE">
      <w:pPr>
        <w:pStyle w:val="paragraph"/>
        <w:numPr>
          <w:ilvl w:val="0"/>
          <w:numId w:val="35"/>
        </w:numPr>
        <w:spacing w:before="120" w:beforeAutospacing="0" w:after="120" w:afterAutospacing="0"/>
        <w:ind w:left="1440"/>
        <w:textAlignment w:val="baseline"/>
        <w:rPr>
          <w:rFonts w:ascii="Tahoma" w:hAnsi="Tahoma" w:cs="Tahoma"/>
        </w:rPr>
      </w:pPr>
      <w:r w:rsidRPr="008C5DBF">
        <w:rPr>
          <w:rFonts w:ascii="Tahoma" w:hAnsi="Tahoma" w:cs="Tahoma"/>
        </w:rPr>
        <w:t>Demonstrate how the proposed project will maximize zero-emission vehicle deployment</w:t>
      </w:r>
      <w:r>
        <w:rPr>
          <w:rFonts w:ascii="Tahoma" w:hAnsi="Tahoma" w:cs="Tahoma"/>
        </w:rPr>
        <w:t xml:space="preserve"> </w:t>
      </w:r>
      <w:proofErr w:type="gramStart"/>
      <w:r w:rsidRPr="005C5D0A">
        <w:rPr>
          <w:rFonts w:ascii="Tahoma" w:hAnsi="Tahoma" w:cs="Tahoma"/>
          <w:b/>
          <w:bCs/>
          <w:u w:val="single"/>
        </w:rPr>
        <w:t>per</w:t>
      </w:r>
      <w:proofErr w:type="gramEnd"/>
      <w:r w:rsidRPr="005C5D0A">
        <w:rPr>
          <w:rFonts w:ascii="Tahoma" w:hAnsi="Tahoma" w:cs="Tahoma"/>
          <w:b/>
          <w:bCs/>
          <w:u w:val="single"/>
        </w:rPr>
        <w:t xml:space="preserve"> charging port/refueling position</w:t>
      </w:r>
      <w:r w:rsidRPr="008C5DBF">
        <w:rPr>
          <w:rFonts w:ascii="Tahoma" w:hAnsi="Tahoma" w:cs="Tahoma"/>
        </w:rPr>
        <w:t xml:space="preserve">. Demonstrate how the project will reach broader markets, including whether the project will support shared fleets or infrastructure serving multiple fleet operators. Describe fleet commitments, if applicable, or what strategies the Applicant will take to maximize market growth. </w:t>
      </w:r>
    </w:p>
    <w:p w14:paraId="0C390355" w14:textId="3E083A38" w:rsidR="00005579" w:rsidRDefault="00005579" w:rsidP="00005579">
      <w:pPr>
        <w:pStyle w:val="Heading2"/>
        <w:keepNext w:val="0"/>
        <w:numPr>
          <w:ilvl w:val="0"/>
          <w:numId w:val="2"/>
        </w:numPr>
        <w:spacing w:before="0" w:after="0"/>
        <w:ind w:left="720" w:hanging="720"/>
        <w:rPr>
          <w:rFonts w:ascii="Tahoma" w:eastAsiaTheme="majorEastAsia" w:hAnsi="Tahoma" w:cs="Tahoma"/>
          <w:bCs/>
          <w:smallCaps w:val="0"/>
          <w:sz w:val="24"/>
          <w:szCs w:val="24"/>
          <w:lang w:val="en-US" w:eastAsia="en-US"/>
        </w:rPr>
      </w:pPr>
      <w:r w:rsidRPr="00F06CED">
        <w:rPr>
          <w:rFonts w:ascii="Tahoma" w:eastAsiaTheme="majorEastAsia" w:hAnsi="Tahoma" w:cs="Tahoma"/>
          <w:bCs/>
          <w:smallCaps w:val="0"/>
          <w:sz w:val="24"/>
          <w:szCs w:val="24"/>
          <w:lang w:val="en-US" w:eastAsia="en-US"/>
        </w:rPr>
        <w:t xml:space="preserve">Section </w:t>
      </w:r>
      <w:r>
        <w:rPr>
          <w:rFonts w:ascii="Tahoma" w:eastAsiaTheme="majorEastAsia" w:hAnsi="Tahoma" w:cs="Tahoma"/>
          <w:bCs/>
          <w:smallCaps w:val="0"/>
          <w:sz w:val="24"/>
          <w:szCs w:val="24"/>
          <w:lang w:val="en-US" w:eastAsia="en-US"/>
        </w:rPr>
        <w:t>I</w:t>
      </w:r>
      <w:r w:rsidR="002B0A97">
        <w:rPr>
          <w:rFonts w:ascii="Tahoma" w:eastAsiaTheme="majorEastAsia" w:hAnsi="Tahoma" w:cs="Tahoma"/>
          <w:bCs/>
          <w:smallCaps w:val="0"/>
          <w:sz w:val="24"/>
          <w:szCs w:val="24"/>
          <w:lang w:val="en-US" w:eastAsia="en-US"/>
        </w:rPr>
        <w:t>V</w:t>
      </w:r>
      <w:r>
        <w:rPr>
          <w:rFonts w:ascii="Tahoma" w:eastAsiaTheme="majorEastAsia" w:hAnsi="Tahoma" w:cs="Tahoma"/>
          <w:bCs/>
          <w:smallCaps w:val="0"/>
          <w:sz w:val="24"/>
          <w:szCs w:val="24"/>
          <w:lang w:val="en-US" w:eastAsia="en-US"/>
        </w:rPr>
        <w:t>.E.1.</w:t>
      </w:r>
      <w:r w:rsidRPr="00F06CED">
        <w:rPr>
          <w:rFonts w:ascii="Tahoma" w:eastAsiaTheme="majorEastAsia" w:hAnsi="Tahoma" w:cs="Tahoma"/>
          <w:bCs/>
          <w:smallCaps w:val="0"/>
          <w:sz w:val="24"/>
          <w:szCs w:val="24"/>
          <w:lang w:val="en-US" w:eastAsia="en-US"/>
        </w:rPr>
        <w:t xml:space="preserve"> </w:t>
      </w:r>
      <w:r>
        <w:rPr>
          <w:rFonts w:ascii="Tahoma" w:eastAsiaTheme="majorEastAsia" w:hAnsi="Tahoma" w:cs="Tahoma"/>
          <w:bCs/>
          <w:smallCaps w:val="0"/>
          <w:sz w:val="24"/>
          <w:szCs w:val="24"/>
          <w:lang w:val="en-US" w:eastAsia="en-US"/>
        </w:rPr>
        <w:t>Project Readiness/Implementation</w:t>
      </w:r>
    </w:p>
    <w:p w14:paraId="73E7C187" w14:textId="77777777" w:rsidR="00DD3006" w:rsidRDefault="00DD3006" w:rsidP="00DD3006">
      <w:pPr>
        <w:pStyle w:val="Heading3"/>
      </w:pPr>
    </w:p>
    <w:tbl>
      <w:tblPr>
        <w:tblStyle w:val="TableGrid"/>
        <w:tblW w:w="10075" w:type="dxa"/>
        <w:tblLook w:val="04A0" w:firstRow="1" w:lastRow="0" w:firstColumn="1" w:lastColumn="0" w:noHBand="0" w:noVBand="1"/>
      </w:tblPr>
      <w:tblGrid>
        <w:gridCol w:w="10075"/>
      </w:tblGrid>
      <w:tr w:rsidR="00DA1FB3" w:rsidRPr="00A31904" w14:paraId="2C084DD8" w14:textId="77777777" w:rsidTr="005A378C">
        <w:trPr>
          <w:trHeight w:val="1520"/>
        </w:trPr>
        <w:tc>
          <w:tcPr>
            <w:tcW w:w="10075" w:type="dxa"/>
          </w:tcPr>
          <w:p w14:paraId="0B7BE084" w14:textId="77777777" w:rsidR="00DA1FB3" w:rsidRPr="00A31904" w:rsidRDefault="00DA1FB3" w:rsidP="00DA1FB3">
            <w:pPr>
              <w:numPr>
                <w:ilvl w:val="6"/>
                <w:numId w:val="38"/>
              </w:numPr>
              <w:ind w:left="720" w:hanging="720"/>
              <w:rPr>
                <w:rFonts w:ascii="Tahoma" w:hAnsi="Tahoma" w:cs="Tahoma"/>
                <w:b/>
              </w:rPr>
            </w:pPr>
            <w:r w:rsidRPr="00A31904">
              <w:rPr>
                <w:rFonts w:ascii="Tahoma" w:hAnsi="Tahoma" w:cs="Tahoma"/>
                <w:b/>
              </w:rPr>
              <w:t>Project Readiness</w:t>
            </w:r>
            <w:r>
              <w:rPr>
                <w:rFonts w:ascii="Tahoma" w:hAnsi="Tahoma" w:cs="Tahoma"/>
                <w:b/>
              </w:rPr>
              <w:t>/Implementation</w:t>
            </w:r>
          </w:p>
          <w:p w14:paraId="2A60E219" w14:textId="77777777" w:rsidR="00DA1FB3" w:rsidRPr="00A31904" w:rsidRDefault="00DA1FB3">
            <w:pPr>
              <w:rPr>
                <w:rFonts w:ascii="Tahoma" w:hAnsi="Tahoma" w:cs="Tahoma"/>
              </w:rPr>
            </w:pPr>
            <w:r w:rsidRPr="00A31904">
              <w:rPr>
                <w:rFonts w:ascii="Tahoma" w:hAnsi="Tahoma" w:cs="Tahoma"/>
              </w:rPr>
              <w:t xml:space="preserve">Applications will be evaluated </w:t>
            </w:r>
            <w:proofErr w:type="gramStart"/>
            <w:r w:rsidRPr="00A31904">
              <w:rPr>
                <w:rFonts w:ascii="Tahoma" w:hAnsi="Tahoma" w:cs="Tahoma"/>
              </w:rPr>
              <w:t>on</w:t>
            </w:r>
            <w:proofErr w:type="gramEnd"/>
            <w:r w:rsidRPr="00A31904">
              <w:rPr>
                <w:rFonts w:ascii="Tahoma" w:hAnsi="Tahoma" w:cs="Tahoma"/>
              </w:rPr>
              <w:t xml:space="preserve"> the degree to which</w:t>
            </w:r>
            <w:r>
              <w:rPr>
                <w:rFonts w:ascii="Tahoma" w:hAnsi="Tahoma" w:cs="Tahoma"/>
              </w:rPr>
              <w:t>:</w:t>
            </w:r>
          </w:p>
          <w:p w14:paraId="61CEB11F" w14:textId="77777777" w:rsidR="00DA1FB3" w:rsidRPr="008C3983" w:rsidRDefault="00DA1FB3" w:rsidP="00DA1FB3">
            <w:pPr>
              <w:numPr>
                <w:ilvl w:val="0"/>
                <w:numId w:val="10"/>
              </w:numPr>
              <w:spacing w:after="60"/>
              <w:rPr>
                <w:rFonts w:ascii="Tahoma" w:hAnsi="Tahoma" w:cs="Tahoma"/>
              </w:rPr>
            </w:pPr>
            <w:r w:rsidRPr="008C5DBF">
              <w:rPr>
                <w:rFonts w:ascii="Tahoma" w:hAnsi="Tahoma" w:cs="Tahoma"/>
                <w:bCs/>
              </w:rPr>
              <w:t>The proposed project maximizes vehicle deployment</w:t>
            </w:r>
            <w:r>
              <w:rPr>
                <w:rFonts w:ascii="Tahoma" w:hAnsi="Tahoma" w:cs="Tahoma"/>
                <w:bCs/>
              </w:rPr>
              <w:t xml:space="preserve"> </w:t>
            </w:r>
            <w:proofErr w:type="gramStart"/>
            <w:r w:rsidRPr="0097197B">
              <w:rPr>
                <w:rFonts w:ascii="Tahoma" w:hAnsi="Tahoma" w:cs="Tahoma"/>
                <w:b/>
                <w:u w:val="single"/>
              </w:rPr>
              <w:t>per</w:t>
            </w:r>
            <w:proofErr w:type="gramEnd"/>
            <w:r w:rsidRPr="0097197B">
              <w:rPr>
                <w:rFonts w:ascii="Tahoma" w:hAnsi="Tahoma" w:cs="Tahoma"/>
                <w:b/>
                <w:u w:val="single"/>
              </w:rPr>
              <w:t xml:space="preserve"> charging port</w:t>
            </w:r>
            <w:r w:rsidRPr="00493595">
              <w:rPr>
                <w:rFonts w:ascii="Tahoma" w:hAnsi="Tahoma" w:cs="Tahoma"/>
                <w:b/>
                <w:u w:val="single"/>
              </w:rPr>
              <w:t>/refueling position</w:t>
            </w:r>
            <w:r w:rsidRPr="008C5DBF">
              <w:rPr>
                <w:rFonts w:ascii="Tahoma" w:hAnsi="Tahoma" w:cs="Tahoma"/>
                <w:bCs/>
              </w:rPr>
              <w:t>.</w:t>
            </w:r>
          </w:p>
          <w:p w14:paraId="516DDC82" w14:textId="77777777" w:rsidR="00DA1FB3" w:rsidRDefault="00DA1FB3" w:rsidP="00DA1FB3">
            <w:pPr>
              <w:numPr>
                <w:ilvl w:val="0"/>
                <w:numId w:val="10"/>
              </w:numPr>
              <w:spacing w:after="60"/>
              <w:rPr>
                <w:rFonts w:ascii="Tahoma" w:hAnsi="Tahoma" w:cs="Tahoma"/>
              </w:rPr>
            </w:pPr>
            <w:r>
              <w:rPr>
                <w:rFonts w:ascii="Tahoma" w:hAnsi="Tahoma" w:cs="Tahoma"/>
              </w:rPr>
              <w:t>Site control is secured</w:t>
            </w:r>
            <w:r w:rsidRPr="008C5DBF">
              <w:rPr>
                <w:rFonts w:ascii="Tahoma" w:hAnsi="Tahoma" w:cs="Tahoma"/>
                <w:bCs/>
              </w:rPr>
              <w:t>, viable back-up sites are identified, and a sufficient plan for managing site or site host changes is provided</w:t>
            </w:r>
            <w:r>
              <w:rPr>
                <w:rFonts w:ascii="Tahoma" w:hAnsi="Tahoma" w:cs="Tahoma"/>
              </w:rPr>
              <w:t>.</w:t>
            </w:r>
          </w:p>
          <w:p w14:paraId="7EB156CB" w14:textId="77777777" w:rsidR="00DA1FB3" w:rsidRDefault="00DA1FB3" w:rsidP="00DA1FB3">
            <w:pPr>
              <w:numPr>
                <w:ilvl w:val="0"/>
                <w:numId w:val="10"/>
              </w:numPr>
              <w:spacing w:after="60"/>
              <w:rPr>
                <w:rFonts w:ascii="Tahoma" w:hAnsi="Tahoma" w:cs="Tahoma"/>
              </w:rPr>
            </w:pPr>
            <w:r>
              <w:rPr>
                <w:rFonts w:ascii="Tahoma" w:hAnsi="Tahoma" w:cs="Tahoma"/>
              </w:rPr>
              <w:t>The proposed project has achieved compliance under CEQA</w:t>
            </w:r>
            <w:r w:rsidRPr="7EA7DDFE">
              <w:rPr>
                <w:rFonts w:ascii="Tahoma" w:hAnsi="Tahoma" w:cs="Tahoma"/>
              </w:rPr>
              <w:t>.</w:t>
            </w:r>
          </w:p>
          <w:p w14:paraId="745B9557" w14:textId="77777777" w:rsidR="00DA1FB3" w:rsidRDefault="00DA1FB3" w:rsidP="00DA1FB3">
            <w:pPr>
              <w:numPr>
                <w:ilvl w:val="0"/>
                <w:numId w:val="10"/>
              </w:numPr>
              <w:spacing w:after="60"/>
              <w:rPr>
                <w:rFonts w:ascii="Tahoma" w:hAnsi="Tahoma" w:cs="Tahoma"/>
              </w:rPr>
            </w:pPr>
            <w:r w:rsidRPr="00477B6C">
              <w:rPr>
                <w:rFonts w:ascii="Tahoma" w:hAnsi="Tahoma" w:cs="Tahoma"/>
              </w:rPr>
              <w:t>Required permitting for the proposed project has been completed</w:t>
            </w:r>
            <w:r w:rsidRPr="7EA7DDFE">
              <w:rPr>
                <w:rFonts w:ascii="Tahoma" w:hAnsi="Tahoma" w:cs="Tahoma"/>
              </w:rPr>
              <w:t>.</w:t>
            </w:r>
          </w:p>
          <w:p w14:paraId="787D2483" w14:textId="77777777" w:rsidR="00DA1FB3" w:rsidRDefault="00DA1FB3" w:rsidP="00DA1FB3">
            <w:pPr>
              <w:numPr>
                <w:ilvl w:val="0"/>
                <w:numId w:val="10"/>
              </w:numPr>
              <w:spacing w:after="60"/>
              <w:rPr>
                <w:rFonts w:ascii="Tahoma" w:hAnsi="Tahoma" w:cs="Tahoma"/>
              </w:rPr>
            </w:pPr>
            <w:r w:rsidRPr="006E31A6">
              <w:rPr>
                <w:rFonts w:ascii="Tahoma" w:hAnsi="Tahoma" w:cs="Tahoma"/>
              </w:rPr>
              <w:t xml:space="preserve">Coordination with the respective utility provider for utility connection </w:t>
            </w:r>
            <w:r w:rsidRPr="1790AADF">
              <w:rPr>
                <w:rFonts w:ascii="Tahoma" w:hAnsi="Tahoma" w:cs="Tahoma"/>
              </w:rPr>
              <w:t>demonstrates accelerated timeline</w:t>
            </w:r>
            <w:r w:rsidRPr="006E31A6">
              <w:rPr>
                <w:rFonts w:ascii="Tahoma" w:hAnsi="Tahoma" w:cs="Tahoma"/>
              </w:rPr>
              <w:t xml:space="preserve"> to energize the sites.</w:t>
            </w:r>
          </w:p>
          <w:p w14:paraId="73EEA3CE" w14:textId="77777777" w:rsidR="00DA1FB3" w:rsidRPr="00FD38BB" w:rsidRDefault="00DA1FB3" w:rsidP="00DA1FB3">
            <w:pPr>
              <w:pStyle w:val="ListParagraph"/>
              <w:numPr>
                <w:ilvl w:val="0"/>
                <w:numId w:val="10"/>
              </w:numPr>
              <w:spacing w:after="60"/>
              <w:contextualSpacing w:val="0"/>
              <w:rPr>
                <w:rFonts w:ascii="Tahoma" w:hAnsi="Tahoma" w:cs="Tahoma"/>
              </w:rPr>
            </w:pPr>
            <w:r w:rsidRPr="00FD38BB">
              <w:rPr>
                <w:rFonts w:ascii="Tahoma" w:hAnsi="Tahoma" w:cs="Tahoma"/>
              </w:rPr>
              <w:t xml:space="preserve">The equipment to be deployed meets the Charger Port/Hydrogen Refueling Dispenser Minimums and accelerates project timelines. </w:t>
            </w:r>
          </w:p>
          <w:p w14:paraId="250F1D88" w14:textId="77777777" w:rsidR="00DA1FB3" w:rsidRDefault="00DA1FB3" w:rsidP="00DA1FB3">
            <w:pPr>
              <w:numPr>
                <w:ilvl w:val="0"/>
                <w:numId w:val="10"/>
              </w:numPr>
              <w:spacing w:after="60"/>
              <w:rPr>
                <w:rFonts w:ascii="Tahoma" w:hAnsi="Tahoma" w:cs="Tahoma"/>
              </w:rPr>
            </w:pPr>
            <w:r w:rsidRPr="0088538B">
              <w:rPr>
                <w:rFonts w:ascii="Tahoma" w:hAnsi="Tahoma" w:cs="Tahoma"/>
              </w:rPr>
              <w:t xml:space="preserve">The infrastructure to be deployed is appropriate for the project’s vehicle population and leads to successful deployment of zero-emission </w:t>
            </w:r>
            <w:r>
              <w:rPr>
                <w:rFonts w:ascii="Tahoma" w:hAnsi="Tahoma" w:cs="Tahoma"/>
              </w:rPr>
              <w:t>MDHD vehicles</w:t>
            </w:r>
            <w:r w:rsidRPr="0088538B">
              <w:rPr>
                <w:rFonts w:ascii="Tahoma" w:hAnsi="Tahoma" w:cs="Tahoma"/>
              </w:rPr>
              <w:t>.</w:t>
            </w:r>
          </w:p>
          <w:p w14:paraId="4FECC272" w14:textId="77777777" w:rsidR="00DA1FB3" w:rsidRPr="002D2229" w:rsidRDefault="00DA1FB3" w:rsidP="00DA1FB3">
            <w:pPr>
              <w:numPr>
                <w:ilvl w:val="0"/>
                <w:numId w:val="10"/>
              </w:numPr>
              <w:spacing w:after="60"/>
              <w:rPr>
                <w:rFonts w:ascii="Tahoma" w:hAnsi="Tahoma" w:cs="Tahoma"/>
              </w:rPr>
            </w:pPr>
            <w:r>
              <w:rPr>
                <w:rFonts w:ascii="Tahoma" w:hAnsi="Tahoma" w:cs="Tahoma"/>
              </w:rPr>
              <w:t xml:space="preserve">A clear and realistic timeline is provided for the acquisition or retrofitting of MDHD ZEVs. Strategies to expedite </w:t>
            </w:r>
            <w:proofErr w:type="gramStart"/>
            <w:r>
              <w:rPr>
                <w:rFonts w:ascii="Tahoma" w:hAnsi="Tahoma" w:cs="Tahoma"/>
              </w:rPr>
              <w:t>the vehicle</w:t>
            </w:r>
            <w:proofErr w:type="gramEnd"/>
            <w:r>
              <w:rPr>
                <w:rFonts w:ascii="Tahoma" w:hAnsi="Tahoma" w:cs="Tahoma"/>
              </w:rPr>
              <w:t xml:space="preserve"> acquisition or retrofitting process are identified.</w:t>
            </w:r>
          </w:p>
          <w:p w14:paraId="48EC79AA" w14:textId="77777777" w:rsidR="00DA1FB3" w:rsidRDefault="00DA1FB3" w:rsidP="00DA1FB3">
            <w:pPr>
              <w:numPr>
                <w:ilvl w:val="0"/>
                <w:numId w:val="10"/>
              </w:numPr>
              <w:tabs>
                <w:tab w:val="num" w:pos="1425"/>
              </w:tabs>
              <w:spacing w:after="60"/>
              <w:textAlignment w:val="baseline"/>
              <w:rPr>
                <w:rFonts w:ascii="Tahoma" w:hAnsi="Tahoma" w:cs="Tahoma"/>
              </w:rPr>
            </w:pPr>
            <w:r>
              <w:rPr>
                <w:rFonts w:ascii="Tahoma" w:hAnsi="Tahoma" w:cs="Tahoma"/>
              </w:rPr>
              <w:t>A clear and feasible timeline is provided for obtaining chargers and/or hydrogen refueling dispensers, and/or other necessary equipment. Strategies are identified to expedite the procurement and installation process.</w:t>
            </w:r>
          </w:p>
          <w:p w14:paraId="330437F7" w14:textId="77777777" w:rsidR="00DA1FB3" w:rsidRDefault="00DA1FB3" w:rsidP="00DA1FB3">
            <w:pPr>
              <w:numPr>
                <w:ilvl w:val="0"/>
                <w:numId w:val="10"/>
              </w:numPr>
              <w:tabs>
                <w:tab w:val="num" w:pos="1425"/>
              </w:tabs>
              <w:spacing w:after="60"/>
              <w:textAlignment w:val="baseline"/>
              <w:rPr>
                <w:rFonts w:ascii="Tahoma" w:hAnsi="Tahoma" w:cs="Tahoma"/>
              </w:rPr>
            </w:pPr>
            <w:r>
              <w:rPr>
                <w:rFonts w:ascii="Tahoma" w:hAnsi="Tahoma" w:cs="Tahoma"/>
              </w:rPr>
              <w:t>A clear and realistic timeline is provided for the installation and commissioning of chargers and/or hydrogen refueling dispensers.</w:t>
            </w:r>
          </w:p>
          <w:p w14:paraId="43E3C3F7" w14:textId="77777777" w:rsidR="00DA1FB3" w:rsidRPr="00192981" w:rsidRDefault="00DA1FB3" w:rsidP="00DA1FB3">
            <w:pPr>
              <w:numPr>
                <w:ilvl w:val="0"/>
                <w:numId w:val="10"/>
              </w:numPr>
              <w:tabs>
                <w:tab w:val="num" w:pos="1425"/>
              </w:tabs>
              <w:spacing w:after="60"/>
              <w:textAlignment w:val="baseline"/>
              <w:rPr>
                <w:rFonts w:ascii="Tahoma" w:hAnsi="Tahoma" w:cs="Tahoma"/>
              </w:rPr>
            </w:pPr>
            <w:r w:rsidRPr="004F5879">
              <w:rPr>
                <w:rFonts w:ascii="Tahoma" w:hAnsi="Tahoma" w:cs="Tahoma"/>
              </w:rPr>
              <w:t xml:space="preserve">Equipment manufacturers, connector/refueling standards, fuel delivery methods (for hydrogen projects), security measures, and safety standards </w:t>
            </w:r>
            <w:r>
              <w:rPr>
                <w:rFonts w:ascii="Tahoma" w:hAnsi="Tahoma" w:cs="Tahoma"/>
              </w:rPr>
              <w:t>are</w:t>
            </w:r>
            <w:r w:rsidRPr="004F5879">
              <w:rPr>
                <w:rFonts w:ascii="Tahoma" w:hAnsi="Tahoma" w:cs="Tahoma"/>
              </w:rPr>
              <w:t xml:space="preserve"> appropriate for the proposed project and lead to successful deployment of zero-emission </w:t>
            </w:r>
            <w:r>
              <w:rPr>
                <w:rFonts w:ascii="Tahoma" w:hAnsi="Tahoma" w:cs="Tahoma"/>
              </w:rPr>
              <w:t>MDHD vehicles</w:t>
            </w:r>
            <w:r w:rsidRPr="004F5879">
              <w:rPr>
                <w:rFonts w:ascii="Tahoma" w:hAnsi="Tahoma" w:cs="Tahoma"/>
              </w:rPr>
              <w:t>.</w:t>
            </w:r>
          </w:p>
          <w:p w14:paraId="13E1AE47" w14:textId="77777777" w:rsidR="00DA1FB3" w:rsidRDefault="00DA1FB3" w:rsidP="00DA1FB3">
            <w:pPr>
              <w:numPr>
                <w:ilvl w:val="0"/>
                <w:numId w:val="10"/>
              </w:numPr>
              <w:tabs>
                <w:tab w:val="num" w:pos="1425"/>
              </w:tabs>
              <w:spacing w:after="60"/>
              <w:textAlignment w:val="baseline"/>
              <w:rPr>
                <w:rFonts w:ascii="Tahoma" w:hAnsi="Tahoma" w:cs="Tahoma"/>
              </w:rPr>
            </w:pPr>
            <w:r>
              <w:rPr>
                <w:rFonts w:ascii="Tahoma" w:hAnsi="Tahoma" w:cs="Tahoma"/>
              </w:rPr>
              <w:t>The project will effectively deploy renewable DERs and/or renewable energy generation equipment to accelerate timelines. A clear plan is provided for the use, management, and long-term commitment to zero-emission and/or renewable fuel equipment beyond project completion.</w:t>
            </w:r>
          </w:p>
          <w:p w14:paraId="53E7A193" w14:textId="77777777" w:rsidR="00DA1FB3" w:rsidRPr="002D2229" w:rsidRDefault="00DA1FB3" w:rsidP="00DA1FB3">
            <w:pPr>
              <w:numPr>
                <w:ilvl w:val="0"/>
                <w:numId w:val="10"/>
              </w:numPr>
              <w:tabs>
                <w:tab w:val="num" w:pos="1425"/>
              </w:tabs>
              <w:spacing w:after="60"/>
              <w:textAlignment w:val="baseline"/>
              <w:rPr>
                <w:rFonts w:ascii="Tahoma" w:hAnsi="Tahoma" w:cs="Tahoma"/>
              </w:rPr>
            </w:pPr>
            <w:r>
              <w:rPr>
                <w:rFonts w:ascii="Tahoma" w:hAnsi="Tahoma" w:cs="Tahoma"/>
              </w:rPr>
              <w:t xml:space="preserve">If solar or storage equipment is included in the project, proposed project describes how the equipment </w:t>
            </w:r>
            <w:proofErr w:type="gramStart"/>
            <w:r>
              <w:rPr>
                <w:rFonts w:ascii="Tahoma" w:hAnsi="Tahoma" w:cs="Tahoma"/>
              </w:rPr>
              <w:t>to be deployed</w:t>
            </w:r>
            <w:proofErr w:type="gramEnd"/>
            <w:r>
              <w:rPr>
                <w:rFonts w:ascii="Tahoma" w:hAnsi="Tahoma" w:cs="Tahoma"/>
              </w:rPr>
              <w:t xml:space="preserve"> will lower the cost of electricity for charging or hydrogen fuel for customers.</w:t>
            </w:r>
          </w:p>
          <w:p w14:paraId="782E5EB0" w14:textId="77777777" w:rsidR="00DA1FB3" w:rsidRDefault="00DA1FB3" w:rsidP="00DA1FB3">
            <w:pPr>
              <w:numPr>
                <w:ilvl w:val="0"/>
                <w:numId w:val="10"/>
              </w:numPr>
              <w:tabs>
                <w:tab w:val="num" w:pos="1425"/>
              </w:tabs>
              <w:spacing w:after="60"/>
              <w:textAlignment w:val="baseline"/>
              <w:rPr>
                <w:rFonts w:ascii="Tahoma" w:hAnsi="Tahoma" w:cs="Tahoma"/>
              </w:rPr>
            </w:pPr>
            <w:r w:rsidRPr="004C3976">
              <w:rPr>
                <w:rFonts w:ascii="Tahoma" w:hAnsi="Tahoma" w:cs="Tahoma"/>
              </w:rPr>
              <w:t>The tasks in the Scope of Work contribute to the successful and timely completion of the proposed project.</w:t>
            </w:r>
          </w:p>
          <w:p w14:paraId="25F3816C" w14:textId="77777777" w:rsidR="00DA1FB3" w:rsidRDefault="00DA1FB3" w:rsidP="00DA1FB3">
            <w:pPr>
              <w:numPr>
                <w:ilvl w:val="0"/>
                <w:numId w:val="10"/>
              </w:numPr>
              <w:tabs>
                <w:tab w:val="num" w:pos="1425"/>
              </w:tabs>
              <w:spacing w:after="60"/>
              <w:textAlignment w:val="baseline"/>
              <w:rPr>
                <w:rFonts w:ascii="Tahoma" w:hAnsi="Tahoma" w:cs="Tahoma"/>
              </w:rPr>
            </w:pPr>
            <w:r w:rsidRPr="004552FE">
              <w:rPr>
                <w:rFonts w:ascii="Tahoma" w:hAnsi="Tahoma" w:cs="Tahoma"/>
              </w:rPr>
              <w:t>Planned community outreach is appropriate and comprehensive and contributes to the overall success of the proposed project.</w:t>
            </w:r>
          </w:p>
          <w:p w14:paraId="09B8CCE7" w14:textId="77777777" w:rsidR="00DA1FB3" w:rsidRDefault="00DA1FB3" w:rsidP="00DA1FB3">
            <w:pPr>
              <w:numPr>
                <w:ilvl w:val="0"/>
                <w:numId w:val="10"/>
              </w:numPr>
              <w:tabs>
                <w:tab w:val="num" w:pos="1425"/>
              </w:tabs>
              <w:spacing w:after="60"/>
              <w:textAlignment w:val="baseline"/>
              <w:rPr>
                <w:rFonts w:ascii="Tahoma" w:hAnsi="Tahoma" w:cs="Tahoma"/>
              </w:rPr>
            </w:pPr>
            <w:r w:rsidRPr="728FCEBF">
              <w:rPr>
                <w:rFonts w:ascii="Tahoma" w:hAnsi="Tahoma" w:cs="Tahoma"/>
              </w:rPr>
              <w:t>Major risks and barriers to successful project completion are identified and mitigated. </w:t>
            </w:r>
          </w:p>
          <w:p w14:paraId="11996408" w14:textId="77777777" w:rsidR="00DA1FB3" w:rsidRDefault="00DA1FB3" w:rsidP="00DA1FB3">
            <w:pPr>
              <w:numPr>
                <w:ilvl w:val="0"/>
                <w:numId w:val="10"/>
              </w:numPr>
              <w:tabs>
                <w:tab w:val="num" w:pos="1425"/>
              </w:tabs>
              <w:spacing w:after="60"/>
              <w:textAlignment w:val="baseline"/>
              <w:rPr>
                <w:rFonts w:ascii="Tahoma" w:hAnsi="Tahoma" w:cs="Tahoma"/>
              </w:rPr>
            </w:pPr>
            <w:r w:rsidRPr="005C4307">
              <w:rPr>
                <w:rFonts w:ascii="Tahoma" w:hAnsi="Tahoma" w:cs="Tahoma"/>
              </w:rPr>
              <w:t>The retail price of fuel and/or the cost of charging will be minimized.</w:t>
            </w:r>
          </w:p>
          <w:p w14:paraId="449F3D87" w14:textId="77777777" w:rsidR="00DA1FB3" w:rsidRPr="00A31904" w:rsidRDefault="00DA1FB3">
            <w:pPr>
              <w:spacing w:before="120"/>
              <w:textAlignment w:val="baseline"/>
              <w:rPr>
                <w:rFonts w:ascii="Tahoma" w:hAnsi="Tahoma" w:cs="Tahoma"/>
              </w:rPr>
            </w:pPr>
            <w:r w:rsidRPr="00192981">
              <w:rPr>
                <w:rFonts w:ascii="Tahoma" w:hAnsi="Tahoma" w:cs="Tahoma"/>
                <w:b/>
                <w:bCs/>
              </w:rPr>
              <w:t xml:space="preserve">NOTE: Project Readiness </w:t>
            </w:r>
            <w:r w:rsidRPr="00192981">
              <w:rPr>
                <w:rFonts w:ascii="Tahoma" w:hAnsi="Tahoma" w:cs="Tahoma"/>
                <w:b/>
                <w:bCs/>
                <w:u w:val="single"/>
              </w:rPr>
              <w:t>must</w:t>
            </w:r>
            <w:r w:rsidRPr="00192981">
              <w:rPr>
                <w:rFonts w:ascii="Tahoma" w:hAnsi="Tahoma" w:cs="Tahoma"/>
                <w:b/>
                <w:bCs/>
              </w:rPr>
              <w:t xml:space="preserve"> obtain a minimum passing score of</w:t>
            </w:r>
            <w:r w:rsidRPr="00426276">
              <w:rPr>
                <w:rFonts w:ascii="Tahoma" w:hAnsi="Tahoma" w:cs="Tahoma"/>
                <w:b/>
                <w:bCs/>
              </w:rPr>
              <w:t xml:space="preserve"> 21</w:t>
            </w:r>
            <w:r w:rsidRPr="002F2CBA">
              <w:rPr>
                <w:rFonts w:ascii="Tahoma" w:hAnsi="Tahoma" w:cs="Tahoma"/>
                <w:b/>
                <w:bCs/>
              </w:rPr>
              <w:t xml:space="preserve"> </w:t>
            </w:r>
            <w:r w:rsidRPr="00192981">
              <w:rPr>
                <w:rFonts w:ascii="Tahoma" w:hAnsi="Tahoma" w:cs="Tahoma"/>
                <w:b/>
                <w:bCs/>
              </w:rPr>
              <w:t xml:space="preserve">points </w:t>
            </w:r>
            <w:r>
              <w:rPr>
                <w:rFonts w:ascii="Tahoma" w:hAnsi="Tahoma" w:cs="Tahoma"/>
                <w:b/>
                <w:bCs/>
              </w:rPr>
              <w:t xml:space="preserve">(70% percent) </w:t>
            </w:r>
            <w:r w:rsidRPr="00192981">
              <w:rPr>
                <w:rFonts w:ascii="Tahoma" w:hAnsi="Tahoma" w:cs="Tahoma"/>
                <w:b/>
                <w:bCs/>
              </w:rPr>
              <w:t xml:space="preserve">within this evaluation </w:t>
            </w:r>
            <w:proofErr w:type="gramStart"/>
            <w:r w:rsidRPr="00192981">
              <w:rPr>
                <w:rFonts w:ascii="Tahoma" w:hAnsi="Tahoma" w:cs="Tahoma"/>
                <w:b/>
                <w:bCs/>
              </w:rPr>
              <w:t>criterion</w:t>
            </w:r>
            <w:proofErr w:type="gramEnd"/>
            <w:r>
              <w:rPr>
                <w:rFonts w:ascii="Tahoma" w:hAnsi="Tahoma" w:cs="Tahoma"/>
                <w:b/>
                <w:bCs/>
              </w:rPr>
              <w:t xml:space="preserve"> to be eligible for funding</w:t>
            </w:r>
            <w:r w:rsidRPr="00192981">
              <w:rPr>
                <w:rFonts w:ascii="Tahoma" w:hAnsi="Tahoma" w:cs="Tahoma"/>
                <w:b/>
                <w:bCs/>
              </w:rPr>
              <w:t>.</w:t>
            </w:r>
          </w:p>
        </w:tc>
      </w:tr>
    </w:tbl>
    <w:p w14:paraId="6F90BD0D" w14:textId="77777777" w:rsidR="00BB3AE8" w:rsidRDefault="00BB3AE8" w:rsidP="00414EAF">
      <w:pPr>
        <w:rPr>
          <w:rFonts w:ascii="Tahoma" w:hAnsi="Tahoma" w:cs="Tahoma"/>
          <w:b/>
          <w:bCs/>
        </w:rPr>
      </w:pPr>
    </w:p>
    <w:p w14:paraId="6921A62B" w14:textId="7B39B2E4" w:rsidR="000914DE" w:rsidRPr="000914DE" w:rsidRDefault="000914DE" w:rsidP="00414EAF">
      <w:pPr>
        <w:rPr>
          <w:rFonts w:ascii="Tahoma" w:hAnsi="Tahoma" w:cs="Tahoma"/>
          <w:b/>
          <w:bCs/>
        </w:rPr>
      </w:pPr>
      <w:r w:rsidRPr="000914DE">
        <w:rPr>
          <w:rFonts w:ascii="Tahoma" w:hAnsi="Tahoma" w:cs="Tahoma"/>
          <w:b/>
          <w:bCs/>
        </w:rPr>
        <w:t>Questions and Answers</w:t>
      </w:r>
    </w:p>
    <w:p w14:paraId="617CE2CC" w14:textId="77777777" w:rsidR="00707AE0" w:rsidRDefault="00707AE0" w:rsidP="00707AE0">
      <w:pPr>
        <w:ind w:left="720" w:hanging="720"/>
        <w:rPr>
          <w:rStyle w:val="normaltextrun"/>
          <w:rFonts w:ascii="Tahoma" w:eastAsia="Tahoma" w:hAnsi="Tahoma" w:cs="Tahoma"/>
          <w:b/>
          <w:color w:val="000000" w:themeColor="text1"/>
        </w:rPr>
      </w:pPr>
    </w:p>
    <w:p w14:paraId="58816B56" w14:textId="18F3F14D" w:rsidR="00707AE0" w:rsidRDefault="00707AE0" w:rsidP="00707AE0">
      <w:pPr>
        <w:ind w:left="720" w:hanging="720"/>
        <w:rPr>
          <w:rFonts w:ascii="Tahoma" w:hAnsi="Tahoma" w:cs="Tahoma"/>
        </w:rPr>
      </w:pPr>
      <w:r>
        <w:rPr>
          <w:rStyle w:val="normaltextrun"/>
          <w:rFonts w:ascii="Tahoma" w:eastAsia="Tahoma" w:hAnsi="Tahoma" w:cs="Tahoma"/>
          <w:b/>
          <w:color w:val="000000" w:themeColor="text1"/>
        </w:rPr>
        <w:t>Q4:</w:t>
      </w:r>
      <w:r>
        <w:tab/>
      </w:r>
      <w:r>
        <w:rPr>
          <w:rFonts w:ascii="Tahoma" w:hAnsi="Tahoma" w:cs="Tahoma"/>
          <w:b/>
        </w:rPr>
        <w:t xml:space="preserve">How does this solicitation assess the charging port capacity? In </w:t>
      </w:r>
      <w:proofErr w:type="gramStart"/>
      <w:r>
        <w:rPr>
          <w:rFonts w:ascii="Tahoma" w:hAnsi="Tahoma" w:cs="Tahoma"/>
          <w:b/>
        </w:rPr>
        <w:t>the instance</w:t>
      </w:r>
      <w:proofErr w:type="gramEnd"/>
      <w:r>
        <w:rPr>
          <w:rFonts w:ascii="Tahoma" w:hAnsi="Tahoma" w:cs="Tahoma"/>
          <w:b/>
        </w:rPr>
        <w:t xml:space="preserve"> where a 360 kW Power Cabinet supports three charging ports, charging capacity varies based on how many </w:t>
      </w:r>
      <w:proofErr w:type="gramStart"/>
      <w:r>
        <w:rPr>
          <w:rFonts w:ascii="Tahoma" w:hAnsi="Tahoma" w:cs="Tahoma"/>
          <w:b/>
        </w:rPr>
        <w:t>port</w:t>
      </w:r>
      <w:proofErr w:type="gramEnd"/>
      <w:r>
        <w:rPr>
          <w:rFonts w:ascii="Tahoma" w:hAnsi="Tahoma" w:cs="Tahoma"/>
          <w:b/>
        </w:rPr>
        <w:t xml:space="preserve"> are active simultaneously, 360 kW if only one port is active, 180 kW two ports are simultaneously active and 90 kW when three ports are simultaneously active. Is the maximum, average, minimum, or other </w:t>
      </w:r>
      <w:proofErr w:type="gramStart"/>
      <w:r>
        <w:rPr>
          <w:rFonts w:ascii="Tahoma" w:hAnsi="Tahoma" w:cs="Tahoma"/>
          <w:b/>
        </w:rPr>
        <w:t>factor</w:t>
      </w:r>
      <w:proofErr w:type="gramEnd"/>
      <w:r>
        <w:rPr>
          <w:rFonts w:ascii="Tahoma" w:hAnsi="Tahoma" w:cs="Tahoma"/>
          <w:b/>
        </w:rPr>
        <w:t xml:space="preserve"> considered </w:t>
      </w:r>
      <w:proofErr w:type="gramStart"/>
      <w:r>
        <w:rPr>
          <w:rFonts w:ascii="Tahoma" w:hAnsi="Tahoma" w:cs="Tahoma"/>
          <w:b/>
        </w:rPr>
        <w:t>for the amount of</w:t>
      </w:r>
      <w:proofErr w:type="gramEnd"/>
      <w:r>
        <w:rPr>
          <w:rFonts w:ascii="Tahoma" w:hAnsi="Tahoma" w:cs="Tahoma"/>
          <w:b/>
        </w:rPr>
        <w:t xml:space="preserve"> eligible funding available?</w:t>
      </w:r>
      <w:r>
        <w:rPr>
          <w:rFonts w:ascii="Tahoma" w:hAnsi="Tahoma" w:cs="Tahoma"/>
        </w:rPr>
        <w:t> </w:t>
      </w:r>
    </w:p>
    <w:p w14:paraId="77FFB734" w14:textId="77777777" w:rsidR="00707AE0" w:rsidRDefault="00707AE0" w:rsidP="00707AE0">
      <w:pPr>
        <w:spacing w:before="100" w:beforeAutospacing="1" w:after="100" w:afterAutospacing="1"/>
        <w:ind w:left="720" w:hanging="720"/>
        <w:rPr>
          <w:rFonts w:ascii="Tahoma" w:hAnsi="Tahoma" w:cs="Tahoma"/>
        </w:rPr>
      </w:pPr>
      <w:r>
        <w:rPr>
          <w:rFonts w:ascii="Tahoma" w:hAnsi="Tahoma" w:cs="Tahoma"/>
        </w:rPr>
        <w:t>A4.</w:t>
      </w:r>
      <w:r>
        <w:rPr>
          <w:rFonts w:ascii="Tahoma" w:hAnsi="Tahoma" w:cs="Tahoma"/>
        </w:rPr>
        <w:t> </w:t>
      </w:r>
      <w:r>
        <w:rPr>
          <w:rFonts w:ascii="Tahoma" w:hAnsi="Tahoma" w:cs="Tahoma"/>
        </w:rPr>
        <w:tab/>
        <w:t>Please see Addendum [</w:t>
      </w:r>
      <w:r w:rsidRPr="008937D5">
        <w:rPr>
          <w:rFonts w:ascii="Tahoma" w:hAnsi="Tahoma" w:cs="Tahoma"/>
          <w:strike/>
        </w:rPr>
        <w:t>6</w:t>
      </w:r>
      <w:r>
        <w:rPr>
          <w:rFonts w:ascii="Tahoma" w:hAnsi="Tahoma" w:cs="Tahoma"/>
        </w:rPr>
        <w:t>]</w:t>
      </w:r>
      <w:r w:rsidRPr="008937D5">
        <w:rPr>
          <w:rFonts w:ascii="Tahoma" w:hAnsi="Tahoma" w:cs="Tahoma"/>
          <w:b/>
          <w:bCs/>
          <w:u w:val="single"/>
        </w:rPr>
        <w:t>9</w:t>
      </w:r>
      <w:r>
        <w:rPr>
          <w:rFonts w:ascii="Tahoma" w:hAnsi="Tahoma" w:cs="Tahoma"/>
        </w:rPr>
        <w:t xml:space="preserve">, which no longer sets a maximum award amount per charging port. Projects will be evaluated </w:t>
      </w:r>
      <w:proofErr w:type="gramStart"/>
      <w:r>
        <w:rPr>
          <w:rFonts w:ascii="Tahoma" w:hAnsi="Tahoma" w:cs="Tahoma"/>
        </w:rPr>
        <w:t>on</w:t>
      </w:r>
      <w:proofErr w:type="gramEnd"/>
      <w:r>
        <w:rPr>
          <w:rFonts w:ascii="Tahoma" w:hAnsi="Tahoma" w:cs="Tahoma"/>
        </w:rPr>
        <w:t xml:space="preserve"> the degree to which the proposed infrastructure demonstrates a highly cost-effective use of CEC funds, with a low cost per charging port or refueling position relative to the power level or refueling capacity. Projects will be evaluated on both the dollar-per-port or refueling position and the dollar-per kW or kg.  </w:t>
      </w:r>
    </w:p>
    <w:p w14:paraId="2824347D" w14:textId="77777777" w:rsidR="00707AE0" w:rsidRDefault="00707AE0" w:rsidP="00707AE0">
      <w:pPr>
        <w:pStyle w:val="NormalWeb"/>
        <w:ind w:left="720"/>
        <w:rPr>
          <w:rFonts w:ascii="Tahoma" w:hAnsi="Tahoma" w:cs="Tahoma"/>
        </w:rPr>
      </w:pPr>
      <w:r>
        <w:rPr>
          <w:rFonts w:ascii="Tahoma" w:hAnsi="Tahoma" w:cs="Tahoma"/>
        </w:rPr>
        <w:t>Please see Section I.E. How Award is Determined and Section I.G. Minimum Infrastructure Requirements and Maximum Award Amounts.</w:t>
      </w:r>
    </w:p>
    <w:p w14:paraId="571FF29E" w14:textId="77777777" w:rsidR="002847A4" w:rsidRDefault="002847A4" w:rsidP="002847A4">
      <w:pPr>
        <w:pStyle w:val="NormalWeb"/>
        <w:ind w:left="720" w:hanging="720"/>
        <w:rPr>
          <w:rFonts w:ascii="Tahoma" w:hAnsi="Tahoma" w:cs="Tahoma"/>
          <w:b/>
          <w:bCs/>
        </w:rPr>
      </w:pPr>
      <w:r w:rsidRPr="004B1514">
        <w:rPr>
          <w:rFonts w:ascii="Tahoma" w:hAnsi="Tahoma" w:cs="Tahoma"/>
          <w:b/>
          <w:bCs/>
        </w:rPr>
        <w:t>Q</w:t>
      </w:r>
      <w:r>
        <w:rPr>
          <w:rFonts w:ascii="Tahoma" w:hAnsi="Tahoma" w:cs="Tahoma"/>
          <w:b/>
          <w:bCs/>
        </w:rPr>
        <w:t>5</w:t>
      </w:r>
      <w:r w:rsidRPr="00C15857">
        <w:rPr>
          <w:rFonts w:ascii="Tahoma" w:hAnsi="Tahoma" w:cs="Tahoma"/>
          <w:b/>
          <w:bCs/>
        </w:rPr>
        <w:t>:</w:t>
      </w:r>
      <w:r>
        <w:rPr>
          <w:rFonts w:ascii="Tahoma" w:hAnsi="Tahoma" w:cs="Tahoma"/>
          <w:b/>
          <w:bCs/>
        </w:rPr>
        <w:tab/>
      </w:r>
      <w:r w:rsidRPr="00884E59">
        <w:rPr>
          <w:rFonts w:ascii="Tahoma" w:hAnsi="Tahoma" w:cs="Tahoma"/>
          <w:b/>
          <w:bCs/>
        </w:rPr>
        <w:t xml:space="preserve">As written, this solicitation appears to encourage eliminating a charging port if the minimum simultaneous delivery is used as an applicant could receive $225,000 for a </w:t>
      </w:r>
      <w:proofErr w:type="gramStart"/>
      <w:r w:rsidRPr="00884E59">
        <w:rPr>
          <w:rFonts w:ascii="Tahoma" w:hAnsi="Tahoma" w:cs="Tahoma"/>
          <w:b/>
          <w:bCs/>
        </w:rPr>
        <w:t>three port</w:t>
      </w:r>
      <w:proofErr w:type="gramEnd"/>
      <w:r w:rsidRPr="00884E59">
        <w:rPr>
          <w:rFonts w:ascii="Tahoma" w:hAnsi="Tahoma" w:cs="Tahoma"/>
          <w:b/>
          <w:bCs/>
        </w:rPr>
        <w:t xml:space="preserve"> configuration ($75,000 * 3) and $500,000 ($250,000 * 2) for a </w:t>
      </w:r>
      <w:proofErr w:type="gramStart"/>
      <w:r w:rsidRPr="00884E59">
        <w:rPr>
          <w:rFonts w:ascii="Tahoma" w:hAnsi="Tahoma" w:cs="Tahoma"/>
          <w:b/>
          <w:bCs/>
        </w:rPr>
        <w:t>two port</w:t>
      </w:r>
      <w:proofErr w:type="gramEnd"/>
      <w:r w:rsidRPr="00884E59">
        <w:rPr>
          <w:rFonts w:ascii="Tahoma" w:hAnsi="Tahoma" w:cs="Tahoma"/>
          <w:b/>
          <w:bCs/>
        </w:rPr>
        <w:t xml:space="preserve"> configuration with the same power cabinet. Is the goal of the CEC to have higher power ratings for all applications as opposed to more charging ports? This seems like an odd incentive as it is cheaper to have a </w:t>
      </w:r>
      <w:proofErr w:type="gramStart"/>
      <w:r w:rsidRPr="00884E59">
        <w:rPr>
          <w:rFonts w:ascii="Tahoma" w:hAnsi="Tahoma" w:cs="Tahoma"/>
          <w:b/>
          <w:bCs/>
        </w:rPr>
        <w:t>two port</w:t>
      </w:r>
      <w:proofErr w:type="gramEnd"/>
      <w:r w:rsidRPr="00884E59">
        <w:rPr>
          <w:rFonts w:ascii="Tahoma" w:hAnsi="Tahoma" w:cs="Tahoma"/>
          <w:b/>
          <w:bCs/>
        </w:rPr>
        <w:t xml:space="preserve"> configuration than a </w:t>
      </w:r>
      <w:proofErr w:type="gramStart"/>
      <w:r w:rsidRPr="00884E59">
        <w:rPr>
          <w:rFonts w:ascii="Tahoma" w:hAnsi="Tahoma" w:cs="Tahoma"/>
          <w:b/>
          <w:bCs/>
        </w:rPr>
        <w:t>three port</w:t>
      </w:r>
      <w:proofErr w:type="gramEnd"/>
      <w:r w:rsidRPr="00884E59">
        <w:rPr>
          <w:rFonts w:ascii="Tahoma" w:hAnsi="Tahoma" w:cs="Tahoma"/>
          <w:b/>
          <w:bCs/>
        </w:rPr>
        <w:t xml:space="preserve"> configuration, but it is rewarded with more eligible dollars.</w:t>
      </w:r>
    </w:p>
    <w:p w14:paraId="7068D437" w14:textId="77777777" w:rsidR="002847A4" w:rsidRDefault="002847A4" w:rsidP="002847A4">
      <w:pPr>
        <w:pStyle w:val="NormalWeb"/>
        <w:ind w:left="720" w:hanging="720"/>
        <w:rPr>
          <w:rFonts w:ascii="Tahoma" w:hAnsi="Tahoma" w:cs="Tahoma"/>
        </w:rPr>
      </w:pPr>
      <w:r w:rsidRPr="00C15857">
        <w:rPr>
          <w:rFonts w:ascii="Tahoma" w:hAnsi="Tahoma" w:cs="Tahoma"/>
        </w:rPr>
        <w:t>A</w:t>
      </w:r>
      <w:r>
        <w:rPr>
          <w:rFonts w:ascii="Tahoma" w:hAnsi="Tahoma" w:cs="Tahoma"/>
        </w:rPr>
        <w:t>5</w:t>
      </w:r>
      <w:r w:rsidRPr="00C15857">
        <w:rPr>
          <w:rFonts w:ascii="Tahoma" w:hAnsi="Tahoma" w:cs="Tahoma"/>
        </w:rPr>
        <w:t>:</w:t>
      </w:r>
      <w:r w:rsidRPr="00C15857">
        <w:rPr>
          <w:rFonts w:ascii="Tahoma" w:hAnsi="Tahoma" w:cs="Tahoma"/>
        </w:rPr>
        <w:tab/>
      </w:r>
      <w:r w:rsidRPr="00D40D0A">
        <w:rPr>
          <w:rFonts w:ascii="Tahoma" w:hAnsi="Tahoma" w:cs="Tahoma"/>
        </w:rPr>
        <w:t xml:space="preserve">The CEC does not </w:t>
      </w:r>
      <w:proofErr w:type="gramStart"/>
      <w:r w:rsidRPr="00D40D0A">
        <w:rPr>
          <w:rFonts w:ascii="Tahoma" w:hAnsi="Tahoma" w:cs="Tahoma"/>
        </w:rPr>
        <w:t>have a preference for</w:t>
      </w:r>
      <w:proofErr w:type="gramEnd"/>
      <w:r w:rsidRPr="00D40D0A">
        <w:rPr>
          <w:rFonts w:ascii="Tahoma" w:hAnsi="Tahoma" w:cs="Tahoma"/>
        </w:rPr>
        <w:t xml:space="preserve"> higher power ratings over the number of charging ports. Applicants are encouraged to focus on the infrastructure needs for planned ZEVs and choose the infrastructure type(s) accordingly. Please see Addendum </w:t>
      </w:r>
      <w:r>
        <w:rPr>
          <w:rFonts w:ascii="Tahoma" w:hAnsi="Tahoma" w:cs="Tahoma"/>
        </w:rPr>
        <w:t>[</w:t>
      </w:r>
      <w:r w:rsidRPr="008937D5">
        <w:rPr>
          <w:rFonts w:ascii="Tahoma" w:hAnsi="Tahoma" w:cs="Tahoma"/>
          <w:strike/>
        </w:rPr>
        <w:t>6</w:t>
      </w:r>
      <w:r>
        <w:rPr>
          <w:rFonts w:ascii="Tahoma" w:hAnsi="Tahoma" w:cs="Tahoma"/>
        </w:rPr>
        <w:t>]</w:t>
      </w:r>
      <w:r w:rsidRPr="008937D5">
        <w:rPr>
          <w:rFonts w:ascii="Tahoma" w:hAnsi="Tahoma" w:cs="Tahoma"/>
          <w:b/>
          <w:bCs/>
          <w:u w:val="single"/>
        </w:rPr>
        <w:t>9</w:t>
      </w:r>
      <w:r w:rsidRPr="00D40D0A">
        <w:rPr>
          <w:rFonts w:ascii="Tahoma" w:hAnsi="Tahoma" w:cs="Tahoma"/>
        </w:rPr>
        <w:t>, which no longer sets a maximum award amount per charging port.</w:t>
      </w:r>
    </w:p>
    <w:p w14:paraId="1E72B308" w14:textId="77777777" w:rsidR="00256FBB" w:rsidRPr="006B0C93" w:rsidRDefault="00256FBB" w:rsidP="00256FBB">
      <w:pPr>
        <w:ind w:left="720" w:hanging="720"/>
        <w:rPr>
          <w:rFonts w:ascii="Tahoma" w:hAnsi="Tahoma" w:cs="Tahoma"/>
          <w:b/>
        </w:rPr>
      </w:pPr>
      <w:r w:rsidRPr="006B0C93">
        <w:rPr>
          <w:rFonts w:ascii="Tahoma" w:hAnsi="Tahoma" w:cs="Tahoma"/>
          <w:b/>
        </w:rPr>
        <w:t>Q13:</w:t>
      </w:r>
      <w:r w:rsidRPr="006B0C93">
        <w:rPr>
          <w:rFonts w:ascii="Tahoma" w:hAnsi="Tahoma" w:cs="Tahoma"/>
          <w:b/>
        </w:rPr>
        <w:tab/>
        <w:t>Can proposed projects include existing medium- and heavy-duty (MDHD) vehicles, or must all vehicles be newly procured?</w:t>
      </w:r>
    </w:p>
    <w:p w14:paraId="314B02BD" w14:textId="77777777" w:rsidR="00256FBB" w:rsidRPr="006B0C93" w:rsidRDefault="00256FBB" w:rsidP="00256FBB">
      <w:pPr>
        <w:ind w:left="720" w:hanging="720"/>
        <w:rPr>
          <w:rFonts w:ascii="Tahoma" w:hAnsi="Tahoma" w:cs="Tahoma"/>
          <w:b/>
        </w:rPr>
      </w:pPr>
    </w:p>
    <w:p w14:paraId="25B4D56B" w14:textId="77777777" w:rsidR="00256FBB" w:rsidRPr="005B3F22" w:rsidRDefault="00256FBB" w:rsidP="00256FBB">
      <w:pPr>
        <w:ind w:left="720" w:hanging="720"/>
        <w:rPr>
          <w:rFonts w:ascii="Tahoma" w:hAnsi="Tahoma" w:cs="Tahoma"/>
        </w:rPr>
      </w:pPr>
      <w:r w:rsidRPr="006B0C93">
        <w:rPr>
          <w:rFonts w:ascii="Tahoma" w:hAnsi="Tahoma" w:cs="Tahoma"/>
        </w:rPr>
        <w:t>A13:</w:t>
      </w:r>
      <w:r w:rsidRPr="006B0C93">
        <w:rPr>
          <w:rFonts w:ascii="Tahoma" w:hAnsi="Tahoma" w:cs="Tahoma"/>
        </w:rPr>
        <w:tab/>
      </w:r>
      <w:r w:rsidRPr="005B3F22">
        <w:rPr>
          <w:rFonts w:ascii="Tahoma" w:hAnsi="Tahoma" w:cs="Tahoma"/>
        </w:rPr>
        <w:t xml:space="preserve">If proposing a Private Access </w:t>
      </w:r>
      <w:r>
        <w:rPr>
          <w:rFonts w:ascii="Tahoma" w:hAnsi="Tahoma" w:cs="Tahoma"/>
        </w:rPr>
        <w:t>[</w:t>
      </w:r>
      <w:r w:rsidRPr="002B1F81">
        <w:rPr>
          <w:rFonts w:ascii="Tahoma" w:hAnsi="Tahoma" w:cs="Tahoma"/>
          <w:strike/>
        </w:rPr>
        <w:t>or Shared Access</w:t>
      </w:r>
      <w:r>
        <w:rPr>
          <w:rFonts w:ascii="Tahoma" w:hAnsi="Tahoma" w:cs="Tahoma"/>
        </w:rPr>
        <w:t>]</w:t>
      </w:r>
      <w:r w:rsidRPr="005B3F22">
        <w:rPr>
          <w:rFonts w:ascii="Tahoma" w:hAnsi="Tahoma" w:cs="Tahoma"/>
        </w:rPr>
        <w:t xml:space="preserve"> infrastructure project, the fleet that is being supported must commit to supporting: at least </w:t>
      </w:r>
      <w:r>
        <w:rPr>
          <w:rFonts w:ascii="Tahoma" w:hAnsi="Tahoma" w:cs="Tahoma"/>
        </w:rPr>
        <w:t>[</w:t>
      </w:r>
      <w:r w:rsidRPr="00A24A6B">
        <w:rPr>
          <w:rFonts w:ascii="Tahoma" w:hAnsi="Tahoma" w:cs="Tahoma"/>
          <w:strike/>
        </w:rPr>
        <w:t>two</w:t>
      </w:r>
      <w:r>
        <w:rPr>
          <w:rFonts w:ascii="Tahoma" w:hAnsi="Tahoma" w:cs="Tahoma"/>
        </w:rPr>
        <w:t xml:space="preserve">] </w:t>
      </w:r>
      <w:r w:rsidRPr="00A24A6B">
        <w:rPr>
          <w:rFonts w:ascii="Tahoma" w:hAnsi="Tahoma" w:cs="Tahoma"/>
          <w:b/>
          <w:bCs/>
          <w:u w:val="single"/>
        </w:rPr>
        <w:t>one</w:t>
      </w:r>
      <w:r w:rsidRPr="005B3F22">
        <w:rPr>
          <w:rFonts w:ascii="Tahoma" w:hAnsi="Tahoma" w:cs="Tahoma"/>
        </w:rPr>
        <w:t xml:space="preserve"> MDHD EV</w:t>
      </w:r>
      <w:r>
        <w:rPr>
          <w:rFonts w:ascii="Tahoma" w:hAnsi="Tahoma" w:cs="Tahoma"/>
        </w:rPr>
        <w:t>[</w:t>
      </w:r>
      <w:r w:rsidRPr="00A24A6B">
        <w:rPr>
          <w:rFonts w:ascii="Tahoma" w:hAnsi="Tahoma" w:cs="Tahoma"/>
          <w:strike/>
        </w:rPr>
        <w:t>s</w:t>
      </w:r>
      <w:r>
        <w:rPr>
          <w:rFonts w:ascii="Tahoma" w:hAnsi="Tahoma" w:cs="Tahoma"/>
        </w:rPr>
        <w:t>]</w:t>
      </w:r>
      <w:r w:rsidRPr="005B3F22">
        <w:rPr>
          <w:rFonts w:ascii="Tahoma" w:hAnsi="Tahoma" w:cs="Tahoma"/>
        </w:rPr>
        <w:t xml:space="preserve"> per </w:t>
      </w:r>
      <w:r>
        <w:rPr>
          <w:rFonts w:ascii="Tahoma" w:hAnsi="Tahoma" w:cs="Tahoma"/>
        </w:rPr>
        <w:t>[</w:t>
      </w:r>
      <w:r w:rsidRPr="00A24A6B">
        <w:rPr>
          <w:rFonts w:ascii="Tahoma" w:hAnsi="Tahoma" w:cs="Tahoma"/>
          <w:strike/>
        </w:rPr>
        <w:t>Level 2</w:t>
      </w:r>
      <w:r>
        <w:rPr>
          <w:rFonts w:ascii="Tahoma" w:hAnsi="Tahoma" w:cs="Tahoma"/>
        </w:rPr>
        <w:t>]</w:t>
      </w:r>
      <w:r w:rsidRPr="005B3F22">
        <w:rPr>
          <w:rFonts w:ascii="Tahoma" w:hAnsi="Tahoma" w:cs="Tahoma"/>
        </w:rPr>
        <w:t xml:space="preserve"> charging port proposed</w:t>
      </w:r>
      <w:r>
        <w:rPr>
          <w:rFonts w:ascii="Tahoma" w:hAnsi="Tahoma" w:cs="Tahoma"/>
        </w:rPr>
        <w:t>.</w:t>
      </w:r>
      <w:r w:rsidRPr="005B3F22">
        <w:rPr>
          <w:rFonts w:ascii="Tahoma" w:hAnsi="Tahoma" w:cs="Tahoma"/>
        </w:rPr>
        <w:t xml:space="preserve"> </w:t>
      </w:r>
      <w:r w:rsidRPr="003817BB">
        <w:rPr>
          <w:rFonts w:ascii="Tahoma" w:eastAsia="Tahoma" w:hAnsi="Tahoma" w:cs="Tahoma"/>
          <w:b/>
          <w:color w:val="000000" w:themeColor="text1"/>
          <w:u w:val="single"/>
        </w:rPr>
        <w:t>Applicants that can demonstrate vehicles above a 1-to-1 ratio will score higher.</w:t>
      </w:r>
      <w:r>
        <w:rPr>
          <w:rFonts w:ascii="Tahoma" w:hAnsi="Tahoma" w:cs="Tahoma"/>
        </w:rPr>
        <w:t xml:space="preserve"> [</w:t>
      </w:r>
      <w:r w:rsidRPr="00711904">
        <w:rPr>
          <w:rFonts w:ascii="Tahoma" w:hAnsi="Tahoma" w:cs="Tahoma"/>
          <w:strike/>
        </w:rPr>
        <w:t>for CEC funding; at least three MDHD EVs per DC fast charging port proposed for CEC funding</w:t>
      </w:r>
      <w:r>
        <w:rPr>
          <w:rFonts w:ascii="Tahoma" w:hAnsi="Tahoma" w:cs="Tahoma"/>
        </w:rPr>
        <w:t>]</w:t>
      </w:r>
      <w:r w:rsidRPr="005B3F22">
        <w:rPr>
          <w:rFonts w:ascii="Tahoma" w:hAnsi="Tahoma" w:cs="Tahoma"/>
        </w:rPr>
        <w:t>; at least 30 MDHD FCEVs per every two hydrogen fueling positions proposed for CEC funding; or at least one specialty vehicle, off-road equipment/vehicle, or non-road vehicle per EV charging port or hydrogen fueling position proposed for CEC funding.</w:t>
      </w:r>
    </w:p>
    <w:p w14:paraId="256C2BA9" w14:textId="77777777" w:rsidR="00256FBB" w:rsidRPr="005B3F22" w:rsidRDefault="00256FBB" w:rsidP="00256FBB">
      <w:pPr>
        <w:ind w:left="720" w:hanging="720"/>
        <w:rPr>
          <w:rFonts w:ascii="Tahoma" w:hAnsi="Tahoma" w:cs="Tahoma"/>
        </w:rPr>
      </w:pPr>
    </w:p>
    <w:p w14:paraId="3AB7D898" w14:textId="41D3B84E" w:rsidR="00256FBB" w:rsidRDefault="00256FBB" w:rsidP="00256FBB">
      <w:pPr>
        <w:ind w:left="720"/>
        <w:rPr>
          <w:rFonts w:ascii="Tahoma" w:hAnsi="Tahoma" w:cs="Tahoma"/>
          <w:b/>
        </w:rPr>
      </w:pPr>
      <w:r w:rsidRPr="005B3F22">
        <w:rPr>
          <w:rFonts w:ascii="Tahoma" w:hAnsi="Tahoma" w:cs="Tahoma"/>
        </w:rPr>
        <w:t xml:space="preserve">The vehicles being supported must either be new vehicles being </w:t>
      </w:r>
      <w:proofErr w:type="gramStart"/>
      <w:r w:rsidRPr="005B3F22">
        <w:rPr>
          <w:rFonts w:ascii="Tahoma" w:hAnsi="Tahoma" w:cs="Tahoma"/>
        </w:rPr>
        <w:t>procured</w:t>
      </w:r>
      <w:proofErr w:type="gramEnd"/>
      <w:r w:rsidRPr="005B3F22">
        <w:rPr>
          <w:rFonts w:ascii="Tahoma" w:hAnsi="Tahoma" w:cs="Tahoma"/>
        </w:rPr>
        <w:t xml:space="preserve"> or existing vehicles that were not able to be used due to a lack of infrastructure. New vehicles procured as part of a resulting grant agreement may be eligible for match funding. Existing vehicles are not eligible for reimbursement or match funding. Refer to Section II.B.4. Vehicle Deployment Requirements.</w:t>
      </w:r>
    </w:p>
    <w:p w14:paraId="3EB41ABE" w14:textId="77777777" w:rsidR="00256FBB" w:rsidRDefault="00256FBB" w:rsidP="00F41065">
      <w:pPr>
        <w:ind w:left="720" w:hanging="720"/>
        <w:rPr>
          <w:rFonts w:ascii="Tahoma" w:hAnsi="Tahoma" w:cs="Tahoma"/>
          <w:b/>
        </w:rPr>
      </w:pPr>
    </w:p>
    <w:p w14:paraId="2CA59411" w14:textId="39FD1FA7" w:rsidR="00F41065" w:rsidRPr="006B0C93" w:rsidRDefault="00F41065" w:rsidP="00F41065">
      <w:pPr>
        <w:ind w:left="720" w:hanging="720"/>
        <w:rPr>
          <w:rFonts w:ascii="Tahoma" w:hAnsi="Tahoma" w:cs="Tahoma"/>
          <w:b/>
        </w:rPr>
      </w:pPr>
      <w:r w:rsidRPr="006B0C93">
        <w:rPr>
          <w:rFonts w:ascii="Tahoma" w:hAnsi="Tahoma" w:cs="Tahoma"/>
          <w:b/>
        </w:rPr>
        <w:t>Q16:</w:t>
      </w:r>
      <w:r w:rsidRPr="006B0C93">
        <w:rPr>
          <w:rFonts w:ascii="Tahoma" w:hAnsi="Tahoma" w:cs="Tahoma"/>
          <w:b/>
        </w:rPr>
        <w:tab/>
        <w:t xml:space="preserve">If a project </w:t>
      </w:r>
      <w:proofErr w:type="gramStart"/>
      <w:r w:rsidRPr="006B0C93">
        <w:rPr>
          <w:rFonts w:ascii="Tahoma" w:hAnsi="Tahoma" w:cs="Tahoma"/>
          <w:b/>
        </w:rPr>
        <w:t>proposes</w:t>
      </w:r>
      <w:proofErr w:type="gramEnd"/>
      <w:r w:rsidRPr="006B0C93">
        <w:rPr>
          <w:rFonts w:ascii="Tahoma" w:hAnsi="Tahoma" w:cs="Tahoma"/>
          <w:b/>
        </w:rPr>
        <w:t xml:space="preserve"> 40 charging positions for some port cargo handling equipment, can it also include charging infrastructure for a marine vessel that serves the port? Would the marine vessel and its charging equipment be eligible for direct CEC funding and/or as match? Specifically, does “port equipment” include harbor craft such as ferries?</w:t>
      </w:r>
    </w:p>
    <w:p w14:paraId="672E213F" w14:textId="77777777" w:rsidR="00F41065" w:rsidRPr="006B0C93" w:rsidRDefault="00F41065" w:rsidP="00F41065">
      <w:pPr>
        <w:ind w:left="720" w:hanging="720"/>
        <w:rPr>
          <w:rFonts w:ascii="Tahoma" w:hAnsi="Tahoma" w:cs="Tahoma"/>
        </w:rPr>
      </w:pPr>
    </w:p>
    <w:p w14:paraId="6FBE5C41" w14:textId="77777777" w:rsidR="00F41065" w:rsidRDefault="00F41065" w:rsidP="00F41065">
      <w:pPr>
        <w:ind w:left="720" w:hanging="720"/>
        <w:rPr>
          <w:rFonts w:ascii="Tahoma" w:hAnsi="Tahoma" w:cs="Tahoma"/>
        </w:rPr>
      </w:pPr>
      <w:r w:rsidRPr="006B0C93">
        <w:rPr>
          <w:rFonts w:ascii="Tahoma" w:hAnsi="Tahoma" w:cs="Tahoma"/>
        </w:rPr>
        <w:t>A16:</w:t>
      </w:r>
      <w:r w:rsidRPr="006B0C93">
        <w:rPr>
          <w:rFonts w:ascii="Tahoma" w:hAnsi="Tahoma" w:cs="Tahoma"/>
        </w:rPr>
        <w:tab/>
        <w:t xml:space="preserve">A proposed project may include charging or hydrogen refueling infrastructure to support a marine vessel or harbor craft. The proposed project must meet the minimum charger port or hydrogen fueling position deployment requirements outlined in Section I.G. </w:t>
      </w:r>
      <w:r w:rsidRPr="005B3F22">
        <w:rPr>
          <w:rFonts w:ascii="Tahoma" w:hAnsi="Tahoma" w:cs="Tahoma"/>
        </w:rPr>
        <w:t xml:space="preserve">Please refer to Addendum </w:t>
      </w:r>
      <w:r>
        <w:rPr>
          <w:rFonts w:ascii="Tahoma" w:hAnsi="Tahoma" w:cs="Tahoma"/>
        </w:rPr>
        <w:t>[</w:t>
      </w:r>
      <w:r w:rsidRPr="008937D5">
        <w:rPr>
          <w:rFonts w:ascii="Tahoma" w:hAnsi="Tahoma" w:cs="Tahoma"/>
          <w:strike/>
        </w:rPr>
        <w:t>6</w:t>
      </w:r>
      <w:r>
        <w:rPr>
          <w:rFonts w:ascii="Tahoma" w:hAnsi="Tahoma" w:cs="Tahoma"/>
        </w:rPr>
        <w:t>]</w:t>
      </w:r>
      <w:r w:rsidRPr="008937D5">
        <w:rPr>
          <w:rFonts w:ascii="Tahoma" w:hAnsi="Tahoma" w:cs="Tahoma"/>
          <w:b/>
          <w:bCs/>
          <w:u w:val="single"/>
        </w:rPr>
        <w:t>9</w:t>
      </w:r>
      <w:r w:rsidRPr="005B3F22">
        <w:rPr>
          <w:rFonts w:ascii="Tahoma" w:hAnsi="Tahoma" w:cs="Tahoma"/>
        </w:rPr>
        <w:t xml:space="preserve"> for new minimum infrastructure requirements. Zero</w:t>
      </w:r>
      <w:r w:rsidRPr="006B0C93">
        <w:rPr>
          <w:rFonts w:ascii="Tahoma" w:hAnsi="Tahoma" w:cs="Tahoma"/>
        </w:rPr>
        <w:t>-emission vehicles (purchased, rented, or leased) and vehicle-related expenses (e.g., vehicle parts, labor for vehicle repairs, etc.) are not eligible as CEC reimbursable expenses, but may be included in the Applicant’s Match Share. Refer to Section II.E., Eligible Project Costs.</w:t>
      </w:r>
    </w:p>
    <w:p w14:paraId="4E683520" w14:textId="77777777" w:rsidR="009F591C" w:rsidRPr="005448F6" w:rsidRDefault="009F591C" w:rsidP="00F41065">
      <w:pPr>
        <w:ind w:left="720" w:hanging="720"/>
        <w:rPr>
          <w:rFonts w:ascii="Tahoma" w:hAnsi="Tahoma" w:cs="Tahoma"/>
        </w:rPr>
      </w:pPr>
    </w:p>
    <w:p w14:paraId="05C2ADD4" w14:textId="77777777" w:rsidR="009F591C" w:rsidRPr="005448F6" w:rsidRDefault="009F591C" w:rsidP="009F591C">
      <w:pPr>
        <w:ind w:left="720" w:hanging="720"/>
        <w:rPr>
          <w:rFonts w:ascii="Tahoma" w:hAnsi="Tahoma" w:cs="Tahoma"/>
          <w:b/>
        </w:rPr>
      </w:pPr>
      <w:r w:rsidRPr="005448F6">
        <w:rPr>
          <w:rFonts w:ascii="Tahoma" w:hAnsi="Tahoma" w:cs="Tahoma"/>
          <w:b/>
        </w:rPr>
        <w:t>Q</w:t>
      </w:r>
      <w:r>
        <w:rPr>
          <w:rFonts w:ascii="Tahoma" w:hAnsi="Tahoma" w:cs="Tahoma"/>
          <w:b/>
        </w:rPr>
        <w:t>43</w:t>
      </w:r>
      <w:r w:rsidRPr="005448F6">
        <w:rPr>
          <w:rFonts w:ascii="Tahoma" w:hAnsi="Tahoma" w:cs="Tahoma"/>
          <w:b/>
        </w:rPr>
        <w:t>:</w:t>
      </w:r>
      <w:r w:rsidRPr="005448F6">
        <w:rPr>
          <w:rFonts w:ascii="Tahoma" w:hAnsi="Tahoma" w:cs="Tahoma"/>
          <w:b/>
        </w:rPr>
        <w:tab/>
        <w:t>Is there a deadline by which time CEQA must be completed?</w:t>
      </w:r>
    </w:p>
    <w:p w14:paraId="189361AE" w14:textId="77777777" w:rsidR="009F591C" w:rsidRPr="005448F6" w:rsidRDefault="009F591C" w:rsidP="21D55F11">
      <w:pPr>
        <w:ind w:left="720" w:hanging="720"/>
        <w:rPr>
          <w:rFonts w:ascii="Tahoma" w:hAnsi="Tahoma" w:cs="Tahoma"/>
          <w:b/>
          <w:bCs/>
        </w:rPr>
      </w:pPr>
    </w:p>
    <w:p w14:paraId="69170482" w14:textId="77777777" w:rsidR="009F591C" w:rsidRPr="005448F6" w:rsidRDefault="009F591C" w:rsidP="009F591C">
      <w:pPr>
        <w:ind w:left="720" w:hanging="720"/>
        <w:rPr>
          <w:rFonts w:ascii="Tahoma" w:hAnsi="Tahoma" w:cs="Tahoma"/>
        </w:rPr>
      </w:pPr>
      <w:r w:rsidRPr="21D55F11">
        <w:rPr>
          <w:rFonts w:ascii="Tahoma" w:hAnsi="Tahoma" w:cs="Tahoma"/>
        </w:rPr>
        <w:t>A43:</w:t>
      </w:r>
      <w:r>
        <w:tab/>
      </w:r>
      <w:r w:rsidRPr="21D55F11">
        <w:rPr>
          <w:rFonts w:ascii="Tahoma" w:hAnsi="Tahoma" w:cs="Tahoma"/>
        </w:rPr>
        <w:t xml:space="preserve">The CEQA worksheet must be completed and submitted with the application packet. Projects recommended for funding must complete the CEQA process within 6 months of the release date of </w:t>
      </w:r>
      <w:proofErr w:type="gramStart"/>
      <w:r w:rsidRPr="21D55F11">
        <w:rPr>
          <w:rFonts w:ascii="Tahoma" w:hAnsi="Tahoma" w:cs="Tahoma"/>
        </w:rPr>
        <w:t>the NOPA</w:t>
      </w:r>
      <w:proofErr w:type="gramEnd"/>
      <w:r w:rsidRPr="21D55F11">
        <w:rPr>
          <w:rFonts w:ascii="Tahoma" w:hAnsi="Tahoma" w:cs="Tahoma"/>
        </w:rPr>
        <w:t xml:space="preserve">. The CEC reserves the right to cancel proposed awards that do not meet this CEQA compliance deadline and recommend funding for the next, </w:t>
      </w:r>
      <w:proofErr w:type="gramStart"/>
      <w:r w:rsidRPr="21D55F11">
        <w:rPr>
          <w:rFonts w:ascii="Tahoma" w:hAnsi="Tahoma" w:cs="Tahoma"/>
        </w:rPr>
        <w:t>highest-scoring</w:t>
      </w:r>
      <w:proofErr w:type="gramEnd"/>
      <w:r w:rsidRPr="21D55F11">
        <w:rPr>
          <w:rFonts w:ascii="Tahoma" w:hAnsi="Tahoma" w:cs="Tahoma"/>
        </w:rPr>
        <w:t xml:space="preserve"> passing proposal submitted under this solicitation consistent with the evaluation process discussed in Section I.E. How Award is Determined, in Addendum [</w:t>
      </w:r>
      <w:r w:rsidRPr="21D55F11">
        <w:rPr>
          <w:rFonts w:ascii="Tahoma" w:hAnsi="Tahoma" w:cs="Tahoma"/>
          <w:strike/>
        </w:rPr>
        <w:t>6</w:t>
      </w:r>
      <w:r w:rsidRPr="21D55F11">
        <w:rPr>
          <w:rFonts w:ascii="Tahoma" w:hAnsi="Tahoma" w:cs="Tahoma"/>
        </w:rPr>
        <w:t>]</w:t>
      </w:r>
      <w:r w:rsidRPr="21D55F11">
        <w:rPr>
          <w:rFonts w:ascii="Tahoma" w:hAnsi="Tahoma" w:cs="Tahoma"/>
          <w:b/>
          <w:bCs/>
          <w:u w:val="single"/>
        </w:rPr>
        <w:t>9</w:t>
      </w:r>
      <w:r w:rsidRPr="21D55F11">
        <w:rPr>
          <w:rFonts w:ascii="Tahoma" w:hAnsi="Tahoma" w:cs="Tahoma"/>
        </w:rPr>
        <w:t>. Refer to Section III.D.10., CEQA Worksheet (Attachment 10).</w:t>
      </w:r>
    </w:p>
    <w:p w14:paraId="5687FB15" w14:textId="77777777" w:rsidR="007B5BAB" w:rsidRDefault="007B5BAB" w:rsidP="009F591C">
      <w:pPr>
        <w:ind w:left="720" w:hanging="720"/>
        <w:rPr>
          <w:rFonts w:ascii="Tahoma" w:hAnsi="Tahoma" w:cs="Tahoma"/>
        </w:rPr>
      </w:pPr>
    </w:p>
    <w:p w14:paraId="1C6AB348" w14:textId="77777777" w:rsidR="007B5BAB" w:rsidRPr="007B5BAB" w:rsidRDefault="007B5BAB" w:rsidP="00877EAA">
      <w:pPr>
        <w:spacing w:after="100" w:afterAutospacing="1"/>
        <w:ind w:left="720" w:hanging="720"/>
        <w:rPr>
          <w:rFonts w:ascii="Tahoma" w:eastAsia="Times New Roman" w:hAnsi="Tahoma" w:cs="Tahoma"/>
          <w:b/>
        </w:rPr>
      </w:pPr>
      <w:r w:rsidRPr="007B5BAB">
        <w:rPr>
          <w:rFonts w:ascii="Tahoma" w:eastAsia="Times New Roman" w:hAnsi="Tahoma" w:cs="Tahoma"/>
          <w:b/>
        </w:rPr>
        <w:t>Q65:</w:t>
      </w:r>
      <w:r w:rsidRPr="007B5BAB">
        <w:rPr>
          <w:rFonts w:ascii="Tahoma" w:eastAsia="Times New Roman" w:hAnsi="Tahoma" w:cs="Tahoma"/>
          <w:b/>
        </w:rPr>
        <w:tab/>
        <w:t xml:space="preserve">Our infrastructure project might take longer to complete than the time it takes for vehicles or off-road equipment to be delivered. If the solicitation requires us to place a purchase order within three months of executing the grant agreement, how can we prevent vehicles from arriving before the charging or hydrogen infrastructure is ready and sitting idle? Can we place purchase orders after </w:t>
      </w:r>
      <w:proofErr w:type="gramStart"/>
      <w:r w:rsidRPr="007B5BAB">
        <w:rPr>
          <w:rFonts w:ascii="Tahoma" w:eastAsia="Times New Roman" w:hAnsi="Tahoma" w:cs="Tahoma"/>
          <w:b/>
        </w:rPr>
        <w:t>the three</w:t>
      </w:r>
      <w:proofErr w:type="gramEnd"/>
      <w:r w:rsidRPr="007B5BAB">
        <w:rPr>
          <w:rFonts w:ascii="Tahoma" w:eastAsia="Times New Roman" w:hAnsi="Tahoma" w:cs="Tahoma"/>
          <w:b/>
        </w:rPr>
        <w:t xml:space="preserve"> months?</w:t>
      </w:r>
    </w:p>
    <w:p w14:paraId="446C82E9" w14:textId="021E28FC" w:rsidR="007B5BAB" w:rsidRPr="007B5BAB" w:rsidRDefault="007B5BAB" w:rsidP="00923C47">
      <w:pPr>
        <w:spacing w:before="100" w:beforeAutospacing="1"/>
        <w:ind w:left="720" w:hanging="720"/>
        <w:rPr>
          <w:rFonts w:ascii="Tahoma" w:eastAsia="Times New Roman" w:hAnsi="Tahoma" w:cs="Tahoma"/>
          <w:bCs/>
        </w:rPr>
      </w:pPr>
      <w:r w:rsidRPr="007B5BAB">
        <w:rPr>
          <w:rFonts w:ascii="Tahoma" w:eastAsia="Times New Roman" w:hAnsi="Tahoma" w:cs="Tahoma"/>
          <w:bCs/>
        </w:rPr>
        <w:t>A65:</w:t>
      </w:r>
      <w:r w:rsidRPr="007B5BAB">
        <w:rPr>
          <w:rFonts w:ascii="Tahoma" w:eastAsia="Times New Roman" w:hAnsi="Tahoma" w:cs="Tahoma"/>
          <w:bCs/>
        </w:rPr>
        <w:tab/>
        <w:t xml:space="preserve">While the CEC reserves the right to cancel a grant agreement award if the Applicant cannot place a purchase order within three months, the application will be scored on the degree to which the proposed project is ready for implementation and capable of maximizing zero-emission vehicle deployment. This includes demonstrating how the project will expedite infrastructure installation, ensure timely vehicle utilization, and address potential timing challenges through coordination with utilities and planning agencies. If placing a purchase order within three months of agreement execution is not feasible, the Applicant should provide a clear, detailed timeline and plan for vehicle acquisition, including strategies to minimize delays and align delivery with infrastructure readiness. Applicants whose infrastructure will provide </w:t>
      </w:r>
      <w:r w:rsidRPr="007B5BAB">
        <w:rPr>
          <w:rFonts w:ascii="Tahoma" w:eastAsia="Times New Roman" w:hAnsi="Tahoma" w:cs="Tahoma"/>
          <w:b/>
          <w:u w:val="single"/>
        </w:rPr>
        <w:t xml:space="preserve">Shared and </w:t>
      </w:r>
      <w:r w:rsidRPr="007B5BAB">
        <w:rPr>
          <w:rFonts w:ascii="Tahoma" w:eastAsia="Times New Roman" w:hAnsi="Tahoma" w:cs="Tahoma"/>
          <w:bCs/>
        </w:rPr>
        <w:t>Public Access are not required to meet the three-month purchase order requirement</w:t>
      </w:r>
      <w:r w:rsidRPr="007B5BAB">
        <w:rPr>
          <w:rFonts w:ascii="Tahoma" w:eastAsia="Times New Roman" w:hAnsi="Tahoma" w:cs="Tahoma"/>
          <w:b/>
          <w:u w:val="single"/>
        </w:rPr>
        <w:t>; however, applications will be scored on the degree to which proposed projects maximize vehicle deployment and market growth.</w:t>
      </w:r>
    </w:p>
    <w:p w14:paraId="2A7FD8DC" w14:textId="77777777" w:rsidR="007B5BAB" w:rsidRPr="005448F6" w:rsidRDefault="007B5BAB" w:rsidP="009F591C">
      <w:pPr>
        <w:ind w:left="720" w:hanging="720"/>
        <w:rPr>
          <w:rFonts w:ascii="Tahoma" w:hAnsi="Tahoma" w:cs="Tahoma"/>
        </w:rPr>
      </w:pPr>
    </w:p>
    <w:p w14:paraId="56D16AD7" w14:textId="77777777" w:rsidR="008055E1" w:rsidRPr="00792CDD" w:rsidRDefault="008055E1" w:rsidP="00923C47">
      <w:pPr>
        <w:spacing w:after="100" w:afterAutospacing="1"/>
        <w:ind w:left="720" w:hanging="720"/>
        <w:rPr>
          <w:rFonts w:ascii="Tahoma" w:hAnsi="Tahoma" w:cs="Tahoma"/>
          <w:b/>
          <w:u w:val="single"/>
        </w:rPr>
      </w:pPr>
      <w:r w:rsidRPr="00792CDD">
        <w:rPr>
          <w:rFonts w:ascii="Tahoma" w:hAnsi="Tahoma" w:cs="Tahoma"/>
          <w:b/>
          <w:u w:val="single"/>
        </w:rPr>
        <w:t>Q68</w:t>
      </w:r>
      <w:proofErr w:type="gramStart"/>
      <w:r w:rsidRPr="00792CDD">
        <w:rPr>
          <w:rFonts w:ascii="Tahoma" w:hAnsi="Tahoma" w:cs="Tahoma"/>
          <w:b/>
          <w:u w:val="single"/>
        </w:rPr>
        <w:t xml:space="preserve">: </w:t>
      </w:r>
      <w:r w:rsidRPr="00792CDD">
        <w:rPr>
          <w:rFonts w:ascii="Tahoma" w:hAnsi="Tahoma" w:cs="Tahoma"/>
          <w:b/>
          <w:u w:val="single"/>
        </w:rPr>
        <w:tab/>
      </w:r>
      <w:r w:rsidRPr="00792CDD">
        <w:rPr>
          <w:rFonts w:ascii="Tahoma" w:eastAsia="Times New Roman" w:hAnsi="Tahoma" w:cs="Tahoma"/>
          <w:b/>
          <w:bCs/>
          <w:u w:val="single"/>
        </w:rPr>
        <w:t>I</w:t>
      </w:r>
      <w:proofErr w:type="gramEnd"/>
      <w:r w:rsidRPr="00792CDD">
        <w:rPr>
          <w:rFonts w:ascii="Tahoma" w:eastAsia="Times New Roman" w:hAnsi="Tahoma" w:cs="Tahoma"/>
          <w:b/>
          <w:bCs/>
          <w:u w:val="single"/>
        </w:rPr>
        <w:t xml:space="preserve"> see in the latest manual that Energy Star Certification is still required. There seems to be a lot of uncertainty around this program’s continuance under the current administration. How will this be handled for the GFO-24-61</w:t>
      </w:r>
      <w:r w:rsidRPr="00792CDD">
        <w:rPr>
          <w:rFonts w:ascii="Tahoma" w:hAnsi="Tahoma" w:cs="Tahoma"/>
          <w:b/>
          <w:bCs/>
          <w:u w:val="single"/>
        </w:rPr>
        <w:t>0</w:t>
      </w:r>
      <w:r w:rsidRPr="00792CDD">
        <w:rPr>
          <w:rFonts w:ascii="Tahoma" w:eastAsia="Times New Roman" w:hAnsi="Tahoma" w:cs="Tahoma"/>
          <w:b/>
          <w:bCs/>
          <w:u w:val="single"/>
        </w:rPr>
        <w:t xml:space="preserve"> as there are many EV chargers in the CEC approved catalog that are not Energy Star certified and may not be able to obtain the certification?</w:t>
      </w:r>
    </w:p>
    <w:p w14:paraId="3AFCA507" w14:textId="77777777" w:rsidR="008055E1" w:rsidRPr="00792CDD" w:rsidRDefault="008055E1" w:rsidP="008055E1">
      <w:pPr>
        <w:spacing w:before="100" w:beforeAutospacing="1" w:after="100" w:afterAutospacing="1"/>
        <w:ind w:left="720" w:hanging="720"/>
        <w:rPr>
          <w:rFonts w:ascii="Tahoma" w:hAnsi="Tahoma" w:cs="Tahoma"/>
          <w:b/>
          <w:u w:val="single"/>
        </w:rPr>
      </w:pPr>
      <w:r w:rsidRPr="003956A2">
        <w:rPr>
          <w:rFonts w:ascii="Tahoma" w:eastAsia="Times New Roman" w:hAnsi="Tahoma" w:cs="Tahoma"/>
          <w:b/>
          <w:bCs/>
          <w:u w:val="single"/>
        </w:rPr>
        <w:t>A</w:t>
      </w:r>
      <w:r w:rsidRPr="00792CDD">
        <w:rPr>
          <w:rFonts w:ascii="Tahoma" w:hAnsi="Tahoma" w:cs="Tahoma"/>
          <w:b/>
          <w:bCs/>
          <w:u w:val="single"/>
        </w:rPr>
        <w:t>6</w:t>
      </w:r>
      <w:r w:rsidRPr="003956A2">
        <w:rPr>
          <w:rFonts w:ascii="Tahoma" w:eastAsia="Times New Roman" w:hAnsi="Tahoma" w:cs="Tahoma"/>
          <w:b/>
          <w:bCs/>
          <w:u w:val="single"/>
        </w:rPr>
        <w:t>8</w:t>
      </w:r>
      <w:proofErr w:type="gramStart"/>
      <w:r w:rsidRPr="003956A2">
        <w:rPr>
          <w:rFonts w:ascii="Tahoma" w:eastAsia="Times New Roman" w:hAnsi="Tahoma" w:cs="Tahoma"/>
          <w:b/>
          <w:bCs/>
          <w:u w:val="single"/>
        </w:rPr>
        <w:t>: </w:t>
      </w:r>
      <w:r w:rsidRPr="00792CDD">
        <w:rPr>
          <w:rFonts w:ascii="Tahoma" w:hAnsi="Tahoma" w:cs="Tahoma"/>
          <w:b/>
          <w:bCs/>
          <w:u w:val="single"/>
        </w:rPr>
        <w:tab/>
      </w:r>
      <w:r w:rsidRPr="003956A2">
        <w:rPr>
          <w:rFonts w:ascii="Tahoma" w:hAnsi="Tahoma" w:cs="Tahoma"/>
          <w:b/>
          <w:u w:val="single"/>
        </w:rPr>
        <w:t>Per</w:t>
      </w:r>
      <w:proofErr w:type="gramEnd"/>
      <w:r w:rsidRPr="003956A2">
        <w:rPr>
          <w:rFonts w:ascii="Tahoma" w:hAnsi="Tahoma" w:cs="Tahoma"/>
          <w:b/>
          <w:u w:val="single"/>
        </w:rPr>
        <w:t xml:space="preserve"> Addendum </w:t>
      </w:r>
      <w:r w:rsidRPr="00792CDD">
        <w:rPr>
          <w:rFonts w:ascii="Tahoma" w:hAnsi="Tahoma" w:cs="Tahoma"/>
          <w:b/>
          <w:u w:val="single"/>
        </w:rPr>
        <w:t>9</w:t>
      </w:r>
      <w:r w:rsidRPr="003956A2">
        <w:rPr>
          <w:rFonts w:ascii="Tahoma" w:hAnsi="Tahoma" w:cs="Tahoma"/>
          <w:b/>
          <w:u w:val="single"/>
        </w:rPr>
        <w:t>, the requirement for Energy Star certification and listing on the Energy Star Product Finder Page has been removed. Please see Section II.C.4.</w:t>
      </w:r>
    </w:p>
    <w:p w14:paraId="4BD70FD4" w14:textId="28677623" w:rsidR="00CA59EA" w:rsidRPr="00F06CED" w:rsidRDefault="00AC38B8" w:rsidP="21D55F11">
      <w:pPr>
        <w:rPr>
          <w:rFonts w:ascii="Tahoma" w:hAnsi="Tahoma" w:cs="Tahoma"/>
          <w:b/>
          <w:bCs/>
        </w:rPr>
      </w:pPr>
      <w:r w:rsidRPr="21D55F11">
        <w:rPr>
          <w:rFonts w:ascii="Tahoma" w:hAnsi="Tahoma" w:cs="Tahoma"/>
          <w:b/>
          <w:bCs/>
        </w:rPr>
        <w:t>Natalie Johnso</w:t>
      </w:r>
      <w:r w:rsidR="028FAF77" w:rsidRPr="21D55F11">
        <w:rPr>
          <w:rFonts w:ascii="Tahoma" w:hAnsi="Tahoma" w:cs="Tahoma"/>
          <w:b/>
          <w:bCs/>
        </w:rPr>
        <w:t>n</w:t>
      </w:r>
    </w:p>
    <w:p w14:paraId="7BE46C3E" w14:textId="3989EB3A" w:rsidR="00CA59EA" w:rsidRPr="00F06CED" w:rsidRDefault="00AD0BD5" w:rsidP="00AD0BD5">
      <w:pPr>
        <w:rPr>
          <w:rFonts w:ascii="Tahoma" w:hAnsi="Tahoma" w:cs="Tahoma"/>
          <w:b/>
          <w:bCs/>
        </w:rPr>
      </w:pPr>
      <w:r w:rsidRPr="21D55F11">
        <w:rPr>
          <w:rFonts w:ascii="Tahoma" w:hAnsi="Tahoma" w:cs="Tahoma"/>
          <w:b/>
          <w:bCs/>
        </w:rPr>
        <w:t>Commission Agreement Officer</w:t>
      </w:r>
    </w:p>
    <w:sectPr w:rsidR="00CA59EA" w:rsidRPr="00F06CED" w:rsidSect="00BA556B">
      <w:headerReference w:type="even" r:id="rId17"/>
      <w:headerReference w:type="default" r:id="rId18"/>
      <w:footerReference w:type="even" r:id="rId19"/>
      <w:footerReference w:type="default" r:id="rId20"/>
      <w:headerReference w:type="first" r:id="rId21"/>
      <w:footerReference w:type="first" r:id="rId22"/>
      <w:pgSz w:w="12240" w:h="15840"/>
      <w:pgMar w:top="1440" w:right="1080" w:bottom="1440" w:left="1080" w:header="36" w:footer="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54BF9" w14:textId="77777777" w:rsidR="00C13420" w:rsidRDefault="00C13420" w:rsidP="00F86D2B">
      <w:r>
        <w:separator/>
      </w:r>
    </w:p>
  </w:endnote>
  <w:endnote w:type="continuationSeparator" w:id="0">
    <w:p w14:paraId="6BBB18EE" w14:textId="77777777" w:rsidR="00C13420" w:rsidRDefault="00C13420" w:rsidP="00F86D2B">
      <w:r>
        <w:continuationSeparator/>
      </w:r>
    </w:p>
  </w:endnote>
  <w:endnote w:type="continuationNotice" w:id="1">
    <w:p w14:paraId="508349F9" w14:textId="77777777" w:rsidR="00C13420" w:rsidRDefault="00C134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8C067" w14:textId="77777777" w:rsidR="00A84E83" w:rsidRDefault="00A84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880"/>
      <w:gridCol w:w="2880"/>
      <w:gridCol w:w="2880"/>
    </w:tblGrid>
    <w:tr w:rsidR="4D7C6706" w14:paraId="4DCC657B" w14:textId="77777777" w:rsidTr="00544461">
      <w:tc>
        <w:tcPr>
          <w:tcW w:w="2880" w:type="dxa"/>
        </w:tcPr>
        <w:p w14:paraId="1C30F658" w14:textId="4FC5E23C" w:rsidR="4D7C6706" w:rsidRDefault="4D7C6706" w:rsidP="4D7C6706">
          <w:pPr>
            <w:pStyle w:val="Header"/>
            <w:ind w:left="-115"/>
          </w:pPr>
        </w:p>
      </w:tc>
      <w:tc>
        <w:tcPr>
          <w:tcW w:w="2880" w:type="dxa"/>
        </w:tcPr>
        <w:p w14:paraId="1D3F0B1C" w14:textId="217B9FC7" w:rsidR="4D7C6706" w:rsidRDefault="4D7C6706" w:rsidP="4D7C6706">
          <w:pPr>
            <w:pStyle w:val="Header"/>
            <w:jc w:val="center"/>
          </w:pPr>
        </w:p>
      </w:tc>
      <w:tc>
        <w:tcPr>
          <w:tcW w:w="2880" w:type="dxa"/>
        </w:tcPr>
        <w:p w14:paraId="5681F7D6" w14:textId="65144E5E" w:rsidR="4D7C6706" w:rsidRDefault="4D7C6706" w:rsidP="4D7C6706">
          <w:pPr>
            <w:pStyle w:val="Header"/>
            <w:ind w:right="-115"/>
            <w:jc w:val="right"/>
          </w:pPr>
        </w:p>
      </w:tc>
    </w:tr>
  </w:tbl>
  <w:p w14:paraId="01AFCF9C" w14:textId="46A281DD" w:rsidR="4D7C6706" w:rsidRDefault="4D7C6706" w:rsidP="00B112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8CA5" w14:textId="1F81AC6B" w:rsidR="002D11A5" w:rsidRDefault="00E95AA9" w:rsidP="002D11A5">
    <w:pPr>
      <w:pStyle w:val="Footer"/>
      <w:ind w:hanging="1800"/>
    </w:pPr>
    <w:r>
      <w:rPr>
        <w:noProof/>
      </w:rPr>
      <w:drawing>
        <wp:inline distT="0" distB="0" distL="0" distR="0" wp14:anchorId="4CC05A24" wp14:editId="3B78DAB8">
          <wp:extent cx="7762875" cy="1033780"/>
          <wp:effectExtent l="0" t="0" r="9525" b="0"/>
          <wp:docPr id="10" name="Picture 10" descr="energy.ca.gov&#10;715 P Street, Sacramento, CA 95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gif"/>
                  <pic:cNvPicPr/>
                </pic:nvPicPr>
                <pic:blipFill>
                  <a:blip r:embed="rId1">
                    <a:extLst>
                      <a:ext uri="{28A0092B-C50C-407E-A947-70E740481C1C}">
                        <a14:useLocalDpi xmlns:a14="http://schemas.microsoft.com/office/drawing/2010/main" val="0"/>
                      </a:ext>
                    </a:extLst>
                  </a:blip>
                  <a:stretch>
                    <a:fillRect/>
                  </a:stretch>
                </pic:blipFill>
                <pic:spPr>
                  <a:xfrm>
                    <a:off x="0" y="0"/>
                    <a:ext cx="7762875" cy="103378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D157A" w14:textId="77777777" w:rsidR="00C13420" w:rsidRDefault="00C13420" w:rsidP="00F86D2B">
      <w:r>
        <w:separator/>
      </w:r>
    </w:p>
  </w:footnote>
  <w:footnote w:type="continuationSeparator" w:id="0">
    <w:p w14:paraId="1F8B4A27" w14:textId="77777777" w:rsidR="00C13420" w:rsidRDefault="00C13420" w:rsidP="00F86D2B">
      <w:r>
        <w:continuationSeparator/>
      </w:r>
    </w:p>
  </w:footnote>
  <w:footnote w:type="continuationNotice" w:id="1">
    <w:p w14:paraId="062C0EF2" w14:textId="77777777" w:rsidR="00C13420" w:rsidRDefault="00C134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8484B" w14:textId="77777777" w:rsidR="00A84E83" w:rsidRDefault="00A84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CEFA" w14:textId="77777777" w:rsidR="003E0D2D" w:rsidRDefault="003E0D2D" w:rsidP="00E210F6">
    <w:pPr>
      <w:rPr>
        <w:rFonts w:ascii="Arial" w:hAnsi="Arial" w:cs="Arial"/>
      </w:rPr>
    </w:pPr>
  </w:p>
  <w:p w14:paraId="736D9520" w14:textId="77777777" w:rsidR="003E0D2D" w:rsidRDefault="003E0D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1044F" w14:textId="77777777" w:rsidR="00C01C97" w:rsidRDefault="00C01C97" w:rsidP="002D11A5">
    <w:pPr>
      <w:pStyle w:val="Header"/>
      <w:ind w:hanging="1800"/>
    </w:pPr>
  </w:p>
  <w:p w14:paraId="0CC19A77" w14:textId="29A27D48" w:rsidR="00E210F6" w:rsidRDefault="00891410" w:rsidP="00A84E83">
    <w:pPr>
      <w:pStyle w:val="Header"/>
      <w:ind w:hanging="1800"/>
      <w:jc w:val="center"/>
    </w:pPr>
    <w:r>
      <w:rPr>
        <w:noProof/>
      </w:rPr>
      <w:drawing>
        <wp:inline distT="0" distB="0" distL="0" distR="0" wp14:anchorId="59ACF5EB" wp14:editId="18EE85DE">
          <wp:extent cx="7858125" cy="977900"/>
          <wp:effectExtent l="0" t="0" r="9525" b="0"/>
          <wp:docPr id="9" name="Picture 9" descr="California Energy Commission, California Natural Resources Agency">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California Energy Commission, California Natural Resources Agency">
                    <a:extLst>
                      <a:ext uri="{C183D7F6-B498-43B3-948B-1728B52AA6E4}">
                        <adec:decorative xmlns:adec="http://schemas.microsoft.com/office/drawing/2017/decorative" val="1"/>
                      </a:ext>
                    </a:extLst>
                  </pic:cNvPr>
                  <pic:cNvPicPr/>
                </pic:nvPicPr>
                <pic:blipFill>
                  <a:blip r:embed="rId1"/>
                  <a:stretch>
                    <a:fillRect/>
                  </a:stretch>
                </pic:blipFill>
                <pic:spPr>
                  <a:xfrm>
                    <a:off x="0" y="0"/>
                    <a:ext cx="7858125" cy="97790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ULWdrEu5DZtRWi" int2:id="8wBrPBh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9884"/>
    <w:multiLevelType w:val="hybridMultilevel"/>
    <w:tmpl w:val="FFFFFFFF"/>
    <w:lvl w:ilvl="0" w:tplc="33B6252A">
      <w:start w:val="1"/>
      <w:numFmt w:val="decimal"/>
      <w:lvlText w:val="%1."/>
      <w:lvlJc w:val="left"/>
      <w:pPr>
        <w:ind w:left="720" w:hanging="360"/>
      </w:pPr>
    </w:lvl>
    <w:lvl w:ilvl="1" w:tplc="1DFEFA12">
      <w:start w:val="1"/>
      <w:numFmt w:val="lowerLetter"/>
      <w:lvlText w:val="%2."/>
      <w:lvlJc w:val="left"/>
      <w:pPr>
        <w:ind w:left="1440" w:hanging="360"/>
      </w:pPr>
    </w:lvl>
    <w:lvl w:ilvl="2" w:tplc="2B4C69BE">
      <w:start w:val="1"/>
      <w:numFmt w:val="lowerRoman"/>
      <w:lvlText w:val="%3."/>
      <w:lvlJc w:val="right"/>
      <w:pPr>
        <w:ind w:left="2160" w:hanging="180"/>
      </w:pPr>
    </w:lvl>
    <w:lvl w:ilvl="3" w:tplc="19C28014">
      <w:start w:val="1"/>
      <w:numFmt w:val="decimal"/>
      <w:lvlText w:val="%4."/>
      <w:lvlJc w:val="left"/>
      <w:pPr>
        <w:ind w:left="2880" w:hanging="360"/>
      </w:pPr>
    </w:lvl>
    <w:lvl w:ilvl="4" w:tplc="21F4F780">
      <w:start w:val="1"/>
      <w:numFmt w:val="lowerLetter"/>
      <w:lvlText w:val="%5."/>
      <w:lvlJc w:val="left"/>
      <w:pPr>
        <w:ind w:left="3600" w:hanging="360"/>
      </w:pPr>
    </w:lvl>
    <w:lvl w:ilvl="5" w:tplc="B6508AF8">
      <w:start w:val="1"/>
      <w:numFmt w:val="lowerRoman"/>
      <w:lvlText w:val="%6."/>
      <w:lvlJc w:val="right"/>
      <w:pPr>
        <w:ind w:left="4320" w:hanging="180"/>
      </w:pPr>
    </w:lvl>
    <w:lvl w:ilvl="6" w:tplc="CFD0F2D2">
      <w:start w:val="1"/>
      <w:numFmt w:val="decimal"/>
      <w:lvlText w:val="%7."/>
      <w:lvlJc w:val="left"/>
      <w:pPr>
        <w:ind w:left="5040" w:hanging="360"/>
      </w:pPr>
    </w:lvl>
    <w:lvl w:ilvl="7" w:tplc="007017DA">
      <w:start w:val="1"/>
      <w:numFmt w:val="lowerLetter"/>
      <w:lvlText w:val="%8."/>
      <w:lvlJc w:val="left"/>
      <w:pPr>
        <w:ind w:left="5760" w:hanging="360"/>
      </w:pPr>
    </w:lvl>
    <w:lvl w:ilvl="8" w:tplc="6BBC9228">
      <w:start w:val="1"/>
      <w:numFmt w:val="lowerRoman"/>
      <w:lvlText w:val="%9."/>
      <w:lvlJc w:val="right"/>
      <w:pPr>
        <w:ind w:left="6480" w:hanging="180"/>
      </w:pPr>
    </w:lvl>
  </w:abstractNum>
  <w:abstractNum w:abstractNumId="1" w15:restartNumberingAfterBreak="0">
    <w:nsid w:val="0CED032F"/>
    <w:multiLevelType w:val="hybridMultilevel"/>
    <w:tmpl w:val="06068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A2E22"/>
    <w:multiLevelType w:val="hybridMultilevel"/>
    <w:tmpl w:val="93B4DB76"/>
    <w:lvl w:ilvl="0" w:tplc="4174675A">
      <w:start w:val="8"/>
      <w:numFmt w:val="decimal"/>
      <w:lvlText w:val="%1."/>
      <w:lvlJc w:val="left"/>
      <w:pPr>
        <w:ind w:left="1512" w:hanging="432"/>
      </w:pPr>
      <w:rPr>
        <w:rFonts w:hint="default"/>
        <w:b w:val="0"/>
        <w:color w:val="auto"/>
      </w:rPr>
    </w:lvl>
    <w:lvl w:ilvl="1" w:tplc="3AF2E40E">
      <w:start w:val="3"/>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B38F0"/>
    <w:multiLevelType w:val="hybridMultilevel"/>
    <w:tmpl w:val="C2F4BE80"/>
    <w:lvl w:ilvl="0" w:tplc="5FE2C1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DC7686"/>
    <w:multiLevelType w:val="hybridMultilevel"/>
    <w:tmpl w:val="B11AA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8048B"/>
    <w:multiLevelType w:val="hybridMultilevel"/>
    <w:tmpl w:val="91B0A74A"/>
    <w:lvl w:ilvl="0" w:tplc="BE88EA78">
      <w:start w:val="1"/>
      <w:numFmt w:val="decimal"/>
      <w:lvlText w:val="%1."/>
      <w:lvlJc w:val="left"/>
      <w:pPr>
        <w:ind w:left="864" w:hanging="432"/>
      </w:pPr>
      <w:rPr>
        <w:rFonts w:hint="default"/>
        <w:b w:val="0"/>
        <w:color w:val="auto"/>
      </w:rPr>
    </w:lvl>
    <w:lvl w:ilvl="1" w:tplc="528C3626">
      <w:start w:val="3"/>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BE31DE"/>
    <w:multiLevelType w:val="hybridMultilevel"/>
    <w:tmpl w:val="715A1732"/>
    <w:lvl w:ilvl="0" w:tplc="04090001">
      <w:start w:val="1"/>
      <w:numFmt w:val="bullet"/>
      <w:lvlText w:val=""/>
      <w:lvlJc w:val="left"/>
      <w:pPr>
        <w:ind w:left="720" w:hanging="360"/>
      </w:pPr>
      <w:rPr>
        <w:rFonts w:ascii="Symbol" w:hAnsi="Symbol" w:hint="default"/>
      </w:rPr>
    </w:lvl>
    <w:lvl w:ilvl="1" w:tplc="C8F27C8C">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24E6FE60">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10B1E"/>
    <w:multiLevelType w:val="hybridMultilevel"/>
    <w:tmpl w:val="7CA68E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7E5285"/>
    <w:multiLevelType w:val="hybridMultilevel"/>
    <w:tmpl w:val="BB02BE74"/>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start w:val="1"/>
      <w:numFmt w:val="bullet"/>
      <w:lvlText w:val="o"/>
      <w:lvlJc w:val="left"/>
      <w:pPr>
        <w:ind w:left="1440" w:hanging="360"/>
      </w:pPr>
      <w:rPr>
        <w:rFonts w:ascii="Courier New" w:hAnsi="Courier New" w:cs="Courier New" w:hint="default"/>
      </w:rPr>
    </w:lvl>
    <w:lvl w:ilvl="3" w:tplc="E1588620">
      <w:start w:val="1"/>
      <w:numFmt w:val="bullet"/>
      <w:pStyle w:val="ListBullet"/>
      <w:lvlText w:val="o"/>
      <w:lvlJc w:val="left"/>
      <w:pPr>
        <w:ind w:left="2880" w:hanging="360"/>
      </w:pPr>
      <w:rPr>
        <w:rFonts w:ascii="Courier New" w:hAnsi="Courier New" w:cs="Courier New"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E5C6568"/>
    <w:multiLevelType w:val="multilevel"/>
    <w:tmpl w:val="F7260BA8"/>
    <w:lvl w:ilvl="0">
      <w:start w:val="4"/>
      <w:numFmt w:val="lowerLetter"/>
      <w:lvlText w:val="%1."/>
      <w:lvlJc w:val="left"/>
      <w:pPr>
        <w:tabs>
          <w:tab w:val="num" w:pos="1080"/>
        </w:tabs>
        <w:ind w:left="1080" w:hanging="360"/>
      </w:pPr>
      <w:rPr>
        <w:rFonts w:hint="default"/>
        <w:b/>
        <w:bCs/>
      </w:rPr>
    </w:lvl>
    <w:lvl w:ilvl="1">
      <w:start w:val="4"/>
      <w:numFmt w:val="lowerLetter"/>
      <w:lvlText w:val="%2."/>
      <w:lvlJc w:val="left"/>
      <w:pPr>
        <w:tabs>
          <w:tab w:val="num" w:pos="1800"/>
        </w:tabs>
        <w:ind w:left="1800" w:hanging="360"/>
      </w:pPr>
      <w:rPr>
        <w:rFonts w:hint="default"/>
      </w:rPr>
    </w:lvl>
    <w:lvl w:ilvl="2">
      <w:start w:val="4"/>
      <w:numFmt w:val="lowerLetter"/>
      <w:lvlText w:val="%3."/>
      <w:lvlJc w:val="left"/>
      <w:pPr>
        <w:tabs>
          <w:tab w:val="num" w:pos="2520"/>
        </w:tabs>
        <w:ind w:left="252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Letter"/>
      <w:lvlText w:val="%6."/>
      <w:lvlJc w:val="left"/>
      <w:pPr>
        <w:tabs>
          <w:tab w:val="num" w:pos="4680"/>
        </w:tabs>
        <w:ind w:left="4680" w:hanging="360"/>
      </w:pPr>
      <w:rPr>
        <w:rFonts w:hint="default"/>
      </w:rPr>
    </w:lvl>
    <w:lvl w:ilvl="6">
      <w:start w:val="1"/>
      <w:numFmt w:val="lowerLetter"/>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Letter"/>
      <w:lvlText w:val="%9."/>
      <w:lvlJc w:val="left"/>
      <w:pPr>
        <w:tabs>
          <w:tab w:val="num" w:pos="6840"/>
        </w:tabs>
        <w:ind w:left="6840" w:hanging="360"/>
      </w:pPr>
      <w:rPr>
        <w:rFonts w:hint="default"/>
      </w:rPr>
    </w:lvl>
  </w:abstractNum>
  <w:abstractNum w:abstractNumId="10" w15:restartNumberingAfterBreak="0">
    <w:nsid w:val="285F0273"/>
    <w:multiLevelType w:val="hybridMultilevel"/>
    <w:tmpl w:val="E7C87964"/>
    <w:lvl w:ilvl="0" w:tplc="62A86664">
      <w:start w:val="1"/>
      <w:numFmt w:val="lowerRoman"/>
      <w:lvlText w:val="%1."/>
      <w:lvlJc w:val="right"/>
      <w:pPr>
        <w:ind w:left="3240" w:hanging="360"/>
      </w:pPr>
      <w:rPr>
        <w:rFonts w:ascii="Tahoma" w:hAnsi="Tahoma" w:cs="Tahoma" w:hint="default"/>
      </w:rPr>
    </w:lvl>
    <w:lvl w:ilvl="1" w:tplc="FFFFFFFF" w:tentative="1">
      <w:start w:val="1"/>
      <w:numFmt w:val="lowerLetter"/>
      <w:lvlText w:val="%2."/>
      <w:lvlJc w:val="left"/>
      <w:pPr>
        <w:ind w:left="3960" w:hanging="360"/>
      </w:pPr>
    </w:lvl>
    <w:lvl w:ilvl="2" w:tplc="FFFFFFFF" w:tentative="1">
      <w:start w:val="1"/>
      <w:numFmt w:val="lowerRoman"/>
      <w:lvlText w:val="%3."/>
      <w:lvlJc w:val="right"/>
      <w:pPr>
        <w:ind w:left="4680" w:hanging="180"/>
      </w:pPr>
    </w:lvl>
    <w:lvl w:ilvl="3" w:tplc="FFFFFFFF" w:tentative="1">
      <w:start w:val="1"/>
      <w:numFmt w:val="decimal"/>
      <w:lvlText w:val="%4."/>
      <w:lvlJc w:val="left"/>
      <w:pPr>
        <w:ind w:left="5400" w:hanging="360"/>
      </w:pPr>
    </w:lvl>
    <w:lvl w:ilvl="4" w:tplc="FFFFFFFF" w:tentative="1">
      <w:start w:val="1"/>
      <w:numFmt w:val="lowerLetter"/>
      <w:lvlText w:val="%5."/>
      <w:lvlJc w:val="left"/>
      <w:pPr>
        <w:ind w:left="6120" w:hanging="360"/>
      </w:pPr>
    </w:lvl>
    <w:lvl w:ilvl="5" w:tplc="FFFFFFFF" w:tentative="1">
      <w:start w:val="1"/>
      <w:numFmt w:val="lowerRoman"/>
      <w:lvlText w:val="%6."/>
      <w:lvlJc w:val="right"/>
      <w:pPr>
        <w:ind w:left="6840" w:hanging="180"/>
      </w:pPr>
    </w:lvl>
    <w:lvl w:ilvl="6" w:tplc="FFFFFFFF" w:tentative="1">
      <w:start w:val="1"/>
      <w:numFmt w:val="decimal"/>
      <w:lvlText w:val="%7."/>
      <w:lvlJc w:val="left"/>
      <w:pPr>
        <w:ind w:left="7560" w:hanging="360"/>
      </w:pPr>
    </w:lvl>
    <w:lvl w:ilvl="7" w:tplc="FFFFFFFF" w:tentative="1">
      <w:start w:val="1"/>
      <w:numFmt w:val="lowerLetter"/>
      <w:lvlText w:val="%8."/>
      <w:lvlJc w:val="left"/>
      <w:pPr>
        <w:ind w:left="8280" w:hanging="360"/>
      </w:pPr>
    </w:lvl>
    <w:lvl w:ilvl="8" w:tplc="FFFFFFFF" w:tentative="1">
      <w:start w:val="1"/>
      <w:numFmt w:val="lowerRoman"/>
      <w:lvlText w:val="%9."/>
      <w:lvlJc w:val="right"/>
      <w:pPr>
        <w:ind w:left="9000" w:hanging="180"/>
      </w:pPr>
    </w:lvl>
  </w:abstractNum>
  <w:abstractNum w:abstractNumId="11" w15:restartNumberingAfterBreak="0">
    <w:nsid w:val="29623D34"/>
    <w:multiLevelType w:val="hybridMultilevel"/>
    <w:tmpl w:val="768416D6"/>
    <w:lvl w:ilvl="0" w:tplc="04581C86">
      <w:start w:val="4"/>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4A0B8B"/>
    <w:multiLevelType w:val="hybridMultilevel"/>
    <w:tmpl w:val="2784512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2C090D8F"/>
    <w:multiLevelType w:val="hybridMultilevel"/>
    <w:tmpl w:val="9FEED6B2"/>
    <w:lvl w:ilvl="0" w:tplc="DAAC9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2701AB"/>
    <w:multiLevelType w:val="hybridMultilevel"/>
    <w:tmpl w:val="F104C7C2"/>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569A5"/>
    <w:multiLevelType w:val="hybridMultilevel"/>
    <w:tmpl w:val="3CA02202"/>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FD42697"/>
    <w:multiLevelType w:val="hybridMultilevel"/>
    <w:tmpl w:val="5F828D12"/>
    <w:lvl w:ilvl="0" w:tplc="002E31C2">
      <w:start w:val="2"/>
      <w:numFmt w:val="decimal"/>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6EF214C"/>
    <w:multiLevelType w:val="hybridMultilevel"/>
    <w:tmpl w:val="D8ACBB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3271C9"/>
    <w:multiLevelType w:val="hybridMultilevel"/>
    <w:tmpl w:val="63343236"/>
    <w:lvl w:ilvl="0" w:tplc="A6AA5920">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7C0B3F"/>
    <w:multiLevelType w:val="hybridMultilevel"/>
    <w:tmpl w:val="E74CD7D8"/>
    <w:lvl w:ilvl="0" w:tplc="19EE1F94">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5F20F2A"/>
    <w:multiLevelType w:val="hybridMultilevel"/>
    <w:tmpl w:val="AF3042B2"/>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C353CB"/>
    <w:multiLevelType w:val="hybridMultilevel"/>
    <w:tmpl w:val="C0DEA87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15:restartNumberingAfterBreak="0">
    <w:nsid w:val="48D37D02"/>
    <w:multiLevelType w:val="hybridMultilevel"/>
    <w:tmpl w:val="7E98F17A"/>
    <w:lvl w:ilvl="0" w:tplc="FFFFFFFF">
      <w:start w:val="1"/>
      <w:numFmt w:val="lowerLetter"/>
      <w:lvlText w:val="%1."/>
      <w:lvlJc w:val="left"/>
      <w:pPr>
        <w:ind w:left="1440" w:hanging="360"/>
      </w:pPr>
      <w:rPr>
        <w:b w:val="0"/>
      </w:rPr>
    </w:lvl>
    <w:lvl w:ilvl="1" w:tplc="0409001B">
      <w:start w:val="1"/>
      <w:numFmt w:val="lowerRoman"/>
      <w:lvlText w:val="%2."/>
      <w:lvlJc w:val="right"/>
      <w:pPr>
        <w:ind w:left="2880" w:hanging="360"/>
      </w:pPr>
    </w:lvl>
    <w:lvl w:ilvl="2" w:tplc="FFFFFFFF">
      <w:start w:val="1"/>
      <w:numFmt w:val="upperLetter"/>
      <w:lvlText w:val="%3."/>
      <w:lvlJc w:val="left"/>
      <w:pPr>
        <w:ind w:left="2250" w:hanging="360"/>
      </w:pPr>
      <w:rPr>
        <w:rFonts w:hint="default"/>
      </w:rPr>
    </w:lvl>
    <w:lvl w:ilvl="3" w:tplc="FFFFFFFF">
      <w:start w:val="1"/>
      <w:numFmt w:val="bullet"/>
      <w:lvlText w:val=""/>
      <w:lvlJc w:val="left"/>
      <w:pPr>
        <w:ind w:left="3600" w:hanging="360"/>
      </w:pPr>
      <w:rPr>
        <w:rFonts w:ascii="Symbol" w:hAnsi="Symbol" w:hint="default"/>
      </w:r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4E5C7616"/>
    <w:multiLevelType w:val="hybridMultilevel"/>
    <w:tmpl w:val="051EBA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FF4109E"/>
    <w:multiLevelType w:val="hybridMultilevel"/>
    <w:tmpl w:val="518E4EF4"/>
    <w:lvl w:ilvl="0" w:tplc="6C56BF28">
      <w:start w:val="9"/>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83B3D"/>
    <w:multiLevelType w:val="hybridMultilevel"/>
    <w:tmpl w:val="C6984F90"/>
    <w:lvl w:ilvl="0" w:tplc="9B9AE4FA">
      <w:start w:val="9"/>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80C40"/>
    <w:multiLevelType w:val="hybridMultilevel"/>
    <w:tmpl w:val="F5F6A29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176566"/>
    <w:multiLevelType w:val="hybridMultilevel"/>
    <w:tmpl w:val="79948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562102"/>
    <w:multiLevelType w:val="hybridMultilevel"/>
    <w:tmpl w:val="3288F1FC"/>
    <w:lvl w:ilvl="0" w:tplc="F5FEA210">
      <w:start w:val="1"/>
      <w:numFmt w:val="lowerLetter"/>
      <w:lvlText w:val="%1."/>
      <w:lvlJc w:val="left"/>
      <w:pPr>
        <w:ind w:left="0" w:hanging="360"/>
      </w:pPr>
      <w:rPr>
        <w:rFonts w:hint="default"/>
        <w:b w:val="0"/>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0" w15:restartNumberingAfterBreak="0">
    <w:nsid w:val="64765671"/>
    <w:multiLevelType w:val="hybridMultilevel"/>
    <w:tmpl w:val="D2222120"/>
    <w:lvl w:ilvl="0" w:tplc="8C6EC9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80563CA"/>
    <w:multiLevelType w:val="multilevel"/>
    <w:tmpl w:val="93EAF090"/>
    <w:lvl w:ilvl="0">
      <w:start w:val="1"/>
      <w:numFmt w:val="upperLetter"/>
      <w:lvlText w:val="%1."/>
      <w:lvlJc w:val="left"/>
      <w:pPr>
        <w:ind w:left="720" w:hanging="360"/>
      </w:pPr>
      <w:rPr>
        <w:rFonts w:hint="default"/>
        <w:b w:val="0"/>
      </w:rPr>
    </w:lvl>
    <w:lvl w:ilvl="1">
      <w:start w:val="1"/>
      <w:numFmt w:val="lowerLetter"/>
      <w:lvlText w:val="%2."/>
      <w:lvlJc w:val="left"/>
      <w:pPr>
        <w:ind w:left="1080" w:hanging="360"/>
      </w:pPr>
      <w:rPr>
        <w:rFonts w:hint="default"/>
        <w:b w:val="0"/>
        <w:i w:val="0"/>
      </w:rPr>
    </w:lvl>
    <w:lvl w:ilvl="2">
      <w:start w:val="1"/>
      <w:numFmt w:val="lowerLetter"/>
      <w:lvlText w:val="%3."/>
      <w:lvlJc w:val="right"/>
      <w:pPr>
        <w:ind w:left="1440" w:hanging="360"/>
      </w:pPr>
      <w:rPr>
        <w:rFonts w:hint="default"/>
      </w:rPr>
    </w:lvl>
    <w:lvl w:ilvl="3">
      <w:start w:val="1"/>
      <w:numFmt w:val="lowerRoman"/>
      <w:lvlText w:val="%4."/>
      <w:lvlJc w:val="left"/>
      <w:pPr>
        <w:ind w:left="180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4500" w:hanging="360"/>
      </w:pPr>
      <w:rPr>
        <w:rFonts w:ascii="Tahoma" w:hAnsi="Tahoma" w:cs="Tahoma" w:hint="default"/>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8316AAF"/>
    <w:multiLevelType w:val="hybridMultilevel"/>
    <w:tmpl w:val="687E41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3DB7467"/>
    <w:multiLevelType w:val="hybridMultilevel"/>
    <w:tmpl w:val="A964D57C"/>
    <w:lvl w:ilvl="0" w:tplc="27E86430">
      <w:start w:val="2"/>
      <w:numFmt w:val="lowerRoman"/>
      <w:lvlText w:val="%1."/>
      <w:lvlJc w:val="right"/>
      <w:pPr>
        <w:ind w:left="1440" w:hanging="360"/>
      </w:pPr>
      <w:rPr>
        <w:rFonts w:hint="default"/>
        <w:b w:val="0"/>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4" w15:restartNumberingAfterBreak="0">
    <w:nsid w:val="76380BFA"/>
    <w:multiLevelType w:val="hybridMultilevel"/>
    <w:tmpl w:val="687E41E2"/>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7AD762D"/>
    <w:multiLevelType w:val="hybridMultilevel"/>
    <w:tmpl w:val="E9502250"/>
    <w:lvl w:ilvl="0" w:tplc="10CEEFD6">
      <w:start w:val="15"/>
      <w:numFmt w:val="decimal"/>
      <w:lvlText w:val="%1."/>
      <w:lvlJc w:val="left"/>
      <w:pPr>
        <w:ind w:left="1512" w:hanging="432"/>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CB2882"/>
    <w:multiLevelType w:val="hybridMultilevel"/>
    <w:tmpl w:val="74C2C174"/>
    <w:lvl w:ilvl="0" w:tplc="B9E4CF1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DE76D50"/>
    <w:multiLevelType w:val="hybridMultilevel"/>
    <w:tmpl w:val="87E4AF5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8845048">
    <w:abstractNumId w:val="23"/>
  </w:num>
  <w:num w:numId="2" w16cid:durableId="1642884978">
    <w:abstractNumId w:val="19"/>
  </w:num>
  <w:num w:numId="3" w16cid:durableId="621424096">
    <w:abstractNumId w:val="6"/>
  </w:num>
  <w:num w:numId="4" w16cid:durableId="1278104474">
    <w:abstractNumId w:val="37"/>
  </w:num>
  <w:num w:numId="5" w16cid:durableId="2130855339">
    <w:abstractNumId w:val="32"/>
  </w:num>
  <w:num w:numId="6" w16cid:durableId="446892252">
    <w:abstractNumId w:val="9"/>
  </w:num>
  <w:num w:numId="7" w16cid:durableId="149292626">
    <w:abstractNumId w:val="8"/>
  </w:num>
  <w:num w:numId="8" w16cid:durableId="314337568">
    <w:abstractNumId w:val="5"/>
  </w:num>
  <w:num w:numId="9" w16cid:durableId="2104258113">
    <w:abstractNumId w:val="33"/>
  </w:num>
  <w:num w:numId="10" w16cid:durableId="850022999">
    <w:abstractNumId w:val="17"/>
  </w:num>
  <w:num w:numId="11" w16cid:durableId="1293973762">
    <w:abstractNumId w:val="4"/>
  </w:num>
  <w:num w:numId="12" w16cid:durableId="1862087584">
    <w:abstractNumId w:val="14"/>
  </w:num>
  <w:num w:numId="13" w16cid:durableId="1434744100">
    <w:abstractNumId w:val="18"/>
  </w:num>
  <w:num w:numId="14" w16cid:durableId="1056470891">
    <w:abstractNumId w:val="7"/>
  </w:num>
  <w:num w:numId="15" w16cid:durableId="1432821712">
    <w:abstractNumId w:val="29"/>
  </w:num>
  <w:num w:numId="16" w16cid:durableId="1554733316">
    <w:abstractNumId w:val="11"/>
  </w:num>
  <w:num w:numId="17" w16cid:durableId="179007202">
    <w:abstractNumId w:val="27"/>
  </w:num>
  <w:num w:numId="18" w16cid:durableId="84196707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614064">
    <w:abstractNumId w:val="1"/>
  </w:num>
  <w:num w:numId="20" w16cid:durableId="654064370">
    <w:abstractNumId w:val="34"/>
  </w:num>
  <w:num w:numId="21" w16cid:durableId="906113705">
    <w:abstractNumId w:val="16"/>
  </w:num>
  <w:num w:numId="22" w16cid:durableId="1663535">
    <w:abstractNumId w:val="0"/>
  </w:num>
  <w:num w:numId="23" w16cid:durableId="649099242">
    <w:abstractNumId w:val="2"/>
  </w:num>
  <w:num w:numId="24" w16cid:durableId="1229997213">
    <w:abstractNumId w:val="35"/>
  </w:num>
  <w:num w:numId="25" w16cid:durableId="1552419868">
    <w:abstractNumId w:val="30"/>
  </w:num>
  <w:num w:numId="26" w16cid:durableId="2029746485">
    <w:abstractNumId w:val="3"/>
  </w:num>
  <w:num w:numId="27" w16cid:durableId="1682311915">
    <w:abstractNumId w:val="36"/>
  </w:num>
  <w:num w:numId="28" w16cid:durableId="1113282204">
    <w:abstractNumId w:val="13"/>
  </w:num>
  <w:num w:numId="29" w16cid:durableId="1165245682">
    <w:abstractNumId w:val="21"/>
  </w:num>
  <w:num w:numId="30" w16cid:durableId="191722775">
    <w:abstractNumId w:val="22"/>
  </w:num>
  <w:num w:numId="31" w16cid:durableId="79065717">
    <w:abstractNumId w:val="26"/>
  </w:num>
  <w:num w:numId="32" w16cid:durableId="1643149288">
    <w:abstractNumId w:val="20"/>
  </w:num>
  <w:num w:numId="33" w16cid:durableId="338965589">
    <w:abstractNumId w:val="28"/>
  </w:num>
  <w:num w:numId="34" w16cid:durableId="1148785204">
    <w:abstractNumId w:val="15"/>
  </w:num>
  <w:num w:numId="35" w16cid:durableId="834995770">
    <w:abstractNumId w:val="10"/>
  </w:num>
  <w:num w:numId="36" w16cid:durableId="235286359">
    <w:abstractNumId w:val="24"/>
  </w:num>
  <w:num w:numId="37" w16cid:durableId="2061516325">
    <w:abstractNumId w:val="25"/>
  </w:num>
  <w:num w:numId="38" w16cid:durableId="2781295">
    <w:abstractNumId w:val="3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UyNjIxMDA0NjOwNDVU0lEKTi0uzszPAykwrAUA5DMOLSwAAAA="/>
  </w:docVars>
  <w:rsids>
    <w:rsidRoot w:val="00F86D2B"/>
    <w:rsid w:val="0000028A"/>
    <w:rsid w:val="000028DD"/>
    <w:rsid w:val="00003900"/>
    <w:rsid w:val="00003CFA"/>
    <w:rsid w:val="00005579"/>
    <w:rsid w:val="00005D84"/>
    <w:rsid w:val="00005DA1"/>
    <w:rsid w:val="000063B5"/>
    <w:rsid w:val="00006CBE"/>
    <w:rsid w:val="000073B8"/>
    <w:rsid w:val="00007C86"/>
    <w:rsid w:val="00012767"/>
    <w:rsid w:val="00013BAA"/>
    <w:rsid w:val="00013BB8"/>
    <w:rsid w:val="0001408A"/>
    <w:rsid w:val="00015969"/>
    <w:rsid w:val="000172D2"/>
    <w:rsid w:val="00017C73"/>
    <w:rsid w:val="00020457"/>
    <w:rsid w:val="0002369F"/>
    <w:rsid w:val="00024043"/>
    <w:rsid w:val="00027125"/>
    <w:rsid w:val="00033827"/>
    <w:rsid w:val="00035D03"/>
    <w:rsid w:val="00035DE2"/>
    <w:rsid w:val="00037F66"/>
    <w:rsid w:val="000442AD"/>
    <w:rsid w:val="00046233"/>
    <w:rsid w:val="0004705B"/>
    <w:rsid w:val="0004705D"/>
    <w:rsid w:val="000510AC"/>
    <w:rsid w:val="00053E9D"/>
    <w:rsid w:val="000557AC"/>
    <w:rsid w:val="00057AB2"/>
    <w:rsid w:val="00060591"/>
    <w:rsid w:val="00060A6F"/>
    <w:rsid w:val="000611BE"/>
    <w:rsid w:val="0006377F"/>
    <w:rsid w:val="00063941"/>
    <w:rsid w:val="00063B9D"/>
    <w:rsid w:val="000653A6"/>
    <w:rsid w:val="00066161"/>
    <w:rsid w:val="00067503"/>
    <w:rsid w:val="000677AE"/>
    <w:rsid w:val="0007042E"/>
    <w:rsid w:val="000705C3"/>
    <w:rsid w:val="00071316"/>
    <w:rsid w:val="00071594"/>
    <w:rsid w:val="000728DA"/>
    <w:rsid w:val="00074E58"/>
    <w:rsid w:val="00076083"/>
    <w:rsid w:val="00081864"/>
    <w:rsid w:val="00082D36"/>
    <w:rsid w:val="00084005"/>
    <w:rsid w:val="0009064B"/>
    <w:rsid w:val="000909F6"/>
    <w:rsid w:val="00091227"/>
    <w:rsid w:val="000914DE"/>
    <w:rsid w:val="000922CE"/>
    <w:rsid w:val="00092DF0"/>
    <w:rsid w:val="000930AE"/>
    <w:rsid w:val="00093184"/>
    <w:rsid w:val="000963E8"/>
    <w:rsid w:val="0009684A"/>
    <w:rsid w:val="00096A8B"/>
    <w:rsid w:val="0009741A"/>
    <w:rsid w:val="00097BFF"/>
    <w:rsid w:val="000A0FA4"/>
    <w:rsid w:val="000A133D"/>
    <w:rsid w:val="000A2B9D"/>
    <w:rsid w:val="000A560E"/>
    <w:rsid w:val="000A6CE7"/>
    <w:rsid w:val="000B06C0"/>
    <w:rsid w:val="000B2D17"/>
    <w:rsid w:val="000B2DF5"/>
    <w:rsid w:val="000B39C3"/>
    <w:rsid w:val="000B3A58"/>
    <w:rsid w:val="000B6ADA"/>
    <w:rsid w:val="000B71AD"/>
    <w:rsid w:val="000C16AE"/>
    <w:rsid w:val="000C2B73"/>
    <w:rsid w:val="000C69AF"/>
    <w:rsid w:val="000D2DA7"/>
    <w:rsid w:val="000D4A7B"/>
    <w:rsid w:val="000D50E3"/>
    <w:rsid w:val="000D53E1"/>
    <w:rsid w:val="000D6791"/>
    <w:rsid w:val="000D79C3"/>
    <w:rsid w:val="000E01FA"/>
    <w:rsid w:val="000E0A56"/>
    <w:rsid w:val="000E1B44"/>
    <w:rsid w:val="000E31D6"/>
    <w:rsid w:val="000E433B"/>
    <w:rsid w:val="000E6CD9"/>
    <w:rsid w:val="000F0D5B"/>
    <w:rsid w:val="000F3E5F"/>
    <w:rsid w:val="000F57C6"/>
    <w:rsid w:val="000F5BE1"/>
    <w:rsid w:val="000F7242"/>
    <w:rsid w:val="00103791"/>
    <w:rsid w:val="00103C24"/>
    <w:rsid w:val="00104045"/>
    <w:rsid w:val="00106742"/>
    <w:rsid w:val="00106C10"/>
    <w:rsid w:val="00113B54"/>
    <w:rsid w:val="001151E5"/>
    <w:rsid w:val="00117CB8"/>
    <w:rsid w:val="00122045"/>
    <w:rsid w:val="00123E80"/>
    <w:rsid w:val="0012428F"/>
    <w:rsid w:val="00124FD9"/>
    <w:rsid w:val="001259D2"/>
    <w:rsid w:val="001261BE"/>
    <w:rsid w:val="0013208E"/>
    <w:rsid w:val="0013506C"/>
    <w:rsid w:val="00135B57"/>
    <w:rsid w:val="0013714A"/>
    <w:rsid w:val="00140123"/>
    <w:rsid w:val="0014043C"/>
    <w:rsid w:val="00142AD3"/>
    <w:rsid w:val="001448B6"/>
    <w:rsid w:val="001449AA"/>
    <w:rsid w:val="001457B1"/>
    <w:rsid w:val="00146C62"/>
    <w:rsid w:val="0014731B"/>
    <w:rsid w:val="001477A0"/>
    <w:rsid w:val="0015411D"/>
    <w:rsid w:val="00157F88"/>
    <w:rsid w:val="00160236"/>
    <w:rsid w:val="0016033C"/>
    <w:rsid w:val="00162611"/>
    <w:rsid w:val="00163485"/>
    <w:rsid w:val="00164745"/>
    <w:rsid w:val="001665C7"/>
    <w:rsid w:val="00167654"/>
    <w:rsid w:val="001716C3"/>
    <w:rsid w:val="00174050"/>
    <w:rsid w:val="00174A2D"/>
    <w:rsid w:val="00174E34"/>
    <w:rsid w:val="001760FE"/>
    <w:rsid w:val="00176A45"/>
    <w:rsid w:val="00182A16"/>
    <w:rsid w:val="00183BEA"/>
    <w:rsid w:val="00185E8D"/>
    <w:rsid w:val="00187140"/>
    <w:rsid w:val="00187E1A"/>
    <w:rsid w:val="00190B05"/>
    <w:rsid w:val="00192A55"/>
    <w:rsid w:val="00193972"/>
    <w:rsid w:val="0019407E"/>
    <w:rsid w:val="00196F52"/>
    <w:rsid w:val="00197C74"/>
    <w:rsid w:val="001A2082"/>
    <w:rsid w:val="001A5B69"/>
    <w:rsid w:val="001A7FEC"/>
    <w:rsid w:val="001B0F25"/>
    <w:rsid w:val="001B1AB3"/>
    <w:rsid w:val="001B2889"/>
    <w:rsid w:val="001B2D6F"/>
    <w:rsid w:val="001C2F0B"/>
    <w:rsid w:val="001C3201"/>
    <w:rsid w:val="001C3CDA"/>
    <w:rsid w:val="001C4AE1"/>
    <w:rsid w:val="001C5631"/>
    <w:rsid w:val="001C605E"/>
    <w:rsid w:val="001C6A3B"/>
    <w:rsid w:val="001D1BAA"/>
    <w:rsid w:val="001D48CF"/>
    <w:rsid w:val="001D6C4D"/>
    <w:rsid w:val="001D6CF5"/>
    <w:rsid w:val="001E136C"/>
    <w:rsid w:val="001E4F81"/>
    <w:rsid w:val="001E73D1"/>
    <w:rsid w:val="001F0E43"/>
    <w:rsid w:val="001F1FC1"/>
    <w:rsid w:val="001F2E2E"/>
    <w:rsid w:val="001F3152"/>
    <w:rsid w:val="001F478B"/>
    <w:rsid w:val="001F5214"/>
    <w:rsid w:val="001F62F3"/>
    <w:rsid w:val="001F6300"/>
    <w:rsid w:val="00203307"/>
    <w:rsid w:val="00203587"/>
    <w:rsid w:val="00204718"/>
    <w:rsid w:val="0020542A"/>
    <w:rsid w:val="00205D2C"/>
    <w:rsid w:val="00205D3F"/>
    <w:rsid w:val="0020648F"/>
    <w:rsid w:val="00206807"/>
    <w:rsid w:val="00206D7E"/>
    <w:rsid w:val="00210F3E"/>
    <w:rsid w:val="002121E7"/>
    <w:rsid w:val="002137AE"/>
    <w:rsid w:val="002168C6"/>
    <w:rsid w:val="00216A85"/>
    <w:rsid w:val="00221879"/>
    <w:rsid w:val="00221C82"/>
    <w:rsid w:val="00227C4F"/>
    <w:rsid w:val="00235167"/>
    <w:rsid w:val="00242B10"/>
    <w:rsid w:val="00242D2C"/>
    <w:rsid w:val="002462BF"/>
    <w:rsid w:val="002512E1"/>
    <w:rsid w:val="00252EA8"/>
    <w:rsid w:val="00255BCA"/>
    <w:rsid w:val="00256C04"/>
    <w:rsid w:val="00256FBB"/>
    <w:rsid w:val="002572D4"/>
    <w:rsid w:val="002577F3"/>
    <w:rsid w:val="00261A28"/>
    <w:rsid w:val="00262018"/>
    <w:rsid w:val="00262D0D"/>
    <w:rsid w:val="002636E7"/>
    <w:rsid w:val="0026385E"/>
    <w:rsid w:val="00264EA1"/>
    <w:rsid w:val="002652F2"/>
    <w:rsid w:val="00266739"/>
    <w:rsid w:val="002670B3"/>
    <w:rsid w:val="0026739C"/>
    <w:rsid w:val="002747CF"/>
    <w:rsid w:val="00274C4C"/>
    <w:rsid w:val="0027534D"/>
    <w:rsid w:val="00281BB0"/>
    <w:rsid w:val="002829DB"/>
    <w:rsid w:val="002847A4"/>
    <w:rsid w:val="002879B4"/>
    <w:rsid w:val="00292E6D"/>
    <w:rsid w:val="00292F10"/>
    <w:rsid w:val="00293842"/>
    <w:rsid w:val="00294C1C"/>
    <w:rsid w:val="002977F8"/>
    <w:rsid w:val="002A290C"/>
    <w:rsid w:val="002A2C80"/>
    <w:rsid w:val="002A312D"/>
    <w:rsid w:val="002A5E85"/>
    <w:rsid w:val="002A5F7A"/>
    <w:rsid w:val="002A6474"/>
    <w:rsid w:val="002B0A97"/>
    <w:rsid w:val="002B3D9A"/>
    <w:rsid w:val="002B4FE5"/>
    <w:rsid w:val="002B6615"/>
    <w:rsid w:val="002C3A9E"/>
    <w:rsid w:val="002C6259"/>
    <w:rsid w:val="002C7DA8"/>
    <w:rsid w:val="002D0ACB"/>
    <w:rsid w:val="002D11A5"/>
    <w:rsid w:val="002D3F4D"/>
    <w:rsid w:val="002D506D"/>
    <w:rsid w:val="002D5865"/>
    <w:rsid w:val="002D74C3"/>
    <w:rsid w:val="002E1315"/>
    <w:rsid w:val="002E34FB"/>
    <w:rsid w:val="002E5E7B"/>
    <w:rsid w:val="002E6E83"/>
    <w:rsid w:val="002F2B94"/>
    <w:rsid w:val="002F3357"/>
    <w:rsid w:val="00300FB1"/>
    <w:rsid w:val="00303130"/>
    <w:rsid w:val="0030410C"/>
    <w:rsid w:val="00305227"/>
    <w:rsid w:val="0030692B"/>
    <w:rsid w:val="00306AA9"/>
    <w:rsid w:val="00306C82"/>
    <w:rsid w:val="003077B7"/>
    <w:rsid w:val="00310A92"/>
    <w:rsid w:val="00311FCA"/>
    <w:rsid w:val="00313A53"/>
    <w:rsid w:val="00313B02"/>
    <w:rsid w:val="003142CC"/>
    <w:rsid w:val="0031556C"/>
    <w:rsid w:val="00315EC9"/>
    <w:rsid w:val="003172B7"/>
    <w:rsid w:val="00320836"/>
    <w:rsid w:val="00320AD2"/>
    <w:rsid w:val="00321832"/>
    <w:rsid w:val="003273DD"/>
    <w:rsid w:val="00331BA0"/>
    <w:rsid w:val="00332A3E"/>
    <w:rsid w:val="00333768"/>
    <w:rsid w:val="00335863"/>
    <w:rsid w:val="00337025"/>
    <w:rsid w:val="00340ABF"/>
    <w:rsid w:val="00344417"/>
    <w:rsid w:val="003468DD"/>
    <w:rsid w:val="00346B06"/>
    <w:rsid w:val="003526C5"/>
    <w:rsid w:val="00352EF2"/>
    <w:rsid w:val="00353981"/>
    <w:rsid w:val="00355865"/>
    <w:rsid w:val="00355CE1"/>
    <w:rsid w:val="00356F9C"/>
    <w:rsid w:val="00360BE0"/>
    <w:rsid w:val="00360ED1"/>
    <w:rsid w:val="003702FD"/>
    <w:rsid w:val="0037114C"/>
    <w:rsid w:val="003714BA"/>
    <w:rsid w:val="003729D0"/>
    <w:rsid w:val="00372C95"/>
    <w:rsid w:val="00373169"/>
    <w:rsid w:val="00375727"/>
    <w:rsid w:val="00375A65"/>
    <w:rsid w:val="00375F4A"/>
    <w:rsid w:val="0037614B"/>
    <w:rsid w:val="00376F8E"/>
    <w:rsid w:val="00377E7A"/>
    <w:rsid w:val="0038240B"/>
    <w:rsid w:val="00382D10"/>
    <w:rsid w:val="00387642"/>
    <w:rsid w:val="00390B6A"/>
    <w:rsid w:val="00391FC2"/>
    <w:rsid w:val="003938F1"/>
    <w:rsid w:val="00396780"/>
    <w:rsid w:val="00397367"/>
    <w:rsid w:val="003A0F89"/>
    <w:rsid w:val="003A14C0"/>
    <w:rsid w:val="003A1602"/>
    <w:rsid w:val="003A3A36"/>
    <w:rsid w:val="003A4749"/>
    <w:rsid w:val="003A605D"/>
    <w:rsid w:val="003A685E"/>
    <w:rsid w:val="003B0CF8"/>
    <w:rsid w:val="003B149F"/>
    <w:rsid w:val="003B2535"/>
    <w:rsid w:val="003B2D4A"/>
    <w:rsid w:val="003B39C4"/>
    <w:rsid w:val="003B4C06"/>
    <w:rsid w:val="003B787B"/>
    <w:rsid w:val="003C0B8E"/>
    <w:rsid w:val="003C19A2"/>
    <w:rsid w:val="003C36DE"/>
    <w:rsid w:val="003C47B8"/>
    <w:rsid w:val="003C55A4"/>
    <w:rsid w:val="003C746B"/>
    <w:rsid w:val="003C767D"/>
    <w:rsid w:val="003C7B84"/>
    <w:rsid w:val="003D0C68"/>
    <w:rsid w:val="003D21A6"/>
    <w:rsid w:val="003D575C"/>
    <w:rsid w:val="003D5F92"/>
    <w:rsid w:val="003D738A"/>
    <w:rsid w:val="003E05A6"/>
    <w:rsid w:val="003E0914"/>
    <w:rsid w:val="003E0AD6"/>
    <w:rsid w:val="003E0D2D"/>
    <w:rsid w:val="003E3CF9"/>
    <w:rsid w:val="003E404D"/>
    <w:rsid w:val="003E404F"/>
    <w:rsid w:val="003E7824"/>
    <w:rsid w:val="003F037E"/>
    <w:rsid w:val="003F0F25"/>
    <w:rsid w:val="003F1FDC"/>
    <w:rsid w:val="003F3137"/>
    <w:rsid w:val="003F3ABD"/>
    <w:rsid w:val="003F3B07"/>
    <w:rsid w:val="003F3D3C"/>
    <w:rsid w:val="003F62A8"/>
    <w:rsid w:val="003F6DB4"/>
    <w:rsid w:val="003F6FD8"/>
    <w:rsid w:val="00400838"/>
    <w:rsid w:val="00403DAB"/>
    <w:rsid w:val="00405296"/>
    <w:rsid w:val="004073D3"/>
    <w:rsid w:val="004076CF"/>
    <w:rsid w:val="004104AF"/>
    <w:rsid w:val="00410AC7"/>
    <w:rsid w:val="004140C9"/>
    <w:rsid w:val="00414EAF"/>
    <w:rsid w:val="00415DE9"/>
    <w:rsid w:val="00416213"/>
    <w:rsid w:val="00416ABE"/>
    <w:rsid w:val="00422DA7"/>
    <w:rsid w:val="004276CE"/>
    <w:rsid w:val="00427DF2"/>
    <w:rsid w:val="00430859"/>
    <w:rsid w:val="004318AF"/>
    <w:rsid w:val="00432FB1"/>
    <w:rsid w:val="00433228"/>
    <w:rsid w:val="00434A01"/>
    <w:rsid w:val="00435278"/>
    <w:rsid w:val="00436340"/>
    <w:rsid w:val="004379A5"/>
    <w:rsid w:val="00437D5F"/>
    <w:rsid w:val="004449F1"/>
    <w:rsid w:val="00445151"/>
    <w:rsid w:val="00445F8E"/>
    <w:rsid w:val="004504D5"/>
    <w:rsid w:val="00450CEE"/>
    <w:rsid w:val="00451977"/>
    <w:rsid w:val="00452815"/>
    <w:rsid w:val="00455EAE"/>
    <w:rsid w:val="00456FB3"/>
    <w:rsid w:val="0045786A"/>
    <w:rsid w:val="0046003A"/>
    <w:rsid w:val="00463011"/>
    <w:rsid w:val="00463B37"/>
    <w:rsid w:val="00467AE7"/>
    <w:rsid w:val="00470EF0"/>
    <w:rsid w:val="00471C5A"/>
    <w:rsid w:val="00472C70"/>
    <w:rsid w:val="00474F40"/>
    <w:rsid w:val="00475B35"/>
    <w:rsid w:val="004772EB"/>
    <w:rsid w:val="0048178F"/>
    <w:rsid w:val="00481B8A"/>
    <w:rsid w:val="00483F19"/>
    <w:rsid w:val="00483F3B"/>
    <w:rsid w:val="004848CD"/>
    <w:rsid w:val="0048657F"/>
    <w:rsid w:val="00491630"/>
    <w:rsid w:val="00493781"/>
    <w:rsid w:val="0049454E"/>
    <w:rsid w:val="00495D9E"/>
    <w:rsid w:val="00496116"/>
    <w:rsid w:val="004965B0"/>
    <w:rsid w:val="0049713B"/>
    <w:rsid w:val="004977A8"/>
    <w:rsid w:val="004A0E02"/>
    <w:rsid w:val="004A1AAA"/>
    <w:rsid w:val="004A316B"/>
    <w:rsid w:val="004A3C3C"/>
    <w:rsid w:val="004A3FE3"/>
    <w:rsid w:val="004A45E3"/>
    <w:rsid w:val="004A4C18"/>
    <w:rsid w:val="004A69AA"/>
    <w:rsid w:val="004B2C25"/>
    <w:rsid w:val="004B4281"/>
    <w:rsid w:val="004B5391"/>
    <w:rsid w:val="004B58FE"/>
    <w:rsid w:val="004C2F0F"/>
    <w:rsid w:val="004C666C"/>
    <w:rsid w:val="004D0158"/>
    <w:rsid w:val="004D128F"/>
    <w:rsid w:val="004D5823"/>
    <w:rsid w:val="004E0805"/>
    <w:rsid w:val="004E1EA3"/>
    <w:rsid w:val="004E45E3"/>
    <w:rsid w:val="004E64D2"/>
    <w:rsid w:val="004E72B5"/>
    <w:rsid w:val="004EEFCF"/>
    <w:rsid w:val="004F0C72"/>
    <w:rsid w:val="004F14FE"/>
    <w:rsid w:val="004F1541"/>
    <w:rsid w:val="004F2BCA"/>
    <w:rsid w:val="004F477F"/>
    <w:rsid w:val="004F5603"/>
    <w:rsid w:val="004F76BA"/>
    <w:rsid w:val="00500234"/>
    <w:rsid w:val="0050279B"/>
    <w:rsid w:val="00503C6B"/>
    <w:rsid w:val="00505C2A"/>
    <w:rsid w:val="00505F62"/>
    <w:rsid w:val="0050729E"/>
    <w:rsid w:val="00507795"/>
    <w:rsid w:val="005100D5"/>
    <w:rsid w:val="00511D19"/>
    <w:rsid w:val="00511F4E"/>
    <w:rsid w:val="00512A41"/>
    <w:rsid w:val="00513978"/>
    <w:rsid w:val="00514143"/>
    <w:rsid w:val="00515618"/>
    <w:rsid w:val="00515927"/>
    <w:rsid w:val="00515A05"/>
    <w:rsid w:val="005201E6"/>
    <w:rsid w:val="00524EA9"/>
    <w:rsid w:val="005256ED"/>
    <w:rsid w:val="00525E2C"/>
    <w:rsid w:val="00527817"/>
    <w:rsid w:val="005307F4"/>
    <w:rsid w:val="00530F97"/>
    <w:rsid w:val="00532B97"/>
    <w:rsid w:val="00534797"/>
    <w:rsid w:val="0053616E"/>
    <w:rsid w:val="00536616"/>
    <w:rsid w:val="0054094D"/>
    <w:rsid w:val="00541330"/>
    <w:rsid w:val="00541DB3"/>
    <w:rsid w:val="005427D3"/>
    <w:rsid w:val="00544461"/>
    <w:rsid w:val="00544845"/>
    <w:rsid w:val="005454B5"/>
    <w:rsid w:val="00545635"/>
    <w:rsid w:val="00546140"/>
    <w:rsid w:val="00546779"/>
    <w:rsid w:val="00547FB1"/>
    <w:rsid w:val="005504D3"/>
    <w:rsid w:val="00551452"/>
    <w:rsid w:val="00552BB9"/>
    <w:rsid w:val="00554C47"/>
    <w:rsid w:val="00555607"/>
    <w:rsid w:val="00555FC3"/>
    <w:rsid w:val="005561A1"/>
    <w:rsid w:val="005568CA"/>
    <w:rsid w:val="0055692E"/>
    <w:rsid w:val="005573C8"/>
    <w:rsid w:val="00557984"/>
    <w:rsid w:val="005608A7"/>
    <w:rsid w:val="005615F4"/>
    <w:rsid w:val="00561990"/>
    <w:rsid w:val="005631B1"/>
    <w:rsid w:val="00566D9C"/>
    <w:rsid w:val="00572577"/>
    <w:rsid w:val="00573655"/>
    <w:rsid w:val="005738B6"/>
    <w:rsid w:val="0057562D"/>
    <w:rsid w:val="005762CA"/>
    <w:rsid w:val="00577D95"/>
    <w:rsid w:val="00580EDD"/>
    <w:rsid w:val="0058138E"/>
    <w:rsid w:val="005826B3"/>
    <w:rsid w:val="0058395D"/>
    <w:rsid w:val="0058670A"/>
    <w:rsid w:val="005879A0"/>
    <w:rsid w:val="00593743"/>
    <w:rsid w:val="0059473D"/>
    <w:rsid w:val="0059609D"/>
    <w:rsid w:val="00597734"/>
    <w:rsid w:val="005A062F"/>
    <w:rsid w:val="005A3623"/>
    <w:rsid w:val="005A378C"/>
    <w:rsid w:val="005A47F6"/>
    <w:rsid w:val="005A4B19"/>
    <w:rsid w:val="005B451E"/>
    <w:rsid w:val="005B5E51"/>
    <w:rsid w:val="005B61B8"/>
    <w:rsid w:val="005B645F"/>
    <w:rsid w:val="005C2A35"/>
    <w:rsid w:val="005C2FA5"/>
    <w:rsid w:val="005C33FC"/>
    <w:rsid w:val="005C73E0"/>
    <w:rsid w:val="005D1DB4"/>
    <w:rsid w:val="005D32E7"/>
    <w:rsid w:val="005D4EE4"/>
    <w:rsid w:val="005D57D4"/>
    <w:rsid w:val="005E1E2D"/>
    <w:rsid w:val="005E5713"/>
    <w:rsid w:val="005E5A04"/>
    <w:rsid w:val="005E62D0"/>
    <w:rsid w:val="005E6FA2"/>
    <w:rsid w:val="005F32CC"/>
    <w:rsid w:val="005F79FD"/>
    <w:rsid w:val="00601F17"/>
    <w:rsid w:val="006024EA"/>
    <w:rsid w:val="006025AA"/>
    <w:rsid w:val="00603E43"/>
    <w:rsid w:val="00606ED7"/>
    <w:rsid w:val="00612AE0"/>
    <w:rsid w:val="00614E46"/>
    <w:rsid w:val="006157EC"/>
    <w:rsid w:val="00615E32"/>
    <w:rsid w:val="006172CE"/>
    <w:rsid w:val="0062191B"/>
    <w:rsid w:val="006234CA"/>
    <w:rsid w:val="006241B1"/>
    <w:rsid w:val="00624429"/>
    <w:rsid w:val="0062485E"/>
    <w:rsid w:val="00625B2A"/>
    <w:rsid w:val="0062615E"/>
    <w:rsid w:val="00627607"/>
    <w:rsid w:val="00630520"/>
    <w:rsid w:val="006330B9"/>
    <w:rsid w:val="00640BB6"/>
    <w:rsid w:val="0064142B"/>
    <w:rsid w:val="00642441"/>
    <w:rsid w:val="00643061"/>
    <w:rsid w:val="0064527B"/>
    <w:rsid w:val="00646CD2"/>
    <w:rsid w:val="0064776D"/>
    <w:rsid w:val="0065002A"/>
    <w:rsid w:val="006507AC"/>
    <w:rsid w:val="006511D6"/>
    <w:rsid w:val="006525EE"/>
    <w:rsid w:val="00652888"/>
    <w:rsid w:val="0065465F"/>
    <w:rsid w:val="00654BE4"/>
    <w:rsid w:val="00656273"/>
    <w:rsid w:val="006575F3"/>
    <w:rsid w:val="00657D5A"/>
    <w:rsid w:val="00657F71"/>
    <w:rsid w:val="00661706"/>
    <w:rsid w:val="006621DF"/>
    <w:rsid w:val="00662548"/>
    <w:rsid w:val="00662A16"/>
    <w:rsid w:val="00663283"/>
    <w:rsid w:val="0067221B"/>
    <w:rsid w:val="00673BF4"/>
    <w:rsid w:val="00674D7D"/>
    <w:rsid w:val="006757C4"/>
    <w:rsid w:val="0067702F"/>
    <w:rsid w:val="00677E50"/>
    <w:rsid w:val="00680FC7"/>
    <w:rsid w:val="00681CAD"/>
    <w:rsid w:val="00684D65"/>
    <w:rsid w:val="00685F5C"/>
    <w:rsid w:val="00687606"/>
    <w:rsid w:val="00693454"/>
    <w:rsid w:val="006939D5"/>
    <w:rsid w:val="00693DDE"/>
    <w:rsid w:val="006972F9"/>
    <w:rsid w:val="00697408"/>
    <w:rsid w:val="006A0281"/>
    <w:rsid w:val="006A44A6"/>
    <w:rsid w:val="006A5696"/>
    <w:rsid w:val="006A57AF"/>
    <w:rsid w:val="006A5A55"/>
    <w:rsid w:val="006A700F"/>
    <w:rsid w:val="006A74A2"/>
    <w:rsid w:val="006B0329"/>
    <w:rsid w:val="006B135B"/>
    <w:rsid w:val="006B13F0"/>
    <w:rsid w:val="006B5394"/>
    <w:rsid w:val="006C0B9C"/>
    <w:rsid w:val="006C1977"/>
    <w:rsid w:val="006C3488"/>
    <w:rsid w:val="006C56EA"/>
    <w:rsid w:val="006C60D5"/>
    <w:rsid w:val="006C683F"/>
    <w:rsid w:val="006C7442"/>
    <w:rsid w:val="006D3827"/>
    <w:rsid w:val="006D4420"/>
    <w:rsid w:val="006D459B"/>
    <w:rsid w:val="006D498C"/>
    <w:rsid w:val="006D6734"/>
    <w:rsid w:val="006D6AD0"/>
    <w:rsid w:val="006D7163"/>
    <w:rsid w:val="006D7942"/>
    <w:rsid w:val="006E146A"/>
    <w:rsid w:val="006E232C"/>
    <w:rsid w:val="006F0229"/>
    <w:rsid w:val="006F1578"/>
    <w:rsid w:val="006F1B0E"/>
    <w:rsid w:val="006F6339"/>
    <w:rsid w:val="007032F3"/>
    <w:rsid w:val="0070468C"/>
    <w:rsid w:val="007046B1"/>
    <w:rsid w:val="007063FC"/>
    <w:rsid w:val="007079B2"/>
    <w:rsid w:val="00707AE0"/>
    <w:rsid w:val="007134AE"/>
    <w:rsid w:val="007157D3"/>
    <w:rsid w:val="00716C87"/>
    <w:rsid w:val="0072006A"/>
    <w:rsid w:val="007205AE"/>
    <w:rsid w:val="00720723"/>
    <w:rsid w:val="0072118B"/>
    <w:rsid w:val="007211FC"/>
    <w:rsid w:val="00731277"/>
    <w:rsid w:val="00731C4D"/>
    <w:rsid w:val="00732160"/>
    <w:rsid w:val="0073342D"/>
    <w:rsid w:val="00734C5A"/>
    <w:rsid w:val="007350B5"/>
    <w:rsid w:val="00736F8A"/>
    <w:rsid w:val="0073776C"/>
    <w:rsid w:val="00743ADF"/>
    <w:rsid w:val="00744EE3"/>
    <w:rsid w:val="00745F00"/>
    <w:rsid w:val="00746790"/>
    <w:rsid w:val="007467BF"/>
    <w:rsid w:val="0074779B"/>
    <w:rsid w:val="00747BAC"/>
    <w:rsid w:val="007500C3"/>
    <w:rsid w:val="007504F1"/>
    <w:rsid w:val="00751C0F"/>
    <w:rsid w:val="00752F4B"/>
    <w:rsid w:val="00761F8B"/>
    <w:rsid w:val="00762BBF"/>
    <w:rsid w:val="00763547"/>
    <w:rsid w:val="00763870"/>
    <w:rsid w:val="00764102"/>
    <w:rsid w:val="0076420C"/>
    <w:rsid w:val="00764361"/>
    <w:rsid w:val="007668C2"/>
    <w:rsid w:val="0077041B"/>
    <w:rsid w:val="00772408"/>
    <w:rsid w:val="0077265A"/>
    <w:rsid w:val="0077301E"/>
    <w:rsid w:val="00774EA9"/>
    <w:rsid w:val="00777528"/>
    <w:rsid w:val="00777798"/>
    <w:rsid w:val="00777ACF"/>
    <w:rsid w:val="007804A0"/>
    <w:rsid w:val="0078154A"/>
    <w:rsid w:val="00781E8B"/>
    <w:rsid w:val="00783717"/>
    <w:rsid w:val="00784246"/>
    <w:rsid w:val="00787349"/>
    <w:rsid w:val="007900F2"/>
    <w:rsid w:val="0079120A"/>
    <w:rsid w:val="00791211"/>
    <w:rsid w:val="00791376"/>
    <w:rsid w:val="00793199"/>
    <w:rsid w:val="00794224"/>
    <w:rsid w:val="00796B1D"/>
    <w:rsid w:val="007971BE"/>
    <w:rsid w:val="007A50D3"/>
    <w:rsid w:val="007A5DD3"/>
    <w:rsid w:val="007A7AAB"/>
    <w:rsid w:val="007A7DF0"/>
    <w:rsid w:val="007B235E"/>
    <w:rsid w:val="007B243B"/>
    <w:rsid w:val="007B314A"/>
    <w:rsid w:val="007B3CC9"/>
    <w:rsid w:val="007B3F87"/>
    <w:rsid w:val="007B5BAB"/>
    <w:rsid w:val="007C2815"/>
    <w:rsid w:val="007C2DD3"/>
    <w:rsid w:val="007C3C42"/>
    <w:rsid w:val="007C5894"/>
    <w:rsid w:val="007C6C8A"/>
    <w:rsid w:val="007C795F"/>
    <w:rsid w:val="007D05C8"/>
    <w:rsid w:val="007D2ED3"/>
    <w:rsid w:val="007D3F58"/>
    <w:rsid w:val="007D545A"/>
    <w:rsid w:val="007D7DB4"/>
    <w:rsid w:val="007E18AE"/>
    <w:rsid w:val="007E1C46"/>
    <w:rsid w:val="007E4256"/>
    <w:rsid w:val="007E47D3"/>
    <w:rsid w:val="007E77CF"/>
    <w:rsid w:val="007E7A4E"/>
    <w:rsid w:val="007F0365"/>
    <w:rsid w:val="007F2BA5"/>
    <w:rsid w:val="007F36D3"/>
    <w:rsid w:val="007F5E9A"/>
    <w:rsid w:val="007F6063"/>
    <w:rsid w:val="007F7AA4"/>
    <w:rsid w:val="008008AA"/>
    <w:rsid w:val="00803029"/>
    <w:rsid w:val="00803E15"/>
    <w:rsid w:val="0080408D"/>
    <w:rsid w:val="0080478D"/>
    <w:rsid w:val="00804FCD"/>
    <w:rsid w:val="008055E1"/>
    <w:rsid w:val="00805AD3"/>
    <w:rsid w:val="00806195"/>
    <w:rsid w:val="0080669E"/>
    <w:rsid w:val="0080736B"/>
    <w:rsid w:val="00807BAD"/>
    <w:rsid w:val="00812FE0"/>
    <w:rsid w:val="0081533B"/>
    <w:rsid w:val="0081551E"/>
    <w:rsid w:val="008200ED"/>
    <w:rsid w:val="008213B2"/>
    <w:rsid w:val="008253F2"/>
    <w:rsid w:val="00825D3E"/>
    <w:rsid w:val="008267FC"/>
    <w:rsid w:val="00826E92"/>
    <w:rsid w:val="00830D80"/>
    <w:rsid w:val="00831AC0"/>
    <w:rsid w:val="00831C8C"/>
    <w:rsid w:val="0083275C"/>
    <w:rsid w:val="00833081"/>
    <w:rsid w:val="00833949"/>
    <w:rsid w:val="00833DDE"/>
    <w:rsid w:val="00833F61"/>
    <w:rsid w:val="00835AFC"/>
    <w:rsid w:val="00840C0C"/>
    <w:rsid w:val="00841D92"/>
    <w:rsid w:val="00842176"/>
    <w:rsid w:val="00845154"/>
    <w:rsid w:val="00845D34"/>
    <w:rsid w:val="00846985"/>
    <w:rsid w:val="00850701"/>
    <w:rsid w:val="00851970"/>
    <w:rsid w:val="008604AC"/>
    <w:rsid w:val="00860A6B"/>
    <w:rsid w:val="00864FF0"/>
    <w:rsid w:val="00872F35"/>
    <w:rsid w:val="00873303"/>
    <w:rsid w:val="00873B6E"/>
    <w:rsid w:val="00874191"/>
    <w:rsid w:val="00874988"/>
    <w:rsid w:val="00876362"/>
    <w:rsid w:val="0087650F"/>
    <w:rsid w:val="00876B2B"/>
    <w:rsid w:val="0087776A"/>
    <w:rsid w:val="00877EAA"/>
    <w:rsid w:val="008803FC"/>
    <w:rsid w:val="00880C0B"/>
    <w:rsid w:val="00881565"/>
    <w:rsid w:val="00884465"/>
    <w:rsid w:val="00884D77"/>
    <w:rsid w:val="00885647"/>
    <w:rsid w:val="00886249"/>
    <w:rsid w:val="0088752D"/>
    <w:rsid w:val="00887F04"/>
    <w:rsid w:val="00890B17"/>
    <w:rsid w:val="00891290"/>
    <w:rsid w:val="00891410"/>
    <w:rsid w:val="0089264A"/>
    <w:rsid w:val="00896B6A"/>
    <w:rsid w:val="00897F5B"/>
    <w:rsid w:val="008A4634"/>
    <w:rsid w:val="008A6E2D"/>
    <w:rsid w:val="008B1157"/>
    <w:rsid w:val="008B3D1C"/>
    <w:rsid w:val="008B4FD3"/>
    <w:rsid w:val="008B73B2"/>
    <w:rsid w:val="008B740B"/>
    <w:rsid w:val="008C0BBF"/>
    <w:rsid w:val="008C28DF"/>
    <w:rsid w:val="008C45EF"/>
    <w:rsid w:val="008C7223"/>
    <w:rsid w:val="008C73BA"/>
    <w:rsid w:val="008C7F64"/>
    <w:rsid w:val="008D421C"/>
    <w:rsid w:val="008D7347"/>
    <w:rsid w:val="008D7686"/>
    <w:rsid w:val="008E1433"/>
    <w:rsid w:val="008E2179"/>
    <w:rsid w:val="008E292A"/>
    <w:rsid w:val="008E2B5A"/>
    <w:rsid w:val="008E3926"/>
    <w:rsid w:val="008E4794"/>
    <w:rsid w:val="008E7852"/>
    <w:rsid w:val="008E78F8"/>
    <w:rsid w:val="008F0B91"/>
    <w:rsid w:val="008F1D2E"/>
    <w:rsid w:val="008F1EC9"/>
    <w:rsid w:val="008F4EE9"/>
    <w:rsid w:val="008F5B28"/>
    <w:rsid w:val="008F7767"/>
    <w:rsid w:val="008F7BB2"/>
    <w:rsid w:val="009006CE"/>
    <w:rsid w:val="00904F8C"/>
    <w:rsid w:val="009057B4"/>
    <w:rsid w:val="0090646F"/>
    <w:rsid w:val="00910710"/>
    <w:rsid w:val="009108CA"/>
    <w:rsid w:val="009121F5"/>
    <w:rsid w:val="009124AA"/>
    <w:rsid w:val="00917578"/>
    <w:rsid w:val="00917995"/>
    <w:rsid w:val="00917C0C"/>
    <w:rsid w:val="009208E6"/>
    <w:rsid w:val="0092105D"/>
    <w:rsid w:val="009230DB"/>
    <w:rsid w:val="00923C09"/>
    <w:rsid w:val="00923C0F"/>
    <w:rsid w:val="00923C47"/>
    <w:rsid w:val="009245F9"/>
    <w:rsid w:val="00925908"/>
    <w:rsid w:val="00926356"/>
    <w:rsid w:val="00926DAF"/>
    <w:rsid w:val="00930F91"/>
    <w:rsid w:val="0093107C"/>
    <w:rsid w:val="00931275"/>
    <w:rsid w:val="0093181E"/>
    <w:rsid w:val="00934A76"/>
    <w:rsid w:val="00934FF9"/>
    <w:rsid w:val="00936AA9"/>
    <w:rsid w:val="009406CE"/>
    <w:rsid w:val="009407F5"/>
    <w:rsid w:val="00943EDF"/>
    <w:rsid w:val="00950AF4"/>
    <w:rsid w:val="0095255D"/>
    <w:rsid w:val="00954325"/>
    <w:rsid w:val="00955E22"/>
    <w:rsid w:val="00957692"/>
    <w:rsid w:val="00957DD8"/>
    <w:rsid w:val="0096014C"/>
    <w:rsid w:val="009609B3"/>
    <w:rsid w:val="00961E96"/>
    <w:rsid w:val="00962BB3"/>
    <w:rsid w:val="00964764"/>
    <w:rsid w:val="00966E0A"/>
    <w:rsid w:val="00970562"/>
    <w:rsid w:val="0097247B"/>
    <w:rsid w:val="009739B0"/>
    <w:rsid w:val="0097477F"/>
    <w:rsid w:val="00974BB8"/>
    <w:rsid w:val="00976840"/>
    <w:rsid w:val="009778CE"/>
    <w:rsid w:val="00982582"/>
    <w:rsid w:val="00982AE1"/>
    <w:rsid w:val="00983FF2"/>
    <w:rsid w:val="0098479F"/>
    <w:rsid w:val="00986316"/>
    <w:rsid w:val="009872D6"/>
    <w:rsid w:val="009904BD"/>
    <w:rsid w:val="00991A4A"/>
    <w:rsid w:val="00993CAB"/>
    <w:rsid w:val="009A02B8"/>
    <w:rsid w:val="009A0452"/>
    <w:rsid w:val="009A0B3E"/>
    <w:rsid w:val="009A17EF"/>
    <w:rsid w:val="009A53E9"/>
    <w:rsid w:val="009B0980"/>
    <w:rsid w:val="009B19E1"/>
    <w:rsid w:val="009B3212"/>
    <w:rsid w:val="009B4AC9"/>
    <w:rsid w:val="009B6E75"/>
    <w:rsid w:val="009B7817"/>
    <w:rsid w:val="009B7B6A"/>
    <w:rsid w:val="009C2A91"/>
    <w:rsid w:val="009C30C0"/>
    <w:rsid w:val="009C3566"/>
    <w:rsid w:val="009C49F8"/>
    <w:rsid w:val="009C7E65"/>
    <w:rsid w:val="009D151A"/>
    <w:rsid w:val="009D19BD"/>
    <w:rsid w:val="009D2367"/>
    <w:rsid w:val="009D405B"/>
    <w:rsid w:val="009D6648"/>
    <w:rsid w:val="009D7532"/>
    <w:rsid w:val="009E08FD"/>
    <w:rsid w:val="009E11DE"/>
    <w:rsid w:val="009E4146"/>
    <w:rsid w:val="009E442D"/>
    <w:rsid w:val="009E4554"/>
    <w:rsid w:val="009E4F20"/>
    <w:rsid w:val="009E609D"/>
    <w:rsid w:val="009E6C35"/>
    <w:rsid w:val="009E754B"/>
    <w:rsid w:val="009F0221"/>
    <w:rsid w:val="009F2C3C"/>
    <w:rsid w:val="009F3084"/>
    <w:rsid w:val="009F591C"/>
    <w:rsid w:val="00A00179"/>
    <w:rsid w:val="00A004CC"/>
    <w:rsid w:val="00A0084F"/>
    <w:rsid w:val="00A03DFA"/>
    <w:rsid w:val="00A05672"/>
    <w:rsid w:val="00A0626A"/>
    <w:rsid w:val="00A07BCC"/>
    <w:rsid w:val="00A10F99"/>
    <w:rsid w:val="00A141CA"/>
    <w:rsid w:val="00A15FA8"/>
    <w:rsid w:val="00A17202"/>
    <w:rsid w:val="00A20644"/>
    <w:rsid w:val="00A207F2"/>
    <w:rsid w:val="00A21809"/>
    <w:rsid w:val="00A23EF9"/>
    <w:rsid w:val="00A24295"/>
    <w:rsid w:val="00A24C47"/>
    <w:rsid w:val="00A27654"/>
    <w:rsid w:val="00A27B4C"/>
    <w:rsid w:val="00A309EB"/>
    <w:rsid w:val="00A31411"/>
    <w:rsid w:val="00A3384C"/>
    <w:rsid w:val="00A338B3"/>
    <w:rsid w:val="00A33904"/>
    <w:rsid w:val="00A36CF5"/>
    <w:rsid w:val="00A415DD"/>
    <w:rsid w:val="00A422A7"/>
    <w:rsid w:val="00A44D62"/>
    <w:rsid w:val="00A552C2"/>
    <w:rsid w:val="00A568D1"/>
    <w:rsid w:val="00A64C45"/>
    <w:rsid w:val="00A67079"/>
    <w:rsid w:val="00A673A4"/>
    <w:rsid w:val="00A70DFA"/>
    <w:rsid w:val="00A7125B"/>
    <w:rsid w:val="00A71CE9"/>
    <w:rsid w:val="00A72C3A"/>
    <w:rsid w:val="00A73089"/>
    <w:rsid w:val="00A7364B"/>
    <w:rsid w:val="00A74376"/>
    <w:rsid w:val="00A7483D"/>
    <w:rsid w:val="00A76860"/>
    <w:rsid w:val="00A77A07"/>
    <w:rsid w:val="00A8047F"/>
    <w:rsid w:val="00A818E1"/>
    <w:rsid w:val="00A82448"/>
    <w:rsid w:val="00A82558"/>
    <w:rsid w:val="00A82982"/>
    <w:rsid w:val="00A84E83"/>
    <w:rsid w:val="00A8753A"/>
    <w:rsid w:val="00A879C1"/>
    <w:rsid w:val="00A90DC6"/>
    <w:rsid w:val="00A91094"/>
    <w:rsid w:val="00A96083"/>
    <w:rsid w:val="00A96E09"/>
    <w:rsid w:val="00AA3B54"/>
    <w:rsid w:val="00AA3F95"/>
    <w:rsid w:val="00AA6912"/>
    <w:rsid w:val="00AB0469"/>
    <w:rsid w:val="00AB095D"/>
    <w:rsid w:val="00AB45E0"/>
    <w:rsid w:val="00AB5858"/>
    <w:rsid w:val="00AB5F23"/>
    <w:rsid w:val="00AB65DD"/>
    <w:rsid w:val="00AC29DF"/>
    <w:rsid w:val="00AC38B8"/>
    <w:rsid w:val="00AC6E48"/>
    <w:rsid w:val="00AD021C"/>
    <w:rsid w:val="00AD06A6"/>
    <w:rsid w:val="00AD0BD5"/>
    <w:rsid w:val="00AD10DB"/>
    <w:rsid w:val="00AD1D37"/>
    <w:rsid w:val="00AD21FC"/>
    <w:rsid w:val="00AD253D"/>
    <w:rsid w:val="00AD383D"/>
    <w:rsid w:val="00AD5870"/>
    <w:rsid w:val="00AD675E"/>
    <w:rsid w:val="00AD6D89"/>
    <w:rsid w:val="00AD7584"/>
    <w:rsid w:val="00AD764E"/>
    <w:rsid w:val="00AE05B9"/>
    <w:rsid w:val="00AE1291"/>
    <w:rsid w:val="00AE1D13"/>
    <w:rsid w:val="00AE2B23"/>
    <w:rsid w:val="00AE2B54"/>
    <w:rsid w:val="00AE2CB4"/>
    <w:rsid w:val="00AE3D3E"/>
    <w:rsid w:val="00AE4413"/>
    <w:rsid w:val="00AE5C20"/>
    <w:rsid w:val="00AE5F71"/>
    <w:rsid w:val="00AF2371"/>
    <w:rsid w:val="00AF56D5"/>
    <w:rsid w:val="00B03AD3"/>
    <w:rsid w:val="00B05919"/>
    <w:rsid w:val="00B100D6"/>
    <w:rsid w:val="00B10CF8"/>
    <w:rsid w:val="00B10F20"/>
    <w:rsid w:val="00B1122A"/>
    <w:rsid w:val="00B117E0"/>
    <w:rsid w:val="00B11AE4"/>
    <w:rsid w:val="00B2160E"/>
    <w:rsid w:val="00B2526A"/>
    <w:rsid w:val="00B2651A"/>
    <w:rsid w:val="00B30487"/>
    <w:rsid w:val="00B30EFA"/>
    <w:rsid w:val="00B33439"/>
    <w:rsid w:val="00B33F69"/>
    <w:rsid w:val="00B36854"/>
    <w:rsid w:val="00B40211"/>
    <w:rsid w:val="00B404CE"/>
    <w:rsid w:val="00B41CF9"/>
    <w:rsid w:val="00B42C3A"/>
    <w:rsid w:val="00B4508D"/>
    <w:rsid w:val="00B50873"/>
    <w:rsid w:val="00B50F59"/>
    <w:rsid w:val="00B51D4C"/>
    <w:rsid w:val="00B55552"/>
    <w:rsid w:val="00B564F9"/>
    <w:rsid w:val="00B570A1"/>
    <w:rsid w:val="00B57413"/>
    <w:rsid w:val="00B5781C"/>
    <w:rsid w:val="00B57F6D"/>
    <w:rsid w:val="00B601D6"/>
    <w:rsid w:val="00B60597"/>
    <w:rsid w:val="00B62279"/>
    <w:rsid w:val="00B64DB2"/>
    <w:rsid w:val="00B65DC6"/>
    <w:rsid w:val="00B672EF"/>
    <w:rsid w:val="00B74FE5"/>
    <w:rsid w:val="00B759EA"/>
    <w:rsid w:val="00B8061A"/>
    <w:rsid w:val="00B80E72"/>
    <w:rsid w:val="00B811C0"/>
    <w:rsid w:val="00B82679"/>
    <w:rsid w:val="00B84D31"/>
    <w:rsid w:val="00B85F4A"/>
    <w:rsid w:val="00B86168"/>
    <w:rsid w:val="00B8624A"/>
    <w:rsid w:val="00B86C96"/>
    <w:rsid w:val="00B906E9"/>
    <w:rsid w:val="00B965DF"/>
    <w:rsid w:val="00BA1317"/>
    <w:rsid w:val="00BA200D"/>
    <w:rsid w:val="00BA25AD"/>
    <w:rsid w:val="00BA3F4C"/>
    <w:rsid w:val="00BA556B"/>
    <w:rsid w:val="00BA55D6"/>
    <w:rsid w:val="00BA56CE"/>
    <w:rsid w:val="00BA5A6D"/>
    <w:rsid w:val="00BA5C46"/>
    <w:rsid w:val="00BA6653"/>
    <w:rsid w:val="00BA7219"/>
    <w:rsid w:val="00BB03D9"/>
    <w:rsid w:val="00BB09AB"/>
    <w:rsid w:val="00BB1D22"/>
    <w:rsid w:val="00BB2CCD"/>
    <w:rsid w:val="00BB3AE8"/>
    <w:rsid w:val="00BB3B50"/>
    <w:rsid w:val="00BB4489"/>
    <w:rsid w:val="00BB563A"/>
    <w:rsid w:val="00BB5DCD"/>
    <w:rsid w:val="00BC184D"/>
    <w:rsid w:val="00BC60FE"/>
    <w:rsid w:val="00BC7226"/>
    <w:rsid w:val="00BC7287"/>
    <w:rsid w:val="00BC76F0"/>
    <w:rsid w:val="00BD043B"/>
    <w:rsid w:val="00BD3438"/>
    <w:rsid w:val="00BD4B6C"/>
    <w:rsid w:val="00BD5FAA"/>
    <w:rsid w:val="00BD6C0F"/>
    <w:rsid w:val="00BD70A7"/>
    <w:rsid w:val="00BD72BE"/>
    <w:rsid w:val="00BD77BE"/>
    <w:rsid w:val="00BD7B80"/>
    <w:rsid w:val="00BE7A05"/>
    <w:rsid w:val="00BF0705"/>
    <w:rsid w:val="00BF1236"/>
    <w:rsid w:val="00BF25A6"/>
    <w:rsid w:val="00BF2C96"/>
    <w:rsid w:val="00BF6CAE"/>
    <w:rsid w:val="00C00EF9"/>
    <w:rsid w:val="00C00FFC"/>
    <w:rsid w:val="00C018A9"/>
    <w:rsid w:val="00C01C97"/>
    <w:rsid w:val="00C01CBD"/>
    <w:rsid w:val="00C0245B"/>
    <w:rsid w:val="00C02DC5"/>
    <w:rsid w:val="00C03527"/>
    <w:rsid w:val="00C03DF2"/>
    <w:rsid w:val="00C043A7"/>
    <w:rsid w:val="00C04BBB"/>
    <w:rsid w:val="00C0566C"/>
    <w:rsid w:val="00C0572D"/>
    <w:rsid w:val="00C07D3A"/>
    <w:rsid w:val="00C108ED"/>
    <w:rsid w:val="00C13420"/>
    <w:rsid w:val="00C1425A"/>
    <w:rsid w:val="00C142B7"/>
    <w:rsid w:val="00C159C0"/>
    <w:rsid w:val="00C20555"/>
    <w:rsid w:val="00C2116D"/>
    <w:rsid w:val="00C22AD3"/>
    <w:rsid w:val="00C2336E"/>
    <w:rsid w:val="00C23390"/>
    <w:rsid w:val="00C241FC"/>
    <w:rsid w:val="00C270BC"/>
    <w:rsid w:val="00C27B94"/>
    <w:rsid w:val="00C313DE"/>
    <w:rsid w:val="00C314AB"/>
    <w:rsid w:val="00C315CE"/>
    <w:rsid w:val="00C31A87"/>
    <w:rsid w:val="00C33FE7"/>
    <w:rsid w:val="00C406C1"/>
    <w:rsid w:val="00C41076"/>
    <w:rsid w:val="00C41592"/>
    <w:rsid w:val="00C438ED"/>
    <w:rsid w:val="00C53FF3"/>
    <w:rsid w:val="00C605C7"/>
    <w:rsid w:val="00C63056"/>
    <w:rsid w:val="00C634F1"/>
    <w:rsid w:val="00C65B9A"/>
    <w:rsid w:val="00C66F57"/>
    <w:rsid w:val="00C67037"/>
    <w:rsid w:val="00C722C4"/>
    <w:rsid w:val="00C73A1F"/>
    <w:rsid w:val="00C73D9D"/>
    <w:rsid w:val="00C73E13"/>
    <w:rsid w:val="00C743BC"/>
    <w:rsid w:val="00C773DC"/>
    <w:rsid w:val="00C77571"/>
    <w:rsid w:val="00C777E3"/>
    <w:rsid w:val="00C77D6A"/>
    <w:rsid w:val="00C8060E"/>
    <w:rsid w:val="00C82D00"/>
    <w:rsid w:val="00C82FCE"/>
    <w:rsid w:val="00C83639"/>
    <w:rsid w:val="00C83F63"/>
    <w:rsid w:val="00C85257"/>
    <w:rsid w:val="00C85894"/>
    <w:rsid w:val="00C868F2"/>
    <w:rsid w:val="00C90306"/>
    <w:rsid w:val="00C94212"/>
    <w:rsid w:val="00C9570C"/>
    <w:rsid w:val="00C95D7F"/>
    <w:rsid w:val="00C95FE7"/>
    <w:rsid w:val="00C96BDD"/>
    <w:rsid w:val="00C97C61"/>
    <w:rsid w:val="00C97CEF"/>
    <w:rsid w:val="00CA0A80"/>
    <w:rsid w:val="00CA2124"/>
    <w:rsid w:val="00CA4725"/>
    <w:rsid w:val="00CA4A92"/>
    <w:rsid w:val="00CA59EA"/>
    <w:rsid w:val="00CA6B2B"/>
    <w:rsid w:val="00CA766D"/>
    <w:rsid w:val="00CA7ADA"/>
    <w:rsid w:val="00CB2B75"/>
    <w:rsid w:val="00CB3D8B"/>
    <w:rsid w:val="00CB53D3"/>
    <w:rsid w:val="00CB716D"/>
    <w:rsid w:val="00CB7ADA"/>
    <w:rsid w:val="00CC0077"/>
    <w:rsid w:val="00CC0BAF"/>
    <w:rsid w:val="00CC2B47"/>
    <w:rsid w:val="00CC3518"/>
    <w:rsid w:val="00CC38CC"/>
    <w:rsid w:val="00CC4048"/>
    <w:rsid w:val="00CC66FF"/>
    <w:rsid w:val="00CD0F6A"/>
    <w:rsid w:val="00CD1F64"/>
    <w:rsid w:val="00CD354D"/>
    <w:rsid w:val="00CD63CC"/>
    <w:rsid w:val="00CD6D70"/>
    <w:rsid w:val="00CD7A1A"/>
    <w:rsid w:val="00CE1EC3"/>
    <w:rsid w:val="00CE41A5"/>
    <w:rsid w:val="00CE4624"/>
    <w:rsid w:val="00CF108E"/>
    <w:rsid w:val="00CF3AFB"/>
    <w:rsid w:val="00CF43C0"/>
    <w:rsid w:val="00CF51FB"/>
    <w:rsid w:val="00CF6676"/>
    <w:rsid w:val="00CF7FA5"/>
    <w:rsid w:val="00D0111A"/>
    <w:rsid w:val="00D01D82"/>
    <w:rsid w:val="00D05E1C"/>
    <w:rsid w:val="00D06754"/>
    <w:rsid w:val="00D10746"/>
    <w:rsid w:val="00D10C00"/>
    <w:rsid w:val="00D10CEE"/>
    <w:rsid w:val="00D153E6"/>
    <w:rsid w:val="00D17966"/>
    <w:rsid w:val="00D22FF9"/>
    <w:rsid w:val="00D23474"/>
    <w:rsid w:val="00D238C0"/>
    <w:rsid w:val="00D23A43"/>
    <w:rsid w:val="00D2465B"/>
    <w:rsid w:val="00D264AD"/>
    <w:rsid w:val="00D301D6"/>
    <w:rsid w:val="00D326A0"/>
    <w:rsid w:val="00D32C3D"/>
    <w:rsid w:val="00D32E77"/>
    <w:rsid w:val="00D33013"/>
    <w:rsid w:val="00D3336B"/>
    <w:rsid w:val="00D411B7"/>
    <w:rsid w:val="00D4211B"/>
    <w:rsid w:val="00D431C2"/>
    <w:rsid w:val="00D43B83"/>
    <w:rsid w:val="00D44167"/>
    <w:rsid w:val="00D45737"/>
    <w:rsid w:val="00D46579"/>
    <w:rsid w:val="00D51027"/>
    <w:rsid w:val="00D53059"/>
    <w:rsid w:val="00D541A3"/>
    <w:rsid w:val="00D5515C"/>
    <w:rsid w:val="00D55BD4"/>
    <w:rsid w:val="00D571CC"/>
    <w:rsid w:val="00D57271"/>
    <w:rsid w:val="00D57D7A"/>
    <w:rsid w:val="00D618D9"/>
    <w:rsid w:val="00D64A06"/>
    <w:rsid w:val="00D66430"/>
    <w:rsid w:val="00D673D0"/>
    <w:rsid w:val="00D678DD"/>
    <w:rsid w:val="00D7223C"/>
    <w:rsid w:val="00D727DC"/>
    <w:rsid w:val="00D73537"/>
    <w:rsid w:val="00D758B1"/>
    <w:rsid w:val="00D7691D"/>
    <w:rsid w:val="00D8072E"/>
    <w:rsid w:val="00D813CF"/>
    <w:rsid w:val="00D81838"/>
    <w:rsid w:val="00D843FE"/>
    <w:rsid w:val="00D85DBE"/>
    <w:rsid w:val="00D87C37"/>
    <w:rsid w:val="00D903C5"/>
    <w:rsid w:val="00D9165C"/>
    <w:rsid w:val="00D92317"/>
    <w:rsid w:val="00D93715"/>
    <w:rsid w:val="00DA034F"/>
    <w:rsid w:val="00DA07CE"/>
    <w:rsid w:val="00DA1C3D"/>
    <w:rsid w:val="00DA1FB3"/>
    <w:rsid w:val="00DA53E2"/>
    <w:rsid w:val="00DA5630"/>
    <w:rsid w:val="00DA63E2"/>
    <w:rsid w:val="00DA7551"/>
    <w:rsid w:val="00DA77F2"/>
    <w:rsid w:val="00DB0A89"/>
    <w:rsid w:val="00DB1FA4"/>
    <w:rsid w:val="00DB2B39"/>
    <w:rsid w:val="00DB52F5"/>
    <w:rsid w:val="00DB53FE"/>
    <w:rsid w:val="00DC0646"/>
    <w:rsid w:val="00DC1BDF"/>
    <w:rsid w:val="00DC585F"/>
    <w:rsid w:val="00DC7524"/>
    <w:rsid w:val="00DC758A"/>
    <w:rsid w:val="00DC7DDF"/>
    <w:rsid w:val="00DD1753"/>
    <w:rsid w:val="00DD1C8B"/>
    <w:rsid w:val="00DD2D27"/>
    <w:rsid w:val="00DD3006"/>
    <w:rsid w:val="00DD5E31"/>
    <w:rsid w:val="00DD77D7"/>
    <w:rsid w:val="00DE1A16"/>
    <w:rsid w:val="00DE20DA"/>
    <w:rsid w:val="00DE23E9"/>
    <w:rsid w:val="00DE708C"/>
    <w:rsid w:val="00DF02CF"/>
    <w:rsid w:val="00DF08AB"/>
    <w:rsid w:val="00DF0CE3"/>
    <w:rsid w:val="00DF133F"/>
    <w:rsid w:val="00DF2A39"/>
    <w:rsid w:val="00DF53F0"/>
    <w:rsid w:val="00DF6247"/>
    <w:rsid w:val="00DF67D9"/>
    <w:rsid w:val="00E014EE"/>
    <w:rsid w:val="00E01CB5"/>
    <w:rsid w:val="00E04ADE"/>
    <w:rsid w:val="00E06114"/>
    <w:rsid w:val="00E11BC0"/>
    <w:rsid w:val="00E1306D"/>
    <w:rsid w:val="00E1391D"/>
    <w:rsid w:val="00E16B2A"/>
    <w:rsid w:val="00E210F6"/>
    <w:rsid w:val="00E23948"/>
    <w:rsid w:val="00E2461D"/>
    <w:rsid w:val="00E25F25"/>
    <w:rsid w:val="00E272F3"/>
    <w:rsid w:val="00E31648"/>
    <w:rsid w:val="00E32EDE"/>
    <w:rsid w:val="00E346B0"/>
    <w:rsid w:val="00E37F69"/>
    <w:rsid w:val="00E420B6"/>
    <w:rsid w:val="00E438B1"/>
    <w:rsid w:val="00E4559D"/>
    <w:rsid w:val="00E46C5F"/>
    <w:rsid w:val="00E5102A"/>
    <w:rsid w:val="00E54CEB"/>
    <w:rsid w:val="00E55399"/>
    <w:rsid w:val="00E60C09"/>
    <w:rsid w:val="00E60C78"/>
    <w:rsid w:val="00E610B5"/>
    <w:rsid w:val="00E61304"/>
    <w:rsid w:val="00E62715"/>
    <w:rsid w:val="00E649F7"/>
    <w:rsid w:val="00E70A8C"/>
    <w:rsid w:val="00E72BA9"/>
    <w:rsid w:val="00E74FF1"/>
    <w:rsid w:val="00E75A3B"/>
    <w:rsid w:val="00E75EF5"/>
    <w:rsid w:val="00E80ED0"/>
    <w:rsid w:val="00E80FCE"/>
    <w:rsid w:val="00E81B2F"/>
    <w:rsid w:val="00E81E0A"/>
    <w:rsid w:val="00E8320B"/>
    <w:rsid w:val="00E8363A"/>
    <w:rsid w:val="00E84A4D"/>
    <w:rsid w:val="00E84A78"/>
    <w:rsid w:val="00E86BAC"/>
    <w:rsid w:val="00E86C98"/>
    <w:rsid w:val="00E91364"/>
    <w:rsid w:val="00E92103"/>
    <w:rsid w:val="00E92D86"/>
    <w:rsid w:val="00E9387A"/>
    <w:rsid w:val="00E95AA9"/>
    <w:rsid w:val="00EA040A"/>
    <w:rsid w:val="00EA044B"/>
    <w:rsid w:val="00EA30CF"/>
    <w:rsid w:val="00EA3A5C"/>
    <w:rsid w:val="00EA3F34"/>
    <w:rsid w:val="00EA4478"/>
    <w:rsid w:val="00EA4B3F"/>
    <w:rsid w:val="00EA4F6E"/>
    <w:rsid w:val="00EA583D"/>
    <w:rsid w:val="00EA58ED"/>
    <w:rsid w:val="00EA7BDE"/>
    <w:rsid w:val="00EA7EA5"/>
    <w:rsid w:val="00EB09C6"/>
    <w:rsid w:val="00EB23CA"/>
    <w:rsid w:val="00EB4B90"/>
    <w:rsid w:val="00EB4DE3"/>
    <w:rsid w:val="00EB5577"/>
    <w:rsid w:val="00EB64CF"/>
    <w:rsid w:val="00EB7062"/>
    <w:rsid w:val="00EB7097"/>
    <w:rsid w:val="00EC1136"/>
    <w:rsid w:val="00EC1819"/>
    <w:rsid w:val="00EC417A"/>
    <w:rsid w:val="00EC5CD3"/>
    <w:rsid w:val="00ED18F1"/>
    <w:rsid w:val="00ED1AF0"/>
    <w:rsid w:val="00ED316B"/>
    <w:rsid w:val="00ED4D2D"/>
    <w:rsid w:val="00ED55A6"/>
    <w:rsid w:val="00ED7737"/>
    <w:rsid w:val="00EE107C"/>
    <w:rsid w:val="00EE4941"/>
    <w:rsid w:val="00EE6CEC"/>
    <w:rsid w:val="00EE6EC7"/>
    <w:rsid w:val="00EE6FED"/>
    <w:rsid w:val="00EE7957"/>
    <w:rsid w:val="00EF305B"/>
    <w:rsid w:val="00EF5F93"/>
    <w:rsid w:val="00F01215"/>
    <w:rsid w:val="00F01DF1"/>
    <w:rsid w:val="00F05337"/>
    <w:rsid w:val="00F053EC"/>
    <w:rsid w:val="00F061A1"/>
    <w:rsid w:val="00F06CED"/>
    <w:rsid w:val="00F06DC8"/>
    <w:rsid w:val="00F072C6"/>
    <w:rsid w:val="00F10DFF"/>
    <w:rsid w:val="00F11CEB"/>
    <w:rsid w:val="00F12B2F"/>
    <w:rsid w:val="00F1381B"/>
    <w:rsid w:val="00F1429D"/>
    <w:rsid w:val="00F14552"/>
    <w:rsid w:val="00F14875"/>
    <w:rsid w:val="00F14AFF"/>
    <w:rsid w:val="00F15C08"/>
    <w:rsid w:val="00F16C59"/>
    <w:rsid w:val="00F17C96"/>
    <w:rsid w:val="00F20D55"/>
    <w:rsid w:val="00F20EAE"/>
    <w:rsid w:val="00F220FC"/>
    <w:rsid w:val="00F22AD4"/>
    <w:rsid w:val="00F25347"/>
    <w:rsid w:val="00F26232"/>
    <w:rsid w:val="00F26729"/>
    <w:rsid w:val="00F30FBF"/>
    <w:rsid w:val="00F329E8"/>
    <w:rsid w:val="00F33C6C"/>
    <w:rsid w:val="00F3458F"/>
    <w:rsid w:val="00F34717"/>
    <w:rsid w:val="00F35411"/>
    <w:rsid w:val="00F35480"/>
    <w:rsid w:val="00F36546"/>
    <w:rsid w:val="00F36D45"/>
    <w:rsid w:val="00F37E83"/>
    <w:rsid w:val="00F41065"/>
    <w:rsid w:val="00F41CCA"/>
    <w:rsid w:val="00F43AC1"/>
    <w:rsid w:val="00F44690"/>
    <w:rsid w:val="00F515AE"/>
    <w:rsid w:val="00F51D15"/>
    <w:rsid w:val="00F600B1"/>
    <w:rsid w:val="00F70ED8"/>
    <w:rsid w:val="00F7353A"/>
    <w:rsid w:val="00F73926"/>
    <w:rsid w:val="00F74293"/>
    <w:rsid w:val="00F74D44"/>
    <w:rsid w:val="00F7696E"/>
    <w:rsid w:val="00F81BEA"/>
    <w:rsid w:val="00F82082"/>
    <w:rsid w:val="00F8269D"/>
    <w:rsid w:val="00F8324B"/>
    <w:rsid w:val="00F84D5F"/>
    <w:rsid w:val="00F85526"/>
    <w:rsid w:val="00F85C38"/>
    <w:rsid w:val="00F86D2B"/>
    <w:rsid w:val="00F90769"/>
    <w:rsid w:val="00F90F6B"/>
    <w:rsid w:val="00F92C5E"/>
    <w:rsid w:val="00F930BD"/>
    <w:rsid w:val="00F93710"/>
    <w:rsid w:val="00F947AC"/>
    <w:rsid w:val="00F94D4A"/>
    <w:rsid w:val="00F9568D"/>
    <w:rsid w:val="00F95D8D"/>
    <w:rsid w:val="00F95DB1"/>
    <w:rsid w:val="00F96371"/>
    <w:rsid w:val="00F967DF"/>
    <w:rsid w:val="00F96F53"/>
    <w:rsid w:val="00F97A78"/>
    <w:rsid w:val="00FA2F49"/>
    <w:rsid w:val="00FA372C"/>
    <w:rsid w:val="00FA3AC6"/>
    <w:rsid w:val="00FA3F7D"/>
    <w:rsid w:val="00FA64EB"/>
    <w:rsid w:val="00FA69FD"/>
    <w:rsid w:val="00FA7BCA"/>
    <w:rsid w:val="00FA7FD8"/>
    <w:rsid w:val="00FB0CD4"/>
    <w:rsid w:val="00FB0EA8"/>
    <w:rsid w:val="00FB3940"/>
    <w:rsid w:val="00FB4B85"/>
    <w:rsid w:val="00FB5303"/>
    <w:rsid w:val="00FB5EEF"/>
    <w:rsid w:val="00FC2E10"/>
    <w:rsid w:val="00FC3E60"/>
    <w:rsid w:val="00FC4728"/>
    <w:rsid w:val="00FC47E2"/>
    <w:rsid w:val="00FD1620"/>
    <w:rsid w:val="00FD2542"/>
    <w:rsid w:val="00FD3FE9"/>
    <w:rsid w:val="00FD41EB"/>
    <w:rsid w:val="00FD441B"/>
    <w:rsid w:val="00FD596F"/>
    <w:rsid w:val="00FD5F77"/>
    <w:rsid w:val="00FD61AC"/>
    <w:rsid w:val="00FE31AA"/>
    <w:rsid w:val="00FE422C"/>
    <w:rsid w:val="00FE5320"/>
    <w:rsid w:val="00FE79E1"/>
    <w:rsid w:val="00FF14B5"/>
    <w:rsid w:val="00FF2675"/>
    <w:rsid w:val="00FF2CF6"/>
    <w:rsid w:val="00FF3C00"/>
    <w:rsid w:val="00FF5BA9"/>
    <w:rsid w:val="00FF7117"/>
    <w:rsid w:val="00FF7303"/>
    <w:rsid w:val="023E72DD"/>
    <w:rsid w:val="028FAF77"/>
    <w:rsid w:val="032014FF"/>
    <w:rsid w:val="06CEB1BF"/>
    <w:rsid w:val="06E9E4A8"/>
    <w:rsid w:val="06FF9887"/>
    <w:rsid w:val="07E6AC85"/>
    <w:rsid w:val="09151448"/>
    <w:rsid w:val="0954EC99"/>
    <w:rsid w:val="0AB28F54"/>
    <w:rsid w:val="0B2C5EA8"/>
    <w:rsid w:val="0CDE3617"/>
    <w:rsid w:val="0D9DC20C"/>
    <w:rsid w:val="0DAADCA1"/>
    <w:rsid w:val="0DBB5828"/>
    <w:rsid w:val="0DC949ED"/>
    <w:rsid w:val="0DFB8102"/>
    <w:rsid w:val="0E37A318"/>
    <w:rsid w:val="12228BC8"/>
    <w:rsid w:val="122F953E"/>
    <w:rsid w:val="125A3DC7"/>
    <w:rsid w:val="12EEDF39"/>
    <w:rsid w:val="12F5B478"/>
    <w:rsid w:val="13D93AF7"/>
    <w:rsid w:val="14167674"/>
    <w:rsid w:val="16FBF3B6"/>
    <w:rsid w:val="18942C11"/>
    <w:rsid w:val="18CADD46"/>
    <w:rsid w:val="19E6F2DF"/>
    <w:rsid w:val="1A7A3CCD"/>
    <w:rsid w:val="1B75446D"/>
    <w:rsid w:val="1C1F3A18"/>
    <w:rsid w:val="1CED7256"/>
    <w:rsid w:val="1F020BF3"/>
    <w:rsid w:val="1F55542A"/>
    <w:rsid w:val="201D6A2A"/>
    <w:rsid w:val="20C97E63"/>
    <w:rsid w:val="21D55F11"/>
    <w:rsid w:val="2342CFD3"/>
    <w:rsid w:val="23BA20C6"/>
    <w:rsid w:val="23DAF934"/>
    <w:rsid w:val="23F4DB2B"/>
    <w:rsid w:val="2407BBC1"/>
    <w:rsid w:val="25A02DD7"/>
    <w:rsid w:val="25ECEADF"/>
    <w:rsid w:val="26A48A3C"/>
    <w:rsid w:val="26ABAA1B"/>
    <w:rsid w:val="274C0677"/>
    <w:rsid w:val="280B5F05"/>
    <w:rsid w:val="284E95FB"/>
    <w:rsid w:val="28CE4799"/>
    <w:rsid w:val="29E1349B"/>
    <w:rsid w:val="29E72730"/>
    <w:rsid w:val="29F8E530"/>
    <w:rsid w:val="2A1F8EB2"/>
    <w:rsid w:val="2A7A4F8E"/>
    <w:rsid w:val="2A96AAA8"/>
    <w:rsid w:val="2ACEB206"/>
    <w:rsid w:val="2AFC7ABA"/>
    <w:rsid w:val="2B249ABB"/>
    <w:rsid w:val="2C538143"/>
    <w:rsid w:val="2E114FE2"/>
    <w:rsid w:val="306B0D54"/>
    <w:rsid w:val="30D2BE5B"/>
    <w:rsid w:val="30DE83BD"/>
    <w:rsid w:val="329A82B1"/>
    <w:rsid w:val="33022F10"/>
    <w:rsid w:val="3340129D"/>
    <w:rsid w:val="34820857"/>
    <w:rsid w:val="349C4020"/>
    <w:rsid w:val="34C67D2A"/>
    <w:rsid w:val="35E65CD7"/>
    <w:rsid w:val="363576A6"/>
    <w:rsid w:val="37E61136"/>
    <w:rsid w:val="38136EDA"/>
    <w:rsid w:val="3842A9E7"/>
    <w:rsid w:val="390F0A72"/>
    <w:rsid w:val="3ABFF17D"/>
    <w:rsid w:val="3D5294F7"/>
    <w:rsid w:val="3D7165C6"/>
    <w:rsid w:val="3DD501D6"/>
    <w:rsid w:val="3E07790D"/>
    <w:rsid w:val="3F7416C0"/>
    <w:rsid w:val="4006F6AD"/>
    <w:rsid w:val="413A14A1"/>
    <w:rsid w:val="4152C8D3"/>
    <w:rsid w:val="426D7197"/>
    <w:rsid w:val="4277A3C8"/>
    <w:rsid w:val="43198628"/>
    <w:rsid w:val="43B53AFF"/>
    <w:rsid w:val="44230373"/>
    <w:rsid w:val="44BA3745"/>
    <w:rsid w:val="44C4E4ED"/>
    <w:rsid w:val="45C5FF60"/>
    <w:rsid w:val="45CB42D3"/>
    <w:rsid w:val="46BDEEAB"/>
    <w:rsid w:val="48C57877"/>
    <w:rsid w:val="4B9F3047"/>
    <w:rsid w:val="4C00BA8D"/>
    <w:rsid w:val="4D4C80AE"/>
    <w:rsid w:val="4D7C6706"/>
    <w:rsid w:val="4F3F5618"/>
    <w:rsid w:val="509E1228"/>
    <w:rsid w:val="51FBA2E8"/>
    <w:rsid w:val="520BD14C"/>
    <w:rsid w:val="5231C999"/>
    <w:rsid w:val="52521B09"/>
    <w:rsid w:val="52E71F1C"/>
    <w:rsid w:val="52F1C162"/>
    <w:rsid w:val="54A32051"/>
    <w:rsid w:val="54C9E59E"/>
    <w:rsid w:val="5626172F"/>
    <w:rsid w:val="572595AD"/>
    <w:rsid w:val="5770E9BA"/>
    <w:rsid w:val="57D3816A"/>
    <w:rsid w:val="59972986"/>
    <w:rsid w:val="59E0890A"/>
    <w:rsid w:val="59E793AF"/>
    <w:rsid w:val="5A20D253"/>
    <w:rsid w:val="5B0CE662"/>
    <w:rsid w:val="5B52F3FF"/>
    <w:rsid w:val="5D193FEE"/>
    <w:rsid w:val="5E55A65A"/>
    <w:rsid w:val="5F60242C"/>
    <w:rsid w:val="606BBBA1"/>
    <w:rsid w:val="60E052F1"/>
    <w:rsid w:val="62E84F04"/>
    <w:rsid w:val="62F7CE63"/>
    <w:rsid w:val="632BF4A0"/>
    <w:rsid w:val="643281C8"/>
    <w:rsid w:val="64750C6E"/>
    <w:rsid w:val="65B14D97"/>
    <w:rsid w:val="663E1245"/>
    <w:rsid w:val="664E4BF6"/>
    <w:rsid w:val="693E293C"/>
    <w:rsid w:val="6BF0E62C"/>
    <w:rsid w:val="6C952B2A"/>
    <w:rsid w:val="6DF39696"/>
    <w:rsid w:val="6E28BA75"/>
    <w:rsid w:val="6F1FD0CC"/>
    <w:rsid w:val="6F3FDA6E"/>
    <w:rsid w:val="6F654CD4"/>
    <w:rsid w:val="7157A557"/>
    <w:rsid w:val="71ADE2AF"/>
    <w:rsid w:val="7213DA06"/>
    <w:rsid w:val="73241326"/>
    <w:rsid w:val="733F9E77"/>
    <w:rsid w:val="739E5687"/>
    <w:rsid w:val="74664E8B"/>
    <w:rsid w:val="74E997E9"/>
    <w:rsid w:val="7562B63C"/>
    <w:rsid w:val="76573138"/>
    <w:rsid w:val="76B59733"/>
    <w:rsid w:val="7733B0F3"/>
    <w:rsid w:val="78F69205"/>
    <w:rsid w:val="79A2C8D3"/>
    <w:rsid w:val="7A20A415"/>
    <w:rsid w:val="7B00825B"/>
    <w:rsid w:val="7E1B752E"/>
    <w:rsid w:val="7E5AC5E6"/>
    <w:rsid w:val="7F6D5EB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8D208C"/>
  <w14:defaultImageDpi w14:val="300"/>
  <w15:docId w15:val="{55E5FC76-CA73-4B69-BF54-16ADEC0C8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4" w:unhideWhenUsed="1" w:qFormat="1"/>
    <w:lsdException w:name="Signature" w:semiHidden="1" w:uiPriority="7"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AA9"/>
  </w:style>
  <w:style w:type="paragraph" w:styleId="Heading2">
    <w:name w:val="heading 2"/>
    <w:aliases w:val="Heading 2 Char1,Heading 2 Char Char"/>
    <w:basedOn w:val="Normal"/>
    <w:next w:val="Heading3"/>
    <w:link w:val="Heading2Char"/>
    <w:qFormat/>
    <w:rsid w:val="00292E6D"/>
    <w:pPr>
      <w:keepNext/>
      <w:spacing w:before="120" w:after="120"/>
      <w:outlineLvl w:val="1"/>
    </w:pPr>
    <w:rPr>
      <w:rFonts w:ascii="Arial" w:eastAsia="Times New Roman" w:hAnsi="Arial" w:cs="Times New Roman"/>
      <w:b/>
      <w:smallCaps/>
      <w:sz w:val="28"/>
      <w:szCs w:val="20"/>
      <w:lang w:val="x-none" w:eastAsia="x-none"/>
    </w:rPr>
  </w:style>
  <w:style w:type="paragraph" w:styleId="Heading3">
    <w:name w:val="heading 3"/>
    <w:basedOn w:val="Normal"/>
    <w:next w:val="Normal"/>
    <w:link w:val="Heading3Char"/>
    <w:uiPriority w:val="9"/>
    <w:semiHidden/>
    <w:unhideWhenUsed/>
    <w:qFormat/>
    <w:rsid w:val="00292E6D"/>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D2B"/>
    <w:pPr>
      <w:tabs>
        <w:tab w:val="center" w:pos="4320"/>
        <w:tab w:val="right" w:pos="8640"/>
      </w:tabs>
    </w:pPr>
  </w:style>
  <w:style w:type="character" w:customStyle="1" w:styleId="HeaderChar">
    <w:name w:val="Header Char"/>
    <w:basedOn w:val="DefaultParagraphFont"/>
    <w:link w:val="Header"/>
    <w:uiPriority w:val="99"/>
    <w:rsid w:val="00F86D2B"/>
  </w:style>
  <w:style w:type="paragraph" w:styleId="Footer">
    <w:name w:val="footer"/>
    <w:basedOn w:val="Normal"/>
    <w:link w:val="FooterChar"/>
    <w:uiPriority w:val="99"/>
    <w:unhideWhenUsed/>
    <w:rsid w:val="00F86D2B"/>
    <w:pPr>
      <w:tabs>
        <w:tab w:val="center" w:pos="4320"/>
        <w:tab w:val="right" w:pos="8640"/>
      </w:tabs>
    </w:pPr>
  </w:style>
  <w:style w:type="character" w:customStyle="1" w:styleId="FooterChar">
    <w:name w:val="Footer Char"/>
    <w:basedOn w:val="DefaultParagraphFont"/>
    <w:link w:val="Footer"/>
    <w:uiPriority w:val="99"/>
    <w:rsid w:val="00F86D2B"/>
  </w:style>
  <w:style w:type="paragraph" w:styleId="BalloonText">
    <w:name w:val="Balloon Text"/>
    <w:basedOn w:val="Normal"/>
    <w:link w:val="BalloonTextChar"/>
    <w:uiPriority w:val="99"/>
    <w:semiHidden/>
    <w:unhideWhenUsed/>
    <w:rsid w:val="00F86D2B"/>
    <w:rPr>
      <w:rFonts w:ascii="Lucida Grande" w:hAnsi="Lucida Grande"/>
      <w:sz w:val="18"/>
      <w:szCs w:val="18"/>
    </w:rPr>
  </w:style>
  <w:style w:type="character" w:customStyle="1" w:styleId="BalloonTextChar">
    <w:name w:val="Balloon Text Char"/>
    <w:basedOn w:val="DefaultParagraphFont"/>
    <w:link w:val="BalloonText"/>
    <w:uiPriority w:val="99"/>
    <w:semiHidden/>
    <w:rsid w:val="00F86D2B"/>
    <w:rPr>
      <w:rFonts w:ascii="Lucida Grande" w:hAnsi="Lucida Grande"/>
      <w:sz w:val="18"/>
      <w:szCs w:val="18"/>
    </w:rPr>
  </w:style>
  <w:style w:type="character" w:styleId="Hyperlink">
    <w:name w:val="Hyperlink"/>
    <w:basedOn w:val="DefaultParagraphFont"/>
    <w:uiPriority w:val="99"/>
    <w:unhideWhenUsed/>
    <w:rsid w:val="00C96BDD"/>
    <w:rPr>
      <w:color w:val="0000FF" w:themeColor="hyperlink"/>
      <w:u w:val="single"/>
    </w:rPr>
  </w:style>
  <w:style w:type="paragraph" w:styleId="Date">
    <w:name w:val="Date"/>
    <w:basedOn w:val="Normal"/>
    <w:next w:val="Normal"/>
    <w:link w:val="DateChar"/>
    <w:uiPriority w:val="1"/>
    <w:qFormat/>
    <w:rsid w:val="00524EA9"/>
    <w:pPr>
      <w:spacing w:after="280" w:line="288" w:lineRule="auto"/>
    </w:pPr>
    <w:rPr>
      <w:rFonts w:asciiTheme="majorHAnsi" w:eastAsiaTheme="minorHAnsi" w:hAnsiTheme="majorHAnsi"/>
      <w:color w:val="4F81BD" w:themeColor="accent1"/>
      <w:sz w:val="26"/>
      <w:szCs w:val="22"/>
    </w:rPr>
  </w:style>
  <w:style w:type="character" w:customStyle="1" w:styleId="DateChar">
    <w:name w:val="Date Char"/>
    <w:basedOn w:val="DefaultParagraphFont"/>
    <w:link w:val="Date"/>
    <w:uiPriority w:val="1"/>
    <w:rsid w:val="00524EA9"/>
    <w:rPr>
      <w:rFonts w:asciiTheme="majorHAnsi" w:eastAsiaTheme="minorHAnsi" w:hAnsiTheme="majorHAnsi"/>
      <w:color w:val="4F81BD" w:themeColor="accent1"/>
      <w:sz w:val="26"/>
      <w:szCs w:val="22"/>
    </w:rPr>
  </w:style>
  <w:style w:type="paragraph" w:customStyle="1" w:styleId="ContactInfo">
    <w:name w:val="Contact Info"/>
    <w:basedOn w:val="Normal"/>
    <w:uiPriority w:val="2"/>
    <w:qFormat/>
    <w:rsid w:val="00524EA9"/>
    <w:pPr>
      <w:spacing w:after="220" w:line="288" w:lineRule="auto"/>
      <w:contextualSpacing/>
    </w:pPr>
    <w:rPr>
      <w:rFonts w:eastAsiaTheme="minorHAnsi"/>
      <w:color w:val="3071C3" w:themeColor="text2" w:themeTint="BF"/>
      <w:sz w:val="22"/>
      <w:szCs w:val="22"/>
    </w:rPr>
  </w:style>
  <w:style w:type="paragraph" w:styleId="Closing">
    <w:name w:val="Closing"/>
    <w:basedOn w:val="Normal"/>
    <w:next w:val="Signature"/>
    <w:link w:val="ClosingChar"/>
    <w:uiPriority w:val="4"/>
    <w:unhideWhenUsed/>
    <w:qFormat/>
    <w:rsid w:val="00524EA9"/>
    <w:pPr>
      <w:spacing w:before="320" w:after="1000"/>
      <w:contextualSpacing/>
    </w:pPr>
    <w:rPr>
      <w:rFonts w:eastAsiaTheme="minorHAnsi"/>
      <w:color w:val="3071C3" w:themeColor="text2" w:themeTint="BF"/>
      <w:sz w:val="22"/>
      <w:szCs w:val="22"/>
    </w:rPr>
  </w:style>
  <w:style w:type="character" w:customStyle="1" w:styleId="ClosingChar">
    <w:name w:val="Closing Char"/>
    <w:basedOn w:val="DefaultParagraphFont"/>
    <w:link w:val="Closing"/>
    <w:uiPriority w:val="4"/>
    <w:rsid w:val="00524EA9"/>
    <w:rPr>
      <w:rFonts w:eastAsiaTheme="minorHAnsi"/>
      <w:color w:val="3071C3" w:themeColor="text2" w:themeTint="BF"/>
      <w:sz w:val="22"/>
      <w:szCs w:val="22"/>
    </w:rPr>
  </w:style>
  <w:style w:type="paragraph" w:styleId="Signature">
    <w:name w:val="Signature"/>
    <w:basedOn w:val="Normal"/>
    <w:next w:val="Normal"/>
    <w:link w:val="SignatureChar"/>
    <w:uiPriority w:val="7"/>
    <w:unhideWhenUsed/>
    <w:qFormat/>
    <w:rsid w:val="00524EA9"/>
    <w:pPr>
      <w:spacing w:after="220" w:line="288" w:lineRule="auto"/>
    </w:pPr>
    <w:rPr>
      <w:rFonts w:eastAsiaTheme="minorHAnsi"/>
      <w:color w:val="3071C3" w:themeColor="text2" w:themeTint="BF"/>
      <w:sz w:val="22"/>
      <w:szCs w:val="22"/>
    </w:rPr>
  </w:style>
  <w:style w:type="character" w:customStyle="1" w:styleId="SignatureChar">
    <w:name w:val="Signature Char"/>
    <w:basedOn w:val="DefaultParagraphFont"/>
    <w:link w:val="Signature"/>
    <w:uiPriority w:val="7"/>
    <w:rsid w:val="00524EA9"/>
    <w:rPr>
      <w:rFonts w:eastAsiaTheme="minorHAnsi"/>
      <w:color w:val="3071C3" w:themeColor="text2" w:themeTint="BF"/>
      <w:sz w:val="22"/>
      <w:szCs w:val="22"/>
    </w:rPr>
  </w:style>
  <w:style w:type="paragraph" w:customStyle="1" w:styleId="Default">
    <w:name w:val="Default"/>
    <w:rsid w:val="00C03527"/>
    <w:pPr>
      <w:autoSpaceDE w:val="0"/>
      <w:autoSpaceDN w:val="0"/>
      <w:adjustRightInd w:val="0"/>
    </w:pPr>
    <w:rPr>
      <w:rFonts w:ascii="Arial" w:eastAsia="Calibri" w:hAnsi="Arial" w:cs="Arial"/>
      <w:color w:val="000000"/>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D3301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33013"/>
  </w:style>
  <w:style w:type="character" w:customStyle="1" w:styleId="eop">
    <w:name w:val="eop"/>
    <w:basedOn w:val="DefaultParagraphFont"/>
    <w:rsid w:val="00D33013"/>
  </w:style>
  <w:style w:type="table" w:customStyle="1" w:styleId="ListTable321">
    <w:name w:val="List Table 321"/>
    <w:basedOn w:val="TableNormal"/>
    <w:next w:val="ListTable3"/>
    <w:uiPriority w:val="48"/>
    <w:rsid w:val="00463011"/>
    <w:rPr>
      <w:rFonts w:ascii="Arial" w:eastAsia="Times New Roman" w:hAnsi="Arial" w:cs="Arial"/>
      <w:sz w:val="20"/>
      <w:szCs w:val="20"/>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pPr>
        <w:jc w:val="left"/>
      </w:pPr>
      <w:rPr>
        <w:b/>
        <w:bCs/>
        <w:color w:val="auto"/>
      </w:rPr>
      <w:tblPr/>
      <w:tcPr>
        <w:shd w:val="clear" w:color="auto" w:fill="BFBFBF"/>
        <w:vAlign w:val="center"/>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styleId="ListTable3">
    <w:name w:val="List Table 3"/>
    <w:basedOn w:val="TableNormal"/>
    <w:uiPriority w:val="48"/>
    <w:rsid w:val="0046301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FootnoteText">
    <w:name w:val="footnote text"/>
    <w:aliases w:val="Char1,Footnote Text1 Char,Footnote Text Char Ch,Footnote Text Char2 Char,Footnote Text Char1 Char Char,Footnote Text Char Char Char Char,Footnote Text Char2 Char Char Char Char,Footnote Text Char1 Char1 Char1 Char Char Char"/>
    <w:basedOn w:val="Normal"/>
    <w:link w:val="FootnoteTextChar"/>
    <w:uiPriority w:val="99"/>
    <w:qFormat/>
    <w:rsid w:val="0004705B"/>
    <w:pPr>
      <w:spacing w:after="120"/>
    </w:pPr>
    <w:rPr>
      <w:rFonts w:ascii="Arial" w:eastAsia="Times New Roman" w:hAnsi="Arial" w:cs="Arial"/>
      <w:sz w:val="20"/>
      <w:szCs w:val="20"/>
    </w:rPr>
  </w:style>
  <w:style w:type="character" w:customStyle="1" w:styleId="FootnoteTextChar">
    <w:name w:val="Footnote Text Char"/>
    <w:aliases w:val="Char1 Char,Footnote Text1 Char Char,Footnote Text Char Ch Char,Footnote Text Char2 Char Char,Footnote Text Char1 Char Char Char,Footnote Text Char Char Char Char Char,Footnote Text Char2 Char Char Char Char Char"/>
    <w:basedOn w:val="DefaultParagraphFont"/>
    <w:link w:val="FootnoteText"/>
    <w:uiPriority w:val="99"/>
    <w:rsid w:val="0004705B"/>
    <w:rPr>
      <w:rFonts w:ascii="Arial" w:eastAsia="Times New Roman" w:hAnsi="Arial" w:cs="Arial"/>
      <w:sz w:val="20"/>
      <w:szCs w:val="20"/>
    </w:rPr>
  </w:style>
  <w:style w:type="character" w:styleId="FootnoteReference">
    <w:name w:val="footnote reference"/>
    <w:aliases w:val="0 PIER Footnote Reference,o,fr,Style 3,o1,o2,o3,o4,o5,o6,o11,o21,o7,o + Times New Roman"/>
    <w:basedOn w:val="DefaultParagraphFont"/>
    <w:uiPriority w:val="99"/>
    <w:qFormat/>
    <w:rsid w:val="0004705B"/>
    <w:rPr>
      <w:rFonts w:cs="Times New Roman"/>
      <w:vertAlign w:val="superscript"/>
    </w:rPr>
  </w:style>
  <w:style w:type="paragraph" w:styleId="ListParagraph">
    <w:name w:val="List Paragraph"/>
    <w:aliases w:val="DPAC Alpha Numeric List"/>
    <w:basedOn w:val="Normal"/>
    <w:link w:val="ListParagraphChar"/>
    <w:uiPriority w:val="34"/>
    <w:qFormat/>
    <w:rsid w:val="00D87C37"/>
    <w:pPr>
      <w:ind w:left="720"/>
      <w:contextualSpacing/>
    </w:pPr>
  </w:style>
  <w:style w:type="character" w:styleId="CommentReference">
    <w:name w:val="annotation reference"/>
    <w:uiPriority w:val="99"/>
    <w:rsid w:val="00F329E8"/>
    <w:rPr>
      <w:sz w:val="16"/>
    </w:rPr>
  </w:style>
  <w:style w:type="paragraph" w:styleId="CommentText">
    <w:name w:val="annotation text"/>
    <w:basedOn w:val="Normal"/>
    <w:link w:val="CommentTextChar"/>
    <w:uiPriority w:val="99"/>
    <w:rsid w:val="00F329E8"/>
    <w:pPr>
      <w:spacing w:after="120"/>
    </w:pPr>
    <w:rPr>
      <w:rFonts w:ascii="Arial" w:eastAsia="Times New Roman" w:hAnsi="Arial" w:cs="Arial"/>
      <w:sz w:val="20"/>
      <w:szCs w:val="20"/>
    </w:rPr>
  </w:style>
  <w:style w:type="character" w:customStyle="1" w:styleId="CommentTextChar">
    <w:name w:val="Comment Text Char"/>
    <w:basedOn w:val="DefaultParagraphFont"/>
    <w:link w:val="CommentText"/>
    <w:uiPriority w:val="99"/>
    <w:rsid w:val="00F329E8"/>
    <w:rPr>
      <w:rFonts w:ascii="Arial" w:eastAsia="Times New Roman" w:hAnsi="Arial" w:cs="Arial"/>
      <w:sz w:val="20"/>
      <w:szCs w:val="20"/>
    </w:rPr>
  </w:style>
  <w:style w:type="character" w:customStyle="1" w:styleId="ListParagraphChar">
    <w:name w:val="List Paragraph Char"/>
    <w:aliases w:val="DPAC Alpha Numeric List Char"/>
    <w:basedOn w:val="DefaultParagraphFont"/>
    <w:link w:val="ListParagraph"/>
    <w:uiPriority w:val="34"/>
    <w:locked/>
    <w:rsid w:val="00926356"/>
  </w:style>
  <w:style w:type="character" w:styleId="Mention">
    <w:name w:val="Mention"/>
    <w:basedOn w:val="DefaultParagraphFont"/>
    <w:uiPriority w:val="99"/>
    <w:unhideWhenUsed/>
    <w:rsid w:val="00561990"/>
    <w:rPr>
      <w:color w:val="2B579A"/>
      <w:shd w:val="clear" w:color="auto" w:fill="E1DFDD"/>
    </w:rPr>
  </w:style>
  <w:style w:type="paragraph" w:customStyle="1" w:styleId="NumberedStyle">
    <w:name w:val="Numbered Style"/>
    <w:basedOn w:val="Normal"/>
    <w:qFormat/>
    <w:rsid w:val="00B51D4C"/>
    <w:pPr>
      <w:ind w:left="720" w:hanging="360"/>
      <w:jc w:val="both"/>
    </w:pPr>
    <w:rPr>
      <w:rFonts w:ascii="Arial" w:eastAsia="Times New Roman" w:hAnsi="Arial" w:cs="Times New Roman"/>
      <w:sz w:val="22"/>
      <w:szCs w:val="22"/>
    </w:rPr>
  </w:style>
  <w:style w:type="paragraph" w:styleId="CommentSubject">
    <w:name w:val="annotation subject"/>
    <w:basedOn w:val="CommentText"/>
    <w:next w:val="CommentText"/>
    <w:link w:val="CommentSubjectChar"/>
    <w:uiPriority w:val="99"/>
    <w:semiHidden/>
    <w:unhideWhenUsed/>
    <w:rsid w:val="0072118B"/>
    <w:pPr>
      <w:spacing w:after="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72118B"/>
    <w:rPr>
      <w:rFonts w:ascii="Arial" w:eastAsia="Times New Roman" w:hAnsi="Arial" w:cs="Arial"/>
      <w:b/>
      <w:bCs/>
      <w:sz w:val="20"/>
      <w:szCs w:val="20"/>
    </w:rPr>
  </w:style>
  <w:style w:type="character" w:styleId="UnresolvedMention">
    <w:name w:val="Unresolved Mention"/>
    <w:basedOn w:val="DefaultParagraphFont"/>
    <w:uiPriority w:val="99"/>
    <w:unhideWhenUsed/>
    <w:rsid w:val="0072118B"/>
    <w:rPr>
      <w:color w:val="605E5C"/>
      <w:shd w:val="clear" w:color="auto" w:fill="E1DFDD"/>
    </w:rPr>
  </w:style>
  <w:style w:type="character" w:customStyle="1" w:styleId="tabchar">
    <w:name w:val="tabchar"/>
    <w:basedOn w:val="DefaultParagraphFont"/>
    <w:rsid w:val="00122045"/>
  </w:style>
  <w:style w:type="character" w:customStyle="1" w:styleId="spellingerror">
    <w:name w:val="spellingerror"/>
    <w:basedOn w:val="DefaultParagraphFont"/>
    <w:rsid w:val="00122045"/>
  </w:style>
  <w:style w:type="character" w:styleId="FollowedHyperlink">
    <w:name w:val="FollowedHyperlink"/>
    <w:basedOn w:val="DefaultParagraphFont"/>
    <w:uiPriority w:val="99"/>
    <w:semiHidden/>
    <w:unhideWhenUsed/>
    <w:rsid w:val="00496116"/>
    <w:rPr>
      <w:color w:val="800080" w:themeColor="followedHyperlink"/>
      <w:u w:val="single"/>
    </w:rPr>
  </w:style>
  <w:style w:type="paragraph" w:styleId="Revision">
    <w:name w:val="Revision"/>
    <w:hidden/>
    <w:uiPriority w:val="99"/>
    <w:semiHidden/>
    <w:rsid w:val="005454B5"/>
  </w:style>
  <w:style w:type="character" w:customStyle="1" w:styleId="Heading2Char">
    <w:name w:val="Heading 2 Char"/>
    <w:aliases w:val="Heading 2 Char1 Char,Heading 2 Char Char Char"/>
    <w:basedOn w:val="DefaultParagraphFont"/>
    <w:link w:val="Heading2"/>
    <w:rsid w:val="00292E6D"/>
    <w:rPr>
      <w:rFonts w:ascii="Arial" w:eastAsia="Times New Roman" w:hAnsi="Arial" w:cs="Times New Roman"/>
      <w:b/>
      <w:smallCaps/>
      <w:sz w:val="28"/>
      <w:szCs w:val="20"/>
      <w:lang w:val="x-none" w:eastAsia="x-none"/>
    </w:rPr>
  </w:style>
  <w:style w:type="character" w:customStyle="1" w:styleId="Heading3Char">
    <w:name w:val="Heading 3 Char"/>
    <w:basedOn w:val="DefaultParagraphFont"/>
    <w:link w:val="Heading3"/>
    <w:uiPriority w:val="9"/>
    <w:semiHidden/>
    <w:rsid w:val="00292E6D"/>
    <w:rPr>
      <w:rFonts w:asciiTheme="majorHAnsi" w:eastAsiaTheme="majorEastAsia" w:hAnsiTheme="majorHAnsi" w:cstheme="majorBidi"/>
      <w:color w:val="243F60" w:themeColor="accent1" w:themeShade="7F"/>
    </w:rPr>
  </w:style>
  <w:style w:type="paragraph" w:styleId="ListBullet">
    <w:name w:val="List Bullet"/>
    <w:basedOn w:val="Normal"/>
    <w:autoRedefine/>
    <w:rsid w:val="00EA3A5C"/>
    <w:pPr>
      <w:keepLines/>
      <w:widowControl w:val="0"/>
      <w:numPr>
        <w:ilvl w:val="3"/>
        <w:numId w:val="7"/>
      </w:numPr>
      <w:spacing w:after="120"/>
    </w:pPr>
    <w:rPr>
      <w:rFonts w:ascii="Tahoma" w:eastAsia="Tahoma" w:hAnsi="Tahoma" w:cs="Tahoma"/>
      <w:b/>
      <w:bCs/>
      <w:u w:val="single"/>
    </w:rPr>
  </w:style>
  <w:style w:type="character" w:customStyle="1" w:styleId="cf01">
    <w:name w:val="cf01"/>
    <w:basedOn w:val="DefaultParagraphFont"/>
    <w:rsid w:val="002652F2"/>
    <w:rPr>
      <w:rFonts w:ascii="Segoe UI" w:hAnsi="Segoe UI" w:cs="Segoe UI" w:hint="default"/>
      <w:sz w:val="18"/>
      <w:szCs w:val="18"/>
    </w:rPr>
  </w:style>
  <w:style w:type="paragraph" w:styleId="NormalWeb">
    <w:name w:val="Normal (Web)"/>
    <w:basedOn w:val="Normal"/>
    <w:uiPriority w:val="99"/>
    <w:rsid w:val="00414EAF"/>
    <w:pPr>
      <w:spacing w:before="100" w:beforeAutospacing="1" w:after="100" w:afterAutospacing="1"/>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28">
      <w:bodyDiv w:val="1"/>
      <w:marLeft w:val="0"/>
      <w:marRight w:val="0"/>
      <w:marTop w:val="0"/>
      <w:marBottom w:val="0"/>
      <w:divBdr>
        <w:top w:val="none" w:sz="0" w:space="0" w:color="auto"/>
        <w:left w:val="none" w:sz="0" w:space="0" w:color="auto"/>
        <w:bottom w:val="none" w:sz="0" w:space="0" w:color="auto"/>
        <w:right w:val="none" w:sz="0" w:space="0" w:color="auto"/>
      </w:divBdr>
      <w:divsChild>
        <w:div w:id="1708488669">
          <w:marLeft w:val="0"/>
          <w:marRight w:val="0"/>
          <w:marTop w:val="0"/>
          <w:marBottom w:val="0"/>
          <w:divBdr>
            <w:top w:val="none" w:sz="0" w:space="0" w:color="auto"/>
            <w:left w:val="none" w:sz="0" w:space="0" w:color="auto"/>
            <w:bottom w:val="none" w:sz="0" w:space="0" w:color="auto"/>
            <w:right w:val="none" w:sz="0" w:space="0" w:color="auto"/>
          </w:divBdr>
          <w:divsChild>
            <w:div w:id="165133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4454">
      <w:bodyDiv w:val="1"/>
      <w:marLeft w:val="0"/>
      <w:marRight w:val="0"/>
      <w:marTop w:val="0"/>
      <w:marBottom w:val="0"/>
      <w:divBdr>
        <w:top w:val="none" w:sz="0" w:space="0" w:color="auto"/>
        <w:left w:val="none" w:sz="0" w:space="0" w:color="auto"/>
        <w:bottom w:val="none" w:sz="0" w:space="0" w:color="auto"/>
        <w:right w:val="none" w:sz="0" w:space="0" w:color="auto"/>
      </w:divBdr>
    </w:div>
    <w:div w:id="160900976">
      <w:bodyDiv w:val="1"/>
      <w:marLeft w:val="0"/>
      <w:marRight w:val="0"/>
      <w:marTop w:val="0"/>
      <w:marBottom w:val="0"/>
      <w:divBdr>
        <w:top w:val="none" w:sz="0" w:space="0" w:color="auto"/>
        <w:left w:val="none" w:sz="0" w:space="0" w:color="auto"/>
        <w:bottom w:val="none" w:sz="0" w:space="0" w:color="auto"/>
        <w:right w:val="none" w:sz="0" w:space="0" w:color="auto"/>
      </w:divBdr>
    </w:div>
    <w:div w:id="707294577">
      <w:bodyDiv w:val="1"/>
      <w:marLeft w:val="0"/>
      <w:marRight w:val="0"/>
      <w:marTop w:val="0"/>
      <w:marBottom w:val="0"/>
      <w:divBdr>
        <w:top w:val="none" w:sz="0" w:space="0" w:color="auto"/>
        <w:left w:val="none" w:sz="0" w:space="0" w:color="auto"/>
        <w:bottom w:val="none" w:sz="0" w:space="0" w:color="auto"/>
        <w:right w:val="none" w:sz="0" w:space="0" w:color="auto"/>
      </w:divBdr>
      <w:divsChild>
        <w:div w:id="1103113295">
          <w:marLeft w:val="0"/>
          <w:marRight w:val="0"/>
          <w:marTop w:val="0"/>
          <w:marBottom w:val="0"/>
          <w:divBdr>
            <w:top w:val="none" w:sz="0" w:space="0" w:color="auto"/>
            <w:left w:val="none" w:sz="0" w:space="0" w:color="auto"/>
            <w:bottom w:val="none" w:sz="0" w:space="0" w:color="auto"/>
            <w:right w:val="none" w:sz="0" w:space="0" w:color="auto"/>
          </w:divBdr>
        </w:div>
        <w:div w:id="1963074974">
          <w:marLeft w:val="0"/>
          <w:marRight w:val="0"/>
          <w:marTop w:val="0"/>
          <w:marBottom w:val="0"/>
          <w:divBdr>
            <w:top w:val="none" w:sz="0" w:space="0" w:color="auto"/>
            <w:left w:val="none" w:sz="0" w:space="0" w:color="auto"/>
            <w:bottom w:val="none" w:sz="0" w:space="0" w:color="auto"/>
            <w:right w:val="none" w:sz="0" w:space="0" w:color="auto"/>
          </w:divBdr>
        </w:div>
      </w:divsChild>
    </w:div>
    <w:div w:id="746996601">
      <w:bodyDiv w:val="1"/>
      <w:marLeft w:val="0"/>
      <w:marRight w:val="0"/>
      <w:marTop w:val="0"/>
      <w:marBottom w:val="0"/>
      <w:divBdr>
        <w:top w:val="none" w:sz="0" w:space="0" w:color="auto"/>
        <w:left w:val="none" w:sz="0" w:space="0" w:color="auto"/>
        <w:bottom w:val="none" w:sz="0" w:space="0" w:color="auto"/>
        <w:right w:val="none" w:sz="0" w:space="0" w:color="auto"/>
      </w:divBdr>
      <w:divsChild>
        <w:div w:id="95709890">
          <w:marLeft w:val="0"/>
          <w:marRight w:val="0"/>
          <w:marTop w:val="0"/>
          <w:marBottom w:val="0"/>
          <w:divBdr>
            <w:top w:val="none" w:sz="0" w:space="0" w:color="auto"/>
            <w:left w:val="none" w:sz="0" w:space="0" w:color="auto"/>
            <w:bottom w:val="none" w:sz="0" w:space="0" w:color="auto"/>
            <w:right w:val="none" w:sz="0" w:space="0" w:color="auto"/>
          </w:divBdr>
          <w:divsChild>
            <w:div w:id="1738479277">
              <w:marLeft w:val="0"/>
              <w:marRight w:val="0"/>
              <w:marTop w:val="0"/>
              <w:marBottom w:val="0"/>
              <w:divBdr>
                <w:top w:val="none" w:sz="0" w:space="0" w:color="auto"/>
                <w:left w:val="none" w:sz="0" w:space="0" w:color="auto"/>
                <w:bottom w:val="none" w:sz="0" w:space="0" w:color="auto"/>
                <w:right w:val="none" w:sz="0" w:space="0" w:color="auto"/>
              </w:divBdr>
            </w:div>
          </w:divsChild>
        </w:div>
        <w:div w:id="205412887">
          <w:marLeft w:val="0"/>
          <w:marRight w:val="0"/>
          <w:marTop w:val="0"/>
          <w:marBottom w:val="0"/>
          <w:divBdr>
            <w:top w:val="none" w:sz="0" w:space="0" w:color="auto"/>
            <w:left w:val="none" w:sz="0" w:space="0" w:color="auto"/>
            <w:bottom w:val="none" w:sz="0" w:space="0" w:color="auto"/>
            <w:right w:val="none" w:sz="0" w:space="0" w:color="auto"/>
          </w:divBdr>
          <w:divsChild>
            <w:div w:id="394857296">
              <w:marLeft w:val="0"/>
              <w:marRight w:val="0"/>
              <w:marTop w:val="0"/>
              <w:marBottom w:val="0"/>
              <w:divBdr>
                <w:top w:val="none" w:sz="0" w:space="0" w:color="auto"/>
                <w:left w:val="none" w:sz="0" w:space="0" w:color="auto"/>
                <w:bottom w:val="none" w:sz="0" w:space="0" w:color="auto"/>
                <w:right w:val="none" w:sz="0" w:space="0" w:color="auto"/>
              </w:divBdr>
            </w:div>
          </w:divsChild>
        </w:div>
        <w:div w:id="270746979">
          <w:marLeft w:val="0"/>
          <w:marRight w:val="0"/>
          <w:marTop w:val="0"/>
          <w:marBottom w:val="0"/>
          <w:divBdr>
            <w:top w:val="none" w:sz="0" w:space="0" w:color="auto"/>
            <w:left w:val="none" w:sz="0" w:space="0" w:color="auto"/>
            <w:bottom w:val="none" w:sz="0" w:space="0" w:color="auto"/>
            <w:right w:val="none" w:sz="0" w:space="0" w:color="auto"/>
          </w:divBdr>
          <w:divsChild>
            <w:div w:id="228075463">
              <w:marLeft w:val="0"/>
              <w:marRight w:val="0"/>
              <w:marTop w:val="0"/>
              <w:marBottom w:val="0"/>
              <w:divBdr>
                <w:top w:val="none" w:sz="0" w:space="0" w:color="auto"/>
                <w:left w:val="none" w:sz="0" w:space="0" w:color="auto"/>
                <w:bottom w:val="none" w:sz="0" w:space="0" w:color="auto"/>
                <w:right w:val="none" w:sz="0" w:space="0" w:color="auto"/>
              </w:divBdr>
            </w:div>
          </w:divsChild>
        </w:div>
        <w:div w:id="272858109">
          <w:marLeft w:val="0"/>
          <w:marRight w:val="0"/>
          <w:marTop w:val="0"/>
          <w:marBottom w:val="0"/>
          <w:divBdr>
            <w:top w:val="none" w:sz="0" w:space="0" w:color="auto"/>
            <w:left w:val="none" w:sz="0" w:space="0" w:color="auto"/>
            <w:bottom w:val="none" w:sz="0" w:space="0" w:color="auto"/>
            <w:right w:val="none" w:sz="0" w:space="0" w:color="auto"/>
          </w:divBdr>
          <w:divsChild>
            <w:div w:id="642665174">
              <w:marLeft w:val="0"/>
              <w:marRight w:val="0"/>
              <w:marTop w:val="0"/>
              <w:marBottom w:val="0"/>
              <w:divBdr>
                <w:top w:val="none" w:sz="0" w:space="0" w:color="auto"/>
                <w:left w:val="none" w:sz="0" w:space="0" w:color="auto"/>
                <w:bottom w:val="none" w:sz="0" w:space="0" w:color="auto"/>
                <w:right w:val="none" w:sz="0" w:space="0" w:color="auto"/>
              </w:divBdr>
            </w:div>
          </w:divsChild>
        </w:div>
        <w:div w:id="393627506">
          <w:marLeft w:val="0"/>
          <w:marRight w:val="0"/>
          <w:marTop w:val="0"/>
          <w:marBottom w:val="0"/>
          <w:divBdr>
            <w:top w:val="none" w:sz="0" w:space="0" w:color="auto"/>
            <w:left w:val="none" w:sz="0" w:space="0" w:color="auto"/>
            <w:bottom w:val="none" w:sz="0" w:space="0" w:color="auto"/>
            <w:right w:val="none" w:sz="0" w:space="0" w:color="auto"/>
          </w:divBdr>
          <w:divsChild>
            <w:div w:id="1150319071">
              <w:marLeft w:val="0"/>
              <w:marRight w:val="0"/>
              <w:marTop w:val="0"/>
              <w:marBottom w:val="0"/>
              <w:divBdr>
                <w:top w:val="none" w:sz="0" w:space="0" w:color="auto"/>
                <w:left w:val="none" w:sz="0" w:space="0" w:color="auto"/>
                <w:bottom w:val="none" w:sz="0" w:space="0" w:color="auto"/>
                <w:right w:val="none" w:sz="0" w:space="0" w:color="auto"/>
              </w:divBdr>
            </w:div>
          </w:divsChild>
        </w:div>
        <w:div w:id="475413494">
          <w:marLeft w:val="0"/>
          <w:marRight w:val="0"/>
          <w:marTop w:val="0"/>
          <w:marBottom w:val="0"/>
          <w:divBdr>
            <w:top w:val="none" w:sz="0" w:space="0" w:color="auto"/>
            <w:left w:val="none" w:sz="0" w:space="0" w:color="auto"/>
            <w:bottom w:val="none" w:sz="0" w:space="0" w:color="auto"/>
            <w:right w:val="none" w:sz="0" w:space="0" w:color="auto"/>
          </w:divBdr>
          <w:divsChild>
            <w:div w:id="1195576989">
              <w:marLeft w:val="0"/>
              <w:marRight w:val="0"/>
              <w:marTop w:val="0"/>
              <w:marBottom w:val="0"/>
              <w:divBdr>
                <w:top w:val="none" w:sz="0" w:space="0" w:color="auto"/>
                <w:left w:val="none" w:sz="0" w:space="0" w:color="auto"/>
                <w:bottom w:val="none" w:sz="0" w:space="0" w:color="auto"/>
                <w:right w:val="none" w:sz="0" w:space="0" w:color="auto"/>
              </w:divBdr>
            </w:div>
          </w:divsChild>
        </w:div>
        <w:div w:id="639501702">
          <w:marLeft w:val="0"/>
          <w:marRight w:val="0"/>
          <w:marTop w:val="0"/>
          <w:marBottom w:val="0"/>
          <w:divBdr>
            <w:top w:val="none" w:sz="0" w:space="0" w:color="auto"/>
            <w:left w:val="none" w:sz="0" w:space="0" w:color="auto"/>
            <w:bottom w:val="none" w:sz="0" w:space="0" w:color="auto"/>
            <w:right w:val="none" w:sz="0" w:space="0" w:color="auto"/>
          </w:divBdr>
          <w:divsChild>
            <w:div w:id="1493838024">
              <w:marLeft w:val="0"/>
              <w:marRight w:val="0"/>
              <w:marTop w:val="0"/>
              <w:marBottom w:val="0"/>
              <w:divBdr>
                <w:top w:val="none" w:sz="0" w:space="0" w:color="auto"/>
                <w:left w:val="none" w:sz="0" w:space="0" w:color="auto"/>
                <w:bottom w:val="none" w:sz="0" w:space="0" w:color="auto"/>
                <w:right w:val="none" w:sz="0" w:space="0" w:color="auto"/>
              </w:divBdr>
            </w:div>
          </w:divsChild>
        </w:div>
        <w:div w:id="739791577">
          <w:marLeft w:val="0"/>
          <w:marRight w:val="0"/>
          <w:marTop w:val="0"/>
          <w:marBottom w:val="0"/>
          <w:divBdr>
            <w:top w:val="none" w:sz="0" w:space="0" w:color="auto"/>
            <w:left w:val="none" w:sz="0" w:space="0" w:color="auto"/>
            <w:bottom w:val="none" w:sz="0" w:space="0" w:color="auto"/>
            <w:right w:val="none" w:sz="0" w:space="0" w:color="auto"/>
          </w:divBdr>
          <w:divsChild>
            <w:div w:id="1240870506">
              <w:marLeft w:val="0"/>
              <w:marRight w:val="0"/>
              <w:marTop w:val="0"/>
              <w:marBottom w:val="0"/>
              <w:divBdr>
                <w:top w:val="none" w:sz="0" w:space="0" w:color="auto"/>
                <w:left w:val="none" w:sz="0" w:space="0" w:color="auto"/>
                <w:bottom w:val="none" w:sz="0" w:space="0" w:color="auto"/>
                <w:right w:val="none" w:sz="0" w:space="0" w:color="auto"/>
              </w:divBdr>
            </w:div>
          </w:divsChild>
        </w:div>
        <w:div w:id="762258641">
          <w:marLeft w:val="0"/>
          <w:marRight w:val="0"/>
          <w:marTop w:val="0"/>
          <w:marBottom w:val="0"/>
          <w:divBdr>
            <w:top w:val="none" w:sz="0" w:space="0" w:color="auto"/>
            <w:left w:val="none" w:sz="0" w:space="0" w:color="auto"/>
            <w:bottom w:val="none" w:sz="0" w:space="0" w:color="auto"/>
            <w:right w:val="none" w:sz="0" w:space="0" w:color="auto"/>
          </w:divBdr>
          <w:divsChild>
            <w:div w:id="341200466">
              <w:marLeft w:val="0"/>
              <w:marRight w:val="0"/>
              <w:marTop w:val="0"/>
              <w:marBottom w:val="0"/>
              <w:divBdr>
                <w:top w:val="none" w:sz="0" w:space="0" w:color="auto"/>
                <w:left w:val="none" w:sz="0" w:space="0" w:color="auto"/>
                <w:bottom w:val="none" w:sz="0" w:space="0" w:color="auto"/>
                <w:right w:val="none" w:sz="0" w:space="0" w:color="auto"/>
              </w:divBdr>
            </w:div>
          </w:divsChild>
        </w:div>
        <w:div w:id="770317321">
          <w:marLeft w:val="0"/>
          <w:marRight w:val="0"/>
          <w:marTop w:val="0"/>
          <w:marBottom w:val="0"/>
          <w:divBdr>
            <w:top w:val="none" w:sz="0" w:space="0" w:color="auto"/>
            <w:left w:val="none" w:sz="0" w:space="0" w:color="auto"/>
            <w:bottom w:val="none" w:sz="0" w:space="0" w:color="auto"/>
            <w:right w:val="none" w:sz="0" w:space="0" w:color="auto"/>
          </w:divBdr>
          <w:divsChild>
            <w:div w:id="765345521">
              <w:marLeft w:val="0"/>
              <w:marRight w:val="0"/>
              <w:marTop w:val="0"/>
              <w:marBottom w:val="0"/>
              <w:divBdr>
                <w:top w:val="none" w:sz="0" w:space="0" w:color="auto"/>
                <w:left w:val="none" w:sz="0" w:space="0" w:color="auto"/>
                <w:bottom w:val="none" w:sz="0" w:space="0" w:color="auto"/>
                <w:right w:val="none" w:sz="0" w:space="0" w:color="auto"/>
              </w:divBdr>
            </w:div>
          </w:divsChild>
        </w:div>
        <w:div w:id="808669657">
          <w:marLeft w:val="0"/>
          <w:marRight w:val="0"/>
          <w:marTop w:val="0"/>
          <w:marBottom w:val="0"/>
          <w:divBdr>
            <w:top w:val="none" w:sz="0" w:space="0" w:color="auto"/>
            <w:left w:val="none" w:sz="0" w:space="0" w:color="auto"/>
            <w:bottom w:val="none" w:sz="0" w:space="0" w:color="auto"/>
            <w:right w:val="none" w:sz="0" w:space="0" w:color="auto"/>
          </w:divBdr>
          <w:divsChild>
            <w:div w:id="1558668196">
              <w:marLeft w:val="0"/>
              <w:marRight w:val="0"/>
              <w:marTop w:val="0"/>
              <w:marBottom w:val="0"/>
              <w:divBdr>
                <w:top w:val="none" w:sz="0" w:space="0" w:color="auto"/>
                <w:left w:val="none" w:sz="0" w:space="0" w:color="auto"/>
                <w:bottom w:val="none" w:sz="0" w:space="0" w:color="auto"/>
                <w:right w:val="none" w:sz="0" w:space="0" w:color="auto"/>
              </w:divBdr>
            </w:div>
          </w:divsChild>
        </w:div>
        <w:div w:id="905532456">
          <w:marLeft w:val="0"/>
          <w:marRight w:val="0"/>
          <w:marTop w:val="0"/>
          <w:marBottom w:val="0"/>
          <w:divBdr>
            <w:top w:val="none" w:sz="0" w:space="0" w:color="auto"/>
            <w:left w:val="none" w:sz="0" w:space="0" w:color="auto"/>
            <w:bottom w:val="none" w:sz="0" w:space="0" w:color="auto"/>
            <w:right w:val="none" w:sz="0" w:space="0" w:color="auto"/>
          </w:divBdr>
          <w:divsChild>
            <w:div w:id="1973363796">
              <w:marLeft w:val="0"/>
              <w:marRight w:val="0"/>
              <w:marTop w:val="0"/>
              <w:marBottom w:val="0"/>
              <w:divBdr>
                <w:top w:val="none" w:sz="0" w:space="0" w:color="auto"/>
                <w:left w:val="none" w:sz="0" w:space="0" w:color="auto"/>
                <w:bottom w:val="none" w:sz="0" w:space="0" w:color="auto"/>
                <w:right w:val="none" w:sz="0" w:space="0" w:color="auto"/>
              </w:divBdr>
            </w:div>
          </w:divsChild>
        </w:div>
        <w:div w:id="943461158">
          <w:marLeft w:val="0"/>
          <w:marRight w:val="0"/>
          <w:marTop w:val="0"/>
          <w:marBottom w:val="0"/>
          <w:divBdr>
            <w:top w:val="none" w:sz="0" w:space="0" w:color="auto"/>
            <w:left w:val="none" w:sz="0" w:space="0" w:color="auto"/>
            <w:bottom w:val="none" w:sz="0" w:space="0" w:color="auto"/>
            <w:right w:val="none" w:sz="0" w:space="0" w:color="auto"/>
          </w:divBdr>
          <w:divsChild>
            <w:div w:id="1271202277">
              <w:marLeft w:val="0"/>
              <w:marRight w:val="0"/>
              <w:marTop w:val="0"/>
              <w:marBottom w:val="0"/>
              <w:divBdr>
                <w:top w:val="none" w:sz="0" w:space="0" w:color="auto"/>
                <w:left w:val="none" w:sz="0" w:space="0" w:color="auto"/>
                <w:bottom w:val="none" w:sz="0" w:space="0" w:color="auto"/>
                <w:right w:val="none" w:sz="0" w:space="0" w:color="auto"/>
              </w:divBdr>
            </w:div>
          </w:divsChild>
        </w:div>
        <w:div w:id="949509202">
          <w:marLeft w:val="0"/>
          <w:marRight w:val="0"/>
          <w:marTop w:val="0"/>
          <w:marBottom w:val="0"/>
          <w:divBdr>
            <w:top w:val="none" w:sz="0" w:space="0" w:color="auto"/>
            <w:left w:val="none" w:sz="0" w:space="0" w:color="auto"/>
            <w:bottom w:val="none" w:sz="0" w:space="0" w:color="auto"/>
            <w:right w:val="none" w:sz="0" w:space="0" w:color="auto"/>
          </w:divBdr>
          <w:divsChild>
            <w:div w:id="421609808">
              <w:marLeft w:val="0"/>
              <w:marRight w:val="0"/>
              <w:marTop w:val="0"/>
              <w:marBottom w:val="0"/>
              <w:divBdr>
                <w:top w:val="none" w:sz="0" w:space="0" w:color="auto"/>
                <w:left w:val="none" w:sz="0" w:space="0" w:color="auto"/>
                <w:bottom w:val="none" w:sz="0" w:space="0" w:color="auto"/>
                <w:right w:val="none" w:sz="0" w:space="0" w:color="auto"/>
              </w:divBdr>
            </w:div>
          </w:divsChild>
        </w:div>
        <w:div w:id="989480732">
          <w:marLeft w:val="0"/>
          <w:marRight w:val="0"/>
          <w:marTop w:val="0"/>
          <w:marBottom w:val="0"/>
          <w:divBdr>
            <w:top w:val="none" w:sz="0" w:space="0" w:color="auto"/>
            <w:left w:val="none" w:sz="0" w:space="0" w:color="auto"/>
            <w:bottom w:val="none" w:sz="0" w:space="0" w:color="auto"/>
            <w:right w:val="none" w:sz="0" w:space="0" w:color="auto"/>
          </w:divBdr>
          <w:divsChild>
            <w:div w:id="1921476126">
              <w:marLeft w:val="0"/>
              <w:marRight w:val="0"/>
              <w:marTop w:val="0"/>
              <w:marBottom w:val="0"/>
              <w:divBdr>
                <w:top w:val="none" w:sz="0" w:space="0" w:color="auto"/>
                <w:left w:val="none" w:sz="0" w:space="0" w:color="auto"/>
                <w:bottom w:val="none" w:sz="0" w:space="0" w:color="auto"/>
                <w:right w:val="none" w:sz="0" w:space="0" w:color="auto"/>
              </w:divBdr>
            </w:div>
          </w:divsChild>
        </w:div>
        <w:div w:id="1065034331">
          <w:marLeft w:val="0"/>
          <w:marRight w:val="0"/>
          <w:marTop w:val="0"/>
          <w:marBottom w:val="0"/>
          <w:divBdr>
            <w:top w:val="none" w:sz="0" w:space="0" w:color="auto"/>
            <w:left w:val="none" w:sz="0" w:space="0" w:color="auto"/>
            <w:bottom w:val="none" w:sz="0" w:space="0" w:color="auto"/>
            <w:right w:val="none" w:sz="0" w:space="0" w:color="auto"/>
          </w:divBdr>
          <w:divsChild>
            <w:div w:id="1759906391">
              <w:marLeft w:val="0"/>
              <w:marRight w:val="0"/>
              <w:marTop w:val="0"/>
              <w:marBottom w:val="0"/>
              <w:divBdr>
                <w:top w:val="none" w:sz="0" w:space="0" w:color="auto"/>
                <w:left w:val="none" w:sz="0" w:space="0" w:color="auto"/>
                <w:bottom w:val="none" w:sz="0" w:space="0" w:color="auto"/>
                <w:right w:val="none" w:sz="0" w:space="0" w:color="auto"/>
              </w:divBdr>
            </w:div>
          </w:divsChild>
        </w:div>
        <w:div w:id="1155953195">
          <w:marLeft w:val="0"/>
          <w:marRight w:val="0"/>
          <w:marTop w:val="0"/>
          <w:marBottom w:val="0"/>
          <w:divBdr>
            <w:top w:val="none" w:sz="0" w:space="0" w:color="auto"/>
            <w:left w:val="none" w:sz="0" w:space="0" w:color="auto"/>
            <w:bottom w:val="none" w:sz="0" w:space="0" w:color="auto"/>
            <w:right w:val="none" w:sz="0" w:space="0" w:color="auto"/>
          </w:divBdr>
          <w:divsChild>
            <w:div w:id="471289680">
              <w:marLeft w:val="0"/>
              <w:marRight w:val="0"/>
              <w:marTop w:val="0"/>
              <w:marBottom w:val="0"/>
              <w:divBdr>
                <w:top w:val="none" w:sz="0" w:space="0" w:color="auto"/>
                <w:left w:val="none" w:sz="0" w:space="0" w:color="auto"/>
                <w:bottom w:val="none" w:sz="0" w:space="0" w:color="auto"/>
                <w:right w:val="none" w:sz="0" w:space="0" w:color="auto"/>
              </w:divBdr>
            </w:div>
          </w:divsChild>
        </w:div>
        <w:div w:id="1347293777">
          <w:marLeft w:val="0"/>
          <w:marRight w:val="0"/>
          <w:marTop w:val="0"/>
          <w:marBottom w:val="0"/>
          <w:divBdr>
            <w:top w:val="none" w:sz="0" w:space="0" w:color="auto"/>
            <w:left w:val="none" w:sz="0" w:space="0" w:color="auto"/>
            <w:bottom w:val="none" w:sz="0" w:space="0" w:color="auto"/>
            <w:right w:val="none" w:sz="0" w:space="0" w:color="auto"/>
          </w:divBdr>
          <w:divsChild>
            <w:div w:id="1320114608">
              <w:marLeft w:val="0"/>
              <w:marRight w:val="0"/>
              <w:marTop w:val="0"/>
              <w:marBottom w:val="0"/>
              <w:divBdr>
                <w:top w:val="none" w:sz="0" w:space="0" w:color="auto"/>
                <w:left w:val="none" w:sz="0" w:space="0" w:color="auto"/>
                <w:bottom w:val="none" w:sz="0" w:space="0" w:color="auto"/>
                <w:right w:val="none" w:sz="0" w:space="0" w:color="auto"/>
              </w:divBdr>
            </w:div>
            <w:div w:id="1941257869">
              <w:marLeft w:val="0"/>
              <w:marRight w:val="0"/>
              <w:marTop w:val="0"/>
              <w:marBottom w:val="0"/>
              <w:divBdr>
                <w:top w:val="none" w:sz="0" w:space="0" w:color="auto"/>
                <w:left w:val="none" w:sz="0" w:space="0" w:color="auto"/>
                <w:bottom w:val="none" w:sz="0" w:space="0" w:color="auto"/>
                <w:right w:val="none" w:sz="0" w:space="0" w:color="auto"/>
              </w:divBdr>
            </w:div>
          </w:divsChild>
        </w:div>
        <w:div w:id="1414736039">
          <w:marLeft w:val="0"/>
          <w:marRight w:val="0"/>
          <w:marTop w:val="0"/>
          <w:marBottom w:val="0"/>
          <w:divBdr>
            <w:top w:val="none" w:sz="0" w:space="0" w:color="auto"/>
            <w:left w:val="none" w:sz="0" w:space="0" w:color="auto"/>
            <w:bottom w:val="none" w:sz="0" w:space="0" w:color="auto"/>
            <w:right w:val="none" w:sz="0" w:space="0" w:color="auto"/>
          </w:divBdr>
          <w:divsChild>
            <w:div w:id="1087769329">
              <w:marLeft w:val="0"/>
              <w:marRight w:val="0"/>
              <w:marTop w:val="0"/>
              <w:marBottom w:val="0"/>
              <w:divBdr>
                <w:top w:val="none" w:sz="0" w:space="0" w:color="auto"/>
                <w:left w:val="none" w:sz="0" w:space="0" w:color="auto"/>
                <w:bottom w:val="none" w:sz="0" w:space="0" w:color="auto"/>
                <w:right w:val="none" w:sz="0" w:space="0" w:color="auto"/>
              </w:divBdr>
            </w:div>
          </w:divsChild>
        </w:div>
        <w:div w:id="1427143746">
          <w:marLeft w:val="0"/>
          <w:marRight w:val="0"/>
          <w:marTop w:val="0"/>
          <w:marBottom w:val="0"/>
          <w:divBdr>
            <w:top w:val="none" w:sz="0" w:space="0" w:color="auto"/>
            <w:left w:val="none" w:sz="0" w:space="0" w:color="auto"/>
            <w:bottom w:val="none" w:sz="0" w:space="0" w:color="auto"/>
            <w:right w:val="none" w:sz="0" w:space="0" w:color="auto"/>
          </w:divBdr>
          <w:divsChild>
            <w:div w:id="537788792">
              <w:marLeft w:val="0"/>
              <w:marRight w:val="0"/>
              <w:marTop w:val="0"/>
              <w:marBottom w:val="0"/>
              <w:divBdr>
                <w:top w:val="none" w:sz="0" w:space="0" w:color="auto"/>
                <w:left w:val="none" w:sz="0" w:space="0" w:color="auto"/>
                <w:bottom w:val="none" w:sz="0" w:space="0" w:color="auto"/>
                <w:right w:val="none" w:sz="0" w:space="0" w:color="auto"/>
              </w:divBdr>
            </w:div>
          </w:divsChild>
        </w:div>
        <w:div w:id="1555581170">
          <w:marLeft w:val="0"/>
          <w:marRight w:val="0"/>
          <w:marTop w:val="0"/>
          <w:marBottom w:val="0"/>
          <w:divBdr>
            <w:top w:val="none" w:sz="0" w:space="0" w:color="auto"/>
            <w:left w:val="none" w:sz="0" w:space="0" w:color="auto"/>
            <w:bottom w:val="none" w:sz="0" w:space="0" w:color="auto"/>
            <w:right w:val="none" w:sz="0" w:space="0" w:color="auto"/>
          </w:divBdr>
          <w:divsChild>
            <w:div w:id="819541749">
              <w:marLeft w:val="0"/>
              <w:marRight w:val="0"/>
              <w:marTop w:val="0"/>
              <w:marBottom w:val="0"/>
              <w:divBdr>
                <w:top w:val="none" w:sz="0" w:space="0" w:color="auto"/>
                <w:left w:val="none" w:sz="0" w:space="0" w:color="auto"/>
                <w:bottom w:val="none" w:sz="0" w:space="0" w:color="auto"/>
                <w:right w:val="none" w:sz="0" w:space="0" w:color="auto"/>
              </w:divBdr>
            </w:div>
          </w:divsChild>
        </w:div>
        <w:div w:id="1628119360">
          <w:marLeft w:val="0"/>
          <w:marRight w:val="0"/>
          <w:marTop w:val="0"/>
          <w:marBottom w:val="0"/>
          <w:divBdr>
            <w:top w:val="none" w:sz="0" w:space="0" w:color="auto"/>
            <w:left w:val="none" w:sz="0" w:space="0" w:color="auto"/>
            <w:bottom w:val="none" w:sz="0" w:space="0" w:color="auto"/>
            <w:right w:val="none" w:sz="0" w:space="0" w:color="auto"/>
          </w:divBdr>
          <w:divsChild>
            <w:div w:id="140468677">
              <w:marLeft w:val="0"/>
              <w:marRight w:val="0"/>
              <w:marTop w:val="0"/>
              <w:marBottom w:val="0"/>
              <w:divBdr>
                <w:top w:val="none" w:sz="0" w:space="0" w:color="auto"/>
                <w:left w:val="none" w:sz="0" w:space="0" w:color="auto"/>
                <w:bottom w:val="none" w:sz="0" w:space="0" w:color="auto"/>
                <w:right w:val="none" w:sz="0" w:space="0" w:color="auto"/>
              </w:divBdr>
            </w:div>
          </w:divsChild>
        </w:div>
        <w:div w:id="1804694698">
          <w:marLeft w:val="0"/>
          <w:marRight w:val="0"/>
          <w:marTop w:val="0"/>
          <w:marBottom w:val="0"/>
          <w:divBdr>
            <w:top w:val="none" w:sz="0" w:space="0" w:color="auto"/>
            <w:left w:val="none" w:sz="0" w:space="0" w:color="auto"/>
            <w:bottom w:val="none" w:sz="0" w:space="0" w:color="auto"/>
            <w:right w:val="none" w:sz="0" w:space="0" w:color="auto"/>
          </w:divBdr>
          <w:divsChild>
            <w:div w:id="153692059">
              <w:marLeft w:val="0"/>
              <w:marRight w:val="0"/>
              <w:marTop w:val="0"/>
              <w:marBottom w:val="0"/>
              <w:divBdr>
                <w:top w:val="none" w:sz="0" w:space="0" w:color="auto"/>
                <w:left w:val="none" w:sz="0" w:space="0" w:color="auto"/>
                <w:bottom w:val="none" w:sz="0" w:space="0" w:color="auto"/>
                <w:right w:val="none" w:sz="0" w:space="0" w:color="auto"/>
              </w:divBdr>
            </w:div>
          </w:divsChild>
        </w:div>
        <w:div w:id="1842428787">
          <w:marLeft w:val="0"/>
          <w:marRight w:val="0"/>
          <w:marTop w:val="0"/>
          <w:marBottom w:val="0"/>
          <w:divBdr>
            <w:top w:val="none" w:sz="0" w:space="0" w:color="auto"/>
            <w:left w:val="none" w:sz="0" w:space="0" w:color="auto"/>
            <w:bottom w:val="none" w:sz="0" w:space="0" w:color="auto"/>
            <w:right w:val="none" w:sz="0" w:space="0" w:color="auto"/>
          </w:divBdr>
          <w:divsChild>
            <w:div w:id="21254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776084">
      <w:bodyDiv w:val="1"/>
      <w:marLeft w:val="0"/>
      <w:marRight w:val="0"/>
      <w:marTop w:val="0"/>
      <w:marBottom w:val="0"/>
      <w:divBdr>
        <w:top w:val="none" w:sz="0" w:space="0" w:color="auto"/>
        <w:left w:val="none" w:sz="0" w:space="0" w:color="auto"/>
        <w:bottom w:val="none" w:sz="0" w:space="0" w:color="auto"/>
        <w:right w:val="none" w:sz="0" w:space="0" w:color="auto"/>
      </w:divBdr>
      <w:divsChild>
        <w:div w:id="409734129">
          <w:marLeft w:val="0"/>
          <w:marRight w:val="0"/>
          <w:marTop w:val="0"/>
          <w:marBottom w:val="0"/>
          <w:divBdr>
            <w:top w:val="none" w:sz="0" w:space="0" w:color="auto"/>
            <w:left w:val="none" w:sz="0" w:space="0" w:color="auto"/>
            <w:bottom w:val="none" w:sz="0" w:space="0" w:color="auto"/>
            <w:right w:val="none" w:sz="0" w:space="0" w:color="auto"/>
          </w:divBdr>
        </w:div>
        <w:div w:id="697124411">
          <w:marLeft w:val="0"/>
          <w:marRight w:val="0"/>
          <w:marTop w:val="0"/>
          <w:marBottom w:val="0"/>
          <w:divBdr>
            <w:top w:val="none" w:sz="0" w:space="0" w:color="auto"/>
            <w:left w:val="none" w:sz="0" w:space="0" w:color="auto"/>
            <w:bottom w:val="none" w:sz="0" w:space="0" w:color="auto"/>
            <w:right w:val="none" w:sz="0" w:space="0" w:color="auto"/>
          </w:divBdr>
        </w:div>
        <w:div w:id="740980996">
          <w:marLeft w:val="0"/>
          <w:marRight w:val="0"/>
          <w:marTop w:val="0"/>
          <w:marBottom w:val="0"/>
          <w:divBdr>
            <w:top w:val="none" w:sz="0" w:space="0" w:color="auto"/>
            <w:left w:val="none" w:sz="0" w:space="0" w:color="auto"/>
            <w:bottom w:val="none" w:sz="0" w:space="0" w:color="auto"/>
            <w:right w:val="none" w:sz="0" w:space="0" w:color="auto"/>
          </w:divBdr>
        </w:div>
        <w:div w:id="1925332687">
          <w:marLeft w:val="0"/>
          <w:marRight w:val="0"/>
          <w:marTop w:val="0"/>
          <w:marBottom w:val="0"/>
          <w:divBdr>
            <w:top w:val="none" w:sz="0" w:space="0" w:color="auto"/>
            <w:left w:val="none" w:sz="0" w:space="0" w:color="auto"/>
            <w:bottom w:val="none" w:sz="0" w:space="0" w:color="auto"/>
            <w:right w:val="none" w:sz="0" w:space="0" w:color="auto"/>
          </w:divBdr>
        </w:div>
      </w:divsChild>
    </w:div>
    <w:div w:id="1159417695">
      <w:bodyDiv w:val="1"/>
      <w:marLeft w:val="0"/>
      <w:marRight w:val="0"/>
      <w:marTop w:val="0"/>
      <w:marBottom w:val="0"/>
      <w:divBdr>
        <w:top w:val="none" w:sz="0" w:space="0" w:color="auto"/>
        <w:left w:val="none" w:sz="0" w:space="0" w:color="auto"/>
        <w:bottom w:val="none" w:sz="0" w:space="0" w:color="auto"/>
        <w:right w:val="none" w:sz="0" w:space="0" w:color="auto"/>
      </w:divBdr>
      <w:divsChild>
        <w:div w:id="855771219">
          <w:marLeft w:val="0"/>
          <w:marRight w:val="0"/>
          <w:marTop w:val="0"/>
          <w:marBottom w:val="0"/>
          <w:divBdr>
            <w:top w:val="none" w:sz="0" w:space="0" w:color="auto"/>
            <w:left w:val="none" w:sz="0" w:space="0" w:color="auto"/>
            <w:bottom w:val="none" w:sz="0" w:space="0" w:color="auto"/>
            <w:right w:val="none" w:sz="0" w:space="0" w:color="auto"/>
          </w:divBdr>
          <w:divsChild>
            <w:div w:id="234244860">
              <w:marLeft w:val="0"/>
              <w:marRight w:val="0"/>
              <w:marTop w:val="0"/>
              <w:marBottom w:val="0"/>
              <w:divBdr>
                <w:top w:val="none" w:sz="0" w:space="0" w:color="auto"/>
                <w:left w:val="none" w:sz="0" w:space="0" w:color="auto"/>
                <w:bottom w:val="none" w:sz="0" w:space="0" w:color="auto"/>
                <w:right w:val="none" w:sz="0" w:space="0" w:color="auto"/>
              </w:divBdr>
            </w:div>
            <w:div w:id="872503236">
              <w:marLeft w:val="0"/>
              <w:marRight w:val="0"/>
              <w:marTop w:val="0"/>
              <w:marBottom w:val="0"/>
              <w:divBdr>
                <w:top w:val="none" w:sz="0" w:space="0" w:color="auto"/>
                <w:left w:val="none" w:sz="0" w:space="0" w:color="auto"/>
                <w:bottom w:val="none" w:sz="0" w:space="0" w:color="auto"/>
                <w:right w:val="none" w:sz="0" w:space="0" w:color="auto"/>
              </w:divBdr>
            </w:div>
            <w:div w:id="924070740">
              <w:marLeft w:val="0"/>
              <w:marRight w:val="0"/>
              <w:marTop w:val="0"/>
              <w:marBottom w:val="0"/>
              <w:divBdr>
                <w:top w:val="none" w:sz="0" w:space="0" w:color="auto"/>
                <w:left w:val="none" w:sz="0" w:space="0" w:color="auto"/>
                <w:bottom w:val="none" w:sz="0" w:space="0" w:color="auto"/>
                <w:right w:val="none" w:sz="0" w:space="0" w:color="auto"/>
              </w:divBdr>
            </w:div>
            <w:div w:id="1140923847">
              <w:marLeft w:val="0"/>
              <w:marRight w:val="0"/>
              <w:marTop w:val="0"/>
              <w:marBottom w:val="0"/>
              <w:divBdr>
                <w:top w:val="none" w:sz="0" w:space="0" w:color="auto"/>
                <w:left w:val="none" w:sz="0" w:space="0" w:color="auto"/>
                <w:bottom w:val="none" w:sz="0" w:space="0" w:color="auto"/>
                <w:right w:val="none" w:sz="0" w:space="0" w:color="auto"/>
              </w:divBdr>
            </w:div>
            <w:div w:id="1276869647">
              <w:marLeft w:val="0"/>
              <w:marRight w:val="0"/>
              <w:marTop w:val="0"/>
              <w:marBottom w:val="0"/>
              <w:divBdr>
                <w:top w:val="none" w:sz="0" w:space="0" w:color="auto"/>
                <w:left w:val="none" w:sz="0" w:space="0" w:color="auto"/>
                <w:bottom w:val="none" w:sz="0" w:space="0" w:color="auto"/>
                <w:right w:val="none" w:sz="0" w:space="0" w:color="auto"/>
              </w:divBdr>
            </w:div>
            <w:div w:id="1630358117">
              <w:marLeft w:val="0"/>
              <w:marRight w:val="0"/>
              <w:marTop w:val="0"/>
              <w:marBottom w:val="0"/>
              <w:divBdr>
                <w:top w:val="none" w:sz="0" w:space="0" w:color="auto"/>
                <w:left w:val="none" w:sz="0" w:space="0" w:color="auto"/>
                <w:bottom w:val="none" w:sz="0" w:space="0" w:color="auto"/>
                <w:right w:val="none" w:sz="0" w:space="0" w:color="auto"/>
              </w:divBdr>
            </w:div>
            <w:div w:id="1639917079">
              <w:marLeft w:val="0"/>
              <w:marRight w:val="0"/>
              <w:marTop w:val="0"/>
              <w:marBottom w:val="0"/>
              <w:divBdr>
                <w:top w:val="none" w:sz="0" w:space="0" w:color="auto"/>
                <w:left w:val="none" w:sz="0" w:space="0" w:color="auto"/>
                <w:bottom w:val="none" w:sz="0" w:space="0" w:color="auto"/>
                <w:right w:val="none" w:sz="0" w:space="0" w:color="auto"/>
              </w:divBdr>
            </w:div>
          </w:divsChild>
        </w:div>
        <w:div w:id="1986398015">
          <w:marLeft w:val="0"/>
          <w:marRight w:val="0"/>
          <w:marTop w:val="0"/>
          <w:marBottom w:val="0"/>
          <w:divBdr>
            <w:top w:val="none" w:sz="0" w:space="0" w:color="auto"/>
            <w:left w:val="none" w:sz="0" w:space="0" w:color="auto"/>
            <w:bottom w:val="none" w:sz="0" w:space="0" w:color="auto"/>
            <w:right w:val="none" w:sz="0" w:space="0" w:color="auto"/>
          </w:divBdr>
          <w:divsChild>
            <w:div w:id="1485391876">
              <w:marLeft w:val="0"/>
              <w:marRight w:val="0"/>
              <w:marTop w:val="0"/>
              <w:marBottom w:val="0"/>
              <w:divBdr>
                <w:top w:val="none" w:sz="0" w:space="0" w:color="auto"/>
                <w:left w:val="none" w:sz="0" w:space="0" w:color="auto"/>
                <w:bottom w:val="none" w:sz="0" w:space="0" w:color="auto"/>
                <w:right w:val="none" w:sz="0" w:space="0" w:color="auto"/>
              </w:divBdr>
            </w:div>
            <w:div w:id="184119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043175">
      <w:bodyDiv w:val="1"/>
      <w:marLeft w:val="0"/>
      <w:marRight w:val="0"/>
      <w:marTop w:val="0"/>
      <w:marBottom w:val="0"/>
      <w:divBdr>
        <w:top w:val="none" w:sz="0" w:space="0" w:color="auto"/>
        <w:left w:val="none" w:sz="0" w:space="0" w:color="auto"/>
        <w:bottom w:val="none" w:sz="0" w:space="0" w:color="auto"/>
        <w:right w:val="none" w:sz="0" w:space="0" w:color="auto"/>
      </w:divBdr>
    </w:div>
    <w:div w:id="1358776810">
      <w:bodyDiv w:val="1"/>
      <w:marLeft w:val="0"/>
      <w:marRight w:val="0"/>
      <w:marTop w:val="0"/>
      <w:marBottom w:val="0"/>
      <w:divBdr>
        <w:top w:val="none" w:sz="0" w:space="0" w:color="auto"/>
        <w:left w:val="none" w:sz="0" w:space="0" w:color="auto"/>
        <w:bottom w:val="none" w:sz="0" w:space="0" w:color="auto"/>
        <w:right w:val="none" w:sz="0" w:space="0" w:color="auto"/>
      </w:divBdr>
    </w:div>
    <w:div w:id="1406217921">
      <w:bodyDiv w:val="1"/>
      <w:marLeft w:val="0"/>
      <w:marRight w:val="0"/>
      <w:marTop w:val="0"/>
      <w:marBottom w:val="0"/>
      <w:divBdr>
        <w:top w:val="none" w:sz="0" w:space="0" w:color="auto"/>
        <w:left w:val="none" w:sz="0" w:space="0" w:color="auto"/>
        <w:bottom w:val="none" w:sz="0" w:space="0" w:color="auto"/>
        <w:right w:val="none" w:sz="0" w:space="0" w:color="auto"/>
      </w:divBdr>
      <w:divsChild>
        <w:div w:id="647630574">
          <w:marLeft w:val="0"/>
          <w:marRight w:val="0"/>
          <w:marTop w:val="0"/>
          <w:marBottom w:val="0"/>
          <w:divBdr>
            <w:top w:val="none" w:sz="0" w:space="0" w:color="auto"/>
            <w:left w:val="none" w:sz="0" w:space="0" w:color="auto"/>
            <w:bottom w:val="none" w:sz="0" w:space="0" w:color="auto"/>
            <w:right w:val="none" w:sz="0" w:space="0" w:color="auto"/>
          </w:divBdr>
        </w:div>
        <w:div w:id="1270695363">
          <w:marLeft w:val="0"/>
          <w:marRight w:val="0"/>
          <w:marTop w:val="0"/>
          <w:marBottom w:val="0"/>
          <w:divBdr>
            <w:top w:val="none" w:sz="0" w:space="0" w:color="auto"/>
            <w:left w:val="none" w:sz="0" w:space="0" w:color="auto"/>
            <w:bottom w:val="none" w:sz="0" w:space="0" w:color="auto"/>
            <w:right w:val="none" w:sz="0" w:space="0" w:color="auto"/>
          </w:divBdr>
        </w:div>
      </w:divsChild>
    </w:div>
    <w:div w:id="1733119529">
      <w:bodyDiv w:val="1"/>
      <w:marLeft w:val="0"/>
      <w:marRight w:val="0"/>
      <w:marTop w:val="0"/>
      <w:marBottom w:val="0"/>
      <w:divBdr>
        <w:top w:val="none" w:sz="0" w:space="0" w:color="auto"/>
        <w:left w:val="none" w:sz="0" w:space="0" w:color="auto"/>
        <w:bottom w:val="none" w:sz="0" w:space="0" w:color="auto"/>
        <w:right w:val="none" w:sz="0" w:space="0" w:color="auto"/>
      </w:divBdr>
    </w:div>
    <w:div w:id="1897549262">
      <w:bodyDiv w:val="1"/>
      <w:marLeft w:val="0"/>
      <w:marRight w:val="0"/>
      <w:marTop w:val="0"/>
      <w:marBottom w:val="0"/>
      <w:divBdr>
        <w:top w:val="none" w:sz="0" w:space="0" w:color="auto"/>
        <w:left w:val="none" w:sz="0" w:space="0" w:color="auto"/>
        <w:bottom w:val="none" w:sz="0" w:space="0" w:color="auto"/>
        <w:right w:val="none" w:sz="0" w:space="0" w:color="auto"/>
      </w:divBdr>
      <w:divsChild>
        <w:div w:id="66418295">
          <w:marLeft w:val="0"/>
          <w:marRight w:val="0"/>
          <w:marTop w:val="0"/>
          <w:marBottom w:val="0"/>
          <w:divBdr>
            <w:top w:val="none" w:sz="0" w:space="0" w:color="auto"/>
            <w:left w:val="none" w:sz="0" w:space="0" w:color="auto"/>
            <w:bottom w:val="none" w:sz="0" w:space="0" w:color="auto"/>
            <w:right w:val="none" w:sz="0" w:space="0" w:color="auto"/>
          </w:divBdr>
          <w:divsChild>
            <w:div w:id="602033885">
              <w:marLeft w:val="0"/>
              <w:marRight w:val="0"/>
              <w:marTop w:val="0"/>
              <w:marBottom w:val="0"/>
              <w:divBdr>
                <w:top w:val="none" w:sz="0" w:space="0" w:color="auto"/>
                <w:left w:val="none" w:sz="0" w:space="0" w:color="auto"/>
                <w:bottom w:val="none" w:sz="0" w:space="0" w:color="auto"/>
                <w:right w:val="none" w:sz="0" w:space="0" w:color="auto"/>
              </w:divBdr>
            </w:div>
          </w:divsChild>
        </w:div>
        <w:div w:id="270480133">
          <w:marLeft w:val="0"/>
          <w:marRight w:val="0"/>
          <w:marTop w:val="0"/>
          <w:marBottom w:val="0"/>
          <w:divBdr>
            <w:top w:val="none" w:sz="0" w:space="0" w:color="auto"/>
            <w:left w:val="none" w:sz="0" w:space="0" w:color="auto"/>
            <w:bottom w:val="none" w:sz="0" w:space="0" w:color="auto"/>
            <w:right w:val="none" w:sz="0" w:space="0" w:color="auto"/>
          </w:divBdr>
          <w:divsChild>
            <w:div w:id="1608582385">
              <w:marLeft w:val="0"/>
              <w:marRight w:val="0"/>
              <w:marTop w:val="0"/>
              <w:marBottom w:val="0"/>
              <w:divBdr>
                <w:top w:val="none" w:sz="0" w:space="0" w:color="auto"/>
                <w:left w:val="none" w:sz="0" w:space="0" w:color="auto"/>
                <w:bottom w:val="none" w:sz="0" w:space="0" w:color="auto"/>
                <w:right w:val="none" w:sz="0" w:space="0" w:color="auto"/>
              </w:divBdr>
            </w:div>
          </w:divsChild>
        </w:div>
        <w:div w:id="404494353">
          <w:marLeft w:val="0"/>
          <w:marRight w:val="0"/>
          <w:marTop w:val="0"/>
          <w:marBottom w:val="0"/>
          <w:divBdr>
            <w:top w:val="none" w:sz="0" w:space="0" w:color="auto"/>
            <w:left w:val="none" w:sz="0" w:space="0" w:color="auto"/>
            <w:bottom w:val="none" w:sz="0" w:space="0" w:color="auto"/>
            <w:right w:val="none" w:sz="0" w:space="0" w:color="auto"/>
          </w:divBdr>
          <w:divsChild>
            <w:div w:id="128598565">
              <w:marLeft w:val="0"/>
              <w:marRight w:val="0"/>
              <w:marTop w:val="0"/>
              <w:marBottom w:val="0"/>
              <w:divBdr>
                <w:top w:val="none" w:sz="0" w:space="0" w:color="auto"/>
                <w:left w:val="none" w:sz="0" w:space="0" w:color="auto"/>
                <w:bottom w:val="none" w:sz="0" w:space="0" w:color="auto"/>
                <w:right w:val="none" w:sz="0" w:space="0" w:color="auto"/>
              </w:divBdr>
            </w:div>
          </w:divsChild>
        </w:div>
        <w:div w:id="1274094337">
          <w:marLeft w:val="0"/>
          <w:marRight w:val="0"/>
          <w:marTop w:val="0"/>
          <w:marBottom w:val="0"/>
          <w:divBdr>
            <w:top w:val="none" w:sz="0" w:space="0" w:color="auto"/>
            <w:left w:val="none" w:sz="0" w:space="0" w:color="auto"/>
            <w:bottom w:val="none" w:sz="0" w:space="0" w:color="auto"/>
            <w:right w:val="none" w:sz="0" w:space="0" w:color="auto"/>
          </w:divBdr>
          <w:divsChild>
            <w:div w:id="1201161473">
              <w:marLeft w:val="0"/>
              <w:marRight w:val="0"/>
              <w:marTop w:val="0"/>
              <w:marBottom w:val="0"/>
              <w:divBdr>
                <w:top w:val="none" w:sz="0" w:space="0" w:color="auto"/>
                <w:left w:val="none" w:sz="0" w:space="0" w:color="auto"/>
                <w:bottom w:val="none" w:sz="0" w:space="0" w:color="auto"/>
                <w:right w:val="none" w:sz="0" w:space="0" w:color="auto"/>
              </w:divBdr>
            </w:div>
          </w:divsChild>
        </w:div>
        <w:div w:id="1312978207">
          <w:marLeft w:val="0"/>
          <w:marRight w:val="0"/>
          <w:marTop w:val="0"/>
          <w:marBottom w:val="0"/>
          <w:divBdr>
            <w:top w:val="none" w:sz="0" w:space="0" w:color="auto"/>
            <w:left w:val="none" w:sz="0" w:space="0" w:color="auto"/>
            <w:bottom w:val="none" w:sz="0" w:space="0" w:color="auto"/>
            <w:right w:val="none" w:sz="0" w:space="0" w:color="auto"/>
          </w:divBdr>
          <w:divsChild>
            <w:div w:id="218981745">
              <w:marLeft w:val="0"/>
              <w:marRight w:val="0"/>
              <w:marTop w:val="0"/>
              <w:marBottom w:val="0"/>
              <w:divBdr>
                <w:top w:val="none" w:sz="0" w:space="0" w:color="auto"/>
                <w:left w:val="none" w:sz="0" w:space="0" w:color="auto"/>
                <w:bottom w:val="none" w:sz="0" w:space="0" w:color="auto"/>
                <w:right w:val="none" w:sz="0" w:space="0" w:color="auto"/>
              </w:divBdr>
            </w:div>
          </w:divsChild>
        </w:div>
        <w:div w:id="1376389221">
          <w:marLeft w:val="0"/>
          <w:marRight w:val="0"/>
          <w:marTop w:val="0"/>
          <w:marBottom w:val="0"/>
          <w:divBdr>
            <w:top w:val="none" w:sz="0" w:space="0" w:color="auto"/>
            <w:left w:val="none" w:sz="0" w:space="0" w:color="auto"/>
            <w:bottom w:val="none" w:sz="0" w:space="0" w:color="auto"/>
            <w:right w:val="none" w:sz="0" w:space="0" w:color="auto"/>
          </w:divBdr>
          <w:divsChild>
            <w:div w:id="1393307567">
              <w:marLeft w:val="0"/>
              <w:marRight w:val="0"/>
              <w:marTop w:val="0"/>
              <w:marBottom w:val="0"/>
              <w:divBdr>
                <w:top w:val="none" w:sz="0" w:space="0" w:color="auto"/>
                <w:left w:val="none" w:sz="0" w:space="0" w:color="auto"/>
                <w:bottom w:val="none" w:sz="0" w:space="0" w:color="auto"/>
                <w:right w:val="none" w:sz="0" w:space="0" w:color="auto"/>
              </w:divBdr>
            </w:div>
          </w:divsChild>
        </w:div>
        <w:div w:id="1380402069">
          <w:marLeft w:val="0"/>
          <w:marRight w:val="0"/>
          <w:marTop w:val="0"/>
          <w:marBottom w:val="0"/>
          <w:divBdr>
            <w:top w:val="none" w:sz="0" w:space="0" w:color="auto"/>
            <w:left w:val="none" w:sz="0" w:space="0" w:color="auto"/>
            <w:bottom w:val="none" w:sz="0" w:space="0" w:color="auto"/>
            <w:right w:val="none" w:sz="0" w:space="0" w:color="auto"/>
          </w:divBdr>
          <w:divsChild>
            <w:div w:id="1665477747">
              <w:marLeft w:val="0"/>
              <w:marRight w:val="0"/>
              <w:marTop w:val="0"/>
              <w:marBottom w:val="0"/>
              <w:divBdr>
                <w:top w:val="none" w:sz="0" w:space="0" w:color="auto"/>
                <w:left w:val="none" w:sz="0" w:space="0" w:color="auto"/>
                <w:bottom w:val="none" w:sz="0" w:space="0" w:color="auto"/>
                <w:right w:val="none" w:sz="0" w:space="0" w:color="auto"/>
              </w:divBdr>
            </w:div>
          </w:divsChild>
        </w:div>
        <w:div w:id="1445298159">
          <w:marLeft w:val="0"/>
          <w:marRight w:val="0"/>
          <w:marTop w:val="0"/>
          <w:marBottom w:val="0"/>
          <w:divBdr>
            <w:top w:val="none" w:sz="0" w:space="0" w:color="auto"/>
            <w:left w:val="none" w:sz="0" w:space="0" w:color="auto"/>
            <w:bottom w:val="none" w:sz="0" w:space="0" w:color="auto"/>
            <w:right w:val="none" w:sz="0" w:space="0" w:color="auto"/>
          </w:divBdr>
          <w:divsChild>
            <w:div w:id="1196043376">
              <w:marLeft w:val="0"/>
              <w:marRight w:val="0"/>
              <w:marTop w:val="0"/>
              <w:marBottom w:val="0"/>
              <w:divBdr>
                <w:top w:val="none" w:sz="0" w:space="0" w:color="auto"/>
                <w:left w:val="none" w:sz="0" w:space="0" w:color="auto"/>
                <w:bottom w:val="none" w:sz="0" w:space="0" w:color="auto"/>
                <w:right w:val="none" w:sz="0" w:space="0" w:color="auto"/>
              </w:divBdr>
            </w:div>
          </w:divsChild>
        </w:div>
        <w:div w:id="1807697654">
          <w:marLeft w:val="0"/>
          <w:marRight w:val="0"/>
          <w:marTop w:val="0"/>
          <w:marBottom w:val="0"/>
          <w:divBdr>
            <w:top w:val="none" w:sz="0" w:space="0" w:color="auto"/>
            <w:left w:val="none" w:sz="0" w:space="0" w:color="auto"/>
            <w:bottom w:val="none" w:sz="0" w:space="0" w:color="auto"/>
            <w:right w:val="none" w:sz="0" w:space="0" w:color="auto"/>
          </w:divBdr>
          <w:divsChild>
            <w:div w:id="1261067166">
              <w:marLeft w:val="0"/>
              <w:marRight w:val="0"/>
              <w:marTop w:val="0"/>
              <w:marBottom w:val="0"/>
              <w:divBdr>
                <w:top w:val="none" w:sz="0" w:space="0" w:color="auto"/>
                <w:left w:val="none" w:sz="0" w:space="0" w:color="auto"/>
                <w:bottom w:val="none" w:sz="0" w:space="0" w:color="auto"/>
                <w:right w:val="none" w:sz="0" w:space="0" w:color="auto"/>
              </w:divBdr>
            </w:div>
          </w:divsChild>
        </w:div>
        <w:div w:id="2030989156">
          <w:marLeft w:val="0"/>
          <w:marRight w:val="0"/>
          <w:marTop w:val="0"/>
          <w:marBottom w:val="0"/>
          <w:divBdr>
            <w:top w:val="none" w:sz="0" w:space="0" w:color="auto"/>
            <w:left w:val="none" w:sz="0" w:space="0" w:color="auto"/>
            <w:bottom w:val="none" w:sz="0" w:space="0" w:color="auto"/>
            <w:right w:val="none" w:sz="0" w:space="0" w:color="auto"/>
          </w:divBdr>
          <w:divsChild>
            <w:div w:id="2106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ergiize.org/equipment-catalo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energiize.org/equipment-catalog/" TargetMode="External"/><Relationship Id="rId17" Type="http://schemas.openxmlformats.org/officeDocument/2006/relationships/header" Target="header1.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www.energystar.gov/productfinder/product/certified-evse/resul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ca.gov/funding-opportunities/solicitation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nergiize.org/equipment-catalo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iize.org/infrastructure?section=infrastructure.more-details.technology" TargetMode="External"/><Relationship Id="rId22"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67c814-4b34-462c-a21d-c185ff6548d2" xsi:nil="true"/>
    <lcf76f155ced4ddcb4097134ff3c332f xmlns="785685f2-c2e1-4352-89aa-3faca8eaba52">
      <Terms xmlns="http://schemas.microsoft.com/office/infopath/2007/PartnerControls"/>
    </lcf76f155ced4ddcb4097134ff3c332f>
    <SharedWithUsers xmlns="5067c814-4b34-462c-a21d-c185ff6548d2">
      <UserInfo>
        <DisplayName>Vail, Melanie@Energy</DisplayName>
        <AccountId>175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67D39-677C-45F0-A310-67C5BE75DAFE}">
  <ds:schemaRefs>
    <ds:schemaRef ds:uri="http://schemas.microsoft.com/office/2006/metadata/properties"/>
    <ds:schemaRef ds:uri="http://schemas.microsoft.com/office/infopath/2007/PartnerControls"/>
    <ds:schemaRef ds:uri="5067c814-4b34-462c-a21d-c185ff6548d2"/>
    <ds:schemaRef ds:uri="785685f2-c2e1-4352-89aa-3faca8eaba52"/>
  </ds:schemaRefs>
</ds:datastoreItem>
</file>

<file path=customXml/itemProps2.xml><?xml version="1.0" encoding="utf-8"?>
<ds:datastoreItem xmlns:ds="http://schemas.openxmlformats.org/officeDocument/2006/customXml" ds:itemID="{4D98595B-A181-47F1-90DF-3E60E1B27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B3591-85F7-4296-8681-810DCA9B2479}">
  <ds:schemaRefs>
    <ds:schemaRef ds:uri="http://schemas.microsoft.com/sharepoint/v3/contenttype/forms"/>
  </ds:schemaRefs>
</ds:datastoreItem>
</file>

<file path=customXml/itemProps4.xml><?xml version="1.0" encoding="utf-8"?>
<ds:datastoreItem xmlns:ds="http://schemas.openxmlformats.org/officeDocument/2006/customXml" ds:itemID="{DD9D46E3-B1C6-4A03-A8F1-133DE36FA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3029</Words>
  <Characters>17266</Characters>
  <Application>Microsoft Office Word</Application>
  <DocSecurity>4</DocSecurity>
  <Lines>143</Lines>
  <Paragraphs>40</Paragraphs>
  <ScaleCrop>false</ScaleCrop>
  <Company>Wobschall Design</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Wobschall</dc:creator>
  <cp:keywords/>
  <dc:description/>
  <cp:lastModifiedBy>Johnson, Natalie@Energy</cp:lastModifiedBy>
  <cp:revision>103</cp:revision>
  <cp:lastPrinted>2019-04-08T16:38:00Z</cp:lastPrinted>
  <dcterms:created xsi:type="dcterms:W3CDTF">2025-05-19T19:56:00Z</dcterms:created>
  <dcterms:modified xsi:type="dcterms:W3CDTF">2026-01-27T16:18:00Z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MediaServiceImageTags">
    <vt:lpwstr/>
  </property>
  <property fmtid="{D5CDD505-2E9C-101B-9397-08002B2CF9AE}" pid="4" name="Order">
    <vt:r8>443100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