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4C9D" w14:textId="02F6440E" w:rsidR="3E480488" w:rsidRPr="00A71CB7" w:rsidRDefault="3E480488" w:rsidP="00902FE0">
      <w:pPr>
        <w:pStyle w:val="Default"/>
        <w:spacing w:line="360" w:lineRule="auto"/>
        <w:jc w:val="center"/>
        <w:rPr>
          <w:rFonts w:eastAsia="Arial"/>
          <w:color w:val="auto"/>
          <w:sz w:val="22"/>
          <w:szCs w:val="22"/>
        </w:rPr>
      </w:pPr>
      <w:r w:rsidRPr="00A71CB7">
        <w:rPr>
          <w:rFonts w:eastAsia="Arial"/>
          <w:b/>
          <w:bCs/>
          <w:color w:val="auto"/>
          <w:sz w:val="22"/>
          <w:szCs w:val="22"/>
        </w:rPr>
        <w:t>GFO-</w:t>
      </w:r>
      <w:r w:rsidR="00EE6A99" w:rsidRPr="00A71CB7">
        <w:rPr>
          <w:rFonts w:eastAsia="Arial"/>
          <w:b/>
          <w:bCs/>
          <w:color w:val="auto"/>
          <w:sz w:val="22"/>
          <w:szCs w:val="22"/>
        </w:rPr>
        <w:t>21</w:t>
      </w:r>
      <w:r w:rsidRPr="00A71CB7">
        <w:rPr>
          <w:rFonts w:eastAsia="Arial"/>
          <w:b/>
          <w:bCs/>
          <w:color w:val="auto"/>
          <w:sz w:val="22"/>
          <w:szCs w:val="22"/>
        </w:rPr>
        <w:t>-</w:t>
      </w:r>
      <w:r w:rsidR="00EE6A99" w:rsidRPr="00A71CB7">
        <w:rPr>
          <w:rFonts w:eastAsia="Arial"/>
          <w:b/>
          <w:bCs/>
          <w:color w:val="auto"/>
          <w:sz w:val="22"/>
          <w:szCs w:val="22"/>
        </w:rPr>
        <w:t>901</w:t>
      </w:r>
    </w:p>
    <w:p w14:paraId="27350347" w14:textId="39757E1F" w:rsidR="3E480488" w:rsidRPr="00A71CB7" w:rsidRDefault="3E480488" w:rsidP="00902FE0">
      <w:pPr>
        <w:pStyle w:val="Default"/>
        <w:spacing w:line="360" w:lineRule="auto"/>
        <w:jc w:val="center"/>
        <w:rPr>
          <w:rFonts w:eastAsia="Arial"/>
          <w:color w:val="auto"/>
          <w:sz w:val="22"/>
          <w:szCs w:val="22"/>
        </w:rPr>
      </w:pPr>
      <w:r w:rsidRPr="00A71CB7">
        <w:rPr>
          <w:rFonts w:eastAsia="Arial"/>
          <w:b/>
          <w:bCs/>
          <w:color w:val="auto"/>
          <w:sz w:val="22"/>
          <w:szCs w:val="22"/>
        </w:rPr>
        <w:t>Addendum #</w:t>
      </w:r>
      <w:r w:rsidR="00EE6A99" w:rsidRPr="00A71CB7">
        <w:rPr>
          <w:rFonts w:eastAsia="Arial"/>
          <w:b/>
          <w:bCs/>
          <w:color w:val="auto"/>
          <w:sz w:val="22"/>
          <w:szCs w:val="22"/>
        </w:rPr>
        <w:t>34</w:t>
      </w:r>
    </w:p>
    <w:p w14:paraId="1B5AB3CA" w14:textId="56D27668" w:rsidR="3E480488" w:rsidRPr="00A71CB7" w:rsidRDefault="00EE6A99" w:rsidP="00902FE0">
      <w:pPr>
        <w:pStyle w:val="Default"/>
        <w:spacing w:line="360" w:lineRule="auto"/>
        <w:jc w:val="center"/>
        <w:rPr>
          <w:rFonts w:eastAsia="Arial"/>
          <w:color w:val="auto"/>
          <w:sz w:val="22"/>
          <w:szCs w:val="22"/>
        </w:rPr>
      </w:pPr>
      <w:r w:rsidRPr="00A71CB7">
        <w:rPr>
          <w:rFonts w:eastAsia="Arial"/>
          <w:b/>
          <w:bCs/>
          <w:color w:val="auto"/>
          <w:sz w:val="22"/>
          <w:szCs w:val="22"/>
        </w:rPr>
        <w:t>March 1</w:t>
      </w:r>
      <w:r w:rsidR="00522C01">
        <w:rPr>
          <w:rFonts w:eastAsia="Arial"/>
          <w:b/>
          <w:bCs/>
          <w:color w:val="auto"/>
          <w:sz w:val="22"/>
          <w:szCs w:val="22"/>
        </w:rPr>
        <w:t>7</w:t>
      </w:r>
      <w:r w:rsidRPr="00A71CB7">
        <w:rPr>
          <w:rFonts w:eastAsia="Arial"/>
          <w:b/>
          <w:bCs/>
          <w:color w:val="auto"/>
          <w:sz w:val="22"/>
          <w:szCs w:val="22"/>
        </w:rPr>
        <w:t>, 2026</w:t>
      </w:r>
    </w:p>
    <w:p w14:paraId="0FA7D40A" w14:textId="28593FBD" w:rsidR="2B229E13" w:rsidRPr="00A71CB7" w:rsidRDefault="2B229E13" w:rsidP="2B229E13">
      <w:pPr>
        <w:rPr>
          <w:rFonts w:ascii="Arial" w:eastAsia="Arial" w:hAnsi="Arial" w:cs="Arial"/>
          <w:sz w:val="22"/>
          <w:szCs w:val="22"/>
        </w:rPr>
      </w:pPr>
    </w:p>
    <w:p w14:paraId="129B73F1" w14:textId="0370F0FB" w:rsidR="3E480488" w:rsidRPr="00A71CB7" w:rsidRDefault="00F51FC4" w:rsidP="2B229E13">
      <w:pPr>
        <w:pStyle w:val="Default"/>
        <w:jc w:val="center"/>
        <w:rPr>
          <w:rFonts w:eastAsia="Arial"/>
          <w:color w:val="auto"/>
          <w:sz w:val="22"/>
          <w:szCs w:val="22"/>
        </w:rPr>
      </w:pPr>
      <w:r w:rsidRPr="00A71CB7">
        <w:rPr>
          <w:rFonts w:eastAsia="Arial"/>
          <w:b/>
          <w:bCs/>
          <w:color w:val="auto"/>
          <w:sz w:val="22"/>
          <w:szCs w:val="22"/>
        </w:rPr>
        <w:t>Cost Share for Federal Clean Energy Funding Opportunities</w:t>
      </w:r>
    </w:p>
    <w:p w14:paraId="610B11F5" w14:textId="5077CC1F" w:rsidR="2B229E13" w:rsidRDefault="2B229E13" w:rsidP="2B229E13">
      <w:pPr>
        <w:jc w:val="center"/>
        <w:rPr>
          <w:rFonts w:ascii="Arial" w:eastAsia="Arial" w:hAnsi="Arial" w:cs="Arial"/>
          <w:color w:val="0070C0"/>
          <w:sz w:val="22"/>
          <w:szCs w:val="22"/>
        </w:rPr>
      </w:pPr>
    </w:p>
    <w:p w14:paraId="62BCB38B" w14:textId="40CC2BCC" w:rsidR="3E480488" w:rsidRDefault="3E480488" w:rsidP="2B229E13">
      <w:pPr>
        <w:jc w:val="center"/>
        <w:rPr>
          <w:rFonts w:ascii="Arial" w:eastAsia="Arial" w:hAnsi="Arial" w:cs="Arial"/>
          <w:color w:val="000000" w:themeColor="text1"/>
          <w:sz w:val="22"/>
          <w:szCs w:val="22"/>
        </w:rPr>
      </w:pPr>
      <w:r w:rsidRPr="2B229E13">
        <w:rPr>
          <w:rStyle w:val="normaltextrun"/>
          <w:rFonts w:ascii="Arial" w:eastAsia="Arial" w:hAnsi="Arial" w:cs="Arial"/>
          <w:color w:val="000000" w:themeColor="text1"/>
          <w:sz w:val="22"/>
          <w:szCs w:val="22"/>
        </w:rPr>
        <w:t xml:space="preserve">Please Note: Added language appears in </w:t>
      </w:r>
      <w:r w:rsidRPr="2B229E13">
        <w:rPr>
          <w:rStyle w:val="normaltextrun"/>
          <w:rFonts w:ascii="Arial" w:eastAsia="Arial" w:hAnsi="Arial" w:cs="Arial"/>
          <w:b/>
          <w:bCs/>
          <w:color w:val="000000" w:themeColor="text1"/>
          <w:sz w:val="22"/>
          <w:szCs w:val="22"/>
          <w:u w:val="single"/>
        </w:rPr>
        <w:t>bold underlined</w:t>
      </w:r>
      <w:r w:rsidRPr="2B229E13">
        <w:rPr>
          <w:rStyle w:val="normaltextrun"/>
          <w:rFonts w:ascii="Arial" w:eastAsia="Arial" w:hAnsi="Arial" w:cs="Arial"/>
          <w:color w:val="000000" w:themeColor="text1"/>
          <w:sz w:val="22"/>
          <w:szCs w:val="22"/>
          <w:u w:val="single"/>
        </w:rPr>
        <w:t xml:space="preserve"> </w:t>
      </w:r>
      <w:r w:rsidRPr="2B229E13">
        <w:rPr>
          <w:rStyle w:val="normaltextrun"/>
          <w:rFonts w:ascii="Arial" w:eastAsia="Arial" w:hAnsi="Arial" w:cs="Arial"/>
          <w:color w:val="000000" w:themeColor="text1"/>
          <w:sz w:val="22"/>
          <w:szCs w:val="22"/>
        </w:rPr>
        <w:t xml:space="preserve">font. Deleted language appears in </w:t>
      </w:r>
      <w:r w:rsidRPr="2B229E13">
        <w:rPr>
          <w:rStyle w:val="normaltextrun"/>
          <w:rFonts w:ascii="Arial" w:eastAsia="Arial" w:hAnsi="Arial" w:cs="Arial"/>
          <w:strike/>
          <w:color w:val="000000" w:themeColor="text1"/>
          <w:sz w:val="22"/>
          <w:szCs w:val="22"/>
        </w:rPr>
        <w:t>[strikethrough]</w:t>
      </w:r>
      <w:r w:rsidRPr="2B229E13">
        <w:rPr>
          <w:rStyle w:val="normaltextrun"/>
          <w:rFonts w:ascii="Arial" w:eastAsia="Arial" w:hAnsi="Arial" w:cs="Arial"/>
          <w:color w:val="000000" w:themeColor="text1"/>
          <w:sz w:val="22"/>
          <w:szCs w:val="22"/>
        </w:rPr>
        <w:t xml:space="preserve"> and within square brackets.  </w:t>
      </w:r>
    </w:p>
    <w:p w14:paraId="2D6D291D" w14:textId="73A0793E" w:rsidR="3E480488" w:rsidRDefault="3E480488" w:rsidP="2B229E13">
      <w:pPr>
        <w:jc w:val="center"/>
        <w:rPr>
          <w:rFonts w:ascii="Arial" w:eastAsia="Arial" w:hAnsi="Arial" w:cs="Arial"/>
          <w:color w:val="000000" w:themeColor="text1"/>
          <w:sz w:val="22"/>
          <w:szCs w:val="22"/>
        </w:rPr>
      </w:pPr>
      <w:r w:rsidRPr="2B229E13">
        <w:rPr>
          <w:rStyle w:val="eop"/>
          <w:rFonts w:ascii="Arial" w:eastAsia="Arial" w:hAnsi="Arial" w:cs="Arial"/>
          <w:color w:val="000000" w:themeColor="text1"/>
          <w:sz w:val="22"/>
          <w:szCs w:val="22"/>
        </w:rPr>
        <w:t> </w:t>
      </w:r>
    </w:p>
    <w:p w14:paraId="0C782FB0" w14:textId="328D65F1" w:rsidR="2B229E13" w:rsidRDefault="2B229E13" w:rsidP="2B229E13">
      <w:pPr>
        <w:rPr>
          <w:rFonts w:ascii="Arial" w:eastAsia="Arial" w:hAnsi="Arial" w:cs="Arial"/>
          <w:color w:val="000000" w:themeColor="text1"/>
          <w:sz w:val="22"/>
          <w:szCs w:val="22"/>
        </w:rPr>
      </w:pPr>
    </w:p>
    <w:p w14:paraId="5A8F3399" w14:textId="724C8EE7" w:rsidR="3E480488" w:rsidRDefault="3E480488" w:rsidP="2B229E13">
      <w:pPr>
        <w:pStyle w:val="Default"/>
        <w:rPr>
          <w:rFonts w:eastAsia="Arial"/>
          <w:color w:val="000000" w:themeColor="text1"/>
          <w:sz w:val="22"/>
          <w:szCs w:val="22"/>
        </w:rPr>
      </w:pPr>
      <w:r w:rsidRPr="2B229E13">
        <w:rPr>
          <w:rFonts w:eastAsia="Arial"/>
          <w:color w:val="000000" w:themeColor="text1"/>
          <w:sz w:val="22"/>
          <w:szCs w:val="22"/>
        </w:rPr>
        <w:t xml:space="preserve">The </w:t>
      </w:r>
      <w:r w:rsidRPr="00A71CB7">
        <w:rPr>
          <w:rFonts w:eastAsia="Arial"/>
          <w:color w:val="auto"/>
          <w:sz w:val="22"/>
          <w:szCs w:val="22"/>
        </w:rPr>
        <w:t>purpose of this addendum is to notify potential applicants of changes that have been made to the solicitation manual for GFO-</w:t>
      </w:r>
      <w:r w:rsidR="002B5144" w:rsidRPr="00A71CB7">
        <w:rPr>
          <w:rFonts w:eastAsia="Arial"/>
          <w:color w:val="auto"/>
          <w:sz w:val="22"/>
          <w:szCs w:val="22"/>
        </w:rPr>
        <w:t>21</w:t>
      </w:r>
      <w:r w:rsidRPr="00A71CB7">
        <w:rPr>
          <w:rFonts w:eastAsia="Arial"/>
          <w:color w:val="auto"/>
          <w:sz w:val="22"/>
          <w:szCs w:val="22"/>
        </w:rPr>
        <w:t>-</w:t>
      </w:r>
      <w:r w:rsidR="002B5144" w:rsidRPr="00A71CB7">
        <w:rPr>
          <w:rFonts w:eastAsia="Arial"/>
          <w:color w:val="auto"/>
          <w:sz w:val="22"/>
          <w:szCs w:val="22"/>
        </w:rPr>
        <w:t>901.</w:t>
      </w:r>
      <w:r w:rsidRPr="00A71CB7">
        <w:rPr>
          <w:rFonts w:eastAsia="Arial"/>
          <w:color w:val="auto"/>
          <w:sz w:val="22"/>
          <w:szCs w:val="22"/>
        </w:rPr>
        <w:t xml:space="preserve"> The </w:t>
      </w:r>
      <w:r w:rsidRPr="2B229E13">
        <w:rPr>
          <w:rFonts w:eastAsia="Arial"/>
          <w:color w:val="000000" w:themeColor="text1"/>
          <w:sz w:val="22"/>
          <w:szCs w:val="22"/>
        </w:rPr>
        <w:t xml:space="preserve">addendum includes the following revisions to the Solicitation Manual. Added language appears in </w:t>
      </w:r>
      <w:r w:rsidRPr="2B229E13">
        <w:rPr>
          <w:rFonts w:eastAsia="Arial"/>
          <w:b/>
          <w:bCs/>
          <w:color w:val="000000" w:themeColor="text1"/>
          <w:sz w:val="22"/>
          <w:szCs w:val="22"/>
          <w:u w:val="single"/>
        </w:rPr>
        <w:t>bold underline</w:t>
      </w:r>
      <w:r w:rsidRPr="2B229E13">
        <w:rPr>
          <w:rFonts w:eastAsia="Arial"/>
          <w:color w:val="000000" w:themeColor="text1"/>
          <w:sz w:val="22"/>
          <w:szCs w:val="22"/>
        </w:rPr>
        <w:t>, and deleted language appears in [</w:t>
      </w:r>
      <w:r w:rsidRPr="2B229E13">
        <w:rPr>
          <w:rFonts w:eastAsia="Arial"/>
          <w:strike/>
          <w:color w:val="000000" w:themeColor="text1"/>
          <w:sz w:val="22"/>
          <w:szCs w:val="22"/>
        </w:rPr>
        <w:t>strikethrough]</w:t>
      </w:r>
      <w:r w:rsidRPr="2B229E13">
        <w:rPr>
          <w:rFonts w:eastAsia="Arial"/>
          <w:color w:val="000000" w:themeColor="text1"/>
          <w:sz w:val="22"/>
          <w:szCs w:val="22"/>
        </w:rPr>
        <w:t xml:space="preserve"> and within square brackets.</w:t>
      </w:r>
    </w:p>
    <w:p w14:paraId="127CD2AA" w14:textId="35972E26" w:rsidR="2B229E13" w:rsidRDefault="2B229E13" w:rsidP="2B229E13">
      <w:pPr>
        <w:rPr>
          <w:rFonts w:ascii="Arial" w:eastAsia="Arial" w:hAnsi="Arial" w:cs="Arial"/>
          <w:color w:val="000000" w:themeColor="text1"/>
          <w:sz w:val="22"/>
          <w:szCs w:val="22"/>
        </w:rPr>
      </w:pPr>
    </w:p>
    <w:p w14:paraId="04BF3A8D" w14:textId="6549831F" w:rsidR="3E480488" w:rsidRDefault="3E480488" w:rsidP="2B229E13">
      <w:pPr>
        <w:pStyle w:val="Default"/>
        <w:rPr>
          <w:rFonts w:eastAsia="Arial"/>
          <w:color w:val="0070C0"/>
          <w:sz w:val="22"/>
          <w:szCs w:val="22"/>
        </w:rPr>
      </w:pPr>
      <w:r w:rsidRPr="004C6752">
        <w:rPr>
          <w:rFonts w:eastAsia="Arial"/>
          <w:b/>
          <w:bCs/>
          <w:color w:val="000000" w:themeColor="text1"/>
          <w:sz w:val="22"/>
          <w:szCs w:val="22"/>
        </w:rPr>
        <w:t>Solicitation Manual</w:t>
      </w:r>
    </w:p>
    <w:p w14:paraId="648EDF48" w14:textId="0295A3A7" w:rsidR="2B229E13" w:rsidRDefault="2B229E13" w:rsidP="2B229E13">
      <w:pPr>
        <w:rPr>
          <w:rFonts w:ascii="Arial" w:eastAsia="Arial" w:hAnsi="Arial" w:cs="Arial"/>
          <w:color w:val="000000" w:themeColor="text1"/>
          <w:sz w:val="22"/>
          <w:szCs w:val="22"/>
        </w:rPr>
      </w:pPr>
    </w:p>
    <w:p w14:paraId="3F35D824" w14:textId="28C6801C" w:rsidR="3E480488" w:rsidRPr="00A71CB7" w:rsidRDefault="3E480488" w:rsidP="2B229E13">
      <w:pPr>
        <w:pStyle w:val="Default"/>
        <w:rPr>
          <w:rFonts w:eastAsia="Arial"/>
          <w:color w:val="auto"/>
          <w:sz w:val="22"/>
          <w:szCs w:val="22"/>
        </w:rPr>
      </w:pPr>
      <w:r w:rsidRPr="00A71CB7">
        <w:rPr>
          <w:rFonts w:eastAsia="Arial"/>
          <w:b/>
          <w:bCs/>
          <w:color w:val="auto"/>
          <w:sz w:val="22"/>
          <w:szCs w:val="22"/>
        </w:rPr>
        <w:t>Section</w:t>
      </w:r>
      <w:r w:rsidR="00545BCA" w:rsidRPr="00A71CB7">
        <w:rPr>
          <w:rFonts w:eastAsia="Arial"/>
          <w:b/>
          <w:bCs/>
          <w:color w:val="auto"/>
          <w:sz w:val="22"/>
          <w:szCs w:val="22"/>
        </w:rPr>
        <w:t xml:space="preserve"> </w:t>
      </w:r>
      <w:r w:rsidR="00C0712F" w:rsidRPr="00A71CB7">
        <w:rPr>
          <w:rFonts w:eastAsia="Arial"/>
          <w:b/>
          <w:bCs/>
          <w:color w:val="auto"/>
          <w:sz w:val="22"/>
          <w:szCs w:val="22"/>
        </w:rPr>
        <w:t>I</w:t>
      </w:r>
    </w:p>
    <w:p w14:paraId="71541F64" w14:textId="1B5C05D5" w:rsidR="2B229E13" w:rsidRPr="00A71CB7" w:rsidRDefault="2B229E13" w:rsidP="2B229E13">
      <w:pPr>
        <w:rPr>
          <w:rFonts w:ascii="Arial" w:eastAsia="Arial" w:hAnsi="Arial" w:cs="Arial"/>
          <w:sz w:val="22"/>
          <w:szCs w:val="22"/>
        </w:rPr>
      </w:pPr>
    </w:p>
    <w:p w14:paraId="07A9FB7C" w14:textId="278611C2" w:rsidR="3E480488" w:rsidRPr="00A71CB7" w:rsidRDefault="3E480488" w:rsidP="2B229E13">
      <w:pPr>
        <w:pStyle w:val="Default"/>
        <w:numPr>
          <w:ilvl w:val="0"/>
          <w:numId w:val="2"/>
        </w:numPr>
        <w:rPr>
          <w:rFonts w:eastAsia="Arial"/>
          <w:color w:val="auto"/>
          <w:sz w:val="22"/>
          <w:szCs w:val="22"/>
        </w:rPr>
      </w:pPr>
      <w:r w:rsidRPr="00A71CB7">
        <w:rPr>
          <w:rFonts w:eastAsia="Arial"/>
          <w:color w:val="auto"/>
          <w:sz w:val="22"/>
          <w:szCs w:val="22"/>
        </w:rPr>
        <w:t>Page</w:t>
      </w:r>
      <w:r w:rsidR="00D824C5" w:rsidRPr="00A71CB7">
        <w:rPr>
          <w:rFonts w:eastAsia="Arial"/>
          <w:color w:val="auto"/>
          <w:sz w:val="22"/>
          <w:szCs w:val="22"/>
        </w:rPr>
        <w:t>s</w:t>
      </w:r>
      <w:r w:rsidRPr="00A71CB7">
        <w:rPr>
          <w:rFonts w:eastAsia="Arial"/>
          <w:color w:val="auto"/>
          <w:sz w:val="22"/>
          <w:szCs w:val="22"/>
        </w:rPr>
        <w:t xml:space="preserve"> #</w:t>
      </w:r>
      <w:r w:rsidR="00D824C5" w:rsidRPr="00A71CB7">
        <w:rPr>
          <w:rFonts w:eastAsia="Arial"/>
          <w:color w:val="auto"/>
          <w:sz w:val="22"/>
          <w:szCs w:val="22"/>
        </w:rPr>
        <w:t>4, 5, and</w:t>
      </w:r>
      <w:r w:rsidR="007554CF" w:rsidRPr="00A71CB7">
        <w:rPr>
          <w:rFonts w:eastAsia="Arial"/>
          <w:color w:val="auto"/>
          <w:sz w:val="22"/>
          <w:szCs w:val="22"/>
        </w:rPr>
        <w:t xml:space="preserve"> 6</w:t>
      </w:r>
      <w:r w:rsidRPr="00A71CB7">
        <w:rPr>
          <w:rFonts w:eastAsia="Arial"/>
          <w:color w:val="auto"/>
          <w:sz w:val="22"/>
          <w:szCs w:val="22"/>
        </w:rPr>
        <w:t xml:space="preserve">, Section </w:t>
      </w:r>
      <w:r w:rsidR="00545BCA" w:rsidRPr="00A71CB7">
        <w:rPr>
          <w:rFonts w:eastAsia="Arial"/>
          <w:color w:val="auto"/>
          <w:sz w:val="22"/>
          <w:szCs w:val="22"/>
        </w:rPr>
        <w:t>B</w:t>
      </w:r>
      <w:r w:rsidRPr="00A71CB7">
        <w:rPr>
          <w:rFonts w:eastAsia="Arial"/>
          <w:color w:val="auto"/>
          <w:sz w:val="22"/>
          <w:szCs w:val="22"/>
        </w:rPr>
        <w:t xml:space="preserve">. </w:t>
      </w:r>
      <w:r w:rsidR="00C341E8" w:rsidRPr="00A71CB7">
        <w:rPr>
          <w:rFonts w:eastAsia="Arial"/>
          <w:color w:val="auto"/>
          <w:sz w:val="22"/>
          <w:szCs w:val="22"/>
        </w:rPr>
        <w:t>Key Words</w:t>
      </w:r>
      <w:r w:rsidR="00C83E03" w:rsidRPr="00A71CB7">
        <w:rPr>
          <w:rFonts w:eastAsia="Arial"/>
          <w:color w:val="auto"/>
          <w:sz w:val="22"/>
          <w:szCs w:val="22"/>
        </w:rPr>
        <w:t>/Terms</w:t>
      </w:r>
    </w:p>
    <w:p w14:paraId="2EFA3601" w14:textId="2DA2A265" w:rsidR="2B229E13" w:rsidRPr="00A71CB7" w:rsidRDefault="00DB3150" w:rsidP="2B229E13">
      <w:pPr>
        <w:ind w:left="360"/>
        <w:rPr>
          <w:rFonts w:ascii="Arial" w:eastAsia="Arial" w:hAnsi="Arial" w:cs="Arial"/>
          <w:sz w:val="22"/>
          <w:szCs w:val="22"/>
        </w:rPr>
      </w:pPr>
      <w:r w:rsidRPr="00A71CB7">
        <w:rPr>
          <w:rFonts w:ascii="Arial" w:eastAsia="Arial" w:hAnsi="Arial" w:cs="Arial"/>
          <w:sz w:val="22"/>
          <w:szCs w:val="22"/>
        </w:rPr>
        <w:t xml:space="preserve">Added </w:t>
      </w:r>
      <w:r w:rsidR="00C445F7" w:rsidRPr="00A71CB7">
        <w:rPr>
          <w:rFonts w:ascii="Arial" w:eastAsia="Arial" w:hAnsi="Arial" w:cs="Arial"/>
          <w:sz w:val="22"/>
          <w:szCs w:val="22"/>
        </w:rPr>
        <w:t>new terms to the table</w:t>
      </w:r>
      <w:r w:rsidR="004E0533">
        <w:rPr>
          <w:rFonts w:ascii="Arial" w:eastAsia="Arial" w:hAnsi="Arial" w:cs="Arial"/>
          <w:sz w:val="22"/>
          <w:szCs w:val="22"/>
        </w:rPr>
        <w:t>.</w:t>
      </w:r>
    </w:p>
    <w:p w14:paraId="5F9FDE79" w14:textId="77777777" w:rsidR="00C445F7" w:rsidRDefault="00C445F7" w:rsidP="00ED61C7">
      <w:pPr>
        <w:pStyle w:val="Default"/>
        <w:ind w:left="360"/>
        <w:rPr>
          <w:rFonts w:eastAsia="Arial"/>
          <w:i/>
          <w:iCs/>
          <w:color w:val="0070C0"/>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930"/>
      </w:tblGrid>
      <w:tr w:rsidR="00FD27F8" w:rsidRPr="003F6147" w14:paraId="4227BCD9" w14:textId="77777777" w:rsidTr="00544127">
        <w:trPr>
          <w:trHeight w:val="235"/>
          <w:tblHeader/>
        </w:trPr>
        <w:tc>
          <w:tcPr>
            <w:tcW w:w="2430" w:type="dxa"/>
            <w:shd w:val="clear" w:color="auto" w:fill="D9D9D9" w:themeFill="background1" w:themeFillShade="D9"/>
            <w:vAlign w:val="center"/>
          </w:tcPr>
          <w:p w14:paraId="08002583" w14:textId="77777777" w:rsidR="00FD27F8" w:rsidRPr="003F6147" w:rsidRDefault="00FD27F8" w:rsidP="00544127">
            <w:pPr>
              <w:rPr>
                <w:b/>
                <w:bCs/>
              </w:rPr>
            </w:pPr>
            <w:r w:rsidRPr="6DEB75E8">
              <w:rPr>
                <w:b/>
                <w:bCs/>
              </w:rPr>
              <w:t>Word/Term</w:t>
            </w:r>
          </w:p>
        </w:tc>
        <w:tc>
          <w:tcPr>
            <w:tcW w:w="6930" w:type="dxa"/>
            <w:shd w:val="clear" w:color="auto" w:fill="D9D9D9" w:themeFill="background1" w:themeFillShade="D9"/>
            <w:vAlign w:val="center"/>
          </w:tcPr>
          <w:p w14:paraId="08ABCEC3" w14:textId="77777777" w:rsidR="00FD27F8" w:rsidRPr="003F6147" w:rsidRDefault="00FD27F8" w:rsidP="00544127">
            <w:pPr>
              <w:rPr>
                <w:b/>
              </w:rPr>
            </w:pPr>
            <w:r w:rsidRPr="003F6147">
              <w:rPr>
                <w:b/>
              </w:rPr>
              <w:t>Definition</w:t>
            </w:r>
          </w:p>
        </w:tc>
      </w:tr>
      <w:tr w:rsidR="00FD27F8" w:rsidRPr="003F6147" w14:paraId="34C37062" w14:textId="77777777" w:rsidTr="00544127">
        <w:tc>
          <w:tcPr>
            <w:tcW w:w="2430" w:type="dxa"/>
          </w:tcPr>
          <w:p w14:paraId="0984988B" w14:textId="77777777" w:rsidR="00FD27F8" w:rsidRPr="003F6147" w:rsidRDefault="00FD27F8" w:rsidP="00544127">
            <w:pPr>
              <w:jc w:val="both"/>
            </w:pPr>
            <w:r w:rsidRPr="003F6147">
              <w:t>Applicant</w:t>
            </w:r>
          </w:p>
        </w:tc>
        <w:tc>
          <w:tcPr>
            <w:tcW w:w="6930" w:type="dxa"/>
          </w:tcPr>
          <w:p w14:paraId="3EDCB974" w14:textId="77777777" w:rsidR="00FD27F8" w:rsidRPr="003F6147" w:rsidRDefault="00FD27F8" w:rsidP="00544127">
            <w:pPr>
              <w:jc w:val="both"/>
            </w:pPr>
            <w:r w:rsidRPr="003F6147">
              <w:t xml:space="preserve">The entity that </w:t>
            </w:r>
            <w:proofErr w:type="gramStart"/>
            <w:r w:rsidRPr="003F6147">
              <w:t>submits an application</w:t>
            </w:r>
            <w:proofErr w:type="gramEnd"/>
            <w:r w:rsidRPr="003F6147">
              <w:t xml:space="preserve"> to this solicitation</w:t>
            </w:r>
            <w:r>
              <w:t>.</w:t>
            </w:r>
          </w:p>
        </w:tc>
      </w:tr>
      <w:tr w:rsidR="00FD27F8" w:rsidRPr="003F6147" w14:paraId="56C106E1" w14:textId="77777777" w:rsidTr="00544127">
        <w:tc>
          <w:tcPr>
            <w:tcW w:w="2430" w:type="dxa"/>
          </w:tcPr>
          <w:p w14:paraId="48BB1FE4" w14:textId="77777777" w:rsidR="00FD27F8" w:rsidRPr="003F6147" w:rsidRDefault="00FD27F8" w:rsidP="00544127">
            <w:pPr>
              <w:jc w:val="both"/>
            </w:pPr>
            <w:r w:rsidRPr="003F6147">
              <w:t>Application</w:t>
            </w:r>
          </w:p>
        </w:tc>
        <w:tc>
          <w:tcPr>
            <w:tcW w:w="6930" w:type="dxa"/>
          </w:tcPr>
          <w:p w14:paraId="4DC341D2" w14:textId="77777777" w:rsidR="00FD27F8" w:rsidRPr="003F6147" w:rsidRDefault="00FD27F8" w:rsidP="00544127">
            <w:pPr>
              <w:jc w:val="both"/>
            </w:pPr>
            <w:r w:rsidRPr="003F6147">
              <w:t>An applicant’s written response to this solicitation</w:t>
            </w:r>
            <w:r>
              <w:t>.</w:t>
            </w:r>
          </w:p>
        </w:tc>
      </w:tr>
      <w:tr w:rsidR="00FD27F8" w:rsidRPr="003F6147" w14:paraId="7C75FF85" w14:textId="77777777" w:rsidTr="00544127">
        <w:tc>
          <w:tcPr>
            <w:tcW w:w="2430" w:type="dxa"/>
          </w:tcPr>
          <w:p w14:paraId="4631CDAA" w14:textId="77777777" w:rsidR="00FD27F8" w:rsidRPr="003F6147" w:rsidRDefault="00FD27F8" w:rsidP="00544127">
            <w:pPr>
              <w:jc w:val="both"/>
            </w:pPr>
            <w:r>
              <w:t>Authorized Representative</w:t>
            </w:r>
          </w:p>
        </w:tc>
        <w:tc>
          <w:tcPr>
            <w:tcW w:w="6930" w:type="dxa"/>
          </w:tcPr>
          <w:p w14:paraId="7FABCA1F" w14:textId="77777777" w:rsidR="00FD27F8" w:rsidRPr="008964A1" w:rsidRDefault="00FD27F8" w:rsidP="00544127">
            <w:pPr>
              <w:jc w:val="both"/>
            </w:pPr>
            <w:r>
              <w:rPr>
                <w:i/>
              </w:rPr>
              <w:t>Authorized Representative</w:t>
            </w:r>
            <w:r>
              <w:t xml:space="preserve">, the person signing the application form who has authority to enter into an agreement with the CEC. </w:t>
            </w:r>
          </w:p>
        </w:tc>
      </w:tr>
      <w:tr w:rsidR="00FD27F8" w:rsidRPr="003F6147" w14:paraId="46156D31" w14:textId="77777777" w:rsidTr="00544127">
        <w:tc>
          <w:tcPr>
            <w:tcW w:w="2430" w:type="dxa"/>
          </w:tcPr>
          <w:p w14:paraId="55D87FAF" w14:textId="77777777" w:rsidR="00FD27F8" w:rsidRPr="003F6147" w:rsidRDefault="00FD27F8" w:rsidP="00544127">
            <w:pPr>
              <w:jc w:val="both"/>
            </w:pPr>
            <w:r w:rsidRPr="003F6147">
              <w:t>CAM</w:t>
            </w:r>
          </w:p>
        </w:tc>
        <w:tc>
          <w:tcPr>
            <w:tcW w:w="6930" w:type="dxa"/>
          </w:tcPr>
          <w:p w14:paraId="6DA74BD7" w14:textId="77777777" w:rsidR="00FD27F8" w:rsidRPr="003F6147" w:rsidRDefault="00FD27F8" w:rsidP="00544127">
            <w:pPr>
              <w:jc w:val="both"/>
            </w:pPr>
            <w:r w:rsidRPr="003F6147">
              <w:rPr>
                <w:i/>
              </w:rPr>
              <w:t>Commission Agreement Manager,</w:t>
            </w:r>
            <w:r w:rsidRPr="003F6147">
              <w:t xml:space="preserve"> the person designated by the CEC to oversee the performance of an agreement resulting from this solicitation and to serve as the main point of contact for the Recipient</w:t>
            </w:r>
            <w:r>
              <w:t>.</w:t>
            </w:r>
          </w:p>
        </w:tc>
      </w:tr>
      <w:tr w:rsidR="00FD27F8" w:rsidRPr="003F6147" w14:paraId="46ACFCC5" w14:textId="77777777" w:rsidTr="00544127">
        <w:tc>
          <w:tcPr>
            <w:tcW w:w="2430" w:type="dxa"/>
          </w:tcPr>
          <w:p w14:paraId="3F0AD4D5" w14:textId="77777777" w:rsidR="00FD27F8" w:rsidRPr="008C58A9" w:rsidRDefault="00FD27F8" w:rsidP="00544127">
            <w:pPr>
              <w:jc w:val="both"/>
              <w:rPr>
                <w:b/>
                <w:bCs/>
                <w:u w:val="single"/>
              </w:rPr>
            </w:pPr>
            <w:r w:rsidRPr="008C58A9">
              <w:rPr>
                <w:b/>
                <w:bCs/>
                <w:u w:val="single"/>
              </w:rPr>
              <w:t>California Native American Tribe</w:t>
            </w:r>
          </w:p>
        </w:tc>
        <w:tc>
          <w:tcPr>
            <w:tcW w:w="6930" w:type="dxa"/>
          </w:tcPr>
          <w:p w14:paraId="1D93B5AA" w14:textId="77777777" w:rsidR="00FD27F8" w:rsidRPr="008C58A9" w:rsidRDefault="00FD27F8" w:rsidP="00544127">
            <w:pPr>
              <w:jc w:val="both"/>
              <w:rPr>
                <w:b/>
                <w:bCs/>
                <w:i/>
                <w:u w:val="single"/>
              </w:rPr>
            </w:pPr>
            <w:r w:rsidRPr="008C58A9">
              <w:rPr>
                <w:b/>
                <w:bCs/>
                <w:u w:val="single"/>
              </w:rPr>
              <w:t>A Native American Tribe located in California that is on the contact list maintained by the Native American Heritage Commission for the purposes of Chapter 905 of the Statutes of 2004 (Pub. Resources Code, § 21073).</w:t>
            </w:r>
          </w:p>
        </w:tc>
      </w:tr>
      <w:tr w:rsidR="00FD27F8" w:rsidRPr="003F6147" w14:paraId="7CF58A2E" w14:textId="77777777" w:rsidTr="00544127">
        <w:tc>
          <w:tcPr>
            <w:tcW w:w="2430" w:type="dxa"/>
          </w:tcPr>
          <w:p w14:paraId="7569EC60" w14:textId="77777777" w:rsidR="00FD27F8" w:rsidRPr="008C58A9" w:rsidRDefault="00FD27F8" w:rsidP="00544127">
            <w:pPr>
              <w:jc w:val="both"/>
              <w:rPr>
                <w:b/>
                <w:bCs/>
                <w:u w:val="single"/>
              </w:rPr>
            </w:pPr>
            <w:r w:rsidRPr="008C58A9">
              <w:rPr>
                <w:b/>
                <w:bCs/>
                <w:u w:val="single"/>
              </w:rPr>
              <w:t>California Tribal Organization</w:t>
            </w:r>
          </w:p>
        </w:tc>
        <w:tc>
          <w:tcPr>
            <w:tcW w:w="6930" w:type="dxa"/>
          </w:tcPr>
          <w:p w14:paraId="7B9E24C5" w14:textId="77777777" w:rsidR="00FD27F8" w:rsidRPr="008C58A9" w:rsidRDefault="00FD27F8" w:rsidP="00544127">
            <w:pPr>
              <w:jc w:val="both"/>
              <w:rPr>
                <w:b/>
                <w:bCs/>
                <w:i/>
                <w:u w:val="single"/>
              </w:rPr>
            </w:pPr>
            <w:r w:rsidRPr="008C58A9">
              <w:rPr>
                <w:b/>
                <w:bCs/>
                <w:u w:val="single"/>
              </w:rPr>
              <w:t>A corporation, association, or group controlled, sanctioned, or chartered by a California Native American tribe that is subject to its laws, the laws of the State of California, or the laws of the United States.</w:t>
            </w:r>
          </w:p>
        </w:tc>
      </w:tr>
      <w:tr w:rsidR="00FD27F8" w:rsidRPr="003F6147" w14:paraId="60C2441B" w14:textId="77777777" w:rsidTr="00544127">
        <w:tc>
          <w:tcPr>
            <w:tcW w:w="2430" w:type="dxa"/>
          </w:tcPr>
          <w:p w14:paraId="72C30736" w14:textId="77777777" w:rsidR="00FD27F8" w:rsidRPr="003F6147" w:rsidRDefault="00FD27F8" w:rsidP="00544127">
            <w:pPr>
              <w:jc w:val="both"/>
            </w:pPr>
            <w:r w:rsidRPr="003F6147">
              <w:t>CAO</w:t>
            </w:r>
          </w:p>
        </w:tc>
        <w:tc>
          <w:tcPr>
            <w:tcW w:w="6930" w:type="dxa"/>
          </w:tcPr>
          <w:p w14:paraId="3EF8903D" w14:textId="77777777" w:rsidR="00FD27F8" w:rsidRPr="003F6147" w:rsidRDefault="00FD27F8" w:rsidP="00544127">
            <w:pPr>
              <w:jc w:val="both"/>
              <w:rPr>
                <w:i/>
              </w:rPr>
            </w:pPr>
            <w:r w:rsidRPr="003F6147">
              <w:t>Commission Agreement Officer</w:t>
            </w:r>
          </w:p>
        </w:tc>
      </w:tr>
      <w:tr w:rsidR="00FD27F8" w:rsidRPr="003F6147" w14:paraId="0BDD698F" w14:textId="77777777" w:rsidTr="00544127">
        <w:tc>
          <w:tcPr>
            <w:tcW w:w="2430" w:type="dxa"/>
          </w:tcPr>
          <w:p w14:paraId="17BBB8BF" w14:textId="77777777" w:rsidR="00FD27F8" w:rsidRPr="003F6147" w:rsidRDefault="00FD27F8" w:rsidP="00544127">
            <w:pPr>
              <w:jc w:val="both"/>
            </w:pPr>
            <w:r w:rsidRPr="003F6147">
              <w:lastRenderedPageBreak/>
              <w:t>CBO</w:t>
            </w:r>
          </w:p>
        </w:tc>
        <w:tc>
          <w:tcPr>
            <w:tcW w:w="6930" w:type="dxa"/>
          </w:tcPr>
          <w:p w14:paraId="17AB314F" w14:textId="77777777" w:rsidR="00FD27F8" w:rsidRPr="003F6147" w:rsidRDefault="00FD27F8" w:rsidP="00544127">
            <w:pPr>
              <w:spacing w:after="60"/>
              <w:contextualSpacing/>
            </w:pPr>
            <w:r w:rsidRPr="003F6147">
              <w:t xml:space="preserve">Community Based Organization. A public or private nonprofit organization of demonstrated effectiveness that: </w:t>
            </w:r>
          </w:p>
          <w:p w14:paraId="1D8F66D6" w14:textId="77777777" w:rsidR="00FD27F8" w:rsidRPr="003F6147" w:rsidRDefault="00FD27F8" w:rsidP="00FD27F8">
            <w:pPr>
              <w:numPr>
                <w:ilvl w:val="0"/>
                <w:numId w:val="4"/>
              </w:numPr>
              <w:spacing w:after="200"/>
              <w:contextualSpacing/>
            </w:pPr>
            <w:r w:rsidRPr="003F6147">
              <w:t>Has an office in the region (e.g., air basin or county) and meets the demographic profile of the communities they serve</w:t>
            </w:r>
            <w:r>
              <w:t>.</w:t>
            </w:r>
          </w:p>
          <w:p w14:paraId="2168EFFE" w14:textId="77777777" w:rsidR="00FD27F8" w:rsidRPr="003F6147" w:rsidRDefault="00FD27F8" w:rsidP="00FD27F8">
            <w:pPr>
              <w:numPr>
                <w:ilvl w:val="0"/>
                <w:numId w:val="4"/>
              </w:numPr>
              <w:spacing w:after="200"/>
              <w:contextualSpacing/>
            </w:pPr>
            <w:r w:rsidRPr="003F6147">
              <w:t>Has deployed projects and/or outreach efforts within the region (e.g., air basin or county) of the proposed disadvantaged or low-income community.</w:t>
            </w:r>
          </w:p>
          <w:p w14:paraId="51CBAB5B" w14:textId="77777777" w:rsidR="00FD27F8" w:rsidRPr="003F6147" w:rsidRDefault="00FD27F8" w:rsidP="00FD27F8">
            <w:pPr>
              <w:numPr>
                <w:ilvl w:val="0"/>
                <w:numId w:val="4"/>
              </w:numPr>
              <w:spacing w:after="200"/>
              <w:contextualSpacing/>
            </w:pPr>
            <w:r>
              <w:t>Has an</w:t>
            </w:r>
            <w:r w:rsidRPr="003F6147">
              <w:t xml:space="preserve"> official mission and vision statements that expressly identifies serving disadvantaged and/or low-income communities.</w:t>
            </w:r>
          </w:p>
          <w:p w14:paraId="0D7991DC" w14:textId="77777777" w:rsidR="00FD27F8" w:rsidRPr="003F6147" w:rsidRDefault="00FD27F8" w:rsidP="00FD27F8">
            <w:pPr>
              <w:numPr>
                <w:ilvl w:val="0"/>
                <w:numId w:val="4"/>
              </w:numPr>
              <w:spacing w:after="60"/>
              <w:contextualSpacing/>
            </w:pPr>
            <w:r w:rsidRPr="003F6147">
              <w:t>Currently employs staff member(s) who specialized in and are dedicated to – diversity, or equity, or inclusion, or is a 501(c)(3) non-profit.</w:t>
            </w:r>
          </w:p>
        </w:tc>
      </w:tr>
      <w:tr w:rsidR="00FD27F8" w:rsidRPr="003F6147" w14:paraId="15E56407" w14:textId="77777777" w:rsidTr="00544127">
        <w:tc>
          <w:tcPr>
            <w:tcW w:w="2430" w:type="dxa"/>
          </w:tcPr>
          <w:p w14:paraId="4827551C" w14:textId="77777777" w:rsidR="00FD27F8" w:rsidRPr="003F6147" w:rsidRDefault="00FD27F8" w:rsidP="00544127">
            <w:pPr>
              <w:jc w:val="both"/>
            </w:pPr>
            <w:r w:rsidRPr="003F6147">
              <w:t>CEC</w:t>
            </w:r>
          </w:p>
        </w:tc>
        <w:tc>
          <w:tcPr>
            <w:tcW w:w="6930" w:type="dxa"/>
          </w:tcPr>
          <w:p w14:paraId="27F8FBEC" w14:textId="77777777" w:rsidR="00FD27F8" w:rsidRPr="003F6147" w:rsidRDefault="00FD27F8" w:rsidP="00544127">
            <w:pPr>
              <w:spacing w:after="60"/>
              <w:contextualSpacing/>
            </w:pPr>
            <w:r w:rsidRPr="003F6147">
              <w:t xml:space="preserve">State Energy Resources Conservation and Development Commission </w:t>
            </w:r>
            <w:proofErr w:type="gramStart"/>
            <w:r w:rsidRPr="003F6147">
              <w:t>or ,</w:t>
            </w:r>
            <w:proofErr w:type="gramEnd"/>
            <w:r w:rsidRPr="003F6147">
              <w:t xml:space="preserve"> the California Energy Commission</w:t>
            </w:r>
            <w:r>
              <w:t>.</w:t>
            </w:r>
          </w:p>
        </w:tc>
      </w:tr>
      <w:tr w:rsidR="00FD27F8" w:rsidRPr="003F6147" w14:paraId="7AD16D93" w14:textId="77777777" w:rsidTr="00544127">
        <w:tc>
          <w:tcPr>
            <w:tcW w:w="2430" w:type="dxa"/>
          </w:tcPr>
          <w:p w14:paraId="1C3B2B79" w14:textId="77777777" w:rsidR="00FD27F8" w:rsidRPr="003F6147" w:rsidRDefault="00FD27F8" w:rsidP="00544127">
            <w:pPr>
              <w:jc w:val="both"/>
            </w:pPr>
            <w:r w:rsidRPr="003F6147">
              <w:t>CEQA</w:t>
            </w:r>
          </w:p>
        </w:tc>
        <w:tc>
          <w:tcPr>
            <w:tcW w:w="6930" w:type="dxa"/>
          </w:tcPr>
          <w:p w14:paraId="24FF8D03" w14:textId="77777777" w:rsidR="00FD27F8" w:rsidRPr="003F6147" w:rsidRDefault="00FD27F8" w:rsidP="00544127">
            <w:pPr>
              <w:keepNext/>
              <w:jc w:val="both"/>
              <w:outlineLvl w:val="1"/>
            </w:pPr>
            <w:r w:rsidRPr="003F6147">
              <w:t>California Environmental Quality Act, California Public Resources Code Section 21000 et seq.</w:t>
            </w:r>
          </w:p>
        </w:tc>
      </w:tr>
      <w:tr w:rsidR="00FD27F8" w:rsidRPr="003F6147" w14:paraId="4831D738" w14:textId="77777777" w:rsidTr="00544127">
        <w:tc>
          <w:tcPr>
            <w:tcW w:w="2430" w:type="dxa"/>
          </w:tcPr>
          <w:p w14:paraId="4F65972A" w14:textId="77777777" w:rsidR="00FD27F8" w:rsidRPr="003F6147" w:rsidRDefault="00FD27F8" w:rsidP="00544127">
            <w:pPr>
              <w:jc w:val="both"/>
            </w:pPr>
            <w:r w:rsidRPr="003F6147">
              <w:t>Days</w:t>
            </w:r>
          </w:p>
        </w:tc>
        <w:tc>
          <w:tcPr>
            <w:tcW w:w="6930" w:type="dxa"/>
          </w:tcPr>
          <w:p w14:paraId="0764FC5B" w14:textId="77777777" w:rsidR="00FD27F8" w:rsidRPr="003F6147" w:rsidRDefault="00FD27F8" w:rsidP="00544127">
            <w:pPr>
              <w:jc w:val="both"/>
              <w:rPr>
                <w:i/>
              </w:rPr>
            </w:pPr>
            <w:r w:rsidRPr="003F6147">
              <w:rPr>
                <w:i/>
              </w:rPr>
              <w:t>Days refers to calendar days</w:t>
            </w:r>
            <w:r>
              <w:rPr>
                <w:i/>
              </w:rPr>
              <w:t>.</w:t>
            </w:r>
          </w:p>
        </w:tc>
      </w:tr>
      <w:tr w:rsidR="00FD27F8" w:rsidRPr="003F6147" w14:paraId="690961A8" w14:textId="77777777" w:rsidTr="00544127">
        <w:tc>
          <w:tcPr>
            <w:tcW w:w="2430" w:type="dxa"/>
          </w:tcPr>
          <w:p w14:paraId="3B1A66F8" w14:textId="77777777" w:rsidR="00FD27F8" w:rsidRPr="003F6147" w:rsidRDefault="00FD27F8" w:rsidP="00544127">
            <w:pPr>
              <w:jc w:val="both"/>
            </w:pPr>
            <w:r w:rsidRPr="003F6147">
              <w:t>Disadvantaged Community</w:t>
            </w:r>
          </w:p>
        </w:tc>
        <w:tc>
          <w:tcPr>
            <w:tcW w:w="6930" w:type="dxa"/>
          </w:tcPr>
          <w:p w14:paraId="7EED19F2" w14:textId="77777777" w:rsidR="00FD27F8" w:rsidRPr="003F6147" w:rsidRDefault="00FD27F8" w:rsidP="00544127">
            <w:pPr>
              <w:jc w:val="both"/>
            </w:pPr>
            <w:r>
              <w:t xml:space="preserve"> These are communities designated pursuant to Health and Safety Code section 39711 as representing the top 25% scoring census tracts from </w:t>
            </w:r>
            <w:proofErr w:type="spellStart"/>
            <w:r>
              <w:t>CalEnviroScreen</w:t>
            </w:r>
            <w:proofErr w:type="spellEnd"/>
            <w:r>
              <w:t xml:space="preserve"> along with other areas with high amounts of pollution and low populations as identified by the California Environmental Protection Agency. (https://oehha.ca.gov/calenviroscreen/report/calenviroscreen-40)</w:t>
            </w:r>
          </w:p>
        </w:tc>
      </w:tr>
      <w:tr w:rsidR="00FD27F8" w:rsidRPr="003F6147" w14:paraId="72F78A30" w14:textId="77777777" w:rsidTr="00544127">
        <w:tc>
          <w:tcPr>
            <w:tcW w:w="2430" w:type="dxa"/>
          </w:tcPr>
          <w:p w14:paraId="27F456E7" w14:textId="77777777" w:rsidR="00FD27F8" w:rsidRPr="003F6147" w:rsidRDefault="00FD27F8" w:rsidP="00544127">
            <w:pPr>
              <w:jc w:val="both"/>
            </w:pPr>
            <w:r w:rsidRPr="003F6147">
              <w:t>Energy Equity</w:t>
            </w:r>
          </w:p>
        </w:tc>
        <w:tc>
          <w:tcPr>
            <w:tcW w:w="6930" w:type="dxa"/>
          </w:tcPr>
          <w:p w14:paraId="63B6B2D5" w14:textId="77777777" w:rsidR="00FD27F8" w:rsidRPr="003F6147" w:rsidRDefault="00FD27F8" w:rsidP="00544127">
            <w:pPr>
              <w:jc w:val="both"/>
            </w:pPr>
            <w:r w:rsidRPr="003F6147">
              <w:t>The fair distribution of benefits and burdens from energy production and consumption.</w:t>
            </w:r>
          </w:p>
        </w:tc>
      </w:tr>
      <w:tr w:rsidR="00FD27F8" w:rsidRPr="003F6147" w14:paraId="5264B06E" w14:textId="77777777" w:rsidTr="00544127">
        <w:tc>
          <w:tcPr>
            <w:tcW w:w="2430" w:type="dxa"/>
          </w:tcPr>
          <w:p w14:paraId="1D7D5A76" w14:textId="77777777" w:rsidR="00FD27F8" w:rsidRPr="003F6147" w:rsidRDefault="00FD27F8" w:rsidP="00544127">
            <w:pPr>
              <w:jc w:val="both"/>
            </w:pPr>
            <w:r w:rsidRPr="003F6147">
              <w:t>EPIC</w:t>
            </w:r>
          </w:p>
        </w:tc>
        <w:tc>
          <w:tcPr>
            <w:tcW w:w="6930" w:type="dxa"/>
          </w:tcPr>
          <w:p w14:paraId="6D0420A1" w14:textId="77777777" w:rsidR="00FD27F8" w:rsidRPr="003F6147" w:rsidRDefault="00FD27F8" w:rsidP="00544127">
            <w:pPr>
              <w:jc w:val="both"/>
            </w:pPr>
            <w:r w:rsidRPr="003F6147">
              <w:rPr>
                <w:i/>
              </w:rPr>
              <w:t>Electric Program Investment Charge,</w:t>
            </w:r>
            <w:r w:rsidRPr="003F6147">
              <w:t xml:space="preserve"> the source of funding for the projects awarded under this solicitation</w:t>
            </w:r>
            <w:r>
              <w:t>.</w:t>
            </w:r>
          </w:p>
        </w:tc>
      </w:tr>
      <w:tr w:rsidR="00FD27F8" w:rsidRPr="003F6147" w14:paraId="576F1EFD" w14:textId="77777777" w:rsidTr="00544127">
        <w:tc>
          <w:tcPr>
            <w:tcW w:w="2430" w:type="dxa"/>
          </w:tcPr>
          <w:p w14:paraId="7BD1542F" w14:textId="77777777" w:rsidR="00FD27F8" w:rsidRPr="003F6147" w:rsidRDefault="00FD27F8" w:rsidP="00544127">
            <w:pPr>
              <w:jc w:val="both"/>
            </w:pPr>
            <w:r>
              <w:t>FOA</w:t>
            </w:r>
          </w:p>
        </w:tc>
        <w:tc>
          <w:tcPr>
            <w:tcW w:w="6930" w:type="dxa"/>
          </w:tcPr>
          <w:p w14:paraId="28978251" w14:textId="77777777" w:rsidR="00FD27F8" w:rsidRPr="00544F0F" w:rsidRDefault="00FD27F8" w:rsidP="00544127">
            <w:pPr>
              <w:jc w:val="both"/>
            </w:pPr>
            <w:r>
              <w:rPr>
                <w:iCs/>
              </w:rPr>
              <w:t>Funding Opportunity Announcement.</w:t>
            </w:r>
          </w:p>
        </w:tc>
      </w:tr>
      <w:tr w:rsidR="00FD27F8" w:rsidRPr="003F6147" w14:paraId="7EFCEE3A" w14:textId="77777777" w:rsidTr="00544127">
        <w:tc>
          <w:tcPr>
            <w:tcW w:w="2430" w:type="dxa"/>
          </w:tcPr>
          <w:p w14:paraId="5D04A746" w14:textId="77777777" w:rsidR="00FD27F8" w:rsidRPr="003F6147" w:rsidRDefault="00FD27F8" w:rsidP="00544127">
            <w:pPr>
              <w:jc w:val="both"/>
            </w:pPr>
            <w:r w:rsidRPr="003F6147">
              <w:t>IOU</w:t>
            </w:r>
          </w:p>
        </w:tc>
        <w:tc>
          <w:tcPr>
            <w:tcW w:w="6930" w:type="dxa"/>
          </w:tcPr>
          <w:p w14:paraId="169220B1" w14:textId="77777777" w:rsidR="00FD27F8" w:rsidRPr="003F6147" w:rsidRDefault="00FD27F8" w:rsidP="00544127">
            <w:pPr>
              <w:jc w:val="both"/>
            </w:pPr>
            <w:r w:rsidRPr="003F6147">
              <w:rPr>
                <w:i/>
              </w:rPr>
              <w:t>Investor-owned utility,</w:t>
            </w:r>
            <w:r w:rsidRPr="003F6147">
              <w:t xml:space="preserve"> an electrical corporation as defined in in California Public Utilities Code section 218. For purposes of this EPIC solicitation, it includes Pacific Gas and Electric Co., San Diego Gas and Electric Co., and Southern California Edison Co.</w:t>
            </w:r>
          </w:p>
        </w:tc>
      </w:tr>
      <w:tr w:rsidR="00FD27F8" w:rsidRPr="003F6147" w14:paraId="32AA5BB7" w14:textId="77777777" w:rsidTr="00544127">
        <w:tc>
          <w:tcPr>
            <w:tcW w:w="2430" w:type="dxa"/>
          </w:tcPr>
          <w:p w14:paraId="484C35A9" w14:textId="77777777" w:rsidR="00FD27F8" w:rsidRPr="003F6147" w:rsidRDefault="00FD27F8" w:rsidP="00544127">
            <w:r w:rsidRPr="003F6147">
              <w:t>Low Income Community</w:t>
            </w:r>
          </w:p>
        </w:tc>
        <w:tc>
          <w:tcPr>
            <w:tcW w:w="6930" w:type="dxa"/>
          </w:tcPr>
          <w:p w14:paraId="2EB36159" w14:textId="77777777" w:rsidR="00FD27F8" w:rsidRPr="003F6147" w:rsidRDefault="00FD27F8" w:rsidP="00544127">
            <w:pPr>
              <w:shd w:val="clear" w:color="auto" w:fill="FFFFFF"/>
              <w:spacing w:after="60"/>
              <w:jc w:val="both"/>
              <w:textAlignment w:val="baseline"/>
            </w:pPr>
            <w:r w:rsidRPr="003A0A6F">
              <w:rPr>
                <w:i/>
              </w:rPr>
              <w:t>Low-income Communities</w:t>
            </w:r>
            <w:r w:rsidRPr="00960D30">
              <w:t xml:space="preserve"> are defined as communities within census tracts with median household incomes at or below 80 percent of the statewide median income or the applicable low-income threshold listed in the state income limits updated by the Department of Housing and Community Development.  </w:t>
            </w:r>
            <w:r>
              <w:lastRenderedPageBreak/>
              <w:t>(</w:t>
            </w:r>
            <w:r w:rsidRPr="003A0A6F">
              <w:t>https://www.hcd.ca.gov/grants-funding/income-limits/state-and-federal-income-limits.shtml</w:t>
            </w:r>
            <w:r>
              <w:t xml:space="preserve">) </w:t>
            </w:r>
          </w:p>
        </w:tc>
      </w:tr>
      <w:tr w:rsidR="00FD27F8" w:rsidRPr="008C58A9" w14:paraId="039ABE38" w14:textId="77777777" w:rsidTr="00544127">
        <w:tc>
          <w:tcPr>
            <w:tcW w:w="2430" w:type="dxa"/>
          </w:tcPr>
          <w:p w14:paraId="4C8D40CA" w14:textId="77777777" w:rsidR="00FD27F8" w:rsidRPr="008C58A9" w:rsidRDefault="00FD27F8" w:rsidP="00544127">
            <w:pPr>
              <w:rPr>
                <w:b/>
                <w:bCs/>
                <w:u w:val="single"/>
              </w:rPr>
            </w:pPr>
            <w:r w:rsidRPr="008C58A9">
              <w:rPr>
                <w:b/>
                <w:bCs/>
                <w:u w:val="single"/>
              </w:rPr>
              <w:lastRenderedPageBreak/>
              <w:t xml:space="preserve">Major Subrecipient </w:t>
            </w:r>
          </w:p>
        </w:tc>
        <w:tc>
          <w:tcPr>
            <w:tcW w:w="6930" w:type="dxa"/>
          </w:tcPr>
          <w:p w14:paraId="61FB5FE5" w14:textId="77777777" w:rsidR="00FD27F8" w:rsidRPr="008C58A9" w:rsidRDefault="00FD27F8" w:rsidP="00544127">
            <w:pPr>
              <w:shd w:val="clear" w:color="auto" w:fill="FFFFFF"/>
              <w:spacing w:after="60"/>
              <w:jc w:val="both"/>
              <w:textAlignment w:val="baseline"/>
              <w:rPr>
                <w:b/>
                <w:bCs/>
                <w:i/>
                <w:u w:val="single"/>
              </w:rPr>
            </w:pPr>
            <w:r w:rsidRPr="008C58A9">
              <w:rPr>
                <w:b/>
                <w:bCs/>
                <w:u w:val="single"/>
              </w:rPr>
              <w:t xml:space="preserve">A Subrecipient that is budgeted to receive $100,000 or more of CEC funds, not including any equipment or match funds that may be provide by the Subrecipient.  </w:t>
            </w:r>
          </w:p>
        </w:tc>
      </w:tr>
      <w:tr w:rsidR="00FD27F8" w:rsidRPr="003F6147" w14:paraId="59248D8D" w14:textId="77777777" w:rsidTr="00544127">
        <w:tc>
          <w:tcPr>
            <w:tcW w:w="2430" w:type="dxa"/>
          </w:tcPr>
          <w:p w14:paraId="62801EA4" w14:textId="77777777" w:rsidR="00FD27F8" w:rsidRPr="003F6147" w:rsidRDefault="00FD27F8" w:rsidP="00544127">
            <w:pPr>
              <w:jc w:val="both"/>
            </w:pPr>
            <w:r w:rsidRPr="003F6147">
              <w:t>NOPA</w:t>
            </w:r>
          </w:p>
        </w:tc>
        <w:tc>
          <w:tcPr>
            <w:tcW w:w="6930" w:type="dxa"/>
          </w:tcPr>
          <w:p w14:paraId="68247189" w14:textId="77777777" w:rsidR="00FD27F8" w:rsidRPr="003F6147" w:rsidRDefault="00FD27F8" w:rsidP="00544127">
            <w:pPr>
              <w:jc w:val="both"/>
            </w:pPr>
            <w:r w:rsidRPr="003F6147">
              <w:rPr>
                <w:i/>
              </w:rPr>
              <w:t>Notice of Proposed Award,</w:t>
            </w:r>
            <w:r w:rsidRPr="003F6147">
              <w:t xml:space="preserve"> a public notice by the CEC that identifies award recipients</w:t>
            </w:r>
            <w:r>
              <w:t>.</w:t>
            </w:r>
          </w:p>
        </w:tc>
      </w:tr>
      <w:tr w:rsidR="00FD27F8" w:rsidRPr="003F6147" w14:paraId="56FEA863" w14:textId="77777777" w:rsidTr="00544127">
        <w:tc>
          <w:tcPr>
            <w:tcW w:w="2430" w:type="dxa"/>
          </w:tcPr>
          <w:p w14:paraId="6A5752EE" w14:textId="77777777" w:rsidR="00FD27F8" w:rsidRPr="003F6147" w:rsidRDefault="00FD27F8" w:rsidP="00544127">
            <w:pPr>
              <w:jc w:val="both"/>
            </w:pPr>
            <w:r w:rsidRPr="003F6147">
              <w:t>Pre-Commercial</w:t>
            </w:r>
            <w:r>
              <w:t xml:space="preserve"> Technology</w:t>
            </w:r>
          </w:p>
        </w:tc>
        <w:tc>
          <w:tcPr>
            <w:tcW w:w="6930" w:type="dxa"/>
          </w:tcPr>
          <w:p w14:paraId="33156634" w14:textId="77777777" w:rsidR="00FD27F8" w:rsidRPr="003F6147" w:rsidRDefault="00FD27F8" w:rsidP="00544127">
            <w:pPr>
              <w:spacing w:before="100" w:beforeAutospacing="1" w:after="100" w:afterAutospacing="1"/>
            </w:pPr>
            <w:r w:rsidRPr="003F6147">
              <w:rPr>
                <w:i/>
              </w:rPr>
              <w:t>Pre-commercial Technology</w:t>
            </w:r>
            <w:r w:rsidRPr="003F6147">
              <w:t xml:space="preserve"> means 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FD27F8" w:rsidRPr="003F6147" w14:paraId="51C69546" w14:textId="77777777" w:rsidTr="00544127">
        <w:tc>
          <w:tcPr>
            <w:tcW w:w="2430" w:type="dxa"/>
          </w:tcPr>
          <w:p w14:paraId="028ED375" w14:textId="77777777" w:rsidR="00FD27F8" w:rsidRPr="003F6147" w:rsidRDefault="00FD27F8" w:rsidP="00544127">
            <w:pPr>
              <w:jc w:val="both"/>
            </w:pPr>
            <w:r w:rsidRPr="003F6147">
              <w:t>Pilot Test</w:t>
            </w:r>
          </w:p>
        </w:tc>
        <w:tc>
          <w:tcPr>
            <w:tcW w:w="6930" w:type="dxa"/>
          </w:tcPr>
          <w:p w14:paraId="3C52DBC9" w14:textId="77777777" w:rsidR="00FD27F8" w:rsidRPr="003F6147" w:rsidRDefault="00FD27F8" w:rsidP="00544127">
            <w:pPr>
              <w:spacing w:before="100" w:beforeAutospacing="1" w:after="100" w:afterAutospacing="1"/>
            </w:pPr>
            <w:r w:rsidRPr="003F6147">
              <w:rPr>
                <w:i/>
              </w:rPr>
              <w:t>Pilot test</w:t>
            </w:r>
            <w:r w:rsidRPr="003F6147">
              <w:t xml:space="preserve"> means small scale testing in the laboratory or testing on a small portion of the production line of the affected industry. </w:t>
            </w:r>
            <w:proofErr w:type="gramStart"/>
            <w:r w:rsidRPr="003F6147">
              <w:t>Pilot  tests</w:t>
            </w:r>
            <w:proofErr w:type="gramEnd"/>
            <w:r w:rsidRPr="003F6147">
              <w:t xml:space="preserve"> help to verify the design and validity of an approach, and adjustments can be made at this stage before full-scale demonstrations</w:t>
            </w:r>
          </w:p>
        </w:tc>
      </w:tr>
      <w:tr w:rsidR="00FD27F8" w:rsidRPr="003F6147" w14:paraId="6052D3A0" w14:textId="77777777" w:rsidTr="00544127">
        <w:tc>
          <w:tcPr>
            <w:tcW w:w="2430" w:type="dxa"/>
          </w:tcPr>
          <w:p w14:paraId="4A597472" w14:textId="77777777" w:rsidR="00FD27F8" w:rsidRPr="003F6147" w:rsidRDefault="00FD27F8" w:rsidP="00544127">
            <w:pPr>
              <w:jc w:val="both"/>
            </w:pPr>
            <w:r w:rsidRPr="003F6147">
              <w:t>Principal Investigator</w:t>
            </w:r>
          </w:p>
        </w:tc>
        <w:tc>
          <w:tcPr>
            <w:tcW w:w="6930" w:type="dxa"/>
          </w:tcPr>
          <w:p w14:paraId="64D52755" w14:textId="77777777" w:rsidR="00FD27F8" w:rsidRPr="003F6147" w:rsidRDefault="00FD27F8" w:rsidP="00544127">
            <w:pPr>
              <w:spacing w:before="100" w:beforeAutospacing="1" w:after="100" w:afterAutospacing="1"/>
              <w:rPr>
                <w:rFonts w:cs="Times New Roman"/>
              </w:rPr>
            </w:pPr>
            <w:r w:rsidRPr="003F6147">
              <w:t>The technical lead for the applicant’s project, who is responsible for overseeing the project; in some instances, the Principal Investigator and Project Manager may be the same person</w:t>
            </w:r>
            <w:r>
              <w:t>.</w:t>
            </w:r>
            <w:r w:rsidRPr="003F6147">
              <w:t xml:space="preserve">  </w:t>
            </w:r>
          </w:p>
        </w:tc>
      </w:tr>
      <w:tr w:rsidR="00FD27F8" w:rsidRPr="003F6147" w14:paraId="3E09A4A8" w14:textId="77777777" w:rsidTr="00544127">
        <w:tc>
          <w:tcPr>
            <w:tcW w:w="2430" w:type="dxa"/>
          </w:tcPr>
          <w:p w14:paraId="648D829B" w14:textId="77777777" w:rsidR="00FD27F8" w:rsidRPr="003F6147" w:rsidRDefault="00FD27F8" w:rsidP="00544127">
            <w:pPr>
              <w:jc w:val="both"/>
            </w:pPr>
            <w:r w:rsidRPr="003F6147">
              <w:t>Project Manager</w:t>
            </w:r>
          </w:p>
        </w:tc>
        <w:tc>
          <w:tcPr>
            <w:tcW w:w="6930" w:type="dxa"/>
          </w:tcPr>
          <w:p w14:paraId="23D85A37" w14:textId="77777777" w:rsidR="00FD27F8" w:rsidRPr="003F6147" w:rsidRDefault="00FD27F8" w:rsidP="00544127">
            <w:pPr>
              <w:jc w:val="both"/>
            </w:pPr>
            <w:r w:rsidRPr="003F6147">
              <w:t>The person designated by the applicant to oversee the project and to serve as the main point of contact for the CEC</w:t>
            </w:r>
            <w:r>
              <w:t>.</w:t>
            </w:r>
          </w:p>
        </w:tc>
      </w:tr>
      <w:tr w:rsidR="00FD27F8" w:rsidRPr="003F6147" w14:paraId="7E44D820" w14:textId="77777777" w:rsidTr="00544127">
        <w:tc>
          <w:tcPr>
            <w:tcW w:w="2430" w:type="dxa"/>
          </w:tcPr>
          <w:p w14:paraId="12FE8F1C" w14:textId="77777777" w:rsidR="00FD27F8" w:rsidRPr="003F6147" w:rsidRDefault="00FD27F8" w:rsidP="00544127">
            <w:pPr>
              <w:jc w:val="both"/>
            </w:pPr>
            <w:r w:rsidRPr="003F6147">
              <w:t>Project Partner</w:t>
            </w:r>
          </w:p>
        </w:tc>
        <w:tc>
          <w:tcPr>
            <w:tcW w:w="6930" w:type="dxa"/>
          </w:tcPr>
          <w:p w14:paraId="4AC4E2FD" w14:textId="77777777" w:rsidR="00FD27F8" w:rsidRPr="003F6147" w:rsidRDefault="00FD27F8" w:rsidP="00544127">
            <w:pPr>
              <w:jc w:val="both"/>
            </w:pPr>
            <w:r w:rsidRPr="003F6147">
              <w:t>An entity or individual that contributes financially or otherwise to the project (e.g., match funding, provision of a test, demonstration or deployment site), and does not receive CEC funds</w:t>
            </w:r>
            <w:r>
              <w:t>.</w:t>
            </w:r>
            <w:r w:rsidRPr="003F6147">
              <w:t xml:space="preserve"> </w:t>
            </w:r>
          </w:p>
        </w:tc>
      </w:tr>
      <w:tr w:rsidR="00FD27F8" w:rsidRPr="003F6147" w14:paraId="68AAF103" w14:textId="77777777" w:rsidTr="00544127">
        <w:tc>
          <w:tcPr>
            <w:tcW w:w="2430" w:type="dxa"/>
          </w:tcPr>
          <w:p w14:paraId="32244A1F" w14:textId="77777777" w:rsidR="00FD27F8" w:rsidRPr="003F6147" w:rsidRDefault="00FD27F8" w:rsidP="00544127">
            <w:pPr>
              <w:jc w:val="both"/>
            </w:pPr>
            <w:r w:rsidRPr="003F6147">
              <w:t>Recipient</w:t>
            </w:r>
          </w:p>
        </w:tc>
        <w:tc>
          <w:tcPr>
            <w:tcW w:w="6930" w:type="dxa"/>
          </w:tcPr>
          <w:p w14:paraId="353C62E6" w14:textId="77777777" w:rsidR="00FD27F8" w:rsidRPr="003F6147" w:rsidRDefault="00FD27F8" w:rsidP="00544127">
            <w:pPr>
              <w:jc w:val="both"/>
            </w:pPr>
            <w:r w:rsidRPr="003F6147">
              <w:t xml:space="preserve"> An entity receiving an award under this solicitation</w:t>
            </w:r>
            <w:r>
              <w:t>.</w:t>
            </w:r>
          </w:p>
        </w:tc>
      </w:tr>
      <w:tr w:rsidR="00FD27F8" w:rsidRPr="003F6147" w14:paraId="21053BC9" w14:textId="77777777" w:rsidTr="00544127">
        <w:tc>
          <w:tcPr>
            <w:tcW w:w="2430" w:type="dxa"/>
          </w:tcPr>
          <w:p w14:paraId="00ECE9AB" w14:textId="77777777" w:rsidR="00FD27F8" w:rsidRPr="003F6147" w:rsidRDefault="00FD27F8" w:rsidP="00544127">
            <w:pPr>
              <w:jc w:val="both"/>
            </w:pPr>
            <w:r w:rsidRPr="003F6147">
              <w:t>Solicitation</w:t>
            </w:r>
          </w:p>
        </w:tc>
        <w:tc>
          <w:tcPr>
            <w:tcW w:w="6930" w:type="dxa"/>
          </w:tcPr>
          <w:p w14:paraId="1BCCF5FA" w14:textId="77777777" w:rsidR="00FD27F8" w:rsidRPr="003F6147" w:rsidRDefault="00FD27F8" w:rsidP="00544127">
            <w:pPr>
              <w:jc w:val="both"/>
            </w:pPr>
            <w:r w:rsidRPr="003F6147">
              <w:t>This entire document, including all attachments, exhibits, any addendum and written notices, and questions and answers</w:t>
            </w:r>
            <w:proofErr w:type="gramStart"/>
            <w:r w:rsidRPr="003F6147">
              <w:t xml:space="preserve">   (</w:t>
            </w:r>
            <w:proofErr w:type="gramEnd"/>
            <w:r w:rsidRPr="003F6147">
              <w:t>“solicitation” may be used interchangeably with “Grant Funding Opportunity”)</w:t>
            </w:r>
            <w:r>
              <w:t>.</w:t>
            </w:r>
            <w:r w:rsidRPr="003F6147">
              <w:t xml:space="preserve"> </w:t>
            </w:r>
          </w:p>
        </w:tc>
      </w:tr>
      <w:tr w:rsidR="00FD27F8" w:rsidRPr="00544127" w14:paraId="398BDEF3" w14:textId="77777777" w:rsidTr="00544127">
        <w:tc>
          <w:tcPr>
            <w:tcW w:w="2430" w:type="dxa"/>
          </w:tcPr>
          <w:p w14:paraId="60D34354" w14:textId="77777777" w:rsidR="00FD27F8" w:rsidRPr="00544127" w:rsidRDefault="00FD27F8" w:rsidP="00544127">
            <w:pPr>
              <w:jc w:val="both"/>
              <w:rPr>
                <w:b/>
                <w:bCs/>
                <w:u w:val="single"/>
              </w:rPr>
            </w:pPr>
            <w:r w:rsidRPr="00544127">
              <w:rPr>
                <w:b/>
                <w:bCs/>
                <w:u w:val="single"/>
              </w:rPr>
              <w:t xml:space="preserve">Subrecipient  </w:t>
            </w:r>
          </w:p>
        </w:tc>
        <w:tc>
          <w:tcPr>
            <w:tcW w:w="6930" w:type="dxa"/>
          </w:tcPr>
          <w:p w14:paraId="23CAE3A4" w14:textId="77777777" w:rsidR="00FD27F8" w:rsidRPr="00544127" w:rsidRDefault="00FD27F8" w:rsidP="00544127">
            <w:pPr>
              <w:jc w:val="both"/>
              <w:rPr>
                <w:b/>
                <w:bCs/>
                <w:u w:val="single"/>
              </w:rPr>
            </w:pPr>
            <w:r w:rsidRPr="00544127">
              <w:rPr>
                <w:b/>
                <w:bCs/>
                <w:u w:val="single"/>
              </w:rPr>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FD27F8" w:rsidRPr="00544127" w14:paraId="17CA6AE4" w14:textId="77777777" w:rsidTr="00544127">
        <w:tc>
          <w:tcPr>
            <w:tcW w:w="2430" w:type="dxa"/>
          </w:tcPr>
          <w:p w14:paraId="45F4D7FC" w14:textId="77777777" w:rsidR="00FD27F8" w:rsidRPr="00544127" w:rsidRDefault="00FD27F8" w:rsidP="00544127">
            <w:pPr>
              <w:jc w:val="both"/>
              <w:rPr>
                <w:b/>
                <w:bCs/>
                <w:u w:val="single"/>
              </w:rPr>
            </w:pPr>
            <w:r w:rsidRPr="00544127">
              <w:rPr>
                <w:b/>
                <w:bCs/>
                <w:u w:val="single"/>
              </w:rPr>
              <w:t>Sub-Subrecipient</w:t>
            </w:r>
          </w:p>
        </w:tc>
        <w:tc>
          <w:tcPr>
            <w:tcW w:w="6930" w:type="dxa"/>
          </w:tcPr>
          <w:p w14:paraId="5D0EB1DE" w14:textId="77777777" w:rsidR="00FD27F8" w:rsidRPr="00544127" w:rsidRDefault="00FD27F8" w:rsidP="00544127">
            <w:pPr>
              <w:jc w:val="both"/>
              <w:rPr>
                <w:b/>
                <w:bCs/>
                <w:u w:val="single"/>
              </w:rPr>
            </w:pPr>
            <w:r w:rsidRPr="00544127">
              <w:rPr>
                <w:b/>
                <w:bCs/>
                <w:u w:val="single"/>
              </w:rPr>
              <w:t>Has the same meaning as a Subrecipient except that it receives grant funds from a Subrecipient or any lower tier level of a Sub-Subrecipient.</w:t>
            </w:r>
          </w:p>
        </w:tc>
      </w:tr>
      <w:tr w:rsidR="00FD27F8" w:rsidRPr="003F6147" w14:paraId="4ABF7B6B" w14:textId="77777777" w:rsidTr="00544127">
        <w:tc>
          <w:tcPr>
            <w:tcW w:w="2430" w:type="dxa"/>
          </w:tcPr>
          <w:p w14:paraId="4B736D1E" w14:textId="77777777" w:rsidR="00FD27F8" w:rsidRPr="003F6147" w:rsidRDefault="00FD27F8" w:rsidP="00544127">
            <w:pPr>
              <w:jc w:val="both"/>
            </w:pPr>
            <w:r w:rsidRPr="003F6147">
              <w:t>State</w:t>
            </w:r>
          </w:p>
        </w:tc>
        <w:tc>
          <w:tcPr>
            <w:tcW w:w="6930" w:type="dxa"/>
          </w:tcPr>
          <w:p w14:paraId="262DEBE5" w14:textId="77777777" w:rsidR="00FD27F8" w:rsidRPr="003F6147" w:rsidRDefault="00FD27F8" w:rsidP="00544127">
            <w:pPr>
              <w:jc w:val="both"/>
            </w:pPr>
            <w:r w:rsidRPr="003F6147">
              <w:t>State of California</w:t>
            </w:r>
          </w:p>
        </w:tc>
      </w:tr>
      <w:tr w:rsidR="00FD27F8" w:rsidRPr="003F6147" w14:paraId="2FB92A47" w14:textId="77777777" w:rsidTr="00544127">
        <w:tc>
          <w:tcPr>
            <w:tcW w:w="2430" w:type="dxa"/>
          </w:tcPr>
          <w:p w14:paraId="2EEE9FCC" w14:textId="77777777" w:rsidR="00FD27F8" w:rsidRPr="003F6147" w:rsidRDefault="00FD27F8" w:rsidP="00544127">
            <w:pPr>
              <w:jc w:val="both"/>
            </w:pPr>
            <w:r>
              <w:lastRenderedPageBreak/>
              <w:t>TRL</w:t>
            </w:r>
          </w:p>
        </w:tc>
        <w:tc>
          <w:tcPr>
            <w:tcW w:w="6930" w:type="dxa"/>
          </w:tcPr>
          <w:p w14:paraId="13752C7B" w14:textId="77777777" w:rsidR="00FD27F8" w:rsidRPr="007076F1" w:rsidRDefault="00FD27F8" w:rsidP="00544127">
            <w:pPr>
              <w:rPr>
                <w:szCs w:val="22"/>
              </w:rPr>
            </w:pPr>
            <w:proofErr w:type="gramStart"/>
            <w:r w:rsidRPr="007076F1">
              <w:rPr>
                <w:szCs w:val="22"/>
              </w:rPr>
              <w:t>Technology readiness levels,</w:t>
            </w:r>
            <w:proofErr w:type="gramEnd"/>
            <w:r w:rsidRPr="007076F1">
              <w:rPr>
                <w:szCs w:val="22"/>
              </w:rPr>
              <w:t xml:space="preserve"> are a method for estimating the maturity of technologies during the acquisition phase of a program.</w:t>
            </w:r>
          </w:p>
          <w:p w14:paraId="11381638" w14:textId="77777777" w:rsidR="00FD27F8" w:rsidRPr="003F6147" w:rsidRDefault="00FD27F8" w:rsidP="00544127">
            <w:pPr>
              <w:jc w:val="both"/>
            </w:pPr>
            <w:r w:rsidRPr="007076F1">
              <w:rPr>
                <w:szCs w:val="22"/>
              </w:rPr>
              <w:t xml:space="preserve">Source: U.S. Department of Energy, “Technology Readiness Assessment Guide”. </w:t>
            </w:r>
            <w:hyperlink r:id="rId11" w:history="1">
              <w:r w:rsidRPr="007076F1">
                <w:rPr>
                  <w:rStyle w:val="Hyperlink"/>
                  <w:rFonts w:cs="Arial"/>
                  <w:szCs w:val="22"/>
                </w:rPr>
                <w:t>https://www2.lbl.gov/dir/assets/docs/TRL%20guide.pdf</w:t>
              </w:r>
            </w:hyperlink>
          </w:p>
        </w:tc>
      </w:tr>
      <w:tr w:rsidR="00FD27F8" w:rsidRPr="00544127" w14:paraId="364E4035" w14:textId="77777777" w:rsidTr="00544127">
        <w:tc>
          <w:tcPr>
            <w:tcW w:w="2430" w:type="dxa"/>
          </w:tcPr>
          <w:p w14:paraId="6D97A7A7" w14:textId="77777777" w:rsidR="00FD27F8" w:rsidRPr="00544127" w:rsidRDefault="00FD27F8" w:rsidP="00544127">
            <w:pPr>
              <w:jc w:val="both"/>
              <w:rPr>
                <w:b/>
                <w:bCs/>
                <w:u w:val="single"/>
              </w:rPr>
            </w:pPr>
            <w:r w:rsidRPr="00544127">
              <w:rPr>
                <w:b/>
                <w:bCs/>
                <w:u w:val="single"/>
              </w:rPr>
              <w:t>Vendor</w:t>
            </w:r>
          </w:p>
        </w:tc>
        <w:tc>
          <w:tcPr>
            <w:tcW w:w="6930" w:type="dxa"/>
          </w:tcPr>
          <w:p w14:paraId="6E07A4E8" w14:textId="77777777" w:rsidR="00FD27F8" w:rsidRPr="00544127" w:rsidRDefault="00FD27F8" w:rsidP="00544127">
            <w:pPr>
              <w:rPr>
                <w:b/>
                <w:bCs/>
                <w:szCs w:val="22"/>
                <w:u w:val="single"/>
              </w:rPr>
            </w:pPr>
            <w:r w:rsidRPr="00544127">
              <w:rPr>
                <w:b/>
                <w:bCs/>
                <w:u w:val="single"/>
              </w:rPr>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bl>
    <w:p w14:paraId="001D956E" w14:textId="5AA7A62B" w:rsidR="00ED61C7" w:rsidRDefault="00ED61C7" w:rsidP="00AF4AB8">
      <w:pPr>
        <w:pStyle w:val="Default"/>
        <w:rPr>
          <w:rFonts w:eastAsia="Arial"/>
          <w:color w:val="0070C0"/>
          <w:sz w:val="22"/>
          <w:szCs w:val="22"/>
        </w:rPr>
      </w:pPr>
    </w:p>
    <w:p w14:paraId="0D554270" w14:textId="77777777" w:rsidR="00ED61C7" w:rsidRDefault="00ED61C7" w:rsidP="2B229E13">
      <w:pPr>
        <w:ind w:left="360"/>
        <w:rPr>
          <w:rFonts w:ascii="Arial" w:eastAsia="Arial" w:hAnsi="Arial" w:cs="Arial"/>
          <w:color w:val="000000" w:themeColor="text1"/>
          <w:sz w:val="22"/>
          <w:szCs w:val="22"/>
        </w:rPr>
      </w:pPr>
    </w:p>
    <w:p w14:paraId="10954F9E" w14:textId="77777777" w:rsidR="000A5093" w:rsidRPr="00314903" w:rsidRDefault="000A5093" w:rsidP="000A5093">
      <w:pPr>
        <w:pStyle w:val="Default"/>
        <w:rPr>
          <w:rFonts w:eastAsia="Arial"/>
          <w:color w:val="auto"/>
          <w:sz w:val="22"/>
          <w:szCs w:val="22"/>
        </w:rPr>
      </w:pPr>
      <w:r w:rsidRPr="00314903">
        <w:rPr>
          <w:rFonts w:eastAsia="Arial"/>
          <w:b/>
          <w:bCs/>
          <w:color w:val="auto"/>
          <w:sz w:val="22"/>
          <w:szCs w:val="22"/>
        </w:rPr>
        <w:t>Section I</w:t>
      </w:r>
    </w:p>
    <w:p w14:paraId="4B1C17AD" w14:textId="77777777" w:rsidR="000A5093" w:rsidRPr="00314903" w:rsidRDefault="000A5093" w:rsidP="000A5093">
      <w:pPr>
        <w:rPr>
          <w:rFonts w:ascii="Arial" w:eastAsia="Arial" w:hAnsi="Arial" w:cs="Arial"/>
          <w:sz w:val="22"/>
          <w:szCs w:val="22"/>
        </w:rPr>
      </w:pPr>
    </w:p>
    <w:p w14:paraId="0FC52B7D" w14:textId="429ABDC6" w:rsidR="000A5093" w:rsidRDefault="000A5093" w:rsidP="000A5093">
      <w:pPr>
        <w:pStyle w:val="Default"/>
        <w:numPr>
          <w:ilvl w:val="0"/>
          <w:numId w:val="2"/>
        </w:numPr>
        <w:rPr>
          <w:rFonts w:eastAsia="Arial"/>
          <w:color w:val="auto"/>
          <w:sz w:val="22"/>
          <w:szCs w:val="22"/>
        </w:rPr>
      </w:pPr>
      <w:r w:rsidRPr="00314903">
        <w:rPr>
          <w:rFonts w:eastAsia="Arial"/>
          <w:color w:val="auto"/>
          <w:sz w:val="22"/>
          <w:szCs w:val="22"/>
        </w:rPr>
        <w:t>Page #</w:t>
      </w:r>
      <w:r w:rsidR="00674098" w:rsidRPr="00314903">
        <w:rPr>
          <w:rFonts w:eastAsia="Arial"/>
          <w:color w:val="auto"/>
          <w:sz w:val="22"/>
          <w:szCs w:val="22"/>
        </w:rPr>
        <w:t>7</w:t>
      </w:r>
      <w:r w:rsidRPr="00314903">
        <w:rPr>
          <w:rFonts w:eastAsia="Arial"/>
          <w:color w:val="auto"/>
          <w:sz w:val="22"/>
          <w:szCs w:val="22"/>
        </w:rPr>
        <w:t xml:space="preserve">, Section </w:t>
      </w:r>
      <w:r w:rsidR="00674098" w:rsidRPr="00314903">
        <w:rPr>
          <w:rFonts w:eastAsia="Arial"/>
          <w:color w:val="auto"/>
          <w:sz w:val="22"/>
          <w:szCs w:val="22"/>
        </w:rPr>
        <w:t>D</w:t>
      </w:r>
      <w:r w:rsidRPr="00314903">
        <w:rPr>
          <w:rFonts w:eastAsia="Arial"/>
          <w:color w:val="auto"/>
          <w:sz w:val="22"/>
          <w:szCs w:val="22"/>
        </w:rPr>
        <w:t xml:space="preserve">. </w:t>
      </w:r>
      <w:r w:rsidR="00674098" w:rsidRPr="00314903">
        <w:rPr>
          <w:rFonts w:eastAsia="Arial"/>
          <w:color w:val="auto"/>
          <w:sz w:val="22"/>
          <w:szCs w:val="22"/>
        </w:rPr>
        <w:t>Funding</w:t>
      </w:r>
    </w:p>
    <w:p w14:paraId="50683D63" w14:textId="2E041ED4" w:rsidR="003229E2" w:rsidRPr="00314903" w:rsidRDefault="003229E2" w:rsidP="003229E2">
      <w:pPr>
        <w:pStyle w:val="Default"/>
        <w:ind w:left="360"/>
        <w:rPr>
          <w:rFonts w:eastAsia="Arial"/>
          <w:color w:val="auto"/>
          <w:sz w:val="22"/>
          <w:szCs w:val="22"/>
        </w:rPr>
      </w:pPr>
      <w:r>
        <w:rPr>
          <w:rFonts w:eastAsia="Arial"/>
          <w:color w:val="auto"/>
          <w:sz w:val="22"/>
          <w:szCs w:val="22"/>
        </w:rPr>
        <w:t>Updated language.</w:t>
      </w:r>
    </w:p>
    <w:p w14:paraId="1A2205B9" w14:textId="77777777" w:rsidR="000A5093" w:rsidRPr="00314903" w:rsidRDefault="000A5093" w:rsidP="000A5093">
      <w:pPr>
        <w:ind w:left="360"/>
        <w:rPr>
          <w:rFonts w:ascii="Arial" w:eastAsia="Arial" w:hAnsi="Arial" w:cs="Arial"/>
          <w:sz w:val="22"/>
          <w:szCs w:val="22"/>
        </w:rPr>
      </w:pPr>
    </w:p>
    <w:p w14:paraId="431DEC14" w14:textId="77777777" w:rsidR="00F7011A" w:rsidRPr="002800C4" w:rsidRDefault="00F7011A" w:rsidP="00F7011A">
      <w:pPr>
        <w:jc w:val="both"/>
        <w:rPr>
          <w:rFonts w:eastAsia="Arial"/>
          <w:szCs w:val="22"/>
        </w:rPr>
      </w:pPr>
      <w:r w:rsidRPr="002800C4">
        <w:rPr>
          <w:rFonts w:eastAsia="Arial"/>
          <w:szCs w:val="22"/>
        </w:rPr>
        <w:t>Along with any other rights and remedies available to it, the Energy Commission reserves the right to:</w:t>
      </w:r>
    </w:p>
    <w:p w14:paraId="6DF68538" w14:textId="77777777" w:rsidR="00F7011A" w:rsidRPr="002800C4" w:rsidRDefault="00F7011A" w:rsidP="00F7011A">
      <w:pPr>
        <w:pStyle w:val="ListParagraph"/>
        <w:numPr>
          <w:ilvl w:val="0"/>
          <w:numId w:val="5"/>
        </w:numPr>
        <w:spacing w:after="120"/>
        <w:contextualSpacing w:val="0"/>
        <w:jc w:val="both"/>
        <w:rPr>
          <w:rFonts w:eastAsia="Arial"/>
          <w:szCs w:val="22"/>
        </w:rPr>
      </w:pPr>
      <w:r w:rsidRPr="002800C4">
        <w:rPr>
          <w:rFonts w:eastAsia="Arial"/>
          <w:szCs w:val="22"/>
        </w:rPr>
        <w:t>Increase or decrease the available funding and the group minimum/maximum award amounts described in this section.</w:t>
      </w:r>
    </w:p>
    <w:p w14:paraId="256199E6" w14:textId="77777777" w:rsidR="00F7011A" w:rsidRPr="002800C4" w:rsidRDefault="00F7011A" w:rsidP="00F7011A">
      <w:pPr>
        <w:pStyle w:val="ListParagraph"/>
        <w:numPr>
          <w:ilvl w:val="0"/>
          <w:numId w:val="5"/>
        </w:numPr>
        <w:spacing w:after="120"/>
        <w:contextualSpacing w:val="0"/>
        <w:jc w:val="both"/>
        <w:rPr>
          <w:rFonts w:eastAsia="Arial"/>
          <w:szCs w:val="22"/>
        </w:rPr>
      </w:pPr>
      <w:r w:rsidRPr="002800C4">
        <w:rPr>
          <w:rFonts w:eastAsia="Arial"/>
          <w:szCs w:val="22"/>
        </w:rPr>
        <w:t>Allocate any additional or unawarded funds to passing applications, in rank order.</w:t>
      </w:r>
    </w:p>
    <w:p w14:paraId="5633F505" w14:textId="1A1D7F8A" w:rsidR="000A5093" w:rsidRPr="005930AE" w:rsidRDefault="00F7011A" w:rsidP="005930AE">
      <w:pPr>
        <w:pStyle w:val="ListParagraph"/>
        <w:numPr>
          <w:ilvl w:val="0"/>
          <w:numId w:val="5"/>
        </w:numPr>
        <w:spacing w:after="120"/>
        <w:contextualSpacing w:val="0"/>
        <w:jc w:val="both"/>
        <w:rPr>
          <w:rFonts w:eastAsia="Arial"/>
          <w:szCs w:val="22"/>
        </w:rPr>
      </w:pPr>
      <w:r w:rsidRPr="002800C4">
        <w:rPr>
          <w:rFonts w:eastAsia="Arial"/>
          <w:szCs w:val="22"/>
        </w:rPr>
        <w:t xml:space="preserve">Reduce funding to an </w:t>
      </w:r>
      <w:r w:rsidRPr="00544127">
        <w:rPr>
          <w:rFonts w:eastAsia="Arial"/>
          <w:b/>
          <w:bCs/>
          <w:szCs w:val="22"/>
          <w:u w:val="single"/>
        </w:rPr>
        <w:t>appropriate</w:t>
      </w:r>
      <w:r>
        <w:rPr>
          <w:rFonts w:eastAsia="Arial"/>
          <w:szCs w:val="22"/>
        </w:rPr>
        <w:t xml:space="preserve"> </w:t>
      </w:r>
      <w:r w:rsidRPr="002800C4">
        <w:rPr>
          <w:rFonts w:eastAsia="Arial"/>
          <w:szCs w:val="22"/>
        </w:rPr>
        <w:t xml:space="preserve">amount </w:t>
      </w:r>
      <w:r>
        <w:rPr>
          <w:rFonts w:eastAsia="Arial"/>
          <w:szCs w:val="22"/>
        </w:rPr>
        <w:t>[</w:t>
      </w:r>
      <w:r w:rsidRPr="00544127">
        <w:rPr>
          <w:rFonts w:eastAsia="Arial"/>
          <w:strike/>
          <w:szCs w:val="22"/>
        </w:rPr>
        <w:t>deemed appropriate</w:t>
      </w:r>
      <w:r w:rsidRPr="005930AE">
        <w:rPr>
          <w:rFonts w:eastAsia="Arial"/>
          <w:szCs w:val="22"/>
        </w:rPr>
        <w:t>]</w:t>
      </w:r>
      <w:r w:rsidRPr="002800C4">
        <w:rPr>
          <w:rFonts w:eastAsia="Arial"/>
          <w:szCs w:val="22"/>
        </w:rPr>
        <w:t xml:space="preserve"> if the budgeted funds do not provide full funding for agreements.  In this event, the </w:t>
      </w:r>
      <w:r w:rsidRPr="00544127">
        <w:rPr>
          <w:rFonts w:eastAsia="Arial"/>
          <w:b/>
          <w:bCs/>
          <w:szCs w:val="22"/>
          <w:u w:val="single"/>
        </w:rPr>
        <w:t>proposed grant recipient</w:t>
      </w:r>
      <w:r>
        <w:rPr>
          <w:rFonts w:eastAsia="Arial"/>
          <w:szCs w:val="22"/>
        </w:rPr>
        <w:t xml:space="preserve"> [</w:t>
      </w:r>
      <w:r w:rsidRPr="002C00E5">
        <w:rPr>
          <w:rFonts w:eastAsia="Arial"/>
          <w:strike/>
          <w:szCs w:val="22"/>
        </w:rPr>
        <w:t>Recipient</w:t>
      </w:r>
      <w:r w:rsidRPr="005930AE">
        <w:rPr>
          <w:rFonts w:eastAsia="Arial"/>
          <w:szCs w:val="22"/>
        </w:rPr>
        <w:t>]</w:t>
      </w:r>
      <w:r w:rsidRPr="002800C4">
        <w:rPr>
          <w:rFonts w:eastAsia="Arial"/>
          <w:szCs w:val="22"/>
        </w:rPr>
        <w:t xml:space="preserve"> and Commission Agreement Manager </w:t>
      </w:r>
      <w:r w:rsidRPr="00544127">
        <w:rPr>
          <w:rFonts w:eastAsia="Arial"/>
          <w:b/>
          <w:bCs/>
          <w:szCs w:val="22"/>
          <w:u w:val="single"/>
        </w:rPr>
        <w:t>(CAM)</w:t>
      </w:r>
      <w:r>
        <w:rPr>
          <w:rFonts w:eastAsia="Arial"/>
          <w:szCs w:val="22"/>
        </w:rPr>
        <w:t xml:space="preserve"> </w:t>
      </w:r>
      <w:r w:rsidRPr="002800C4">
        <w:rPr>
          <w:rFonts w:eastAsia="Arial"/>
          <w:szCs w:val="22"/>
        </w:rPr>
        <w:t xml:space="preserve">will </w:t>
      </w:r>
      <w:r w:rsidRPr="00544127">
        <w:rPr>
          <w:rFonts w:eastAsia="Arial"/>
          <w:b/>
          <w:bCs/>
          <w:szCs w:val="22"/>
          <w:u w:val="single"/>
        </w:rPr>
        <w:t>attempt to</w:t>
      </w:r>
      <w:r>
        <w:rPr>
          <w:rFonts w:eastAsia="Arial"/>
          <w:szCs w:val="22"/>
        </w:rPr>
        <w:t xml:space="preserve"> </w:t>
      </w:r>
      <w:r w:rsidRPr="002800C4">
        <w:rPr>
          <w:rFonts w:eastAsia="Arial"/>
          <w:szCs w:val="22"/>
        </w:rPr>
        <w:t>reach agreement on a reduced Scope of Work commensurate with available funding.</w:t>
      </w:r>
    </w:p>
    <w:p w14:paraId="3AB49046" w14:textId="77777777" w:rsidR="000A5093" w:rsidRDefault="000A5093" w:rsidP="00A10AFB">
      <w:pPr>
        <w:pStyle w:val="Default"/>
        <w:rPr>
          <w:rFonts w:eastAsia="Arial"/>
          <w:b/>
          <w:bCs/>
          <w:color w:val="0070C0"/>
          <w:sz w:val="22"/>
          <w:szCs w:val="22"/>
        </w:rPr>
      </w:pPr>
    </w:p>
    <w:p w14:paraId="3C0F9E94" w14:textId="77777777" w:rsidR="000A5093" w:rsidRPr="00CB651E" w:rsidRDefault="000A5093" w:rsidP="000A5093">
      <w:pPr>
        <w:pStyle w:val="Default"/>
        <w:rPr>
          <w:rFonts w:eastAsia="Arial"/>
          <w:color w:val="auto"/>
          <w:sz w:val="22"/>
          <w:szCs w:val="22"/>
        </w:rPr>
      </w:pPr>
      <w:r w:rsidRPr="00CB651E">
        <w:rPr>
          <w:rFonts w:eastAsia="Arial"/>
          <w:b/>
          <w:bCs/>
          <w:color w:val="auto"/>
          <w:sz w:val="22"/>
          <w:szCs w:val="22"/>
        </w:rPr>
        <w:t>Section I</w:t>
      </w:r>
    </w:p>
    <w:p w14:paraId="3E4362BE" w14:textId="77777777" w:rsidR="000A5093" w:rsidRPr="00CB651E" w:rsidRDefault="000A5093" w:rsidP="000A5093">
      <w:pPr>
        <w:rPr>
          <w:rFonts w:ascii="Arial" w:eastAsia="Arial" w:hAnsi="Arial" w:cs="Arial"/>
          <w:sz w:val="22"/>
          <w:szCs w:val="22"/>
        </w:rPr>
      </w:pPr>
    </w:p>
    <w:p w14:paraId="3A2FD7BC" w14:textId="01CF555F" w:rsidR="000A5093" w:rsidRPr="00CB651E" w:rsidRDefault="000A5093" w:rsidP="000A5093">
      <w:pPr>
        <w:pStyle w:val="Default"/>
        <w:numPr>
          <w:ilvl w:val="0"/>
          <w:numId w:val="2"/>
        </w:numPr>
        <w:rPr>
          <w:rFonts w:eastAsia="Arial"/>
          <w:color w:val="auto"/>
          <w:sz w:val="22"/>
          <w:szCs w:val="22"/>
        </w:rPr>
      </w:pPr>
      <w:r w:rsidRPr="00CB651E">
        <w:rPr>
          <w:rFonts w:eastAsia="Arial"/>
          <w:color w:val="auto"/>
          <w:sz w:val="22"/>
          <w:szCs w:val="22"/>
        </w:rPr>
        <w:t>Page</w:t>
      </w:r>
      <w:r w:rsidR="00A564F1" w:rsidRPr="00CB651E">
        <w:rPr>
          <w:rFonts w:eastAsia="Arial"/>
          <w:color w:val="auto"/>
          <w:sz w:val="22"/>
          <w:szCs w:val="22"/>
        </w:rPr>
        <w:t>s</w:t>
      </w:r>
      <w:r w:rsidRPr="00CB651E">
        <w:rPr>
          <w:rFonts w:eastAsia="Arial"/>
          <w:color w:val="auto"/>
          <w:sz w:val="22"/>
          <w:szCs w:val="22"/>
        </w:rPr>
        <w:t xml:space="preserve"> #</w:t>
      </w:r>
      <w:r w:rsidR="00A564F1" w:rsidRPr="00CB651E">
        <w:rPr>
          <w:rFonts w:eastAsia="Arial"/>
          <w:color w:val="auto"/>
          <w:sz w:val="22"/>
          <w:szCs w:val="22"/>
        </w:rPr>
        <w:t xml:space="preserve">7 and </w:t>
      </w:r>
      <w:r w:rsidR="00204C16" w:rsidRPr="00CB651E">
        <w:rPr>
          <w:rFonts w:eastAsia="Arial"/>
          <w:color w:val="auto"/>
          <w:sz w:val="22"/>
          <w:szCs w:val="22"/>
        </w:rPr>
        <w:t>8</w:t>
      </w:r>
      <w:r w:rsidRPr="00CB651E">
        <w:rPr>
          <w:rFonts w:eastAsia="Arial"/>
          <w:color w:val="auto"/>
          <w:sz w:val="22"/>
          <w:szCs w:val="22"/>
        </w:rPr>
        <w:t xml:space="preserve">, Section </w:t>
      </w:r>
      <w:r w:rsidR="00A564F1" w:rsidRPr="00CB651E">
        <w:rPr>
          <w:rFonts w:eastAsia="Arial"/>
          <w:color w:val="auto"/>
          <w:sz w:val="22"/>
          <w:szCs w:val="22"/>
        </w:rPr>
        <w:t>E</w:t>
      </w:r>
      <w:r w:rsidRPr="00CB651E">
        <w:rPr>
          <w:rFonts w:eastAsia="Arial"/>
          <w:color w:val="auto"/>
          <w:sz w:val="22"/>
          <w:szCs w:val="22"/>
        </w:rPr>
        <w:t xml:space="preserve">. </w:t>
      </w:r>
      <w:r w:rsidR="00F2182A" w:rsidRPr="00CB651E">
        <w:rPr>
          <w:rFonts w:eastAsia="Arial"/>
          <w:color w:val="auto"/>
          <w:sz w:val="22"/>
          <w:szCs w:val="22"/>
        </w:rPr>
        <w:t>Key Activities Schedule</w:t>
      </w:r>
    </w:p>
    <w:p w14:paraId="5874106D" w14:textId="19840C0A" w:rsidR="000A5093" w:rsidRDefault="00F2182A" w:rsidP="000A5093">
      <w:pPr>
        <w:ind w:left="360"/>
        <w:rPr>
          <w:rFonts w:ascii="Arial" w:eastAsia="Arial" w:hAnsi="Arial" w:cs="Arial"/>
          <w:color w:val="000000" w:themeColor="text1"/>
          <w:sz w:val="22"/>
          <w:szCs w:val="22"/>
        </w:rPr>
      </w:pPr>
      <w:r w:rsidRPr="00CB651E">
        <w:rPr>
          <w:rFonts w:ascii="Arial" w:eastAsia="Arial" w:hAnsi="Arial" w:cs="Arial"/>
          <w:sz w:val="22"/>
          <w:szCs w:val="22"/>
        </w:rPr>
        <w:t xml:space="preserve">Added a </w:t>
      </w:r>
      <w:r w:rsidR="008541C6" w:rsidRPr="00CB651E">
        <w:rPr>
          <w:rFonts w:ascii="Arial" w:eastAsia="Arial" w:hAnsi="Arial" w:cs="Arial"/>
          <w:sz w:val="22"/>
          <w:szCs w:val="22"/>
        </w:rPr>
        <w:t xml:space="preserve">specific </w:t>
      </w:r>
      <w:r w:rsidR="00DA1B9D">
        <w:rPr>
          <w:rFonts w:ascii="Arial" w:eastAsia="Arial" w:hAnsi="Arial" w:cs="Arial"/>
          <w:color w:val="000000" w:themeColor="text1"/>
          <w:sz w:val="22"/>
          <w:szCs w:val="22"/>
        </w:rPr>
        <w:t xml:space="preserve">end date </w:t>
      </w:r>
      <w:r w:rsidR="00594C9E" w:rsidRPr="00D463BD">
        <w:rPr>
          <w:rFonts w:ascii="Arial" w:hAnsi="Arial" w:cs="Arial"/>
          <w:sz w:val="22"/>
          <w:szCs w:val="22"/>
        </w:rPr>
        <w:t>for agreements resulting from this solicitation</w:t>
      </w:r>
    </w:p>
    <w:p w14:paraId="6A3E05BE" w14:textId="77777777" w:rsidR="00F2182A" w:rsidRDefault="00F2182A" w:rsidP="000A5093">
      <w:pPr>
        <w:ind w:left="360"/>
        <w:rPr>
          <w:rFonts w:ascii="Arial" w:eastAsia="Arial" w:hAnsi="Arial" w:cs="Arial"/>
          <w:color w:val="000000" w:themeColor="text1"/>
          <w:sz w:val="22"/>
          <w:szCs w:val="22"/>
        </w:rPr>
      </w:pPr>
    </w:p>
    <w:tbl>
      <w:tblPr>
        <w:tblW w:w="0" w:type="auto"/>
        <w:tblInd w:w="105" w:type="dxa"/>
        <w:tblLayout w:type="fixed"/>
        <w:tblLook w:val="0000" w:firstRow="0" w:lastRow="0" w:firstColumn="0" w:lastColumn="0" w:noHBand="0" w:noVBand="0"/>
      </w:tblPr>
      <w:tblGrid>
        <w:gridCol w:w="5940"/>
        <w:gridCol w:w="2070"/>
      </w:tblGrid>
      <w:tr w:rsidR="008E1D26" w14:paraId="71DBFB85" w14:textId="77777777" w:rsidTr="00544127">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447F51" w14:textId="77777777" w:rsidR="008E1D26" w:rsidRDefault="008E1D26" w:rsidP="00544127">
            <w:pPr>
              <w:jc w:val="both"/>
              <w:rPr>
                <w:rFonts w:eastAsia="Arial"/>
                <w:color w:val="000000" w:themeColor="text1"/>
                <w:szCs w:val="22"/>
              </w:rPr>
            </w:pPr>
            <w:r w:rsidRPr="6DEB75E8">
              <w:rPr>
                <w:rFonts w:eastAsia="Arial"/>
                <w:b/>
                <w:bCs/>
                <w:color w:val="000000" w:themeColor="text1"/>
                <w:szCs w:val="22"/>
              </w:rPr>
              <w:t>ACTIVITY</w:t>
            </w:r>
          </w:p>
        </w:tc>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D5243D" w14:textId="77777777" w:rsidR="008E1D26" w:rsidRDefault="008E1D26" w:rsidP="00544127">
            <w:pPr>
              <w:jc w:val="both"/>
              <w:rPr>
                <w:rFonts w:eastAsia="Arial"/>
                <w:color w:val="000000" w:themeColor="text1"/>
                <w:szCs w:val="22"/>
              </w:rPr>
            </w:pPr>
            <w:r w:rsidRPr="6DEB75E8">
              <w:rPr>
                <w:rFonts w:eastAsia="Arial"/>
                <w:b/>
                <w:bCs/>
                <w:color w:val="000000" w:themeColor="text1"/>
                <w:szCs w:val="22"/>
              </w:rPr>
              <w:t>DATE</w:t>
            </w:r>
          </w:p>
        </w:tc>
      </w:tr>
      <w:tr w:rsidR="008E1D26" w14:paraId="76215882" w14:textId="77777777" w:rsidTr="00544127">
        <w:trPr>
          <w:trHeight w:val="330"/>
        </w:trPr>
        <w:tc>
          <w:tcPr>
            <w:tcW w:w="5940" w:type="dxa"/>
            <w:tcBorders>
              <w:top w:val="single" w:sz="6" w:space="0" w:color="auto"/>
              <w:left w:val="single" w:sz="6" w:space="0" w:color="auto"/>
              <w:bottom w:val="single" w:sz="6" w:space="0" w:color="auto"/>
              <w:right w:val="single" w:sz="6" w:space="0" w:color="auto"/>
            </w:tcBorders>
          </w:tcPr>
          <w:p w14:paraId="1F4D0279" w14:textId="77777777" w:rsidR="008E1D26" w:rsidRPr="002800C4" w:rsidRDefault="008E1D26" w:rsidP="00544127">
            <w:pPr>
              <w:jc w:val="both"/>
              <w:rPr>
                <w:rFonts w:eastAsia="Arial"/>
                <w:szCs w:val="22"/>
              </w:rPr>
            </w:pPr>
            <w:r w:rsidRPr="002800C4">
              <w:rPr>
                <w:rFonts w:eastAsia="Arial"/>
                <w:szCs w:val="22"/>
              </w:rPr>
              <w:t>Solicitation Release</w:t>
            </w:r>
          </w:p>
        </w:tc>
        <w:tc>
          <w:tcPr>
            <w:tcW w:w="2070" w:type="dxa"/>
            <w:tcBorders>
              <w:top w:val="single" w:sz="6" w:space="0" w:color="auto"/>
              <w:left w:val="single" w:sz="6" w:space="0" w:color="auto"/>
              <w:bottom w:val="single" w:sz="6" w:space="0" w:color="auto"/>
              <w:right w:val="single" w:sz="6" w:space="0" w:color="auto"/>
            </w:tcBorders>
          </w:tcPr>
          <w:p w14:paraId="686497D3" w14:textId="77777777" w:rsidR="008E1D26" w:rsidRPr="00C11C8B" w:rsidRDefault="008E1D26" w:rsidP="00544127">
            <w:pPr>
              <w:rPr>
                <w:rFonts w:eastAsia="Arial"/>
                <w:szCs w:val="22"/>
              </w:rPr>
            </w:pPr>
            <w:r w:rsidRPr="00C11C8B">
              <w:rPr>
                <w:rFonts w:eastAsia="Arial"/>
                <w:szCs w:val="22"/>
              </w:rPr>
              <w:t>March 21, 2022</w:t>
            </w:r>
          </w:p>
        </w:tc>
      </w:tr>
      <w:tr w:rsidR="008E1D26" w14:paraId="43E42A98" w14:textId="77777777" w:rsidTr="00544127">
        <w:trPr>
          <w:trHeight w:val="345"/>
        </w:trPr>
        <w:tc>
          <w:tcPr>
            <w:tcW w:w="5940" w:type="dxa"/>
            <w:tcBorders>
              <w:top w:val="single" w:sz="6" w:space="0" w:color="auto"/>
              <w:left w:val="single" w:sz="6" w:space="0" w:color="auto"/>
              <w:bottom w:val="single" w:sz="6" w:space="0" w:color="auto"/>
              <w:right w:val="single" w:sz="6" w:space="0" w:color="auto"/>
            </w:tcBorders>
          </w:tcPr>
          <w:p w14:paraId="784D71C7" w14:textId="77777777" w:rsidR="008E1D26" w:rsidRPr="002800C4" w:rsidRDefault="008E1D26" w:rsidP="00544127">
            <w:pPr>
              <w:jc w:val="both"/>
              <w:rPr>
                <w:rFonts w:eastAsia="Arial"/>
                <w:szCs w:val="22"/>
              </w:rPr>
            </w:pPr>
            <w:r w:rsidRPr="002800C4">
              <w:rPr>
                <w:rFonts w:eastAsia="Arial"/>
                <w:b/>
                <w:szCs w:val="22"/>
              </w:rPr>
              <w:t>Pre-Application Workshop</w:t>
            </w:r>
          </w:p>
        </w:tc>
        <w:tc>
          <w:tcPr>
            <w:tcW w:w="2070" w:type="dxa"/>
            <w:tcBorders>
              <w:top w:val="single" w:sz="6" w:space="0" w:color="auto"/>
              <w:left w:val="single" w:sz="6" w:space="0" w:color="auto"/>
              <w:bottom w:val="single" w:sz="6" w:space="0" w:color="auto"/>
              <w:right w:val="single" w:sz="6" w:space="0" w:color="auto"/>
            </w:tcBorders>
          </w:tcPr>
          <w:p w14:paraId="4E12D78D" w14:textId="77777777" w:rsidR="008E1D26" w:rsidRPr="00C11C8B" w:rsidRDefault="008E1D26" w:rsidP="00544127">
            <w:pPr>
              <w:rPr>
                <w:rFonts w:eastAsia="Arial"/>
                <w:b/>
                <w:szCs w:val="22"/>
              </w:rPr>
            </w:pPr>
            <w:r w:rsidRPr="00C11C8B">
              <w:rPr>
                <w:rFonts w:eastAsia="Arial"/>
                <w:b/>
                <w:szCs w:val="22"/>
              </w:rPr>
              <w:t>April 8, 2022</w:t>
            </w:r>
          </w:p>
        </w:tc>
      </w:tr>
      <w:tr w:rsidR="008E1D26" w14:paraId="51BC0178" w14:textId="77777777" w:rsidTr="00544127">
        <w:trPr>
          <w:trHeight w:val="360"/>
        </w:trPr>
        <w:tc>
          <w:tcPr>
            <w:tcW w:w="5940" w:type="dxa"/>
            <w:tcBorders>
              <w:top w:val="single" w:sz="6" w:space="0" w:color="auto"/>
              <w:left w:val="single" w:sz="6" w:space="0" w:color="auto"/>
              <w:bottom w:val="single" w:sz="6" w:space="0" w:color="auto"/>
              <w:right w:val="single" w:sz="6" w:space="0" w:color="auto"/>
            </w:tcBorders>
          </w:tcPr>
          <w:p w14:paraId="2342D20D" w14:textId="77777777" w:rsidR="008E1D26" w:rsidRPr="002800C4" w:rsidRDefault="008E1D26" w:rsidP="00544127">
            <w:pPr>
              <w:jc w:val="both"/>
              <w:rPr>
                <w:rFonts w:eastAsia="Arial"/>
                <w:szCs w:val="22"/>
              </w:rPr>
            </w:pPr>
            <w:r w:rsidRPr="002800C4">
              <w:rPr>
                <w:rFonts w:eastAsia="Arial"/>
                <w:szCs w:val="22"/>
              </w:rPr>
              <w:t>Deadline for Written Questions</w:t>
            </w:r>
          </w:p>
        </w:tc>
        <w:tc>
          <w:tcPr>
            <w:tcW w:w="2070" w:type="dxa"/>
            <w:tcBorders>
              <w:top w:val="single" w:sz="6" w:space="0" w:color="auto"/>
              <w:left w:val="single" w:sz="6" w:space="0" w:color="auto"/>
              <w:bottom w:val="single" w:sz="6" w:space="0" w:color="auto"/>
              <w:right w:val="single" w:sz="6" w:space="0" w:color="auto"/>
            </w:tcBorders>
          </w:tcPr>
          <w:p w14:paraId="5581057A" w14:textId="77777777" w:rsidR="008E1D26" w:rsidRPr="002800C4" w:rsidRDefault="008E1D26" w:rsidP="00544127">
            <w:pPr>
              <w:rPr>
                <w:rFonts w:eastAsia="Arial"/>
                <w:szCs w:val="22"/>
              </w:rPr>
            </w:pPr>
            <w:r w:rsidRPr="002800C4">
              <w:rPr>
                <w:rFonts w:eastAsia="Arial"/>
                <w:szCs w:val="22"/>
              </w:rPr>
              <w:t>On-going</w:t>
            </w:r>
          </w:p>
        </w:tc>
      </w:tr>
      <w:tr w:rsidR="008E1D26" w14:paraId="118BDA22" w14:textId="77777777" w:rsidTr="00544127">
        <w:trPr>
          <w:trHeight w:val="540"/>
        </w:trPr>
        <w:tc>
          <w:tcPr>
            <w:tcW w:w="5940" w:type="dxa"/>
            <w:tcBorders>
              <w:top w:val="single" w:sz="6" w:space="0" w:color="auto"/>
              <w:left w:val="single" w:sz="6" w:space="0" w:color="auto"/>
              <w:bottom w:val="single" w:sz="6" w:space="0" w:color="auto"/>
              <w:right w:val="single" w:sz="6" w:space="0" w:color="auto"/>
            </w:tcBorders>
          </w:tcPr>
          <w:p w14:paraId="349144DE" w14:textId="77777777" w:rsidR="008E1D26" w:rsidRPr="002800C4" w:rsidRDefault="008E1D26" w:rsidP="00544127">
            <w:pPr>
              <w:jc w:val="both"/>
              <w:rPr>
                <w:rFonts w:eastAsia="Arial"/>
                <w:szCs w:val="22"/>
              </w:rPr>
            </w:pPr>
            <w:r w:rsidRPr="002800C4">
              <w:rPr>
                <w:rFonts w:eastAsia="Arial"/>
                <w:szCs w:val="22"/>
              </w:rPr>
              <w:lastRenderedPageBreak/>
              <w:t>Anticipated Distribution of Questions and Answers</w:t>
            </w:r>
          </w:p>
        </w:tc>
        <w:tc>
          <w:tcPr>
            <w:tcW w:w="2070" w:type="dxa"/>
            <w:tcBorders>
              <w:top w:val="single" w:sz="6" w:space="0" w:color="auto"/>
              <w:left w:val="single" w:sz="6" w:space="0" w:color="auto"/>
              <w:bottom w:val="single" w:sz="6" w:space="0" w:color="auto"/>
              <w:right w:val="single" w:sz="6" w:space="0" w:color="auto"/>
            </w:tcBorders>
          </w:tcPr>
          <w:p w14:paraId="440BBE2F" w14:textId="77777777" w:rsidR="008E1D26" w:rsidRPr="002800C4" w:rsidRDefault="008E1D26" w:rsidP="00544127">
            <w:pPr>
              <w:rPr>
                <w:rFonts w:eastAsia="Arial"/>
                <w:szCs w:val="22"/>
              </w:rPr>
            </w:pPr>
            <w:r w:rsidRPr="002800C4">
              <w:rPr>
                <w:rFonts w:eastAsia="Arial"/>
                <w:szCs w:val="22"/>
              </w:rPr>
              <w:t>Answers will be posted periodically</w:t>
            </w:r>
          </w:p>
        </w:tc>
      </w:tr>
      <w:tr w:rsidR="008E1D26" w14:paraId="318774C1" w14:textId="77777777" w:rsidTr="00544127">
        <w:trPr>
          <w:trHeight w:val="525"/>
        </w:trPr>
        <w:tc>
          <w:tcPr>
            <w:tcW w:w="5940" w:type="dxa"/>
            <w:tcBorders>
              <w:top w:val="single" w:sz="6" w:space="0" w:color="auto"/>
              <w:left w:val="single" w:sz="6" w:space="0" w:color="auto"/>
              <w:bottom w:val="single" w:sz="6" w:space="0" w:color="auto"/>
              <w:right w:val="single" w:sz="6" w:space="0" w:color="auto"/>
            </w:tcBorders>
          </w:tcPr>
          <w:p w14:paraId="3D3C01A6" w14:textId="77777777" w:rsidR="008E1D26" w:rsidRPr="002800C4" w:rsidRDefault="008E1D26" w:rsidP="00544127">
            <w:pPr>
              <w:rPr>
                <w:rFonts w:eastAsia="Arial"/>
                <w:b/>
                <w:szCs w:val="22"/>
              </w:rPr>
            </w:pPr>
            <w:r w:rsidRPr="002800C4">
              <w:rPr>
                <w:rFonts w:eastAsia="Arial"/>
                <w:b/>
                <w:szCs w:val="22"/>
              </w:rPr>
              <w:t>Deadline to Submit Pre-Federal Funding Award Applications (Phase I)</w:t>
            </w:r>
          </w:p>
        </w:tc>
        <w:tc>
          <w:tcPr>
            <w:tcW w:w="2070" w:type="dxa"/>
            <w:tcBorders>
              <w:top w:val="single" w:sz="6" w:space="0" w:color="auto"/>
              <w:left w:val="single" w:sz="6" w:space="0" w:color="auto"/>
              <w:bottom w:val="single" w:sz="6" w:space="0" w:color="auto"/>
              <w:right w:val="single" w:sz="6" w:space="0" w:color="auto"/>
            </w:tcBorders>
          </w:tcPr>
          <w:p w14:paraId="42181918" w14:textId="77777777" w:rsidR="008E1D26" w:rsidRPr="002800C4" w:rsidRDefault="008E1D26" w:rsidP="00544127">
            <w:pPr>
              <w:rPr>
                <w:rFonts w:eastAsia="Arial"/>
                <w:szCs w:val="22"/>
              </w:rPr>
            </w:pPr>
            <w:r w:rsidRPr="002800C4">
              <w:rPr>
                <w:rFonts w:eastAsia="Arial"/>
                <w:b/>
                <w:szCs w:val="22"/>
              </w:rPr>
              <w:t>Refer to Section II.A.</w:t>
            </w:r>
          </w:p>
        </w:tc>
      </w:tr>
      <w:tr w:rsidR="008E1D26" w14:paraId="62C4F67F" w14:textId="77777777" w:rsidTr="00544127">
        <w:trPr>
          <w:trHeight w:val="1305"/>
        </w:trPr>
        <w:tc>
          <w:tcPr>
            <w:tcW w:w="5940" w:type="dxa"/>
            <w:tcBorders>
              <w:top w:val="single" w:sz="6" w:space="0" w:color="auto"/>
              <w:left w:val="single" w:sz="6" w:space="0" w:color="auto"/>
              <w:bottom w:val="single" w:sz="6" w:space="0" w:color="auto"/>
              <w:right w:val="single" w:sz="6" w:space="0" w:color="auto"/>
            </w:tcBorders>
            <w:vAlign w:val="center"/>
          </w:tcPr>
          <w:p w14:paraId="3496CB15" w14:textId="77777777" w:rsidR="008E1D26" w:rsidRPr="002800C4" w:rsidRDefault="008E1D26" w:rsidP="00544127">
            <w:pPr>
              <w:rPr>
                <w:rFonts w:eastAsia="Arial"/>
                <w:szCs w:val="22"/>
              </w:rPr>
            </w:pPr>
            <w:r w:rsidRPr="002800C4">
              <w:rPr>
                <w:rFonts w:eastAsia="Arial"/>
                <w:szCs w:val="22"/>
              </w:rPr>
              <w:t>Anticipated Notice of Proposed Award Posting Date (Awardee will receive a Letter of Intent)</w:t>
            </w:r>
          </w:p>
        </w:tc>
        <w:tc>
          <w:tcPr>
            <w:tcW w:w="2070" w:type="dxa"/>
            <w:tcBorders>
              <w:top w:val="single" w:sz="6" w:space="0" w:color="auto"/>
              <w:left w:val="single" w:sz="6" w:space="0" w:color="auto"/>
              <w:bottom w:val="single" w:sz="6" w:space="0" w:color="auto"/>
              <w:right w:val="single" w:sz="6" w:space="0" w:color="auto"/>
            </w:tcBorders>
            <w:vAlign w:val="center"/>
          </w:tcPr>
          <w:p w14:paraId="17F9BC99" w14:textId="77777777" w:rsidR="008E1D26" w:rsidRPr="002800C4" w:rsidRDefault="008E1D26" w:rsidP="00544127">
            <w:pPr>
              <w:rPr>
                <w:rFonts w:eastAsia="Arial"/>
                <w:szCs w:val="22"/>
              </w:rPr>
            </w:pPr>
            <w:r w:rsidRPr="002800C4">
              <w:rPr>
                <w:rFonts w:eastAsia="Arial"/>
                <w:szCs w:val="22"/>
              </w:rPr>
              <w:t>30 days after the deadline to submit applications for that federal funding opportunity</w:t>
            </w:r>
          </w:p>
        </w:tc>
      </w:tr>
      <w:tr w:rsidR="008E1D26" w14:paraId="54260E71" w14:textId="77777777" w:rsidTr="00544127">
        <w:trPr>
          <w:trHeight w:val="885"/>
        </w:trPr>
        <w:tc>
          <w:tcPr>
            <w:tcW w:w="5940" w:type="dxa"/>
            <w:tcBorders>
              <w:top w:val="single" w:sz="6" w:space="0" w:color="auto"/>
              <w:left w:val="single" w:sz="6" w:space="0" w:color="auto"/>
              <w:bottom w:val="single" w:sz="6" w:space="0" w:color="auto"/>
              <w:right w:val="single" w:sz="6" w:space="0" w:color="auto"/>
            </w:tcBorders>
            <w:vAlign w:val="center"/>
          </w:tcPr>
          <w:p w14:paraId="393159D4" w14:textId="77777777" w:rsidR="008E1D26" w:rsidRPr="002800C4" w:rsidRDefault="008E1D26" w:rsidP="00544127">
            <w:pPr>
              <w:rPr>
                <w:rFonts w:eastAsia="Arial"/>
                <w:szCs w:val="22"/>
              </w:rPr>
            </w:pPr>
            <w:r w:rsidRPr="002800C4">
              <w:rPr>
                <w:rFonts w:eastAsia="Arial"/>
                <w:szCs w:val="22"/>
              </w:rPr>
              <w:t>Submission of evidence of federal funding award and non-CEC cost share to the Energy Commission</w:t>
            </w:r>
          </w:p>
        </w:tc>
        <w:tc>
          <w:tcPr>
            <w:tcW w:w="2070" w:type="dxa"/>
            <w:tcBorders>
              <w:top w:val="single" w:sz="6" w:space="0" w:color="auto"/>
              <w:left w:val="single" w:sz="6" w:space="0" w:color="auto"/>
              <w:bottom w:val="single" w:sz="6" w:space="0" w:color="auto"/>
              <w:right w:val="single" w:sz="6" w:space="0" w:color="auto"/>
            </w:tcBorders>
            <w:vAlign w:val="center"/>
          </w:tcPr>
          <w:p w14:paraId="354FDEE0" w14:textId="77777777" w:rsidR="008E1D26" w:rsidRPr="002800C4" w:rsidRDefault="008E1D26" w:rsidP="00544127">
            <w:pPr>
              <w:rPr>
                <w:rFonts w:eastAsia="Arial"/>
                <w:szCs w:val="22"/>
              </w:rPr>
            </w:pPr>
            <w:r w:rsidRPr="002800C4">
              <w:rPr>
                <w:rFonts w:eastAsia="Arial"/>
                <w:szCs w:val="22"/>
              </w:rPr>
              <w:t>No later than 60 days after federal funding Award</w:t>
            </w:r>
          </w:p>
        </w:tc>
      </w:tr>
      <w:tr w:rsidR="008E1D26" w14:paraId="02ABF22D" w14:textId="77777777" w:rsidTr="00544127">
        <w:trPr>
          <w:trHeight w:val="1305"/>
        </w:trPr>
        <w:tc>
          <w:tcPr>
            <w:tcW w:w="5940" w:type="dxa"/>
            <w:tcBorders>
              <w:top w:val="single" w:sz="6" w:space="0" w:color="auto"/>
              <w:left w:val="single" w:sz="6" w:space="0" w:color="auto"/>
              <w:bottom w:val="single" w:sz="6" w:space="0" w:color="auto"/>
              <w:right w:val="single" w:sz="6" w:space="0" w:color="auto"/>
            </w:tcBorders>
            <w:vAlign w:val="center"/>
          </w:tcPr>
          <w:p w14:paraId="5304E170" w14:textId="77777777" w:rsidR="008E1D26" w:rsidRPr="002800C4" w:rsidRDefault="008E1D26" w:rsidP="00544127">
            <w:pPr>
              <w:rPr>
                <w:rFonts w:eastAsia="Arial"/>
                <w:szCs w:val="22"/>
              </w:rPr>
            </w:pPr>
            <w:r w:rsidRPr="002800C4">
              <w:rPr>
                <w:rFonts w:eastAsia="Arial"/>
                <w:szCs w:val="22"/>
              </w:rPr>
              <w:t>Anticipated Cost Share Confirmation from the Energy Commission</w:t>
            </w:r>
          </w:p>
        </w:tc>
        <w:tc>
          <w:tcPr>
            <w:tcW w:w="2070" w:type="dxa"/>
            <w:tcBorders>
              <w:top w:val="single" w:sz="6" w:space="0" w:color="auto"/>
              <w:left w:val="single" w:sz="6" w:space="0" w:color="auto"/>
              <w:bottom w:val="single" w:sz="6" w:space="0" w:color="auto"/>
              <w:right w:val="single" w:sz="6" w:space="0" w:color="auto"/>
            </w:tcBorders>
            <w:vAlign w:val="center"/>
          </w:tcPr>
          <w:p w14:paraId="7D495E19" w14:textId="77777777" w:rsidR="008E1D26" w:rsidRPr="002800C4" w:rsidRDefault="008E1D26" w:rsidP="00544127">
            <w:pPr>
              <w:rPr>
                <w:rFonts w:eastAsia="Arial"/>
                <w:szCs w:val="22"/>
              </w:rPr>
            </w:pPr>
            <w:r w:rsidRPr="002800C4">
              <w:rPr>
                <w:rFonts w:eastAsia="Arial"/>
                <w:szCs w:val="22"/>
              </w:rPr>
              <w:t>30 days after submission of evidence of federal award and additional cost share</w:t>
            </w:r>
          </w:p>
        </w:tc>
      </w:tr>
      <w:tr w:rsidR="008E1D26" w14:paraId="3B6121CC" w14:textId="77777777" w:rsidTr="00544127">
        <w:trPr>
          <w:trHeight w:val="1065"/>
        </w:trPr>
        <w:tc>
          <w:tcPr>
            <w:tcW w:w="5940" w:type="dxa"/>
            <w:tcBorders>
              <w:top w:val="single" w:sz="6" w:space="0" w:color="auto"/>
              <w:left w:val="single" w:sz="6" w:space="0" w:color="auto"/>
              <w:bottom w:val="single" w:sz="6" w:space="0" w:color="auto"/>
              <w:right w:val="single" w:sz="6" w:space="0" w:color="auto"/>
            </w:tcBorders>
          </w:tcPr>
          <w:p w14:paraId="19765D06" w14:textId="77777777" w:rsidR="008E1D26" w:rsidRPr="002800C4" w:rsidRDefault="008E1D26" w:rsidP="00544127">
            <w:pPr>
              <w:jc w:val="both"/>
              <w:rPr>
                <w:rFonts w:eastAsia="Arial"/>
                <w:szCs w:val="22"/>
              </w:rPr>
            </w:pPr>
            <w:r w:rsidRPr="002800C4">
              <w:rPr>
                <w:rFonts w:eastAsia="Arial"/>
                <w:szCs w:val="22"/>
              </w:rPr>
              <w:t>Anticipated Energy Commission Business Meeting Date</w:t>
            </w:r>
          </w:p>
        </w:tc>
        <w:tc>
          <w:tcPr>
            <w:tcW w:w="2070" w:type="dxa"/>
            <w:tcBorders>
              <w:top w:val="single" w:sz="6" w:space="0" w:color="auto"/>
              <w:left w:val="single" w:sz="6" w:space="0" w:color="auto"/>
              <w:bottom w:val="single" w:sz="6" w:space="0" w:color="auto"/>
              <w:right w:val="single" w:sz="6" w:space="0" w:color="auto"/>
            </w:tcBorders>
          </w:tcPr>
          <w:p w14:paraId="6CDB7D41" w14:textId="77777777" w:rsidR="008E1D26" w:rsidRPr="002800C4" w:rsidRDefault="008E1D26" w:rsidP="00544127">
            <w:pPr>
              <w:rPr>
                <w:rFonts w:eastAsia="Arial"/>
                <w:szCs w:val="22"/>
              </w:rPr>
            </w:pPr>
            <w:r w:rsidRPr="002800C4">
              <w:rPr>
                <w:rFonts w:eastAsia="Arial"/>
                <w:szCs w:val="22"/>
              </w:rPr>
              <w:t>90 days after the screening of the federal award documentation</w:t>
            </w:r>
          </w:p>
        </w:tc>
      </w:tr>
      <w:tr w:rsidR="008E1D26" w14:paraId="52B04819" w14:textId="77777777" w:rsidTr="00544127">
        <w:trPr>
          <w:trHeight w:val="1170"/>
        </w:trPr>
        <w:tc>
          <w:tcPr>
            <w:tcW w:w="5940" w:type="dxa"/>
            <w:tcBorders>
              <w:top w:val="single" w:sz="6" w:space="0" w:color="auto"/>
              <w:left w:val="single" w:sz="6" w:space="0" w:color="auto"/>
              <w:bottom w:val="single" w:sz="6" w:space="0" w:color="auto"/>
              <w:right w:val="single" w:sz="6" w:space="0" w:color="auto"/>
            </w:tcBorders>
          </w:tcPr>
          <w:p w14:paraId="185A5A44" w14:textId="77777777" w:rsidR="008E1D26" w:rsidRPr="002800C4" w:rsidRDefault="008E1D26" w:rsidP="00544127">
            <w:pPr>
              <w:ind w:left="1440" w:hanging="1440"/>
              <w:jc w:val="both"/>
              <w:rPr>
                <w:rFonts w:eastAsia="Arial"/>
                <w:szCs w:val="22"/>
              </w:rPr>
            </w:pPr>
            <w:r w:rsidRPr="002800C4">
              <w:rPr>
                <w:rFonts w:eastAsia="Arial"/>
                <w:szCs w:val="22"/>
              </w:rPr>
              <w:t>Anticipated Agreement Start Date</w:t>
            </w:r>
          </w:p>
        </w:tc>
        <w:tc>
          <w:tcPr>
            <w:tcW w:w="2070" w:type="dxa"/>
            <w:tcBorders>
              <w:top w:val="single" w:sz="6" w:space="0" w:color="auto"/>
              <w:left w:val="single" w:sz="6" w:space="0" w:color="auto"/>
              <w:bottom w:val="single" w:sz="6" w:space="0" w:color="auto"/>
              <w:right w:val="single" w:sz="6" w:space="0" w:color="auto"/>
            </w:tcBorders>
          </w:tcPr>
          <w:p w14:paraId="5D459D4C" w14:textId="77777777" w:rsidR="008E1D26" w:rsidRPr="002800C4" w:rsidRDefault="008E1D26" w:rsidP="00544127">
            <w:pPr>
              <w:rPr>
                <w:rFonts w:eastAsia="Arial"/>
                <w:szCs w:val="22"/>
              </w:rPr>
            </w:pPr>
            <w:r w:rsidRPr="002800C4">
              <w:rPr>
                <w:rFonts w:eastAsia="Arial"/>
                <w:szCs w:val="22"/>
              </w:rPr>
              <w:t>30 days after the Energy Commission Business Meeting</w:t>
            </w:r>
          </w:p>
        </w:tc>
      </w:tr>
      <w:tr w:rsidR="008E1D26" w14:paraId="6800584E" w14:textId="77777777" w:rsidTr="00544127">
        <w:trPr>
          <w:trHeight w:val="615"/>
        </w:trPr>
        <w:tc>
          <w:tcPr>
            <w:tcW w:w="5940" w:type="dxa"/>
            <w:tcBorders>
              <w:top w:val="single" w:sz="6" w:space="0" w:color="auto"/>
              <w:left w:val="single" w:sz="6" w:space="0" w:color="auto"/>
              <w:bottom w:val="single" w:sz="6" w:space="0" w:color="auto"/>
              <w:right w:val="single" w:sz="6" w:space="0" w:color="auto"/>
            </w:tcBorders>
          </w:tcPr>
          <w:p w14:paraId="4FCAB89A" w14:textId="77777777" w:rsidR="008E1D26" w:rsidRPr="002800C4" w:rsidRDefault="008E1D26" w:rsidP="00544127">
            <w:pPr>
              <w:jc w:val="both"/>
              <w:rPr>
                <w:rFonts w:eastAsia="Arial"/>
              </w:rPr>
            </w:pPr>
            <w:r>
              <w:rPr>
                <w:rFonts w:eastAsia="Arial"/>
              </w:rPr>
              <w:t>[</w:t>
            </w:r>
            <w:r w:rsidRPr="00B303E4">
              <w:rPr>
                <w:rFonts w:eastAsia="Arial"/>
                <w:strike/>
              </w:rPr>
              <w:t>Anticipated</w:t>
            </w:r>
            <w:r>
              <w:rPr>
                <w:rFonts w:eastAsia="Arial"/>
              </w:rPr>
              <w:t>]</w:t>
            </w:r>
            <w:r w:rsidRPr="002800C4">
              <w:rPr>
                <w:rFonts w:eastAsia="Arial"/>
              </w:rPr>
              <w:t xml:space="preserve"> Agreement End Date </w:t>
            </w:r>
          </w:p>
        </w:tc>
        <w:tc>
          <w:tcPr>
            <w:tcW w:w="2070" w:type="dxa"/>
            <w:tcBorders>
              <w:top w:val="single" w:sz="6" w:space="0" w:color="auto"/>
              <w:left w:val="single" w:sz="6" w:space="0" w:color="auto"/>
              <w:bottom w:val="single" w:sz="6" w:space="0" w:color="auto"/>
              <w:right w:val="single" w:sz="6" w:space="0" w:color="auto"/>
            </w:tcBorders>
          </w:tcPr>
          <w:p w14:paraId="2F18DDC3" w14:textId="77777777" w:rsidR="008E1D26" w:rsidRPr="002800C4" w:rsidRDefault="008E1D26" w:rsidP="00544127">
            <w:pPr>
              <w:rPr>
                <w:rFonts w:eastAsia="Arial"/>
              </w:rPr>
            </w:pPr>
            <w:r w:rsidRPr="002800C4">
              <w:rPr>
                <w:rFonts w:eastAsia="Arial"/>
              </w:rPr>
              <w:t xml:space="preserve">No later than </w:t>
            </w:r>
            <w:r w:rsidRPr="00B303E4">
              <w:rPr>
                <w:rFonts w:eastAsia="Arial"/>
                <w:b/>
                <w:bCs/>
                <w:u w:val="single"/>
              </w:rPr>
              <w:t>June 30, 2031</w:t>
            </w:r>
            <w:r>
              <w:rPr>
                <w:rFonts w:eastAsia="Arial"/>
                <w:b/>
                <w:bCs/>
                <w:u w:val="single"/>
              </w:rPr>
              <w:t xml:space="preserve"> </w:t>
            </w:r>
            <w:r w:rsidRPr="008E1D26">
              <w:rPr>
                <w:rFonts w:eastAsia="Arial"/>
              </w:rPr>
              <w:t>[</w:t>
            </w:r>
            <w:r w:rsidRPr="00B303E4">
              <w:rPr>
                <w:rFonts w:eastAsia="Arial"/>
                <w:strike/>
              </w:rPr>
              <w:t>four years from the execution of the agreement</w:t>
            </w:r>
            <w:r>
              <w:rPr>
                <w:rFonts w:eastAsia="Arial"/>
              </w:rPr>
              <w:t>].</w:t>
            </w:r>
            <w:r w:rsidRPr="002800C4">
              <w:rPr>
                <w:rFonts w:eastAsia="Arial"/>
              </w:rPr>
              <w:t xml:space="preserve"> </w:t>
            </w:r>
          </w:p>
        </w:tc>
      </w:tr>
    </w:tbl>
    <w:p w14:paraId="77A70A39" w14:textId="77777777" w:rsidR="000A5093" w:rsidRDefault="000A5093" w:rsidP="000A5093">
      <w:pPr>
        <w:ind w:left="360"/>
        <w:rPr>
          <w:rFonts w:ascii="Arial" w:eastAsia="Arial" w:hAnsi="Arial" w:cs="Arial"/>
          <w:color w:val="000000" w:themeColor="text1"/>
          <w:sz w:val="22"/>
          <w:szCs w:val="22"/>
        </w:rPr>
      </w:pPr>
    </w:p>
    <w:p w14:paraId="6CB53C40" w14:textId="77777777" w:rsidR="000A5093" w:rsidRPr="002A5868" w:rsidRDefault="000A5093" w:rsidP="000A5093">
      <w:pPr>
        <w:pStyle w:val="Default"/>
        <w:rPr>
          <w:rFonts w:eastAsia="Arial"/>
          <w:color w:val="auto"/>
          <w:sz w:val="22"/>
          <w:szCs w:val="22"/>
        </w:rPr>
      </w:pPr>
      <w:r w:rsidRPr="002A5868">
        <w:rPr>
          <w:rFonts w:eastAsia="Arial"/>
          <w:b/>
          <w:bCs/>
          <w:color w:val="auto"/>
          <w:sz w:val="22"/>
          <w:szCs w:val="22"/>
        </w:rPr>
        <w:t>Section I</w:t>
      </w:r>
    </w:p>
    <w:p w14:paraId="7FD5652D" w14:textId="77777777" w:rsidR="000A5093" w:rsidRPr="002A5868" w:rsidRDefault="000A5093" w:rsidP="000A5093">
      <w:pPr>
        <w:rPr>
          <w:rFonts w:ascii="Arial" w:eastAsia="Arial" w:hAnsi="Arial" w:cs="Arial"/>
          <w:sz w:val="22"/>
          <w:szCs w:val="22"/>
        </w:rPr>
      </w:pPr>
    </w:p>
    <w:p w14:paraId="38975EEB" w14:textId="7F0307FE" w:rsidR="000A5093" w:rsidRPr="0090493D" w:rsidRDefault="000A5093" w:rsidP="00EE4BF1">
      <w:pPr>
        <w:pStyle w:val="ListParagraph"/>
        <w:numPr>
          <w:ilvl w:val="0"/>
          <w:numId w:val="2"/>
        </w:numPr>
        <w:rPr>
          <w:rFonts w:ascii="Arial" w:eastAsia="Arial" w:hAnsi="Arial" w:cs="Arial"/>
          <w:sz w:val="22"/>
          <w:szCs w:val="22"/>
        </w:rPr>
      </w:pPr>
      <w:r w:rsidRPr="0090493D">
        <w:rPr>
          <w:rFonts w:ascii="Arial" w:eastAsia="Arial" w:hAnsi="Arial" w:cs="Arial"/>
          <w:sz w:val="22"/>
          <w:szCs w:val="22"/>
        </w:rPr>
        <w:t>Page #</w:t>
      </w:r>
      <w:r w:rsidR="00ED61B0" w:rsidRPr="0090493D">
        <w:rPr>
          <w:rFonts w:ascii="Arial" w:eastAsia="Arial" w:hAnsi="Arial" w:cs="Arial"/>
          <w:sz w:val="22"/>
          <w:szCs w:val="22"/>
        </w:rPr>
        <w:t>10</w:t>
      </w:r>
      <w:r w:rsidRPr="0090493D">
        <w:rPr>
          <w:rFonts w:ascii="Arial" w:eastAsia="Arial" w:hAnsi="Arial" w:cs="Arial"/>
          <w:sz w:val="22"/>
          <w:szCs w:val="22"/>
        </w:rPr>
        <w:t xml:space="preserve">, Section </w:t>
      </w:r>
      <w:r w:rsidR="00ED61B0" w:rsidRPr="0090493D">
        <w:rPr>
          <w:rFonts w:ascii="Arial" w:eastAsia="Arial" w:hAnsi="Arial" w:cs="Arial"/>
          <w:sz w:val="22"/>
          <w:szCs w:val="22"/>
        </w:rPr>
        <w:t>H</w:t>
      </w:r>
      <w:r w:rsidRPr="0090493D">
        <w:rPr>
          <w:rFonts w:ascii="Arial" w:eastAsia="Arial" w:hAnsi="Arial" w:cs="Arial"/>
          <w:sz w:val="22"/>
          <w:szCs w:val="22"/>
        </w:rPr>
        <w:t xml:space="preserve">. </w:t>
      </w:r>
      <w:r w:rsidR="00ED61B0" w:rsidRPr="0090493D">
        <w:rPr>
          <w:rFonts w:ascii="Arial" w:eastAsia="Arial" w:hAnsi="Arial" w:cs="Arial"/>
          <w:sz w:val="22"/>
          <w:szCs w:val="22"/>
        </w:rPr>
        <w:t>A</w:t>
      </w:r>
      <w:r w:rsidR="00EE4BF1" w:rsidRPr="0090493D">
        <w:rPr>
          <w:rFonts w:ascii="Arial" w:eastAsia="Arial" w:hAnsi="Arial" w:cs="Arial"/>
          <w:sz w:val="22"/>
          <w:szCs w:val="22"/>
        </w:rPr>
        <w:t>pplicants’</w:t>
      </w:r>
      <w:r w:rsidR="00ED61B0" w:rsidRPr="0090493D">
        <w:rPr>
          <w:rFonts w:ascii="Arial" w:eastAsia="Arial" w:hAnsi="Arial" w:cs="Arial"/>
          <w:sz w:val="22"/>
          <w:szCs w:val="22"/>
        </w:rPr>
        <w:t xml:space="preserve"> A</w:t>
      </w:r>
      <w:r w:rsidR="00EE4BF1" w:rsidRPr="0090493D">
        <w:rPr>
          <w:rFonts w:ascii="Arial" w:eastAsia="Arial" w:hAnsi="Arial" w:cs="Arial"/>
          <w:sz w:val="22"/>
          <w:szCs w:val="22"/>
        </w:rPr>
        <w:t>dmonishment</w:t>
      </w:r>
    </w:p>
    <w:p w14:paraId="3C7E0CC3" w14:textId="0C0FBF56" w:rsidR="0090493D" w:rsidRPr="0090493D" w:rsidRDefault="0090493D" w:rsidP="0090493D">
      <w:pPr>
        <w:ind w:left="360"/>
        <w:rPr>
          <w:rFonts w:ascii="Arial" w:eastAsia="Arial" w:hAnsi="Arial" w:cs="Arial"/>
          <w:sz w:val="22"/>
          <w:szCs w:val="22"/>
        </w:rPr>
      </w:pPr>
      <w:r w:rsidRPr="0090493D">
        <w:rPr>
          <w:rFonts w:ascii="Arial" w:eastAsia="Arial" w:hAnsi="Arial" w:cs="Arial"/>
          <w:sz w:val="22"/>
          <w:szCs w:val="22"/>
        </w:rPr>
        <w:t>Upd</w:t>
      </w:r>
      <w:r>
        <w:rPr>
          <w:rFonts w:ascii="Arial" w:eastAsia="Arial" w:hAnsi="Arial" w:cs="Arial"/>
          <w:sz w:val="22"/>
          <w:szCs w:val="22"/>
        </w:rPr>
        <w:t>ated language.</w:t>
      </w:r>
    </w:p>
    <w:p w14:paraId="222122AF" w14:textId="77777777" w:rsidR="000A5093" w:rsidRPr="002A5868" w:rsidRDefault="000A5093" w:rsidP="000A5093">
      <w:pPr>
        <w:ind w:left="360"/>
        <w:rPr>
          <w:rFonts w:ascii="Arial" w:eastAsia="Arial" w:hAnsi="Arial" w:cs="Arial"/>
          <w:sz w:val="22"/>
          <w:szCs w:val="22"/>
        </w:rPr>
      </w:pPr>
    </w:p>
    <w:p w14:paraId="5551A7E8" w14:textId="77777777" w:rsidR="00D11E2D" w:rsidRPr="00505E89" w:rsidRDefault="00D11E2D" w:rsidP="00D11E2D">
      <w:pPr>
        <w:jc w:val="both"/>
      </w:pPr>
      <w:r w:rsidRPr="002A5868">
        <w:t xml:space="preserve">This solicitation contains application requirements </w:t>
      </w:r>
      <w:r w:rsidRPr="00BA3BBD">
        <w:t xml:space="preserve">and instructions.  Applicants are responsible for </w:t>
      </w:r>
      <w:r w:rsidRPr="00BA3BBD">
        <w:rPr>
          <w:b/>
        </w:rPr>
        <w:t>carefully reading</w:t>
      </w:r>
      <w:r w:rsidRPr="00BA3BBD">
        <w:t xml:space="preserve"> the solicitation, asking appropriate questions in a timely manner, ensuring that all solicitation requirements are met, submitting all </w:t>
      </w:r>
      <w:r w:rsidRPr="00BA3BBD">
        <w:lastRenderedPageBreak/>
        <w:t xml:space="preserve">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In particular, please carefully read the </w:t>
      </w:r>
      <w:r w:rsidRPr="00505E89">
        <w:rPr>
          <w:b/>
        </w:rPr>
        <w:t>Screening</w:t>
      </w:r>
      <w:r>
        <w:rPr>
          <w:b/>
        </w:rPr>
        <w:t xml:space="preserve"> </w:t>
      </w:r>
      <w:r w:rsidRPr="00CD5AD1">
        <w:rPr>
          <w:b/>
          <w:u w:val="single"/>
        </w:rPr>
        <w:t>and</w:t>
      </w:r>
      <w:r>
        <w:rPr>
          <w:b/>
        </w:rPr>
        <w:t xml:space="preserve"> </w:t>
      </w:r>
      <w:r w:rsidRPr="00505E89">
        <w:rPr>
          <w:b/>
        </w:rPr>
        <w:t>Scoring Criteria and</w:t>
      </w:r>
      <w:r w:rsidRPr="00505E89">
        <w:t xml:space="preserve"> </w:t>
      </w:r>
      <w:r w:rsidRPr="00505E89">
        <w:rPr>
          <w:b/>
        </w:rPr>
        <w:t xml:space="preserve">Grounds </w:t>
      </w:r>
      <w:r w:rsidRPr="00CD5AD1">
        <w:rPr>
          <w:b/>
          <w:u w:val="single"/>
        </w:rPr>
        <w:t>to Reject an Application or Cancel an Award</w:t>
      </w:r>
      <w:r w:rsidRPr="00544127">
        <w:rPr>
          <w:bCs/>
        </w:rPr>
        <w:t xml:space="preserve"> [</w:t>
      </w:r>
      <w:r w:rsidRPr="00544127">
        <w:rPr>
          <w:b/>
          <w:strike/>
        </w:rPr>
        <w:t>for Rejection</w:t>
      </w:r>
      <w:r>
        <w:rPr>
          <w:b/>
          <w:strike/>
        </w:rPr>
        <w:t>]</w:t>
      </w:r>
      <w:r w:rsidRPr="00505E89">
        <w:rPr>
          <w:b/>
        </w:rPr>
        <w:t xml:space="preserve"> </w:t>
      </w:r>
      <w:r w:rsidRPr="00505E89">
        <w:t xml:space="preserve">in </w:t>
      </w:r>
      <w:r>
        <w:t>Section</w:t>
      </w:r>
      <w:r w:rsidRPr="00505E89">
        <w:t xml:space="preserve"> IV, and the relevant EPIC Grant terms and conditions located at: </w:t>
      </w:r>
      <w:hyperlink r:id="rId12" w:history="1">
        <w:r w:rsidRPr="008C250B">
          <w:rPr>
            <w:rStyle w:val="Hyperlink"/>
            <w:rFonts w:cs="Arial"/>
            <w:b/>
            <w:bCs/>
          </w:rPr>
          <w:t>https://www.energy.ca.gov/funding-opportunities/funding-resources</w:t>
        </w:r>
      </w:hyperlink>
      <w:r w:rsidRPr="00544127">
        <w:t xml:space="preserve"> [</w:t>
      </w:r>
      <w:r w:rsidRPr="00544127">
        <w:rPr>
          <w:strike/>
        </w:rPr>
        <w:t>http://www.energy.ca.gov/research/contractors.html</w:t>
      </w:r>
      <w:r>
        <w:t>].</w:t>
      </w:r>
      <w:r w:rsidRPr="00505E89">
        <w:t xml:space="preserve">  </w:t>
      </w:r>
    </w:p>
    <w:p w14:paraId="5F986E3B" w14:textId="79688573" w:rsidR="000A5093" w:rsidRPr="00D11E2D" w:rsidRDefault="00D11E2D" w:rsidP="00D11E2D">
      <w:pPr>
        <w:rPr>
          <w:rFonts w:ascii="Arial" w:eastAsia="Arial" w:hAnsi="Arial" w:cs="Arial"/>
          <w:color w:val="000000" w:themeColor="text1"/>
          <w:sz w:val="22"/>
          <w:szCs w:val="22"/>
        </w:rPr>
      </w:pPr>
      <w:bookmarkStart w:id="0" w:name="_Toc433981277"/>
      <w:bookmarkStart w:id="1" w:name="_Toc395180625"/>
      <w:bookmarkStart w:id="2" w:name="_Toc382571127"/>
      <w:bookmarkStart w:id="3" w:name="_Toc381079868"/>
      <w:r w:rsidRPr="00CD5AD1">
        <w:rPr>
          <w:b/>
          <w:bCs/>
          <w:u w:val="single"/>
        </w:rPr>
        <w:t>Applicants are solely responsible for the cost of developing applications.  This cost cannot be charged to the State.  All submitted documents will become publicly available records and property of the State after the CEC posts the Notice of Proposed Award or the solicitation is cancelled.  Only submit information you want made public. Applicants shall not submit any confidential information as part of their applications. No portion of your application will be considered confidential</w:t>
      </w:r>
      <w:r w:rsidRPr="00291F1A">
        <w:rPr>
          <w:b/>
          <w:bCs/>
        </w:rPr>
        <w:t>.</w:t>
      </w:r>
      <w:r>
        <w:rPr>
          <w:b/>
          <w:bCs/>
        </w:rPr>
        <w:t xml:space="preserve"> </w:t>
      </w:r>
      <w:r w:rsidRPr="00544127">
        <w:t>[</w:t>
      </w:r>
      <w:r w:rsidRPr="00544127">
        <w:rPr>
          <w:strike/>
        </w:rPr>
        <w:t>Applicants are solely responsible for the cost of developing applications.  This cost cannot be charged to the State.  All submitted documents will become publicly available records upon the posting of the Notice of Proposed Award</w:t>
      </w:r>
      <w:bookmarkEnd w:id="0"/>
      <w:bookmarkEnd w:id="1"/>
      <w:bookmarkEnd w:id="2"/>
      <w:bookmarkEnd w:id="3"/>
      <w:r w:rsidR="00EC5503">
        <w:rPr>
          <w:strike/>
        </w:rPr>
        <w:t>.</w:t>
      </w:r>
      <w:r>
        <w:t>]</w:t>
      </w:r>
    </w:p>
    <w:p w14:paraId="1AE88AEE" w14:textId="77777777" w:rsidR="000A5093" w:rsidRDefault="000A5093" w:rsidP="00A10AFB">
      <w:pPr>
        <w:pStyle w:val="Default"/>
        <w:rPr>
          <w:rFonts w:eastAsia="Arial"/>
          <w:b/>
          <w:bCs/>
          <w:color w:val="0070C0"/>
          <w:sz w:val="22"/>
          <w:szCs w:val="22"/>
        </w:rPr>
      </w:pPr>
    </w:p>
    <w:p w14:paraId="66269D88" w14:textId="77777777" w:rsidR="000A5093" w:rsidRPr="00F72A9A" w:rsidRDefault="000A5093" w:rsidP="000A5093">
      <w:pPr>
        <w:pStyle w:val="Default"/>
        <w:rPr>
          <w:rFonts w:eastAsia="Arial"/>
          <w:color w:val="auto"/>
          <w:sz w:val="22"/>
          <w:szCs w:val="22"/>
        </w:rPr>
      </w:pPr>
      <w:r w:rsidRPr="00F72A9A">
        <w:rPr>
          <w:rFonts w:eastAsia="Arial"/>
          <w:b/>
          <w:bCs/>
          <w:color w:val="auto"/>
          <w:sz w:val="22"/>
          <w:szCs w:val="22"/>
        </w:rPr>
        <w:t>Section I</w:t>
      </w:r>
    </w:p>
    <w:p w14:paraId="727658C6" w14:textId="77777777" w:rsidR="000A5093" w:rsidRPr="00F72A9A" w:rsidRDefault="000A5093" w:rsidP="000A5093">
      <w:pPr>
        <w:rPr>
          <w:rFonts w:ascii="Arial" w:eastAsia="Arial" w:hAnsi="Arial" w:cs="Arial"/>
          <w:sz w:val="22"/>
          <w:szCs w:val="22"/>
        </w:rPr>
      </w:pPr>
    </w:p>
    <w:p w14:paraId="41389320" w14:textId="3DA9AB91" w:rsidR="000A5093" w:rsidRDefault="000A5093" w:rsidP="000A5093">
      <w:pPr>
        <w:pStyle w:val="Default"/>
        <w:numPr>
          <w:ilvl w:val="0"/>
          <w:numId w:val="2"/>
        </w:numPr>
        <w:rPr>
          <w:rFonts w:eastAsia="Arial"/>
          <w:color w:val="auto"/>
          <w:sz w:val="22"/>
          <w:szCs w:val="22"/>
        </w:rPr>
      </w:pPr>
      <w:r w:rsidRPr="00F72A9A">
        <w:rPr>
          <w:rFonts w:eastAsia="Arial"/>
          <w:color w:val="auto"/>
          <w:sz w:val="22"/>
          <w:szCs w:val="22"/>
        </w:rPr>
        <w:t>Page</w:t>
      </w:r>
      <w:r w:rsidR="00A76491" w:rsidRPr="00F72A9A">
        <w:rPr>
          <w:rFonts w:eastAsia="Arial"/>
          <w:color w:val="auto"/>
          <w:sz w:val="22"/>
          <w:szCs w:val="22"/>
        </w:rPr>
        <w:t>s</w:t>
      </w:r>
      <w:r w:rsidRPr="00F72A9A">
        <w:rPr>
          <w:rFonts w:eastAsia="Arial"/>
          <w:color w:val="auto"/>
          <w:sz w:val="22"/>
          <w:szCs w:val="22"/>
        </w:rPr>
        <w:t xml:space="preserve"> #</w:t>
      </w:r>
      <w:r w:rsidR="001B6404" w:rsidRPr="00F72A9A">
        <w:rPr>
          <w:rFonts w:eastAsia="Arial"/>
          <w:color w:val="auto"/>
          <w:sz w:val="22"/>
          <w:szCs w:val="22"/>
        </w:rPr>
        <w:t>10 and 11</w:t>
      </w:r>
      <w:r w:rsidRPr="00F72A9A">
        <w:rPr>
          <w:rFonts w:eastAsia="Arial"/>
          <w:color w:val="auto"/>
          <w:sz w:val="22"/>
          <w:szCs w:val="22"/>
        </w:rPr>
        <w:t xml:space="preserve">, Section </w:t>
      </w:r>
      <w:r w:rsidR="00A76491" w:rsidRPr="00F72A9A">
        <w:rPr>
          <w:rFonts w:eastAsia="Arial"/>
          <w:color w:val="auto"/>
          <w:sz w:val="22"/>
          <w:szCs w:val="22"/>
        </w:rPr>
        <w:t>I</w:t>
      </w:r>
      <w:r w:rsidRPr="00F72A9A">
        <w:rPr>
          <w:rFonts w:eastAsia="Arial"/>
          <w:color w:val="auto"/>
          <w:sz w:val="22"/>
          <w:szCs w:val="22"/>
        </w:rPr>
        <w:t xml:space="preserve">. </w:t>
      </w:r>
      <w:r w:rsidR="007530D2" w:rsidRPr="00F72A9A">
        <w:rPr>
          <w:rFonts w:eastAsia="Arial"/>
          <w:color w:val="auto"/>
          <w:sz w:val="22"/>
          <w:szCs w:val="22"/>
        </w:rPr>
        <w:t xml:space="preserve">Additional Requirements Regarding Environmental </w:t>
      </w:r>
      <w:r w:rsidR="00094245" w:rsidRPr="00F72A9A">
        <w:rPr>
          <w:rFonts w:eastAsia="Arial"/>
          <w:color w:val="auto"/>
          <w:sz w:val="22"/>
          <w:szCs w:val="22"/>
        </w:rPr>
        <w:t>Review</w:t>
      </w:r>
    </w:p>
    <w:p w14:paraId="087D94D7" w14:textId="256C72BF" w:rsidR="00045719" w:rsidRPr="00F72A9A" w:rsidRDefault="00045719" w:rsidP="00045719">
      <w:pPr>
        <w:pStyle w:val="Default"/>
        <w:ind w:left="360"/>
        <w:rPr>
          <w:rFonts w:eastAsia="Arial"/>
          <w:color w:val="auto"/>
          <w:sz w:val="22"/>
          <w:szCs w:val="22"/>
        </w:rPr>
      </w:pPr>
      <w:r>
        <w:rPr>
          <w:rFonts w:eastAsia="Arial"/>
          <w:color w:val="auto"/>
          <w:sz w:val="22"/>
          <w:szCs w:val="22"/>
        </w:rPr>
        <w:t>Updated language.</w:t>
      </w:r>
    </w:p>
    <w:p w14:paraId="258C868A" w14:textId="77777777" w:rsidR="00F72A9A" w:rsidRPr="00F72A9A" w:rsidRDefault="00F72A9A" w:rsidP="00F72A9A">
      <w:pPr>
        <w:pStyle w:val="Default"/>
        <w:rPr>
          <w:rFonts w:eastAsia="Arial"/>
          <w:color w:val="auto"/>
          <w:sz w:val="22"/>
          <w:szCs w:val="22"/>
        </w:rPr>
      </w:pPr>
    </w:p>
    <w:p w14:paraId="4BE31945" w14:textId="77777777" w:rsidR="00A2503D" w:rsidRDefault="00A2503D" w:rsidP="00A2503D">
      <w:pPr>
        <w:numPr>
          <w:ilvl w:val="0"/>
          <w:numId w:val="7"/>
        </w:numPr>
        <w:spacing w:after="160"/>
        <w:ind w:right="720"/>
        <w:jc w:val="both"/>
      </w:pPr>
      <w:r>
        <w:t>Time is of the essence. Funds available under this solicitation have encumbrance deadlines</w:t>
      </w:r>
      <w:r w:rsidRPr="4FDD8D44">
        <w:rPr>
          <w:color w:val="0070C0"/>
        </w:rPr>
        <w:t xml:space="preserve">.  </w:t>
      </w:r>
      <w:r>
        <w:t xml:space="preserve">This means that the CEC must approve proposed awards at a business meeting (usually held monthly) prior to </w:t>
      </w:r>
      <w:r w:rsidRPr="002800C4">
        <w:t>the</w:t>
      </w:r>
      <w:r>
        <w:t xml:space="preserve"> expiration of the funds.</w:t>
      </w:r>
    </w:p>
    <w:p w14:paraId="624D5809" w14:textId="77777777" w:rsidR="00A2503D" w:rsidRPr="00BA3BBD" w:rsidRDefault="00A2503D" w:rsidP="00A2503D">
      <w:pPr>
        <w:numPr>
          <w:ilvl w:val="0"/>
          <w:numId w:val="7"/>
        </w:numPr>
        <w:spacing w:after="160"/>
        <w:ind w:right="720"/>
        <w:jc w:val="both"/>
      </w:pPr>
      <w:r w:rsidRPr="00544127">
        <w:rPr>
          <w:b/>
          <w:bCs/>
          <w:u w:val="single"/>
        </w:rPr>
        <w:t>Environmental Review.</w:t>
      </w:r>
      <w:r>
        <w:t xml:space="preserve"> Prior to approval and encumbrance, the CEC must comply with the California Environmental Quality Act (CEQA) </w:t>
      </w:r>
      <w:r w:rsidRPr="00544127">
        <w:rPr>
          <w:b/>
          <w:bCs/>
          <w:u w:val="single"/>
        </w:rPr>
        <w:t>and other requirements</w:t>
      </w:r>
      <w:r>
        <w:t>. To comply with CEQA, the [</w:t>
      </w:r>
      <w:r w:rsidRPr="00544127">
        <w:rPr>
          <w:strike/>
        </w:rPr>
        <w:t>Commission</w:t>
      </w:r>
      <w:r w:rsidRPr="00544127">
        <w:t>]</w:t>
      </w:r>
      <w:r>
        <w:t xml:space="preserve"> </w:t>
      </w:r>
      <w:r w:rsidRPr="00544127">
        <w:rPr>
          <w:b/>
          <w:bCs/>
          <w:u w:val="single"/>
        </w:rPr>
        <w:t>CEC</w:t>
      </w:r>
      <w:r>
        <w:t xml:space="preserve"> must have CEQA-related information from applicants and sometimes other entities, such as local governments, in a timely manner.  Unfortunately, even with this information, the [</w:t>
      </w:r>
      <w:r w:rsidRPr="00544127">
        <w:rPr>
          <w:strike/>
        </w:rPr>
        <w:t>Commission</w:t>
      </w:r>
      <w:r w:rsidRPr="00544127">
        <w:t>]</w:t>
      </w:r>
      <w:r>
        <w:t xml:space="preserve"> </w:t>
      </w:r>
      <w:r w:rsidRPr="00544127">
        <w:rPr>
          <w:b/>
          <w:bCs/>
          <w:u w:val="single"/>
        </w:rPr>
        <w:t>CEC</w:t>
      </w:r>
      <w:r>
        <w:t xml:space="preserve">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w:t>
      </w:r>
      <w:r w:rsidRPr="00544127">
        <w:rPr>
          <w:strike/>
        </w:rPr>
        <w:t>Commission</w:t>
      </w:r>
      <w:r w:rsidRPr="00544127">
        <w:t>]</w:t>
      </w:r>
      <w:r>
        <w:t xml:space="preserve"> </w:t>
      </w:r>
      <w:r w:rsidRPr="00544127">
        <w:rPr>
          <w:b/>
          <w:bCs/>
          <w:u w:val="single"/>
        </w:rPr>
        <w:t>CEC</w:t>
      </w:r>
      <w:r>
        <w:t xml:space="preserve"> to comply with CEQA and provide all CEQA-related information to the [</w:t>
      </w:r>
      <w:r w:rsidRPr="00544127">
        <w:rPr>
          <w:strike/>
        </w:rPr>
        <w:t>Commission</w:t>
      </w:r>
      <w:r w:rsidRPr="00544127">
        <w:t>]</w:t>
      </w:r>
      <w:r>
        <w:t xml:space="preserve"> </w:t>
      </w:r>
      <w:r w:rsidRPr="00544127">
        <w:rPr>
          <w:b/>
          <w:bCs/>
          <w:u w:val="single"/>
        </w:rPr>
        <w:t>CEC</w:t>
      </w:r>
      <w:r>
        <w:t xml:space="preserve"> in a timely manner such that the [</w:t>
      </w:r>
      <w:r w:rsidRPr="00544127">
        <w:rPr>
          <w:strike/>
        </w:rPr>
        <w:t>Commission</w:t>
      </w:r>
      <w:r w:rsidRPr="00544127">
        <w:t>]</w:t>
      </w:r>
      <w:r>
        <w:t xml:space="preserve"> </w:t>
      </w:r>
      <w:r w:rsidRPr="00544127">
        <w:rPr>
          <w:b/>
          <w:bCs/>
          <w:u w:val="single"/>
        </w:rPr>
        <w:t>CEC</w:t>
      </w:r>
      <w:r>
        <w:t xml:space="preserve"> is able to complete its review in time for it to meet its encumbrance deadline.</w:t>
      </w:r>
    </w:p>
    <w:p w14:paraId="4C3747A8" w14:textId="77777777" w:rsidR="00A2503D" w:rsidRPr="00BA3BBD" w:rsidRDefault="00A2503D" w:rsidP="00A2503D">
      <w:pPr>
        <w:numPr>
          <w:ilvl w:val="0"/>
          <w:numId w:val="7"/>
        </w:numPr>
        <w:spacing w:after="160"/>
        <w:ind w:right="720"/>
        <w:jc w:val="both"/>
        <w:rPr>
          <w:szCs w:val="22"/>
        </w:rPr>
      </w:pPr>
      <w:r w:rsidRPr="00BA3BBD">
        <w:rPr>
          <w:szCs w:val="22"/>
        </w:rPr>
        <w:lastRenderedPageBreak/>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w:t>
      </w:r>
      <w:r>
        <w:rPr>
          <w:szCs w:val="22"/>
        </w:rPr>
        <w:t>[</w:t>
      </w:r>
      <w:r w:rsidRPr="00544127">
        <w:rPr>
          <w:strike/>
          <w:szCs w:val="22"/>
        </w:rPr>
        <w:t>Commission’s</w:t>
      </w:r>
      <w:r w:rsidRPr="00544127">
        <w:t>]</w:t>
      </w:r>
      <w:r w:rsidRPr="00BA3BBD">
        <w:rPr>
          <w:szCs w:val="22"/>
        </w:rPr>
        <w:t xml:space="preserve"> </w:t>
      </w:r>
      <w:r w:rsidRPr="00544127">
        <w:rPr>
          <w:b/>
          <w:bCs/>
          <w:szCs w:val="22"/>
          <w:u w:val="single"/>
        </w:rPr>
        <w:t>CEC’s</w:t>
      </w:r>
      <w:r w:rsidRPr="00BA3BBD">
        <w:rPr>
          <w:szCs w:val="22"/>
        </w:rPr>
        <w:t xml:space="preserve">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7FC4D191" w14:textId="77777777" w:rsidR="00A2503D" w:rsidRPr="00BA3BBD" w:rsidRDefault="00A2503D" w:rsidP="00A2503D">
      <w:pPr>
        <w:numPr>
          <w:ilvl w:val="0"/>
          <w:numId w:val="6"/>
        </w:numPr>
        <w:spacing w:after="160"/>
        <w:ind w:left="1080" w:right="720"/>
        <w:jc w:val="both"/>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3CA8AA34" w14:textId="77777777" w:rsidR="00A2503D" w:rsidRPr="00BA3BBD" w:rsidRDefault="00A2503D" w:rsidP="00A2503D">
      <w:pPr>
        <w:numPr>
          <w:ilvl w:val="0"/>
          <w:numId w:val="6"/>
        </w:numPr>
        <w:spacing w:after="160"/>
        <w:ind w:left="1080" w:right="720"/>
        <w:jc w:val="both"/>
        <w:rPr>
          <w:szCs w:val="22"/>
        </w:rPr>
      </w:pPr>
      <w:r w:rsidRPr="00BA3BBD">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BA3BBD">
        <w:rPr>
          <w:szCs w:val="22"/>
        </w:rPr>
        <w:t>as a result of</w:t>
      </w:r>
      <w:proofErr w:type="gramEnd"/>
      <w:r w:rsidRPr="00BA3BBD">
        <w:rPr>
          <w:szCs w:val="22"/>
        </w:rPr>
        <w:t xml:space="preserve"> waiting for a supplemental or initial analysis, respectively, from the other agency.</w:t>
      </w:r>
    </w:p>
    <w:p w14:paraId="2D96508D" w14:textId="77777777" w:rsidR="00A2503D" w:rsidRPr="00BA3BBD" w:rsidRDefault="00A2503D" w:rsidP="00A2503D">
      <w:pPr>
        <w:numPr>
          <w:ilvl w:val="0"/>
          <w:numId w:val="6"/>
        </w:numPr>
        <w:spacing w:after="160"/>
        <w:ind w:left="1080" w:right="720"/>
        <w:jc w:val="both"/>
        <w:rPr>
          <w:szCs w:val="22"/>
        </w:rPr>
      </w:pPr>
      <w:r w:rsidRPr="00BA3BBD">
        <w:rPr>
          <w:szCs w:val="22"/>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7A9D0BE2" w14:textId="77777777" w:rsidR="00A2503D" w:rsidRPr="00BA3BBD" w:rsidRDefault="00A2503D" w:rsidP="00A2503D">
      <w:pPr>
        <w:numPr>
          <w:ilvl w:val="0"/>
          <w:numId w:val="6"/>
        </w:numPr>
        <w:spacing w:after="160"/>
        <w:ind w:left="1080" w:right="720"/>
        <w:jc w:val="both"/>
        <w:rPr>
          <w:b/>
          <w:szCs w:val="22"/>
        </w:rPr>
      </w:pPr>
      <w:r w:rsidRPr="00BA3BBD">
        <w:rPr>
          <w:szCs w:val="22"/>
        </w:rPr>
        <w:t xml:space="preserve">Example 4: If the proposed project clearly falls under a statutory or categorical </w:t>
      </w:r>
      <w:proofErr w:type="gramStart"/>
      <w:r w:rsidRPr="00BA3BBD">
        <w:rPr>
          <w:szCs w:val="22"/>
        </w:rPr>
        <w:t>exemption, or</w:t>
      </w:r>
      <w:proofErr w:type="gramEnd"/>
      <w:r w:rsidRPr="00BA3BBD">
        <w:rPr>
          <w:szCs w:val="22"/>
        </w:rPr>
        <w:t xml:space="preserve"> is project for which another state agency or local jurisdiction has already adopted a CEQA finding that the project will cause no significant effect on the environment, the project will likely have greater success in attaining rapid completion of CEQA requirements.</w:t>
      </w:r>
    </w:p>
    <w:p w14:paraId="3270FB62" w14:textId="75DDD50F" w:rsidR="000A5093" w:rsidRDefault="00A2503D" w:rsidP="00A2503D">
      <w:pPr>
        <w:ind w:left="360"/>
        <w:rPr>
          <w:rFonts w:ascii="Arial" w:eastAsia="Arial" w:hAnsi="Arial" w:cs="Arial"/>
          <w:color w:val="000000" w:themeColor="text1"/>
          <w:sz w:val="22"/>
          <w:szCs w:val="22"/>
        </w:rPr>
      </w:pPr>
      <w:r w:rsidRPr="00BA3BBD">
        <w:t xml:space="preserve">The above examples are not exhaustive of instances in which the CEC may or may not be able to comply with CEQA within the encumbrance deadline and are only provided as further clarification for potential applicants. </w:t>
      </w:r>
      <w:r w:rsidRPr="00544127">
        <w:rPr>
          <w:b/>
          <w:bCs/>
          <w:u w:val="single"/>
        </w:rPr>
        <w:t xml:space="preserve">Applicants are </w:t>
      </w:r>
      <w:r w:rsidRPr="00544127">
        <w:rPr>
          <w:b/>
          <w:bCs/>
          <w:u w:val="single"/>
        </w:rPr>
        <w:lastRenderedPageBreak/>
        <w:t>encouraged to contact potential lead and responsible agencies under CEQA as early as possible.</w:t>
      </w:r>
      <w:r w:rsidRPr="00BA3BBD">
        <w:t xml:space="preserve"> Please plan </w:t>
      </w:r>
      <w:r w:rsidRPr="00544127">
        <w:rPr>
          <w:b/>
          <w:bCs/>
          <w:u w:val="single"/>
        </w:rPr>
        <w:t>applications</w:t>
      </w:r>
      <w:r>
        <w:t xml:space="preserve"> [</w:t>
      </w:r>
      <w:r w:rsidRPr="00544127">
        <w:rPr>
          <w:strike/>
        </w:rPr>
        <w:t>project proposals</w:t>
      </w:r>
      <w:r w:rsidRPr="00544127">
        <w:t>]</w:t>
      </w:r>
      <w:r w:rsidRPr="00BA3BBD">
        <w:t xml:space="preserve"> accordingly.</w:t>
      </w:r>
    </w:p>
    <w:p w14:paraId="69C3173E" w14:textId="77777777" w:rsidR="000A5093" w:rsidRDefault="000A5093" w:rsidP="00A10AFB">
      <w:pPr>
        <w:pStyle w:val="Default"/>
        <w:rPr>
          <w:rFonts w:eastAsia="Arial"/>
          <w:b/>
          <w:bCs/>
          <w:color w:val="0070C0"/>
          <w:sz w:val="22"/>
          <w:szCs w:val="22"/>
        </w:rPr>
      </w:pPr>
    </w:p>
    <w:p w14:paraId="7C5F9936" w14:textId="77777777" w:rsidR="000A5093" w:rsidRPr="005A70D1" w:rsidRDefault="000A5093" w:rsidP="000A5093">
      <w:pPr>
        <w:pStyle w:val="Default"/>
        <w:rPr>
          <w:rFonts w:eastAsia="Arial"/>
          <w:color w:val="auto"/>
          <w:sz w:val="22"/>
          <w:szCs w:val="22"/>
        </w:rPr>
      </w:pPr>
      <w:r w:rsidRPr="005A70D1">
        <w:rPr>
          <w:rFonts w:eastAsia="Arial"/>
          <w:b/>
          <w:bCs/>
          <w:color w:val="auto"/>
          <w:sz w:val="22"/>
          <w:szCs w:val="22"/>
        </w:rPr>
        <w:t>Section I</w:t>
      </w:r>
    </w:p>
    <w:p w14:paraId="7A8597D6" w14:textId="77777777" w:rsidR="000A5093" w:rsidRPr="005A70D1" w:rsidRDefault="000A5093" w:rsidP="000A5093">
      <w:pPr>
        <w:rPr>
          <w:rFonts w:ascii="Arial" w:eastAsia="Arial" w:hAnsi="Arial" w:cs="Arial"/>
          <w:sz w:val="22"/>
          <w:szCs w:val="22"/>
        </w:rPr>
      </w:pPr>
    </w:p>
    <w:p w14:paraId="721EEA3F" w14:textId="1A08E1E6" w:rsidR="000A5093" w:rsidRPr="005A70D1" w:rsidRDefault="000A5093" w:rsidP="000A5093">
      <w:pPr>
        <w:pStyle w:val="Default"/>
        <w:numPr>
          <w:ilvl w:val="0"/>
          <w:numId w:val="2"/>
        </w:numPr>
        <w:rPr>
          <w:rFonts w:eastAsia="Arial"/>
          <w:color w:val="auto"/>
          <w:sz w:val="22"/>
          <w:szCs w:val="22"/>
        </w:rPr>
      </w:pPr>
      <w:r w:rsidRPr="005A70D1">
        <w:rPr>
          <w:rFonts w:eastAsia="Arial"/>
          <w:color w:val="auto"/>
          <w:sz w:val="22"/>
          <w:szCs w:val="22"/>
        </w:rPr>
        <w:t>Page</w:t>
      </w:r>
      <w:r w:rsidR="009F0354" w:rsidRPr="005A70D1">
        <w:rPr>
          <w:rFonts w:eastAsia="Arial"/>
          <w:color w:val="auto"/>
          <w:sz w:val="22"/>
          <w:szCs w:val="22"/>
        </w:rPr>
        <w:t>s</w:t>
      </w:r>
      <w:r w:rsidRPr="005A70D1">
        <w:rPr>
          <w:rFonts w:eastAsia="Arial"/>
          <w:color w:val="auto"/>
          <w:sz w:val="22"/>
          <w:szCs w:val="22"/>
        </w:rPr>
        <w:t xml:space="preserve"> #</w:t>
      </w:r>
      <w:r w:rsidR="000264B6" w:rsidRPr="005A70D1">
        <w:rPr>
          <w:rFonts w:eastAsia="Arial"/>
          <w:color w:val="auto"/>
          <w:sz w:val="22"/>
          <w:szCs w:val="22"/>
        </w:rPr>
        <w:t>12 and 13</w:t>
      </w:r>
      <w:r w:rsidRPr="005A70D1">
        <w:rPr>
          <w:rFonts w:eastAsia="Arial"/>
          <w:color w:val="auto"/>
          <w:sz w:val="22"/>
          <w:szCs w:val="22"/>
        </w:rPr>
        <w:t xml:space="preserve">, Section </w:t>
      </w:r>
      <w:r w:rsidR="000264B6" w:rsidRPr="005A70D1">
        <w:rPr>
          <w:rFonts w:eastAsia="Arial"/>
          <w:color w:val="auto"/>
          <w:sz w:val="22"/>
          <w:szCs w:val="22"/>
        </w:rPr>
        <w:t>J</w:t>
      </w:r>
      <w:r w:rsidRPr="005A70D1">
        <w:rPr>
          <w:rFonts w:eastAsia="Arial"/>
          <w:color w:val="auto"/>
          <w:sz w:val="22"/>
          <w:szCs w:val="22"/>
        </w:rPr>
        <w:t xml:space="preserve">. </w:t>
      </w:r>
      <w:r w:rsidR="009F0354" w:rsidRPr="005A70D1">
        <w:rPr>
          <w:rFonts w:eastAsia="Arial"/>
          <w:color w:val="auto"/>
          <w:sz w:val="22"/>
          <w:szCs w:val="22"/>
        </w:rPr>
        <w:t>Background</w:t>
      </w:r>
    </w:p>
    <w:p w14:paraId="270D5652" w14:textId="6DED4615" w:rsidR="000A5093" w:rsidRPr="005A70D1" w:rsidRDefault="00D3236D" w:rsidP="003B54C2">
      <w:pPr>
        <w:ind w:left="360"/>
        <w:rPr>
          <w:rFonts w:ascii="Arial" w:eastAsia="Arial" w:hAnsi="Arial" w:cs="Arial"/>
          <w:sz w:val="22"/>
          <w:szCs w:val="22"/>
        </w:rPr>
      </w:pPr>
      <w:r w:rsidRPr="005A70D1">
        <w:rPr>
          <w:rFonts w:ascii="Arial" w:eastAsia="Arial" w:hAnsi="Arial" w:cs="Arial"/>
          <w:sz w:val="22"/>
          <w:szCs w:val="22"/>
        </w:rPr>
        <w:t xml:space="preserve">Information regarding </w:t>
      </w:r>
      <w:r w:rsidR="0082683F" w:rsidRPr="005A70D1">
        <w:rPr>
          <w:rFonts w:ascii="Arial" w:eastAsia="Arial" w:hAnsi="Arial" w:cs="Arial"/>
          <w:sz w:val="22"/>
          <w:szCs w:val="22"/>
        </w:rPr>
        <w:t>Disadvantaged &amp; Low-income Communities</w:t>
      </w:r>
      <w:r w:rsidRPr="005A70D1">
        <w:rPr>
          <w:rFonts w:ascii="Arial" w:eastAsia="Arial" w:hAnsi="Arial" w:cs="Arial"/>
          <w:sz w:val="22"/>
          <w:szCs w:val="22"/>
        </w:rPr>
        <w:t xml:space="preserve"> was updated and moved from Section </w:t>
      </w:r>
      <w:r w:rsidR="00530A13" w:rsidRPr="005A70D1">
        <w:rPr>
          <w:rFonts w:ascii="Arial" w:eastAsia="Arial" w:hAnsi="Arial" w:cs="Arial"/>
          <w:sz w:val="22"/>
          <w:szCs w:val="22"/>
        </w:rPr>
        <w:t>II.B</w:t>
      </w:r>
      <w:r w:rsidR="003B54C2" w:rsidRPr="005A70D1">
        <w:rPr>
          <w:rFonts w:ascii="Arial" w:eastAsia="Arial" w:hAnsi="Arial" w:cs="Arial"/>
          <w:sz w:val="22"/>
          <w:szCs w:val="22"/>
        </w:rPr>
        <w:t xml:space="preserve"> to Section</w:t>
      </w:r>
      <w:r w:rsidR="007304CE" w:rsidRPr="005A70D1">
        <w:rPr>
          <w:rFonts w:ascii="Arial" w:eastAsia="Arial" w:hAnsi="Arial" w:cs="Arial"/>
          <w:sz w:val="22"/>
          <w:szCs w:val="22"/>
        </w:rPr>
        <w:t xml:space="preserve"> I.</w:t>
      </w:r>
      <w:r w:rsidR="003B54C2" w:rsidRPr="005A70D1">
        <w:rPr>
          <w:rFonts w:ascii="Arial" w:eastAsia="Arial" w:hAnsi="Arial" w:cs="Arial"/>
          <w:sz w:val="22"/>
          <w:szCs w:val="22"/>
        </w:rPr>
        <w:t>J</w:t>
      </w:r>
      <w:r w:rsidR="00DA5554" w:rsidRPr="005A70D1">
        <w:rPr>
          <w:rFonts w:ascii="Arial" w:eastAsia="Arial" w:hAnsi="Arial" w:cs="Arial"/>
          <w:sz w:val="22"/>
          <w:szCs w:val="22"/>
        </w:rPr>
        <w:t>.</w:t>
      </w:r>
    </w:p>
    <w:p w14:paraId="28DB9205" w14:textId="77777777" w:rsidR="006E5FDA" w:rsidRPr="005A70D1" w:rsidRDefault="006E5FDA" w:rsidP="006E5FDA">
      <w:pPr>
        <w:pStyle w:val="ListParagraph"/>
        <w:numPr>
          <w:ilvl w:val="0"/>
          <w:numId w:val="9"/>
        </w:numPr>
        <w:spacing w:before="240" w:after="120" w:line="259" w:lineRule="auto"/>
        <w:contextualSpacing w:val="0"/>
        <w:jc w:val="both"/>
        <w:rPr>
          <w:b/>
          <w:i/>
          <w:u w:val="single"/>
        </w:rPr>
      </w:pPr>
      <w:r w:rsidRPr="005A70D1">
        <w:rPr>
          <w:b/>
          <w:u w:val="single"/>
        </w:rPr>
        <w:t>Disadvantaged &amp; Low-income Communities</w:t>
      </w:r>
    </w:p>
    <w:p w14:paraId="0A7D86D0" w14:textId="77777777" w:rsidR="006E5FDA" w:rsidRPr="00544127" w:rsidRDefault="006E5FDA" w:rsidP="006E5FDA">
      <w:pPr>
        <w:pStyle w:val="ListParagraph"/>
        <w:spacing w:before="240" w:line="259" w:lineRule="auto"/>
        <w:jc w:val="both"/>
        <w:rPr>
          <w:b/>
          <w:i/>
          <w:color w:val="0070C0"/>
          <w:u w:val="single"/>
        </w:rPr>
      </w:pPr>
      <w:r w:rsidRPr="005A70D1">
        <w:rPr>
          <w:b/>
          <w:u w:val="single"/>
        </w:rPr>
        <w:t>At least 25% of available Ele</w:t>
      </w:r>
      <w:r w:rsidRPr="00544127">
        <w:rPr>
          <w:b/>
          <w:u w:val="single"/>
        </w:rPr>
        <w:t>ctric Program Investment Charge (EPIC) technology demonstration and deployment funding must be allocated to project sites located in, and benefiting, disadvantaged communities; and an additional minimum 10% of funds must be allocated to projects sites located in and benefiting low-income communities.</w:t>
      </w:r>
      <w:r w:rsidRPr="00544127">
        <w:rPr>
          <w:rFonts w:cs="Times New Roman"/>
          <w:b/>
          <w:u w:val="single"/>
          <w:vertAlign w:val="superscript"/>
        </w:rPr>
        <w:footnoteReference w:id="2"/>
      </w:r>
      <w:r w:rsidRPr="00544127">
        <w:rPr>
          <w:b/>
          <w:u w:val="single"/>
        </w:rPr>
        <w:t xml:space="preserve"> The CEC in administering EPIC must also take into account adverse localized health impacts of proposed projects to the greatest extent possible,</w:t>
      </w:r>
      <w:r w:rsidRPr="00544127">
        <w:rPr>
          <w:rFonts w:cs="Times New Roman"/>
          <w:b/>
          <w:u w:val="single"/>
          <w:vertAlign w:val="superscript"/>
        </w:rPr>
        <w:footnoteReference w:id="3"/>
      </w:r>
      <w:r w:rsidRPr="00544127">
        <w:rPr>
          <w:b/>
          <w:u w:val="single"/>
        </w:rPr>
        <w:t xml:space="preserve"> and give preference for funding to clean energy projects that benefit residents of low-income or disadvantaged communities.</w:t>
      </w:r>
      <w:r w:rsidRPr="00544127">
        <w:rPr>
          <w:rFonts w:cs="Times New Roman"/>
          <w:b/>
          <w:u w:val="single"/>
          <w:vertAlign w:val="superscript"/>
        </w:rPr>
        <w:footnoteReference w:id="4"/>
      </w:r>
    </w:p>
    <w:p w14:paraId="21F34B09" w14:textId="0CA9877F" w:rsidR="00DA5554" w:rsidRDefault="006E5FDA" w:rsidP="005A70D1">
      <w:pPr>
        <w:ind w:left="720"/>
        <w:jc w:val="both"/>
        <w:rPr>
          <w:rFonts w:ascii="Arial" w:eastAsia="Arial" w:hAnsi="Arial" w:cs="Arial"/>
          <w:color w:val="000000" w:themeColor="text1"/>
          <w:sz w:val="22"/>
          <w:szCs w:val="22"/>
        </w:rPr>
      </w:pPr>
      <w:r w:rsidRPr="00544127">
        <w:rPr>
          <w:b/>
          <w:color w:val="000000"/>
          <w:szCs w:val="22"/>
          <w:u w:val="single"/>
        </w:rPr>
        <w:t>The CEC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will be considered under the scoring criteria for this solicitation.</w:t>
      </w:r>
    </w:p>
    <w:p w14:paraId="42E49E63" w14:textId="77777777" w:rsidR="000A5093" w:rsidRDefault="000A5093" w:rsidP="00A10AFB">
      <w:pPr>
        <w:pStyle w:val="Default"/>
        <w:rPr>
          <w:rFonts w:eastAsia="Arial"/>
          <w:b/>
          <w:bCs/>
          <w:color w:val="0070C0"/>
          <w:sz w:val="22"/>
          <w:szCs w:val="22"/>
        </w:rPr>
      </w:pPr>
    </w:p>
    <w:p w14:paraId="579D1A00" w14:textId="77777777" w:rsidR="000A5093" w:rsidRPr="00192D44" w:rsidRDefault="000A5093" w:rsidP="000A5093">
      <w:pPr>
        <w:pStyle w:val="Default"/>
        <w:rPr>
          <w:rFonts w:eastAsia="Arial"/>
          <w:color w:val="auto"/>
          <w:sz w:val="22"/>
          <w:szCs w:val="22"/>
        </w:rPr>
      </w:pPr>
      <w:r w:rsidRPr="00192D44">
        <w:rPr>
          <w:rFonts w:eastAsia="Arial"/>
          <w:b/>
          <w:bCs/>
          <w:color w:val="auto"/>
          <w:sz w:val="22"/>
          <w:szCs w:val="22"/>
        </w:rPr>
        <w:t>Section I</w:t>
      </w:r>
    </w:p>
    <w:p w14:paraId="40FB4A44" w14:textId="77777777" w:rsidR="000A5093" w:rsidRPr="00192D44" w:rsidRDefault="000A5093" w:rsidP="000A5093">
      <w:pPr>
        <w:rPr>
          <w:rFonts w:ascii="Arial" w:eastAsia="Arial" w:hAnsi="Arial" w:cs="Arial"/>
          <w:sz w:val="22"/>
          <w:szCs w:val="22"/>
        </w:rPr>
      </w:pPr>
    </w:p>
    <w:p w14:paraId="035CEB7F" w14:textId="46065A41" w:rsidR="000A5093" w:rsidRPr="00192D44" w:rsidRDefault="000A5093" w:rsidP="000A5093">
      <w:pPr>
        <w:pStyle w:val="Default"/>
        <w:numPr>
          <w:ilvl w:val="0"/>
          <w:numId w:val="2"/>
        </w:numPr>
        <w:rPr>
          <w:rFonts w:eastAsia="Arial"/>
          <w:color w:val="auto"/>
          <w:sz w:val="22"/>
          <w:szCs w:val="22"/>
        </w:rPr>
      </w:pPr>
      <w:r w:rsidRPr="00192D44">
        <w:rPr>
          <w:rFonts w:eastAsia="Arial"/>
          <w:color w:val="auto"/>
          <w:sz w:val="22"/>
          <w:szCs w:val="22"/>
        </w:rPr>
        <w:t>Page</w:t>
      </w:r>
      <w:r w:rsidR="00100065" w:rsidRPr="00192D44">
        <w:rPr>
          <w:rFonts w:eastAsia="Arial"/>
          <w:color w:val="auto"/>
          <w:sz w:val="22"/>
          <w:szCs w:val="22"/>
        </w:rPr>
        <w:t>s</w:t>
      </w:r>
      <w:r w:rsidRPr="00192D44">
        <w:rPr>
          <w:rFonts w:eastAsia="Arial"/>
          <w:color w:val="auto"/>
          <w:sz w:val="22"/>
          <w:szCs w:val="22"/>
        </w:rPr>
        <w:t xml:space="preserve"> [#</w:t>
      </w:r>
      <w:r w:rsidR="00100065" w:rsidRPr="00192D44">
        <w:rPr>
          <w:rFonts w:eastAsia="Arial"/>
          <w:color w:val="auto"/>
          <w:sz w:val="22"/>
          <w:szCs w:val="22"/>
        </w:rPr>
        <w:t>13 and 14</w:t>
      </w:r>
      <w:r w:rsidRPr="00192D44">
        <w:rPr>
          <w:rFonts w:eastAsia="Arial"/>
          <w:color w:val="auto"/>
          <w:sz w:val="22"/>
          <w:szCs w:val="22"/>
        </w:rPr>
        <w:t xml:space="preserve">], Section </w:t>
      </w:r>
      <w:r w:rsidR="002E6E9E" w:rsidRPr="00192D44">
        <w:rPr>
          <w:rFonts w:eastAsia="Arial"/>
          <w:color w:val="auto"/>
          <w:sz w:val="22"/>
          <w:szCs w:val="22"/>
        </w:rPr>
        <w:t>J</w:t>
      </w:r>
      <w:r w:rsidRPr="00192D44">
        <w:rPr>
          <w:rFonts w:eastAsia="Arial"/>
          <w:color w:val="auto"/>
          <w:sz w:val="22"/>
          <w:szCs w:val="22"/>
        </w:rPr>
        <w:t xml:space="preserve">. </w:t>
      </w:r>
      <w:r w:rsidR="002E6E9E" w:rsidRPr="00192D44">
        <w:rPr>
          <w:rFonts w:eastAsia="Arial"/>
          <w:color w:val="auto"/>
          <w:sz w:val="22"/>
          <w:szCs w:val="22"/>
        </w:rPr>
        <w:t>Background</w:t>
      </w:r>
    </w:p>
    <w:p w14:paraId="1EC323FB" w14:textId="6C1C33BB" w:rsidR="000A5093" w:rsidRDefault="00893164" w:rsidP="000A5093">
      <w:pPr>
        <w:ind w:left="360"/>
        <w:rPr>
          <w:rFonts w:ascii="Arial" w:eastAsia="Arial" w:hAnsi="Arial" w:cs="Arial"/>
          <w:sz w:val="22"/>
          <w:szCs w:val="22"/>
        </w:rPr>
      </w:pPr>
      <w:r>
        <w:rPr>
          <w:rFonts w:ascii="Arial" w:eastAsia="Arial" w:hAnsi="Arial" w:cs="Arial"/>
          <w:sz w:val="22"/>
          <w:szCs w:val="22"/>
        </w:rPr>
        <w:t xml:space="preserve">Added </w:t>
      </w:r>
      <w:r w:rsidR="00722322">
        <w:rPr>
          <w:rFonts w:ascii="Arial" w:eastAsia="Arial" w:hAnsi="Arial" w:cs="Arial"/>
          <w:sz w:val="22"/>
          <w:szCs w:val="22"/>
        </w:rPr>
        <w:t xml:space="preserve">new </w:t>
      </w:r>
      <w:r w:rsidR="008A7472">
        <w:rPr>
          <w:rFonts w:ascii="Arial" w:eastAsia="Arial" w:hAnsi="Arial" w:cs="Arial"/>
          <w:sz w:val="22"/>
          <w:szCs w:val="22"/>
        </w:rPr>
        <w:t>sub-section</w:t>
      </w:r>
      <w:r w:rsidR="00722322">
        <w:rPr>
          <w:rFonts w:ascii="Arial" w:eastAsia="Arial" w:hAnsi="Arial" w:cs="Arial"/>
          <w:sz w:val="22"/>
          <w:szCs w:val="22"/>
        </w:rPr>
        <w:t xml:space="preserve"> and </w:t>
      </w:r>
      <w:r>
        <w:rPr>
          <w:rFonts w:ascii="Arial" w:eastAsia="Arial" w:hAnsi="Arial" w:cs="Arial"/>
          <w:sz w:val="22"/>
          <w:szCs w:val="22"/>
        </w:rPr>
        <w:t>language for SB1020</w:t>
      </w:r>
    </w:p>
    <w:p w14:paraId="5D9FC669" w14:textId="77777777" w:rsidR="00893164" w:rsidRPr="00192D44" w:rsidRDefault="00893164" w:rsidP="000A5093">
      <w:pPr>
        <w:ind w:left="360"/>
        <w:rPr>
          <w:rFonts w:ascii="Arial" w:eastAsia="Arial" w:hAnsi="Arial" w:cs="Arial"/>
          <w:sz w:val="22"/>
          <w:szCs w:val="22"/>
        </w:rPr>
      </w:pPr>
    </w:p>
    <w:p w14:paraId="7CC15224" w14:textId="77777777" w:rsidR="002E6E9E" w:rsidRPr="00544127" w:rsidRDefault="002E6E9E" w:rsidP="002E6E9E">
      <w:pPr>
        <w:numPr>
          <w:ilvl w:val="0"/>
          <w:numId w:val="10"/>
        </w:numPr>
        <w:shd w:val="clear" w:color="auto" w:fill="FFFFFF"/>
        <w:spacing w:after="120"/>
        <w:rPr>
          <w:b/>
          <w:bCs/>
          <w:color w:val="000000"/>
          <w:szCs w:val="22"/>
          <w:u w:val="single"/>
        </w:rPr>
      </w:pPr>
      <w:r w:rsidRPr="00544127">
        <w:rPr>
          <w:b/>
          <w:bCs/>
          <w:color w:val="000000"/>
          <w:szCs w:val="22"/>
          <w:u w:val="single"/>
        </w:rPr>
        <w:t>SB 1020 – Clean Energy, Jobs, and Affordability Act of 2022 </w:t>
      </w:r>
    </w:p>
    <w:p w14:paraId="1F7929D0" w14:textId="77777777" w:rsidR="002E6E9E" w:rsidRPr="00544127" w:rsidRDefault="002E6E9E" w:rsidP="002E6E9E">
      <w:pPr>
        <w:pStyle w:val="ListParagraph"/>
        <w:shd w:val="clear" w:color="auto" w:fill="FFFFFF" w:themeFill="background1"/>
        <w:rPr>
          <w:b/>
          <w:bCs/>
          <w:color w:val="000000"/>
          <w:u w:val="single"/>
        </w:rPr>
      </w:pPr>
      <w:r w:rsidRPr="00544127">
        <w:rPr>
          <w:b/>
          <w:bCs/>
          <w:color w:val="000000" w:themeColor="text1"/>
          <w:u w:val="single"/>
        </w:rPr>
        <w:t xml:space="preserve">SB 1020 revises state policy to provide that eligible renewable energy resources and zero-carbon resources supply 90 percent of all retail sales of electricity to California end-use customers by December 31, 2035, 95 percent of all retail sales of electricity to California end-use customers by December 31, 2040, 100 percent of all retail sales of electricity to California end-use customers by December 31, 2045, and 100 percent of </w:t>
      </w:r>
      <w:r w:rsidRPr="00544127">
        <w:rPr>
          <w:b/>
          <w:bCs/>
          <w:color w:val="000000" w:themeColor="text1"/>
          <w:u w:val="single"/>
        </w:rPr>
        <w:lastRenderedPageBreak/>
        <w:t>electricity procured to serve all state agencies by December 31, 2035, as specified. </w:t>
      </w:r>
    </w:p>
    <w:p w14:paraId="0645D86C" w14:textId="77777777" w:rsidR="002E6E9E" w:rsidRPr="00544127" w:rsidRDefault="002E6E9E" w:rsidP="002E6E9E">
      <w:pPr>
        <w:pStyle w:val="ListParagraph"/>
        <w:shd w:val="clear" w:color="auto" w:fill="FFFFFF"/>
        <w:rPr>
          <w:b/>
          <w:bCs/>
          <w:color w:val="000000"/>
          <w:szCs w:val="22"/>
          <w:u w:val="single"/>
        </w:rPr>
      </w:pPr>
      <w:r w:rsidRPr="00544127">
        <w:rPr>
          <w:b/>
          <w:bCs/>
          <w:color w:val="000000"/>
          <w:szCs w:val="22"/>
          <w:u w:val="single"/>
        </w:rPr>
        <w:t>Additional information: </w:t>
      </w:r>
    </w:p>
    <w:p w14:paraId="408C6221" w14:textId="77777777" w:rsidR="002E6E9E" w:rsidRPr="00544127" w:rsidRDefault="002E6E9E" w:rsidP="002E6E9E">
      <w:pPr>
        <w:pStyle w:val="ListParagraph"/>
        <w:shd w:val="clear" w:color="auto" w:fill="FFFFFF"/>
        <w:rPr>
          <w:b/>
          <w:bCs/>
          <w:szCs w:val="22"/>
          <w:u w:val="single"/>
        </w:rPr>
      </w:pPr>
      <w:r w:rsidRPr="00544127">
        <w:rPr>
          <w:b/>
          <w:bCs/>
          <w:szCs w:val="22"/>
          <w:u w:val="single"/>
          <w:bdr w:val="none" w:sz="0" w:space="0" w:color="auto" w:frame="1"/>
        </w:rPr>
        <w:t>https://leginfo.legislature.ca.gov/faces/billNavClient.xhtml?bill_id=202120220SB1020</w:t>
      </w:r>
      <w:r w:rsidRPr="00544127">
        <w:rPr>
          <w:b/>
          <w:bCs/>
          <w:szCs w:val="22"/>
          <w:u w:val="single"/>
        </w:rPr>
        <w:t> </w:t>
      </w:r>
    </w:p>
    <w:p w14:paraId="649D5CFC" w14:textId="77777777" w:rsidR="002E6E9E" w:rsidRPr="00544127" w:rsidRDefault="002E6E9E" w:rsidP="002E6E9E">
      <w:pPr>
        <w:pStyle w:val="ListParagraph"/>
        <w:shd w:val="clear" w:color="auto" w:fill="FFFFFF"/>
        <w:rPr>
          <w:b/>
          <w:bCs/>
          <w:u w:val="single"/>
        </w:rPr>
      </w:pPr>
      <w:r w:rsidRPr="00544127">
        <w:rPr>
          <w:b/>
          <w:bCs/>
          <w:color w:val="000000"/>
          <w:szCs w:val="22"/>
          <w:u w:val="single"/>
        </w:rPr>
        <w:t>Applicable Law: California Health and Safety Code §§ 38561 et. Seq.</w:t>
      </w:r>
    </w:p>
    <w:p w14:paraId="5FCF5267" w14:textId="77777777" w:rsidR="000A5093" w:rsidRPr="00644E7A" w:rsidRDefault="000A5093" w:rsidP="00A10AFB">
      <w:pPr>
        <w:pStyle w:val="Default"/>
        <w:rPr>
          <w:rFonts w:eastAsia="Arial"/>
          <w:b/>
          <w:bCs/>
          <w:color w:val="auto"/>
          <w:sz w:val="22"/>
          <w:szCs w:val="22"/>
        </w:rPr>
      </w:pPr>
    </w:p>
    <w:p w14:paraId="634E81B8" w14:textId="77777777" w:rsidR="00D21AE9" w:rsidRPr="00644E7A" w:rsidRDefault="00D21AE9" w:rsidP="00D21AE9">
      <w:pPr>
        <w:pStyle w:val="Default"/>
        <w:rPr>
          <w:rFonts w:eastAsia="Arial"/>
          <w:color w:val="auto"/>
          <w:sz w:val="22"/>
          <w:szCs w:val="22"/>
        </w:rPr>
      </w:pPr>
      <w:r w:rsidRPr="00644E7A">
        <w:rPr>
          <w:rFonts w:eastAsia="Arial"/>
          <w:b/>
          <w:bCs/>
          <w:color w:val="auto"/>
          <w:sz w:val="22"/>
          <w:szCs w:val="22"/>
        </w:rPr>
        <w:t>Section I</w:t>
      </w:r>
    </w:p>
    <w:p w14:paraId="55D35179" w14:textId="77777777" w:rsidR="00D21AE9" w:rsidRPr="00644E7A" w:rsidRDefault="00D21AE9" w:rsidP="00D21AE9">
      <w:pPr>
        <w:rPr>
          <w:rFonts w:ascii="Arial" w:eastAsia="Arial" w:hAnsi="Arial" w:cs="Arial"/>
          <w:sz w:val="22"/>
          <w:szCs w:val="22"/>
        </w:rPr>
      </w:pPr>
    </w:p>
    <w:p w14:paraId="26E982CC" w14:textId="7FDAC17C" w:rsidR="00D21AE9" w:rsidRPr="00644E7A" w:rsidRDefault="00D21AE9" w:rsidP="00D21AE9">
      <w:pPr>
        <w:pStyle w:val="Default"/>
        <w:numPr>
          <w:ilvl w:val="0"/>
          <w:numId w:val="2"/>
        </w:numPr>
        <w:rPr>
          <w:rFonts w:eastAsia="Arial"/>
          <w:color w:val="auto"/>
          <w:sz w:val="22"/>
          <w:szCs w:val="22"/>
        </w:rPr>
      </w:pPr>
      <w:r w:rsidRPr="00644E7A">
        <w:rPr>
          <w:rFonts w:eastAsia="Arial"/>
          <w:color w:val="auto"/>
          <w:sz w:val="22"/>
          <w:szCs w:val="22"/>
        </w:rPr>
        <w:t>Page #</w:t>
      </w:r>
      <w:r w:rsidR="00403296" w:rsidRPr="00644E7A">
        <w:rPr>
          <w:rFonts w:eastAsia="Arial"/>
          <w:color w:val="auto"/>
          <w:sz w:val="22"/>
          <w:szCs w:val="22"/>
        </w:rPr>
        <w:t>15</w:t>
      </w:r>
      <w:r w:rsidRPr="00644E7A">
        <w:rPr>
          <w:rFonts w:eastAsia="Arial"/>
          <w:color w:val="auto"/>
          <w:sz w:val="22"/>
          <w:szCs w:val="22"/>
        </w:rPr>
        <w:t xml:space="preserve">, Section </w:t>
      </w:r>
      <w:r w:rsidR="00403296" w:rsidRPr="00644E7A">
        <w:rPr>
          <w:rFonts w:eastAsia="Arial"/>
          <w:color w:val="auto"/>
          <w:sz w:val="22"/>
          <w:szCs w:val="22"/>
        </w:rPr>
        <w:t>J</w:t>
      </w:r>
      <w:r w:rsidRPr="00644E7A">
        <w:rPr>
          <w:rFonts w:eastAsia="Arial"/>
          <w:color w:val="auto"/>
          <w:sz w:val="22"/>
          <w:szCs w:val="22"/>
        </w:rPr>
        <w:t xml:space="preserve">. </w:t>
      </w:r>
      <w:r w:rsidR="00403296" w:rsidRPr="00644E7A">
        <w:rPr>
          <w:rFonts w:eastAsia="Arial"/>
          <w:color w:val="auto"/>
          <w:sz w:val="22"/>
          <w:szCs w:val="22"/>
        </w:rPr>
        <w:t>Background</w:t>
      </w:r>
    </w:p>
    <w:p w14:paraId="674B9EE7" w14:textId="6E223807" w:rsidR="00D21AE9" w:rsidRPr="00644E7A" w:rsidRDefault="008306C4" w:rsidP="00D21AE9">
      <w:pPr>
        <w:ind w:left="360"/>
        <w:rPr>
          <w:rFonts w:ascii="Arial" w:eastAsia="Arial" w:hAnsi="Arial" w:cs="Arial"/>
          <w:sz w:val="22"/>
          <w:szCs w:val="22"/>
        </w:rPr>
      </w:pPr>
      <w:r w:rsidRPr="00644E7A">
        <w:rPr>
          <w:rFonts w:ascii="Arial" w:eastAsia="Arial" w:hAnsi="Arial" w:cs="Arial"/>
          <w:sz w:val="22"/>
          <w:szCs w:val="22"/>
        </w:rPr>
        <w:t>Updated the description for SB 350.</w:t>
      </w:r>
    </w:p>
    <w:p w14:paraId="5B1BF91B" w14:textId="77777777" w:rsidR="00D21AE9" w:rsidRPr="00644E7A" w:rsidRDefault="00D21AE9" w:rsidP="00D21AE9">
      <w:pPr>
        <w:ind w:left="360"/>
        <w:rPr>
          <w:rFonts w:ascii="Arial" w:eastAsia="Arial" w:hAnsi="Arial" w:cs="Arial"/>
          <w:sz w:val="22"/>
          <w:szCs w:val="22"/>
        </w:rPr>
      </w:pPr>
    </w:p>
    <w:p w14:paraId="6339C1A7" w14:textId="77777777" w:rsidR="007710EB" w:rsidRPr="00BA3BBD" w:rsidRDefault="007710EB" w:rsidP="007710EB">
      <w:pPr>
        <w:numPr>
          <w:ilvl w:val="0"/>
          <w:numId w:val="11"/>
        </w:numPr>
        <w:spacing w:after="120" w:line="280" w:lineRule="atLeast"/>
        <w:ind w:hanging="302"/>
        <w:jc w:val="both"/>
        <w:rPr>
          <w:rFonts w:ascii="Palatino Linotype" w:hAnsi="Palatino Linotype" w:cs="Times New Roman"/>
          <w:b/>
          <w:bCs/>
          <w:color w:val="000000"/>
        </w:rPr>
      </w:pPr>
      <w:r w:rsidRPr="6DEB75E8">
        <w:rPr>
          <w:b/>
          <w:bCs/>
          <w:color w:val="000000"/>
        </w:rPr>
        <w:t>SB 350</w:t>
      </w:r>
      <w:r w:rsidRPr="6DEB75E8">
        <w:rPr>
          <w:rFonts w:cs="Times New Roman"/>
          <w:b/>
          <w:bCs/>
          <w:color w:val="000000"/>
          <w:vertAlign w:val="superscript"/>
        </w:rPr>
        <w:footnoteReference w:id="5"/>
      </w:r>
      <w:r w:rsidRPr="6DEB75E8">
        <w:rPr>
          <w:b/>
          <w:bCs/>
          <w:color w:val="000000"/>
        </w:rPr>
        <w:t xml:space="preserve"> Clean Energy and Pollution Reduction Act of 2015, </w:t>
      </w:r>
    </w:p>
    <w:p w14:paraId="39C713B0" w14:textId="77777777" w:rsidR="007710EB" w:rsidRPr="00544127" w:rsidRDefault="007710EB" w:rsidP="007710EB">
      <w:pPr>
        <w:autoSpaceDE w:val="0"/>
        <w:autoSpaceDN w:val="0"/>
        <w:adjustRightInd w:val="0"/>
        <w:ind w:left="720"/>
        <w:jc w:val="both"/>
        <w:rPr>
          <w:strike/>
          <w:szCs w:val="22"/>
        </w:rPr>
      </w:pPr>
      <w:r w:rsidRPr="00544127">
        <w:rPr>
          <w:szCs w:val="22"/>
        </w:rPr>
        <w:t>[</w:t>
      </w:r>
      <w:r w:rsidRPr="00544127">
        <w:rPr>
          <w:strike/>
          <w:szCs w:val="22"/>
        </w:rPr>
        <w:t>SB 350 does the following: 1) expands California’s RPS goals and requires retail sellers of electricity and local publicly owned electricity to increase their procurement of eligible renewable energy resources; 2) requires the Energy Commission to establish annual targets for statewide energy efficiency savings in electricity and natural gas final end uses of retail customers by January 1, 2030; and 3) provide for transformation of the Independent System Operator into a regional organization.</w:t>
      </w:r>
    </w:p>
    <w:p w14:paraId="254B0F9F" w14:textId="77777777" w:rsidR="007710EB" w:rsidRDefault="007710EB" w:rsidP="007710EB">
      <w:pPr>
        <w:spacing w:after="240"/>
        <w:ind w:left="720"/>
        <w:rPr>
          <w:strike/>
          <w:color w:val="000000"/>
        </w:rPr>
      </w:pPr>
      <w:r w:rsidRPr="00544127">
        <w:rPr>
          <w:strike/>
          <w:color w:val="000000"/>
        </w:rPr>
        <w:t>Additional information: http://www.leginfo.ca.gov/pub/15-16/bill/sen/sb_0301-0350/sb_350_bill_20151007_chaptered.htm</w:t>
      </w:r>
      <w:r w:rsidRPr="00544127">
        <w:rPr>
          <w:color w:val="000000"/>
        </w:rPr>
        <w:t>]</w:t>
      </w:r>
    </w:p>
    <w:p w14:paraId="4BA30194" w14:textId="77777777" w:rsidR="007710EB" w:rsidRPr="00544127" w:rsidRDefault="007710EB" w:rsidP="007710EB">
      <w:pPr>
        <w:spacing w:after="240"/>
        <w:ind w:left="720"/>
        <w:rPr>
          <w:b/>
          <w:bCs/>
          <w:u w:val="single"/>
        </w:rPr>
      </w:pPr>
      <w:r w:rsidRPr="00544127">
        <w:rPr>
          <w:b/>
          <w:bCs/>
          <w:u w:val="single"/>
        </w:rPr>
        <w:t xml:space="preserve">SB 350, among other directives, expanded on AB 758 by directing CEC to establish annual targets to achieve a cumulative doubling of statewide energy efficiency savings in electricity and natural gas </w:t>
      </w:r>
      <w:proofErr w:type="gramStart"/>
      <w:r w:rsidRPr="00544127">
        <w:rPr>
          <w:b/>
          <w:bCs/>
          <w:u w:val="single"/>
        </w:rPr>
        <w:t>final end</w:t>
      </w:r>
      <w:proofErr w:type="gramEnd"/>
      <w:r w:rsidRPr="00544127">
        <w:rPr>
          <w:b/>
          <w:bCs/>
          <w:u w:val="single"/>
        </w:rPr>
        <w:t xml:space="preserve"> uses of retail customers by January 1, 2030. This resulted in the Senate Bill 350 Doubling of Energy Efficiency by 2030</w:t>
      </w:r>
      <w:r w:rsidRPr="00544127">
        <w:rPr>
          <w:b/>
          <w:bCs/>
          <w:i/>
          <w:iCs/>
          <w:u w:val="single"/>
        </w:rPr>
        <w:t> </w:t>
      </w:r>
      <w:r w:rsidRPr="00544127">
        <w:rPr>
          <w:b/>
          <w:bCs/>
          <w:u w:val="single"/>
        </w:rPr>
        <w:t>(Doubling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Efficiency Action Plan. </w:t>
      </w:r>
    </w:p>
    <w:p w14:paraId="47807B28" w14:textId="77777777" w:rsidR="007710EB" w:rsidRPr="00544127" w:rsidRDefault="007710EB" w:rsidP="007710EB">
      <w:pPr>
        <w:spacing w:after="240"/>
        <w:ind w:left="720"/>
        <w:rPr>
          <w:b/>
          <w:bCs/>
          <w:u w:val="single"/>
        </w:rPr>
      </w:pPr>
      <w:r w:rsidRPr="00544127">
        <w:rPr>
          <w:b/>
          <w:bCs/>
          <w:u w:val="single"/>
        </w:rPr>
        <w:t xml:space="preserve">SB 350 also requires retail sellers of electricity and local publicly owned electricity increase their procurement of eligible renewable energy </w:t>
      </w:r>
      <w:r w:rsidRPr="00544127">
        <w:rPr>
          <w:b/>
          <w:bCs/>
          <w:u w:val="single"/>
        </w:rPr>
        <w:lastRenderedPageBreak/>
        <w:t>resources and provided for the transformation of the Independent System Operator into a regional organization.</w:t>
      </w:r>
    </w:p>
    <w:p w14:paraId="74A24CA1" w14:textId="31ADC174" w:rsidR="00D21AE9" w:rsidRPr="006263E4" w:rsidRDefault="007710EB" w:rsidP="00644E7A">
      <w:pPr>
        <w:spacing w:after="240" w:line="280" w:lineRule="atLeast"/>
        <w:ind w:left="720"/>
      </w:pPr>
      <w:r w:rsidRPr="00544127">
        <w:rPr>
          <w:b/>
          <w:bCs/>
          <w:u w:val="single"/>
        </w:rPr>
        <w:t>Additional information: https://leginfo.legislature.ca.gov/faces/billTextClient.xhtml?bill_id=201520160SB350; https://www.energy.ca.gov/programs-and-topics/</w:t>
      </w:r>
      <w:r w:rsidRPr="006263E4">
        <w:rPr>
          <w:b/>
          <w:bCs/>
          <w:u w:val="single"/>
        </w:rPr>
        <w:t>programs/energy-efficiency-existing-buildings</w:t>
      </w:r>
    </w:p>
    <w:p w14:paraId="1162A1F2" w14:textId="77777777" w:rsidR="00D21AE9" w:rsidRPr="006263E4" w:rsidRDefault="00D21AE9" w:rsidP="00D21AE9">
      <w:pPr>
        <w:pStyle w:val="Default"/>
        <w:rPr>
          <w:rFonts w:eastAsia="Arial"/>
          <w:color w:val="auto"/>
          <w:sz w:val="22"/>
          <w:szCs w:val="22"/>
        </w:rPr>
      </w:pPr>
      <w:r w:rsidRPr="006263E4">
        <w:rPr>
          <w:rFonts w:eastAsia="Arial"/>
          <w:b/>
          <w:bCs/>
          <w:color w:val="auto"/>
          <w:sz w:val="22"/>
          <w:szCs w:val="22"/>
        </w:rPr>
        <w:t>Section I</w:t>
      </w:r>
    </w:p>
    <w:p w14:paraId="0FEB724C" w14:textId="77777777" w:rsidR="00D21AE9" w:rsidRPr="006263E4" w:rsidRDefault="00D21AE9" w:rsidP="00D21AE9">
      <w:pPr>
        <w:rPr>
          <w:rFonts w:ascii="Arial" w:eastAsia="Arial" w:hAnsi="Arial" w:cs="Arial"/>
          <w:sz w:val="22"/>
          <w:szCs w:val="22"/>
        </w:rPr>
      </w:pPr>
    </w:p>
    <w:p w14:paraId="568C759F" w14:textId="349B6A15" w:rsidR="00D21AE9" w:rsidRPr="006263E4" w:rsidRDefault="00D21AE9" w:rsidP="00D21AE9">
      <w:pPr>
        <w:pStyle w:val="Default"/>
        <w:numPr>
          <w:ilvl w:val="0"/>
          <w:numId w:val="2"/>
        </w:numPr>
        <w:rPr>
          <w:rFonts w:eastAsia="Arial"/>
          <w:color w:val="auto"/>
          <w:sz w:val="22"/>
          <w:szCs w:val="22"/>
        </w:rPr>
      </w:pPr>
      <w:r w:rsidRPr="006263E4">
        <w:rPr>
          <w:rFonts w:eastAsia="Arial"/>
          <w:color w:val="auto"/>
          <w:sz w:val="22"/>
          <w:szCs w:val="22"/>
        </w:rPr>
        <w:t>Page</w:t>
      </w:r>
      <w:r w:rsidR="00D46E30" w:rsidRPr="006263E4">
        <w:rPr>
          <w:rFonts w:eastAsia="Arial"/>
          <w:color w:val="auto"/>
          <w:sz w:val="22"/>
          <w:szCs w:val="22"/>
        </w:rPr>
        <w:t>s</w:t>
      </w:r>
      <w:r w:rsidRPr="006263E4">
        <w:rPr>
          <w:rFonts w:eastAsia="Arial"/>
          <w:color w:val="auto"/>
          <w:sz w:val="22"/>
          <w:szCs w:val="22"/>
        </w:rPr>
        <w:t xml:space="preserve"> #</w:t>
      </w:r>
      <w:r w:rsidR="00D46E30" w:rsidRPr="006263E4">
        <w:rPr>
          <w:rFonts w:eastAsia="Arial"/>
          <w:color w:val="auto"/>
          <w:sz w:val="22"/>
          <w:szCs w:val="22"/>
        </w:rPr>
        <w:t>18, 19, and 20</w:t>
      </w:r>
      <w:r w:rsidRPr="006263E4">
        <w:rPr>
          <w:rFonts w:eastAsia="Arial"/>
          <w:color w:val="auto"/>
          <w:sz w:val="22"/>
          <w:szCs w:val="22"/>
        </w:rPr>
        <w:t xml:space="preserve">, Section </w:t>
      </w:r>
      <w:r w:rsidR="00C353E0" w:rsidRPr="006263E4">
        <w:rPr>
          <w:rFonts w:eastAsia="Arial"/>
          <w:color w:val="auto"/>
          <w:sz w:val="22"/>
          <w:szCs w:val="22"/>
        </w:rPr>
        <w:t>K</w:t>
      </w:r>
      <w:r w:rsidRPr="006263E4">
        <w:rPr>
          <w:rFonts w:eastAsia="Arial"/>
          <w:color w:val="auto"/>
          <w:sz w:val="22"/>
          <w:szCs w:val="22"/>
        </w:rPr>
        <w:t xml:space="preserve">. </w:t>
      </w:r>
      <w:r w:rsidR="006263E4" w:rsidRPr="006263E4">
        <w:rPr>
          <w:rFonts w:eastAsia="Arial"/>
          <w:color w:val="auto"/>
          <w:sz w:val="22"/>
          <w:szCs w:val="22"/>
        </w:rPr>
        <w:t>Match Funding</w:t>
      </w:r>
    </w:p>
    <w:p w14:paraId="65892E73" w14:textId="5F394637" w:rsidR="00D21AE9" w:rsidRDefault="00A322DA" w:rsidP="00D21AE9">
      <w:pPr>
        <w:ind w:left="360"/>
        <w:rPr>
          <w:rFonts w:ascii="Arial" w:eastAsia="Arial" w:hAnsi="Arial" w:cs="Arial"/>
          <w:sz w:val="22"/>
          <w:szCs w:val="22"/>
        </w:rPr>
      </w:pPr>
      <w:r>
        <w:rPr>
          <w:rFonts w:ascii="Arial" w:eastAsia="Arial" w:hAnsi="Arial" w:cs="Arial"/>
          <w:sz w:val="22"/>
          <w:szCs w:val="22"/>
        </w:rPr>
        <w:t>Updated language.</w:t>
      </w:r>
    </w:p>
    <w:p w14:paraId="0A3FC504" w14:textId="77777777" w:rsidR="00A322DA" w:rsidRPr="006263E4" w:rsidRDefault="00A322DA" w:rsidP="00D21AE9">
      <w:pPr>
        <w:ind w:left="360"/>
        <w:rPr>
          <w:rFonts w:ascii="Arial" w:eastAsia="Arial" w:hAnsi="Arial" w:cs="Arial"/>
          <w:sz w:val="22"/>
          <w:szCs w:val="22"/>
        </w:rPr>
      </w:pPr>
    </w:p>
    <w:p w14:paraId="0950C5DF" w14:textId="77777777" w:rsidR="00F72ADC" w:rsidRPr="00BA3BBD" w:rsidRDefault="00F72ADC" w:rsidP="00F72ADC">
      <w:pPr>
        <w:numPr>
          <w:ilvl w:val="0"/>
          <w:numId w:val="12"/>
        </w:numPr>
        <w:tabs>
          <w:tab w:val="left" w:pos="1080"/>
        </w:tabs>
        <w:spacing w:after="120"/>
        <w:ind w:left="1080"/>
        <w:jc w:val="both"/>
        <w:rPr>
          <w:szCs w:val="22"/>
        </w:rPr>
      </w:pPr>
      <w:r w:rsidRPr="006263E4">
        <w:rPr>
          <w:b/>
          <w:szCs w:val="22"/>
        </w:rPr>
        <w:t>“Ma</w:t>
      </w:r>
      <w:r w:rsidRPr="00BA3BBD">
        <w:rPr>
          <w:b/>
          <w:szCs w:val="22"/>
        </w:rPr>
        <w:t>tch funds”</w:t>
      </w:r>
      <w:r w:rsidRPr="00BA3BBD">
        <w:rPr>
          <w:szCs w:val="22"/>
        </w:rPr>
        <w:t xml:space="preserve"> includes cash or in-kind (non-cash) contributions provided by the applicant, subcontractors, or other parties including pilot testing, demonstration, and/or deployment sites (e.g., test site staff services) that will be used in performance of the proposed project. </w:t>
      </w:r>
    </w:p>
    <w:p w14:paraId="7AC3AFA2" w14:textId="77777777" w:rsidR="00F72ADC" w:rsidRPr="00BA3BBD" w:rsidRDefault="00F72ADC" w:rsidP="00F72ADC">
      <w:pPr>
        <w:tabs>
          <w:tab w:val="left" w:pos="1080"/>
        </w:tabs>
        <w:ind w:left="1080"/>
        <w:jc w:val="both"/>
        <w:rPr>
          <w:szCs w:val="22"/>
        </w:rPr>
      </w:pPr>
      <w:r w:rsidRPr="00BA3BBD">
        <w:rPr>
          <w:szCs w:val="22"/>
        </w:rPr>
        <w:t xml:space="preserve">“Match funds” </w:t>
      </w:r>
      <w:r w:rsidRPr="00BA3BBD">
        <w:rPr>
          <w:szCs w:val="22"/>
          <w:u w:val="single"/>
        </w:rPr>
        <w:t>do not</w:t>
      </w:r>
      <w:r w:rsidRPr="00BA3BBD">
        <w:rPr>
          <w:szCs w:val="22"/>
        </w:rPr>
        <w:t xml:space="preserve"> include: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4035DFD3" w14:textId="77777777" w:rsidR="00F72ADC" w:rsidRPr="00BA3BBD" w:rsidRDefault="00F72ADC" w:rsidP="00F72ADC">
      <w:pPr>
        <w:tabs>
          <w:tab w:val="left" w:pos="1080"/>
        </w:tabs>
        <w:ind w:left="1080"/>
        <w:jc w:val="both"/>
        <w:rPr>
          <w:szCs w:val="22"/>
        </w:rPr>
      </w:pPr>
      <w:r w:rsidRPr="00BA3BBD">
        <w:rPr>
          <w:szCs w:val="22"/>
        </w:rPr>
        <w:t>Definitions of “match funding” categories are listed below:</w:t>
      </w:r>
    </w:p>
    <w:p w14:paraId="6DD872CC" w14:textId="77777777" w:rsidR="00F72ADC" w:rsidRPr="00BA3BBD" w:rsidRDefault="00F72ADC" w:rsidP="00F72ADC">
      <w:pPr>
        <w:numPr>
          <w:ilvl w:val="2"/>
          <w:numId w:val="12"/>
        </w:numPr>
        <w:tabs>
          <w:tab w:val="left" w:pos="1080"/>
          <w:tab w:val="left" w:pos="1440"/>
          <w:tab w:val="left" w:pos="1530"/>
        </w:tabs>
        <w:spacing w:before="120" w:after="120"/>
        <w:ind w:left="1620"/>
        <w:jc w:val="both"/>
        <w:rPr>
          <w:szCs w:val="22"/>
        </w:rPr>
      </w:pPr>
      <w:r>
        <w:rPr>
          <w:b/>
          <w:szCs w:val="22"/>
        </w:rPr>
        <w:t>“</w:t>
      </w:r>
      <w:r w:rsidRPr="00BA3BBD">
        <w:rPr>
          <w:b/>
          <w:szCs w:val="22"/>
        </w:rPr>
        <w:t>Cash”</w:t>
      </w:r>
      <w:r w:rsidRPr="00BA3BBD">
        <w:rPr>
          <w:szCs w:val="22"/>
        </w:rPr>
        <w:t xml:space="preserve"> </w:t>
      </w:r>
      <w:r w:rsidRPr="00BA3BBD">
        <w:rPr>
          <w:b/>
          <w:szCs w:val="22"/>
        </w:rPr>
        <w:t>match</w:t>
      </w:r>
      <w:r w:rsidRPr="00BA3BBD">
        <w:rPr>
          <w:szCs w:val="22"/>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match can include </w:t>
      </w:r>
      <w:r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23B8F173" w14:textId="77777777" w:rsidR="00F72ADC" w:rsidRDefault="00F72ADC" w:rsidP="00F72ADC">
      <w:pPr>
        <w:numPr>
          <w:ilvl w:val="2"/>
          <w:numId w:val="12"/>
        </w:numPr>
        <w:tabs>
          <w:tab w:val="left" w:pos="1080"/>
          <w:tab w:val="left" w:pos="1440"/>
          <w:tab w:val="left" w:pos="1530"/>
        </w:tabs>
        <w:spacing w:before="120" w:after="120"/>
        <w:ind w:left="1620"/>
        <w:jc w:val="both"/>
        <w:rPr>
          <w:szCs w:val="22"/>
        </w:rPr>
      </w:pPr>
      <w:r w:rsidRPr="00BA3BBD">
        <w:rPr>
          <w:b/>
          <w:szCs w:val="22"/>
        </w:rPr>
        <w:t>“In-Kind”</w:t>
      </w:r>
      <w:r w:rsidRPr="00BA3BBD">
        <w:rPr>
          <w:szCs w:val="22"/>
        </w:rPr>
        <w:t xml:space="preserve"> </w:t>
      </w:r>
      <w:r w:rsidRPr="00BA3BBD">
        <w:rPr>
          <w:b/>
          <w:szCs w:val="22"/>
        </w:rPr>
        <w:t>match</w:t>
      </w:r>
      <w:r w:rsidRPr="00BA3BBD">
        <w:rPr>
          <w:szCs w:val="22"/>
        </w:rPr>
        <w:t xml:space="preserve"> </w:t>
      </w:r>
      <w:r w:rsidRPr="00544127">
        <w:rPr>
          <w:b/>
          <w:bCs/>
          <w:u w:val="single"/>
        </w:rPr>
        <w:t xml:space="preserve">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w:t>
      </w:r>
      <w:proofErr w:type="gramStart"/>
      <w:r w:rsidRPr="00544127">
        <w:rPr>
          <w:b/>
          <w:bCs/>
          <w:u w:val="single"/>
        </w:rPr>
        <w:t>project, and</w:t>
      </w:r>
      <w:proofErr w:type="gramEnd"/>
      <w:r w:rsidRPr="00544127">
        <w:rPr>
          <w:b/>
          <w:bCs/>
          <w:u w:val="single"/>
        </w:rPr>
        <w:t xml:space="preserve"> depreciated or amortized over the term of the project using generally accepted accounting principles (GAAP). Labor rates for </w:t>
      </w:r>
      <w:r w:rsidRPr="00544127">
        <w:rPr>
          <w:b/>
          <w:bCs/>
          <w:u w:val="single"/>
        </w:rPr>
        <w:lastRenderedPageBreak/>
        <w:t>hours donated by non-employees who are not paid for their time must be consistent with those paid for similar work. Cost allocations must be reasonable and allocable to the proposed project. In-kind match share must be included in the agreement budget</w:t>
      </w:r>
      <w:r>
        <w:t xml:space="preserve"> [</w:t>
      </w:r>
      <w:r w:rsidRPr="00544127">
        <w:rPr>
          <w:strike/>
          <w:szCs w:val="22"/>
        </w:rPr>
        <w:t xml:space="preserve">is typically in the form of the value of personnel, goods, and services, including direct and indirect costs. This can include equipment, facilities, and other property </w:t>
      </w:r>
      <w:proofErr w:type="gramStart"/>
      <w:r w:rsidRPr="00544127">
        <w:rPr>
          <w:strike/>
          <w:szCs w:val="22"/>
        </w:rPr>
        <w:t>as long as</w:t>
      </w:r>
      <w:proofErr w:type="gramEnd"/>
      <w:r w:rsidRPr="00544127">
        <w:rPr>
          <w:strike/>
          <w:szCs w:val="22"/>
        </w:rPr>
        <w:t xml:space="preserve"> the value of the contribution is based on documented market values or book values, prorated for its use in the project, and depreciated or amortized over the term of the project using generally accepted accounting principles (GAAP)</w:t>
      </w:r>
      <w:r w:rsidRPr="00544127">
        <w:rPr>
          <w:szCs w:val="22"/>
        </w:rPr>
        <w:t>]</w:t>
      </w:r>
      <w:r w:rsidRPr="00BA3BBD">
        <w:rPr>
          <w:szCs w:val="22"/>
        </w:rPr>
        <w:t>.</w:t>
      </w:r>
    </w:p>
    <w:p w14:paraId="09138DA4" w14:textId="77777777" w:rsidR="00F72ADC" w:rsidRPr="00BA3BBD" w:rsidRDefault="00F72ADC" w:rsidP="00F72ADC">
      <w:pPr>
        <w:tabs>
          <w:tab w:val="left" w:pos="1080"/>
          <w:tab w:val="left" w:pos="1440"/>
          <w:tab w:val="left" w:pos="1530"/>
        </w:tabs>
        <w:spacing w:before="120"/>
        <w:ind w:left="1620"/>
        <w:jc w:val="both"/>
        <w:rPr>
          <w:szCs w:val="22"/>
        </w:rPr>
      </w:pPr>
      <w:r w:rsidRPr="00544127">
        <w:rPr>
          <w:b/>
          <w:bCs/>
          <w:szCs w:val="22"/>
          <w:u w:val="single"/>
        </w:rPr>
        <w:t>The grant recipient is expected to maintain appropriate documentation to support the fair market value of all in-kind match including match donated by third parties or major subrecipients</w:t>
      </w:r>
      <w:r>
        <w:rPr>
          <w:szCs w:val="22"/>
        </w:rPr>
        <w:t>.</w:t>
      </w:r>
    </w:p>
    <w:p w14:paraId="4E2D7D48" w14:textId="77777777" w:rsidR="00F72ADC" w:rsidRPr="00BA3BBD" w:rsidRDefault="00F72ADC" w:rsidP="00F72ADC">
      <w:pPr>
        <w:numPr>
          <w:ilvl w:val="0"/>
          <w:numId w:val="12"/>
        </w:numPr>
        <w:tabs>
          <w:tab w:val="left" w:pos="1080"/>
        </w:tabs>
        <w:spacing w:after="120"/>
        <w:ind w:left="1080"/>
        <w:jc w:val="both"/>
      </w:pPr>
      <w:r w:rsidRPr="00BA3BBD">
        <w:t>Match funds m</w:t>
      </w:r>
      <w:r>
        <w:t>ust</w:t>
      </w:r>
      <w:r w:rsidRPr="00BA3BBD">
        <w:t xml:space="preserve"> be spent only during the agreement term, either before or concurrently with </w:t>
      </w:r>
      <w:r>
        <w:t>[</w:t>
      </w:r>
      <w:r w:rsidRPr="00544127">
        <w:rPr>
          <w:strike/>
        </w:rPr>
        <w:t>EPIC</w:t>
      </w:r>
      <w:r w:rsidRPr="00544127">
        <w:t>]</w:t>
      </w:r>
      <w:r w:rsidRPr="00BA3BBD">
        <w:t xml:space="preserve"> </w:t>
      </w:r>
      <w:r w:rsidRPr="00544127">
        <w:rPr>
          <w:b/>
          <w:bCs/>
          <w:u w:val="single"/>
        </w:rPr>
        <w:t>CEC</w:t>
      </w:r>
      <w:r w:rsidRPr="00BA3BBD">
        <w:t xml:space="preserve"> funds</w:t>
      </w:r>
      <w:r>
        <w:t xml:space="preserve"> </w:t>
      </w:r>
      <w:r w:rsidRPr="00544127">
        <w:rPr>
          <w:b/>
          <w:bCs/>
          <w:u w:val="single"/>
        </w:rPr>
        <w:t>or in accordance with an approved Match Fund Spending Plan</w:t>
      </w:r>
      <w:r w:rsidRPr="00BA3BBD">
        <w:t xml:space="preserve">. Match funds also must be </w:t>
      </w:r>
      <w:r w:rsidRPr="00BA3BBD">
        <w:rPr>
          <w:szCs w:val="22"/>
        </w:rPr>
        <w:t>r</w:t>
      </w:r>
      <w:r w:rsidRPr="00BA3BBD">
        <w:t>eported in invoices submitted to the CEC.</w:t>
      </w:r>
      <w:r w:rsidRPr="00BA3BBD">
        <w:rPr>
          <w:b/>
        </w:rPr>
        <w:t xml:space="preserve"> </w:t>
      </w:r>
    </w:p>
    <w:p w14:paraId="422C0F8B" w14:textId="77777777" w:rsidR="00F72ADC" w:rsidRPr="00BA3BBD" w:rsidRDefault="00F72ADC" w:rsidP="00F72ADC">
      <w:pPr>
        <w:numPr>
          <w:ilvl w:val="0"/>
          <w:numId w:val="12"/>
        </w:numPr>
        <w:tabs>
          <w:tab w:val="left" w:pos="1080"/>
        </w:tabs>
        <w:suppressAutoHyphens/>
        <w:spacing w:after="120"/>
        <w:ind w:left="1080"/>
        <w:jc w:val="both"/>
      </w:pPr>
      <w:r w:rsidRPr="00544127">
        <w:rPr>
          <w:b/>
          <w:bCs/>
          <w:szCs w:val="22"/>
          <w:u w:val="single"/>
        </w:rPr>
        <w:t>All applications that include match funds must submit commitment letters, including applicant, subrecipients,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w:t>
      </w:r>
      <w:r>
        <w:rPr>
          <w:szCs w:val="22"/>
        </w:rPr>
        <w:t xml:space="preserve"> [</w:t>
      </w:r>
      <w:r w:rsidRPr="00544127">
        <w:rPr>
          <w:strike/>
        </w:rPr>
        <w:t xml:space="preserve">All applicants providing match funds must submit commitment letters, </w:t>
      </w:r>
      <w:r w:rsidRPr="00544127">
        <w:rPr>
          <w:b/>
          <w:bCs/>
          <w:strike/>
        </w:rPr>
        <w:t>including prime and subcontractors</w:t>
      </w:r>
      <w:r w:rsidRPr="00544127">
        <w:rPr>
          <w:strike/>
        </w:rPr>
        <w:t>,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Attachment 8, Commitment and Support Letter Form. Commitment and support letters must be submitted with the application to be considered</w:t>
      </w:r>
      <w:r w:rsidRPr="00544127">
        <w:t>]</w:t>
      </w:r>
      <w:r>
        <w:t xml:space="preserve">. </w:t>
      </w:r>
    </w:p>
    <w:p w14:paraId="2F5D1FEA" w14:textId="77777777" w:rsidR="00F72ADC" w:rsidRPr="00BA3BBD" w:rsidRDefault="00F72ADC" w:rsidP="00F72ADC">
      <w:pPr>
        <w:numPr>
          <w:ilvl w:val="0"/>
          <w:numId w:val="12"/>
        </w:numPr>
        <w:tabs>
          <w:tab w:val="left" w:pos="1080"/>
        </w:tabs>
        <w:suppressAutoHyphens/>
        <w:spacing w:after="120"/>
        <w:ind w:left="1080"/>
        <w:jc w:val="both"/>
        <w:rPr>
          <w:szCs w:val="22"/>
        </w:rPr>
      </w:pPr>
      <w:r w:rsidRPr="00BA3BBD">
        <w:rPr>
          <w:color w:val="000000" w:themeColor="text1"/>
          <w:szCs w:val="22"/>
        </w:rPr>
        <w:t>Any match pledged in Attachment 1 must be consistent with the amount or dollar value described in the commitment letter(s) (e.g., if $5,000 “cash in hand” funds are pledged in a commitment letter, Attachment 1 must match this amount).  Only the total amount pledged in the commitment letter(s) will be considered for match funding points.</w:t>
      </w:r>
    </w:p>
    <w:p w14:paraId="229E1460" w14:textId="77777777" w:rsidR="00F72ADC" w:rsidRPr="00BA3BBD" w:rsidRDefault="00F72ADC" w:rsidP="00F72ADC">
      <w:pPr>
        <w:tabs>
          <w:tab w:val="left" w:pos="1080"/>
          <w:tab w:val="left" w:pos="1440"/>
          <w:tab w:val="left" w:pos="1530"/>
        </w:tabs>
        <w:spacing w:after="60"/>
        <w:jc w:val="both"/>
        <w:rPr>
          <w:szCs w:val="22"/>
        </w:rPr>
      </w:pPr>
      <w:r w:rsidRPr="00BA3BBD">
        <w:rPr>
          <w:szCs w:val="22"/>
        </w:rPr>
        <w:lastRenderedPageBreak/>
        <w:t>Examples of preferred match share:</w:t>
      </w:r>
    </w:p>
    <w:p w14:paraId="25805B7A" w14:textId="77777777" w:rsidR="00F72ADC" w:rsidRDefault="00F72ADC" w:rsidP="00F72ADC">
      <w:pPr>
        <w:numPr>
          <w:ilvl w:val="2"/>
          <w:numId w:val="12"/>
        </w:numPr>
        <w:tabs>
          <w:tab w:val="left" w:pos="1620"/>
        </w:tabs>
        <w:spacing w:before="120" w:after="120"/>
        <w:ind w:left="1620"/>
        <w:jc w:val="both"/>
        <w:rPr>
          <w:szCs w:val="22"/>
        </w:rPr>
      </w:pPr>
      <w:r w:rsidRPr="00BA3BBD">
        <w:rPr>
          <w:b/>
          <w:szCs w:val="22"/>
        </w:rPr>
        <w:t xml:space="preserve">“Travel” </w:t>
      </w:r>
      <w:r w:rsidRPr="00544127">
        <w:rPr>
          <w:b/>
          <w:bCs/>
          <w:u w:val="single"/>
        </w:rPr>
        <w:t>refers to all travel required to complete the tasks identified in the Scope of Work. Travel includes in-state and out-of-state, and travel to conferences. Use of match funds for out-of-state travel is encouraged, as the CEC discourages and may not approve the use of its funds for such travel. If an applicant plans to travel to conferences, including registration fees, they must use match funds</w:t>
      </w:r>
      <w:r w:rsidRPr="00F60F89">
        <w:t xml:space="preserve"> </w:t>
      </w:r>
      <w:r w:rsidRPr="00544127">
        <w:t>[</w:t>
      </w:r>
      <w:r w:rsidRPr="00544127">
        <w:rPr>
          <w:strike/>
          <w:szCs w:val="22"/>
        </w:rPr>
        <w:t>refers to all travel required to complete the tasks identified in the Scope of Work. Travel includes in-state and out-of-state, and travel to conferences. EPIC funds are limited to lodging and any form of transportation (e.g., airfare, rental car, public transit, parking, mileage). Use of match funds for out-of-state travel is encouraged, as the CEC discourages and may not approve the use of its funds for such travel. If an applicant plans to travel to conferences, including registration fees, they must use match funds.  Applicants shall adhere to travel restrictions of using state funds to travel to certain other states pursuant to AB 1887 (2016) and codified at California Government Code Section 11139.8. All applicants are encouraged to consider the Attorney General’s website https://oag.ca.gov/ab1887 for a current list of states subject to travel restrictions.  Awarded Grants under this solicitation shall not contain travel paid for with Commission funds (applicants can instead use match funds) to the listed states unless the Commission approves in writing that the trip falls within one of the exceptions under the law</w:t>
      </w:r>
      <w:r w:rsidRPr="00544127">
        <w:rPr>
          <w:szCs w:val="22"/>
        </w:rPr>
        <w:t>]</w:t>
      </w:r>
      <w:r w:rsidRPr="00BA3BBD">
        <w:rPr>
          <w:szCs w:val="22"/>
        </w:rPr>
        <w:t>.</w:t>
      </w:r>
    </w:p>
    <w:p w14:paraId="48421E6D" w14:textId="77777777" w:rsidR="00F72ADC" w:rsidRPr="00BA3BBD" w:rsidRDefault="00F72ADC" w:rsidP="00F72ADC">
      <w:pPr>
        <w:numPr>
          <w:ilvl w:val="2"/>
          <w:numId w:val="12"/>
        </w:numPr>
        <w:tabs>
          <w:tab w:val="left" w:pos="1620"/>
        </w:tabs>
        <w:spacing w:before="120" w:after="120"/>
        <w:ind w:left="1620"/>
        <w:jc w:val="both"/>
        <w:rPr>
          <w:szCs w:val="22"/>
        </w:rPr>
      </w:pPr>
      <w:r w:rsidRPr="00BA3BBD">
        <w:rPr>
          <w:b/>
          <w:szCs w:val="22"/>
        </w:rPr>
        <w:t xml:space="preserve">“Equipment” is </w:t>
      </w:r>
      <w:r w:rsidRPr="00BA3BBD">
        <w:rPr>
          <w:snapToGrid w:val="0"/>
          <w:szCs w:val="22"/>
        </w:rPr>
        <w:t xml:space="preserve">an item </w:t>
      </w:r>
      <w:r w:rsidRPr="00BA3BBD">
        <w:rPr>
          <w:szCs w:val="22"/>
        </w:rPr>
        <w:t>with a unit cost of at least $5,000 and a useful life of at least one ye</w:t>
      </w:r>
      <w:r w:rsidRPr="00BA3BBD">
        <w:rPr>
          <w:snapToGrid w:val="0"/>
          <w:szCs w:val="22"/>
        </w:rPr>
        <w:t xml:space="preserve">ar. </w:t>
      </w:r>
      <w:r w:rsidRPr="00BA3BBD">
        <w:rPr>
          <w:b/>
          <w:snapToGrid w:val="0"/>
          <w:szCs w:val="22"/>
        </w:rPr>
        <w:t>Purchasing equipment with match funding is encouraged</w:t>
      </w:r>
      <w:r w:rsidRPr="00BA3BBD">
        <w:rPr>
          <w:snapToGrid w:val="0"/>
          <w:szCs w:val="22"/>
        </w:rPr>
        <w:t xml:space="preserve"> </w:t>
      </w:r>
      <w:r>
        <w:rPr>
          <w:snapToGrid w:val="0"/>
          <w:szCs w:val="22"/>
        </w:rPr>
        <w:t>as</w:t>
      </w:r>
      <w:r w:rsidRPr="00BA3BBD">
        <w:rPr>
          <w:snapToGrid w:val="0"/>
          <w:szCs w:val="22"/>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2C2BECEC" w14:textId="46B74A90" w:rsidR="00D21AE9" w:rsidRPr="006D2D23" w:rsidRDefault="00F72ADC" w:rsidP="006D2D23">
      <w:pPr>
        <w:ind w:left="360"/>
        <w:rPr>
          <w:rFonts w:eastAsia="Arial"/>
          <w:color w:val="0070C0"/>
          <w:sz w:val="22"/>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Pr>
          <w:b/>
          <w:szCs w:val="22"/>
        </w:rPr>
        <w:t>Us</w:t>
      </w:r>
      <w:r w:rsidRPr="004B38BF">
        <w:rPr>
          <w:b/>
          <w:szCs w:val="22"/>
        </w:rPr>
        <w:t xml:space="preserve">ing match funds </w:t>
      </w:r>
      <w:r>
        <w:rPr>
          <w:b/>
          <w:szCs w:val="22"/>
        </w:rPr>
        <w:t>for p</w:t>
      </w:r>
      <w:r w:rsidRPr="00E47EF6">
        <w:rPr>
          <w:b/>
          <w:szCs w:val="22"/>
        </w:rPr>
        <w:t>urchasing items such as laptops, notebooks and</w:t>
      </w:r>
      <w:r>
        <w:rPr>
          <w:b/>
          <w:szCs w:val="22"/>
        </w:rPr>
        <w:t>/or</w:t>
      </w:r>
      <w:r w:rsidRPr="00E47EF6">
        <w:rPr>
          <w:b/>
          <w:szCs w:val="22"/>
        </w:rPr>
        <w:t xml:space="preserve"> </w:t>
      </w:r>
      <w:r>
        <w:rPr>
          <w:b/>
          <w:szCs w:val="22"/>
        </w:rPr>
        <w:t xml:space="preserve">personal </w:t>
      </w:r>
      <w:r w:rsidRPr="00E47EF6">
        <w:rPr>
          <w:b/>
          <w:szCs w:val="22"/>
        </w:rPr>
        <w:t xml:space="preserve">tablets is encouraged, as </w:t>
      </w:r>
      <w:r>
        <w:rPr>
          <w:b/>
          <w:szCs w:val="22"/>
        </w:rPr>
        <w:t>[</w:t>
      </w:r>
      <w:r w:rsidRPr="003204C5">
        <w:rPr>
          <w:b/>
          <w:strike/>
          <w:szCs w:val="22"/>
        </w:rPr>
        <w:t>Energy Commission</w:t>
      </w:r>
      <w:r w:rsidRPr="00544127">
        <w:rPr>
          <w:b/>
          <w:szCs w:val="22"/>
        </w:rPr>
        <w:t>]</w:t>
      </w:r>
      <w:r>
        <w:rPr>
          <w:b/>
          <w:szCs w:val="22"/>
        </w:rPr>
        <w:t xml:space="preserve"> </w:t>
      </w:r>
      <w:r w:rsidRPr="00544127">
        <w:rPr>
          <w:b/>
          <w:szCs w:val="22"/>
          <w:u w:val="single"/>
        </w:rPr>
        <w:t>CEC</w:t>
      </w:r>
      <w:r w:rsidRPr="00E47EF6">
        <w:rPr>
          <w:b/>
          <w:szCs w:val="22"/>
        </w:rPr>
        <w:t xml:space="preserve"> funds </w:t>
      </w:r>
      <w:r>
        <w:rPr>
          <w:b/>
          <w:szCs w:val="22"/>
        </w:rPr>
        <w:t>for these purchases is not allowed</w:t>
      </w:r>
      <w:r w:rsidRPr="00E47EF6">
        <w:rPr>
          <w:b/>
          <w:szCs w:val="22"/>
        </w:rPr>
        <w:t>.</w:t>
      </w:r>
    </w:p>
    <w:p w14:paraId="51333AF9" w14:textId="77777777" w:rsidR="00D21AE9" w:rsidRPr="00C32D3F" w:rsidRDefault="00D21AE9" w:rsidP="00D21AE9">
      <w:pPr>
        <w:pStyle w:val="Default"/>
        <w:rPr>
          <w:rFonts w:eastAsia="Arial"/>
          <w:i/>
          <w:iCs/>
          <w:color w:val="auto"/>
          <w:sz w:val="22"/>
          <w:szCs w:val="22"/>
        </w:rPr>
      </w:pPr>
    </w:p>
    <w:p w14:paraId="356A4909" w14:textId="77777777" w:rsidR="00D21AE9" w:rsidRPr="00C32D3F" w:rsidRDefault="00D21AE9" w:rsidP="00D21AE9">
      <w:pPr>
        <w:pStyle w:val="Default"/>
        <w:rPr>
          <w:rFonts w:eastAsia="Arial"/>
          <w:color w:val="auto"/>
          <w:sz w:val="22"/>
          <w:szCs w:val="22"/>
        </w:rPr>
      </w:pPr>
      <w:r w:rsidRPr="00C32D3F">
        <w:rPr>
          <w:rFonts w:eastAsia="Arial"/>
          <w:b/>
          <w:bCs/>
          <w:color w:val="auto"/>
          <w:sz w:val="22"/>
          <w:szCs w:val="22"/>
        </w:rPr>
        <w:t>Section I</w:t>
      </w:r>
    </w:p>
    <w:p w14:paraId="4980AB4C" w14:textId="77777777" w:rsidR="00D21AE9" w:rsidRPr="00C32D3F" w:rsidRDefault="00D21AE9" w:rsidP="00D21AE9">
      <w:pPr>
        <w:rPr>
          <w:rFonts w:ascii="Arial" w:eastAsia="Arial" w:hAnsi="Arial" w:cs="Arial"/>
          <w:sz w:val="22"/>
          <w:szCs w:val="22"/>
        </w:rPr>
      </w:pPr>
    </w:p>
    <w:p w14:paraId="683851F5" w14:textId="13F6FD35" w:rsidR="00D21AE9" w:rsidRPr="00C32D3F" w:rsidRDefault="00D21AE9" w:rsidP="00D21AE9">
      <w:pPr>
        <w:pStyle w:val="Default"/>
        <w:numPr>
          <w:ilvl w:val="0"/>
          <w:numId w:val="2"/>
        </w:numPr>
        <w:rPr>
          <w:rFonts w:eastAsia="Arial"/>
          <w:color w:val="auto"/>
          <w:sz w:val="22"/>
          <w:szCs w:val="22"/>
        </w:rPr>
      </w:pPr>
      <w:r w:rsidRPr="00C32D3F">
        <w:rPr>
          <w:rFonts w:eastAsia="Arial"/>
          <w:color w:val="auto"/>
          <w:sz w:val="22"/>
          <w:szCs w:val="22"/>
        </w:rPr>
        <w:t>Page #</w:t>
      </w:r>
      <w:r w:rsidR="001E377F" w:rsidRPr="00C32D3F">
        <w:rPr>
          <w:rFonts w:eastAsia="Arial"/>
          <w:color w:val="auto"/>
          <w:sz w:val="22"/>
          <w:szCs w:val="22"/>
        </w:rPr>
        <w:t>20</w:t>
      </w:r>
      <w:r w:rsidRPr="00C32D3F">
        <w:rPr>
          <w:rFonts w:eastAsia="Arial"/>
          <w:color w:val="auto"/>
          <w:sz w:val="22"/>
          <w:szCs w:val="22"/>
        </w:rPr>
        <w:t xml:space="preserve">, Section </w:t>
      </w:r>
      <w:r w:rsidR="00EE44F6" w:rsidRPr="00C32D3F">
        <w:rPr>
          <w:rFonts w:eastAsia="Arial"/>
          <w:color w:val="auto"/>
          <w:sz w:val="22"/>
          <w:szCs w:val="22"/>
        </w:rPr>
        <w:t>L</w:t>
      </w:r>
      <w:r w:rsidRPr="00C32D3F">
        <w:rPr>
          <w:rFonts w:eastAsia="Arial"/>
          <w:color w:val="auto"/>
          <w:sz w:val="22"/>
          <w:szCs w:val="22"/>
        </w:rPr>
        <w:t xml:space="preserve">. </w:t>
      </w:r>
      <w:r w:rsidR="00EE44F6" w:rsidRPr="00C32D3F">
        <w:rPr>
          <w:rFonts w:eastAsia="Arial"/>
          <w:color w:val="auto"/>
          <w:sz w:val="22"/>
          <w:szCs w:val="22"/>
        </w:rPr>
        <w:t xml:space="preserve">Funds Spent </w:t>
      </w:r>
      <w:r w:rsidR="00BC38F9" w:rsidRPr="00C32D3F">
        <w:rPr>
          <w:rFonts w:eastAsia="Arial"/>
          <w:color w:val="auto"/>
          <w:sz w:val="22"/>
          <w:szCs w:val="22"/>
        </w:rPr>
        <w:t>in California</w:t>
      </w:r>
    </w:p>
    <w:p w14:paraId="53AD0B8E" w14:textId="4C9748B9" w:rsidR="00D21AE9" w:rsidRPr="00C32D3F" w:rsidRDefault="00604666" w:rsidP="00D21AE9">
      <w:pPr>
        <w:ind w:left="360"/>
        <w:rPr>
          <w:rFonts w:ascii="Arial" w:eastAsia="Arial" w:hAnsi="Arial" w:cs="Arial"/>
          <w:sz w:val="22"/>
          <w:szCs w:val="22"/>
        </w:rPr>
      </w:pPr>
      <w:r>
        <w:rPr>
          <w:rFonts w:ascii="Arial" w:eastAsia="Arial" w:hAnsi="Arial" w:cs="Arial"/>
          <w:sz w:val="22"/>
          <w:szCs w:val="22"/>
        </w:rPr>
        <w:t>Updated language</w:t>
      </w:r>
      <w:r w:rsidR="00A322DA">
        <w:rPr>
          <w:rFonts w:ascii="Arial" w:eastAsia="Arial" w:hAnsi="Arial" w:cs="Arial"/>
          <w:sz w:val="22"/>
          <w:szCs w:val="22"/>
        </w:rPr>
        <w:t>.</w:t>
      </w:r>
    </w:p>
    <w:p w14:paraId="784C2C05" w14:textId="77777777" w:rsidR="00EB531D" w:rsidRPr="00BA3BBD" w:rsidRDefault="00EB531D" w:rsidP="00EB531D">
      <w:pPr>
        <w:keepNext/>
        <w:keepLines/>
        <w:numPr>
          <w:ilvl w:val="0"/>
          <w:numId w:val="13"/>
        </w:numPr>
        <w:spacing w:before="60" w:after="60"/>
        <w:jc w:val="both"/>
        <w:outlineLvl w:val="2"/>
        <w:rPr>
          <w:b/>
        </w:rPr>
      </w:pPr>
      <w:r w:rsidRPr="00BA3BBD">
        <w:lastRenderedPageBreak/>
        <w:t xml:space="preserve">Only CEC </w:t>
      </w:r>
      <w:r>
        <w:t>[</w:t>
      </w:r>
      <w:r w:rsidRPr="00544127">
        <w:rPr>
          <w:strike/>
        </w:rPr>
        <w:t>reimbursable</w:t>
      </w:r>
      <w:r w:rsidRPr="00544127">
        <w:t>]</w:t>
      </w:r>
      <w:r w:rsidRPr="00BA3BBD">
        <w:t xml:space="preserve"> funds</w:t>
      </w:r>
      <w:r>
        <w:t xml:space="preserve"> </w:t>
      </w:r>
      <w:r w:rsidRPr="00544127">
        <w:rPr>
          <w:b/>
          <w:bCs/>
          <w:u w:val="single"/>
        </w:rPr>
        <w:t>may</w:t>
      </w:r>
      <w:r w:rsidRPr="00BA3BBD">
        <w:t xml:space="preserve"> count</w:t>
      </w:r>
      <w:r>
        <w:t>[</w:t>
      </w:r>
      <w:r w:rsidRPr="00544127">
        <w:rPr>
          <w:strike/>
        </w:rPr>
        <w:t>s</w:t>
      </w:r>
      <w:r w:rsidRPr="00544127">
        <w:t>]</w:t>
      </w:r>
      <w:r w:rsidRPr="00BA3BBD">
        <w:t xml:space="preserve"> towards funds spent in California total.</w:t>
      </w:r>
    </w:p>
    <w:p w14:paraId="1D41A76A" w14:textId="77777777" w:rsidR="00EB531D" w:rsidRPr="00BA3BBD" w:rsidRDefault="00EB531D" w:rsidP="00EB531D">
      <w:pPr>
        <w:keepNext/>
        <w:keepLines/>
        <w:numPr>
          <w:ilvl w:val="0"/>
          <w:numId w:val="13"/>
        </w:numPr>
        <w:spacing w:before="60" w:after="60"/>
        <w:jc w:val="both"/>
        <w:outlineLvl w:val="2"/>
      </w:pPr>
      <w:r w:rsidRPr="00BA3BBD">
        <w:t xml:space="preserve">"Spent in California" means that: </w:t>
      </w:r>
    </w:p>
    <w:p w14:paraId="7AC0610D" w14:textId="77777777" w:rsidR="00EB531D" w:rsidRPr="00BA3BBD" w:rsidRDefault="00EB531D" w:rsidP="00EB531D">
      <w:pPr>
        <w:keepNext/>
        <w:keepLines/>
        <w:numPr>
          <w:ilvl w:val="1"/>
          <w:numId w:val="13"/>
        </w:numPr>
        <w:spacing w:before="60" w:after="60"/>
        <w:jc w:val="both"/>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41581DDE" w14:textId="77777777" w:rsidR="00EB531D" w:rsidRPr="00BA3BBD" w:rsidRDefault="00EB531D" w:rsidP="00EB531D">
      <w:pPr>
        <w:keepNext/>
        <w:keepLines/>
        <w:numPr>
          <w:ilvl w:val="1"/>
          <w:numId w:val="13"/>
        </w:numPr>
        <w:spacing w:before="60" w:after="60"/>
        <w:jc w:val="both"/>
        <w:outlineLvl w:val="2"/>
      </w:pPr>
      <w:r w:rsidRPr="00BA3BBD">
        <w:t xml:space="preserve">(2) Business transactions (e.g., material and equipment purchases, leases, and rentals) are entered into with a business located in California. </w:t>
      </w:r>
    </w:p>
    <w:p w14:paraId="6C7EA816" w14:textId="77777777" w:rsidR="00EB531D" w:rsidRPr="00BA3BBD" w:rsidRDefault="00EB531D" w:rsidP="00EB531D">
      <w:pPr>
        <w:keepNext/>
        <w:keepLines/>
        <w:numPr>
          <w:ilvl w:val="1"/>
          <w:numId w:val="13"/>
        </w:numPr>
        <w:spacing w:before="60" w:after="60"/>
        <w:jc w:val="both"/>
        <w:outlineLvl w:val="2"/>
        <w:rPr>
          <w:b/>
        </w:rPr>
      </w:pPr>
      <w:r w:rsidRPr="00BA3BBD">
        <w:t xml:space="preserve">(3) Total should include any applicable </w:t>
      </w:r>
      <w:r w:rsidRPr="00544127">
        <w:rPr>
          <w:b/>
          <w:bCs/>
          <w:u w:val="single"/>
        </w:rPr>
        <w:t>subrecipients, sub-subrecipients, and vendors</w:t>
      </w:r>
      <w:r>
        <w:t xml:space="preserve"> [</w:t>
      </w:r>
      <w:r w:rsidRPr="00544127">
        <w:rPr>
          <w:strike/>
        </w:rPr>
        <w:t>subcontractors</w:t>
      </w:r>
      <w:r w:rsidRPr="00544127">
        <w:t>]</w:t>
      </w:r>
      <w:r w:rsidRPr="00BA3BBD">
        <w:t>.</w:t>
      </w:r>
    </w:p>
    <w:p w14:paraId="5203370C" w14:textId="77777777" w:rsidR="00EB531D" w:rsidRPr="00BA3BBD" w:rsidRDefault="00EB531D" w:rsidP="00EB531D">
      <w:pPr>
        <w:tabs>
          <w:tab w:val="left" w:pos="1170"/>
        </w:tabs>
        <w:autoSpaceDE w:val="0"/>
        <w:autoSpaceDN w:val="0"/>
        <w:adjustRightInd w:val="0"/>
        <w:ind w:left="720"/>
        <w:jc w:val="both"/>
      </w:pPr>
    </w:p>
    <w:p w14:paraId="6063A64B" w14:textId="77777777" w:rsidR="00EB531D" w:rsidRPr="00BA3BBD" w:rsidRDefault="00EB531D" w:rsidP="00EB531D">
      <w:pPr>
        <w:keepNext/>
        <w:keepLines/>
        <w:numPr>
          <w:ilvl w:val="0"/>
          <w:numId w:val="13"/>
        </w:numPr>
        <w:spacing w:before="60" w:after="60"/>
        <w:jc w:val="both"/>
        <w:outlineLvl w:val="2"/>
        <w:rPr>
          <w:szCs w:val="22"/>
        </w:rPr>
      </w:pPr>
      <w:r w:rsidRPr="00BA3BBD">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69EF6A67" w14:textId="77777777" w:rsidR="00EB531D" w:rsidRPr="00BA3BBD" w:rsidRDefault="00EB531D" w:rsidP="00EB531D">
      <w:pPr>
        <w:numPr>
          <w:ilvl w:val="1"/>
          <w:numId w:val="13"/>
        </w:numPr>
        <w:tabs>
          <w:tab w:val="left" w:pos="1800"/>
        </w:tabs>
        <w:autoSpaceDE w:val="0"/>
        <w:autoSpaceDN w:val="0"/>
        <w:adjustRightInd w:val="0"/>
        <w:spacing w:after="120"/>
        <w:jc w:val="both"/>
        <w:rPr>
          <w:szCs w:val="22"/>
        </w:rPr>
      </w:pPr>
      <w:r w:rsidRPr="00BA3BBD">
        <w:rPr>
          <w:szCs w:val="22"/>
        </w:rPr>
        <w:t xml:space="preserve">Example 1: </w:t>
      </w:r>
      <w:r w:rsidRPr="00544127">
        <w:rPr>
          <w:b/>
          <w:bCs/>
          <w:szCs w:val="22"/>
          <w:u w:val="single"/>
        </w:rPr>
        <w:t>CEC</w:t>
      </w:r>
      <w:r>
        <w:rPr>
          <w:szCs w:val="22"/>
        </w:rPr>
        <w:t xml:space="preserve"> [</w:t>
      </w:r>
      <w:r w:rsidRPr="00544127">
        <w:rPr>
          <w:strike/>
          <w:szCs w:val="22"/>
        </w:rPr>
        <w:t>Grant</w:t>
      </w:r>
      <w:r>
        <w:rPr>
          <w:szCs w:val="22"/>
        </w:rPr>
        <w:t>]</w:t>
      </w:r>
      <w:r w:rsidRPr="00BA3BBD">
        <w:rPr>
          <w:szCs w:val="22"/>
        </w:rPr>
        <w:t xml:space="preserve"> funds will be spent on temperature sensors.  The temperature sensors are manufactured in Texas. The recipient orders the temperature sensors directly from a CA based supply house.  The invoice shows that the transaction occurred with the CA based supply house. This transaction is eligible and can be counted as funds spent in CA.</w:t>
      </w:r>
    </w:p>
    <w:p w14:paraId="466D7E5C" w14:textId="244306BE" w:rsidR="00D21AE9" w:rsidRDefault="00EB531D" w:rsidP="00EB531D">
      <w:pPr>
        <w:ind w:left="360"/>
        <w:rPr>
          <w:rFonts w:eastAsia="Arial"/>
          <w:i/>
          <w:iCs/>
          <w:color w:val="0070C0"/>
          <w:sz w:val="22"/>
          <w:szCs w:val="22"/>
        </w:rPr>
      </w:pPr>
      <w:r w:rsidRPr="00BA3BBD">
        <w:rPr>
          <w:szCs w:val="22"/>
        </w:rPr>
        <w:t xml:space="preserve">Example 2: </w:t>
      </w:r>
      <w:r w:rsidRPr="00544127">
        <w:rPr>
          <w:b/>
          <w:bCs/>
          <w:szCs w:val="22"/>
          <w:u w:val="single"/>
        </w:rPr>
        <w:t>CEC</w:t>
      </w:r>
      <w:r>
        <w:rPr>
          <w:szCs w:val="22"/>
        </w:rPr>
        <w:t xml:space="preserve"> [</w:t>
      </w:r>
      <w:r w:rsidRPr="00544127">
        <w:rPr>
          <w:strike/>
          <w:szCs w:val="22"/>
        </w:rPr>
        <w:t>Grant</w:t>
      </w:r>
      <w:r>
        <w:rPr>
          <w:szCs w:val="22"/>
        </w:rPr>
        <w:t>]</w:t>
      </w:r>
      <w:r w:rsidRPr="00BA3BBD">
        <w:rPr>
          <w:szCs w:val="22"/>
        </w:rPr>
        <w:t xml:space="preserve"> funds will be spent on temperature sensors. The temperature sensors are manufactured in Texas. The recipient orders the temperature sensors directly from Texas.  The manufacturer has training centers in CA that instructs purchasers on how to use the sensors. The invoice shows that the transaction occurred in Texas. This transaction is not eligible and cannot be counted as funds spent in CA.</w:t>
      </w:r>
    </w:p>
    <w:p w14:paraId="09A3DBA8" w14:textId="77777777" w:rsidR="00D21AE9" w:rsidRDefault="00D21AE9" w:rsidP="00D21AE9">
      <w:pPr>
        <w:pStyle w:val="Default"/>
        <w:rPr>
          <w:rFonts w:eastAsia="Arial"/>
          <w:i/>
          <w:iCs/>
          <w:color w:val="0070C0"/>
          <w:sz w:val="22"/>
          <w:szCs w:val="22"/>
        </w:rPr>
      </w:pPr>
    </w:p>
    <w:p w14:paraId="14D23796" w14:textId="77777777" w:rsidR="0037419A" w:rsidRPr="00877171" w:rsidRDefault="0037419A" w:rsidP="0037419A">
      <w:pPr>
        <w:pStyle w:val="Default"/>
        <w:rPr>
          <w:rFonts w:eastAsia="Arial"/>
          <w:color w:val="auto"/>
          <w:sz w:val="22"/>
          <w:szCs w:val="22"/>
        </w:rPr>
      </w:pPr>
      <w:r w:rsidRPr="00877171">
        <w:rPr>
          <w:rFonts w:eastAsia="Arial"/>
          <w:b/>
          <w:bCs/>
          <w:color w:val="auto"/>
          <w:sz w:val="22"/>
          <w:szCs w:val="22"/>
        </w:rPr>
        <w:t>Section I</w:t>
      </w:r>
    </w:p>
    <w:p w14:paraId="5FAB2EA9" w14:textId="77777777" w:rsidR="0037419A" w:rsidRPr="00877171" w:rsidRDefault="0037419A" w:rsidP="0037419A">
      <w:pPr>
        <w:rPr>
          <w:rFonts w:ascii="Arial" w:eastAsia="Arial" w:hAnsi="Arial" w:cs="Arial"/>
          <w:sz w:val="22"/>
          <w:szCs w:val="22"/>
        </w:rPr>
      </w:pPr>
    </w:p>
    <w:p w14:paraId="4529F9F0" w14:textId="77777777" w:rsidR="0037419A" w:rsidRPr="00877171" w:rsidRDefault="0037419A" w:rsidP="0037419A">
      <w:pPr>
        <w:pStyle w:val="Default"/>
        <w:numPr>
          <w:ilvl w:val="0"/>
          <w:numId w:val="2"/>
        </w:numPr>
        <w:rPr>
          <w:rFonts w:eastAsia="Arial"/>
          <w:color w:val="auto"/>
          <w:sz w:val="22"/>
          <w:szCs w:val="22"/>
        </w:rPr>
      </w:pPr>
      <w:r w:rsidRPr="00877171">
        <w:rPr>
          <w:rFonts w:eastAsia="Arial"/>
          <w:color w:val="auto"/>
          <w:sz w:val="22"/>
          <w:szCs w:val="22"/>
        </w:rPr>
        <w:t>Page #21, Section M. CEC’S Rights and Remedies</w:t>
      </w:r>
    </w:p>
    <w:p w14:paraId="76663F48" w14:textId="77777777" w:rsidR="0037419A" w:rsidRPr="00877171" w:rsidRDefault="0037419A" w:rsidP="0037419A">
      <w:pPr>
        <w:ind w:left="360"/>
        <w:rPr>
          <w:rFonts w:ascii="Arial" w:eastAsia="Arial" w:hAnsi="Arial" w:cs="Arial"/>
          <w:sz w:val="22"/>
          <w:szCs w:val="22"/>
        </w:rPr>
      </w:pPr>
      <w:r w:rsidRPr="00877171">
        <w:rPr>
          <w:rFonts w:ascii="Arial" w:eastAsia="Arial" w:hAnsi="Arial" w:cs="Arial"/>
          <w:sz w:val="22"/>
          <w:szCs w:val="22"/>
        </w:rPr>
        <w:t>This is a new Section.</w:t>
      </w:r>
    </w:p>
    <w:p w14:paraId="4B9697DB" w14:textId="77777777" w:rsidR="0037419A" w:rsidRPr="00544127" w:rsidRDefault="0037419A" w:rsidP="0037419A">
      <w:pPr>
        <w:keepNext/>
        <w:numPr>
          <w:ilvl w:val="0"/>
          <w:numId w:val="15"/>
        </w:numPr>
        <w:spacing w:before="120" w:after="120"/>
        <w:outlineLvl w:val="1"/>
        <w:rPr>
          <w:rFonts w:cs="Times New Roman"/>
          <w:b/>
          <w:smallCaps/>
          <w:sz w:val="28"/>
          <w:u w:val="single"/>
        </w:rPr>
      </w:pPr>
      <w:r w:rsidRPr="00544127">
        <w:rPr>
          <w:rFonts w:cs="Times New Roman"/>
          <w:b/>
          <w:smallCaps/>
          <w:sz w:val="28"/>
          <w:u w:val="single"/>
        </w:rPr>
        <w:lastRenderedPageBreak/>
        <w:t>CEC’s Rights and Remedies</w:t>
      </w:r>
    </w:p>
    <w:p w14:paraId="6B4C7935" w14:textId="77777777" w:rsidR="0037419A" w:rsidRPr="00BA3BBD" w:rsidRDefault="0037419A" w:rsidP="0037419A">
      <w:pPr>
        <w:tabs>
          <w:tab w:val="left" w:pos="1800"/>
        </w:tabs>
        <w:autoSpaceDE w:val="0"/>
        <w:autoSpaceDN w:val="0"/>
        <w:adjustRightInd w:val="0"/>
        <w:ind w:left="360"/>
        <w:jc w:val="both"/>
        <w:rPr>
          <w:szCs w:val="22"/>
        </w:rPr>
      </w:pPr>
      <w:r w:rsidRPr="00544127">
        <w:rPr>
          <w:b/>
          <w:u w:val="single"/>
        </w:rPr>
        <w:t>Any process explained in this solicitation is in addition to, and does not restrict, any other rights and remedies available to the CEC.</w:t>
      </w:r>
    </w:p>
    <w:p w14:paraId="6FD2DF7C" w14:textId="77777777" w:rsidR="0037419A" w:rsidRPr="00012045" w:rsidRDefault="0037419A" w:rsidP="0037419A">
      <w:pPr>
        <w:ind w:left="360"/>
        <w:rPr>
          <w:rFonts w:ascii="Arial" w:eastAsia="Arial" w:hAnsi="Arial" w:cs="Arial"/>
          <w:sz w:val="22"/>
          <w:szCs w:val="22"/>
        </w:rPr>
      </w:pPr>
    </w:p>
    <w:p w14:paraId="54B41523" w14:textId="3A06B581" w:rsidR="007E75CA" w:rsidRPr="00012045" w:rsidRDefault="007E75CA" w:rsidP="007E75CA">
      <w:pPr>
        <w:pStyle w:val="Default"/>
        <w:rPr>
          <w:rFonts w:eastAsia="Arial"/>
          <w:color w:val="auto"/>
          <w:sz w:val="22"/>
          <w:szCs w:val="22"/>
        </w:rPr>
      </w:pPr>
      <w:r w:rsidRPr="00012045">
        <w:rPr>
          <w:rFonts w:eastAsia="Arial"/>
          <w:b/>
          <w:bCs/>
          <w:color w:val="auto"/>
          <w:sz w:val="22"/>
          <w:szCs w:val="22"/>
        </w:rPr>
        <w:t>Section</w:t>
      </w:r>
      <w:r w:rsidR="00901D4F" w:rsidRPr="00012045">
        <w:rPr>
          <w:rFonts w:eastAsia="Arial"/>
          <w:b/>
          <w:bCs/>
          <w:color w:val="auto"/>
          <w:sz w:val="22"/>
          <w:szCs w:val="22"/>
        </w:rPr>
        <w:t xml:space="preserve"> I</w:t>
      </w:r>
      <w:r w:rsidRPr="00012045">
        <w:rPr>
          <w:rFonts w:eastAsia="Arial"/>
          <w:b/>
          <w:bCs/>
          <w:color w:val="auto"/>
          <w:sz w:val="22"/>
          <w:szCs w:val="22"/>
        </w:rPr>
        <w:t>I</w:t>
      </w:r>
    </w:p>
    <w:p w14:paraId="1B9BCB3D" w14:textId="77777777" w:rsidR="007E75CA" w:rsidRPr="00012045" w:rsidRDefault="007E75CA" w:rsidP="007E75CA">
      <w:pPr>
        <w:rPr>
          <w:rFonts w:ascii="Arial" w:eastAsia="Arial" w:hAnsi="Arial" w:cs="Arial"/>
          <w:sz w:val="22"/>
          <w:szCs w:val="22"/>
        </w:rPr>
      </w:pPr>
    </w:p>
    <w:p w14:paraId="42D0AFBD" w14:textId="0485193B" w:rsidR="007E75CA" w:rsidRPr="00012045" w:rsidRDefault="007E75CA" w:rsidP="007E75CA">
      <w:pPr>
        <w:pStyle w:val="Default"/>
        <w:numPr>
          <w:ilvl w:val="0"/>
          <w:numId w:val="2"/>
        </w:numPr>
        <w:rPr>
          <w:rFonts w:eastAsia="Arial"/>
          <w:color w:val="auto"/>
          <w:sz w:val="22"/>
          <w:szCs w:val="22"/>
        </w:rPr>
      </w:pPr>
      <w:r w:rsidRPr="00012045">
        <w:rPr>
          <w:rFonts w:eastAsia="Arial"/>
          <w:color w:val="auto"/>
          <w:sz w:val="22"/>
          <w:szCs w:val="22"/>
        </w:rPr>
        <w:t>Page #</w:t>
      </w:r>
      <w:r w:rsidR="00A5052D" w:rsidRPr="00012045">
        <w:rPr>
          <w:rFonts w:eastAsia="Arial"/>
          <w:color w:val="auto"/>
          <w:sz w:val="22"/>
          <w:szCs w:val="22"/>
        </w:rPr>
        <w:t>22</w:t>
      </w:r>
      <w:r w:rsidRPr="00012045">
        <w:rPr>
          <w:rFonts w:eastAsia="Arial"/>
          <w:color w:val="auto"/>
          <w:sz w:val="22"/>
          <w:szCs w:val="22"/>
        </w:rPr>
        <w:t xml:space="preserve">, Section </w:t>
      </w:r>
      <w:r w:rsidR="00273F61" w:rsidRPr="00012045">
        <w:rPr>
          <w:rFonts w:eastAsia="Arial"/>
          <w:color w:val="auto"/>
          <w:sz w:val="22"/>
          <w:szCs w:val="22"/>
        </w:rPr>
        <w:t>A</w:t>
      </w:r>
      <w:r w:rsidRPr="00012045">
        <w:rPr>
          <w:rFonts w:eastAsia="Arial"/>
          <w:color w:val="auto"/>
          <w:sz w:val="22"/>
          <w:szCs w:val="22"/>
        </w:rPr>
        <w:t xml:space="preserve">. </w:t>
      </w:r>
      <w:r w:rsidR="00AE6E99" w:rsidRPr="00012045">
        <w:rPr>
          <w:rFonts w:eastAsia="Arial"/>
          <w:color w:val="auto"/>
          <w:sz w:val="22"/>
          <w:szCs w:val="22"/>
        </w:rPr>
        <w:t>Eligible Federal Funding Opportun</w:t>
      </w:r>
      <w:r w:rsidR="00B80FF8" w:rsidRPr="00012045">
        <w:rPr>
          <w:rFonts w:eastAsia="Arial"/>
          <w:color w:val="auto"/>
          <w:sz w:val="22"/>
          <w:szCs w:val="22"/>
        </w:rPr>
        <w:t>ities</w:t>
      </w:r>
    </w:p>
    <w:p w14:paraId="1DFE2217" w14:textId="6803A9A7" w:rsidR="00131C7C" w:rsidRPr="00012045" w:rsidRDefault="00D12411" w:rsidP="00131C7C">
      <w:pPr>
        <w:pStyle w:val="Default"/>
        <w:ind w:left="360"/>
        <w:rPr>
          <w:rFonts w:eastAsia="Arial"/>
          <w:color w:val="auto"/>
          <w:sz w:val="22"/>
          <w:szCs w:val="22"/>
        </w:rPr>
      </w:pPr>
      <w:r w:rsidRPr="00012045">
        <w:rPr>
          <w:rFonts w:eastAsia="Arial"/>
          <w:color w:val="auto"/>
          <w:sz w:val="22"/>
          <w:szCs w:val="22"/>
        </w:rPr>
        <w:t>DE-FOA-0003</w:t>
      </w:r>
      <w:r w:rsidR="002B49E9" w:rsidRPr="00012045">
        <w:rPr>
          <w:rFonts w:eastAsia="Arial"/>
          <w:color w:val="auto"/>
          <w:sz w:val="22"/>
          <w:szCs w:val="22"/>
        </w:rPr>
        <w:t>472</w:t>
      </w:r>
      <w:r w:rsidRPr="00012045">
        <w:rPr>
          <w:rFonts w:eastAsia="Arial"/>
          <w:color w:val="auto"/>
          <w:sz w:val="22"/>
          <w:szCs w:val="22"/>
        </w:rPr>
        <w:t>, Topic Area 1 added as a new supported FOA</w:t>
      </w:r>
    </w:p>
    <w:p w14:paraId="5AF2B190" w14:textId="77777777" w:rsidR="007E75CA" w:rsidRPr="00012045" w:rsidRDefault="007E75CA" w:rsidP="007E75CA">
      <w:pPr>
        <w:ind w:left="360"/>
        <w:rPr>
          <w:rFonts w:ascii="Arial" w:eastAsia="Arial" w:hAnsi="Arial" w:cs="Arial"/>
          <w:sz w:val="22"/>
          <w:szCs w:val="22"/>
        </w:rPr>
      </w:pPr>
    </w:p>
    <w:tbl>
      <w:tblPr>
        <w:tblStyle w:val="TableGrid4"/>
        <w:tblW w:w="5872" w:type="pct"/>
        <w:tblInd w:w="-815" w:type="dxa"/>
        <w:tblLayout w:type="fixed"/>
        <w:tblLook w:val="04A0" w:firstRow="1" w:lastRow="0" w:firstColumn="1" w:lastColumn="0" w:noHBand="0" w:noVBand="1"/>
      </w:tblPr>
      <w:tblGrid>
        <w:gridCol w:w="1756"/>
        <w:gridCol w:w="1344"/>
        <w:gridCol w:w="1684"/>
        <w:gridCol w:w="1764"/>
        <w:gridCol w:w="1430"/>
        <w:gridCol w:w="2263"/>
      </w:tblGrid>
      <w:tr w:rsidR="007838D0" w:rsidRPr="008C0101" w14:paraId="6CAC04DC" w14:textId="77777777" w:rsidTr="00131C7C">
        <w:tc>
          <w:tcPr>
            <w:tcW w:w="857" w:type="pct"/>
            <w:shd w:val="clear" w:color="auto" w:fill="D9D9D9" w:themeFill="background1" w:themeFillShade="D9"/>
          </w:tcPr>
          <w:p w14:paraId="0E72625B" w14:textId="77777777" w:rsidR="007838D0" w:rsidRPr="008C0101" w:rsidRDefault="007838D0" w:rsidP="00544127">
            <w:pPr>
              <w:rPr>
                <w:rFonts w:eastAsia="Arial"/>
              </w:rPr>
            </w:pPr>
            <w:bookmarkStart w:id="4" w:name="_Hlk116487580"/>
            <w:r w:rsidRPr="008C0101">
              <w:rPr>
                <w:rFonts w:eastAsia="Arial"/>
                <w:b/>
              </w:rPr>
              <w:t>Funding Opportunity Announcement (FOA) Number and Title</w:t>
            </w:r>
          </w:p>
        </w:tc>
        <w:tc>
          <w:tcPr>
            <w:tcW w:w="656" w:type="pct"/>
            <w:shd w:val="clear" w:color="auto" w:fill="D9D9D9" w:themeFill="background1" w:themeFillShade="D9"/>
          </w:tcPr>
          <w:p w14:paraId="5533E85E" w14:textId="77777777" w:rsidR="007838D0" w:rsidRPr="008C0101" w:rsidRDefault="007838D0" w:rsidP="00544127">
            <w:pPr>
              <w:rPr>
                <w:rFonts w:eastAsia="Arial"/>
                <w:szCs w:val="22"/>
              </w:rPr>
            </w:pPr>
            <w:r w:rsidRPr="008C0101">
              <w:rPr>
                <w:rFonts w:eastAsia="Arial"/>
                <w:b/>
                <w:szCs w:val="22"/>
              </w:rPr>
              <w:t>CEC Application Due Date (Phase One – Pre Federal Award)</w:t>
            </w:r>
          </w:p>
        </w:tc>
        <w:tc>
          <w:tcPr>
            <w:tcW w:w="822" w:type="pct"/>
            <w:shd w:val="clear" w:color="auto" w:fill="D9D9D9" w:themeFill="background1" w:themeFillShade="D9"/>
          </w:tcPr>
          <w:p w14:paraId="4366378A" w14:textId="77777777" w:rsidR="007838D0" w:rsidRPr="009A4B80" w:rsidRDefault="007838D0" w:rsidP="00544127">
            <w:pPr>
              <w:spacing w:line="259" w:lineRule="auto"/>
              <w:rPr>
                <w:rFonts w:eastAsia="Arial"/>
                <w:b/>
              </w:rPr>
            </w:pPr>
            <w:r w:rsidRPr="009A4B80">
              <w:rPr>
                <w:rFonts w:eastAsia="Arial"/>
                <w:b/>
              </w:rPr>
              <w:t>Recommended Minimum CEC Cost Share Award*</w:t>
            </w:r>
          </w:p>
          <w:p w14:paraId="436D775C" w14:textId="77777777" w:rsidR="007838D0" w:rsidRPr="009A4B80" w:rsidRDefault="007838D0" w:rsidP="00544127">
            <w:pPr>
              <w:rPr>
                <w:rFonts w:eastAsia="Arial"/>
                <w:b/>
                <w:szCs w:val="22"/>
              </w:rPr>
            </w:pPr>
          </w:p>
        </w:tc>
        <w:tc>
          <w:tcPr>
            <w:tcW w:w="861" w:type="pct"/>
            <w:shd w:val="clear" w:color="auto" w:fill="D9D9D9" w:themeFill="background1" w:themeFillShade="D9"/>
          </w:tcPr>
          <w:p w14:paraId="5988D02C" w14:textId="77777777" w:rsidR="007838D0" w:rsidRPr="009A4B80" w:rsidRDefault="007838D0" w:rsidP="00544127">
            <w:pPr>
              <w:spacing w:line="259" w:lineRule="auto"/>
              <w:rPr>
                <w:rFonts w:eastAsia="Arial"/>
                <w:b/>
              </w:rPr>
            </w:pPr>
            <w:r w:rsidRPr="009A4B80">
              <w:rPr>
                <w:rFonts w:eastAsia="Arial"/>
                <w:b/>
              </w:rPr>
              <w:t>Recommended Maximum CEC Cost Share Award*</w:t>
            </w:r>
          </w:p>
        </w:tc>
        <w:tc>
          <w:tcPr>
            <w:tcW w:w="698" w:type="pct"/>
            <w:shd w:val="clear" w:color="auto" w:fill="D9D9D9" w:themeFill="background1" w:themeFillShade="D9"/>
          </w:tcPr>
          <w:p w14:paraId="70A71A53" w14:textId="77777777" w:rsidR="007838D0" w:rsidRPr="008C0101" w:rsidRDefault="007838D0" w:rsidP="00544127">
            <w:pPr>
              <w:rPr>
                <w:rFonts w:eastAsia="Arial"/>
                <w:b/>
              </w:rPr>
            </w:pPr>
            <w:r>
              <w:rPr>
                <w:rFonts w:eastAsia="Arial"/>
                <w:b/>
              </w:rPr>
              <w:t>Maximum Total CEC Cost Share Across Awards</w:t>
            </w:r>
          </w:p>
        </w:tc>
        <w:tc>
          <w:tcPr>
            <w:tcW w:w="1105" w:type="pct"/>
            <w:shd w:val="clear" w:color="auto" w:fill="D9D9D9" w:themeFill="background1" w:themeFillShade="D9"/>
          </w:tcPr>
          <w:p w14:paraId="55A9C309" w14:textId="77777777" w:rsidR="007838D0" w:rsidRPr="008C0101" w:rsidRDefault="007838D0" w:rsidP="00544127">
            <w:pPr>
              <w:rPr>
                <w:rFonts w:eastAsia="Arial"/>
                <w:b/>
              </w:rPr>
            </w:pPr>
            <w:r>
              <w:rPr>
                <w:rFonts w:eastAsia="Arial"/>
                <w:b/>
              </w:rPr>
              <w:t>Eligible Topic Area/Areas of Interest</w:t>
            </w:r>
          </w:p>
        </w:tc>
      </w:tr>
      <w:tr w:rsidR="007838D0" w:rsidRPr="008C0101" w14:paraId="2D1CCA22" w14:textId="77777777" w:rsidTr="00131C7C">
        <w:tc>
          <w:tcPr>
            <w:tcW w:w="857" w:type="pct"/>
          </w:tcPr>
          <w:p w14:paraId="1E436EE6" w14:textId="77777777" w:rsidR="007838D0" w:rsidRPr="00BE2A6A" w:rsidRDefault="007838D0" w:rsidP="00544127">
            <w:pPr>
              <w:rPr>
                <w:b/>
                <w:bCs/>
                <w:color w:val="201F1E"/>
                <w:szCs w:val="22"/>
                <w:u w:val="single"/>
                <w:bdr w:val="none" w:sz="0" w:space="0" w:color="auto" w:frame="1"/>
              </w:rPr>
            </w:pPr>
            <w:r w:rsidRPr="00BE2A6A">
              <w:rPr>
                <w:b/>
                <w:bCs/>
                <w:color w:val="201F1E"/>
                <w:szCs w:val="22"/>
                <w:u w:val="single"/>
                <w:bdr w:val="none" w:sz="0" w:space="0" w:color="auto" w:frame="1"/>
              </w:rPr>
              <w:t>DE-FOA-0003472 Next-Generation Geothermal Field Tests and Geothermal Resource Characterization and Confirmation</w:t>
            </w:r>
          </w:p>
        </w:tc>
        <w:tc>
          <w:tcPr>
            <w:tcW w:w="656" w:type="pct"/>
          </w:tcPr>
          <w:p w14:paraId="1C023484" w14:textId="77777777" w:rsidR="007838D0" w:rsidRPr="00BE2A6A" w:rsidRDefault="007838D0" w:rsidP="00544127">
            <w:pPr>
              <w:rPr>
                <w:b/>
                <w:bCs/>
                <w:color w:val="201F1E"/>
                <w:szCs w:val="22"/>
                <w:u w:val="single"/>
                <w:bdr w:val="none" w:sz="0" w:space="0" w:color="auto" w:frame="1"/>
              </w:rPr>
            </w:pPr>
            <w:r w:rsidRPr="00BE2A6A">
              <w:rPr>
                <w:b/>
                <w:bCs/>
                <w:color w:val="201F1E"/>
                <w:szCs w:val="22"/>
                <w:u w:val="single"/>
                <w:bdr w:val="none" w:sz="0" w:space="0" w:color="auto" w:frame="1"/>
              </w:rPr>
              <w:t>April 1, 2026</w:t>
            </w:r>
          </w:p>
        </w:tc>
        <w:tc>
          <w:tcPr>
            <w:tcW w:w="822" w:type="pct"/>
          </w:tcPr>
          <w:p w14:paraId="1BA55FF5" w14:textId="77777777" w:rsidR="007838D0" w:rsidRPr="00BE2A6A" w:rsidRDefault="007838D0" w:rsidP="00544127">
            <w:pPr>
              <w:rPr>
                <w:b/>
                <w:bCs/>
                <w:color w:val="201F1E"/>
                <w:szCs w:val="22"/>
                <w:u w:val="single"/>
                <w:bdr w:val="none" w:sz="0" w:space="0" w:color="auto" w:frame="1"/>
              </w:rPr>
            </w:pPr>
            <w:r w:rsidRPr="00BE2A6A">
              <w:rPr>
                <w:b/>
                <w:bCs/>
                <w:color w:val="201F1E"/>
                <w:szCs w:val="22"/>
                <w:u w:val="single"/>
                <w:bdr w:val="none" w:sz="0" w:space="0" w:color="auto" w:frame="1"/>
              </w:rPr>
              <w:t xml:space="preserve">Topic Area 1: $1,000,000 </w:t>
            </w:r>
          </w:p>
          <w:p w14:paraId="325EEFBB" w14:textId="77777777" w:rsidR="007838D0" w:rsidRPr="00BE2A6A" w:rsidRDefault="007838D0" w:rsidP="00544127">
            <w:pPr>
              <w:rPr>
                <w:b/>
                <w:bCs/>
                <w:color w:val="201F1E"/>
                <w:szCs w:val="22"/>
                <w:u w:val="single"/>
                <w:bdr w:val="none" w:sz="0" w:space="0" w:color="auto" w:frame="1"/>
              </w:rPr>
            </w:pPr>
          </w:p>
        </w:tc>
        <w:tc>
          <w:tcPr>
            <w:tcW w:w="861" w:type="pct"/>
          </w:tcPr>
          <w:p w14:paraId="7F1F9579" w14:textId="77777777" w:rsidR="007838D0" w:rsidRPr="00BE2A6A" w:rsidRDefault="007838D0" w:rsidP="00544127">
            <w:pPr>
              <w:rPr>
                <w:b/>
                <w:bCs/>
                <w:color w:val="201F1E"/>
                <w:szCs w:val="22"/>
                <w:u w:val="single"/>
                <w:bdr w:val="none" w:sz="0" w:space="0" w:color="auto" w:frame="1"/>
              </w:rPr>
            </w:pPr>
            <w:r w:rsidRPr="00BE2A6A">
              <w:rPr>
                <w:b/>
                <w:bCs/>
                <w:color w:val="201F1E"/>
                <w:szCs w:val="22"/>
                <w:u w:val="single"/>
                <w:bdr w:val="none" w:sz="0" w:space="0" w:color="auto" w:frame="1"/>
              </w:rPr>
              <w:t>Topic Area 1: $2,500,000</w:t>
            </w:r>
          </w:p>
        </w:tc>
        <w:tc>
          <w:tcPr>
            <w:tcW w:w="698" w:type="pct"/>
          </w:tcPr>
          <w:p w14:paraId="79B63A2A" w14:textId="77777777" w:rsidR="007838D0" w:rsidRPr="00BE2A6A" w:rsidRDefault="007838D0" w:rsidP="00544127">
            <w:pPr>
              <w:rPr>
                <w:b/>
                <w:bCs/>
                <w:color w:val="201F1E"/>
                <w:szCs w:val="22"/>
                <w:u w:val="single"/>
                <w:bdr w:val="none" w:sz="0" w:space="0" w:color="auto" w:frame="1"/>
              </w:rPr>
            </w:pPr>
            <w:r w:rsidRPr="00BE2A6A">
              <w:rPr>
                <w:b/>
                <w:bCs/>
                <w:color w:val="201F1E"/>
                <w:szCs w:val="22"/>
                <w:u w:val="single"/>
                <w:bdr w:val="none" w:sz="0" w:space="0" w:color="auto" w:frame="1"/>
              </w:rPr>
              <w:t>Topic Area 1: $5,000,000</w:t>
            </w:r>
          </w:p>
        </w:tc>
        <w:tc>
          <w:tcPr>
            <w:tcW w:w="1105" w:type="pct"/>
          </w:tcPr>
          <w:p w14:paraId="5EE25D29" w14:textId="77777777" w:rsidR="007838D0" w:rsidRPr="00BE2A6A" w:rsidRDefault="007838D0" w:rsidP="00544127">
            <w:pPr>
              <w:rPr>
                <w:b/>
                <w:bCs/>
                <w:color w:val="201F1E"/>
                <w:szCs w:val="22"/>
                <w:u w:val="single"/>
                <w:bdr w:val="none" w:sz="0" w:space="0" w:color="auto" w:frame="1"/>
              </w:rPr>
            </w:pPr>
            <w:r w:rsidRPr="00BE2A6A">
              <w:rPr>
                <w:b/>
                <w:bCs/>
                <w:color w:val="201F1E"/>
                <w:szCs w:val="22"/>
                <w:u w:val="single"/>
                <w:bdr w:val="none" w:sz="0" w:space="0" w:color="auto" w:frame="1"/>
              </w:rPr>
              <w:t>Topic Area 1: EGS Field Tests</w:t>
            </w:r>
          </w:p>
        </w:tc>
      </w:tr>
      <w:tr w:rsidR="007838D0" w:rsidRPr="008C0101" w14:paraId="0C4BA8CE" w14:textId="77777777" w:rsidTr="00131C7C">
        <w:tc>
          <w:tcPr>
            <w:tcW w:w="857" w:type="pct"/>
          </w:tcPr>
          <w:p w14:paraId="448344D5"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DE-FOA-0003334 Offshore Wind National and Regional Research and Development</w:t>
            </w:r>
          </w:p>
        </w:tc>
        <w:tc>
          <w:tcPr>
            <w:tcW w:w="656" w:type="pct"/>
          </w:tcPr>
          <w:p w14:paraId="7AF467FB" w14:textId="77777777" w:rsidR="007838D0" w:rsidRPr="00A57EEE" w:rsidRDefault="007838D0" w:rsidP="00544127">
            <w:pPr>
              <w:rPr>
                <w:bCs/>
                <w:color w:val="201F1E"/>
                <w:szCs w:val="22"/>
                <w:u w:val="single"/>
                <w:bdr w:val="none" w:sz="0" w:space="0" w:color="auto" w:frame="1"/>
              </w:rPr>
            </w:pPr>
            <w:r w:rsidRPr="004404AD">
              <w:rPr>
                <w:bCs/>
                <w:color w:val="201F1E"/>
                <w:szCs w:val="22"/>
                <w:bdr w:val="none" w:sz="0" w:space="0" w:color="auto" w:frame="1"/>
              </w:rPr>
              <w:t>October 1, 2024</w:t>
            </w:r>
          </w:p>
        </w:tc>
        <w:tc>
          <w:tcPr>
            <w:tcW w:w="822" w:type="pct"/>
          </w:tcPr>
          <w:p w14:paraId="0D4608C4"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 xml:space="preserve">Topic 1a: $250,000   </w:t>
            </w:r>
          </w:p>
          <w:p w14:paraId="52CAEEFD"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 xml:space="preserve">Topic 1b: $62,500 </w:t>
            </w:r>
          </w:p>
          <w:p w14:paraId="4E3F4B0F"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 xml:space="preserve">Topic 3:  </w:t>
            </w:r>
          </w:p>
          <w:p w14:paraId="6D2F4E8C"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$125,000</w:t>
            </w:r>
          </w:p>
        </w:tc>
        <w:tc>
          <w:tcPr>
            <w:tcW w:w="861" w:type="pct"/>
          </w:tcPr>
          <w:p w14:paraId="4AE5315E"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 xml:space="preserve">Topic 1a: $500,000  </w:t>
            </w:r>
          </w:p>
          <w:p w14:paraId="55A3BB30"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 xml:space="preserve">Topic 1b: $187,500 </w:t>
            </w:r>
          </w:p>
          <w:p w14:paraId="05510AB1"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 xml:space="preserve">Topic 3:  </w:t>
            </w:r>
          </w:p>
          <w:p w14:paraId="1113CB25"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$375,000</w:t>
            </w:r>
          </w:p>
        </w:tc>
        <w:tc>
          <w:tcPr>
            <w:tcW w:w="698" w:type="pct"/>
          </w:tcPr>
          <w:p w14:paraId="3F650FAD"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 xml:space="preserve">Topic 1: $1,875,000   </w:t>
            </w:r>
          </w:p>
          <w:p w14:paraId="23173365"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 xml:space="preserve">Topic 3:  </w:t>
            </w:r>
          </w:p>
          <w:p w14:paraId="4C1B7179"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$750,000</w:t>
            </w:r>
          </w:p>
        </w:tc>
        <w:tc>
          <w:tcPr>
            <w:tcW w:w="1105" w:type="pct"/>
          </w:tcPr>
          <w:p w14:paraId="53DD093F"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 xml:space="preserve">Topic 1a: Refinement and Innovation in Floating Platform Design, Manufacturing, and Deployment </w:t>
            </w:r>
          </w:p>
          <w:p w14:paraId="61B88B01"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 xml:space="preserve">Topic 1b: Next-Generation Integrated Turbine/Platform Research </w:t>
            </w:r>
          </w:p>
          <w:p w14:paraId="7FB98C63"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Topic 3: Technology Advancement to Inform Risk to Birds and Bats from Offshore Wind Energy</w:t>
            </w:r>
          </w:p>
        </w:tc>
      </w:tr>
      <w:tr w:rsidR="007838D0" w:rsidRPr="008C0101" w14:paraId="5EB03E95" w14:textId="77777777" w:rsidTr="00131C7C">
        <w:tc>
          <w:tcPr>
            <w:tcW w:w="857" w:type="pct"/>
          </w:tcPr>
          <w:p w14:paraId="4D979D9C"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DE-FOA0003214</w:t>
            </w:r>
          </w:p>
          <w:p w14:paraId="4C863B0B"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 xml:space="preserve">Bipartisan Infrastructure Law (BIL) – Joint Office of Energy and Transportation: Communities </w:t>
            </w:r>
            <w:r w:rsidRPr="003F0884">
              <w:rPr>
                <w:color w:val="201F1E"/>
                <w:szCs w:val="22"/>
                <w:bdr w:val="none" w:sz="0" w:space="0" w:color="auto" w:frame="1"/>
              </w:rPr>
              <w:lastRenderedPageBreak/>
              <w:t>Taking Charge Accelerator</w:t>
            </w:r>
          </w:p>
        </w:tc>
        <w:tc>
          <w:tcPr>
            <w:tcW w:w="656" w:type="pct"/>
          </w:tcPr>
          <w:p w14:paraId="5493F8E0"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lastRenderedPageBreak/>
              <w:t>June 28, 2024</w:t>
            </w:r>
          </w:p>
        </w:tc>
        <w:tc>
          <w:tcPr>
            <w:tcW w:w="822" w:type="pct"/>
          </w:tcPr>
          <w:p w14:paraId="4BBF8815"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$250,000</w:t>
            </w:r>
          </w:p>
        </w:tc>
        <w:tc>
          <w:tcPr>
            <w:tcW w:w="861" w:type="pct"/>
          </w:tcPr>
          <w:p w14:paraId="0DD47E40"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$1,000,000</w:t>
            </w:r>
          </w:p>
        </w:tc>
        <w:tc>
          <w:tcPr>
            <w:tcW w:w="698" w:type="pct"/>
          </w:tcPr>
          <w:p w14:paraId="2BFC10F4"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$1,000,000</w:t>
            </w:r>
          </w:p>
        </w:tc>
        <w:tc>
          <w:tcPr>
            <w:tcW w:w="1105" w:type="pct"/>
          </w:tcPr>
          <w:p w14:paraId="002320DC" w14:textId="77777777" w:rsidR="007838D0" w:rsidRPr="003F0884" w:rsidRDefault="007838D0" w:rsidP="00544127">
            <w:pPr>
              <w:rPr>
                <w:color w:val="201F1E"/>
                <w:szCs w:val="22"/>
                <w:bdr w:val="none" w:sz="0" w:space="0" w:color="auto" w:frame="1"/>
              </w:rPr>
            </w:pPr>
            <w:r w:rsidRPr="003F0884">
              <w:rPr>
                <w:color w:val="201F1E"/>
                <w:szCs w:val="22"/>
                <w:bdr w:val="none" w:sz="0" w:space="0" w:color="auto" w:frame="1"/>
              </w:rPr>
              <w:t>Topic Area 3: Managed Charging for Clean Reliable Energy</w:t>
            </w:r>
          </w:p>
        </w:tc>
      </w:tr>
      <w:bookmarkEnd w:id="4"/>
    </w:tbl>
    <w:p w14:paraId="2B92BB3A" w14:textId="3F4A9D68" w:rsidR="007E75CA" w:rsidRDefault="007E75CA" w:rsidP="00012045">
      <w:pPr>
        <w:pStyle w:val="Default"/>
        <w:rPr>
          <w:rFonts w:eastAsia="Arial"/>
          <w:color w:val="0070C0"/>
          <w:sz w:val="22"/>
          <w:szCs w:val="22"/>
        </w:rPr>
      </w:pPr>
    </w:p>
    <w:p w14:paraId="25DF5965" w14:textId="77777777" w:rsidR="00A1116D" w:rsidRDefault="00A1116D" w:rsidP="0037419A">
      <w:pPr>
        <w:pStyle w:val="Default"/>
        <w:rPr>
          <w:rFonts w:eastAsia="Arial"/>
          <w:b/>
          <w:bCs/>
          <w:color w:val="auto"/>
          <w:sz w:val="22"/>
          <w:szCs w:val="22"/>
        </w:rPr>
      </w:pPr>
    </w:p>
    <w:p w14:paraId="122731CD" w14:textId="47626C3E" w:rsidR="0037419A" w:rsidRPr="00877171" w:rsidRDefault="0037419A" w:rsidP="0037419A">
      <w:pPr>
        <w:pStyle w:val="Default"/>
        <w:rPr>
          <w:rFonts w:eastAsia="Arial"/>
          <w:color w:val="auto"/>
          <w:sz w:val="22"/>
          <w:szCs w:val="22"/>
        </w:rPr>
      </w:pPr>
      <w:r w:rsidRPr="00877171">
        <w:rPr>
          <w:rFonts w:eastAsia="Arial"/>
          <w:b/>
          <w:bCs/>
          <w:color w:val="auto"/>
          <w:sz w:val="22"/>
          <w:szCs w:val="22"/>
        </w:rPr>
        <w:t>Section I</w:t>
      </w:r>
      <w:r w:rsidR="00FD3B88">
        <w:rPr>
          <w:rFonts w:eastAsia="Arial"/>
          <w:b/>
          <w:bCs/>
          <w:color w:val="auto"/>
          <w:sz w:val="22"/>
          <w:szCs w:val="22"/>
        </w:rPr>
        <w:t>I</w:t>
      </w:r>
    </w:p>
    <w:p w14:paraId="04AE34FB" w14:textId="77777777" w:rsidR="0037419A" w:rsidRPr="00877171" w:rsidRDefault="0037419A" w:rsidP="0037419A">
      <w:pPr>
        <w:rPr>
          <w:rFonts w:ascii="Arial" w:eastAsia="Arial" w:hAnsi="Arial" w:cs="Arial"/>
          <w:sz w:val="22"/>
          <w:szCs w:val="22"/>
        </w:rPr>
      </w:pPr>
    </w:p>
    <w:p w14:paraId="2A333ACE" w14:textId="3F1ECCE6" w:rsidR="0037419A" w:rsidRPr="00877171" w:rsidRDefault="0037419A" w:rsidP="0037419A">
      <w:pPr>
        <w:pStyle w:val="Default"/>
        <w:numPr>
          <w:ilvl w:val="0"/>
          <w:numId w:val="2"/>
        </w:numPr>
        <w:rPr>
          <w:rFonts w:eastAsia="Arial"/>
          <w:color w:val="auto"/>
          <w:sz w:val="22"/>
          <w:szCs w:val="22"/>
        </w:rPr>
      </w:pPr>
      <w:r w:rsidRPr="00877171">
        <w:rPr>
          <w:rFonts w:eastAsia="Arial"/>
          <w:color w:val="auto"/>
          <w:sz w:val="22"/>
          <w:szCs w:val="22"/>
        </w:rPr>
        <w:t>Page</w:t>
      </w:r>
      <w:r w:rsidR="0004657D">
        <w:rPr>
          <w:rFonts w:eastAsia="Arial"/>
          <w:color w:val="auto"/>
          <w:sz w:val="22"/>
          <w:szCs w:val="22"/>
        </w:rPr>
        <w:t>s</w:t>
      </w:r>
      <w:r w:rsidRPr="00877171">
        <w:rPr>
          <w:rFonts w:eastAsia="Arial"/>
          <w:color w:val="auto"/>
          <w:sz w:val="22"/>
          <w:szCs w:val="22"/>
        </w:rPr>
        <w:t xml:space="preserve"> #</w:t>
      </w:r>
      <w:r w:rsidR="00F97E4A">
        <w:rPr>
          <w:rFonts w:eastAsia="Arial"/>
          <w:color w:val="auto"/>
          <w:sz w:val="22"/>
          <w:szCs w:val="22"/>
        </w:rPr>
        <w:t>30, 31, and 32</w:t>
      </w:r>
      <w:r w:rsidRPr="00877171">
        <w:rPr>
          <w:rFonts w:eastAsia="Arial"/>
          <w:color w:val="auto"/>
          <w:sz w:val="22"/>
          <w:szCs w:val="22"/>
        </w:rPr>
        <w:t xml:space="preserve">, Section </w:t>
      </w:r>
      <w:r w:rsidR="00F97E4A">
        <w:rPr>
          <w:rFonts w:eastAsia="Arial"/>
          <w:color w:val="auto"/>
          <w:sz w:val="22"/>
          <w:szCs w:val="22"/>
        </w:rPr>
        <w:t>B</w:t>
      </w:r>
      <w:r w:rsidRPr="00877171">
        <w:rPr>
          <w:rFonts w:eastAsia="Arial"/>
          <w:color w:val="auto"/>
          <w:sz w:val="22"/>
          <w:szCs w:val="22"/>
        </w:rPr>
        <w:t xml:space="preserve">. </w:t>
      </w:r>
      <w:r w:rsidR="00C303E6">
        <w:rPr>
          <w:rFonts w:eastAsia="Arial"/>
          <w:color w:val="auto"/>
          <w:sz w:val="22"/>
          <w:szCs w:val="22"/>
        </w:rPr>
        <w:t>Applicant Requirements</w:t>
      </w:r>
    </w:p>
    <w:p w14:paraId="0F7747EE" w14:textId="0CDD017A" w:rsidR="0037419A" w:rsidRPr="00153C79" w:rsidRDefault="00EA6FCD" w:rsidP="00153C79">
      <w:pPr>
        <w:ind w:left="360"/>
        <w:rPr>
          <w:rFonts w:ascii="Arial" w:eastAsia="Arial" w:hAnsi="Arial" w:cs="Arial"/>
          <w:sz w:val="22"/>
          <w:szCs w:val="22"/>
        </w:rPr>
      </w:pPr>
      <w:r>
        <w:rPr>
          <w:rFonts w:ascii="Arial" w:eastAsia="Arial" w:hAnsi="Arial" w:cs="Arial"/>
          <w:sz w:val="22"/>
          <w:szCs w:val="22"/>
        </w:rPr>
        <w:t>Updated language, a</w:t>
      </w:r>
      <w:r w:rsidR="00C054B2">
        <w:rPr>
          <w:rFonts w:ascii="Arial" w:eastAsia="Arial" w:hAnsi="Arial" w:cs="Arial"/>
          <w:sz w:val="22"/>
          <w:szCs w:val="22"/>
        </w:rPr>
        <w:t xml:space="preserve">dded </w:t>
      </w:r>
      <w:r>
        <w:rPr>
          <w:rFonts w:ascii="Arial" w:eastAsia="Arial" w:hAnsi="Arial" w:cs="Arial"/>
          <w:sz w:val="22"/>
          <w:szCs w:val="22"/>
        </w:rPr>
        <w:t xml:space="preserve">new </w:t>
      </w:r>
      <w:r w:rsidR="007D416B">
        <w:rPr>
          <w:rFonts w:ascii="Arial" w:eastAsia="Arial" w:hAnsi="Arial" w:cs="Arial"/>
          <w:sz w:val="22"/>
          <w:szCs w:val="22"/>
        </w:rPr>
        <w:t>requirements</w:t>
      </w:r>
      <w:r w:rsidR="007803F3">
        <w:rPr>
          <w:rFonts w:ascii="Arial" w:eastAsia="Arial" w:hAnsi="Arial" w:cs="Arial"/>
          <w:sz w:val="22"/>
          <w:szCs w:val="22"/>
        </w:rPr>
        <w:t xml:space="preserve">, and moved </w:t>
      </w:r>
      <w:r w:rsidR="008C6D04">
        <w:rPr>
          <w:rFonts w:ascii="Arial" w:eastAsia="Arial" w:hAnsi="Arial" w:cs="Arial"/>
          <w:sz w:val="22"/>
          <w:szCs w:val="22"/>
        </w:rPr>
        <w:t>i</w:t>
      </w:r>
      <w:r w:rsidR="008C6D04" w:rsidRPr="005A70D1">
        <w:rPr>
          <w:rFonts w:ascii="Arial" w:eastAsia="Arial" w:hAnsi="Arial" w:cs="Arial"/>
          <w:sz w:val="22"/>
          <w:szCs w:val="22"/>
        </w:rPr>
        <w:t>nformation regarding Disadvantaged &amp; Low-income Communities from Section II.B to Section I.J</w:t>
      </w:r>
      <w:r w:rsidR="0037419A" w:rsidRPr="00877171">
        <w:rPr>
          <w:rFonts w:ascii="Arial" w:eastAsia="Arial" w:hAnsi="Arial" w:cs="Arial"/>
          <w:sz w:val="22"/>
          <w:szCs w:val="22"/>
        </w:rPr>
        <w:t>.</w:t>
      </w:r>
    </w:p>
    <w:p w14:paraId="52AF0E9B" w14:textId="77777777" w:rsidR="00F2703C" w:rsidRPr="00EB4A0E" w:rsidRDefault="00F2703C" w:rsidP="00F2703C">
      <w:pPr>
        <w:spacing w:before="240"/>
        <w:jc w:val="both"/>
        <w:rPr>
          <w:rFonts w:ascii="Arial Bold" w:hAnsi="Arial Bold"/>
          <w:b/>
          <w:bCs/>
          <w:smallCaps/>
          <w:u w:val="single"/>
        </w:rPr>
      </w:pPr>
      <w:bookmarkStart w:id="5" w:name="_Toc381079914"/>
      <w:bookmarkStart w:id="6" w:name="_Toc382571176"/>
      <w:bookmarkStart w:id="7" w:name="_Toc395180678"/>
      <w:bookmarkStart w:id="8" w:name="_Toc433981305"/>
      <w:r w:rsidRPr="6DEB75E8">
        <w:rPr>
          <w:b/>
          <w:bCs/>
        </w:rPr>
        <w:t>Terms and Conditions</w:t>
      </w:r>
      <w:bookmarkEnd w:id="5"/>
      <w:bookmarkEnd w:id="6"/>
      <w:bookmarkEnd w:id="7"/>
      <w:bookmarkEnd w:id="8"/>
    </w:p>
    <w:p w14:paraId="20D0306F" w14:textId="77777777" w:rsidR="00F2703C" w:rsidRDefault="00F2703C" w:rsidP="00F2703C">
      <w:pPr>
        <w:jc w:val="both"/>
        <w:rPr>
          <w:szCs w:val="22"/>
        </w:rPr>
      </w:pPr>
      <w:r w:rsidRPr="00DD6442">
        <w:rPr>
          <w:szCs w:val="22"/>
        </w:rPr>
        <w:t xml:space="preserve">Each grant agreement resulting from this solicitation </w:t>
      </w:r>
      <w:r>
        <w:rPr>
          <w:szCs w:val="22"/>
        </w:rPr>
        <w:t>will include</w:t>
      </w:r>
      <w:r w:rsidRPr="00DD6442">
        <w:rPr>
          <w:szCs w:val="22"/>
        </w:rPr>
        <w:t xml:space="preserve"> terms and conditions that set forth the recipient’s rights and</w:t>
      </w:r>
      <w:r>
        <w:rPr>
          <w:szCs w:val="22"/>
        </w:rPr>
        <w:t xml:space="preserve"> </w:t>
      </w:r>
      <w:r w:rsidRPr="00F32736">
        <w:rPr>
          <w:szCs w:val="22"/>
        </w:rPr>
        <w:t xml:space="preserve">responsibilities. By signing the Application Form (Attachment 1), each applicant </w:t>
      </w:r>
      <w:r w:rsidRPr="00F32736">
        <w:rPr>
          <w:bCs/>
          <w:iCs/>
          <w:szCs w:val="22"/>
        </w:rPr>
        <w:t xml:space="preserve">agrees to </w:t>
      </w:r>
      <w:r w:rsidRPr="00F32736">
        <w:rPr>
          <w:rStyle w:val="Style10pt"/>
          <w:szCs w:val="22"/>
        </w:rPr>
        <w:t xml:space="preserve">enter into an agreement with the </w:t>
      </w:r>
      <w:r>
        <w:rPr>
          <w:rStyle w:val="Style10pt"/>
          <w:szCs w:val="22"/>
        </w:rPr>
        <w:t>CEC</w:t>
      </w:r>
      <w:r w:rsidRPr="00F32736">
        <w:rPr>
          <w:rStyle w:val="Style10pt"/>
          <w:szCs w:val="22"/>
        </w:rPr>
        <w:t xml:space="preserve"> to conduct the proposed project according to the terms and conditions </w:t>
      </w:r>
      <w:r>
        <w:rPr>
          <w:rStyle w:val="Style10pt"/>
          <w:szCs w:val="22"/>
        </w:rPr>
        <w:t xml:space="preserve">that correspond to its organization, </w:t>
      </w:r>
      <w:r w:rsidRPr="00F32736">
        <w:rPr>
          <w:rStyle w:val="Style10pt"/>
          <w:szCs w:val="22"/>
        </w:rPr>
        <w:t>without negotiation</w:t>
      </w:r>
      <w:r w:rsidRPr="00F32736">
        <w:rPr>
          <w:szCs w:val="22"/>
        </w:rPr>
        <w:t xml:space="preserve">: (1) University of California </w:t>
      </w:r>
      <w:r>
        <w:rPr>
          <w:szCs w:val="22"/>
        </w:rPr>
        <w:t xml:space="preserve">and California State University </w:t>
      </w:r>
      <w:r w:rsidRPr="00F32736">
        <w:rPr>
          <w:szCs w:val="22"/>
        </w:rPr>
        <w:t xml:space="preserve">terms and conditions; (2) </w:t>
      </w:r>
      <w:r>
        <w:rPr>
          <w:szCs w:val="22"/>
        </w:rPr>
        <w:t xml:space="preserve">U.S. Department of Energy </w:t>
      </w:r>
      <w:r w:rsidRPr="00F32736">
        <w:rPr>
          <w:szCs w:val="22"/>
        </w:rPr>
        <w:t xml:space="preserve">terms and conditions; or (3) </w:t>
      </w:r>
      <w:r>
        <w:rPr>
          <w:szCs w:val="22"/>
        </w:rPr>
        <w:t>standard</w:t>
      </w:r>
      <w:r w:rsidRPr="00F32736">
        <w:rPr>
          <w:szCs w:val="22"/>
        </w:rPr>
        <w:t xml:space="preserve"> terms and conditions. </w:t>
      </w:r>
      <w:r>
        <w:rPr>
          <w:szCs w:val="22"/>
        </w:rPr>
        <w:t xml:space="preserve">All </w:t>
      </w:r>
      <w:r w:rsidRPr="00F32736">
        <w:rPr>
          <w:szCs w:val="22"/>
        </w:rPr>
        <w:t xml:space="preserve">terms and conditions are located </w:t>
      </w:r>
      <w:r>
        <w:rPr>
          <w:szCs w:val="22"/>
        </w:rPr>
        <w:t xml:space="preserve">at </w:t>
      </w:r>
      <w:bookmarkStart w:id="9" w:name="_Hlk82161193"/>
      <w:r w:rsidRPr="00544127">
        <w:rPr>
          <w:b/>
          <w:bCs/>
          <w:u w:val="single"/>
        </w:rPr>
        <w:fldChar w:fldCharType="begin"/>
      </w:r>
      <w:r w:rsidRPr="00544127">
        <w:rPr>
          <w:b/>
          <w:bCs/>
          <w:u w:val="single"/>
        </w:rPr>
        <w:instrText xml:space="preserve"> HYPERLINK "https://www.energy.ca.gov/funding-opportunities/funding-resources" </w:instrText>
      </w:r>
      <w:r w:rsidRPr="00544127">
        <w:rPr>
          <w:b/>
          <w:bCs/>
          <w:u w:val="single"/>
        </w:rPr>
      </w:r>
      <w:r w:rsidRPr="00544127">
        <w:rPr>
          <w:b/>
          <w:bCs/>
          <w:u w:val="single"/>
        </w:rPr>
        <w:fldChar w:fldCharType="separate"/>
      </w:r>
      <w:r w:rsidRPr="00544127">
        <w:rPr>
          <w:rStyle w:val="Hyperlink"/>
          <w:rFonts w:cs="Arial"/>
          <w:b/>
          <w:bCs/>
        </w:rPr>
        <w:t>https://www.energy.ca.gov/funding-opportunities/funding-resources</w:t>
      </w:r>
      <w:r w:rsidRPr="00544127">
        <w:rPr>
          <w:b/>
          <w:bCs/>
          <w:u w:val="single"/>
        </w:rPr>
        <w:fldChar w:fldCharType="end"/>
      </w:r>
      <w:bookmarkEnd w:id="9"/>
      <w:r>
        <w:t xml:space="preserve"> [</w:t>
      </w:r>
      <w:r w:rsidRPr="00544127">
        <w:rPr>
          <w:strike/>
          <w:szCs w:val="22"/>
        </w:rPr>
        <w:t>http://www.energy.ca.gov/research/contractors.html</w:t>
      </w:r>
      <w:r w:rsidRPr="00544127">
        <w:rPr>
          <w:szCs w:val="22"/>
        </w:rPr>
        <w:t>]</w:t>
      </w:r>
      <w:r w:rsidRPr="00F32736">
        <w:rPr>
          <w:szCs w:val="22"/>
        </w:rPr>
        <w:t xml:space="preserve">. </w:t>
      </w:r>
      <w:r w:rsidRPr="007E22AE">
        <w:rPr>
          <w:szCs w:val="22"/>
        </w:rPr>
        <w:t xml:space="preserve">Please refer to the applicable </w:t>
      </w:r>
      <w:r>
        <w:rPr>
          <w:szCs w:val="22"/>
        </w:rPr>
        <w:t>EPIC</w:t>
      </w:r>
      <w:r w:rsidRPr="007E22AE">
        <w:rPr>
          <w:szCs w:val="22"/>
        </w:rPr>
        <w:t xml:space="preserve"> Grant terms and conditions.</w:t>
      </w:r>
      <w:r>
        <w:rPr>
          <w:szCs w:val="22"/>
        </w:rPr>
        <w:t xml:space="preserve"> </w:t>
      </w:r>
      <w:r w:rsidRPr="00F32736">
        <w:rPr>
          <w:szCs w:val="22"/>
        </w:rPr>
        <w:t>Failure to agree to the terms and conditions by taking actions such as failing</w:t>
      </w:r>
      <w:r>
        <w:rPr>
          <w:szCs w:val="22"/>
        </w:rPr>
        <w:t xml:space="preserve"> to </w:t>
      </w:r>
      <w:r w:rsidRPr="00302296">
        <w:rPr>
          <w:szCs w:val="22"/>
        </w:rPr>
        <w:t xml:space="preserve">sign the Application Form </w:t>
      </w:r>
      <w:r>
        <w:rPr>
          <w:szCs w:val="22"/>
        </w:rPr>
        <w:t xml:space="preserve">or indicating that acceptance is based on modification of the terms </w:t>
      </w:r>
      <w:r w:rsidRPr="00302296">
        <w:rPr>
          <w:szCs w:val="22"/>
        </w:rPr>
        <w:t xml:space="preserve">will result in </w:t>
      </w:r>
      <w:r>
        <w:rPr>
          <w:b/>
          <w:szCs w:val="22"/>
        </w:rPr>
        <w:t>reject</w:t>
      </w:r>
      <w:r w:rsidRPr="00302296">
        <w:rPr>
          <w:b/>
          <w:szCs w:val="22"/>
        </w:rPr>
        <w:t>ion</w:t>
      </w:r>
      <w:r w:rsidRPr="00302296">
        <w:rPr>
          <w:szCs w:val="22"/>
        </w:rPr>
        <w:t xml:space="preserve"> of the application.</w:t>
      </w:r>
      <w:r>
        <w:rPr>
          <w:szCs w:val="22"/>
        </w:rPr>
        <w:t xml:space="preserve"> </w:t>
      </w:r>
      <w:r w:rsidRPr="00C24522">
        <w:rPr>
          <w:szCs w:val="22"/>
        </w:rPr>
        <w:t xml:space="preserve">Applicants </w:t>
      </w:r>
      <w:r w:rsidRPr="00260636">
        <w:rPr>
          <w:b/>
          <w:szCs w:val="22"/>
        </w:rPr>
        <w:t>must</w:t>
      </w:r>
      <w:r w:rsidRPr="00C24522">
        <w:rPr>
          <w:szCs w:val="22"/>
        </w:rPr>
        <w:t xml:space="preserve"> </w:t>
      </w:r>
      <w:r w:rsidRPr="00193F48">
        <w:rPr>
          <w:b/>
          <w:szCs w:val="22"/>
        </w:rPr>
        <w:t xml:space="preserve">read </w:t>
      </w:r>
      <w:r w:rsidRPr="000F2F2A">
        <w:rPr>
          <w:szCs w:val="22"/>
        </w:rPr>
        <w:t>the terms and conditions carefully.</w:t>
      </w:r>
      <w:r w:rsidRPr="00C24522">
        <w:rPr>
          <w:b/>
          <w:szCs w:val="22"/>
        </w:rPr>
        <w:t xml:space="preserve"> </w:t>
      </w:r>
      <w:r w:rsidRPr="00C24522">
        <w:rPr>
          <w:bCs/>
          <w:szCs w:val="22"/>
        </w:rPr>
        <w:t xml:space="preserve">The </w:t>
      </w:r>
      <w:r>
        <w:rPr>
          <w:bCs/>
          <w:szCs w:val="22"/>
        </w:rPr>
        <w:t>CEC</w:t>
      </w:r>
      <w:r w:rsidRPr="00C24522">
        <w:rPr>
          <w:bCs/>
          <w:szCs w:val="22"/>
        </w:rPr>
        <w:t xml:space="preserve"> reserves the right to modify the terms and conditions</w:t>
      </w:r>
      <w:r w:rsidRPr="00C24522">
        <w:rPr>
          <w:b/>
          <w:bCs/>
          <w:szCs w:val="22"/>
        </w:rPr>
        <w:t xml:space="preserve"> </w:t>
      </w:r>
      <w:r w:rsidRPr="00C24522">
        <w:rPr>
          <w:szCs w:val="22"/>
        </w:rPr>
        <w:t>prior to executing grant agreements.</w:t>
      </w:r>
    </w:p>
    <w:p w14:paraId="34C8D388" w14:textId="77777777" w:rsidR="00153C79" w:rsidRDefault="00153C79" w:rsidP="00F2703C">
      <w:pPr>
        <w:jc w:val="both"/>
        <w:rPr>
          <w:szCs w:val="22"/>
        </w:rPr>
      </w:pPr>
    </w:p>
    <w:p w14:paraId="6DDEDE99" w14:textId="77777777" w:rsidR="00F2703C" w:rsidRPr="00544127" w:rsidRDefault="00F2703C" w:rsidP="00F2703C">
      <w:pPr>
        <w:jc w:val="both"/>
        <w:rPr>
          <w:b/>
          <w:bCs/>
          <w:u w:val="single"/>
        </w:rPr>
      </w:pPr>
      <w:bookmarkStart w:id="10" w:name="_Hlk80609093"/>
      <w:r w:rsidRPr="00544127">
        <w:rPr>
          <w:b/>
          <w:bCs/>
          <w:u w:val="single"/>
        </w:rPr>
        <w:t xml:space="preserve">If a California Native American Tribe (Tribe) or California Tribal Organization with sovereign immunity is listed as a proposed awardee in the Notice of Proposed Award, CEC staff must receive the following before bringing the proposed award to a CEC Business Meeting: </w:t>
      </w:r>
    </w:p>
    <w:p w14:paraId="1A0E9057" w14:textId="77777777" w:rsidR="00F2703C" w:rsidRPr="00544127" w:rsidRDefault="00F2703C" w:rsidP="00F2703C">
      <w:pPr>
        <w:ind w:left="630" w:hanging="630"/>
        <w:jc w:val="both"/>
        <w:rPr>
          <w:b/>
          <w:bCs/>
          <w:u w:val="single"/>
        </w:rPr>
      </w:pPr>
      <w:r w:rsidRPr="00544127">
        <w:rPr>
          <w:b/>
          <w:bCs/>
          <w:u w:val="single"/>
        </w:rPr>
        <w:t>1.</w:t>
      </w:r>
      <w:r w:rsidRPr="00544127">
        <w:rPr>
          <w:b/>
          <w:bCs/>
          <w:u w:val="single"/>
        </w:rPr>
        <w:tab/>
        <w:t>A resolution or other authorizing document by the governing body of the Tribe or California Tribal Organization authorizing the Tribe or California Tribal Organization to enter into the proposed agreement, including accepting the Special Terms and Conditions for California Native American Tribes and Tribal Organizations with Sovereign Immunity.</w:t>
      </w:r>
    </w:p>
    <w:p w14:paraId="3BC41DB7" w14:textId="77777777" w:rsidR="00F2703C" w:rsidRPr="00544127" w:rsidRDefault="00F2703C" w:rsidP="00F2703C">
      <w:pPr>
        <w:ind w:left="630" w:hanging="630"/>
        <w:jc w:val="both"/>
        <w:rPr>
          <w:b/>
          <w:bCs/>
          <w:u w:val="single"/>
        </w:rPr>
      </w:pPr>
      <w:r w:rsidRPr="00544127">
        <w:rPr>
          <w:b/>
          <w:bCs/>
          <w:u w:val="single"/>
        </w:rPr>
        <w:t>2.</w:t>
      </w:r>
      <w:r w:rsidRPr="00544127">
        <w:rPr>
          <w:b/>
          <w:bCs/>
          <w:u w:val="single"/>
        </w:rPr>
        <w:tab/>
        <w:t xml:space="preserve">A limited waiver of sovereign immunity in the form and manner required by tribal law; and </w:t>
      </w:r>
    </w:p>
    <w:p w14:paraId="6DB4D397" w14:textId="77777777" w:rsidR="00F2703C" w:rsidRPr="00544127" w:rsidRDefault="00F2703C" w:rsidP="00F2703C">
      <w:pPr>
        <w:ind w:left="630" w:hanging="630"/>
        <w:jc w:val="both"/>
        <w:rPr>
          <w:b/>
          <w:bCs/>
          <w:u w:val="single"/>
        </w:rPr>
      </w:pPr>
      <w:r w:rsidRPr="00544127">
        <w:rPr>
          <w:b/>
          <w:bCs/>
          <w:u w:val="single"/>
        </w:rPr>
        <w:t>3.</w:t>
      </w:r>
      <w:r w:rsidRPr="00544127">
        <w:rPr>
          <w:b/>
          <w:bCs/>
          <w:u w:val="single"/>
        </w:rPr>
        <w:tab/>
        <w:t xml:space="preserve">A resolution or other authorizing document delegating authority to execute the agreement to an appropriate individual. </w:t>
      </w:r>
    </w:p>
    <w:p w14:paraId="4D262717" w14:textId="77777777" w:rsidR="00F2703C" w:rsidRPr="00544127" w:rsidRDefault="00F2703C" w:rsidP="00F2703C">
      <w:pPr>
        <w:jc w:val="both"/>
        <w:rPr>
          <w:b/>
          <w:bCs/>
          <w:u w:val="single"/>
        </w:rPr>
      </w:pPr>
      <w:r w:rsidRPr="00544127">
        <w:rPr>
          <w:b/>
          <w:bCs/>
          <w:u w:val="single"/>
        </w:rPr>
        <w:t xml:space="preserve">The above requirements may be provided in one or more documents. The document(s) will be included as an exhibit to the resulting grant agreement.  </w:t>
      </w:r>
    </w:p>
    <w:p w14:paraId="4BB67219" w14:textId="77777777" w:rsidR="00F2703C" w:rsidRPr="00544127" w:rsidRDefault="00F2703C" w:rsidP="00F2703C">
      <w:pPr>
        <w:jc w:val="both"/>
        <w:rPr>
          <w:b/>
          <w:bCs/>
          <w:u w:val="single"/>
        </w:rPr>
      </w:pPr>
      <w:r w:rsidRPr="00544127">
        <w:rPr>
          <w:b/>
          <w:bCs/>
          <w:u w:val="single"/>
        </w:rPr>
        <w:t xml:space="preserve">Delay in award. Any delay in the Tribe or Tribal Organization’s ability to provide such documentation may result in delayed award of the grant agreement.  </w:t>
      </w:r>
    </w:p>
    <w:p w14:paraId="314413A2" w14:textId="77777777" w:rsidR="00F2703C" w:rsidRPr="00C24522" w:rsidRDefault="00F2703C" w:rsidP="00F2703C">
      <w:pPr>
        <w:jc w:val="both"/>
      </w:pPr>
      <w:r w:rsidRPr="00544127">
        <w:rPr>
          <w:b/>
          <w:bCs/>
          <w:u w:val="single"/>
        </w:rPr>
        <w:lastRenderedPageBreak/>
        <w:t xml:space="preserve">Reservation of right to cancel proposed award. Funds available under this solicitation have encumbrance deadlines which the CEC must meet </w:t>
      </w:r>
      <w:proofErr w:type="gramStart"/>
      <w:r w:rsidRPr="00544127">
        <w:rPr>
          <w:b/>
          <w:bCs/>
          <w:u w:val="single"/>
        </w:rPr>
        <w:t>in order to</w:t>
      </w:r>
      <w:proofErr w:type="gramEnd"/>
      <w:r w:rsidRPr="00544127">
        <w:rPr>
          <w:b/>
          <w:bCs/>
          <w:u w:val="single"/>
        </w:rPr>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w:t>
      </w:r>
      <w:r w:rsidRPr="00DD17F7">
        <w:t xml:space="preserve"> </w:t>
      </w:r>
      <w:bookmarkEnd w:id="10"/>
    </w:p>
    <w:p w14:paraId="1BB1EC92" w14:textId="77777777" w:rsidR="00F2703C" w:rsidRPr="00C24522" w:rsidRDefault="00F2703C" w:rsidP="00F2703C">
      <w:pPr>
        <w:jc w:val="both"/>
        <w:rPr>
          <w:szCs w:val="22"/>
        </w:rPr>
      </w:pPr>
      <w:r w:rsidRPr="00C24522">
        <w:rPr>
          <w:szCs w:val="22"/>
        </w:rPr>
        <w:t xml:space="preserve">  </w:t>
      </w:r>
    </w:p>
    <w:p w14:paraId="13CD51CB" w14:textId="77777777" w:rsidR="00F2703C" w:rsidRPr="00C07F85" w:rsidRDefault="00F2703C" w:rsidP="00F2703C">
      <w:pPr>
        <w:spacing w:before="240"/>
        <w:jc w:val="both"/>
        <w:rPr>
          <w:b/>
          <w:bCs/>
        </w:rPr>
      </w:pPr>
      <w:r w:rsidRPr="6DEB75E8">
        <w:rPr>
          <w:b/>
          <w:bCs/>
        </w:rPr>
        <w:t>California Secretary of State Registration</w:t>
      </w:r>
    </w:p>
    <w:p w14:paraId="46C7876D" w14:textId="77777777" w:rsidR="00F2703C" w:rsidRPr="00544127" w:rsidRDefault="00F2703C" w:rsidP="00F2703C">
      <w:pPr>
        <w:jc w:val="both"/>
        <w:rPr>
          <w:b/>
          <w:bCs/>
          <w:u w:val="single"/>
        </w:rPr>
      </w:pPr>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CEC Business Meeting.  If not currently registered with the California Secretary of State, applicants are encouraged to contact the Secretary of State’s Office as soon as possible to avoid potential delays in beginning the proposed project(s) (should the application be </w:t>
      </w:r>
      <w:r w:rsidRPr="00544127">
        <w:rPr>
          <w:b/>
          <w:bCs/>
          <w:u w:val="single"/>
        </w:rPr>
        <w:t>proposed for funding</w:t>
      </w:r>
      <w:r>
        <w:t xml:space="preserve"> [</w:t>
      </w:r>
      <w:r w:rsidRPr="00544127">
        <w:rPr>
          <w:strike/>
        </w:rPr>
        <w:t>successful</w:t>
      </w:r>
      <w:r w:rsidRPr="00544127">
        <w:t>]</w:t>
      </w:r>
      <w:r>
        <w:t>). </w:t>
      </w:r>
      <w:r w:rsidRPr="00544127">
        <w:rPr>
          <w:b/>
          <w:bCs/>
          <w:u w:val="single"/>
        </w:rPr>
        <w:t>Applicants should provide the exact legal names of entities included in their applications, along with any fictitious business names. Fictitious business names must be currently valid, i.e., not expired with the Secretary of State</w:t>
      </w:r>
      <w:r>
        <w:t xml:space="preserve"> [</w:t>
      </w:r>
      <w:r w:rsidRPr="00544127">
        <w:rPr>
          <w:strike/>
        </w:rPr>
        <w:t xml:space="preserve">For more information, contact the Secretary of State’s Office via its website at </w:t>
      </w:r>
      <w:r w:rsidRPr="00544127">
        <w:rPr>
          <w:rFonts w:cs="Times New Roman"/>
          <w:strike/>
        </w:rPr>
        <w:t>www.sos.ca.gov</w:t>
      </w:r>
      <w:r w:rsidRPr="00544127">
        <w:rPr>
          <w:strike/>
        </w:rPr>
        <w:t>.  Sole proprietors using a fictitious business name must be registered with the appropriate county and provide evidence of registration to the CEC prior to their project being recommended for approval at an CEC Business Meeting</w:t>
      </w:r>
      <w:r w:rsidRPr="00544127">
        <w:t>]</w:t>
      </w:r>
      <w:r>
        <w:t xml:space="preserve">. </w:t>
      </w:r>
      <w:r w:rsidRPr="00544127">
        <w:rPr>
          <w:b/>
          <w:bCs/>
          <w:u w:val="single"/>
        </w:rPr>
        <w:t>As part of the CEC’s due diligence, particularly during the agreement development phase, CEC staff may request the supporting documentation regarding the above registration requirements.</w:t>
      </w:r>
    </w:p>
    <w:p w14:paraId="6FA340A7" w14:textId="77777777" w:rsidR="00F2703C" w:rsidRDefault="00F2703C" w:rsidP="00F2703C">
      <w:pPr>
        <w:jc w:val="both"/>
      </w:pPr>
      <w:r w:rsidRPr="00544127">
        <w:rPr>
          <w:b/>
          <w:bCs/>
          <w:u w:val="single"/>
        </w:rPr>
        <w:t xml:space="preserve">For more information, contact the Secretary of State’s Office via its website at </w:t>
      </w:r>
      <w:r w:rsidRPr="00544127">
        <w:rPr>
          <w:rFonts w:cs="Times New Roman"/>
          <w:b/>
          <w:bCs/>
          <w:u w:val="single"/>
        </w:rPr>
        <w:t>www.sos.ca.gov</w:t>
      </w:r>
      <w:r w:rsidRPr="00544127">
        <w:rPr>
          <w:b/>
          <w:bCs/>
          <w:u w:val="single"/>
        </w:rPr>
        <w:t>.  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64F441A0" w14:textId="77777777" w:rsidR="00F2703C" w:rsidRPr="00544127" w:rsidRDefault="00F2703C" w:rsidP="00F2703C">
      <w:pPr>
        <w:spacing w:before="240" w:line="259" w:lineRule="auto"/>
        <w:jc w:val="both"/>
        <w:rPr>
          <w:b/>
          <w:strike/>
        </w:rPr>
      </w:pPr>
      <w:r w:rsidRPr="00544127">
        <w:rPr>
          <w:b/>
        </w:rPr>
        <w:t>[</w:t>
      </w:r>
      <w:r w:rsidRPr="00544127">
        <w:rPr>
          <w:b/>
          <w:strike/>
        </w:rPr>
        <w:t>Disadvantaged &amp; Low-income Communities</w:t>
      </w:r>
    </w:p>
    <w:p w14:paraId="098673D1" w14:textId="77777777" w:rsidR="00F2703C" w:rsidRDefault="00F2703C" w:rsidP="00F2703C">
      <w:pPr>
        <w:autoSpaceDE w:val="0"/>
        <w:autoSpaceDN w:val="0"/>
        <w:adjustRightInd w:val="0"/>
        <w:spacing w:after="240"/>
        <w:jc w:val="both"/>
        <w:rPr>
          <w:bCs/>
          <w:color w:val="000000"/>
          <w:szCs w:val="22"/>
        </w:rPr>
      </w:pPr>
      <w:r w:rsidRPr="00544127">
        <w:rPr>
          <w:bCs/>
          <w:strike/>
          <w:color w:val="000000"/>
          <w:szCs w:val="22"/>
        </w:rPr>
        <w:t xml:space="preserve">The California Energy Commission is committed to ensuring all Californians have an opportunity to participate in and benefit from programs and services. While it is not required to complete the project within a disadvantaged community, demonstration </w:t>
      </w:r>
      <w:r w:rsidRPr="00544127">
        <w:rPr>
          <w:bCs/>
          <w:strike/>
          <w:color w:val="000000"/>
          <w:szCs w:val="22"/>
        </w:rPr>
        <w:lastRenderedPageBreak/>
        <w:t>projects located and benefiting disadvantaged and/or low-income communities will be considered under the scoring criteria for this GFO.</w:t>
      </w:r>
      <w:r w:rsidRPr="00544127">
        <w:rPr>
          <w:bCs/>
          <w:color w:val="000000"/>
          <w:szCs w:val="22"/>
        </w:rPr>
        <w:t>]</w:t>
      </w:r>
    </w:p>
    <w:p w14:paraId="0615C07E" w14:textId="77777777" w:rsidR="00F2703C" w:rsidRPr="00544127" w:rsidRDefault="00F2703C" w:rsidP="00F2703C">
      <w:pPr>
        <w:jc w:val="both"/>
        <w:rPr>
          <w:b/>
          <w:szCs w:val="22"/>
          <w:u w:val="single"/>
        </w:rPr>
      </w:pPr>
      <w:r w:rsidRPr="00544127">
        <w:rPr>
          <w:b/>
          <w:u w:val="single"/>
        </w:rPr>
        <w:t>Russia Sanctions</w:t>
      </w:r>
    </w:p>
    <w:p w14:paraId="0B8651A8" w14:textId="77777777" w:rsidR="00F2703C" w:rsidRPr="00544127" w:rsidRDefault="00F2703C" w:rsidP="00F2703C">
      <w:pPr>
        <w:jc w:val="both"/>
        <w:rPr>
          <w:b/>
          <w:szCs w:val="22"/>
          <w:u w:val="single"/>
        </w:rPr>
      </w:pPr>
      <w:r w:rsidRPr="00544127">
        <w:rPr>
          <w:b/>
          <w:szCs w:val="22"/>
          <w:u w:val="single"/>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3AF75021" w14:textId="77777777" w:rsidR="00F2703C" w:rsidRPr="00544127" w:rsidRDefault="00F2703C" w:rsidP="00F2703C">
      <w:pPr>
        <w:jc w:val="both"/>
        <w:rPr>
          <w:b/>
          <w:szCs w:val="22"/>
          <w:u w:val="single"/>
        </w:rPr>
      </w:pPr>
      <w:r w:rsidRPr="00544127">
        <w:rPr>
          <w:b/>
          <w:szCs w:val="22"/>
          <w:u w:val="single"/>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w:t>
      </w:r>
    </w:p>
    <w:p w14:paraId="29873809" w14:textId="5D158B9F" w:rsidR="00FD3B88" w:rsidRPr="00FD3B88" w:rsidRDefault="00F2703C" w:rsidP="00447B10">
      <w:pPr>
        <w:rPr>
          <w:rFonts w:eastAsia="Arial"/>
          <w:i/>
          <w:iCs/>
          <w:color w:val="0070C0"/>
          <w:sz w:val="22"/>
          <w:szCs w:val="22"/>
        </w:rPr>
      </w:pPr>
      <w:r w:rsidRPr="00544127">
        <w:rPr>
          <w:b/>
          <w:u w:val="single"/>
        </w:rPr>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w:t>
      </w:r>
      <w:r>
        <w:rPr>
          <w:b/>
          <w:u w:val="single"/>
        </w:rPr>
        <w:t>.</w:t>
      </w:r>
    </w:p>
    <w:p w14:paraId="584F7FDA" w14:textId="77777777" w:rsidR="0004657D" w:rsidRDefault="0004657D" w:rsidP="0037419A">
      <w:pPr>
        <w:pStyle w:val="Default"/>
        <w:rPr>
          <w:rFonts w:eastAsia="Arial"/>
          <w:b/>
          <w:bCs/>
          <w:color w:val="auto"/>
          <w:sz w:val="22"/>
          <w:szCs w:val="22"/>
        </w:rPr>
      </w:pPr>
    </w:p>
    <w:p w14:paraId="135BB7C5" w14:textId="0D9A5B7F" w:rsidR="0037419A" w:rsidRPr="00877171" w:rsidRDefault="0037419A" w:rsidP="0037419A">
      <w:pPr>
        <w:pStyle w:val="Default"/>
        <w:rPr>
          <w:rFonts w:eastAsia="Arial"/>
          <w:color w:val="auto"/>
          <w:sz w:val="22"/>
          <w:szCs w:val="22"/>
        </w:rPr>
      </w:pPr>
      <w:r w:rsidRPr="00877171">
        <w:rPr>
          <w:rFonts w:eastAsia="Arial"/>
          <w:b/>
          <w:bCs/>
          <w:color w:val="auto"/>
          <w:sz w:val="22"/>
          <w:szCs w:val="22"/>
        </w:rPr>
        <w:t xml:space="preserve">Section </w:t>
      </w:r>
      <w:r w:rsidR="00225782">
        <w:rPr>
          <w:rFonts w:eastAsia="Arial"/>
          <w:b/>
          <w:bCs/>
          <w:color w:val="auto"/>
          <w:sz w:val="22"/>
          <w:szCs w:val="22"/>
        </w:rPr>
        <w:t>I</w:t>
      </w:r>
      <w:r w:rsidR="00B15A8A">
        <w:rPr>
          <w:rFonts w:eastAsia="Arial"/>
          <w:b/>
          <w:bCs/>
          <w:color w:val="auto"/>
          <w:sz w:val="22"/>
          <w:szCs w:val="22"/>
        </w:rPr>
        <w:t>V</w:t>
      </w:r>
    </w:p>
    <w:p w14:paraId="40A5B40B" w14:textId="77777777" w:rsidR="0037419A" w:rsidRPr="00877171" w:rsidRDefault="0037419A" w:rsidP="0037419A">
      <w:pPr>
        <w:rPr>
          <w:rFonts w:ascii="Arial" w:eastAsia="Arial" w:hAnsi="Arial" w:cs="Arial"/>
          <w:sz w:val="22"/>
          <w:szCs w:val="22"/>
        </w:rPr>
      </w:pPr>
    </w:p>
    <w:p w14:paraId="2FF8DBAB" w14:textId="1B272151" w:rsidR="0037419A" w:rsidRPr="00877171" w:rsidRDefault="0037419A" w:rsidP="0037419A">
      <w:pPr>
        <w:pStyle w:val="Default"/>
        <w:numPr>
          <w:ilvl w:val="0"/>
          <w:numId w:val="2"/>
        </w:numPr>
        <w:rPr>
          <w:rFonts w:eastAsia="Arial"/>
          <w:color w:val="auto"/>
          <w:sz w:val="22"/>
          <w:szCs w:val="22"/>
        </w:rPr>
      </w:pPr>
      <w:r w:rsidRPr="00877171">
        <w:rPr>
          <w:rFonts w:eastAsia="Arial"/>
          <w:color w:val="auto"/>
          <w:sz w:val="22"/>
          <w:szCs w:val="22"/>
        </w:rPr>
        <w:t>Page #</w:t>
      </w:r>
      <w:r w:rsidR="00B15A8A">
        <w:rPr>
          <w:rFonts w:eastAsia="Arial"/>
          <w:color w:val="auto"/>
          <w:sz w:val="22"/>
          <w:szCs w:val="22"/>
        </w:rPr>
        <w:t>47</w:t>
      </w:r>
      <w:r w:rsidRPr="00877171">
        <w:rPr>
          <w:rFonts w:eastAsia="Arial"/>
          <w:color w:val="auto"/>
          <w:sz w:val="22"/>
          <w:szCs w:val="22"/>
        </w:rPr>
        <w:t xml:space="preserve">, Section </w:t>
      </w:r>
      <w:r w:rsidR="00B15A8A">
        <w:rPr>
          <w:rFonts w:eastAsia="Arial"/>
          <w:color w:val="auto"/>
          <w:sz w:val="22"/>
          <w:szCs w:val="22"/>
        </w:rPr>
        <w:t>A</w:t>
      </w:r>
      <w:r w:rsidRPr="00877171">
        <w:rPr>
          <w:rFonts w:eastAsia="Arial"/>
          <w:color w:val="auto"/>
          <w:sz w:val="22"/>
          <w:szCs w:val="22"/>
        </w:rPr>
        <w:t xml:space="preserve">. </w:t>
      </w:r>
      <w:r w:rsidR="00984441" w:rsidRPr="00984441">
        <w:rPr>
          <w:rFonts w:eastAsia="Arial"/>
          <w:color w:val="auto"/>
          <w:sz w:val="22"/>
          <w:szCs w:val="22"/>
        </w:rPr>
        <w:t>P</w:t>
      </w:r>
      <w:r w:rsidR="00984441">
        <w:rPr>
          <w:rFonts w:eastAsia="Arial"/>
          <w:color w:val="auto"/>
          <w:sz w:val="22"/>
          <w:szCs w:val="22"/>
        </w:rPr>
        <w:t>hase</w:t>
      </w:r>
      <w:r w:rsidR="00984441" w:rsidRPr="00984441">
        <w:rPr>
          <w:rFonts w:eastAsia="Arial"/>
          <w:color w:val="auto"/>
          <w:sz w:val="22"/>
          <w:szCs w:val="22"/>
        </w:rPr>
        <w:t xml:space="preserve"> I/P</w:t>
      </w:r>
      <w:r w:rsidR="00984441">
        <w:rPr>
          <w:rFonts w:eastAsia="Arial"/>
          <w:color w:val="auto"/>
          <w:sz w:val="22"/>
          <w:szCs w:val="22"/>
        </w:rPr>
        <w:t>hase</w:t>
      </w:r>
      <w:r w:rsidR="00984441" w:rsidRPr="00984441">
        <w:rPr>
          <w:rFonts w:eastAsia="Arial"/>
          <w:color w:val="auto"/>
          <w:sz w:val="22"/>
          <w:szCs w:val="22"/>
        </w:rPr>
        <w:t xml:space="preserve"> III – P</w:t>
      </w:r>
      <w:r w:rsidR="00FF10FF">
        <w:rPr>
          <w:rFonts w:eastAsia="Arial"/>
          <w:color w:val="auto"/>
          <w:sz w:val="22"/>
          <w:szCs w:val="22"/>
        </w:rPr>
        <w:t>re</w:t>
      </w:r>
      <w:r w:rsidR="00984441" w:rsidRPr="00984441">
        <w:rPr>
          <w:rFonts w:eastAsia="Arial"/>
          <w:color w:val="auto"/>
          <w:sz w:val="22"/>
          <w:szCs w:val="22"/>
        </w:rPr>
        <w:t>-F</w:t>
      </w:r>
      <w:r w:rsidR="00FF10FF">
        <w:rPr>
          <w:rFonts w:eastAsia="Arial"/>
          <w:color w:val="auto"/>
          <w:sz w:val="22"/>
          <w:szCs w:val="22"/>
        </w:rPr>
        <w:t>ederal</w:t>
      </w:r>
      <w:r w:rsidR="00984441" w:rsidRPr="00984441">
        <w:rPr>
          <w:rFonts w:eastAsia="Arial"/>
          <w:color w:val="auto"/>
          <w:sz w:val="22"/>
          <w:szCs w:val="22"/>
        </w:rPr>
        <w:t xml:space="preserve"> A</w:t>
      </w:r>
      <w:r w:rsidR="00FF10FF">
        <w:rPr>
          <w:rFonts w:eastAsia="Arial"/>
          <w:color w:val="auto"/>
          <w:sz w:val="22"/>
          <w:szCs w:val="22"/>
        </w:rPr>
        <w:t>ward</w:t>
      </w:r>
      <w:r w:rsidR="00984441" w:rsidRPr="00984441">
        <w:rPr>
          <w:rFonts w:eastAsia="Arial"/>
          <w:color w:val="auto"/>
          <w:sz w:val="22"/>
          <w:szCs w:val="22"/>
        </w:rPr>
        <w:t xml:space="preserve"> P</w:t>
      </w:r>
      <w:r w:rsidR="00FF10FF">
        <w:rPr>
          <w:rFonts w:eastAsia="Arial"/>
          <w:color w:val="auto"/>
          <w:sz w:val="22"/>
          <w:szCs w:val="22"/>
        </w:rPr>
        <w:t>ass</w:t>
      </w:r>
      <w:r w:rsidR="00984441" w:rsidRPr="00984441">
        <w:rPr>
          <w:rFonts w:eastAsia="Arial"/>
          <w:color w:val="auto"/>
          <w:sz w:val="22"/>
          <w:szCs w:val="22"/>
        </w:rPr>
        <w:t>/F</w:t>
      </w:r>
      <w:r w:rsidR="00FF10FF">
        <w:rPr>
          <w:rFonts w:eastAsia="Arial"/>
          <w:color w:val="auto"/>
          <w:sz w:val="22"/>
          <w:szCs w:val="22"/>
        </w:rPr>
        <w:t>ail</w:t>
      </w:r>
      <w:r w:rsidR="00984441" w:rsidRPr="00984441">
        <w:rPr>
          <w:rFonts w:eastAsia="Arial"/>
          <w:color w:val="auto"/>
          <w:sz w:val="22"/>
          <w:szCs w:val="22"/>
        </w:rPr>
        <w:t>, N</w:t>
      </w:r>
      <w:r w:rsidR="00FF10FF">
        <w:rPr>
          <w:rFonts w:eastAsia="Arial"/>
          <w:color w:val="auto"/>
          <w:sz w:val="22"/>
          <w:szCs w:val="22"/>
        </w:rPr>
        <w:t>otice</w:t>
      </w:r>
      <w:r w:rsidR="00984441" w:rsidRPr="00984441">
        <w:rPr>
          <w:rFonts w:eastAsia="Arial"/>
          <w:color w:val="auto"/>
          <w:sz w:val="22"/>
          <w:szCs w:val="22"/>
        </w:rPr>
        <w:t xml:space="preserve"> </w:t>
      </w:r>
      <w:r w:rsidR="00FF10FF">
        <w:rPr>
          <w:rFonts w:eastAsia="Arial"/>
          <w:color w:val="auto"/>
          <w:sz w:val="22"/>
          <w:szCs w:val="22"/>
        </w:rPr>
        <w:t>of</w:t>
      </w:r>
      <w:r w:rsidR="00984441" w:rsidRPr="00984441">
        <w:rPr>
          <w:rFonts w:eastAsia="Arial"/>
          <w:color w:val="auto"/>
          <w:sz w:val="22"/>
          <w:szCs w:val="22"/>
        </w:rPr>
        <w:t xml:space="preserve"> P</w:t>
      </w:r>
      <w:r w:rsidR="00FF10FF">
        <w:rPr>
          <w:rFonts w:eastAsia="Arial"/>
          <w:color w:val="auto"/>
          <w:sz w:val="22"/>
          <w:szCs w:val="22"/>
        </w:rPr>
        <w:t>roposed</w:t>
      </w:r>
      <w:r w:rsidR="00984441" w:rsidRPr="00984441">
        <w:rPr>
          <w:rFonts w:eastAsia="Arial"/>
          <w:color w:val="auto"/>
          <w:sz w:val="22"/>
          <w:szCs w:val="22"/>
        </w:rPr>
        <w:t xml:space="preserve"> A</w:t>
      </w:r>
      <w:r w:rsidR="00FF10FF">
        <w:rPr>
          <w:rFonts w:eastAsia="Arial"/>
          <w:color w:val="auto"/>
          <w:sz w:val="22"/>
          <w:szCs w:val="22"/>
        </w:rPr>
        <w:t>ward</w:t>
      </w:r>
      <w:r w:rsidR="00984441" w:rsidRPr="00984441">
        <w:rPr>
          <w:rFonts w:eastAsia="Arial"/>
          <w:color w:val="auto"/>
          <w:sz w:val="22"/>
          <w:szCs w:val="22"/>
        </w:rPr>
        <w:t xml:space="preserve">, </w:t>
      </w:r>
      <w:r w:rsidR="00FF10FF">
        <w:rPr>
          <w:rFonts w:eastAsia="Arial"/>
          <w:color w:val="auto"/>
          <w:sz w:val="22"/>
          <w:szCs w:val="22"/>
        </w:rPr>
        <w:t>and</w:t>
      </w:r>
      <w:r w:rsidR="00984441" w:rsidRPr="00984441">
        <w:rPr>
          <w:rFonts w:eastAsia="Arial"/>
          <w:color w:val="auto"/>
          <w:sz w:val="22"/>
          <w:szCs w:val="22"/>
        </w:rPr>
        <w:t xml:space="preserve"> L</w:t>
      </w:r>
      <w:r w:rsidR="00FF10FF">
        <w:rPr>
          <w:rFonts w:eastAsia="Arial"/>
          <w:color w:val="auto"/>
          <w:sz w:val="22"/>
          <w:szCs w:val="22"/>
        </w:rPr>
        <w:t>etter</w:t>
      </w:r>
      <w:r w:rsidR="00984441" w:rsidRPr="00984441">
        <w:rPr>
          <w:rFonts w:eastAsia="Arial"/>
          <w:color w:val="auto"/>
          <w:sz w:val="22"/>
          <w:szCs w:val="22"/>
        </w:rPr>
        <w:t xml:space="preserve"> </w:t>
      </w:r>
      <w:r w:rsidR="00FF10FF">
        <w:rPr>
          <w:rFonts w:eastAsia="Arial"/>
          <w:color w:val="auto"/>
          <w:sz w:val="22"/>
          <w:szCs w:val="22"/>
        </w:rPr>
        <w:t>of</w:t>
      </w:r>
      <w:r w:rsidR="00984441" w:rsidRPr="00984441">
        <w:rPr>
          <w:rFonts w:eastAsia="Arial"/>
          <w:color w:val="auto"/>
          <w:sz w:val="22"/>
          <w:szCs w:val="22"/>
        </w:rPr>
        <w:t xml:space="preserve"> I</w:t>
      </w:r>
      <w:r w:rsidR="00FF10FF">
        <w:rPr>
          <w:rFonts w:eastAsia="Arial"/>
          <w:color w:val="auto"/>
          <w:sz w:val="22"/>
          <w:szCs w:val="22"/>
        </w:rPr>
        <w:t>ntent</w:t>
      </w:r>
    </w:p>
    <w:p w14:paraId="79100882" w14:textId="07C6B469" w:rsidR="0037419A" w:rsidRPr="00877171" w:rsidRDefault="008B6BD8" w:rsidP="0037419A">
      <w:pPr>
        <w:ind w:left="360"/>
        <w:rPr>
          <w:rFonts w:ascii="Arial" w:eastAsia="Arial" w:hAnsi="Arial" w:cs="Arial"/>
          <w:sz w:val="22"/>
          <w:szCs w:val="22"/>
        </w:rPr>
      </w:pPr>
      <w:r>
        <w:rPr>
          <w:rFonts w:ascii="Arial" w:eastAsia="Arial" w:hAnsi="Arial" w:cs="Arial"/>
          <w:sz w:val="22"/>
          <w:szCs w:val="22"/>
        </w:rPr>
        <w:t>Updated language.</w:t>
      </w:r>
    </w:p>
    <w:p w14:paraId="454D9E48" w14:textId="77777777" w:rsidR="008B6BD8" w:rsidRDefault="008B6BD8" w:rsidP="008B6BD8"/>
    <w:p w14:paraId="59CDDDCE" w14:textId="77777777" w:rsidR="000C3F91" w:rsidRPr="004D0A67" w:rsidRDefault="000C3F91" w:rsidP="007B2368">
      <w:pPr>
        <w:pStyle w:val="ListParagraph"/>
        <w:numPr>
          <w:ilvl w:val="0"/>
          <w:numId w:val="18"/>
        </w:numPr>
        <w:spacing w:after="120"/>
        <w:contextualSpacing w:val="0"/>
        <w:rPr>
          <w:b/>
        </w:rPr>
      </w:pPr>
      <w:bookmarkStart w:id="11" w:name="_Toc381079940"/>
      <w:bookmarkStart w:id="12" w:name="_Toc382571203"/>
      <w:bookmarkStart w:id="13" w:name="_Toc395180713"/>
      <w:bookmarkStart w:id="14" w:name="_Toc433981341"/>
      <w:r w:rsidRPr="004D0A67">
        <w:rPr>
          <w:b/>
        </w:rPr>
        <w:t>Confidentiality</w:t>
      </w:r>
      <w:bookmarkEnd w:id="11"/>
      <w:bookmarkEnd w:id="12"/>
      <w:bookmarkEnd w:id="13"/>
      <w:bookmarkEnd w:id="14"/>
    </w:p>
    <w:p w14:paraId="31EFD167" w14:textId="6EC633DE" w:rsidR="00551257" w:rsidRDefault="000C3F91" w:rsidP="007B2368">
      <w:pPr>
        <w:ind w:left="360"/>
        <w:rPr>
          <w:b/>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Pr>
          <w:b/>
        </w:rPr>
        <w:t>ly</w:t>
      </w:r>
      <w:r w:rsidRPr="00D20F46">
        <w:rPr>
          <w:b/>
        </w:rPr>
        <w:t xml:space="preserve"> </w:t>
      </w:r>
      <w:r>
        <w:rPr>
          <w:b/>
        </w:rPr>
        <w:t xml:space="preserve">available </w:t>
      </w:r>
      <w:r w:rsidRPr="00D20F46">
        <w:rPr>
          <w:b/>
        </w:rPr>
        <w:t>records</w:t>
      </w:r>
      <w:r w:rsidRPr="00BC0F1F">
        <w:t xml:space="preserve"> after the </w:t>
      </w:r>
      <w:r>
        <w:t>CEC</w:t>
      </w:r>
      <w:r w:rsidRPr="00BC0F1F">
        <w:t xml:space="preserve"> posts the NOPA or the solicitation is cancelled.</w:t>
      </w:r>
      <w:r>
        <w:t xml:space="preserve">  </w:t>
      </w:r>
      <w:r w:rsidRPr="00A535A6">
        <w:rPr>
          <w:b/>
        </w:rPr>
        <w:t xml:space="preserve">The </w:t>
      </w:r>
      <w:r>
        <w:rPr>
          <w:b/>
        </w:rPr>
        <w:t>CEC</w:t>
      </w:r>
      <w:r w:rsidRPr="00A535A6">
        <w:rPr>
          <w:b/>
        </w:rPr>
        <w:t xml:space="preserve"> will not accept or retain applications that identify any </w:t>
      </w:r>
      <w:r>
        <w:rPr>
          <w:b/>
        </w:rPr>
        <w:t>portion</w:t>
      </w:r>
      <w:r w:rsidRPr="00A535A6">
        <w:rPr>
          <w:b/>
        </w:rPr>
        <w:t xml:space="preserve"> as confidential</w:t>
      </w:r>
      <w:r w:rsidRPr="00544127">
        <w:rPr>
          <w:b/>
          <w:u w:val="single"/>
        </w:rPr>
        <w:t xml:space="preserve"> unless the applicant clarifies in writing that marking the material as confidential was a mistake and the material can be made public</w:t>
      </w:r>
      <w:r w:rsidRPr="00A535A6">
        <w:rPr>
          <w:b/>
        </w:rPr>
        <w:t>.</w:t>
      </w:r>
    </w:p>
    <w:p w14:paraId="33001FE1" w14:textId="77777777" w:rsidR="003663C8" w:rsidRPr="003663C8" w:rsidRDefault="003663C8" w:rsidP="003663C8"/>
    <w:p w14:paraId="16B4D22D" w14:textId="77777777" w:rsidR="00551257" w:rsidRPr="003663C8" w:rsidRDefault="00551257" w:rsidP="00551257">
      <w:pPr>
        <w:pStyle w:val="Default"/>
        <w:ind w:left="720"/>
        <w:rPr>
          <w:rFonts w:eastAsia="Arial"/>
          <w:color w:val="auto"/>
          <w:sz w:val="22"/>
          <w:szCs w:val="22"/>
        </w:rPr>
      </w:pPr>
    </w:p>
    <w:p w14:paraId="1EEC40D3" w14:textId="3AFD0ADE" w:rsidR="2B229E13" w:rsidRPr="003663C8" w:rsidRDefault="2B229E13" w:rsidP="2B229E13">
      <w:pPr>
        <w:ind w:left="720"/>
        <w:rPr>
          <w:rFonts w:ascii="Arial" w:eastAsia="Arial" w:hAnsi="Arial" w:cs="Arial"/>
          <w:sz w:val="22"/>
          <w:szCs w:val="22"/>
        </w:rPr>
      </w:pPr>
    </w:p>
    <w:p w14:paraId="7F1EA2F3" w14:textId="2F7F9279" w:rsidR="3E480488" w:rsidRPr="003663C8" w:rsidRDefault="00B30D31" w:rsidP="2B229E13">
      <w:pPr>
        <w:pStyle w:val="Default"/>
        <w:spacing w:line="259" w:lineRule="auto"/>
        <w:ind w:left="3780"/>
        <w:rPr>
          <w:rFonts w:eastAsia="Arial"/>
          <w:color w:val="auto"/>
          <w:sz w:val="22"/>
          <w:szCs w:val="22"/>
        </w:rPr>
      </w:pPr>
      <w:r w:rsidRPr="003663C8">
        <w:rPr>
          <w:rFonts w:eastAsia="Arial"/>
          <w:b/>
          <w:bCs/>
          <w:color w:val="auto"/>
          <w:sz w:val="22"/>
          <w:szCs w:val="22"/>
        </w:rPr>
        <w:t>Marissa Sutton</w:t>
      </w:r>
    </w:p>
    <w:p w14:paraId="0F217F16" w14:textId="428BCE7F" w:rsidR="3E480488" w:rsidRPr="003663C8" w:rsidRDefault="3E480488" w:rsidP="2B229E13">
      <w:pPr>
        <w:pStyle w:val="Default"/>
        <w:ind w:left="3780"/>
        <w:rPr>
          <w:rFonts w:eastAsia="Arial"/>
          <w:color w:val="auto"/>
          <w:sz w:val="22"/>
          <w:szCs w:val="22"/>
        </w:rPr>
      </w:pPr>
      <w:r w:rsidRPr="003663C8">
        <w:rPr>
          <w:rFonts w:eastAsia="Arial"/>
          <w:b/>
          <w:bCs/>
          <w:color w:val="auto"/>
          <w:sz w:val="22"/>
          <w:szCs w:val="22"/>
        </w:rPr>
        <w:t>Commission Agreement Officer</w:t>
      </w:r>
    </w:p>
    <w:p w14:paraId="0F1D403D" w14:textId="611DC6A9" w:rsidR="2B229E13" w:rsidRDefault="2B229E13" w:rsidP="2B229E13">
      <w:pPr>
        <w:rPr>
          <w:rStyle w:val="eop"/>
          <w:rFonts w:ascii="Arial" w:hAnsi="Arial" w:cs="Arial"/>
        </w:rPr>
      </w:pPr>
    </w:p>
    <w:p w14:paraId="6AEDE6BC" w14:textId="77777777" w:rsidR="7ED56795" w:rsidRDefault="7ED56795" w:rsidP="7ED56795">
      <w:pPr>
        <w:pStyle w:val="paragraph"/>
        <w:ind w:left="4320"/>
        <w:rPr>
          <w:rStyle w:val="eop"/>
          <w:rFonts w:ascii="Arial" w:hAnsi="Arial" w:cs="Arial"/>
        </w:rPr>
      </w:pPr>
    </w:p>
    <w:sectPr w:rsidR="7ED56795" w:rsidSect="003E3B7B">
      <w:headerReference w:type="default" r:id="rId13"/>
      <w:footerReference w:type="default" r:id="rId14"/>
      <w:headerReference w:type="first" r:id="rId15"/>
      <w:footerReference w:type="first" r:id="rId16"/>
      <w:pgSz w:w="12240" w:h="15840"/>
      <w:pgMar w:top="2160" w:right="1800" w:bottom="1440" w:left="171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94CD" w14:textId="77777777" w:rsidR="00333423" w:rsidRDefault="00333423" w:rsidP="00F86D2B">
      <w:r>
        <w:separator/>
      </w:r>
    </w:p>
  </w:endnote>
  <w:endnote w:type="continuationSeparator" w:id="0">
    <w:p w14:paraId="24A1E752" w14:textId="77777777" w:rsidR="00333423" w:rsidRDefault="00333423" w:rsidP="00F86D2B">
      <w:r>
        <w:continuationSeparator/>
      </w:r>
    </w:p>
  </w:endnote>
  <w:endnote w:type="continuationNotice" w:id="1">
    <w:p w14:paraId="50225F2E" w14:textId="77777777" w:rsidR="00333423" w:rsidRDefault="00333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D7C6706" w14:paraId="4DCC657B" w14:textId="77777777" w:rsidTr="4D7C6706">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4D7C6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597395055" name="Picture 1597395055"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262B" w14:textId="77777777" w:rsidR="00333423" w:rsidRDefault="00333423" w:rsidP="00F86D2B">
      <w:r>
        <w:separator/>
      </w:r>
    </w:p>
  </w:footnote>
  <w:footnote w:type="continuationSeparator" w:id="0">
    <w:p w14:paraId="1A6CE87B" w14:textId="77777777" w:rsidR="00333423" w:rsidRDefault="00333423" w:rsidP="00F86D2B">
      <w:r>
        <w:continuationSeparator/>
      </w:r>
    </w:p>
  </w:footnote>
  <w:footnote w:type="continuationNotice" w:id="1">
    <w:p w14:paraId="54048F62" w14:textId="77777777" w:rsidR="00333423" w:rsidRDefault="00333423"/>
  </w:footnote>
  <w:footnote w:id="2">
    <w:p w14:paraId="5EBFD3E0" w14:textId="77777777" w:rsidR="006E5FDA" w:rsidRDefault="006E5FDA" w:rsidP="006E5FDA">
      <w:pPr>
        <w:pStyle w:val="FootnoteText"/>
      </w:pPr>
      <w:r>
        <w:rPr>
          <w:rStyle w:val="FootnoteReference"/>
        </w:rPr>
        <w:footnoteRef/>
      </w:r>
      <w:r>
        <w:t xml:space="preserve"> Public Resources Code § 25711.6.  </w:t>
      </w:r>
    </w:p>
  </w:footnote>
  <w:footnote w:id="3">
    <w:p w14:paraId="00300FD2" w14:textId="77777777" w:rsidR="006E5FDA" w:rsidRDefault="006E5FDA" w:rsidP="006E5FDA">
      <w:pPr>
        <w:pStyle w:val="FootnoteText"/>
      </w:pPr>
      <w:r>
        <w:rPr>
          <w:rStyle w:val="FootnoteReference"/>
        </w:rPr>
        <w:footnoteRef/>
      </w:r>
      <w:r>
        <w:t xml:space="preserve"> Public Resources Code § 25711.5. </w:t>
      </w:r>
    </w:p>
  </w:footnote>
  <w:footnote w:id="4">
    <w:p w14:paraId="4EDB9DCA" w14:textId="77777777" w:rsidR="006E5FDA" w:rsidRDefault="006E5FDA" w:rsidP="006E5FDA">
      <w:pPr>
        <w:pStyle w:val="FootnoteText"/>
      </w:pPr>
      <w:r>
        <w:rPr>
          <w:rStyle w:val="FootnoteReference"/>
        </w:rPr>
        <w:footnoteRef/>
      </w:r>
      <w:r>
        <w:t xml:space="preserve"> Public Resources Code § 25711.6.  </w:t>
      </w:r>
    </w:p>
  </w:footnote>
  <w:footnote w:id="5">
    <w:p w14:paraId="03597AAB" w14:textId="77777777" w:rsidR="007710EB" w:rsidRDefault="007710EB" w:rsidP="007710EB">
      <w:pPr>
        <w:pStyle w:val="FootnoteText"/>
      </w:pPr>
      <w:r>
        <w:rPr>
          <w:rStyle w:val="FootnoteReference"/>
        </w:rPr>
        <w:footnoteRef/>
      </w:r>
      <w:r>
        <w:t xml:space="preserve"> SB 350 (Statutes of 2015, chapter 547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DD2B" w14:textId="77777777" w:rsidR="006649BF" w:rsidRDefault="006649BF" w:rsidP="00E210F6">
    <w:pPr>
      <w:rPr>
        <w:rFonts w:ascii="Arial" w:hAnsi="Arial" w:cs="Arial"/>
        <w:color w:val="4F81BD" w:themeColor="accent1"/>
      </w:rPr>
    </w:pPr>
  </w:p>
  <w:p w14:paraId="5ECD66BC" w14:textId="77777777" w:rsidR="006649BF" w:rsidRDefault="006649BF" w:rsidP="00E210F6">
    <w:pPr>
      <w:rPr>
        <w:rFonts w:ascii="Arial" w:hAnsi="Arial" w:cs="Arial"/>
        <w:color w:val="4F81BD" w:themeColor="accent1"/>
      </w:rPr>
    </w:pPr>
  </w:p>
  <w:p w14:paraId="3DBE5E8A" w14:textId="77777777" w:rsidR="00433658" w:rsidRDefault="00433658" w:rsidP="00E210F6">
    <w:pPr>
      <w:rPr>
        <w:rFonts w:ascii="Arial" w:hAnsi="Arial" w:cs="Arial"/>
        <w:color w:val="4F81BD" w:themeColor="accent1"/>
      </w:rPr>
    </w:pPr>
  </w:p>
  <w:p w14:paraId="2859107E" w14:textId="23C79C42" w:rsidR="001F3E83" w:rsidRPr="00CB651E" w:rsidRDefault="000A5093" w:rsidP="00290FF8">
    <w:pPr>
      <w:rPr>
        <w:rFonts w:ascii="Arial" w:hAnsi="Arial" w:cs="Arial"/>
        <w:sz w:val="22"/>
        <w:szCs w:val="22"/>
      </w:rPr>
    </w:pPr>
    <w:r w:rsidRPr="00CB651E">
      <w:rPr>
        <w:rFonts w:ascii="Arial" w:hAnsi="Arial" w:cs="Arial"/>
        <w:sz w:val="22"/>
        <w:szCs w:val="22"/>
      </w:rPr>
      <w:t>March 12, 2026</w:t>
    </w:r>
  </w:p>
  <w:p w14:paraId="736D9520" w14:textId="48C4D94B" w:rsidR="003E0D2D" w:rsidRPr="001F3E83" w:rsidRDefault="001F3E83" w:rsidP="00290FF8">
    <w:pPr>
      <w:rPr>
        <w:rFonts w:ascii="Arial" w:hAnsi="Arial" w:cs="Arial"/>
        <w:color w:val="4F81BD" w:themeColor="accent1"/>
        <w:sz w:val="22"/>
        <w:szCs w:val="22"/>
      </w:rPr>
    </w:pPr>
    <w:r w:rsidRPr="001F3E83">
      <w:rPr>
        <w:rFonts w:ascii="Arial" w:eastAsiaTheme="majorEastAsia" w:hAnsi="Arial" w:cs="Arial"/>
        <w:noProof/>
        <w:sz w:val="22"/>
        <w:szCs w:val="22"/>
      </w:rPr>
      <w:t xml:space="preserve">Page </w:t>
    </w:r>
    <w:r w:rsidRPr="001F3E83">
      <w:rPr>
        <w:rFonts w:ascii="Arial" w:eastAsiaTheme="majorEastAsia" w:hAnsi="Arial" w:cs="Arial"/>
        <w:noProof/>
        <w:sz w:val="22"/>
        <w:szCs w:val="22"/>
      </w:rPr>
      <w:fldChar w:fldCharType="begin"/>
    </w:r>
    <w:r w:rsidRPr="001F3E83">
      <w:rPr>
        <w:rFonts w:ascii="Arial" w:eastAsiaTheme="majorEastAsia" w:hAnsi="Arial" w:cs="Arial"/>
        <w:noProof/>
        <w:sz w:val="22"/>
        <w:szCs w:val="22"/>
      </w:rPr>
      <w:instrText xml:space="preserve"> PAGE  \* Arabic  \* MERGEFORMAT </w:instrText>
    </w:r>
    <w:r w:rsidRPr="001F3E83">
      <w:rPr>
        <w:rFonts w:ascii="Arial" w:eastAsiaTheme="majorEastAsia" w:hAnsi="Arial" w:cs="Arial"/>
        <w:noProof/>
        <w:sz w:val="22"/>
        <w:szCs w:val="22"/>
      </w:rPr>
      <w:fldChar w:fldCharType="separate"/>
    </w:r>
    <w:r w:rsidRPr="001F3E83">
      <w:rPr>
        <w:rFonts w:ascii="Arial" w:eastAsiaTheme="majorEastAsia" w:hAnsi="Arial" w:cs="Arial"/>
        <w:noProof/>
        <w:sz w:val="22"/>
        <w:szCs w:val="22"/>
      </w:rPr>
      <w:t>1</w:t>
    </w:r>
    <w:r w:rsidRPr="001F3E83">
      <w:rPr>
        <w:rFonts w:ascii="Arial" w:eastAsiaTheme="majorEastAsia"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4A874F0F" w:rsidR="00C01C97" w:rsidRDefault="00B12858" w:rsidP="002D11A5">
    <w:pPr>
      <w:pStyle w:val="Header"/>
      <w:ind w:hanging="1800"/>
    </w:pPr>
    <w:r>
      <w:rPr>
        <w:noProof/>
      </w:rPr>
      <w:drawing>
        <wp:anchor distT="0" distB="0" distL="114300" distR="114300" simplePos="0" relativeHeight="251659264" behindDoc="0" locked="0" layoutInCell="1" allowOverlap="1" wp14:anchorId="247E29CD" wp14:editId="63155C9B">
          <wp:simplePos x="0" y="0"/>
          <wp:positionH relativeFrom="column">
            <wp:posOffset>323850</wp:posOffset>
          </wp:positionH>
          <wp:positionV relativeFrom="paragraph">
            <wp:posOffset>291465</wp:posOffset>
          </wp:positionV>
          <wp:extent cx="5543550" cy="742445"/>
          <wp:effectExtent l="0" t="0" r="0" b="635"/>
          <wp:wrapSquare wrapText="bothSides"/>
          <wp:docPr id="1510137153" name="Picture 1510137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37153" name="Picture 1510137153">
                    <a:extLst>
                      <a:ext uri="{C183D7F6-B498-43B3-948B-1728B52AA6E4}">
                        <adec:decorative xmlns:adec="http://schemas.microsoft.com/office/drawing/2017/decorative" val="1"/>
                      </a:ext>
                    </a:extLst>
                  </pic:cNvPr>
                  <pic:cNvPicPr/>
                </pic:nvPicPr>
                <pic:blipFill rotWithShape="1">
                  <a:blip r:embed="rId1"/>
                  <a:srcRect l="16078"/>
                  <a:stretch>
                    <a:fillRect/>
                  </a:stretch>
                </pic:blipFill>
                <pic:spPr bwMode="auto">
                  <a:xfrm>
                    <a:off x="0" y="0"/>
                    <a:ext cx="5543550" cy="742445"/>
                  </a:xfrm>
                  <a:prstGeom prst="rect">
                    <a:avLst/>
                  </a:prstGeom>
                  <a:ln>
                    <a:noFill/>
                  </a:ln>
                  <a:extLst>
                    <a:ext uri="{53640926-AAD7-44D8-BBD7-CCE9431645EC}">
                      <a14:shadowObscured xmlns:a14="http://schemas.microsoft.com/office/drawing/2010/main"/>
                    </a:ext>
                  </a:extLst>
                </pic:spPr>
              </pic:pic>
            </a:graphicData>
          </a:graphic>
        </wp:anchor>
      </w:drawing>
    </w:r>
  </w:p>
  <w:p w14:paraId="0CC19A77" w14:textId="0949F6A5" w:rsidR="00E210F6" w:rsidRDefault="008E2D0F" w:rsidP="00B12858">
    <w:pPr>
      <w:pStyle w:val="NormalWeb"/>
    </w:pPr>
    <w:r>
      <w:rPr>
        <w:noProof/>
      </w:rPr>
      <w:drawing>
        <wp:anchor distT="0" distB="0" distL="114300" distR="114300" simplePos="0" relativeHeight="251658240" behindDoc="0" locked="0" layoutInCell="1" allowOverlap="1" wp14:anchorId="2B9B84B6" wp14:editId="6BE7A042">
          <wp:simplePos x="0" y="0"/>
          <wp:positionH relativeFrom="column">
            <wp:posOffset>-476250</wp:posOffset>
          </wp:positionH>
          <wp:positionV relativeFrom="paragraph">
            <wp:posOffset>122555</wp:posOffset>
          </wp:positionV>
          <wp:extent cx="704850" cy="704850"/>
          <wp:effectExtent l="0" t="0" r="0" b="0"/>
          <wp:wrapSquare wrapText="bothSides"/>
          <wp:docPr id="7" name="Picture 6" descr="A picture containing text,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text, outdo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09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06FC3"/>
    <w:multiLevelType w:val="hybridMultilevel"/>
    <w:tmpl w:val="3EF49090"/>
    <w:lvl w:ilvl="0" w:tplc="1BD4D9D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6C2194"/>
    <w:multiLevelType w:val="hybridMultilevel"/>
    <w:tmpl w:val="B138504C"/>
    <w:lvl w:ilvl="0" w:tplc="ABAA13A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E781B"/>
    <w:multiLevelType w:val="hybridMultilevel"/>
    <w:tmpl w:val="02C0F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8"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2728D"/>
    <w:multiLevelType w:val="hybridMultilevel"/>
    <w:tmpl w:val="9F7A8468"/>
    <w:lvl w:ilvl="0" w:tplc="8B80281A">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02D9F"/>
    <w:multiLevelType w:val="hybridMultilevel"/>
    <w:tmpl w:val="C3BC7D2C"/>
    <w:lvl w:ilvl="0" w:tplc="931AB510">
      <w:start w:val="1"/>
      <w:numFmt w:val="bullet"/>
      <w:lvlText w:val=""/>
      <w:lvlJc w:val="left"/>
      <w:pPr>
        <w:ind w:left="360" w:hanging="360"/>
      </w:pPr>
      <w:rPr>
        <w:rFonts w:ascii="Symbol" w:hAnsi="Symbol" w:hint="default"/>
      </w:rPr>
    </w:lvl>
    <w:lvl w:ilvl="1" w:tplc="A6106154">
      <w:start w:val="1"/>
      <w:numFmt w:val="bullet"/>
      <w:lvlText w:val="o"/>
      <w:lvlJc w:val="left"/>
      <w:pPr>
        <w:ind w:left="1080" w:hanging="360"/>
      </w:pPr>
      <w:rPr>
        <w:rFonts w:ascii="Courier New" w:hAnsi="Courier New" w:hint="default"/>
      </w:rPr>
    </w:lvl>
    <w:lvl w:ilvl="2" w:tplc="2ACAEF96">
      <w:start w:val="1"/>
      <w:numFmt w:val="bullet"/>
      <w:lvlText w:val=""/>
      <w:lvlJc w:val="left"/>
      <w:pPr>
        <w:ind w:left="1800" w:hanging="360"/>
      </w:pPr>
      <w:rPr>
        <w:rFonts w:ascii="Wingdings" w:hAnsi="Wingdings" w:hint="default"/>
      </w:rPr>
    </w:lvl>
    <w:lvl w:ilvl="3" w:tplc="02EA1954">
      <w:start w:val="1"/>
      <w:numFmt w:val="bullet"/>
      <w:lvlText w:val=""/>
      <w:lvlJc w:val="left"/>
      <w:pPr>
        <w:ind w:left="2520" w:hanging="360"/>
      </w:pPr>
      <w:rPr>
        <w:rFonts w:ascii="Symbol" w:hAnsi="Symbol" w:hint="default"/>
      </w:rPr>
    </w:lvl>
    <w:lvl w:ilvl="4" w:tplc="30126CC6">
      <w:start w:val="1"/>
      <w:numFmt w:val="bullet"/>
      <w:lvlText w:val="o"/>
      <w:lvlJc w:val="left"/>
      <w:pPr>
        <w:ind w:left="3240" w:hanging="360"/>
      </w:pPr>
      <w:rPr>
        <w:rFonts w:ascii="Courier New" w:hAnsi="Courier New" w:hint="default"/>
      </w:rPr>
    </w:lvl>
    <w:lvl w:ilvl="5" w:tplc="884439DE">
      <w:start w:val="1"/>
      <w:numFmt w:val="bullet"/>
      <w:lvlText w:val=""/>
      <w:lvlJc w:val="left"/>
      <w:pPr>
        <w:ind w:left="3960" w:hanging="360"/>
      </w:pPr>
      <w:rPr>
        <w:rFonts w:ascii="Wingdings" w:hAnsi="Wingdings" w:hint="default"/>
      </w:rPr>
    </w:lvl>
    <w:lvl w:ilvl="6" w:tplc="5A84D554">
      <w:start w:val="1"/>
      <w:numFmt w:val="bullet"/>
      <w:lvlText w:val=""/>
      <w:lvlJc w:val="left"/>
      <w:pPr>
        <w:ind w:left="4680" w:hanging="360"/>
      </w:pPr>
      <w:rPr>
        <w:rFonts w:ascii="Symbol" w:hAnsi="Symbol" w:hint="default"/>
      </w:rPr>
    </w:lvl>
    <w:lvl w:ilvl="7" w:tplc="AE2ECD3E">
      <w:start w:val="1"/>
      <w:numFmt w:val="bullet"/>
      <w:lvlText w:val="o"/>
      <w:lvlJc w:val="left"/>
      <w:pPr>
        <w:ind w:left="5400" w:hanging="360"/>
      </w:pPr>
      <w:rPr>
        <w:rFonts w:ascii="Courier New" w:hAnsi="Courier New" w:hint="default"/>
      </w:rPr>
    </w:lvl>
    <w:lvl w:ilvl="8" w:tplc="7332E0F4">
      <w:start w:val="1"/>
      <w:numFmt w:val="bullet"/>
      <w:lvlText w:val=""/>
      <w:lvlJc w:val="left"/>
      <w:pPr>
        <w:ind w:left="6120" w:hanging="360"/>
      </w:pPr>
      <w:rPr>
        <w:rFonts w:ascii="Wingdings" w:hAnsi="Wingdings" w:hint="default"/>
      </w:rPr>
    </w:lvl>
  </w:abstractNum>
  <w:abstractNum w:abstractNumId="13" w15:restartNumberingAfterBreak="0">
    <w:nsid w:val="58066646"/>
    <w:multiLevelType w:val="hybridMultilevel"/>
    <w:tmpl w:val="441673A8"/>
    <w:lvl w:ilvl="0" w:tplc="76F067DE">
      <w:start w:val="1"/>
      <w:numFmt w:val="bullet"/>
      <w:lvlText w:val=""/>
      <w:lvlJc w:val="left"/>
      <w:pPr>
        <w:ind w:left="720" w:hanging="360"/>
      </w:pPr>
      <w:rPr>
        <w:rFonts w:ascii="Symbol" w:hAnsi="Symbol" w:hint="default"/>
      </w:rPr>
    </w:lvl>
    <w:lvl w:ilvl="1" w:tplc="2C528D98">
      <w:start w:val="1"/>
      <w:numFmt w:val="bullet"/>
      <w:lvlText w:val="o"/>
      <w:lvlJc w:val="left"/>
      <w:pPr>
        <w:ind w:left="1440" w:hanging="360"/>
      </w:pPr>
      <w:rPr>
        <w:rFonts w:ascii="Courier New" w:hAnsi="Courier New" w:hint="default"/>
      </w:rPr>
    </w:lvl>
    <w:lvl w:ilvl="2" w:tplc="905E0DEC">
      <w:start w:val="1"/>
      <w:numFmt w:val="bullet"/>
      <w:lvlText w:val=""/>
      <w:lvlJc w:val="left"/>
      <w:pPr>
        <w:ind w:left="2160" w:hanging="360"/>
      </w:pPr>
      <w:rPr>
        <w:rFonts w:ascii="Wingdings" w:hAnsi="Wingdings" w:hint="default"/>
      </w:rPr>
    </w:lvl>
    <w:lvl w:ilvl="3" w:tplc="8EB64404">
      <w:start w:val="1"/>
      <w:numFmt w:val="bullet"/>
      <w:lvlText w:val=""/>
      <w:lvlJc w:val="left"/>
      <w:pPr>
        <w:ind w:left="2880" w:hanging="360"/>
      </w:pPr>
      <w:rPr>
        <w:rFonts w:ascii="Symbol" w:hAnsi="Symbol" w:hint="default"/>
      </w:rPr>
    </w:lvl>
    <w:lvl w:ilvl="4" w:tplc="98A8F2E2">
      <w:start w:val="1"/>
      <w:numFmt w:val="bullet"/>
      <w:lvlText w:val="o"/>
      <w:lvlJc w:val="left"/>
      <w:pPr>
        <w:ind w:left="3600" w:hanging="360"/>
      </w:pPr>
      <w:rPr>
        <w:rFonts w:ascii="Courier New" w:hAnsi="Courier New" w:hint="default"/>
      </w:rPr>
    </w:lvl>
    <w:lvl w:ilvl="5" w:tplc="8C28739A">
      <w:start w:val="1"/>
      <w:numFmt w:val="bullet"/>
      <w:lvlText w:val=""/>
      <w:lvlJc w:val="left"/>
      <w:pPr>
        <w:ind w:left="4320" w:hanging="360"/>
      </w:pPr>
      <w:rPr>
        <w:rFonts w:ascii="Wingdings" w:hAnsi="Wingdings" w:hint="default"/>
      </w:rPr>
    </w:lvl>
    <w:lvl w:ilvl="6" w:tplc="58204E82">
      <w:start w:val="1"/>
      <w:numFmt w:val="bullet"/>
      <w:lvlText w:val=""/>
      <w:lvlJc w:val="left"/>
      <w:pPr>
        <w:ind w:left="5040" w:hanging="360"/>
      </w:pPr>
      <w:rPr>
        <w:rFonts w:ascii="Symbol" w:hAnsi="Symbol" w:hint="default"/>
      </w:rPr>
    </w:lvl>
    <w:lvl w:ilvl="7" w:tplc="65526A36">
      <w:start w:val="1"/>
      <w:numFmt w:val="bullet"/>
      <w:lvlText w:val="o"/>
      <w:lvlJc w:val="left"/>
      <w:pPr>
        <w:ind w:left="5760" w:hanging="360"/>
      </w:pPr>
      <w:rPr>
        <w:rFonts w:ascii="Courier New" w:hAnsi="Courier New" w:hint="default"/>
      </w:rPr>
    </w:lvl>
    <w:lvl w:ilvl="8" w:tplc="2F842A62">
      <w:start w:val="1"/>
      <w:numFmt w:val="bullet"/>
      <w:lvlText w:val=""/>
      <w:lvlJc w:val="left"/>
      <w:pPr>
        <w:ind w:left="6480" w:hanging="360"/>
      </w:pPr>
      <w:rPr>
        <w:rFonts w:ascii="Wingdings" w:hAnsi="Wingdings" w:hint="default"/>
      </w:rPr>
    </w:lvl>
  </w:abstractNum>
  <w:abstractNum w:abstractNumId="14"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A31D5"/>
    <w:multiLevelType w:val="hybridMultilevel"/>
    <w:tmpl w:val="FB2EDF4C"/>
    <w:lvl w:ilvl="0" w:tplc="ADDEA28C">
      <w:start w:val="1"/>
      <w:numFmt w:val="decimal"/>
      <w:lvlText w:val="%1."/>
      <w:lvlJc w:val="left"/>
      <w:pPr>
        <w:tabs>
          <w:tab w:val="num" w:pos="720"/>
        </w:tabs>
        <w:ind w:left="720" w:hanging="720"/>
      </w:p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num w:numId="1" w16cid:durableId="1131482644">
    <w:abstractNumId w:val="1"/>
  </w:num>
  <w:num w:numId="2" w16cid:durableId="1682121015">
    <w:abstractNumId w:val="13"/>
  </w:num>
  <w:num w:numId="3" w16cid:durableId="560793807">
    <w:abstractNumId w:val="6"/>
  </w:num>
  <w:num w:numId="4" w16cid:durableId="1047528965">
    <w:abstractNumId w:val="14"/>
  </w:num>
  <w:num w:numId="5" w16cid:durableId="1767071501">
    <w:abstractNumId w:val="12"/>
  </w:num>
  <w:num w:numId="6" w16cid:durableId="2081707478">
    <w:abstractNumId w:val="8"/>
  </w:num>
  <w:num w:numId="7" w16cid:durableId="21364086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2826369">
    <w:abstractNumId w:val="2"/>
  </w:num>
  <w:num w:numId="9" w16cid:durableId="1727680040">
    <w:abstractNumId w:val="0"/>
  </w:num>
  <w:num w:numId="10" w16cid:durableId="2074110540">
    <w:abstractNumId w:val="4"/>
  </w:num>
  <w:num w:numId="11" w16cid:durableId="441532170">
    <w:abstractNumId w:val="10"/>
  </w:num>
  <w:num w:numId="12" w16cid:durableId="1519193851">
    <w:abstractNumId w:val="15"/>
  </w:num>
  <w:num w:numId="13" w16cid:durableId="1788233920">
    <w:abstractNumId w:val="3"/>
  </w:num>
  <w:num w:numId="14" w16cid:durableId="1053847761">
    <w:abstractNumId w:val="9"/>
  </w:num>
  <w:num w:numId="15" w16cid:durableId="2048294148">
    <w:abstractNumId w:val="11"/>
  </w:num>
  <w:num w:numId="16" w16cid:durableId="7104963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1181557">
    <w:abstractNumId w:val="16"/>
  </w:num>
  <w:num w:numId="18" w16cid:durableId="664016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12045"/>
    <w:rsid w:val="00015969"/>
    <w:rsid w:val="00024F25"/>
    <w:rsid w:val="000264B6"/>
    <w:rsid w:val="00027125"/>
    <w:rsid w:val="00045719"/>
    <w:rsid w:val="0004657D"/>
    <w:rsid w:val="000557AC"/>
    <w:rsid w:val="00063B9D"/>
    <w:rsid w:val="0007440A"/>
    <w:rsid w:val="0009064B"/>
    <w:rsid w:val="00093579"/>
    <w:rsid w:val="00094245"/>
    <w:rsid w:val="00094EBF"/>
    <w:rsid w:val="000A5093"/>
    <w:rsid w:val="000A6CE7"/>
    <w:rsid w:val="000C16AE"/>
    <w:rsid w:val="000C3F91"/>
    <w:rsid w:val="000E31D6"/>
    <w:rsid w:val="00100065"/>
    <w:rsid w:val="001226E9"/>
    <w:rsid w:val="0012428F"/>
    <w:rsid w:val="00131C7C"/>
    <w:rsid w:val="0014043C"/>
    <w:rsid w:val="0014731B"/>
    <w:rsid w:val="00153C79"/>
    <w:rsid w:val="00192D44"/>
    <w:rsid w:val="001A7FA2"/>
    <w:rsid w:val="001B6404"/>
    <w:rsid w:val="001C5B37"/>
    <w:rsid w:val="001D5701"/>
    <w:rsid w:val="001E377F"/>
    <w:rsid w:val="001F3E83"/>
    <w:rsid w:val="001F62F3"/>
    <w:rsid w:val="00203587"/>
    <w:rsid w:val="00204C16"/>
    <w:rsid w:val="002109CA"/>
    <w:rsid w:val="00225782"/>
    <w:rsid w:val="00235167"/>
    <w:rsid w:val="00273F61"/>
    <w:rsid w:val="002747CF"/>
    <w:rsid w:val="00290FF8"/>
    <w:rsid w:val="002A5868"/>
    <w:rsid w:val="002A5F7A"/>
    <w:rsid w:val="002B49E9"/>
    <w:rsid w:val="002B5144"/>
    <w:rsid w:val="002D11A5"/>
    <w:rsid w:val="002E2C86"/>
    <w:rsid w:val="002E6E9E"/>
    <w:rsid w:val="00300FB1"/>
    <w:rsid w:val="00306C82"/>
    <w:rsid w:val="00314903"/>
    <w:rsid w:val="003229E2"/>
    <w:rsid w:val="00333423"/>
    <w:rsid w:val="003663C8"/>
    <w:rsid w:val="00372825"/>
    <w:rsid w:val="0037419A"/>
    <w:rsid w:val="003B54C2"/>
    <w:rsid w:val="003E0AD6"/>
    <w:rsid w:val="003E0D2D"/>
    <w:rsid w:val="003E3B7B"/>
    <w:rsid w:val="003E404F"/>
    <w:rsid w:val="00403296"/>
    <w:rsid w:val="00410AC7"/>
    <w:rsid w:val="00415DE9"/>
    <w:rsid w:val="00425AA1"/>
    <w:rsid w:val="00430859"/>
    <w:rsid w:val="00433658"/>
    <w:rsid w:val="004379A5"/>
    <w:rsid w:val="00437D5F"/>
    <w:rsid w:val="00447B10"/>
    <w:rsid w:val="004504D5"/>
    <w:rsid w:val="00475B35"/>
    <w:rsid w:val="00493781"/>
    <w:rsid w:val="00496ACC"/>
    <w:rsid w:val="004A1AAA"/>
    <w:rsid w:val="004A1DB3"/>
    <w:rsid w:val="004A4C18"/>
    <w:rsid w:val="004C6752"/>
    <w:rsid w:val="004D128F"/>
    <w:rsid w:val="004E0533"/>
    <w:rsid w:val="004F285A"/>
    <w:rsid w:val="005014F5"/>
    <w:rsid w:val="005100D5"/>
    <w:rsid w:val="00522C01"/>
    <w:rsid w:val="00524A66"/>
    <w:rsid w:val="00524EA9"/>
    <w:rsid w:val="00524EB1"/>
    <w:rsid w:val="00525E2C"/>
    <w:rsid w:val="00527817"/>
    <w:rsid w:val="00530A13"/>
    <w:rsid w:val="00534797"/>
    <w:rsid w:val="00545BCA"/>
    <w:rsid w:val="00551257"/>
    <w:rsid w:val="00552A98"/>
    <w:rsid w:val="005568CA"/>
    <w:rsid w:val="00566D9C"/>
    <w:rsid w:val="005742C5"/>
    <w:rsid w:val="00577D95"/>
    <w:rsid w:val="00584DE5"/>
    <w:rsid w:val="005930AE"/>
    <w:rsid w:val="00594C9E"/>
    <w:rsid w:val="0059609D"/>
    <w:rsid w:val="005A70D1"/>
    <w:rsid w:val="005E6FA2"/>
    <w:rsid w:val="005F23E3"/>
    <w:rsid w:val="00604666"/>
    <w:rsid w:val="006263E4"/>
    <w:rsid w:val="006414B9"/>
    <w:rsid w:val="00644E7A"/>
    <w:rsid w:val="006511D6"/>
    <w:rsid w:val="00654BE4"/>
    <w:rsid w:val="006649BF"/>
    <w:rsid w:val="00674098"/>
    <w:rsid w:val="00693454"/>
    <w:rsid w:val="006A57AF"/>
    <w:rsid w:val="006B0194"/>
    <w:rsid w:val="006B13F0"/>
    <w:rsid w:val="006C6F2F"/>
    <w:rsid w:val="006D2D23"/>
    <w:rsid w:val="006D3827"/>
    <w:rsid w:val="006E146A"/>
    <w:rsid w:val="006E5FDA"/>
    <w:rsid w:val="006F4833"/>
    <w:rsid w:val="007134AE"/>
    <w:rsid w:val="007211FC"/>
    <w:rsid w:val="00722322"/>
    <w:rsid w:val="007304CE"/>
    <w:rsid w:val="0073279A"/>
    <w:rsid w:val="00733B0B"/>
    <w:rsid w:val="00751C0F"/>
    <w:rsid w:val="007530D2"/>
    <w:rsid w:val="007554CF"/>
    <w:rsid w:val="00761F8B"/>
    <w:rsid w:val="00767D4C"/>
    <w:rsid w:val="007710EB"/>
    <w:rsid w:val="0077265A"/>
    <w:rsid w:val="00777798"/>
    <w:rsid w:val="007803F3"/>
    <w:rsid w:val="0078154A"/>
    <w:rsid w:val="007818E0"/>
    <w:rsid w:val="00783717"/>
    <w:rsid w:val="007838D0"/>
    <w:rsid w:val="007A357B"/>
    <w:rsid w:val="007B2368"/>
    <w:rsid w:val="007D416B"/>
    <w:rsid w:val="007D545A"/>
    <w:rsid w:val="007E75CA"/>
    <w:rsid w:val="0081533B"/>
    <w:rsid w:val="008239AA"/>
    <w:rsid w:val="0082683F"/>
    <w:rsid w:val="00826A42"/>
    <w:rsid w:val="008306C4"/>
    <w:rsid w:val="00841370"/>
    <w:rsid w:val="00846985"/>
    <w:rsid w:val="008541C6"/>
    <w:rsid w:val="008549B2"/>
    <w:rsid w:val="00865CEF"/>
    <w:rsid w:val="00874988"/>
    <w:rsid w:val="00877171"/>
    <w:rsid w:val="00891290"/>
    <w:rsid w:val="00891410"/>
    <w:rsid w:val="00893164"/>
    <w:rsid w:val="008A018C"/>
    <w:rsid w:val="008A7472"/>
    <w:rsid w:val="008B6BD8"/>
    <w:rsid w:val="008C264B"/>
    <w:rsid w:val="008C6D04"/>
    <w:rsid w:val="008E1433"/>
    <w:rsid w:val="008E1D26"/>
    <w:rsid w:val="008E2D0F"/>
    <w:rsid w:val="008E3926"/>
    <w:rsid w:val="008E7852"/>
    <w:rsid w:val="008F387A"/>
    <w:rsid w:val="008F7149"/>
    <w:rsid w:val="008F7BB2"/>
    <w:rsid w:val="00901D4F"/>
    <w:rsid w:val="00902FE0"/>
    <w:rsid w:val="0090493D"/>
    <w:rsid w:val="0090646F"/>
    <w:rsid w:val="00910710"/>
    <w:rsid w:val="00917329"/>
    <w:rsid w:val="00927CB3"/>
    <w:rsid w:val="009407F5"/>
    <w:rsid w:val="00943EC8"/>
    <w:rsid w:val="00950AF4"/>
    <w:rsid w:val="0095113C"/>
    <w:rsid w:val="00984441"/>
    <w:rsid w:val="009E2DCD"/>
    <w:rsid w:val="009E6C35"/>
    <w:rsid w:val="009E754B"/>
    <w:rsid w:val="009F0354"/>
    <w:rsid w:val="009F16C6"/>
    <w:rsid w:val="00A10AFB"/>
    <w:rsid w:val="00A1116D"/>
    <w:rsid w:val="00A15D66"/>
    <w:rsid w:val="00A15FA8"/>
    <w:rsid w:val="00A17202"/>
    <w:rsid w:val="00A2503D"/>
    <w:rsid w:val="00A322DA"/>
    <w:rsid w:val="00A3384C"/>
    <w:rsid w:val="00A36CF5"/>
    <w:rsid w:val="00A5052D"/>
    <w:rsid w:val="00A564F1"/>
    <w:rsid w:val="00A71CB7"/>
    <w:rsid w:val="00A73089"/>
    <w:rsid w:val="00A76491"/>
    <w:rsid w:val="00A81AD2"/>
    <w:rsid w:val="00A90DC6"/>
    <w:rsid w:val="00AA78AF"/>
    <w:rsid w:val="00AD21FC"/>
    <w:rsid w:val="00AD5870"/>
    <w:rsid w:val="00AE05B9"/>
    <w:rsid w:val="00AE6E99"/>
    <w:rsid w:val="00AF4AB8"/>
    <w:rsid w:val="00B03AD3"/>
    <w:rsid w:val="00B12858"/>
    <w:rsid w:val="00B15A8A"/>
    <w:rsid w:val="00B30D31"/>
    <w:rsid w:val="00B56902"/>
    <w:rsid w:val="00B619B1"/>
    <w:rsid w:val="00B80E72"/>
    <w:rsid w:val="00B80FF8"/>
    <w:rsid w:val="00B84D31"/>
    <w:rsid w:val="00B906E9"/>
    <w:rsid w:val="00B9151A"/>
    <w:rsid w:val="00BA1317"/>
    <w:rsid w:val="00BA3F4C"/>
    <w:rsid w:val="00BB5DCD"/>
    <w:rsid w:val="00BC38F9"/>
    <w:rsid w:val="00BC3908"/>
    <w:rsid w:val="00BF04F4"/>
    <w:rsid w:val="00C01C97"/>
    <w:rsid w:val="00C0248B"/>
    <w:rsid w:val="00C03527"/>
    <w:rsid w:val="00C054B2"/>
    <w:rsid w:val="00C0712F"/>
    <w:rsid w:val="00C158CC"/>
    <w:rsid w:val="00C2336E"/>
    <w:rsid w:val="00C303E6"/>
    <w:rsid w:val="00C32D3F"/>
    <w:rsid w:val="00C341E8"/>
    <w:rsid w:val="00C353E0"/>
    <w:rsid w:val="00C445F7"/>
    <w:rsid w:val="00C52AD6"/>
    <w:rsid w:val="00C67037"/>
    <w:rsid w:val="00C83E03"/>
    <w:rsid w:val="00C96BDD"/>
    <w:rsid w:val="00CA6B2B"/>
    <w:rsid w:val="00CB651E"/>
    <w:rsid w:val="00D11E2D"/>
    <w:rsid w:val="00D12411"/>
    <w:rsid w:val="00D21AE9"/>
    <w:rsid w:val="00D3236D"/>
    <w:rsid w:val="00D32C3D"/>
    <w:rsid w:val="00D33013"/>
    <w:rsid w:val="00D431C2"/>
    <w:rsid w:val="00D43B83"/>
    <w:rsid w:val="00D463BD"/>
    <w:rsid w:val="00D46E30"/>
    <w:rsid w:val="00D63FF7"/>
    <w:rsid w:val="00D754C7"/>
    <w:rsid w:val="00D824C5"/>
    <w:rsid w:val="00D8637F"/>
    <w:rsid w:val="00DA1B9D"/>
    <w:rsid w:val="00DA287C"/>
    <w:rsid w:val="00DA5554"/>
    <w:rsid w:val="00DB3150"/>
    <w:rsid w:val="00DD0EEF"/>
    <w:rsid w:val="00DE6C90"/>
    <w:rsid w:val="00DF08E3"/>
    <w:rsid w:val="00E210F6"/>
    <w:rsid w:val="00E31D4A"/>
    <w:rsid w:val="00E62715"/>
    <w:rsid w:val="00E83320"/>
    <w:rsid w:val="00E95AA9"/>
    <w:rsid w:val="00EA6FCD"/>
    <w:rsid w:val="00EA7BDE"/>
    <w:rsid w:val="00EB531D"/>
    <w:rsid w:val="00EC0D07"/>
    <w:rsid w:val="00EC5503"/>
    <w:rsid w:val="00ED18F1"/>
    <w:rsid w:val="00ED61B0"/>
    <w:rsid w:val="00ED61C7"/>
    <w:rsid w:val="00EE44F6"/>
    <w:rsid w:val="00EE4BF1"/>
    <w:rsid w:val="00EE6A99"/>
    <w:rsid w:val="00F03B3F"/>
    <w:rsid w:val="00F053EC"/>
    <w:rsid w:val="00F10DFF"/>
    <w:rsid w:val="00F2182A"/>
    <w:rsid w:val="00F220FC"/>
    <w:rsid w:val="00F22AD4"/>
    <w:rsid w:val="00F2703C"/>
    <w:rsid w:val="00F51FC4"/>
    <w:rsid w:val="00F55EC5"/>
    <w:rsid w:val="00F58332"/>
    <w:rsid w:val="00F602D4"/>
    <w:rsid w:val="00F7011A"/>
    <w:rsid w:val="00F72A9A"/>
    <w:rsid w:val="00F72ADC"/>
    <w:rsid w:val="00F7696E"/>
    <w:rsid w:val="00F86D2B"/>
    <w:rsid w:val="00F90F6B"/>
    <w:rsid w:val="00F947AC"/>
    <w:rsid w:val="00F95D8D"/>
    <w:rsid w:val="00F967DF"/>
    <w:rsid w:val="00F97E4A"/>
    <w:rsid w:val="00FC24B9"/>
    <w:rsid w:val="00FC5E3A"/>
    <w:rsid w:val="00FD27F8"/>
    <w:rsid w:val="00FD3B88"/>
    <w:rsid w:val="00FE5320"/>
    <w:rsid w:val="00FE613F"/>
    <w:rsid w:val="00FF10FF"/>
    <w:rsid w:val="00FF7303"/>
    <w:rsid w:val="02E8DBE6"/>
    <w:rsid w:val="03734D72"/>
    <w:rsid w:val="03F18A8C"/>
    <w:rsid w:val="0739FD48"/>
    <w:rsid w:val="0A6D6815"/>
    <w:rsid w:val="0B9C5A50"/>
    <w:rsid w:val="0C59C59D"/>
    <w:rsid w:val="0CDE3617"/>
    <w:rsid w:val="0FF1594D"/>
    <w:rsid w:val="1050A3F8"/>
    <w:rsid w:val="1251D4D5"/>
    <w:rsid w:val="13B49FA6"/>
    <w:rsid w:val="1434F42F"/>
    <w:rsid w:val="15E2B012"/>
    <w:rsid w:val="169C22FA"/>
    <w:rsid w:val="170407E1"/>
    <w:rsid w:val="1C1F3A18"/>
    <w:rsid w:val="20319798"/>
    <w:rsid w:val="2407BBC1"/>
    <w:rsid w:val="25B503AF"/>
    <w:rsid w:val="29973678"/>
    <w:rsid w:val="2B229E13"/>
    <w:rsid w:val="2BCF7C43"/>
    <w:rsid w:val="2D1C3E1B"/>
    <w:rsid w:val="2D47973F"/>
    <w:rsid w:val="2E913E51"/>
    <w:rsid w:val="3340129D"/>
    <w:rsid w:val="33CB7650"/>
    <w:rsid w:val="341112F6"/>
    <w:rsid w:val="376325B6"/>
    <w:rsid w:val="3E480488"/>
    <w:rsid w:val="429C2237"/>
    <w:rsid w:val="45746B23"/>
    <w:rsid w:val="4D7C6706"/>
    <w:rsid w:val="4E6316F6"/>
    <w:rsid w:val="4FEF2AFE"/>
    <w:rsid w:val="52521B09"/>
    <w:rsid w:val="537EBC70"/>
    <w:rsid w:val="5489042C"/>
    <w:rsid w:val="5770E9BA"/>
    <w:rsid w:val="5825F6C8"/>
    <w:rsid w:val="59AA3195"/>
    <w:rsid w:val="5BB8EBE2"/>
    <w:rsid w:val="5CEF28DE"/>
    <w:rsid w:val="603108AD"/>
    <w:rsid w:val="616F13CE"/>
    <w:rsid w:val="63C3B749"/>
    <w:rsid w:val="64F4E5A8"/>
    <w:rsid w:val="65B14D97"/>
    <w:rsid w:val="67A110EA"/>
    <w:rsid w:val="6838974B"/>
    <w:rsid w:val="6DACF009"/>
    <w:rsid w:val="6FD5C76E"/>
    <w:rsid w:val="71E005F9"/>
    <w:rsid w:val="72F576E6"/>
    <w:rsid w:val="73241326"/>
    <w:rsid w:val="740F1D47"/>
    <w:rsid w:val="749ABA24"/>
    <w:rsid w:val="74ADB8FD"/>
    <w:rsid w:val="7723D97D"/>
    <w:rsid w:val="778918BC"/>
    <w:rsid w:val="7A945860"/>
    <w:rsid w:val="7EBDD3E5"/>
    <w:rsid w:val="7ED56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30"/>
  <w15:docId w15:val="{1BCCE533-E43B-44E0-9AA3-7A6AD715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7CB3"/>
    <w:rPr>
      <w:b/>
      <w:bCs/>
    </w:rPr>
  </w:style>
  <w:style w:type="character" w:customStyle="1" w:styleId="CommentSubjectChar">
    <w:name w:val="Comment Subject Char"/>
    <w:basedOn w:val="CommentTextChar"/>
    <w:link w:val="CommentSubject"/>
    <w:uiPriority w:val="99"/>
    <w:semiHidden/>
    <w:rsid w:val="00927CB3"/>
    <w:rPr>
      <w:b/>
      <w:bCs/>
      <w:sz w:val="20"/>
      <w:szCs w:val="20"/>
    </w:rPr>
  </w:style>
  <w:style w:type="paragraph" w:styleId="ListParagraph">
    <w:name w:val="List Paragraph"/>
    <w:basedOn w:val="Normal"/>
    <w:link w:val="ListParagraphChar"/>
    <w:uiPriority w:val="34"/>
    <w:qFormat/>
    <w:rsid w:val="00A15D66"/>
    <w:pPr>
      <w:ind w:left="720"/>
      <w:contextualSpacing/>
    </w:pPr>
  </w:style>
  <w:style w:type="paragraph" w:styleId="NormalWeb">
    <w:name w:val="Normal (Web)"/>
    <w:basedOn w:val="Normal"/>
    <w:uiPriority w:val="99"/>
    <w:unhideWhenUsed/>
    <w:rsid w:val="003E3B7B"/>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F7011A"/>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6E5FDA"/>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6E5FDA"/>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6E5FDA"/>
    <w:rPr>
      <w:rFonts w:cs="Times New Roman"/>
      <w:vertAlign w:val="superscript"/>
    </w:rPr>
  </w:style>
  <w:style w:type="character" w:customStyle="1" w:styleId="Style10pt">
    <w:name w:val="Style 10 pt"/>
    <w:basedOn w:val="DefaultParagraphFont"/>
    <w:uiPriority w:val="99"/>
    <w:rsid w:val="00F2703C"/>
    <w:rPr>
      <w:rFonts w:ascii="Arial" w:hAnsi="Arial" w:cs="Times New Roman"/>
      <w:sz w:val="22"/>
    </w:rPr>
  </w:style>
  <w:style w:type="table" w:customStyle="1" w:styleId="TableGrid4">
    <w:name w:val="Table Grid4"/>
    <w:basedOn w:val="TableNormal"/>
    <w:next w:val="TableGrid"/>
    <w:uiPriority w:val="59"/>
    <w:rsid w:val="007838D0"/>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y.ca.gov/funding-opportunities/funding-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lbl.gov/dir/assets/docs/TRL%20guid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9240245589B0409F605990A2E9AEA1" ma:contentTypeVersion="7" ma:contentTypeDescription="Create a new document." ma:contentTypeScope="" ma:versionID="dc1e55f52f1d4b2e26e7f9fb2e429297">
  <xsd:schema xmlns:xsd="http://www.w3.org/2001/XMLSchema" xmlns:xs="http://www.w3.org/2001/XMLSchema" xmlns:p="http://schemas.microsoft.com/office/2006/metadata/properties" xmlns:ns2="5067c814-4b34-462c-a21d-c185ff6548d2" xmlns:ns3="e036a933-3545-4a28-bf48-39f26e5acea7" targetNamespace="http://schemas.microsoft.com/office/2006/metadata/properties" ma:root="true" ma:fieldsID="7d46ed7af6b95b4ad355fd8515d9237f" ns2:_="" ns3:_="">
    <xsd:import namespace="5067c814-4b34-462c-a21d-c185ff6548d2"/>
    <xsd:import namespace="e036a933-3545-4a28-bf48-39f26e5acea7"/>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a933-3545-4a28-bf48-39f26e5acea7"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0D6739-1290-4BEB-9B56-53C141787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7c814-4b34-462c-a21d-c185ff6548d2"/>
    <ds:schemaRef ds:uri="e036a933-3545-4a28-bf48-39f26e5ac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5509</Words>
  <Characters>31622</Characters>
  <Application>Microsoft Office Word</Application>
  <DocSecurity>0</DocSecurity>
  <Lines>832</Lines>
  <Paragraphs>294</Paragraphs>
  <ScaleCrop>false</ScaleCrop>
  <Company>Wobschall Design</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Lemos-Adair, Eunice@Energy</cp:lastModifiedBy>
  <cp:revision>109</cp:revision>
  <cp:lastPrinted>2019-04-08T16:38:00Z</cp:lastPrinted>
  <dcterms:created xsi:type="dcterms:W3CDTF">2026-03-12T21:24:00Z</dcterms:created>
  <dcterms:modified xsi:type="dcterms:W3CDTF">2026-03-17T17:57:00Z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0x010100D19240245589B0409F605990A2E9AEA1</vt:lpwstr>
  </property>
  <property fmtid="{D5CDD505-2E9C-101B-9397-08002B2CF9AE}" pid="3" name="MediaServiceImageTags">
    <vt:lpwstr/>
  </property>
  <property fmtid="{D5CDD505-2E9C-101B-9397-08002B2CF9AE}" pid="4" name="GrammarlyDocumentId">
    <vt:lpwstr>a3c3490fe0b700743fd941deb0d0301b64d976e5f17c825269bb95c119a40fc0</vt:lpwstr>
  </property>
  <property fmtid="{D5CDD505-2E9C-101B-9397-08002B2CF9AE}" pid="5" name="docLang">
    <vt:lpwstr>en</vt:lpwstr>
  </property>
</Properties>
</file>