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179FB632" w:rsidR="009E6C35" w:rsidRPr="00CC3EC2" w:rsidRDefault="00E92B98" w:rsidP="00B33F69">
      <w:pPr>
        <w:pStyle w:val="paragraph"/>
        <w:ind w:left="4320"/>
        <w:jc w:val="right"/>
        <w:textAlignment w:val="baseline"/>
        <w:rPr>
          <w:rStyle w:val="normaltextrun"/>
          <w:rFonts w:ascii="Tahoma" w:hAnsi="Tahoma" w:cs="Tahoma"/>
        </w:rPr>
      </w:pPr>
      <w:r>
        <w:rPr>
          <w:rStyle w:val="normaltextrun"/>
          <w:rFonts w:ascii="Tahoma" w:hAnsi="Tahoma" w:cs="Tahoma"/>
        </w:rPr>
        <w:t xml:space="preserve">March </w:t>
      </w:r>
      <w:r w:rsidR="005A42DE">
        <w:rPr>
          <w:rStyle w:val="normaltextrun"/>
          <w:rFonts w:ascii="Tahoma" w:hAnsi="Tahoma" w:cs="Tahoma"/>
        </w:rPr>
        <w:t>12</w:t>
      </w:r>
      <w:r w:rsidR="001D1DD0" w:rsidRPr="00CC3EC2">
        <w:rPr>
          <w:rStyle w:val="normaltextrun"/>
          <w:rFonts w:ascii="Tahoma" w:hAnsi="Tahoma" w:cs="Tahoma"/>
        </w:rPr>
        <w:t>,</w:t>
      </w:r>
      <w:r w:rsidR="00C241FC" w:rsidRPr="00CC3EC2">
        <w:rPr>
          <w:rStyle w:val="normaltextrun"/>
          <w:rFonts w:ascii="Tahoma" w:hAnsi="Tahoma" w:cs="Tahoma"/>
        </w:rPr>
        <w:t xml:space="preserve"> 2026</w:t>
      </w:r>
    </w:p>
    <w:p w14:paraId="3049D69B" w14:textId="1805C7E0" w:rsidR="00B1122A" w:rsidRPr="00D56119" w:rsidRDefault="00B1122A" w:rsidP="00D56119">
      <w:pPr>
        <w:pStyle w:val="Heading1"/>
      </w:pPr>
      <w:r w:rsidRPr="00D56119">
        <w:t>GFO-2</w:t>
      </w:r>
      <w:r w:rsidR="3E07790D" w:rsidRPr="00D56119">
        <w:t>4</w:t>
      </w:r>
      <w:r w:rsidR="00353981" w:rsidRPr="00D56119">
        <w:t>-6</w:t>
      </w:r>
      <w:r w:rsidR="00076083" w:rsidRPr="00D56119">
        <w:t>1</w:t>
      </w:r>
      <w:r w:rsidR="00657F71" w:rsidRPr="00D56119">
        <w:t>0</w:t>
      </w:r>
    </w:p>
    <w:p w14:paraId="119B227B" w14:textId="77777777" w:rsidR="00AD6D89" w:rsidRPr="00D56119" w:rsidRDefault="00AD6D89" w:rsidP="00D56119">
      <w:pPr>
        <w:pStyle w:val="Heading1"/>
      </w:pPr>
      <w:r w:rsidRPr="00D56119">
        <w:t xml:space="preserve">Medium- and Heavy-Duty Zero-Emission Vehicle Port Infrastructure </w:t>
      </w:r>
    </w:p>
    <w:p w14:paraId="6587D6BB" w14:textId="4AE72CFA" w:rsidR="00B1122A" w:rsidRPr="00D56119" w:rsidRDefault="00B1122A" w:rsidP="00D56119">
      <w:pPr>
        <w:pStyle w:val="Heading1"/>
      </w:pPr>
      <w:r w:rsidRPr="00D56119">
        <w:t xml:space="preserve">Addendum </w:t>
      </w:r>
      <w:r w:rsidR="001D1DD0" w:rsidRPr="00D56119">
        <w:t>10</w:t>
      </w:r>
    </w:p>
    <w:p w14:paraId="363B15A9" w14:textId="77777777" w:rsidR="00B1122A" w:rsidRPr="00CC3EC2" w:rsidRDefault="00B1122A" w:rsidP="00B1122A">
      <w:pPr>
        <w:autoSpaceDE w:val="0"/>
        <w:autoSpaceDN w:val="0"/>
        <w:adjustRightInd w:val="0"/>
        <w:jc w:val="center"/>
        <w:rPr>
          <w:rFonts w:ascii="Tahoma" w:eastAsia="Calibri" w:hAnsi="Tahoma" w:cs="Tahoma"/>
          <w:b/>
          <w:bCs/>
          <w:color w:val="000000"/>
        </w:rPr>
      </w:pPr>
    </w:p>
    <w:p w14:paraId="28220DB1" w14:textId="67C021BB" w:rsidR="00FD441B" w:rsidRPr="00CC3EC2" w:rsidRDefault="00B1122A" w:rsidP="00B1122A">
      <w:pPr>
        <w:autoSpaceDE w:val="0"/>
        <w:autoSpaceDN w:val="0"/>
        <w:adjustRightInd w:val="0"/>
        <w:rPr>
          <w:rFonts w:ascii="Tahoma" w:eastAsia="Calibri" w:hAnsi="Tahoma" w:cs="Tahoma"/>
          <w:color w:val="000000"/>
        </w:rPr>
      </w:pPr>
      <w:r w:rsidRPr="00CC3EC2">
        <w:rPr>
          <w:rFonts w:ascii="Tahoma" w:eastAsia="Calibri" w:hAnsi="Tahoma" w:cs="Tahoma"/>
          <w:color w:val="000000" w:themeColor="text1"/>
        </w:rPr>
        <w:t>The purpose of this addendum is to notify potential applicants of changes that have been made to GFO-2</w:t>
      </w:r>
      <w:r w:rsidR="6BF0E62C" w:rsidRPr="00CC3EC2">
        <w:rPr>
          <w:rFonts w:ascii="Tahoma" w:eastAsia="Calibri" w:hAnsi="Tahoma" w:cs="Tahoma"/>
          <w:color w:val="000000" w:themeColor="text1"/>
        </w:rPr>
        <w:t>4</w:t>
      </w:r>
      <w:r w:rsidR="00353981" w:rsidRPr="00CC3EC2">
        <w:rPr>
          <w:rFonts w:ascii="Tahoma" w:eastAsia="Calibri" w:hAnsi="Tahoma" w:cs="Tahoma"/>
          <w:color w:val="000000" w:themeColor="text1"/>
        </w:rPr>
        <w:t>-6</w:t>
      </w:r>
      <w:r w:rsidR="00076083" w:rsidRPr="00CC3EC2">
        <w:rPr>
          <w:rFonts w:ascii="Tahoma" w:eastAsia="Calibri" w:hAnsi="Tahoma" w:cs="Tahoma"/>
          <w:color w:val="000000" w:themeColor="text1"/>
        </w:rPr>
        <w:t>1</w:t>
      </w:r>
      <w:r w:rsidR="002879B4" w:rsidRPr="00CC3EC2">
        <w:rPr>
          <w:rFonts w:ascii="Tahoma" w:eastAsia="Calibri" w:hAnsi="Tahoma" w:cs="Tahoma"/>
          <w:color w:val="000000" w:themeColor="text1"/>
        </w:rPr>
        <w:t>0</w:t>
      </w:r>
      <w:r w:rsidRPr="00CC3EC2">
        <w:rPr>
          <w:rFonts w:ascii="Tahoma" w:eastAsia="Calibri" w:hAnsi="Tahoma" w:cs="Tahoma"/>
          <w:color w:val="000000" w:themeColor="text1"/>
        </w:rPr>
        <w:t xml:space="preserve">. </w:t>
      </w:r>
    </w:p>
    <w:p w14:paraId="24A5A8EC" w14:textId="77777777" w:rsidR="00FD441B" w:rsidRPr="00CC3EC2" w:rsidRDefault="00FD441B" w:rsidP="00B1122A">
      <w:pPr>
        <w:autoSpaceDE w:val="0"/>
        <w:autoSpaceDN w:val="0"/>
        <w:adjustRightInd w:val="0"/>
        <w:rPr>
          <w:rFonts w:ascii="Tahoma" w:eastAsia="Calibri" w:hAnsi="Tahoma" w:cs="Tahoma"/>
          <w:color w:val="000000"/>
        </w:rPr>
      </w:pPr>
    </w:p>
    <w:p w14:paraId="709F0F1D" w14:textId="77777777" w:rsidR="00DD2E8D" w:rsidRDefault="00657F71" w:rsidP="00657F71">
      <w:pPr>
        <w:autoSpaceDE w:val="0"/>
        <w:autoSpaceDN w:val="0"/>
        <w:adjustRightInd w:val="0"/>
        <w:rPr>
          <w:rFonts w:ascii="Tahoma" w:eastAsia="Calibri" w:hAnsi="Tahoma" w:cs="Tahoma"/>
          <w:color w:val="000000"/>
        </w:rPr>
      </w:pPr>
      <w:r w:rsidRPr="00CC3EC2">
        <w:rPr>
          <w:rFonts w:ascii="Tahoma" w:eastAsia="Calibri" w:hAnsi="Tahoma" w:cs="Tahoma"/>
          <w:color w:val="000000"/>
        </w:rPr>
        <w:t>The addendum includes revisions to the Solicitation Manual</w:t>
      </w:r>
      <w:r w:rsidR="003E16EE">
        <w:rPr>
          <w:rFonts w:ascii="Tahoma" w:eastAsia="Calibri" w:hAnsi="Tahoma" w:cs="Tahoma"/>
          <w:color w:val="000000"/>
        </w:rPr>
        <w:t>;</w:t>
      </w:r>
      <w:r w:rsidR="000F64FA">
        <w:rPr>
          <w:rFonts w:ascii="Tahoma" w:eastAsia="Calibri" w:hAnsi="Tahoma" w:cs="Tahoma"/>
          <w:color w:val="000000"/>
        </w:rPr>
        <w:t xml:space="preserve"> Attachment 2</w:t>
      </w:r>
      <w:r w:rsidR="003E16EE">
        <w:rPr>
          <w:rFonts w:ascii="Tahoma" w:eastAsia="Calibri" w:hAnsi="Tahoma" w:cs="Tahoma"/>
          <w:color w:val="000000"/>
        </w:rPr>
        <w:t>,</w:t>
      </w:r>
      <w:r w:rsidR="00033622">
        <w:rPr>
          <w:rFonts w:ascii="Tahoma" w:eastAsia="Calibri" w:hAnsi="Tahoma" w:cs="Tahoma"/>
          <w:color w:val="000000"/>
        </w:rPr>
        <w:t xml:space="preserve"> Scope of Work</w:t>
      </w:r>
      <w:r w:rsidR="003E16EE">
        <w:rPr>
          <w:rFonts w:ascii="Tahoma" w:eastAsia="Calibri" w:hAnsi="Tahoma" w:cs="Tahoma"/>
          <w:color w:val="000000"/>
        </w:rPr>
        <w:t>;</w:t>
      </w:r>
      <w:r w:rsidR="00033622">
        <w:rPr>
          <w:rFonts w:ascii="Tahoma" w:eastAsia="Calibri" w:hAnsi="Tahoma" w:cs="Tahoma"/>
          <w:color w:val="000000"/>
        </w:rPr>
        <w:t xml:space="preserve"> Attachment 3</w:t>
      </w:r>
      <w:r w:rsidR="003E16EE">
        <w:rPr>
          <w:rFonts w:ascii="Tahoma" w:eastAsia="Calibri" w:hAnsi="Tahoma" w:cs="Tahoma"/>
          <w:color w:val="000000"/>
        </w:rPr>
        <w:t>,</w:t>
      </w:r>
      <w:r w:rsidR="00A14E10">
        <w:rPr>
          <w:rFonts w:ascii="Tahoma" w:eastAsia="Calibri" w:hAnsi="Tahoma" w:cs="Tahoma"/>
          <w:color w:val="000000"/>
        </w:rPr>
        <w:t xml:space="preserve"> Scope of Work Instructions</w:t>
      </w:r>
      <w:r w:rsidR="003E16EE">
        <w:rPr>
          <w:rFonts w:ascii="Tahoma" w:eastAsia="Calibri" w:hAnsi="Tahoma" w:cs="Tahoma"/>
          <w:color w:val="000000"/>
        </w:rPr>
        <w:t>;</w:t>
      </w:r>
      <w:r w:rsidR="00A14E10">
        <w:rPr>
          <w:rFonts w:ascii="Tahoma" w:eastAsia="Calibri" w:hAnsi="Tahoma" w:cs="Tahoma"/>
          <w:color w:val="000000"/>
        </w:rPr>
        <w:t xml:space="preserve"> Attachment 20</w:t>
      </w:r>
      <w:r w:rsidR="003E16EE">
        <w:rPr>
          <w:rFonts w:ascii="Tahoma" w:eastAsia="Calibri" w:hAnsi="Tahoma" w:cs="Tahoma"/>
          <w:color w:val="000000"/>
        </w:rPr>
        <w:t>,</w:t>
      </w:r>
      <w:r w:rsidR="00A14E10">
        <w:rPr>
          <w:rFonts w:ascii="Tahoma" w:eastAsia="Calibri" w:hAnsi="Tahoma" w:cs="Tahoma"/>
          <w:color w:val="000000"/>
        </w:rPr>
        <w:t xml:space="preserve"> Station Checklist</w:t>
      </w:r>
      <w:r w:rsidR="003E16EE">
        <w:rPr>
          <w:rFonts w:ascii="Tahoma" w:eastAsia="Calibri" w:hAnsi="Tahoma" w:cs="Tahoma"/>
          <w:color w:val="000000"/>
        </w:rPr>
        <w:t>;</w:t>
      </w:r>
      <w:r w:rsidR="002462BF" w:rsidRPr="00CC3EC2">
        <w:rPr>
          <w:rFonts w:ascii="Tahoma" w:eastAsia="Calibri" w:hAnsi="Tahoma" w:cs="Tahoma"/>
          <w:color w:val="000000"/>
        </w:rPr>
        <w:t xml:space="preserve"> and Questions and Answers</w:t>
      </w:r>
      <w:r w:rsidRPr="00CC3EC2">
        <w:rPr>
          <w:rFonts w:ascii="Tahoma" w:eastAsia="Calibri" w:hAnsi="Tahoma" w:cs="Tahoma"/>
          <w:color w:val="000000"/>
        </w:rPr>
        <w:t xml:space="preserve">. </w:t>
      </w:r>
    </w:p>
    <w:p w14:paraId="0DE695B8" w14:textId="77777777" w:rsidR="00DD2E8D" w:rsidRDefault="00DD2E8D" w:rsidP="00657F71">
      <w:pPr>
        <w:autoSpaceDE w:val="0"/>
        <w:autoSpaceDN w:val="0"/>
        <w:adjustRightInd w:val="0"/>
        <w:rPr>
          <w:rFonts w:ascii="Tahoma" w:eastAsia="Calibri" w:hAnsi="Tahoma" w:cs="Tahoma"/>
          <w:color w:val="000000"/>
        </w:rPr>
      </w:pPr>
    </w:p>
    <w:p w14:paraId="1DD1E9EF" w14:textId="2113C12D" w:rsidR="00657F71" w:rsidRPr="00CC3EC2" w:rsidRDefault="00657F71" w:rsidP="00657F71">
      <w:pPr>
        <w:autoSpaceDE w:val="0"/>
        <w:autoSpaceDN w:val="0"/>
        <w:adjustRightInd w:val="0"/>
        <w:rPr>
          <w:rFonts w:ascii="Tahoma" w:eastAsia="Calibri" w:hAnsi="Tahoma" w:cs="Tahoma"/>
          <w:color w:val="000000"/>
        </w:rPr>
      </w:pPr>
      <w:r w:rsidRPr="00CC3EC2">
        <w:rPr>
          <w:rFonts w:ascii="Tahoma" w:eastAsia="Calibri" w:hAnsi="Tahoma" w:cs="Tahoma"/>
          <w:color w:val="000000"/>
        </w:rPr>
        <w:t xml:space="preserve">Added language appears in </w:t>
      </w:r>
      <w:r w:rsidRPr="00CC3EC2">
        <w:rPr>
          <w:rFonts w:ascii="Tahoma" w:eastAsia="Calibri" w:hAnsi="Tahoma" w:cs="Tahoma"/>
          <w:b/>
          <w:bCs/>
          <w:color w:val="000000"/>
          <w:u w:val="single"/>
        </w:rPr>
        <w:t>bold underline</w:t>
      </w:r>
      <w:r w:rsidRPr="00CC3EC2">
        <w:rPr>
          <w:rFonts w:ascii="Tahoma" w:eastAsia="Calibri" w:hAnsi="Tahoma" w:cs="Tahoma"/>
          <w:color w:val="000000"/>
        </w:rPr>
        <w:t>, and deleted language appears in [</w:t>
      </w:r>
      <w:r w:rsidRPr="00CC3EC2">
        <w:rPr>
          <w:rFonts w:ascii="Tahoma" w:eastAsia="Calibri" w:hAnsi="Tahoma" w:cs="Tahoma"/>
          <w:strike/>
          <w:color w:val="000000"/>
        </w:rPr>
        <w:t>strikethrough</w:t>
      </w:r>
      <w:r w:rsidRPr="00CC3EC2">
        <w:rPr>
          <w:rFonts w:ascii="Tahoma" w:eastAsia="Calibri" w:hAnsi="Tahoma" w:cs="Tahoma"/>
          <w:color w:val="000000"/>
        </w:rPr>
        <w:t>] and within square brackets.</w:t>
      </w:r>
    </w:p>
    <w:p w14:paraId="08640EF7" w14:textId="77777777" w:rsidR="002462BF" w:rsidRPr="00CC3EC2" w:rsidRDefault="002462BF" w:rsidP="00657F71">
      <w:pPr>
        <w:autoSpaceDE w:val="0"/>
        <w:autoSpaceDN w:val="0"/>
        <w:adjustRightInd w:val="0"/>
        <w:rPr>
          <w:rFonts w:ascii="Tahoma" w:eastAsia="Calibri" w:hAnsi="Tahoma" w:cs="Tahoma"/>
          <w:color w:val="000000"/>
        </w:rPr>
      </w:pPr>
    </w:p>
    <w:p w14:paraId="4A26A095" w14:textId="0C9A8EE0" w:rsidR="002462BF" w:rsidRPr="00CC3EC2" w:rsidRDefault="002462BF" w:rsidP="00657F71">
      <w:pPr>
        <w:autoSpaceDE w:val="0"/>
        <w:autoSpaceDN w:val="0"/>
        <w:adjustRightInd w:val="0"/>
        <w:rPr>
          <w:rFonts w:ascii="Tahoma" w:eastAsia="Calibri" w:hAnsi="Tahoma" w:cs="Tahoma"/>
          <w:color w:val="000000"/>
        </w:rPr>
      </w:pPr>
      <w:r w:rsidRPr="00CC3EC2">
        <w:rPr>
          <w:rFonts w:ascii="Tahoma" w:eastAsia="Calibri" w:hAnsi="Tahoma" w:cs="Tahoma"/>
          <w:color w:val="000000"/>
        </w:rPr>
        <w:t xml:space="preserve">The updated question-and-answer set </w:t>
      </w:r>
      <w:r w:rsidR="003E16EE">
        <w:rPr>
          <w:rFonts w:ascii="Tahoma" w:eastAsia="Calibri" w:hAnsi="Tahoma" w:cs="Tahoma"/>
          <w:color w:val="000000"/>
        </w:rPr>
        <w:t xml:space="preserve">is </w:t>
      </w:r>
      <w:r w:rsidRPr="00CC3EC2">
        <w:rPr>
          <w:rFonts w:ascii="Tahoma" w:eastAsia="Calibri" w:hAnsi="Tahoma" w:cs="Tahoma"/>
          <w:color w:val="000000"/>
        </w:rPr>
        <w:t xml:space="preserve">posted on the </w:t>
      </w:r>
      <w:hyperlink r:id="rId11" w:history="1">
        <w:r w:rsidRPr="00CC3EC2">
          <w:rPr>
            <w:rStyle w:val="Hyperlink"/>
            <w:rFonts w:ascii="Tahoma" w:eastAsia="Calibri" w:hAnsi="Tahoma" w:cs="Tahoma"/>
          </w:rPr>
          <w:t>CEC’s solicitation information website</w:t>
        </w:r>
      </w:hyperlink>
      <w:r w:rsidRPr="00CC3EC2">
        <w:rPr>
          <w:rFonts w:ascii="Tahoma" w:eastAsia="Calibri" w:hAnsi="Tahoma" w:cs="Tahoma"/>
          <w:color w:val="000000"/>
        </w:rPr>
        <w:t xml:space="preserve"> at </w:t>
      </w:r>
      <w:r w:rsidR="00F16C59" w:rsidRPr="00CC3EC2">
        <w:rPr>
          <w:rStyle w:val="normaltextrun"/>
          <w:rFonts w:ascii="Tahoma" w:hAnsi="Tahoma" w:cs="Tahoma"/>
          <w:color w:val="000000"/>
          <w:shd w:val="clear" w:color="auto" w:fill="FFFFFF"/>
        </w:rPr>
        <w:t>www.energy.ca.gov/funding-opportunities/solicitations.</w:t>
      </w:r>
    </w:p>
    <w:p w14:paraId="75680E49" w14:textId="77777777" w:rsidR="008F4EE9" w:rsidRPr="00CC3EC2" w:rsidRDefault="008F4EE9" w:rsidP="0000028A">
      <w:pPr>
        <w:autoSpaceDE w:val="0"/>
        <w:autoSpaceDN w:val="0"/>
        <w:adjustRightInd w:val="0"/>
        <w:rPr>
          <w:rFonts w:ascii="Tahoma" w:eastAsia="Calibri" w:hAnsi="Tahoma" w:cs="Tahoma"/>
          <w:color w:val="000000"/>
        </w:rPr>
      </w:pPr>
    </w:p>
    <w:p w14:paraId="48667D19" w14:textId="1DEF493C" w:rsidR="00292E6D" w:rsidRPr="00CC3EC2" w:rsidRDefault="00B1122A" w:rsidP="00AD0BD5">
      <w:pPr>
        <w:keepNext/>
        <w:keepLines/>
        <w:spacing w:after="240"/>
        <w:outlineLvl w:val="1"/>
        <w:rPr>
          <w:rFonts w:ascii="Tahoma" w:hAnsi="Tahoma" w:cs="Tahoma"/>
          <w:b/>
          <w:bCs/>
        </w:rPr>
      </w:pPr>
      <w:r w:rsidRPr="00CC3EC2">
        <w:rPr>
          <w:rFonts w:ascii="Tahoma" w:eastAsiaTheme="majorEastAsia" w:hAnsi="Tahoma" w:cs="Tahoma"/>
          <w:b/>
        </w:rPr>
        <w:t>Solicitation Manual</w:t>
      </w:r>
    </w:p>
    <w:p w14:paraId="5CA644DE" w14:textId="3B8B047F" w:rsidR="00E01CB5" w:rsidRPr="00CC3EC2" w:rsidRDefault="009E4146" w:rsidP="00A12A97">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bookmarkStart w:id="0" w:name="_Toc155803478"/>
      <w:r w:rsidRPr="00CC3EC2">
        <w:rPr>
          <w:rFonts w:ascii="Tahoma" w:eastAsiaTheme="majorEastAsia" w:hAnsi="Tahoma" w:cs="Tahoma"/>
          <w:bCs/>
          <w:smallCaps w:val="0"/>
          <w:sz w:val="24"/>
          <w:szCs w:val="24"/>
          <w:lang w:val="en-US" w:eastAsia="en-US"/>
        </w:rPr>
        <w:t xml:space="preserve">Section </w:t>
      </w:r>
      <w:r w:rsidR="00012767" w:rsidRPr="00CC3EC2">
        <w:rPr>
          <w:rFonts w:ascii="Tahoma" w:eastAsiaTheme="majorEastAsia" w:hAnsi="Tahoma" w:cs="Tahoma"/>
          <w:bCs/>
          <w:smallCaps w:val="0"/>
          <w:sz w:val="24"/>
          <w:szCs w:val="24"/>
          <w:lang w:val="en-US" w:eastAsia="en-US"/>
        </w:rPr>
        <w:t>II.</w:t>
      </w:r>
      <w:r w:rsidR="001D1DD0" w:rsidRPr="00CC3EC2">
        <w:rPr>
          <w:rFonts w:ascii="Tahoma" w:eastAsiaTheme="majorEastAsia" w:hAnsi="Tahoma" w:cs="Tahoma"/>
          <w:bCs/>
          <w:smallCaps w:val="0"/>
          <w:sz w:val="24"/>
          <w:szCs w:val="24"/>
          <w:lang w:val="en-US" w:eastAsia="en-US"/>
        </w:rPr>
        <w:t>C</w:t>
      </w:r>
      <w:r w:rsidR="00A12A97" w:rsidRPr="00CC3EC2">
        <w:rPr>
          <w:rFonts w:ascii="Tahoma" w:eastAsiaTheme="majorEastAsia" w:hAnsi="Tahoma" w:cs="Tahoma"/>
          <w:bCs/>
          <w:smallCaps w:val="0"/>
          <w:sz w:val="24"/>
          <w:szCs w:val="24"/>
          <w:lang w:val="en-US" w:eastAsia="en-US"/>
        </w:rPr>
        <w:t>.</w:t>
      </w:r>
      <w:r w:rsidR="001D1DD0" w:rsidRPr="00CC3EC2">
        <w:rPr>
          <w:rFonts w:ascii="Tahoma" w:eastAsiaTheme="majorEastAsia" w:hAnsi="Tahoma" w:cs="Tahoma"/>
          <w:bCs/>
          <w:smallCaps w:val="0"/>
          <w:sz w:val="24"/>
          <w:szCs w:val="24"/>
          <w:lang w:val="en-US" w:eastAsia="en-US"/>
        </w:rPr>
        <w:t xml:space="preserve"> Minimum Technical Requirements for Electric Vehicle Charging Stations</w:t>
      </w:r>
      <w:r w:rsidR="005615F4" w:rsidRPr="00CC3EC2">
        <w:rPr>
          <w:rFonts w:ascii="Tahoma" w:eastAsiaTheme="majorEastAsia" w:hAnsi="Tahoma" w:cs="Tahoma"/>
          <w:bCs/>
          <w:smallCaps w:val="0"/>
          <w:sz w:val="24"/>
          <w:szCs w:val="24"/>
          <w:lang w:val="en-US" w:eastAsia="en-US"/>
        </w:rPr>
        <w:t xml:space="preserve"> </w:t>
      </w:r>
      <w:bookmarkEnd w:id="0"/>
    </w:p>
    <w:p w14:paraId="12CD5441" w14:textId="43C1258D" w:rsidR="001D1DD0" w:rsidRPr="00CC3EC2" w:rsidRDefault="008258E8" w:rsidP="001D1DD0">
      <w:pPr>
        <w:pStyle w:val="NormalWeb"/>
        <w:numPr>
          <w:ilvl w:val="0"/>
          <w:numId w:val="32"/>
        </w:numPr>
        <w:ind w:hanging="720"/>
        <w:rPr>
          <w:rFonts w:ascii="Tahoma" w:hAnsi="Tahoma" w:cs="Tahoma"/>
        </w:rPr>
      </w:pPr>
      <w:r>
        <w:rPr>
          <w:rFonts w:ascii="Tahoma" w:hAnsi="Tahoma" w:cs="Tahoma"/>
          <w:lang w:eastAsia="x-none"/>
        </w:rPr>
        <w:t>T</w:t>
      </w:r>
      <w:r w:rsidR="001D1DD0" w:rsidRPr="00CC3EC2">
        <w:rPr>
          <w:rFonts w:ascii="Tahoma" w:hAnsi="Tahoma" w:cs="Tahoma"/>
          <w:lang w:eastAsia="x-none"/>
        </w:rPr>
        <w:t>he charging port must conform to OCPP 2.0.1 or later. Manufacturers must attest that the charger conforms to OCPP 2.0.1 or later by detailing it on a publicly available charger specification sheet. </w:t>
      </w:r>
    </w:p>
    <w:p w14:paraId="6A25F995" w14:textId="70C35B93" w:rsidR="001D1DD0" w:rsidRPr="00CC3EC2" w:rsidRDefault="001D1DD0" w:rsidP="001D1DD0">
      <w:pPr>
        <w:pStyle w:val="NormalWeb"/>
        <w:numPr>
          <w:ilvl w:val="0"/>
          <w:numId w:val="32"/>
        </w:numPr>
        <w:ind w:hanging="720"/>
        <w:rPr>
          <w:rFonts w:ascii="Tahoma" w:hAnsi="Tahoma" w:cs="Tahoma"/>
        </w:rPr>
      </w:pPr>
      <w:r w:rsidRPr="58CC905D">
        <w:rPr>
          <w:rFonts w:ascii="Tahoma" w:hAnsi="Tahoma" w:cs="Tahoma"/>
          <w:b/>
          <w:u w:val="single"/>
        </w:rPr>
        <w:t>For Public Access charging stations, t</w:t>
      </w:r>
      <w:r w:rsidRPr="58CC905D">
        <w:rPr>
          <w:rFonts w:ascii="Tahoma" w:hAnsi="Tahoma" w:cs="Tahoma"/>
          <w:u w:val="single"/>
        </w:rPr>
        <w:t>[</w:t>
      </w:r>
      <w:r w:rsidRPr="58CC905D">
        <w:rPr>
          <w:rFonts w:ascii="Tahoma" w:hAnsi="Tahoma" w:cs="Tahoma"/>
          <w:strike/>
        </w:rPr>
        <w:t>T</w:t>
      </w:r>
      <w:r w:rsidRPr="58CC905D">
        <w:rPr>
          <w:rFonts w:ascii="Tahoma" w:hAnsi="Tahoma" w:cs="Tahoma"/>
        </w:rPr>
        <w:t>]</w:t>
      </w:r>
      <w:proofErr w:type="gramStart"/>
      <w:r w:rsidRPr="58CC905D">
        <w:rPr>
          <w:rFonts w:ascii="Tahoma" w:hAnsi="Tahoma" w:cs="Tahoma"/>
        </w:rPr>
        <w:t>he</w:t>
      </w:r>
      <w:proofErr w:type="gramEnd"/>
      <w:r w:rsidRPr="58CC905D">
        <w:rPr>
          <w:rFonts w:ascii="Tahoma" w:hAnsi="Tahoma" w:cs="Tahoma"/>
        </w:rPr>
        <w:t xml:space="preserve"> charging port’s networking software must connect to a central management system using OCPP 2.0.1 for the purposes of charger management and data reporting, including for reliability data reporting requirements specified in the solicitation Scope of Work. </w:t>
      </w:r>
      <w:r w:rsidR="008258E8" w:rsidRPr="58CC905D">
        <w:rPr>
          <w:rFonts w:ascii="Tahoma" w:hAnsi="Tahoma" w:cs="Tahoma"/>
          <w:b/>
          <w:u w:val="single"/>
        </w:rPr>
        <w:t xml:space="preserve">Charging ports must comply with regulatory requirements under Assembly Bill 2061 once the regulation is </w:t>
      </w:r>
      <w:r w:rsidR="00E5378A">
        <w:rPr>
          <w:rFonts w:ascii="Tahoma" w:hAnsi="Tahoma" w:cs="Tahoma"/>
          <w:b/>
          <w:u w:val="single"/>
        </w:rPr>
        <w:t xml:space="preserve">adopted </w:t>
      </w:r>
      <w:r w:rsidR="00A84C0F">
        <w:rPr>
          <w:rFonts w:ascii="Tahoma" w:hAnsi="Tahoma" w:cs="Tahoma"/>
          <w:b/>
          <w:u w:val="single"/>
        </w:rPr>
        <w:t>by CEC</w:t>
      </w:r>
      <w:r w:rsidR="00C82FEA">
        <w:rPr>
          <w:rFonts w:ascii="Tahoma" w:hAnsi="Tahoma" w:cs="Tahoma"/>
          <w:b/>
          <w:u w:val="single"/>
        </w:rPr>
        <w:t xml:space="preserve">. </w:t>
      </w:r>
      <w:r w:rsidR="008258E8" w:rsidRPr="58CC905D">
        <w:rPr>
          <w:rFonts w:ascii="Tahoma" w:hAnsi="Tahoma" w:cs="Tahoma"/>
          <w:b/>
          <w:u w:val="single"/>
        </w:rPr>
        <w:t xml:space="preserve">This includes connecting to a central management system using OCPP 2.0.1 or later for the purposes of reliability data reporting </w:t>
      </w:r>
      <w:r w:rsidR="008258E8" w:rsidRPr="58CC905D">
        <w:rPr>
          <w:rFonts w:ascii="Tahoma" w:hAnsi="Tahoma" w:cs="Tahoma"/>
          <w:b/>
          <w:i/>
          <w:u w:val="single"/>
        </w:rPr>
        <w:t>for applicable charging ports</w:t>
      </w:r>
      <w:r w:rsidR="008258E8" w:rsidRPr="58CC905D">
        <w:rPr>
          <w:rFonts w:ascii="Tahoma" w:hAnsi="Tahoma" w:cs="Tahoma"/>
          <w:b/>
          <w:u w:val="single"/>
        </w:rPr>
        <w:t>.</w:t>
      </w:r>
    </w:p>
    <w:p w14:paraId="0E41D514" w14:textId="6505917C" w:rsidR="006C683F" w:rsidRPr="00CC3EC2" w:rsidRDefault="008258E8" w:rsidP="001D1DD0">
      <w:pPr>
        <w:pStyle w:val="NormalWeb"/>
        <w:numPr>
          <w:ilvl w:val="0"/>
          <w:numId w:val="32"/>
        </w:numPr>
        <w:ind w:hanging="720"/>
        <w:rPr>
          <w:rFonts w:ascii="Tahoma" w:hAnsi="Tahoma" w:cs="Tahoma"/>
        </w:rPr>
      </w:pPr>
      <w:r>
        <w:rPr>
          <w:rFonts w:ascii="Tahoma" w:hAnsi="Tahoma" w:cs="Tahoma"/>
          <w:lang w:eastAsia="x-none"/>
        </w:rPr>
        <w:t>T</w:t>
      </w:r>
      <w:r w:rsidR="001D1DD0" w:rsidRPr="00CC3EC2">
        <w:rPr>
          <w:rFonts w:ascii="Tahoma" w:hAnsi="Tahoma" w:cs="Tahoma"/>
          <w:lang w:eastAsia="x-none"/>
        </w:rPr>
        <w:t>he charging ports must be designed to remotely and securely switch OCPP network providers without any changes in hardware or physical site visits. </w:t>
      </w:r>
    </w:p>
    <w:p w14:paraId="476C7C33" w14:textId="36F2F4A1" w:rsidR="000B2D17" w:rsidRPr="00CC3EC2" w:rsidRDefault="006C683F" w:rsidP="006C683F">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sidRPr="00CC3EC2">
        <w:rPr>
          <w:rFonts w:ascii="Tahoma" w:eastAsiaTheme="majorEastAsia" w:hAnsi="Tahoma" w:cs="Tahoma"/>
          <w:bCs/>
          <w:smallCaps w:val="0"/>
          <w:sz w:val="24"/>
          <w:szCs w:val="24"/>
          <w:lang w:val="en-US" w:eastAsia="en-US"/>
        </w:rPr>
        <w:t>Section II</w:t>
      </w:r>
      <w:r w:rsidR="00A12A97" w:rsidRPr="00CC3EC2">
        <w:rPr>
          <w:rFonts w:ascii="Tahoma" w:eastAsiaTheme="majorEastAsia" w:hAnsi="Tahoma" w:cs="Tahoma"/>
          <w:bCs/>
          <w:smallCaps w:val="0"/>
          <w:sz w:val="24"/>
          <w:szCs w:val="24"/>
          <w:lang w:val="en-US" w:eastAsia="en-US"/>
        </w:rPr>
        <w:t>I</w:t>
      </w:r>
      <w:r w:rsidRPr="00CC3EC2">
        <w:rPr>
          <w:rFonts w:ascii="Tahoma" w:eastAsiaTheme="majorEastAsia" w:hAnsi="Tahoma" w:cs="Tahoma"/>
          <w:bCs/>
          <w:smallCaps w:val="0"/>
          <w:sz w:val="24"/>
          <w:szCs w:val="24"/>
          <w:lang w:val="en-US" w:eastAsia="en-US"/>
        </w:rPr>
        <w:t>.</w:t>
      </w:r>
      <w:r w:rsidR="00A12A97" w:rsidRPr="00CC3EC2">
        <w:rPr>
          <w:rFonts w:ascii="Tahoma" w:eastAsiaTheme="majorEastAsia" w:hAnsi="Tahoma" w:cs="Tahoma"/>
          <w:bCs/>
          <w:smallCaps w:val="0"/>
          <w:sz w:val="24"/>
          <w:szCs w:val="24"/>
          <w:lang w:val="en-US" w:eastAsia="en-US"/>
        </w:rPr>
        <w:t>D.3.</w:t>
      </w:r>
      <w:r w:rsidRPr="00CC3EC2">
        <w:rPr>
          <w:rFonts w:ascii="Tahoma" w:eastAsiaTheme="majorEastAsia" w:hAnsi="Tahoma" w:cs="Tahoma"/>
          <w:bCs/>
          <w:smallCaps w:val="0"/>
          <w:sz w:val="24"/>
          <w:szCs w:val="24"/>
          <w:lang w:val="en-US" w:eastAsia="en-US"/>
        </w:rPr>
        <w:t xml:space="preserve"> </w:t>
      </w:r>
      <w:r w:rsidR="00F905B2">
        <w:rPr>
          <w:rFonts w:ascii="Tahoma" w:eastAsiaTheme="majorEastAsia" w:hAnsi="Tahoma" w:cs="Tahoma"/>
          <w:bCs/>
          <w:smallCaps w:val="0"/>
          <w:sz w:val="24"/>
          <w:szCs w:val="24"/>
          <w:lang w:val="en-US" w:eastAsia="en-US"/>
        </w:rPr>
        <w:t>Scope of Work</w:t>
      </w:r>
      <w:r w:rsidR="00D40848">
        <w:rPr>
          <w:rFonts w:ascii="Tahoma" w:eastAsiaTheme="majorEastAsia" w:hAnsi="Tahoma" w:cs="Tahoma"/>
          <w:bCs/>
          <w:smallCaps w:val="0"/>
          <w:sz w:val="24"/>
          <w:szCs w:val="24"/>
          <w:lang w:val="en-US" w:eastAsia="en-US"/>
        </w:rPr>
        <w:t xml:space="preserve"> (Attachment 2)</w:t>
      </w:r>
    </w:p>
    <w:p w14:paraId="7F52B8A7" w14:textId="77777777" w:rsidR="00A12A97" w:rsidRPr="00CC3EC2" w:rsidRDefault="00A12A97" w:rsidP="00A12A97">
      <w:pPr>
        <w:ind w:left="1080"/>
        <w:rPr>
          <w:rFonts w:ascii="Tahoma" w:hAnsi="Tahoma" w:cs="Tahoma"/>
          <w:b/>
        </w:rPr>
      </w:pPr>
    </w:p>
    <w:p w14:paraId="6D3BCC84" w14:textId="086AABF0" w:rsidR="00A12A97" w:rsidRPr="00CC3EC2" w:rsidRDefault="00A12A97" w:rsidP="00A12A97">
      <w:pPr>
        <w:ind w:left="720"/>
        <w:rPr>
          <w:rFonts w:ascii="Tahoma" w:hAnsi="Tahoma" w:cs="Tahoma"/>
        </w:rPr>
      </w:pPr>
      <w:r w:rsidRPr="00CC3EC2">
        <w:rPr>
          <w:rFonts w:ascii="Tahoma" w:hAnsi="Tahoma" w:cs="Tahoma"/>
        </w:rPr>
        <w:t xml:space="preserve">Applicants must include a completed Scope of Work utilizing the template contained in Attachment 2. Instructions for completing the Scope of Work as well as a sample are </w:t>
      </w:r>
      <w:r w:rsidRPr="00CC3EC2">
        <w:rPr>
          <w:rFonts w:ascii="Tahoma" w:hAnsi="Tahoma" w:cs="Tahoma"/>
        </w:rPr>
        <w:lastRenderedPageBreak/>
        <w:t>included in Attachment 3. The description of activities proposed in the Project Narrative must conform to the tasks described in the Scope of Work. Electronic files for the Scope of Work must be in MS Word.</w:t>
      </w:r>
    </w:p>
    <w:p w14:paraId="2A21D326" w14:textId="77777777" w:rsidR="00A12A97" w:rsidRPr="00CC3EC2" w:rsidRDefault="00A12A97" w:rsidP="00A12A97">
      <w:pPr>
        <w:ind w:left="1080"/>
        <w:rPr>
          <w:rFonts w:ascii="Tahoma" w:hAnsi="Tahoma" w:cs="Tahoma"/>
        </w:rPr>
      </w:pPr>
    </w:p>
    <w:p w14:paraId="6EAE218F" w14:textId="77777777" w:rsidR="00A12A97" w:rsidRPr="00CC3EC2" w:rsidRDefault="00A12A97" w:rsidP="00A12A97">
      <w:pPr>
        <w:ind w:left="720"/>
        <w:rPr>
          <w:rFonts w:ascii="Tahoma" w:hAnsi="Tahoma" w:cs="Tahoma"/>
          <w:b/>
          <w:bCs/>
          <w:u w:val="single"/>
        </w:rPr>
      </w:pPr>
      <w:r w:rsidRPr="00CC3EC2">
        <w:rPr>
          <w:rFonts w:ascii="Tahoma" w:hAnsi="Tahoma" w:cs="Tahoma"/>
          <w:b/>
          <w:bCs/>
          <w:u w:val="single"/>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294A531A" w14:textId="77777777" w:rsidR="00A12A97" w:rsidRPr="00CC3EC2" w:rsidRDefault="00A12A97" w:rsidP="00A12A97">
      <w:pPr>
        <w:ind w:left="720"/>
        <w:rPr>
          <w:rFonts w:ascii="Tahoma" w:hAnsi="Tahoma" w:cs="Tahoma"/>
        </w:rPr>
      </w:pPr>
    </w:p>
    <w:p w14:paraId="2362D281" w14:textId="77777777" w:rsidR="00A12A97" w:rsidRPr="00CC3EC2" w:rsidRDefault="00A12A97" w:rsidP="00A12A97">
      <w:pPr>
        <w:ind w:left="720"/>
        <w:rPr>
          <w:rFonts w:ascii="Tahoma" w:hAnsi="Tahoma" w:cs="Tahoma"/>
        </w:rPr>
      </w:pPr>
      <w:r w:rsidRPr="00CC3EC2">
        <w:rPr>
          <w:rFonts w:ascii="Tahoma" w:hAnsi="Tahoma" w:cs="Tahoma"/>
        </w:rPr>
        <w:t>Applicants must present a comprehensive and credible Scope of Work which includes (presented in a logical manner) comprehensive and sequential tasks, products resulting from the individual tasks, and how the tasks are related to or are dependent on each other.</w:t>
      </w:r>
    </w:p>
    <w:p w14:paraId="353E0A34" w14:textId="229CFDAF" w:rsidR="000B2D17" w:rsidRPr="00CC3EC2" w:rsidRDefault="00A12A97" w:rsidP="00A12A97">
      <w:pPr>
        <w:spacing w:before="100" w:beforeAutospacing="1"/>
        <w:rPr>
          <w:rFonts w:ascii="Tahoma" w:eastAsia="Tahoma" w:hAnsi="Tahoma" w:cs="Tahoma"/>
          <w:b/>
          <w:bCs/>
        </w:rPr>
      </w:pPr>
      <w:r w:rsidRPr="00CC3EC2">
        <w:rPr>
          <w:rFonts w:ascii="Tahoma" w:eastAsia="Tahoma" w:hAnsi="Tahoma" w:cs="Tahoma"/>
          <w:b/>
          <w:bCs/>
        </w:rPr>
        <w:t>Attachment 2, Scope of Work</w:t>
      </w:r>
    </w:p>
    <w:p w14:paraId="1B156CBA" w14:textId="77B3FE25" w:rsidR="00A12A97" w:rsidRPr="00CC3EC2" w:rsidRDefault="00A12A97" w:rsidP="00A12A97">
      <w:pPr>
        <w:pStyle w:val="ListParagraph"/>
        <w:numPr>
          <w:ilvl w:val="0"/>
          <w:numId w:val="2"/>
        </w:numPr>
        <w:spacing w:before="100" w:beforeAutospacing="1"/>
        <w:ind w:left="720" w:hanging="720"/>
        <w:rPr>
          <w:rFonts w:ascii="Tahoma" w:eastAsia="Tahoma" w:hAnsi="Tahoma" w:cs="Tahoma"/>
          <w:b/>
          <w:bCs/>
          <w:u w:val="single"/>
        </w:rPr>
      </w:pPr>
      <w:r w:rsidRPr="00CC3EC2">
        <w:rPr>
          <w:rFonts w:ascii="Tahoma" w:eastAsia="Tahoma" w:hAnsi="Tahoma" w:cs="Tahoma"/>
          <w:b/>
          <w:bCs/>
          <w:u w:val="single"/>
        </w:rPr>
        <w:t xml:space="preserve">The information, requirements, and deliverables set forth in this Scope of Work </w:t>
      </w:r>
      <w:r w:rsidR="004562F5">
        <w:rPr>
          <w:rFonts w:ascii="Tahoma" w:eastAsia="Tahoma" w:hAnsi="Tahoma" w:cs="Tahoma"/>
          <w:b/>
          <w:bCs/>
          <w:u w:val="single"/>
        </w:rPr>
        <w:t xml:space="preserve">template </w:t>
      </w:r>
      <w:r w:rsidRPr="00CC3EC2">
        <w:rPr>
          <w:rFonts w:ascii="Tahoma" w:eastAsia="Tahoma" w:hAnsi="Tahoma" w:cs="Tahoma"/>
          <w:b/>
          <w:bCs/>
          <w:u w:val="single"/>
        </w:rPr>
        <w:t>are provided for preliminary reference only and are subject to revision. CEC reserves the right to modify the Scope of Work at any time during the negotiation and development of a grant agreement.</w:t>
      </w:r>
    </w:p>
    <w:p w14:paraId="1CF6ACBD" w14:textId="77777777" w:rsidR="00A12A97" w:rsidRPr="00CC3EC2" w:rsidRDefault="00A12A97" w:rsidP="000B2D17">
      <w:pPr>
        <w:rPr>
          <w:rFonts w:ascii="Tahoma" w:hAnsi="Tahoma" w:cs="Tahoma"/>
        </w:rPr>
      </w:pPr>
    </w:p>
    <w:p w14:paraId="1FCC3A81" w14:textId="0948CAF1" w:rsidR="00A12A97" w:rsidRPr="00CC3EC2" w:rsidRDefault="00A12A97" w:rsidP="00A12A97">
      <w:pPr>
        <w:spacing w:before="100" w:beforeAutospacing="1"/>
        <w:rPr>
          <w:rFonts w:ascii="Tahoma" w:eastAsia="Tahoma" w:hAnsi="Tahoma" w:cs="Tahoma"/>
          <w:b/>
          <w:bCs/>
        </w:rPr>
      </w:pPr>
      <w:r w:rsidRPr="00CC3EC2">
        <w:rPr>
          <w:rFonts w:ascii="Tahoma" w:eastAsia="Tahoma" w:hAnsi="Tahoma" w:cs="Tahoma"/>
          <w:b/>
          <w:bCs/>
        </w:rPr>
        <w:t>Attachment 3, Scope of Work Instructions</w:t>
      </w:r>
    </w:p>
    <w:p w14:paraId="74E3BF48" w14:textId="78ED213B" w:rsidR="006C683F" w:rsidRPr="00CC3EC2" w:rsidRDefault="006C683F" w:rsidP="000B2D17">
      <w:pPr>
        <w:rPr>
          <w:rFonts w:ascii="Tahoma" w:hAnsi="Tahoma" w:cs="Tahoma"/>
        </w:rPr>
      </w:pPr>
    </w:p>
    <w:p w14:paraId="5696BB2A" w14:textId="2067EE56" w:rsidR="00A12A97" w:rsidRPr="00CC3EC2" w:rsidRDefault="00A12A97" w:rsidP="00003900">
      <w:pPr>
        <w:pStyle w:val="Heading2"/>
        <w:keepNext w:val="0"/>
        <w:numPr>
          <w:ilvl w:val="0"/>
          <w:numId w:val="2"/>
        </w:numPr>
        <w:spacing w:before="0" w:after="0"/>
        <w:ind w:left="720" w:hanging="720"/>
        <w:rPr>
          <w:rFonts w:ascii="Tahoma" w:eastAsiaTheme="majorEastAsia" w:hAnsi="Tahoma" w:cs="Tahoma"/>
          <w:bCs/>
          <w:smallCaps w:val="0"/>
          <w:sz w:val="24"/>
          <w:szCs w:val="24"/>
          <w:u w:val="single"/>
          <w:lang w:val="en-US" w:eastAsia="en-US"/>
        </w:rPr>
      </w:pPr>
      <w:r w:rsidRPr="00CC3EC2">
        <w:rPr>
          <w:rFonts w:ascii="Tahoma" w:eastAsiaTheme="majorEastAsia" w:hAnsi="Tahoma" w:cs="Tahoma"/>
          <w:bCs/>
          <w:smallCaps w:val="0"/>
          <w:sz w:val="24"/>
          <w:szCs w:val="24"/>
          <w:u w:val="single"/>
          <w:lang w:val="en-US" w:eastAsia="en-US"/>
        </w:rPr>
        <w:t>The information, requirements, and deliverables set forth in th</w:t>
      </w:r>
      <w:r w:rsidR="002E7043">
        <w:rPr>
          <w:rFonts w:ascii="Tahoma" w:eastAsiaTheme="majorEastAsia" w:hAnsi="Tahoma" w:cs="Tahoma"/>
          <w:bCs/>
          <w:smallCaps w:val="0"/>
          <w:sz w:val="24"/>
          <w:szCs w:val="24"/>
          <w:u w:val="single"/>
          <w:lang w:val="en-US" w:eastAsia="en-US"/>
        </w:rPr>
        <w:t>e</w:t>
      </w:r>
      <w:r w:rsidRPr="00CC3EC2">
        <w:rPr>
          <w:rFonts w:ascii="Tahoma" w:eastAsiaTheme="majorEastAsia" w:hAnsi="Tahoma" w:cs="Tahoma"/>
          <w:bCs/>
          <w:smallCaps w:val="0"/>
          <w:sz w:val="24"/>
          <w:szCs w:val="24"/>
          <w:u w:val="single"/>
          <w:lang w:val="en-US" w:eastAsia="en-US"/>
        </w:rPr>
        <w:t xml:space="preserve"> Scope of Work </w:t>
      </w:r>
      <w:r w:rsidR="00E7320A">
        <w:rPr>
          <w:rFonts w:ascii="Tahoma" w:eastAsiaTheme="majorEastAsia" w:hAnsi="Tahoma" w:cs="Tahoma"/>
          <w:bCs/>
          <w:smallCaps w:val="0"/>
          <w:sz w:val="24"/>
          <w:szCs w:val="24"/>
          <w:u w:val="single"/>
          <w:lang w:val="en-US" w:eastAsia="en-US"/>
        </w:rPr>
        <w:t xml:space="preserve">template (Attachment 2) </w:t>
      </w:r>
      <w:r w:rsidRPr="00CC3EC2">
        <w:rPr>
          <w:rFonts w:ascii="Tahoma" w:eastAsiaTheme="majorEastAsia" w:hAnsi="Tahoma" w:cs="Tahoma"/>
          <w:bCs/>
          <w:smallCaps w:val="0"/>
          <w:sz w:val="24"/>
          <w:szCs w:val="24"/>
          <w:u w:val="single"/>
          <w:lang w:val="en-US" w:eastAsia="en-US"/>
        </w:rPr>
        <w:t>are provided for preliminary reference only and are subject to revision. CEC reserves the right to modify the Scope of Work at any time during the negotiation and development of a grant agreement.</w:t>
      </w:r>
    </w:p>
    <w:p w14:paraId="419D91EF" w14:textId="77777777" w:rsidR="00831AC0" w:rsidRPr="00CC3EC2" w:rsidRDefault="00831AC0" w:rsidP="00831AC0">
      <w:pPr>
        <w:ind w:left="720"/>
        <w:rPr>
          <w:rFonts w:ascii="Tahoma" w:hAnsi="Tahoma" w:cs="Tahoma"/>
        </w:rPr>
      </w:pPr>
    </w:p>
    <w:p w14:paraId="61AB6F08" w14:textId="31004E08" w:rsidR="00CC3EC2" w:rsidRPr="00CC3EC2" w:rsidRDefault="00CC3EC2" w:rsidP="00A12A97">
      <w:pPr>
        <w:rPr>
          <w:rFonts w:ascii="Tahoma" w:hAnsi="Tahoma" w:cs="Tahoma"/>
          <w:b/>
          <w:bCs/>
        </w:rPr>
      </w:pPr>
      <w:r w:rsidRPr="00CC3EC2">
        <w:rPr>
          <w:rFonts w:ascii="Tahoma" w:hAnsi="Tahoma" w:cs="Tahoma"/>
          <w:b/>
          <w:bCs/>
        </w:rPr>
        <w:t>Attachment 20, Station Checklist</w:t>
      </w:r>
    </w:p>
    <w:p w14:paraId="58FD6B9D" w14:textId="77777777" w:rsidR="00CC3EC2" w:rsidRPr="00CC3EC2" w:rsidRDefault="00CC3EC2" w:rsidP="00A12A97">
      <w:pPr>
        <w:rPr>
          <w:rFonts w:ascii="Tahoma" w:hAnsi="Tahoma" w:cs="Tahoma"/>
          <w:b/>
          <w:bCs/>
        </w:rPr>
      </w:pPr>
    </w:p>
    <w:p w14:paraId="2D51DB5F" w14:textId="17FD2AFA" w:rsidR="00CC3EC2" w:rsidRPr="00CC3EC2" w:rsidRDefault="00CC3EC2" w:rsidP="00CC3EC2">
      <w:pPr>
        <w:pStyle w:val="ListParagraph"/>
        <w:numPr>
          <w:ilvl w:val="0"/>
          <w:numId w:val="2"/>
        </w:numPr>
        <w:ind w:left="720" w:hanging="720"/>
        <w:rPr>
          <w:rStyle w:val="normaltextrun"/>
          <w:rFonts w:ascii="Tahoma" w:hAnsi="Tahoma" w:cs="Tahoma"/>
          <w:b/>
          <w:bCs/>
        </w:rPr>
      </w:pPr>
      <w:r w:rsidRPr="00CC3EC2">
        <w:rPr>
          <w:rStyle w:val="normaltextrun"/>
          <w:rFonts w:ascii="Tahoma" w:eastAsia="Tahoma" w:hAnsi="Tahoma" w:cs="Tahoma"/>
          <w:color w:val="000000" w:themeColor="text1"/>
        </w:rPr>
        <w:t>[</w:t>
      </w:r>
      <w:r w:rsidRPr="00CC3EC2">
        <w:rPr>
          <w:rStyle w:val="normaltextrun"/>
          <w:rFonts w:ascii="Tahoma" w:eastAsia="Tahoma" w:hAnsi="Tahoma" w:cs="Tahoma"/>
          <w:strike/>
          <w:color w:val="000000" w:themeColor="text1"/>
        </w:rPr>
        <w:t xml:space="preserve">The charging port must be Energy Star certified and listed on the </w:t>
      </w:r>
      <w:hyperlink r:id="rId12">
        <w:r w:rsidRPr="00CC3EC2">
          <w:rPr>
            <w:rStyle w:val="Hyperlink"/>
            <w:rFonts w:ascii="Tahoma" w:eastAsia="Tahoma" w:hAnsi="Tahoma" w:cs="Tahoma"/>
            <w:strike/>
          </w:rPr>
          <w:t>Energy Star Product Finder Page</w:t>
        </w:r>
      </w:hyperlink>
      <w:r w:rsidRPr="00CC3EC2">
        <w:rPr>
          <w:rStyle w:val="normaltextrun"/>
          <w:rFonts w:ascii="Tahoma" w:eastAsia="Tahoma" w:hAnsi="Tahoma" w:cs="Tahoma"/>
          <w:strike/>
          <w:color w:val="000000" w:themeColor="text1"/>
        </w:rPr>
        <w:t xml:space="preserve">. They do not have to be certified at the time of submitting the proposal but must be certified prior to submitting an invoice that seeks repayment </w:t>
      </w:r>
      <w:proofErr w:type="gramStart"/>
      <w:r w:rsidRPr="00CC3EC2">
        <w:rPr>
          <w:rStyle w:val="normaltextrun"/>
          <w:rFonts w:ascii="Tahoma" w:eastAsia="Tahoma" w:hAnsi="Tahoma" w:cs="Tahoma"/>
          <w:strike/>
          <w:color w:val="000000" w:themeColor="text1"/>
        </w:rPr>
        <w:t>for</w:t>
      </w:r>
      <w:proofErr w:type="gramEnd"/>
      <w:r w:rsidRPr="00CC3EC2">
        <w:rPr>
          <w:rStyle w:val="normaltextrun"/>
          <w:rFonts w:ascii="Tahoma" w:eastAsia="Tahoma" w:hAnsi="Tahoma" w:cs="Tahoma"/>
          <w:strike/>
          <w:color w:val="000000" w:themeColor="text1"/>
        </w:rPr>
        <w:t xml:space="preserve"> the chargers. Chargers over 350 kW are not required to be Energy Star certified.</w:t>
      </w:r>
      <w:r w:rsidRPr="00975CBE">
        <w:rPr>
          <w:rStyle w:val="normaltextrun"/>
          <w:rFonts w:ascii="Tahoma" w:eastAsia="Tahoma" w:hAnsi="Tahoma" w:cs="Tahoma"/>
          <w:color w:val="000000" w:themeColor="text1"/>
        </w:rPr>
        <w:t>]</w:t>
      </w:r>
      <w:r w:rsidRPr="00CC3EC2">
        <w:rPr>
          <w:rStyle w:val="normaltextrun"/>
          <w:rFonts w:ascii="Tahoma" w:eastAsia="Tahoma" w:hAnsi="Tahoma" w:cs="Tahoma"/>
          <w:color w:val="000000" w:themeColor="text1"/>
        </w:rPr>
        <w:t> </w:t>
      </w:r>
      <w:r w:rsidRPr="00CC3EC2">
        <w:rPr>
          <w:rStyle w:val="normaltextrun"/>
          <w:rFonts w:ascii="Tahoma" w:eastAsia="Tahoma" w:hAnsi="Tahoma" w:cs="Tahoma"/>
          <w:color w:val="000000" w:themeColor="text1"/>
        </w:rPr>
        <w:br/>
      </w:r>
    </w:p>
    <w:p w14:paraId="1852C4FC" w14:textId="62FC3315" w:rsidR="00CC3EC2" w:rsidRPr="00CC3EC2" w:rsidRDefault="00FC372C" w:rsidP="00CC3EC2">
      <w:pPr>
        <w:pStyle w:val="ListParagraph"/>
        <w:numPr>
          <w:ilvl w:val="0"/>
          <w:numId w:val="2"/>
        </w:numPr>
        <w:ind w:left="720" w:hanging="720"/>
        <w:rPr>
          <w:rFonts w:ascii="Tahoma" w:hAnsi="Tahoma" w:cs="Tahoma"/>
          <w:b/>
          <w:bCs/>
        </w:rPr>
      </w:pPr>
      <w:r>
        <w:rPr>
          <w:rFonts w:ascii="Tahoma" w:hAnsi="Tahoma" w:cs="Tahoma"/>
        </w:rPr>
        <w:t>T</w:t>
      </w:r>
      <w:r w:rsidR="00CC3EC2" w:rsidRPr="00CC3EC2">
        <w:rPr>
          <w:rFonts w:ascii="Tahoma" w:hAnsi="Tahoma" w:cs="Tahoma"/>
        </w:rPr>
        <w:t xml:space="preserve">he charging ports must conform to OCPP 2.0.1 or later. Manufacturers must attest that the charger conforms to OCPP 2.0.1 or later by detailing it on a publicly available charger specification sheet.   </w:t>
      </w:r>
      <w:r w:rsidR="00CC3EC2" w:rsidRPr="00CC3EC2">
        <w:rPr>
          <w:rFonts w:ascii="Tahoma" w:hAnsi="Tahoma" w:cs="Tahoma"/>
        </w:rPr>
        <w:br/>
      </w:r>
    </w:p>
    <w:p w14:paraId="02AB4E75" w14:textId="66A01098" w:rsidR="00CC3EC2" w:rsidRPr="00CC3EC2" w:rsidRDefault="00CC3EC2" w:rsidP="00CC3EC2">
      <w:pPr>
        <w:pStyle w:val="ListParagraph"/>
        <w:numPr>
          <w:ilvl w:val="0"/>
          <w:numId w:val="2"/>
        </w:numPr>
        <w:ind w:left="720" w:hanging="720"/>
        <w:rPr>
          <w:rStyle w:val="normaltextrun"/>
          <w:rFonts w:ascii="Tahoma" w:hAnsi="Tahoma" w:cs="Tahoma"/>
          <w:b/>
          <w:bCs/>
        </w:rPr>
      </w:pPr>
      <w:r w:rsidRPr="00CC3EC2">
        <w:rPr>
          <w:rFonts w:ascii="Tahoma" w:hAnsi="Tahoma" w:cs="Tahoma"/>
          <w:b/>
          <w:bCs/>
          <w:u w:val="single"/>
        </w:rPr>
        <w:t>For Public Access, t</w:t>
      </w:r>
      <w:r w:rsidRPr="00CC3EC2">
        <w:rPr>
          <w:rFonts w:ascii="Tahoma" w:hAnsi="Tahoma" w:cs="Tahoma"/>
          <w:u w:val="single"/>
        </w:rPr>
        <w:t>[</w:t>
      </w:r>
      <w:r w:rsidRPr="00CC3EC2">
        <w:rPr>
          <w:rFonts w:ascii="Tahoma" w:hAnsi="Tahoma" w:cs="Tahoma"/>
          <w:strike/>
        </w:rPr>
        <w:t>T</w:t>
      </w:r>
      <w:r w:rsidRPr="00CC3EC2">
        <w:rPr>
          <w:rFonts w:ascii="Tahoma" w:hAnsi="Tahoma" w:cs="Tahoma"/>
        </w:rPr>
        <w:t>]</w:t>
      </w:r>
      <w:proofErr w:type="gramStart"/>
      <w:r w:rsidRPr="00CC3EC2">
        <w:rPr>
          <w:rFonts w:ascii="Tahoma" w:hAnsi="Tahoma" w:cs="Tahoma"/>
        </w:rPr>
        <w:t>he</w:t>
      </w:r>
      <w:proofErr w:type="gramEnd"/>
      <w:r w:rsidRPr="00CC3EC2">
        <w:rPr>
          <w:rStyle w:val="normaltextrun"/>
          <w:rFonts w:ascii="Tahoma" w:eastAsia="Tahoma" w:hAnsi="Tahoma" w:cs="Tahoma"/>
          <w:color w:val="000000" w:themeColor="text1"/>
        </w:rPr>
        <w:t xml:space="preserve"> charging port’s networking software must connect to a central management system using OCPP 2.0.1 for the purposes of charger management and data reporting, including for reliability data reporting requirements specified in the </w:t>
      </w:r>
      <w:r w:rsidRPr="00CC3EC2">
        <w:rPr>
          <w:rStyle w:val="normaltextrun"/>
          <w:rFonts w:ascii="Tahoma" w:eastAsia="Tahoma" w:hAnsi="Tahoma" w:cs="Tahoma"/>
          <w:color w:val="000000" w:themeColor="text1"/>
        </w:rPr>
        <w:lastRenderedPageBreak/>
        <w:t>solicitation Scope of Work.</w:t>
      </w:r>
      <w:r w:rsidR="00FC372C">
        <w:rPr>
          <w:rStyle w:val="normaltextrun"/>
          <w:rFonts w:ascii="Tahoma" w:eastAsia="Tahoma" w:hAnsi="Tahoma" w:cs="Tahoma"/>
          <w:color w:val="000000" w:themeColor="text1"/>
        </w:rPr>
        <w:t xml:space="preserve"> </w:t>
      </w:r>
      <w:r w:rsidR="00FC372C" w:rsidRPr="00FC372C">
        <w:rPr>
          <w:rFonts w:ascii="Tahoma" w:eastAsia="Tahoma" w:hAnsi="Tahoma" w:cs="Tahoma"/>
          <w:b/>
          <w:bCs/>
          <w:color w:val="000000" w:themeColor="text1"/>
          <w:u w:val="single"/>
        </w:rPr>
        <w:t xml:space="preserve">Charging ports must comply with regulatory requirements under Assembly Bill 2061 once the regulation is </w:t>
      </w:r>
      <w:r w:rsidR="00842460">
        <w:rPr>
          <w:rFonts w:ascii="Tahoma" w:eastAsia="Tahoma" w:hAnsi="Tahoma" w:cs="Tahoma"/>
          <w:b/>
          <w:bCs/>
          <w:color w:val="000000" w:themeColor="text1"/>
          <w:u w:val="single"/>
        </w:rPr>
        <w:t>adopted by CEC</w:t>
      </w:r>
      <w:r w:rsidR="00FC372C" w:rsidRPr="00FC372C">
        <w:rPr>
          <w:rFonts w:ascii="Tahoma" w:eastAsia="Tahoma" w:hAnsi="Tahoma" w:cs="Tahoma"/>
          <w:b/>
          <w:bCs/>
          <w:color w:val="000000" w:themeColor="text1"/>
          <w:u w:val="single"/>
        </w:rPr>
        <w:t xml:space="preserve">. This includes connecting to a central management system using OCPP 2.0.1 or later for the purposes of reliability data reporting </w:t>
      </w:r>
      <w:r w:rsidR="00FC372C" w:rsidRPr="00FC372C">
        <w:rPr>
          <w:rFonts w:ascii="Tahoma" w:eastAsia="Tahoma" w:hAnsi="Tahoma" w:cs="Tahoma"/>
          <w:b/>
          <w:bCs/>
          <w:i/>
          <w:iCs/>
          <w:color w:val="000000" w:themeColor="text1"/>
          <w:u w:val="single"/>
        </w:rPr>
        <w:t>for applicable charging ports</w:t>
      </w:r>
      <w:r w:rsidR="00FC372C" w:rsidRPr="00FC372C">
        <w:rPr>
          <w:rFonts w:ascii="Tahoma" w:eastAsia="Tahoma" w:hAnsi="Tahoma" w:cs="Tahoma"/>
          <w:b/>
          <w:bCs/>
          <w:color w:val="000000" w:themeColor="text1"/>
          <w:u w:val="single"/>
        </w:rPr>
        <w:t>.</w:t>
      </w:r>
      <w:r w:rsidRPr="00CC3EC2">
        <w:rPr>
          <w:rStyle w:val="normaltextrun"/>
          <w:rFonts w:ascii="Tahoma" w:eastAsia="Tahoma" w:hAnsi="Tahoma" w:cs="Tahoma"/>
          <w:color w:val="000000" w:themeColor="text1"/>
        </w:rPr>
        <w:br/>
      </w:r>
    </w:p>
    <w:p w14:paraId="50ED5CD8" w14:textId="481CE820" w:rsidR="00CC3EC2" w:rsidRPr="00CC3EC2" w:rsidRDefault="00FC372C" w:rsidP="00CC3EC2">
      <w:pPr>
        <w:pStyle w:val="ListParagraph"/>
        <w:numPr>
          <w:ilvl w:val="0"/>
          <w:numId w:val="2"/>
        </w:numPr>
        <w:ind w:left="720" w:hanging="720"/>
        <w:rPr>
          <w:rFonts w:ascii="Tahoma" w:hAnsi="Tahoma" w:cs="Tahoma"/>
          <w:b/>
          <w:bCs/>
        </w:rPr>
      </w:pPr>
      <w:r>
        <w:rPr>
          <w:rFonts w:ascii="Tahoma" w:hAnsi="Tahoma" w:cs="Tahoma"/>
        </w:rPr>
        <w:t>T</w:t>
      </w:r>
      <w:r w:rsidR="00CC3EC2" w:rsidRPr="00CC3EC2">
        <w:rPr>
          <w:rFonts w:ascii="Tahoma" w:hAnsi="Tahoma" w:cs="Tahoma"/>
        </w:rPr>
        <w:t>he charging ports must be designed to remotely and securely switch OCPP network providers without any changes in hardware or physical site visits.</w:t>
      </w:r>
    </w:p>
    <w:p w14:paraId="1BBA98F6" w14:textId="77777777" w:rsidR="00CC3EC2" w:rsidRPr="00CC3EC2" w:rsidRDefault="00CC3EC2" w:rsidP="00A12A97">
      <w:pPr>
        <w:rPr>
          <w:rFonts w:ascii="Tahoma" w:hAnsi="Tahoma" w:cs="Tahoma"/>
          <w:b/>
          <w:bCs/>
        </w:rPr>
      </w:pPr>
    </w:p>
    <w:p w14:paraId="617CE2CC" w14:textId="08CF81FE" w:rsidR="00707AE0" w:rsidRDefault="000914DE" w:rsidP="00A12A97">
      <w:pPr>
        <w:rPr>
          <w:rFonts w:ascii="Tahoma" w:hAnsi="Tahoma" w:cs="Tahoma"/>
          <w:b/>
        </w:rPr>
      </w:pPr>
      <w:r w:rsidRPr="00CC3EC2">
        <w:rPr>
          <w:rFonts w:ascii="Tahoma" w:hAnsi="Tahoma" w:cs="Tahoma"/>
          <w:b/>
          <w:bCs/>
        </w:rPr>
        <w:t>Questions and Answers</w:t>
      </w:r>
    </w:p>
    <w:p w14:paraId="0A9D104C" w14:textId="77777777" w:rsidR="006C12F0" w:rsidRDefault="006C12F0" w:rsidP="00A12A97">
      <w:pPr>
        <w:rPr>
          <w:rFonts w:ascii="Tahoma" w:hAnsi="Tahoma" w:cs="Tahoma"/>
          <w:b/>
          <w:bCs/>
        </w:rPr>
      </w:pPr>
    </w:p>
    <w:p w14:paraId="3EE3799B" w14:textId="011B7B87" w:rsidR="006C12F0" w:rsidRDefault="008D2B5B" w:rsidP="00B30525">
      <w:pPr>
        <w:pStyle w:val="ListParagraph"/>
        <w:numPr>
          <w:ilvl w:val="0"/>
          <w:numId w:val="2"/>
        </w:numPr>
        <w:rPr>
          <w:rStyle w:val="normaltextrun"/>
          <w:rFonts w:ascii="Tahoma" w:hAnsi="Tahoma" w:cs="Tahoma"/>
        </w:rPr>
      </w:pPr>
      <w:r>
        <w:rPr>
          <w:rStyle w:val="normaltextrun"/>
          <w:rFonts w:ascii="Tahoma" w:hAnsi="Tahoma" w:cs="Tahoma"/>
        </w:rPr>
        <w:tab/>
      </w:r>
      <w:r w:rsidR="006C25DD" w:rsidRPr="00417D1D">
        <w:rPr>
          <w:rStyle w:val="normaltextrun"/>
          <w:rFonts w:ascii="Tahoma" w:hAnsi="Tahoma" w:cs="Tahoma"/>
        </w:rPr>
        <w:t xml:space="preserve">Unless indicated otherwise, all section numbers identified are from the solicitation </w:t>
      </w:r>
      <w:r>
        <w:rPr>
          <w:rStyle w:val="normaltextrun"/>
          <w:rFonts w:ascii="Tahoma" w:hAnsi="Tahoma" w:cs="Tahoma"/>
        </w:rPr>
        <w:tab/>
      </w:r>
      <w:r w:rsidR="006C25DD" w:rsidRPr="00417D1D">
        <w:rPr>
          <w:rStyle w:val="normaltextrun"/>
          <w:rFonts w:ascii="Tahoma" w:hAnsi="Tahoma" w:cs="Tahoma"/>
        </w:rPr>
        <w:t>manual (</w:t>
      </w:r>
      <w:r w:rsidR="006C25DD">
        <w:rPr>
          <w:rStyle w:val="normaltextrun"/>
          <w:rFonts w:ascii="Tahoma" w:hAnsi="Tahoma" w:cs="Tahoma"/>
        </w:rPr>
        <w:t>for</w:t>
      </w:r>
      <w:r w:rsidR="006C25DD" w:rsidRPr="00417D1D">
        <w:rPr>
          <w:rStyle w:val="normaltextrun"/>
          <w:rFonts w:ascii="Tahoma" w:hAnsi="Tahoma" w:cs="Tahoma"/>
        </w:rPr>
        <w:t xml:space="preserve"> example, “Section II.B” refers to Section II.B of </w:t>
      </w:r>
      <w:r w:rsidR="006C25DD">
        <w:rPr>
          <w:rStyle w:val="normaltextrun"/>
          <w:rFonts w:ascii="Tahoma" w:hAnsi="Tahoma" w:cs="Tahoma"/>
        </w:rPr>
        <w:t xml:space="preserve">the solicitation manual) of </w:t>
      </w:r>
      <w:r>
        <w:rPr>
          <w:rStyle w:val="normaltextrun"/>
          <w:rFonts w:ascii="Tahoma" w:hAnsi="Tahoma" w:cs="Tahoma"/>
        </w:rPr>
        <w:tab/>
      </w:r>
      <w:r w:rsidR="006C25DD" w:rsidRPr="00417D1D">
        <w:rPr>
          <w:rStyle w:val="normaltextrun"/>
          <w:rFonts w:ascii="Tahoma" w:hAnsi="Tahoma" w:cs="Tahoma"/>
        </w:rPr>
        <w:t xml:space="preserve">Addendum </w:t>
      </w:r>
      <w:r w:rsidR="006C25DD">
        <w:rPr>
          <w:rStyle w:val="normaltextrun"/>
          <w:rFonts w:ascii="Tahoma" w:hAnsi="Tahoma" w:cs="Tahoma"/>
        </w:rPr>
        <w:t>[</w:t>
      </w:r>
      <w:r w:rsidR="006C25DD" w:rsidRPr="007E4DE2">
        <w:rPr>
          <w:rStyle w:val="normaltextrun"/>
          <w:rFonts w:ascii="Tahoma" w:hAnsi="Tahoma" w:cs="Tahoma"/>
          <w:strike/>
        </w:rPr>
        <w:t>9</w:t>
      </w:r>
      <w:r w:rsidR="006C25DD">
        <w:rPr>
          <w:rStyle w:val="normaltextrun"/>
          <w:rFonts w:ascii="Tahoma" w:hAnsi="Tahoma" w:cs="Tahoma"/>
        </w:rPr>
        <w:t>]</w:t>
      </w:r>
      <w:r w:rsidR="006C25DD" w:rsidRPr="007E4DE2">
        <w:rPr>
          <w:rStyle w:val="normaltextrun"/>
          <w:rFonts w:ascii="Tahoma" w:hAnsi="Tahoma" w:cs="Tahoma"/>
          <w:b/>
          <w:bCs/>
          <w:u w:val="single"/>
        </w:rPr>
        <w:t>10</w:t>
      </w:r>
      <w:r w:rsidR="006C25DD" w:rsidRPr="00417D1D">
        <w:rPr>
          <w:rStyle w:val="normaltextrun"/>
          <w:rFonts w:ascii="Tahoma" w:hAnsi="Tahoma" w:cs="Tahoma"/>
        </w:rPr>
        <w:t>.</w:t>
      </w:r>
    </w:p>
    <w:p w14:paraId="20B7DB9E" w14:textId="77777777" w:rsidR="006C25DD" w:rsidRDefault="006C25DD" w:rsidP="00A12A97">
      <w:pPr>
        <w:rPr>
          <w:rStyle w:val="normaltextrun"/>
          <w:rFonts w:ascii="Tahoma" w:hAnsi="Tahoma" w:cs="Tahoma"/>
        </w:rPr>
      </w:pPr>
    </w:p>
    <w:p w14:paraId="1D4D43D3" w14:textId="77777777" w:rsidR="007746DC" w:rsidRDefault="007746DC" w:rsidP="00B30525">
      <w:pPr>
        <w:spacing w:before="100" w:beforeAutospacing="1" w:after="100" w:afterAutospacing="1"/>
        <w:ind w:left="1440" w:hanging="720"/>
        <w:rPr>
          <w:rFonts w:ascii="Tahoma" w:hAnsi="Tahoma" w:cs="Tahoma"/>
        </w:rPr>
      </w:pPr>
      <w:r>
        <w:rPr>
          <w:rFonts w:ascii="Tahoma" w:hAnsi="Tahoma" w:cs="Tahoma"/>
        </w:rPr>
        <w:t>A4.</w:t>
      </w:r>
      <w:r>
        <w:rPr>
          <w:rFonts w:ascii="Tahoma" w:hAnsi="Tahoma" w:cs="Tahoma"/>
        </w:rPr>
        <w:t> </w:t>
      </w:r>
      <w:r>
        <w:rPr>
          <w:rFonts w:ascii="Tahoma" w:hAnsi="Tahoma" w:cs="Tahoma"/>
        </w:rPr>
        <w:tab/>
        <w:t>Please see Addendum [</w:t>
      </w:r>
      <w:r>
        <w:rPr>
          <w:rFonts w:ascii="Tahoma" w:hAnsi="Tahoma" w:cs="Tahoma"/>
          <w:strike/>
        </w:rPr>
        <w:t>9</w:t>
      </w:r>
      <w:r>
        <w:rPr>
          <w:rFonts w:ascii="Tahoma" w:hAnsi="Tahoma" w:cs="Tahoma"/>
        </w:rPr>
        <w:t>]</w:t>
      </w:r>
      <w:r>
        <w:rPr>
          <w:rFonts w:ascii="Tahoma" w:hAnsi="Tahoma" w:cs="Tahoma"/>
          <w:b/>
          <w:bCs/>
          <w:u w:val="single"/>
        </w:rPr>
        <w:t>10</w:t>
      </w:r>
      <w:r>
        <w:rPr>
          <w:rFonts w:ascii="Tahoma" w:hAnsi="Tahoma" w:cs="Tahoma"/>
        </w:rPr>
        <w:t xml:space="preserve">, which no longer sets a maximum award amount per charging port. Projects will be evaluated </w:t>
      </w:r>
      <w:proofErr w:type="gramStart"/>
      <w:r>
        <w:rPr>
          <w:rFonts w:ascii="Tahoma" w:hAnsi="Tahoma" w:cs="Tahoma"/>
        </w:rPr>
        <w:t>on</w:t>
      </w:r>
      <w:proofErr w:type="gramEnd"/>
      <w:r>
        <w:rPr>
          <w:rFonts w:ascii="Tahoma" w:hAnsi="Tahoma" w:cs="Tahoma"/>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382FC97F" w14:textId="77777777" w:rsidR="007746DC" w:rsidRDefault="007746DC" w:rsidP="00B30525">
      <w:pPr>
        <w:pStyle w:val="NormalWeb"/>
        <w:ind w:left="1440"/>
        <w:rPr>
          <w:rFonts w:ascii="Tahoma" w:hAnsi="Tahoma" w:cs="Tahoma"/>
        </w:rPr>
      </w:pPr>
      <w:r>
        <w:rPr>
          <w:rFonts w:ascii="Tahoma" w:hAnsi="Tahoma" w:cs="Tahoma"/>
        </w:rPr>
        <w:t>Please see Section I.E. How Award is Determined and Section I.G. Minimum Infrastructure Requirements and Maximum Award Amounts.</w:t>
      </w:r>
    </w:p>
    <w:p w14:paraId="05346B22" w14:textId="265282CC" w:rsidR="00A43EA8" w:rsidRDefault="00DE5B5A" w:rsidP="00B30525">
      <w:pPr>
        <w:pStyle w:val="NormalWeb"/>
        <w:ind w:left="1440" w:hanging="720"/>
        <w:rPr>
          <w:rFonts w:ascii="Tahoma" w:hAnsi="Tahoma" w:cs="Tahoma"/>
        </w:rPr>
      </w:pPr>
      <w:r w:rsidRPr="00C15857">
        <w:rPr>
          <w:rFonts w:ascii="Tahoma" w:hAnsi="Tahoma" w:cs="Tahoma"/>
        </w:rPr>
        <w:t>A</w:t>
      </w:r>
      <w:r>
        <w:rPr>
          <w:rFonts w:ascii="Tahoma" w:hAnsi="Tahoma" w:cs="Tahoma"/>
        </w:rPr>
        <w:t>5</w:t>
      </w:r>
      <w:r w:rsidRPr="00C15857">
        <w:rPr>
          <w:rFonts w:ascii="Tahoma" w:hAnsi="Tahoma" w:cs="Tahoma"/>
        </w:rPr>
        <w:t>:</w:t>
      </w:r>
      <w:r w:rsidRPr="00C15857">
        <w:rPr>
          <w:rFonts w:ascii="Tahoma" w:hAnsi="Tahoma" w:cs="Tahoma"/>
        </w:rPr>
        <w:tab/>
      </w:r>
      <w:r w:rsidRPr="00D40D0A">
        <w:rPr>
          <w:rFonts w:ascii="Tahoma" w:hAnsi="Tahoma" w:cs="Tahoma"/>
        </w:rPr>
        <w:t xml:space="preserve">The CEC does not </w:t>
      </w:r>
      <w:proofErr w:type="gramStart"/>
      <w:r w:rsidRPr="00D40D0A">
        <w:rPr>
          <w:rFonts w:ascii="Tahoma" w:hAnsi="Tahoma" w:cs="Tahoma"/>
        </w:rPr>
        <w:t>have a preference for</w:t>
      </w:r>
      <w:proofErr w:type="gramEnd"/>
      <w:r w:rsidRPr="00D40D0A">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Pr>
          <w:rFonts w:ascii="Tahoma" w:hAnsi="Tahoma" w:cs="Tahoma"/>
        </w:rPr>
        <w:t>[</w:t>
      </w:r>
      <w:r>
        <w:rPr>
          <w:rFonts w:ascii="Tahoma" w:hAnsi="Tahoma" w:cs="Tahoma"/>
          <w:strike/>
        </w:rPr>
        <w:t>9</w:t>
      </w:r>
      <w:r>
        <w:rPr>
          <w:rFonts w:ascii="Tahoma" w:hAnsi="Tahoma" w:cs="Tahoma"/>
        </w:rPr>
        <w:t>]</w:t>
      </w:r>
      <w:r>
        <w:rPr>
          <w:rFonts w:ascii="Tahoma" w:hAnsi="Tahoma" w:cs="Tahoma"/>
          <w:b/>
          <w:bCs/>
          <w:u w:val="single"/>
        </w:rPr>
        <w:t>10</w:t>
      </w:r>
      <w:r w:rsidRPr="00D40D0A">
        <w:rPr>
          <w:rFonts w:ascii="Tahoma" w:hAnsi="Tahoma" w:cs="Tahoma"/>
        </w:rPr>
        <w:t>, which no longer sets a maximum award amount per charging port.</w:t>
      </w:r>
    </w:p>
    <w:p w14:paraId="0E703816" w14:textId="77777777" w:rsidR="007C16E5" w:rsidRPr="005448F6" w:rsidRDefault="007C16E5" w:rsidP="00B30525">
      <w:pPr>
        <w:ind w:left="1440" w:hanging="720"/>
        <w:rPr>
          <w:rFonts w:ascii="Tahoma" w:hAnsi="Tahoma" w:cs="Tahoma"/>
        </w:rPr>
      </w:pPr>
      <w:r w:rsidRPr="006B0C93">
        <w:rPr>
          <w:rFonts w:ascii="Tahoma" w:hAnsi="Tahoma" w:cs="Tahoma"/>
        </w:rPr>
        <w:t>A16:</w:t>
      </w:r>
      <w:r w:rsidRPr="006B0C93">
        <w:rPr>
          <w:rFonts w:ascii="Tahoma" w:hAnsi="Tahoma" w:cs="Tahoma"/>
        </w:rPr>
        <w:tab/>
        <w:t xml:space="preserve">A proposed project may include charging or hydrogen refueling infrastructure to support a marine vessel or harbor craft. The proposed project must meet the minimum charger port or hydrogen fueling position deployment requirements outlined in Section I.G. </w:t>
      </w:r>
      <w:r w:rsidRPr="005B3F22">
        <w:rPr>
          <w:rFonts w:ascii="Tahoma" w:hAnsi="Tahoma" w:cs="Tahoma"/>
        </w:rPr>
        <w:t xml:space="preserve">Please refer to Addendum </w:t>
      </w:r>
      <w:r>
        <w:rPr>
          <w:rFonts w:ascii="Tahoma" w:hAnsi="Tahoma" w:cs="Tahoma"/>
        </w:rPr>
        <w:t>[</w:t>
      </w:r>
      <w:r>
        <w:rPr>
          <w:rFonts w:ascii="Tahoma" w:hAnsi="Tahoma" w:cs="Tahoma"/>
          <w:strike/>
        </w:rPr>
        <w:t>9</w:t>
      </w:r>
      <w:r>
        <w:rPr>
          <w:rFonts w:ascii="Tahoma" w:hAnsi="Tahoma" w:cs="Tahoma"/>
        </w:rPr>
        <w:t>]</w:t>
      </w:r>
      <w:r>
        <w:rPr>
          <w:rFonts w:ascii="Tahoma" w:hAnsi="Tahoma" w:cs="Tahoma"/>
          <w:b/>
          <w:bCs/>
          <w:u w:val="single"/>
        </w:rPr>
        <w:t>10</w:t>
      </w:r>
      <w:r w:rsidRPr="005B3F22">
        <w:rPr>
          <w:rFonts w:ascii="Tahoma" w:hAnsi="Tahoma" w:cs="Tahoma"/>
        </w:rPr>
        <w:t xml:space="preserve"> for new minimum infrastructure requirements. Zero</w:t>
      </w:r>
      <w:r w:rsidRPr="006B0C93">
        <w:rPr>
          <w:rFonts w:ascii="Tahoma" w:hAnsi="Tahoma" w:cs="Tahoma"/>
        </w:rPr>
        <w:t>-emission vehicles (purchased, rented, or leased) and vehicle-related expenses (e.g., vehicle parts, labor for vehicle repairs, etc.) are not eligible as CEC reimbursable expenses, but may be included in the Applicant’s Match Share. Refer to Section II.E., Eligible Project Costs.</w:t>
      </w:r>
    </w:p>
    <w:p w14:paraId="33190EBC" w14:textId="77777777" w:rsidR="006C25DD" w:rsidRDefault="006C25DD" w:rsidP="00A12A97">
      <w:pPr>
        <w:rPr>
          <w:rStyle w:val="normaltextrun"/>
          <w:rFonts w:ascii="Tahoma" w:hAnsi="Tahoma" w:cs="Tahoma"/>
          <w:b/>
          <w:bCs/>
        </w:rPr>
      </w:pPr>
    </w:p>
    <w:p w14:paraId="456A0291" w14:textId="77777777" w:rsidR="00A43EA8" w:rsidRPr="005448F6" w:rsidRDefault="00A43EA8" w:rsidP="00B30525">
      <w:pPr>
        <w:ind w:left="1440" w:hanging="720"/>
        <w:rPr>
          <w:rFonts w:ascii="Tahoma" w:hAnsi="Tahoma" w:cs="Tahoma"/>
        </w:rPr>
      </w:pPr>
      <w:r w:rsidRPr="005448F6">
        <w:rPr>
          <w:rFonts w:ascii="Tahoma" w:hAnsi="Tahoma" w:cs="Tahoma"/>
        </w:rPr>
        <w:t>A</w:t>
      </w:r>
      <w:r>
        <w:rPr>
          <w:rFonts w:ascii="Tahoma" w:hAnsi="Tahoma" w:cs="Tahoma"/>
        </w:rPr>
        <w:t>43</w:t>
      </w:r>
      <w:r w:rsidRPr="005448F6">
        <w:rPr>
          <w:rFonts w:ascii="Tahoma" w:hAnsi="Tahoma" w:cs="Tahoma"/>
        </w:rPr>
        <w:t>:</w:t>
      </w:r>
      <w:r w:rsidRPr="005448F6">
        <w:rPr>
          <w:rFonts w:ascii="Tahoma" w:hAnsi="Tahoma" w:cs="Tahoma"/>
        </w:rPr>
        <w:tab/>
        <w:t xml:space="preserve">The CEQA worksheet must be completed and submitted with the application packet. </w:t>
      </w:r>
      <w:r w:rsidRPr="00355E8C">
        <w:rPr>
          <w:rFonts w:ascii="Tahoma" w:hAnsi="Tahoma" w:cs="Tahoma"/>
        </w:rPr>
        <w:t xml:space="preserve">Projects recommended for funding must complete the CEQA process within 6 months of the release date of </w:t>
      </w:r>
      <w:proofErr w:type="gramStart"/>
      <w:r w:rsidRPr="00355E8C">
        <w:rPr>
          <w:rFonts w:ascii="Tahoma" w:hAnsi="Tahoma" w:cs="Tahoma"/>
        </w:rPr>
        <w:t>the NOPA</w:t>
      </w:r>
      <w:proofErr w:type="gramEnd"/>
      <w:r w:rsidRPr="00355E8C">
        <w:rPr>
          <w:rFonts w:ascii="Tahoma" w:hAnsi="Tahoma" w:cs="Tahoma"/>
        </w:rPr>
        <w:t xml:space="preserve">. The CEC reserves the right to </w:t>
      </w:r>
      <w:r w:rsidRPr="00355E8C">
        <w:rPr>
          <w:rFonts w:ascii="Tahoma" w:hAnsi="Tahoma" w:cs="Tahoma"/>
        </w:rPr>
        <w:lastRenderedPageBreak/>
        <w:t xml:space="preserve">cancel proposed awards that do not meet this CEQA compliance deadline and recommend funding for the next, </w:t>
      </w:r>
      <w:proofErr w:type="gramStart"/>
      <w:r w:rsidRPr="00355E8C">
        <w:rPr>
          <w:rFonts w:ascii="Tahoma" w:hAnsi="Tahoma" w:cs="Tahoma"/>
        </w:rPr>
        <w:t>highest-scoring</w:t>
      </w:r>
      <w:proofErr w:type="gramEnd"/>
      <w:r w:rsidRPr="00355E8C">
        <w:rPr>
          <w:rFonts w:ascii="Tahoma" w:hAnsi="Tahoma" w:cs="Tahoma"/>
        </w:rPr>
        <w:t xml:space="preserve"> passing proposal submitted under this </w:t>
      </w:r>
      <w:r w:rsidRPr="001E13D8">
        <w:rPr>
          <w:rFonts w:ascii="Tahoma" w:hAnsi="Tahoma" w:cs="Tahoma"/>
        </w:rPr>
        <w:t xml:space="preserve">solicitation </w:t>
      </w:r>
      <w:r w:rsidRPr="005B3F22">
        <w:rPr>
          <w:rFonts w:ascii="Tahoma" w:hAnsi="Tahoma" w:cs="Tahoma"/>
        </w:rPr>
        <w:t xml:space="preserve">consistent with the evaluation process discussed in Section I.E. How Award is Determined, in Addendum </w:t>
      </w:r>
      <w:r>
        <w:rPr>
          <w:rFonts w:ascii="Tahoma" w:hAnsi="Tahoma" w:cs="Tahoma"/>
        </w:rPr>
        <w:t>[</w:t>
      </w:r>
      <w:r>
        <w:rPr>
          <w:rFonts w:ascii="Tahoma" w:hAnsi="Tahoma" w:cs="Tahoma"/>
          <w:strike/>
        </w:rPr>
        <w:t>9</w:t>
      </w:r>
      <w:r>
        <w:rPr>
          <w:rFonts w:ascii="Tahoma" w:hAnsi="Tahoma" w:cs="Tahoma"/>
        </w:rPr>
        <w:t>]</w:t>
      </w:r>
      <w:r>
        <w:rPr>
          <w:rFonts w:ascii="Tahoma" w:hAnsi="Tahoma" w:cs="Tahoma"/>
          <w:b/>
          <w:bCs/>
          <w:u w:val="single"/>
        </w:rPr>
        <w:t>10</w:t>
      </w:r>
      <w:r w:rsidRPr="001E13D8">
        <w:rPr>
          <w:rFonts w:ascii="Tahoma" w:hAnsi="Tahoma" w:cs="Tahoma"/>
        </w:rPr>
        <w:t>. Refer</w:t>
      </w:r>
      <w:r>
        <w:rPr>
          <w:rFonts w:ascii="Tahoma" w:hAnsi="Tahoma" w:cs="Tahoma"/>
        </w:rPr>
        <w:t xml:space="preserve"> to Section III.D.10., CEQA Worksheet (Attachment 10).</w:t>
      </w:r>
    </w:p>
    <w:p w14:paraId="13AF4154" w14:textId="77777777" w:rsidR="00A43EA8" w:rsidRPr="00CC3EC2" w:rsidRDefault="00A43EA8" w:rsidP="00A12A97">
      <w:pPr>
        <w:rPr>
          <w:rStyle w:val="normaltextrun"/>
          <w:rFonts w:ascii="Tahoma" w:hAnsi="Tahoma" w:cs="Tahoma"/>
          <w:b/>
          <w:bCs/>
        </w:rPr>
      </w:pPr>
    </w:p>
    <w:p w14:paraId="77571171" w14:textId="5735E879" w:rsidR="00A12A97" w:rsidRPr="00CC3EC2" w:rsidRDefault="00A12A97" w:rsidP="00AC0416">
      <w:pPr>
        <w:spacing w:before="100" w:beforeAutospacing="1" w:after="100" w:afterAutospacing="1"/>
        <w:ind w:left="1440" w:hanging="720"/>
        <w:rPr>
          <w:rFonts w:ascii="Tahoma" w:hAnsi="Tahoma" w:cs="Tahoma"/>
          <w:b/>
          <w:u w:val="single"/>
        </w:rPr>
      </w:pPr>
      <w:r w:rsidRPr="00CC3EC2">
        <w:rPr>
          <w:rFonts w:ascii="Tahoma" w:hAnsi="Tahoma" w:cs="Tahoma"/>
          <w:b/>
          <w:u w:val="single"/>
        </w:rPr>
        <w:t>Q69:</w:t>
      </w:r>
      <w:r w:rsidRPr="00CC3EC2">
        <w:rPr>
          <w:rFonts w:ascii="Tahoma" w:hAnsi="Tahoma" w:cs="Tahoma"/>
          <w:b/>
          <w:u w:val="single"/>
        </w:rPr>
        <w:tab/>
        <w:t xml:space="preserve">Are </w:t>
      </w:r>
      <w:r w:rsidR="008B0E56">
        <w:rPr>
          <w:rFonts w:ascii="Tahoma" w:hAnsi="Tahoma" w:cs="Tahoma"/>
          <w:b/>
          <w:u w:val="single"/>
        </w:rPr>
        <w:t>Private</w:t>
      </w:r>
      <w:r w:rsidRPr="00CC3EC2">
        <w:rPr>
          <w:rFonts w:ascii="Tahoma" w:hAnsi="Tahoma" w:cs="Tahoma"/>
          <w:b/>
          <w:u w:val="single"/>
        </w:rPr>
        <w:t xml:space="preserve"> or </w:t>
      </w:r>
      <w:r w:rsidR="008B0E56">
        <w:rPr>
          <w:rFonts w:ascii="Tahoma" w:hAnsi="Tahoma" w:cs="Tahoma"/>
          <w:b/>
          <w:u w:val="single"/>
        </w:rPr>
        <w:t>Shared Access</w:t>
      </w:r>
      <w:r w:rsidRPr="00CC3EC2">
        <w:rPr>
          <w:rFonts w:ascii="Tahoma" w:hAnsi="Tahoma" w:cs="Tahoma"/>
          <w:b/>
          <w:u w:val="single"/>
        </w:rPr>
        <w:t xml:space="preserve"> projects required to operate on OCPP 2.0.1 in order to be eligible for this solicitation?</w:t>
      </w:r>
    </w:p>
    <w:p w14:paraId="62450B64" w14:textId="7443805C" w:rsidR="00A12A97" w:rsidRDefault="00A12A97" w:rsidP="00B30525">
      <w:pPr>
        <w:spacing w:before="100" w:beforeAutospacing="1" w:after="100" w:afterAutospacing="1"/>
        <w:ind w:left="1440" w:hanging="720"/>
        <w:rPr>
          <w:rFonts w:ascii="Tahoma" w:hAnsi="Tahoma" w:cs="Tahoma"/>
          <w:b/>
          <w:u w:val="single"/>
        </w:rPr>
      </w:pPr>
      <w:r w:rsidRPr="00CC3EC2">
        <w:rPr>
          <w:rFonts w:ascii="Tahoma" w:hAnsi="Tahoma" w:cs="Tahoma"/>
          <w:b/>
          <w:u w:val="single"/>
        </w:rPr>
        <w:t>A69:</w:t>
      </w:r>
      <w:r w:rsidRPr="00CC3EC2">
        <w:rPr>
          <w:rFonts w:ascii="Tahoma" w:hAnsi="Tahoma" w:cs="Tahoma"/>
          <w:b/>
          <w:u w:val="single"/>
        </w:rPr>
        <w:tab/>
      </w:r>
      <w:r w:rsidR="00AB1B1E" w:rsidRPr="00AB1B1E">
        <w:rPr>
          <w:rFonts w:ascii="Tahoma" w:hAnsi="Tahoma" w:cs="Tahoma"/>
          <w:b/>
          <w:u w:val="single"/>
        </w:rPr>
        <w:t xml:space="preserve">All charging ports must conform to OCPP 2.0.1 or later, and manufacturers must attest that the charger hardware conforms to OCPP 2.0.1 or later by detailing it on a publicly available charger specification sheet. For Public Access charging stations, charging ports must comply with regulatory requirements under Assembly Bill 2061 once the regulation is </w:t>
      </w:r>
      <w:r w:rsidR="00853FCF">
        <w:rPr>
          <w:rFonts w:ascii="Tahoma" w:hAnsi="Tahoma" w:cs="Tahoma"/>
          <w:b/>
          <w:u w:val="single"/>
        </w:rPr>
        <w:t>adopted by CEC</w:t>
      </w:r>
      <w:r w:rsidR="00AB1B1E" w:rsidRPr="00AB1B1E">
        <w:rPr>
          <w:rFonts w:ascii="Tahoma" w:hAnsi="Tahoma" w:cs="Tahoma"/>
          <w:b/>
          <w:u w:val="single"/>
        </w:rPr>
        <w:t xml:space="preserve">. This includes connecting to a central management system using OCPP 2.0.1 or later for the purposes of reliability data reporting for applicable charging ports. Please see Addendum </w:t>
      </w:r>
      <w:r w:rsidR="00AB1B1E">
        <w:rPr>
          <w:rFonts w:ascii="Tahoma" w:hAnsi="Tahoma" w:cs="Tahoma"/>
          <w:b/>
          <w:u w:val="single"/>
        </w:rPr>
        <w:t>10</w:t>
      </w:r>
      <w:r w:rsidR="00AB1B1E" w:rsidRPr="00AB1B1E">
        <w:rPr>
          <w:rFonts w:ascii="Tahoma" w:hAnsi="Tahoma" w:cs="Tahoma"/>
          <w:b/>
          <w:u w:val="single"/>
        </w:rPr>
        <w:t>.</w:t>
      </w:r>
    </w:p>
    <w:p w14:paraId="5B3BDCC8" w14:textId="77777777" w:rsidR="00394D50" w:rsidRPr="00394D50" w:rsidRDefault="00394D50" w:rsidP="00394D50">
      <w:pPr>
        <w:spacing w:before="100" w:beforeAutospacing="1" w:after="100" w:afterAutospacing="1"/>
        <w:ind w:left="1440" w:hanging="720"/>
        <w:rPr>
          <w:rFonts w:ascii="Tahoma" w:hAnsi="Tahoma" w:cs="Tahoma"/>
          <w:b/>
          <w:u w:val="single"/>
        </w:rPr>
      </w:pPr>
      <w:r w:rsidRPr="00394D50">
        <w:rPr>
          <w:rFonts w:ascii="Tahoma" w:hAnsi="Tahoma" w:cs="Tahoma"/>
          <w:b/>
          <w:u w:val="single"/>
        </w:rPr>
        <w:t>Q70.</w:t>
      </w:r>
      <w:r w:rsidRPr="00394D50">
        <w:rPr>
          <w:rFonts w:ascii="Tahoma" w:hAnsi="Tahoma" w:cs="Tahoma"/>
          <w:b/>
          <w:u w:val="single"/>
        </w:rPr>
        <w:tab/>
        <w:t>Are forklifts on-road vehicles?</w:t>
      </w:r>
    </w:p>
    <w:p w14:paraId="2291D14E" w14:textId="77777777" w:rsidR="00394D50" w:rsidRPr="00394D50" w:rsidRDefault="00394D50" w:rsidP="00394D50">
      <w:pPr>
        <w:spacing w:before="100" w:beforeAutospacing="1" w:after="100" w:afterAutospacing="1"/>
        <w:ind w:left="1440" w:hanging="720"/>
        <w:rPr>
          <w:rFonts w:ascii="Tahoma" w:hAnsi="Tahoma" w:cs="Tahoma"/>
          <w:b/>
          <w:u w:val="single"/>
        </w:rPr>
      </w:pPr>
      <w:r w:rsidRPr="00394D50">
        <w:rPr>
          <w:rFonts w:ascii="Tahoma" w:hAnsi="Tahoma" w:cs="Tahoma"/>
          <w:b/>
          <w:u w:val="single"/>
        </w:rPr>
        <w:t>A70.</w:t>
      </w:r>
      <w:r w:rsidRPr="00394D50">
        <w:rPr>
          <w:rFonts w:ascii="Tahoma" w:hAnsi="Tahoma" w:cs="Tahoma"/>
          <w:b/>
          <w:u w:val="single"/>
        </w:rPr>
        <w:tab/>
        <w:t>No, forklifts are not considered on-road vehicles. On-road vehicles are vehicles that are intended by their manufacturer for use on public highways. On-road vehicles must be certified by their manufacturer with the U.S. Department of Transportation (DOT), National Highway Traffic Safety Administration (NHTSA), as compliant with on-highway safety standards as well as certified to all applicable ARB and U.S. EPA on-road emission standards. Compliance with these standards is indicated by separate safety and emissions labels on the vehicle.</w:t>
      </w:r>
    </w:p>
    <w:p w14:paraId="4F175F59" w14:textId="77777777" w:rsidR="00394D50" w:rsidRPr="00394D50" w:rsidRDefault="00394D50" w:rsidP="00394D50">
      <w:pPr>
        <w:spacing w:before="100" w:beforeAutospacing="1" w:after="100" w:afterAutospacing="1"/>
        <w:ind w:left="1440" w:hanging="720"/>
        <w:rPr>
          <w:rFonts w:ascii="Tahoma" w:hAnsi="Tahoma" w:cs="Tahoma"/>
          <w:b/>
          <w:u w:val="single"/>
        </w:rPr>
      </w:pPr>
      <w:r w:rsidRPr="00394D50">
        <w:rPr>
          <w:rFonts w:ascii="Tahoma" w:hAnsi="Tahoma" w:cs="Tahoma"/>
          <w:b/>
          <w:u w:val="single"/>
        </w:rPr>
        <w:t>Q71.</w:t>
      </w:r>
      <w:r w:rsidRPr="00394D50">
        <w:rPr>
          <w:rFonts w:ascii="Tahoma" w:hAnsi="Tahoma" w:cs="Tahoma"/>
          <w:b/>
          <w:u w:val="single"/>
        </w:rPr>
        <w:tab/>
        <w:t>We are in the process of acquiring a site that could be used to qualify for this project. If land ownership were imminent in the near future, could this be used to make the site eligible under this grant's definition of "Site control"? (We'd likely take ownership by the time the awards are made.)</w:t>
      </w:r>
    </w:p>
    <w:p w14:paraId="4EB1B425" w14:textId="77777777" w:rsidR="00394D50" w:rsidRPr="00394D50" w:rsidRDefault="00394D50" w:rsidP="00394D50">
      <w:pPr>
        <w:spacing w:before="100" w:beforeAutospacing="1" w:after="100" w:afterAutospacing="1"/>
        <w:ind w:left="1440" w:hanging="720"/>
        <w:rPr>
          <w:rFonts w:ascii="Tahoma" w:hAnsi="Tahoma" w:cs="Tahoma"/>
          <w:b/>
          <w:u w:val="single"/>
        </w:rPr>
      </w:pPr>
      <w:r w:rsidRPr="00394D50">
        <w:rPr>
          <w:rFonts w:ascii="Tahoma" w:hAnsi="Tahoma" w:cs="Tahoma"/>
          <w:b/>
          <w:u w:val="single"/>
        </w:rPr>
        <w:t>A71.</w:t>
      </w:r>
      <w:r w:rsidRPr="00394D50">
        <w:rPr>
          <w:rFonts w:ascii="Tahoma" w:hAnsi="Tahoma" w:cs="Tahoma"/>
          <w:b/>
          <w:u w:val="single"/>
        </w:rPr>
        <w:tab/>
        <w:t>Site ownership is not required for this solicitation. However, site control will be evaluated under the Project Readiness/Implementation evaluation criterion. Projects will be scored on the degree to which site control is secured, viable back-up sites have been identified, and a sufficient plan for managing site or site host changes is provided. </w:t>
      </w:r>
    </w:p>
    <w:p w14:paraId="1258CEFA" w14:textId="659A4F32" w:rsidR="00394D50" w:rsidRPr="00394D50" w:rsidRDefault="00394D50" w:rsidP="00394D50">
      <w:pPr>
        <w:spacing w:before="100" w:beforeAutospacing="1" w:after="100" w:afterAutospacing="1"/>
        <w:ind w:left="1440" w:hanging="720"/>
        <w:rPr>
          <w:rFonts w:ascii="Tahoma" w:hAnsi="Tahoma" w:cs="Tahoma"/>
          <w:b/>
          <w:u w:val="single"/>
        </w:rPr>
      </w:pPr>
      <w:r w:rsidRPr="00394D50">
        <w:rPr>
          <w:rFonts w:ascii="Tahoma" w:hAnsi="Tahoma" w:cs="Tahoma"/>
          <w:b/>
          <w:u w:val="single"/>
        </w:rPr>
        <w:lastRenderedPageBreak/>
        <w:t>Q72.</w:t>
      </w:r>
      <w:r>
        <w:tab/>
      </w:r>
      <w:r w:rsidRPr="00394D50">
        <w:rPr>
          <w:rFonts w:ascii="Tahoma" w:hAnsi="Tahoma" w:cs="Tahoma"/>
          <w:b/>
          <w:u w:val="single"/>
        </w:rPr>
        <w:t>Could you please clarify the data</w:t>
      </w:r>
      <w:r w:rsidR="00BC22D0">
        <w:rPr>
          <w:rFonts w:ascii="Tahoma" w:hAnsi="Tahoma" w:cs="Tahoma"/>
          <w:b/>
          <w:u w:val="single"/>
        </w:rPr>
        <w:t xml:space="preserve"> </w:t>
      </w:r>
      <w:r w:rsidRPr="00394D50">
        <w:rPr>
          <w:rFonts w:ascii="Tahoma" w:hAnsi="Tahoma" w:cs="Tahoma"/>
          <w:b/>
          <w:u w:val="single"/>
        </w:rPr>
        <w:t xml:space="preserve">collection requirements and associated timelines in the GFO? Is the </w:t>
      </w:r>
      <w:r w:rsidRPr="58CC905D">
        <w:rPr>
          <w:rFonts w:ascii="Tahoma" w:hAnsi="Tahoma" w:cs="Tahoma"/>
          <w:b/>
          <w:bCs/>
          <w:u w:val="single"/>
        </w:rPr>
        <w:t>12month</w:t>
      </w:r>
      <w:r w:rsidRPr="00394D50">
        <w:rPr>
          <w:rFonts w:ascii="Tahoma" w:hAnsi="Tahoma" w:cs="Tahoma"/>
          <w:b/>
          <w:u w:val="single"/>
        </w:rPr>
        <w:t xml:space="preserve"> data</w:t>
      </w:r>
      <w:r w:rsidR="00BC22D0">
        <w:rPr>
          <w:rFonts w:ascii="Tahoma" w:hAnsi="Tahoma" w:cs="Tahoma"/>
          <w:b/>
          <w:u w:val="single"/>
        </w:rPr>
        <w:t xml:space="preserve"> </w:t>
      </w:r>
      <w:r w:rsidRPr="00394D50">
        <w:rPr>
          <w:rFonts w:ascii="Tahoma" w:hAnsi="Tahoma" w:cs="Tahoma"/>
          <w:b/>
          <w:u w:val="single"/>
        </w:rPr>
        <w:t xml:space="preserve">collection requirement intended to be part of this </w:t>
      </w:r>
      <w:proofErr w:type="gramStart"/>
      <w:r w:rsidRPr="00394D50">
        <w:rPr>
          <w:rFonts w:ascii="Tahoma" w:hAnsi="Tahoma" w:cs="Tahoma"/>
          <w:b/>
          <w:u w:val="single"/>
        </w:rPr>
        <w:t>three</w:t>
      </w:r>
      <w:r w:rsidR="626F491C" w:rsidRPr="58CC905D">
        <w:rPr>
          <w:rFonts w:ascii="Tahoma" w:hAnsi="Tahoma" w:cs="Tahoma"/>
          <w:b/>
          <w:bCs/>
          <w:u w:val="single"/>
        </w:rPr>
        <w:t xml:space="preserve"> </w:t>
      </w:r>
      <w:r w:rsidRPr="00394D50">
        <w:rPr>
          <w:rFonts w:ascii="Tahoma" w:hAnsi="Tahoma" w:cs="Tahoma"/>
          <w:b/>
          <w:u w:val="single"/>
        </w:rPr>
        <w:t>year</w:t>
      </w:r>
      <w:proofErr w:type="gramEnd"/>
      <w:r w:rsidRPr="00394D50">
        <w:rPr>
          <w:rFonts w:ascii="Tahoma" w:hAnsi="Tahoma" w:cs="Tahoma"/>
          <w:b/>
          <w:u w:val="single"/>
        </w:rPr>
        <w:t xml:space="preserve"> utilization requirement? Can you confirm whether either the </w:t>
      </w:r>
      <w:r w:rsidRPr="58CC905D">
        <w:rPr>
          <w:rFonts w:ascii="Tahoma" w:hAnsi="Tahoma" w:cs="Tahoma"/>
          <w:b/>
          <w:bCs/>
          <w:u w:val="single"/>
        </w:rPr>
        <w:t>12month</w:t>
      </w:r>
      <w:r w:rsidRPr="00394D50">
        <w:rPr>
          <w:rFonts w:ascii="Tahoma" w:hAnsi="Tahoma" w:cs="Tahoma"/>
          <w:b/>
          <w:u w:val="single"/>
        </w:rPr>
        <w:t xml:space="preserve"> or the </w:t>
      </w:r>
      <w:proofErr w:type="gramStart"/>
      <w:r w:rsidRPr="00394D50">
        <w:rPr>
          <w:rFonts w:ascii="Tahoma" w:hAnsi="Tahoma" w:cs="Tahoma"/>
          <w:b/>
          <w:u w:val="single"/>
        </w:rPr>
        <w:t>three</w:t>
      </w:r>
      <w:r w:rsidR="75FBA5FF" w:rsidRPr="58CC905D">
        <w:rPr>
          <w:rFonts w:ascii="Tahoma" w:hAnsi="Tahoma" w:cs="Tahoma"/>
          <w:b/>
          <w:bCs/>
          <w:u w:val="single"/>
        </w:rPr>
        <w:t xml:space="preserve"> </w:t>
      </w:r>
      <w:r w:rsidRPr="00394D50">
        <w:rPr>
          <w:rFonts w:ascii="Tahoma" w:hAnsi="Tahoma" w:cs="Tahoma"/>
          <w:b/>
          <w:u w:val="single"/>
        </w:rPr>
        <w:t>year</w:t>
      </w:r>
      <w:proofErr w:type="gramEnd"/>
      <w:r w:rsidRPr="00394D50">
        <w:rPr>
          <w:rFonts w:ascii="Tahoma" w:hAnsi="Tahoma" w:cs="Tahoma"/>
          <w:b/>
          <w:u w:val="single"/>
        </w:rPr>
        <w:t xml:space="preserve"> data</w:t>
      </w:r>
      <w:r w:rsidR="00BC22D0">
        <w:rPr>
          <w:rFonts w:ascii="Tahoma" w:hAnsi="Tahoma" w:cs="Tahoma"/>
          <w:b/>
          <w:u w:val="single"/>
        </w:rPr>
        <w:t xml:space="preserve"> </w:t>
      </w:r>
      <w:r w:rsidRPr="00394D50">
        <w:rPr>
          <w:rFonts w:ascii="Tahoma" w:hAnsi="Tahoma" w:cs="Tahoma"/>
          <w:b/>
          <w:u w:val="single"/>
        </w:rPr>
        <w:t>collection milestones must be included in the Schedule of Products and therefore completed before October 31, 2029?</w:t>
      </w:r>
    </w:p>
    <w:p w14:paraId="740916FF" w14:textId="47DA2DC7" w:rsidR="00394D50" w:rsidRPr="00394D50" w:rsidRDefault="00394D50" w:rsidP="00394D50">
      <w:pPr>
        <w:spacing w:before="100" w:beforeAutospacing="1" w:after="100" w:afterAutospacing="1"/>
        <w:ind w:left="1440" w:hanging="720"/>
        <w:rPr>
          <w:rFonts w:ascii="Tahoma" w:hAnsi="Tahoma" w:cs="Tahoma"/>
          <w:b/>
          <w:u w:val="single"/>
        </w:rPr>
      </w:pPr>
      <w:r w:rsidRPr="00394D50">
        <w:rPr>
          <w:rFonts w:ascii="Tahoma" w:hAnsi="Tahoma" w:cs="Tahoma"/>
          <w:b/>
          <w:u w:val="single"/>
        </w:rPr>
        <w:t>A72.</w:t>
      </w:r>
      <w:r w:rsidRPr="00394D50">
        <w:rPr>
          <w:rFonts w:ascii="Tahoma" w:hAnsi="Tahoma" w:cs="Tahoma"/>
          <w:b/>
          <w:u w:val="single"/>
        </w:rPr>
        <w:tab/>
        <w:t>Applicants must collect a minimum of 12 months of operations and utilization data within the agreement term, which must end no later than October 31, 2029. The full 12</w:t>
      </w:r>
      <w:r w:rsidRPr="00394D50">
        <w:rPr>
          <w:rFonts w:ascii="Tahoma" w:hAnsi="Tahoma" w:cs="Tahoma"/>
          <w:b/>
          <w:u w:val="single"/>
        </w:rPr>
        <w:noBreakHyphen/>
        <w:t>month data</w:t>
      </w:r>
      <w:r w:rsidR="00BC22D0">
        <w:rPr>
          <w:rFonts w:ascii="Tahoma" w:hAnsi="Tahoma" w:cs="Tahoma"/>
          <w:b/>
          <w:u w:val="single"/>
        </w:rPr>
        <w:t xml:space="preserve"> </w:t>
      </w:r>
      <w:r w:rsidRPr="00394D50">
        <w:rPr>
          <w:rFonts w:ascii="Tahoma" w:hAnsi="Tahoma" w:cs="Tahoma"/>
          <w:b/>
          <w:u w:val="single"/>
        </w:rPr>
        <w:t>collection period must be included in the Schedule of Products and Due Dates.</w:t>
      </w:r>
    </w:p>
    <w:p w14:paraId="1BC42E19" w14:textId="77777777" w:rsidR="00394D50" w:rsidRPr="00394D50" w:rsidRDefault="00394D50" w:rsidP="00394D50">
      <w:pPr>
        <w:spacing w:before="100" w:beforeAutospacing="1" w:after="100" w:afterAutospacing="1"/>
        <w:ind w:left="1440"/>
        <w:rPr>
          <w:rFonts w:ascii="Tahoma" w:hAnsi="Tahoma" w:cs="Tahoma"/>
          <w:b/>
          <w:u w:val="single"/>
        </w:rPr>
      </w:pPr>
      <w:r w:rsidRPr="00394D50">
        <w:rPr>
          <w:rFonts w:ascii="Tahoma" w:hAnsi="Tahoma" w:cs="Tahoma"/>
          <w:b/>
          <w:bCs/>
          <w:u w:val="single"/>
        </w:rPr>
        <w:t>The required 12 months of data collection is part of the broader three</w:t>
      </w:r>
      <w:r w:rsidRPr="00394D50">
        <w:rPr>
          <w:rFonts w:ascii="Tahoma" w:hAnsi="Tahoma" w:cs="Tahoma"/>
          <w:b/>
          <w:bCs/>
          <w:u w:val="single"/>
        </w:rPr>
        <w:noBreakHyphen/>
        <w:t>year utilization reporting requirement described under the Utilization task in the Scope of Work. Although the full three years of reporting extends beyond the agreement term, applicants must ensure that at least the first 12 months of data collection and reporting occur before the agreement end date and are reflected in the Schedule of Products and Due Dates.</w:t>
      </w:r>
    </w:p>
    <w:p w14:paraId="4EA6DD3F" w14:textId="77777777" w:rsidR="00A12A97" w:rsidRPr="00CC3EC2" w:rsidRDefault="00A12A97" w:rsidP="00707AE0">
      <w:pPr>
        <w:ind w:left="720" w:hanging="720"/>
        <w:rPr>
          <w:rStyle w:val="normaltextrun"/>
          <w:rFonts w:ascii="Tahoma" w:eastAsia="Tahoma" w:hAnsi="Tahoma" w:cs="Tahoma"/>
          <w:b/>
          <w:color w:val="000000" w:themeColor="text1"/>
        </w:rPr>
      </w:pPr>
    </w:p>
    <w:p w14:paraId="4BD70FD4" w14:textId="28677623" w:rsidR="00CA59EA" w:rsidRPr="00CC3EC2" w:rsidRDefault="00AC38B8" w:rsidP="21D55F11">
      <w:pPr>
        <w:rPr>
          <w:rFonts w:ascii="Tahoma" w:hAnsi="Tahoma" w:cs="Tahoma"/>
          <w:b/>
          <w:bCs/>
        </w:rPr>
      </w:pPr>
      <w:r w:rsidRPr="00CC3EC2">
        <w:rPr>
          <w:rFonts w:ascii="Tahoma" w:hAnsi="Tahoma" w:cs="Tahoma"/>
          <w:b/>
          <w:bCs/>
        </w:rPr>
        <w:t>Natalie Johnso</w:t>
      </w:r>
      <w:r w:rsidR="028FAF77" w:rsidRPr="00CC3EC2">
        <w:rPr>
          <w:rFonts w:ascii="Tahoma" w:hAnsi="Tahoma" w:cs="Tahoma"/>
          <w:b/>
          <w:bCs/>
        </w:rPr>
        <w:t>n</w:t>
      </w:r>
    </w:p>
    <w:p w14:paraId="7BE46C3E" w14:textId="3989EB3A" w:rsidR="00CA59EA" w:rsidRPr="00CC3EC2" w:rsidRDefault="00AD0BD5" w:rsidP="00AD0BD5">
      <w:pPr>
        <w:rPr>
          <w:rFonts w:ascii="Tahoma" w:hAnsi="Tahoma" w:cs="Tahoma"/>
          <w:b/>
          <w:bCs/>
        </w:rPr>
      </w:pPr>
      <w:r w:rsidRPr="00CC3EC2">
        <w:rPr>
          <w:rFonts w:ascii="Tahoma" w:hAnsi="Tahoma" w:cs="Tahoma"/>
          <w:b/>
          <w:bCs/>
        </w:rPr>
        <w:t>Commission Agreement Officer</w:t>
      </w:r>
    </w:p>
    <w:sectPr w:rsidR="00CA59EA" w:rsidRPr="00CC3EC2" w:rsidSect="00BA556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92C9" w14:textId="77777777" w:rsidR="00251673" w:rsidRDefault="00251673" w:rsidP="00F86D2B">
      <w:r>
        <w:separator/>
      </w:r>
    </w:p>
  </w:endnote>
  <w:endnote w:type="continuationSeparator" w:id="0">
    <w:p w14:paraId="07AC7E5E" w14:textId="77777777" w:rsidR="00251673" w:rsidRDefault="00251673" w:rsidP="00F86D2B">
      <w:r>
        <w:continuationSeparator/>
      </w:r>
    </w:p>
  </w:endnote>
  <w:endnote w:type="continuationNotice" w:id="1">
    <w:p w14:paraId="50754FEC" w14:textId="77777777" w:rsidR="00251673" w:rsidRDefault="0025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C067"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64D7" w14:textId="77777777" w:rsidR="00251673" w:rsidRDefault="00251673" w:rsidP="00F86D2B">
      <w:r>
        <w:separator/>
      </w:r>
    </w:p>
  </w:footnote>
  <w:footnote w:type="continuationSeparator" w:id="0">
    <w:p w14:paraId="59FA2B60" w14:textId="77777777" w:rsidR="00251673" w:rsidRDefault="00251673" w:rsidP="00F86D2B">
      <w:r>
        <w:continuationSeparator/>
      </w:r>
    </w:p>
  </w:footnote>
  <w:footnote w:type="continuationNotice" w:id="1">
    <w:p w14:paraId="6B61EA2D" w14:textId="77777777" w:rsidR="00251673" w:rsidRDefault="00251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484B"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A84E83">
    <w:pPr>
      <w:pStyle w:val="Header"/>
      <w:ind w:hanging="1800"/>
      <w:jc w:val="center"/>
    </w:pPr>
    <w:r>
      <w:rPr>
        <w:noProof/>
      </w:rPr>
      <w:drawing>
        <wp:inline distT="0" distB="0" distL="0" distR="0" wp14:anchorId="59ACF5EB" wp14:editId="3CFCF642">
          <wp:extent cx="7858125" cy="902664"/>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0266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F20F2A"/>
    <w:multiLevelType w:val="hybridMultilevel"/>
    <w:tmpl w:val="651A21E0"/>
    <w:lvl w:ilvl="0" w:tplc="417C8B52">
      <w:start w:val="6"/>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F4109E"/>
    <w:multiLevelType w:val="hybridMultilevel"/>
    <w:tmpl w:val="518E4EF4"/>
    <w:lvl w:ilvl="0" w:tplc="6C56BF28">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83B3D"/>
    <w:multiLevelType w:val="hybridMultilevel"/>
    <w:tmpl w:val="C6984F90"/>
    <w:lvl w:ilvl="0" w:tplc="9B9AE4FA">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3"/>
  </w:num>
  <w:num w:numId="2" w16cid:durableId="1642884978">
    <w:abstractNumId w:val="19"/>
  </w:num>
  <w:num w:numId="3" w16cid:durableId="621424096">
    <w:abstractNumId w:val="6"/>
  </w:num>
  <w:num w:numId="4" w16cid:durableId="1278104474">
    <w:abstractNumId w:val="37"/>
  </w:num>
  <w:num w:numId="5" w16cid:durableId="2130855339">
    <w:abstractNumId w:val="32"/>
  </w:num>
  <w:num w:numId="6" w16cid:durableId="446892252">
    <w:abstractNumId w:val="9"/>
  </w:num>
  <w:num w:numId="7" w16cid:durableId="149292626">
    <w:abstractNumId w:val="8"/>
  </w:num>
  <w:num w:numId="8" w16cid:durableId="314337568">
    <w:abstractNumId w:val="5"/>
  </w:num>
  <w:num w:numId="9" w16cid:durableId="2104258113">
    <w:abstractNumId w:val="33"/>
  </w:num>
  <w:num w:numId="10" w16cid:durableId="850022999">
    <w:abstractNumId w:val="17"/>
  </w:num>
  <w:num w:numId="11" w16cid:durableId="1293973762">
    <w:abstractNumId w:val="4"/>
  </w:num>
  <w:num w:numId="12" w16cid:durableId="1862087584">
    <w:abstractNumId w:val="14"/>
  </w:num>
  <w:num w:numId="13" w16cid:durableId="1434744100">
    <w:abstractNumId w:val="18"/>
  </w:num>
  <w:num w:numId="14" w16cid:durableId="1056470891">
    <w:abstractNumId w:val="7"/>
  </w:num>
  <w:num w:numId="15" w16cid:durableId="1432821712">
    <w:abstractNumId w:val="29"/>
  </w:num>
  <w:num w:numId="16" w16cid:durableId="1554733316">
    <w:abstractNumId w:val="11"/>
  </w:num>
  <w:num w:numId="17" w16cid:durableId="179007202">
    <w:abstractNumId w:val="27"/>
  </w:num>
  <w:num w:numId="18" w16cid:durableId="8419670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1"/>
  </w:num>
  <w:num w:numId="20" w16cid:durableId="654064370">
    <w:abstractNumId w:val="34"/>
  </w:num>
  <w:num w:numId="21" w16cid:durableId="906113705">
    <w:abstractNumId w:val="16"/>
  </w:num>
  <w:num w:numId="22" w16cid:durableId="1663535">
    <w:abstractNumId w:val="0"/>
  </w:num>
  <w:num w:numId="23" w16cid:durableId="649099242">
    <w:abstractNumId w:val="2"/>
  </w:num>
  <w:num w:numId="24" w16cid:durableId="1229997213">
    <w:abstractNumId w:val="35"/>
  </w:num>
  <w:num w:numId="25" w16cid:durableId="1552419868">
    <w:abstractNumId w:val="30"/>
  </w:num>
  <w:num w:numId="26" w16cid:durableId="2029746485">
    <w:abstractNumId w:val="3"/>
  </w:num>
  <w:num w:numId="27" w16cid:durableId="1682311915">
    <w:abstractNumId w:val="36"/>
  </w:num>
  <w:num w:numId="28" w16cid:durableId="1113282204">
    <w:abstractNumId w:val="13"/>
  </w:num>
  <w:num w:numId="29" w16cid:durableId="1165245682">
    <w:abstractNumId w:val="21"/>
  </w:num>
  <w:num w:numId="30" w16cid:durableId="191722775">
    <w:abstractNumId w:val="22"/>
  </w:num>
  <w:num w:numId="31" w16cid:durableId="79065717">
    <w:abstractNumId w:val="26"/>
  </w:num>
  <w:num w:numId="32" w16cid:durableId="1643149288">
    <w:abstractNumId w:val="20"/>
  </w:num>
  <w:num w:numId="33" w16cid:durableId="338965589">
    <w:abstractNumId w:val="28"/>
  </w:num>
  <w:num w:numId="34" w16cid:durableId="1148785204">
    <w:abstractNumId w:val="15"/>
  </w:num>
  <w:num w:numId="35" w16cid:durableId="834995770">
    <w:abstractNumId w:val="10"/>
  </w:num>
  <w:num w:numId="36" w16cid:durableId="235286359">
    <w:abstractNumId w:val="24"/>
  </w:num>
  <w:num w:numId="37" w16cid:durableId="2061516325">
    <w:abstractNumId w:val="25"/>
  </w:num>
  <w:num w:numId="38" w16cid:durableId="278129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900"/>
    <w:rsid w:val="00003CFA"/>
    <w:rsid w:val="00005579"/>
    <w:rsid w:val="00005D84"/>
    <w:rsid w:val="00005DA1"/>
    <w:rsid w:val="000063B5"/>
    <w:rsid w:val="00006CBE"/>
    <w:rsid w:val="000073B8"/>
    <w:rsid w:val="00007C86"/>
    <w:rsid w:val="00012767"/>
    <w:rsid w:val="00013BAA"/>
    <w:rsid w:val="00013BB8"/>
    <w:rsid w:val="0001408A"/>
    <w:rsid w:val="00015969"/>
    <w:rsid w:val="000172D2"/>
    <w:rsid w:val="00017C73"/>
    <w:rsid w:val="0002043A"/>
    <w:rsid w:val="00020457"/>
    <w:rsid w:val="0002369F"/>
    <w:rsid w:val="00024043"/>
    <w:rsid w:val="00027125"/>
    <w:rsid w:val="00033622"/>
    <w:rsid w:val="00033827"/>
    <w:rsid w:val="00035D03"/>
    <w:rsid w:val="00035DE2"/>
    <w:rsid w:val="00037F66"/>
    <w:rsid w:val="000442AD"/>
    <w:rsid w:val="00046233"/>
    <w:rsid w:val="0004705B"/>
    <w:rsid w:val="0004705D"/>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E58"/>
    <w:rsid w:val="00076083"/>
    <w:rsid w:val="00081864"/>
    <w:rsid w:val="00082D36"/>
    <w:rsid w:val="00084005"/>
    <w:rsid w:val="0009064B"/>
    <w:rsid w:val="000909F6"/>
    <w:rsid w:val="00091227"/>
    <w:rsid w:val="000914DE"/>
    <w:rsid w:val="000922CE"/>
    <w:rsid w:val="00092DF0"/>
    <w:rsid w:val="000930AE"/>
    <w:rsid w:val="00093184"/>
    <w:rsid w:val="000963E8"/>
    <w:rsid w:val="0009684A"/>
    <w:rsid w:val="00096A8B"/>
    <w:rsid w:val="0009741A"/>
    <w:rsid w:val="00097BFF"/>
    <w:rsid w:val="000A0FA4"/>
    <w:rsid w:val="000A133D"/>
    <w:rsid w:val="000A2B9D"/>
    <w:rsid w:val="000A560E"/>
    <w:rsid w:val="000A6CE7"/>
    <w:rsid w:val="000B06C0"/>
    <w:rsid w:val="000B2D17"/>
    <w:rsid w:val="000B2DF5"/>
    <w:rsid w:val="000B39C3"/>
    <w:rsid w:val="000B3A58"/>
    <w:rsid w:val="000B6ADA"/>
    <w:rsid w:val="000B71AD"/>
    <w:rsid w:val="000C16AE"/>
    <w:rsid w:val="000C2B73"/>
    <w:rsid w:val="000C4E4D"/>
    <w:rsid w:val="000C69AF"/>
    <w:rsid w:val="000D2DA7"/>
    <w:rsid w:val="000D4A7B"/>
    <w:rsid w:val="000D50E3"/>
    <w:rsid w:val="000D53E1"/>
    <w:rsid w:val="000D6791"/>
    <w:rsid w:val="000D79C3"/>
    <w:rsid w:val="000E01FA"/>
    <w:rsid w:val="000E0A56"/>
    <w:rsid w:val="000E1978"/>
    <w:rsid w:val="000E1B44"/>
    <w:rsid w:val="000E31D6"/>
    <w:rsid w:val="000E378B"/>
    <w:rsid w:val="000E433B"/>
    <w:rsid w:val="000E6CD9"/>
    <w:rsid w:val="000E706A"/>
    <w:rsid w:val="000F0D5B"/>
    <w:rsid w:val="000F3E5F"/>
    <w:rsid w:val="000F57C6"/>
    <w:rsid w:val="000F5BE1"/>
    <w:rsid w:val="000F64FA"/>
    <w:rsid w:val="000F7242"/>
    <w:rsid w:val="00103791"/>
    <w:rsid w:val="00103C24"/>
    <w:rsid w:val="00104045"/>
    <w:rsid w:val="00106742"/>
    <w:rsid w:val="00106C10"/>
    <w:rsid w:val="00113B54"/>
    <w:rsid w:val="001151E5"/>
    <w:rsid w:val="00117CB8"/>
    <w:rsid w:val="00122045"/>
    <w:rsid w:val="00123C82"/>
    <w:rsid w:val="00123E80"/>
    <w:rsid w:val="0012428F"/>
    <w:rsid w:val="00124FD9"/>
    <w:rsid w:val="001259D2"/>
    <w:rsid w:val="001261BE"/>
    <w:rsid w:val="0013208E"/>
    <w:rsid w:val="001321BF"/>
    <w:rsid w:val="0013506C"/>
    <w:rsid w:val="00135B57"/>
    <w:rsid w:val="0013714A"/>
    <w:rsid w:val="00140123"/>
    <w:rsid w:val="0014043C"/>
    <w:rsid w:val="00140D3F"/>
    <w:rsid w:val="00142AD3"/>
    <w:rsid w:val="001448B6"/>
    <w:rsid w:val="001449AA"/>
    <w:rsid w:val="001457B1"/>
    <w:rsid w:val="00146C62"/>
    <w:rsid w:val="0014731B"/>
    <w:rsid w:val="001477A0"/>
    <w:rsid w:val="00147C30"/>
    <w:rsid w:val="0015411D"/>
    <w:rsid w:val="00157F88"/>
    <w:rsid w:val="00160236"/>
    <w:rsid w:val="0016033C"/>
    <w:rsid w:val="00162611"/>
    <w:rsid w:val="00163485"/>
    <w:rsid w:val="00164745"/>
    <w:rsid w:val="001665C7"/>
    <w:rsid w:val="00167654"/>
    <w:rsid w:val="001716C3"/>
    <w:rsid w:val="00174050"/>
    <w:rsid w:val="00174A2D"/>
    <w:rsid w:val="00174E34"/>
    <w:rsid w:val="00175103"/>
    <w:rsid w:val="001760FE"/>
    <w:rsid w:val="00176A45"/>
    <w:rsid w:val="001804BD"/>
    <w:rsid w:val="00182A16"/>
    <w:rsid w:val="00183BEA"/>
    <w:rsid w:val="00185E8D"/>
    <w:rsid w:val="00187140"/>
    <w:rsid w:val="00187E1A"/>
    <w:rsid w:val="00190B05"/>
    <w:rsid w:val="00192A55"/>
    <w:rsid w:val="00193972"/>
    <w:rsid w:val="0019407E"/>
    <w:rsid w:val="00196F52"/>
    <w:rsid w:val="00197C74"/>
    <w:rsid w:val="001A2082"/>
    <w:rsid w:val="001A31CF"/>
    <w:rsid w:val="001A54DA"/>
    <w:rsid w:val="001A5B69"/>
    <w:rsid w:val="001A7FEC"/>
    <w:rsid w:val="001B0F25"/>
    <w:rsid w:val="001B1AB3"/>
    <w:rsid w:val="001B2889"/>
    <w:rsid w:val="001B2D6F"/>
    <w:rsid w:val="001C13A7"/>
    <w:rsid w:val="001C2F0B"/>
    <w:rsid w:val="001C3201"/>
    <w:rsid w:val="001C3CDA"/>
    <w:rsid w:val="001C4AE1"/>
    <w:rsid w:val="001C4CC7"/>
    <w:rsid w:val="001C5631"/>
    <w:rsid w:val="001C605E"/>
    <w:rsid w:val="001C6A3B"/>
    <w:rsid w:val="001D1BAA"/>
    <w:rsid w:val="001D1DD0"/>
    <w:rsid w:val="001D48CF"/>
    <w:rsid w:val="001D6C4D"/>
    <w:rsid w:val="001D6CF5"/>
    <w:rsid w:val="001E136C"/>
    <w:rsid w:val="001E4F81"/>
    <w:rsid w:val="001E73D1"/>
    <w:rsid w:val="001F0E43"/>
    <w:rsid w:val="001F1FC1"/>
    <w:rsid w:val="001F2E2E"/>
    <w:rsid w:val="001F3152"/>
    <w:rsid w:val="001F478B"/>
    <w:rsid w:val="001F5214"/>
    <w:rsid w:val="001F62F3"/>
    <w:rsid w:val="001F6300"/>
    <w:rsid w:val="00203307"/>
    <w:rsid w:val="00203587"/>
    <w:rsid w:val="00204718"/>
    <w:rsid w:val="0020542A"/>
    <w:rsid w:val="00205D2C"/>
    <w:rsid w:val="00205D3F"/>
    <w:rsid w:val="0020648F"/>
    <w:rsid w:val="00206807"/>
    <w:rsid w:val="00206D7E"/>
    <w:rsid w:val="00210F3E"/>
    <w:rsid w:val="002121E7"/>
    <w:rsid w:val="002137AE"/>
    <w:rsid w:val="00216577"/>
    <w:rsid w:val="002168C6"/>
    <w:rsid w:val="00216A85"/>
    <w:rsid w:val="00221879"/>
    <w:rsid w:val="00221C82"/>
    <w:rsid w:val="00227C4F"/>
    <w:rsid w:val="00235167"/>
    <w:rsid w:val="00242B10"/>
    <w:rsid w:val="00242D2C"/>
    <w:rsid w:val="002462BF"/>
    <w:rsid w:val="002512E1"/>
    <w:rsid w:val="00251673"/>
    <w:rsid w:val="00252EA8"/>
    <w:rsid w:val="00255BCA"/>
    <w:rsid w:val="00256C04"/>
    <w:rsid w:val="00256FBB"/>
    <w:rsid w:val="002572D4"/>
    <w:rsid w:val="002577F3"/>
    <w:rsid w:val="00261A28"/>
    <w:rsid w:val="00262018"/>
    <w:rsid w:val="00262D0D"/>
    <w:rsid w:val="002636E7"/>
    <w:rsid w:val="0026385E"/>
    <w:rsid w:val="00264EA1"/>
    <w:rsid w:val="002652F2"/>
    <w:rsid w:val="00266739"/>
    <w:rsid w:val="002670B3"/>
    <w:rsid w:val="0026739C"/>
    <w:rsid w:val="00267F13"/>
    <w:rsid w:val="002747CF"/>
    <w:rsid w:val="00274C4C"/>
    <w:rsid w:val="0027534D"/>
    <w:rsid w:val="00281BB0"/>
    <w:rsid w:val="002829DB"/>
    <w:rsid w:val="002847A4"/>
    <w:rsid w:val="002879B4"/>
    <w:rsid w:val="00292E6D"/>
    <w:rsid w:val="00292F10"/>
    <w:rsid w:val="00293842"/>
    <w:rsid w:val="00294C1C"/>
    <w:rsid w:val="002977F8"/>
    <w:rsid w:val="002A290C"/>
    <w:rsid w:val="002A2C80"/>
    <w:rsid w:val="002A312D"/>
    <w:rsid w:val="002A4E3B"/>
    <w:rsid w:val="002A5E85"/>
    <w:rsid w:val="002A5F7A"/>
    <w:rsid w:val="002A6474"/>
    <w:rsid w:val="002B0A97"/>
    <w:rsid w:val="002B3D9A"/>
    <w:rsid w:val="002B4FE5"/>
    <w:rsid w:val="002B6615"/>
    <w:rsid w:val="002C3A9E"/>
    <w:rsid w:val="002C6259"/>
    <w:rsid w:val="002C6B95"/>
    <w:rsid w:val="002C7DA8"/>
    <w:rsid w:val="002D0ACB"/>
    <w:rsid w:val="002D11A5"/>
    <w:rsid w:val="002D3F4D"/>
    <w:rsid w:val="002D506D"/>
    <w:rsid w:val="002D5865"/>
    <w:rsid w:val="002D74C3"/>
    <w:rsid w:val="002E1315"/>
    <w:rsid w:val="002E34FB"/>
    <w:rsid w:val="002E5E7B"/>
    <w:rsid w:val="002E6E83"/>
    <w:rsid w:val="002E7043"/>
    <w:rsid w:val="002E7C64"/>
    <w:rsid w:val="002F2B94"/>
    <w:rsid w:val="002F2DFF"/>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72B7"/>
    <w:rsid w:val="00320836"/>
    <w:rsid w:val="00320AD2"/>
    <w:rsid w:val="00321832"/>
    <w:rsid w:val="00326779"/>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F9C"/>
    <w:rsid w:val="00360BE0"/>
    <w:rsid w:val="00360ED1"/>
    <w:rsid w:val="003702FD"/>
    <w:rsid w:val="00370DC2"/>
    <w:rsid w:val="0037114C"/>
    <w:rsid w:val="003714BA"/>
    <w:rsid w:val="003729D0"/>
    <w:rsid w:val="00372C95"/>
    <w:rsid w:val="00373169"/>
    <w:rsid w:val="00375727"/>
    <w:rsid w:val="00375A65"/>
    <w:rsid w:val="00375F4A"/>
    <w:rsid w:val="0037614B"/>
    <w:rsid w:val="00376F8E"/>
    <w:rsid w:val="00377E7A"/>
    <w:rsid w:val="00381BD8"/>
    <w:rsid w:val="0038240B"/>
    <w:rsid w:val="00382D10"/>
    <w:rsid w:val="00386B1F"/>
    <w:rsid w:val="00386DCA"/>
    <w:rsid w:val="00387642"/>
    <w:rsid w:val="00390B6A"/>
    <w:rsid w:val="00391FC2"/>
    <w:rsid w:val="003938F1"/>
    <w:rsid w:val="00394D50"/>
    <w:rsid w:val="00396780"/>
    <w:rsid w:val="00397367"/>
    <w:rsid w:val="003A0F89"/>
    <w:rsid w:val="003A14C0"/>
    <w:rsid w:val="003A1602"/>
    <w:rsid w:val="003A3A36"/>
    <w:rsid w:val="003A4749"/>
    <w:rsid w:val="003A605D"/>
    <w:rsid w:val="003A685E"/>
    <w:rsid w:val="003B0CF8"/>
    <w:rsid w:val="003B149F"/>
    <w:rsid w:val="003B2535"/>
    <w:rsid w:val="003B2D4A"/>
    <w:rsid w:val="003B39C4"/>
    <w:rsid w:val="003B4C06"/>
    <w:rsid w:val="003B787B"/>
    <w:rsid w:val="003C0B8E"/>
    <w:rsid w:val="003C19A2"/>
    <w:rsid w:val="003C36DE"/>
    <w:rsid w:val="003C47B8"/>
    <w:rsid w:val="003C55A4"/>
    <w:rsid w:val="003C746B"/>
    <w:rsid w:val="003C767D"/>
    <w:rsid w:val="003C7B84"/>
    <w:rsid w:val="003D0C68"/>
    <w:rsid w:val="003D21A6"/>
    <w:rsid w:val="003D40D2"/>
    <w:rsid w:val="003D575C"/>
    <w:rsid w:val="003D5B57"/>
    <w:rsid w:val="003D5F92"/>
    <w:rsid w:val="003D738A"/>
    <w:rsid w:val="003E05A6"/>
    <w:rsid w:val="003E0914"/>
    <w:rsid w:val="003E0AD6"/>
    <w:rsid w:val="003E0D2D"/>
    <w:rsid w:val="003E16EE"/>
    <w:rsid w:val="003E3CF9"/>
    <w:rsid w:val="003E404D"/>
    <w:rsid w:val="003E404F"/>
    <w:rsid w:val="003E7824"/>
    <w:rsid w:val="003F037E"/>
    <w:rsid w:val="003F0F25"/>
    <w:rsid w:val="003F1FDC"/>
    <w:rsid w:val="003F3137"/>
    <w:rsid w:val="003F31CA"/>
    <w:rsid w:val="003F3ABD"/>
    <w:rsid w:val="003F3B07"/>
    <w:rsid w:val="003F3D3C"/>
    <w:rsid w:val="003F62A8"/>
    <w:rsid w:val="003F6DB4"/>
    <w:rsid w:val="003F6FD8"/>
    <w:rsid w:val="00400838"/>
    <w:rsid w:val="00403DAB"/>
    <w:rsid w:val="00405296"/>
    <w:rsid w:val="004073D3"/>
    <w:rsid w:val="004076CF"/>
    <w:rsid w:val="004104AF"/>
    <w:rsid w:val="00410AC7"/>
    <w:rsid w:val="004140C9"/>
    <w:rsid w:val="00414EAF"/>
    <w:rsid w:val="00415DE9"/>
    <w:rsid w:val="00416213"/>
    <w:rsid w:val="00416ABE"/>
    <w:rsid w:val="00416BA6"/>
    <w:rsid w:val="00422DA7"/>
    <w:rsid w:val="004276CE"/>
    <w:rsid w:val="00427DF2"/>
    <w:rsid w:val="00430859"/>
    <w:rsid w:val="004318AF"/>
    <w:rsid w:val="00432FB1"/>
    <w:rsid w:val="00433228"/>
    <w:rsid w:val="00434A01"/>
    <w:rsid w:val="00435278"/>
    <w:rsid w:val="00436340"/>
    <w:rsid w:val="00436436"/>
    <w:rsid w:val="004379A5"/>
    <w:rsid w:val="00437D5F"/>
    <w:rsid w:val="004449F1"/>
    <w:rsid w:val="00444D53"/>
    <w:rsid w:val="00445151"/>
    <w:rsid w:val="00445F8E"/>
    <w:rsid w:val="004504D5"/>
    <w:rsid w:val="00450CEE"/>
    <w:rsid w:val="00451977"/>
    <w:rsid w:val="00452815"/>
    <w:rsid w:val="00455EAE"/>
    <w:rsid w:val="004562F5"/>
    <w:rsid w:val="00456FB3"/>
    <w:rsid w:val="0045786A"/>
    <w:rsid w:val="0046003A"/>
    <w:rsid w:val="00463011"/>
    <w:rsid w:val="00463B37"/>
    <w:rsid w:val="00467AE7"/>
    <w:rsid w:val="00470EF0"/>
    <w:rsid w:val="00471C5A"/>
    <w:rsid w:val="00472C70"/>
    <w:rsid w:val="00473261"/>
    <w:rsid w:val="00474F40"/>
    <w:rsid w:val="00475B35"/>
    <w:rsid w:val="004772EB"/>
    <w:rsid w:val="004800F9"/>
    <w:rsid w:val="0048178F"/>
    <w:rsid w:val="00481B8A"/>
    <w:rsid w:val="00483F19"/>
    <w:rsid w:val="00483F3B"/>
    <w:rsid w:val="004848CD"/>
    <w:rsid w:val="004863B6"/>
    <w:rsid w:val="0048657F"/>
    <w:rsid w:val="00491630"/>
    <w:rsid w:val="004929F9"/>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676"/>
    <w:rsid w:val="004A69AA"/>
    <w:rsid w:val="004B2C25"/>
    <w:rsid w:val="004B4281"/>
    <w:rsid w:val="004B5391"/>
    <w:rsid w:val="004B58FE"/>
    <w:rsid w:val="004C29DA"/>
    <w:rsid w:val="004C2F0F"/>
    <w:rsid w:val="004C666C"/>
    <w:rsid w:val="004D0158"/>
    <w:rsid w:val="004D128F"/>
    <w:rsid w:val="004D5823"/>
    <w:rsid w:val="004E0805"/>
    <w:rsid w:val="004E1EA3"/>
    <w:rsid w:val="004E2159"/>
    <w:rsid w:val="004E45E3"/>
    <w:rsid w:val="004E5399"/>
    <w:rsid w:val="004E64D2"/>
    <w:rsid w:val="004E72B5"/>
    <w:rsid w:val="004EEFCF"/>
    <w:rsid w:val="004F0C72"/>
    <w:rsid w:val="004F0E66"/>
    <w:rsid w:val="004F14FE"/>
    <w:rsid w:val="004F1541"/>
    <w:rsid w:val="004F2BCA"/>
    <w:rsid w:val="004F477F"/>
    <w:rsid w:val="004F5603"/>
    <w:rsid w:val="004F76BA"/>
    <w:rsid w:val="00500234"/>
    <w:rsid w:val="0050279B"/>
    <w:rsid w:val="00503C6B"/>
    <w:rsid w:val="00505C2A"/>
    <w:rsid w:val="00505F62"/>
    <w:rsid w:val="005068F3"/>
    <w:rsid w:val="0050729E"/>
    <w:rsid w:val="00507795"/>
    <w:rsid w:val="005100D5"/>
    <w:rsid w:val="00511D19"/>
    <w:rsid w:val="00511F4E"/>
    <w:rsid w:val="00512A41"/>
    <w:rsid w:val="00513978"/>
    <w:rsid w:val="00513B6B"/>
    <w:rsid w:val="00514143"/>
    <w:rsid w:val="00514BA3"/>
    <w:rsid w:val="00515618"/>
    <w:rsid w:val="00515927"/>
    <w:rsid w:val="00515A05"/>
    <w:rsid w:val="005201E6"/>
    <w:rsid w:val="00524EA9"/>
    <w:rsid w:val="005256ED"/>
    <w:rsid w:val="00525E2C"/>
    <w:rsid w:val="00527817"/>
    <w:rsid w:val="00530235"/>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57BC9"/>
    <w:rsid w:val="005608A7"/>
    <w:rsid w:val="0056090A"/>
    <w:rsid w:val="005615F4"/>
    <w:rsid w:val="00561990"/>
    <w:rsid w:val="005631B1"/>
    <w:rsid w:val="00566D9C"/>
    <w:rsid w:val="00572577"/>
    <w:rsid w:val="00573655"/>
    <w:rsid w:val="005738B6"/>
    <w:rsid w:val="0057562D"/>
    <w:rsid w:val="005761B6"/>
    <w:rsid w:val="005762CA"/>
    <w:rsid w:val="00577D95"/>
    <w:rsid w:val="00580EDD"/>
    <w:rsid w:val="0058138E"/>
    <w:rsid w:val="005826B3"/>
    <w:rsid w:val="0058395D"/>
    <w:rsid w:val="0058670A"/>
    <w:rsid w:val="005879A0"/>
    <w:rsid w:val="00593743"/>
    <w:rsid w:val="0059473D"/>
    <w:rsid w:val="0059609D"/>
    <w:rsid w:val="00597734"/>
    <w:rsid w:val="005A062F"/>
    <w:rsid w:val="005A3623"/>
    <w:rsid w:val="005A378C"/>
    <w:rsid w:val="005A4067"/>
    <w:rsid w:val="005A42DE"/>
    <w:rsid w:val="005A47F6"/>
    <w:rsid w:val="005A4B19"/>
    <w:rsid w:val="005B451E"/>
    <w:rsid w:val="005B5E51"/>
    <w:rsid w:val="005B61B8"/>
    <w:rsid w:val="005B645F"/>
    <w:rsid w:val="005C2A35"/>
    <w:rsid w:val="005C2FA5"/>
    <w:rsid w:val="005C33FC"/>
    <w:rsid w:val="005C73E0"/>
    <w:rsid w:val="005D1DB4"/>
    <w:rsid w:val="005D32E7"/>
    <w:rsid w:val="005D4EE4"/>
    <w:rsid w:val="005D57D4"/>
    <w:rsid w:val="005E1E2D"/>
    <w:rsid w:val="005E5713"/>
    <w:rsid w:val="005E5A04"/>
    <w:rsid w:val="005E62D0"/>
    <w:rsid w:val="005E6FA2"/>
    <w:rsid w:val="005E74D8"/>
    <w:rsid w:val="005F32CC"/>
    <w:rsid w:val="005F79FD"/>
    <w:rsid w:val="00601F17"/>
    <w:rsid w:val="006024EA"/>
    <w:rsid w:val="0060255F"/>
    <w:rsid w:val="006025AA"/>
    <w:rsid w:val="00603E43"/>
    <w:rsid w:val="00606ED7"/>
    <w:rsid w:val="006123B5"/>
    <w:rsid w:val="00612AE0"/>
    <w:rsid w:val="00614E46"/>
    <w:rsid w:val="006157EC"/>
    <w:rsid w:val="00615E32"/>
    <w:rsid w:val="006172CE"/>
    <w:rsid w:val="0062191B"/>
    <w:rsid w:val="006234CA"/>
    <w:rsid w:val="006241B1"/>
    <w:rsid w:val="00624429"/>
    <w:rsid w:val="0062485E"/>
    <w:rsid w:val="00625B2A"/>
    <w:rsid w:val="0062615E"/>
    <w:rsid w:val="00627607"/>
    <w:rsid w:val="00630520"/>
    <w:rsid w:val="006330B9"/>
    <w:rsid w:val="006368E3"/>
    <w:rsid w:val="00640BB6"/>
    <w:rsid w:val="0064142B"/>
    <w:rsid w:val="00642441"/>
    <w:rsid w:val="00643061"/>
    <w:rsid w:val="0064527B"/>
    <w:rsid w:val="00646CD2"/>
    <w:rsid w:val="0064776D"/>
    <w:rsid w:val="0065002A"/>
    <w:rsid w:val="006507AC"/>
    <w:rsid w:val="006511D6"/>
    <w:rsid w:val="006525EE"/>
    <w:rsid w:val="00652888"/>
    <w:rsid w:val="0065465F"/>
    <w:rsid w:val="00654BE4"/>
    <w:rsid w:val="00656273"/>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4D65"/>
    <w:rsid w:val="00685F5C"/>
    <w:rsid w:val="00687606"/>
    <w:rsid w:val="00693454"/>
    <w:rsid w:val="006939D5"/>
    <w:rsid w:val="00693DDE"/>
    <w:rsid w:val="0069405E"/>
    <w:rsid w:val="006972F9"/>
    <w:rsid w:val="00697408"/>
    <w:rsid w:val="006A0281"/>
    <w:rsid w:val="006A4306"/>
    <w:rsid w:val="006A44A6"/>
    <w:rsid w:val="006A5696"/>
    <w:rsid w:val="006A57AF"/>
    <w:rsid w:val="006A5A55"/>
    <w:rsid w:val="006A5FCE"/>
    <w:rsid w:val="006A700F"/>
    <w:rsid w:val="006A74A2"/>
    <w:rsid w:val="006B0329"/>
    <w:rsid w:val="006B135B"/>
    <w:rsid w:val="006B13F0"/>
    <w:rsid w:val="006B25BA"/>
    <w:rsid w:val="006B468F"/>
    <w:rsid w:val="006B5394"/>
    <w:rsid w:val="006C0B9C"/>
    <w:rsid w:val="006C12F0"/>
    <w:rsid w:val="006C1977"/>
    <w:rsid w:val="006C25DD"/>
    <w:rsid w:val="006C3488"/>
    <w:rsid w:val="006C56EA"/>
    <w:rsid w:val="006C60D5"/>
    <w:rsid w:val="006C683F"/>
    <w:rsid w:val="006C7145"/>
    <w:rsid w:val="006C7442"/>
    <w:rsid w:val="006D2D38"/>
    <w:rsid w:val="006D3827"/>
    <w:rsid w:val="006D4420"/>
    <w:rsid w:val="006D459B"/>
    <w:rsid w:val="006D498C"/>
    <w:rsid w:val="006D6734"/>
    <w:rsid w:val="006D6AD0"/>
    <w:rsid w:val="006D7163"/>
    <w:rsid w:val="006D76A2"/>
    <w:rsid w:val="006D7942"/>
    <w:rsid w:val="006E146A"/>
    <w:rsid w:val="006E232C"/>
    <w:rsid w:val="006E3122"/>
    <w:rsid w:val="006F0229"/>
    <w:rsid w:val="006F1578"/>
    <w:rsid w:val="006F1B0E"/>
    <w:rsid w:val="006F5C72"/>
    <w:rsid w:val="006F6339"/>
    <w:rsid w:val="007032F3"/>
    <w:rsid w:val="0070468C"/>
    <w:rsid w:val="007046B1"/>
    <w:rsid w:val="007063FC"/>
    <w:rsid w:val="007079B2"/>
    <w:rsid w:val="00707AE0"/>
    <w:rsid w:val="007134AE"/>
    <w:rsid w:val="007157D3"/>
    <w:rsid w:val="00716C87"/>
    <w:rsid w:val="0072006A"/>
    <w:rsid w:val="007205AE"/>
    <w:rsid w:val="00720723"/>
    <w:rsid w:val="0072118B"/>
    <w:rsid w:val="007211FC"/>
    <w:rsid w:val="00731277"/>
    <w:rsid w:val="00731C4D"/>
    <w:rsid w:val="00732160"/>
    <w:rsid w:val="00732552"/>
    <w:rsid w:val="0073342D"/>
    <w:rsid w:val="00734C5A"/>
    <w:rsid w:val="007350B5"/>
    <w:rsid w:val="00736F8A"/>
    <w:rsid w:val="0073776C"/>
    <w:rsid w:val="00743ADF"/>
    <w:rsid w:val="00744EE3"/>
    <w:rsid w:val="00745C9B"/>
    <w:rsid w:val="00745F00"/>
    <w:rsid w:val="00746790"/>
    <w:rsid w:val="007467BF"/>
    <w:rsid w:val="0074779B"/>
    <w:rsid w:val="00747BAC"/>
    <w:rsid w:val="007500C3"/>
    <w:rsid w:val="007504F1"/>
    <w:rsid w:val="00751C0F"/>
    <w:rsid w:val="00752F4B"/>
    <w:rsid w:val="00761F8B"/>
    <w:rsid w:val="00762BBF"/>
    <w:rsid w:val="00763547"/>
    <w:rsid w:val="00763870"/>
    <w:rsid w:val="00764102"/>
    <w:rsid w:val="0076420C"/>
    <w:rsid w:val="00764361"/>
    <w:rsid w:val="007668C2"/>
    <w:rsid w:val="0077041B"/>
    <w:rsid w:val="00772408"/>
    <w:rsid w:val="0077265A"/>
    <w:rsid w:val="0077301E"/>
    <w:rsid w:val="0077431A"/>
    <w:rsid w:val="007746DC"/>
    <w:rsid w:val="00774EA9"/>
    <w:rsid w:val="00777528"/>
    <w:rsid w:val="00777798"/>
    <w:rsid w:val="00777ACF"/>
    <w:rsid w:val="007804A0"/>
    <w:rsid w:val="0078154A"/>
    <w:rsid w:val="00781E8B"/>
    <w:rsid w:val="00783717"/>
    <w:rsid w:val="00784246"/>
    <w:rsid w:val="00787349"/>
    <w:rsid w:val="007900F2"/>
    <w:rsid w:val="0079120A"/>
    <w:rsid w:val="00791211"/>
    <w:rsid w:val="00791376"/>
    <w:rsid w:val="00793199"/>
    <w:rsid w:val="00794224"/>
    <w:rsid w:val="00796B1D"/>
    <w:rsid w:val="007971BE"/>
    <w:rsid w:val="007A50D3"/>
    <w:rsid w:val="007A5DD3"/>
    <w:rsid w:val="007A7AAB"/>
    <w:rsid w:val="007A7DF0"/>
    <w:rsid w:val="007B235E"/>
    <w:rsid w:val="007B243B"/>
    <w:rsid w:val="007B314A"/>
    <w:rsid w:val="007B3CC9"/>
    <w:rsid w:val="007B3F87"/>
    <w:rsid w:val="007B5BAB"/>
    <w:rsid w:val="007C16E5"/>
    <w:rsid w:val="007C2815"/>
    <w:rsid w:val="007C2DD3"/>
    <w:rsid w:val="007C3C42"/>
    <w:rsid w:val="007C5894"/>
    <w:rsid w:val="007C6341"/>
    <w:rsid w:val="007C6C8A"/>
    <w:rsid w:val="007C795F"/>
    <w:rsid w:val="007D05C8"/>
    <w:rsid w:val="007D2ED3"/>
    <w:rsid w:val="007D3F58"/>
    <w:rsid w:val="007D545A"/>
    <w:rsid w:val="007D7DB4"/>
    <w:rsid w:val="007E18AE"/>
    <w:rsid w:val="007E1C46"/>
    <w:rsid w:val="007E4256"/>
    <w:rsid w:val="007E47D3"/>
    <w:rsid w:val="007E77CF"/>
    <w:rsid w:val="007E7A4E"/>
    <w:rsid w:val="007F0365"/>
    <w:rsid w:val="007F2BA5"/>
    <w:rsid w:val="007F36D3"/>
    <w:rsid w:val="007F5E9A"/>
    <w:rsid w:val="007F6063"/>
    <w:rsid w:val="007F7AA4"/>
    <w:rsid w:val="008008AA"/>
    <w:rsid w:val="00803029"/>
    <w:rsid w:val="00803E15"/>
    <w:rsid w:val="0080408D"/>
    <w:rsid w:val="0080478D"/>
    <w:rsid w:val="00804FCD"/>
    <w:rsid w:val="008055E1"/>
    <w:rsid w:val="00805AD3"/>
    <w:rsid w:val="00806195"/>
    <w:rsid w:val="0080669E"/>
    <w:rsid w:val="0080736B"/>
    <w:rsid w:val="00807BAD"/>
    <w:rsid w:val="00812FE0"/>
    <w:rsid w:val="0081533B"/>
    <w:rsid w:val="0081551E"/>
    <w:rsid w:val="00816B4C"/>
    <w:rsid w:val="008200ED"/>
    <w:rsid w:val="008213B2"/>
    <w:rsid w:val="008253F2"/>
    <w:rsid w:val="008258E8"/>
    <w:rsid w:val="00825D3E"/>
    <w:rsid w:val="008267FC"/>
    <w:rsid w:val="00826E92"/>
    <w:rsid w:val="00830D80"/>
    <w:rsid w:val="00831AC0"/>
    <w:rsid w:val="00831C8C"/>
    <w:rsid w:val="0083275C"/>
    <w:rsid w:val="00833081"/>
    <w:rsid w:val="00833949"/>
    <w:rsid w:val="00833DDE"/>
    <w:rsid w:val="00833F61"/>
    <w:rsid w:val="00835AFC"/>
    <w:rsid w:val="00840C0C"/>
    <w:rsid w:val="00841D92"/>
    <w:rsid w:val="00842176"/>
    <w:rsid w:val="00842460"/>
    <w:rsid w:val="008445BD"/>
    <w:rsid w:val="00845154"/>
    <w:rsid w:val="00845D34"/>
    <w:rsid w:val="00846985"/>
    <w:rsid w:val="00847DAF"/>
    <w:rsid w:val="00850701"/>
    <w:rsid w:val="00851970"/>
    <w:rsid w:val="00853FCF"/>
    <w:rsid w:val="008604AC"/>
    <w:rsid w:val="00860A6B"/>
    <w:rsid w:val="00863987"/>
    <w:rsid w:val="00864DD3"/>
    <w:rsid w:val="00864FF0"/>
    <w:rsid w:val="00872B5C"/>
    <w:rsid w:val="00872F35"/>
    <w:rsid w:val="00873303"/>
    <w:rsid w:val="00873B6E"/>
    <w:rsid w:val="00874191"/>
    <w:rsid w:val="00874988"/>
    <w:rsid w:val="00876362"/>
    <w:rsid w:val="0087650F"/>
    <w:rsid w:val="00876B2B"/>
    <w:rsid w:val="0087776A"/>
    <w:rsid w:val="00877EAA"/>
    <w:rsid w:val="008803FC"/>
    <w:rsid w:val="00880C0B"/>
    <w:rsid w:val="00881565"/>
    <w:rsid w:val="00884465"/>
    <w:rsid w:val="00884D77"/>
    <w:rsid w:val="00885647"/>
    <w:rsid w:val="00886249"/>
    <w:rsid w:val="0088752D"/>
    <w:rsid w:val="00887F04"/>
    <w:rsid w:val="00890B17"/>
    <w:rsid w:val="00891290"/>
    <w:rsid w:val="00891410"/>
    <w:rsid w:val="0089264A"/>
    <w:rsid w:val="00896B6A"/>
    <w:rsid w:val="00897F5B"/>
    <w:rsid w:val="008A36A3"/>
    <w:rsid w:val="008A4634"/>
    <w:rsid w:val="008A6E2D"/>
    <w:rsid w:val="008B0E56"/>
    <w:rsid w:val="008B0E7E"/>
    <w:rsid w:val="008B1157"/>
    <w:rsid w:val="008B3D1C"/>
    <w:rsid w:val="008B4FD3"/>
    <w:rsid w:val="008B73B2"/>
    <w:rsid w:val="008B740B"/>
    <w:rsid w:val="008C0BBF"/>
    <w:rsid w:val="008C20C6"/>
    <w:rsid w:val="008C28DF"/>
    <w:rsid w:val="008C45EF"/>
    <w:rsid w:val="008C7223"/>
    <w:rsid w:val="008C73BA"/>
    <w:rsid w:val="008C7F64"/>
    <w:rsid w:val="008D2B5B"/>
    <w:rsid w:val="008D421C"/>
    <w:rsid w:val="008D7347"/>
    <w:rsid w:val="008D73C7"/>
    <w:rsid w:val="008D7686"/>
    <w:rsid w:val="008E1433"/>
    <w:rsid w:val="008E2179"/>
    <w:rsid w:val="008E292A"/>
    <w:rsid w:val="008E2B5A"/>
    <w:rsid w:val="008E3926"/>
    <w:rsid w:val="008E4794"/>
    <w:rsid w:val="008E7852"/>
    <w:rsid w:val="008E78F8"/>
    <w:rsid w:val="008F0B91"/>
    <w:rsid w:val="008F1D2E"/>
    <w:rsid w:val="008F1EC9"/>
    <w:rsid w:val="008F4EE9"/>
    <w:rsid w:val="008F5B28"/>
    <w:rsid w:val="008F6396"/>
    <w:rsid w:val="008F7767"/>
    <w:rsid w:val="008F7BB2"/>
    <w:rsid w:val="009006CE"/>
    <w:rsid w:val="00904F8C"/>
    <w:rsid w:val="009057B4"/>
    <w:rsid w:val="0090646F"/>
    <w:rsid w:val="00910710"/>
    <w:rsid w:val="009108CA"/>
    <w:rsid w:val="009121F5"/>
    <w:rsid w:val="009124AA"/>
    <w:rsid w:val="00917578"/>
    <w:rsid w:val="00917995"/>
    <w:rsid w:val="00917C0C"/>
    <w:rsid w:val="009208E6"/>
    <w:rsid w:val="0092105D"/>
    <w:rsid w:val="009230DB"/>
    <w:rsid w:val="00923C09"/>
    <w:rsid w:val="00923C0F"/>
    <w:rsid w:val="00923C47"/>
    <w:rsid w:val="009245F9"/>
    <w:rsid w:val="00925908"/>
    <w:rsid w:val="00926356"/>
    <w:rsid w:val="00926DAF"/>
    <w:rsid w:val="00927F40"/>
    <w:rsid w:val="00930F91"/>
    <w:rsid w:val="0093107C"/>
    <w:rsid w:val="00931275"/>
    <w:rsid w:val="0093181E"/>
    <w:rsid w:val="00934A76"/>
    <w:rsid w:val="00934FF9"/>
    <w:rsid w:val="00936763"/>
    <w:rsid w:val="00936AA9"/>
    <w:rsid w:val="009406CE"/>
    <w:rsid w:val="009407F5"/>
    <w:rsid w:val="00943EDF"/>
    <w:rsid w:val="00944BA2"/>
    <w:rsid w:val="00950AF4"/>
    <w:rsid w:val="00951992"/>
    <w:rsid w:val="0095255D"/>
    <w:rsid w:val="00952EE1"/>
    <w:rsid w:val="00954325"/>
    <w:rsid w:val="00955E22"/>
    <w:rsid w:val="00957414"/>
    <w:rsid w:val="00957692"/>
    <w:rsid w:val="00957DD8"/>
    <w:rsid w:val="0096014C"/>
    <w:rsid w:val="009609B3"/>
    <w:rsid w:val="00961E96"/>
    <w:rsid w:val="00962BB3"/>
    <w:rsid w:val="00964764"/>
    <w:rsid w:val="00966E0A"/>
    <w:rsid w:val="00970562"/>
    <w:rsid w:val="0097247B"/>
    <w:rsid w:val="009739B0"/>
    <w:rsid w:val="0097477F"/>
    <w:rsid w:val="00974BB8"/>
    <w:rsid w:val="00975CBE"/>
    <w:rsid w:val="00976840"/>
    <w:rsid w:val="009778CE"/>
    <w:rsid w:val="00982582"/>
    <w:rsid w:val="00982AE1"/>
    <w:rsid w:val="00983FF2"/>
    <w:rsid w:val="0098479F"/>
    <w:rsid w:val="00986316"/>
    <w:rsid w:val="009872D6"/>
    <w:rsid w:val="009904BD"/>
    <w:rsid w:val="00991A4A"/>
    <w:rsid w:val="00993A7F"/>
    <w:rsid w:val="00993CAB"/>
    <w:rsid w:val="009A02B8"/>
    <w:rsid w:val="009A0452"/>
    <w:rsid w:val="009A0B3E"/>
    <w:rsid w:val="009A17EF"/>
    <w:rsid w:val="009A53E9"/>
    <w:rsid w:val="009A6BE5"/>
    <w:rsid w:val="009B0980"/>
    <w:rsid w:val="009B185A"/>
    <w:rsid w:val="009B19E1"/>
    <w:rsid w:val="009B3212"/>
    <w:rsid w:val="009B4AC9"/>
    <w:rsid w:val="009B6E75"/>
    <w:rsid w:val="009B7817"/>
    <w:rsid w:val="009B7B6A"/>
    <w:rsid w:val="009C2A91"/>
    <w:rsid w:val="009C30C0"/>
    <w:rsid w:val="009C3566"/>
    <w:rsid w:val="009C3A87"/>
    <w:rsid w:val="009C46BA"/>
    <w:rsid w:val="009C49F8"/>
    <w:rsid w:val="009C7E65"/>
    <w:rsid w:val="009D151A"/>
    <w:rsid w:val="009D19BD"/>
    <w:rsid w:val="009D2367"/>
    <w:rsid w:val="009D405B"/>
    <w:rsid w:val="009D6648"/>
    <w:rsid w:val="009D7532"/>
    <w:rsid w:val="009E08FD"/>
    <w:rsid w:val="009E11DE"/>
    <w:rsid w:val="009E4146"/>
    <w:rsid w:val="009E442D"/>
    <w:rsid w:val="009E4554"/>
    <w:rsid w:val="009E4F20"/>
    <w:rsid w:val="009E609D"/>
    <w:rsid w:val="009E6C35"/>
    <w:rsid w:val="009E754B"/>
    <w:rsid w:val="009F0221"/>
    <w:rsid w:val="009F2C3C"/>
    <w:rsid w:val="009F3084"/>
    <w:rsid w:val="009F3F9B"/>
    <w:rsid w:val="009F591C"/>
    <w:rsid w:val="00A00179"/>
    <w:rsid w:val="00A004CC"/>
    <w:rsid w:val="00A0084F"/>
    <w:rsid w:val="00A03DFA"/>
    <w:rsid w:val="00A05672"/>
    <w:rsid w:val="00A0626A"/>
    <w:rsid w:val="00A07BCC"/>
    <w:rsid w:val="00A10F99"/>
    <w:rsid w:val="00A12A97"/>
    <w:rsid w:val="00A13848"/>
    <w:rsid w:val="00A141CA"/>
    <w:rsid w:val="00A14E10"/>
    <w:rsid w:val="00A15FA8"/>
    <w:rsid w:val="00A17202"/>
    <w:rsid w:val="00A20644"/>
    <w:rsid w:val="00A207F2"/>
    <w:rsid w:val="00A21809"/>
    <w:rsid w:val="00A23EF9"/>
    <w:rsid w:val="00A24295"/>
    <w:rsid w:val="00A24C47"/>
    <w:rsid w:val="00A27654"/>
    <w:rsid w:val="00A27B4C"/>
    <w:rsid w:val="00A304CD"/>
    <w:rsid w:val="00A309EB"/>
    <w:rsid w:val="00A31411"/>
    <w:rsid w:val="00A32CFD"/>
    <w:rsid w:val="00A3384C"/>
    <w:rsid w:val="00A338B3"/>
    <w:rsid w:val="00A33904"/>
    <w:rsid w:val="00A36CF5"/>
    <w:rsid w:val="00A415DD"/>
    <w:rsid w:val="00A422A7"/>
    <w:rsid w:val="00A43EA8"/>
    <w:rsid w:val="00A44D62"/>
    <w:rsid w:val="00A5156C"/>
    <w:rsid w:val="00A552C2"/>
    <w:rsid w:val="00A568D1"/>
    <w:rsid w:val="00A64C45"/>
    <w:rsid w:val="00A67079"/>
    <w:rsid w:val="00A673A4"/>
    <w:rsid w:val="00A70DFA"/>
    <w:rsid w:val="00A7125B"/>
    <w:rsid w:val="00A71CE9"/>
    <w:rsid w:val="00A72C3A"/>
    <w:rsid w:val="00A73089"/>
    <w:rsid w:val="00A7364B"/>
    <w:rsid w:val="00A74376"/>
    <w:rsid w:val="00A7483D"/>
    <w:rsid w:val="00A7651F"/>
    <w:rsid w:val="00A76860"/>
    <w:rsid w:val="00A77A07"/>
    <w:rsid w:val="00A8047F"/>
    <w:rsid w:val="00A818E1"/>
    <w:rsid w:val="00A82448"/>
    <w:rsid w:val="00A82558"/>
    <w:rsid w:val="00A82982"/>
    <w:rsid w:val="00A84C0F"/>
    <w:rsid w:val="00A84E83"/>
    <w:rsid w:val="00A86B0F"/>
    <w:rsid w:val="00A8753A"/>
    <w:rsid w:val="00A879C1"/>
    <w:rsid w:val="00A90DC6"/>
    <w:rsid w:val="00A91094"/>
    <w:rsid w:val="00A96083"/>
    <w:rsid w:val="00A96E09"/>
    <w:rsid w:val="00AA3B54"/>
    <w:rsid w:val="00AA3F95"/>
    <w:rsid w:val="00AA68A3"/>
    <w:rsid w:val="00AA6912"/>
    <w:rsid w:val="00AB0469"/>
    <w:rsid w:val="00AB095D"/>
    <w:rsid w:val="00AB1B1E"/>
    <w:rsid w:val="00AB45E0"/>
    <w:rsid w:val="00AB5858"/>
    <w:rsid w:val="00AB5F23"/>
    <w:rsid w:val="00AB65DD"/>
    <w:rsid w:val="00AC0416"/>
    <w:rsid w:val="00AC29DF"/>
    <w:rsid w:val="00AC38B8"/>
    <w:rsid w:val="00AC6E48"/>
    <w:rsid w:val="00AD021C"/>
    <w:rsid w:val="00AD06A6"/>
    <w:rsid w:val="00AD0BD5"/>
    <w:rsid w:val="00AD10DB"/>
    <w:rsid w:val="00AD1D37"/>
    <w:rsid w:val="00AD21FC"/>
    <w:rsid w:val="00AD253D"/>
    <w:rsid w:val="00AD383D"/>
    <w:rsid w:val="00AD5870"/>
    <w:rsid w:val="00AD675E"/>
    <w:rsid w:val="00AD6D89"/>
    <w:rsid w:val="00AD7584"/>
    <w:rsid w:val="00AD764E"/>
    <w:rsid w:val="00AE05B9"/>
    <w:rsid w:val="00AE1291"/>
    <w:rsid w:val="00AE1BE4"/>
    <w:rsid w:val="00AE1D13"/>
    <w:rsid w:val="00AE286D"/>
    <w:rsid w:val="00AE2B23"/>
    <w:rsid w:val="00AE2B54"/>
    <w:rsid w:val="00AE2CB4"/>
    <w:rsid w:val="00AE3D3E"/>
    <w:rsid w:val="00AE4413"/>
    <w:rsid w:val="00AE5C20"/>
    <w:rsid w:val="00AE5F71"/>
    <w:rsid w:val="00AF2371"/>
    <w:rsid w:val="00AF457E"/>
    <w:rsid w:val="00AF56D5"/>
    <w:rsid w:val="00AF6FDD"/>
    <w:rsid w:val="00B03AD3"/>
    <w:rsid w:val="00B05919"/>
    <w:rsid w:val="00B100D6"/>
    <w:rsid w:val="00B10CF8"/>
    <w:rsid w:val="00B10F20"/>
    <w:rsid w:val="00B1122A"/>
    <w:rsid w:val="00B117E0"/>
    <w:rsid w:val="00B11AE4"/>
    <w:rsid w:val="00B2160E"/>
    <w:rsid w:val="00B2526A"/>
    <w:rsid w:val="00B2651A"/>
    <w:rsid w:val="00B30487"/>
    <w:rsid w:val="00B30525"/>
    <w:rsid w:val="00B30EFA"/>
    <w:rsid w:val="00B33439"/>
    <w:rsid w:val="00B33F69"/>
    <w:rsid w:val="00B36854"/>
    <w:rsid w:val="00B40211"/>
    <w:rsid w:val="00B404CE"/>
    <w:rsid w:val="00B41CF9"/>
    <w:rsid w:val="00B42C3A"/>
    <w:rsid w:val="00B4508D"/>
    <w:rsid w:val="00B50873"/>
    <w:rsid w:val="00B50F59"/>
    <w:rsid w:val="00B51D4C"/>
    <w:rsid w:val="00B5309E"/>
    <w:rsid w:val="00B55552"/>
    <w:rsid w:val="00B564F9"/>
    <w:rsid w:val="00B570A1"/>
    <w:rsid w:val="00B57413"/>
    <w:rsid w:val="00B5781C"/>
    <w:rsid w:val="00B57F6D"/>
    <w:rsid w:val="00B601D6"/>
    <w:rsid w:val="00B60597"/>
    <w:rsid w:val="00B62279"/>
    <w:rsid w:val="00B64DB2"/>
    <w:rsid w:val="00B65DC6"/>
    <w:rsid w:val="00B672EF"/>
    <w:rsid w:val="00B70789"/>
    <w:rsid w:val="00B74FE5"/>
    <w:rsid w:val="00B759EA"/>
    <w:rsid w:val="00B8061A"/>
    <w:rsid w:val="00B80E72"/>
    <w:rsid w:val="00B811C0"/>
    <w:rsid w:val="00B824A4"/>
    <w:rsid w:val="00B82679"/>
    <w:rsid w:val="00B84D31"/>
    <w:rsid w:val="00B85F4A"/>
    <w:rsid w:val="00B86168"/>
    <w:rsid w:val="00B8624A"/>
    <w:rsid w:val="00B86C96"/>
    <w:rsid w:val="00B906E9"/>
    <w:rsid w:val="00B965DF"/>
    <w:rsid w:val="00BA1317"/>
    <w:rsid w:val="00BA200D"/>
    <w:rsid w:val="00BA25AD"/>
    <w:rsid w:val="00BA3F4C"/>
    <w:rsid w:val="00BA556B"/>
    <w:rsid w:val="00BA55D6"/>
    <w:rsid w:val="00BA56CE"/>
    <w:rsid w:val="00BA5A6D"/>
    <w:rsid w:val="00BA5C46"/>
    <w:rsid w:val="00BA6653"/>
    <w:rsid w:val="00BA7219"/>
    <w:rsid w:val="00BB03D9"/>
    <w:rsid w:val="00BB09AB"/>
    <w:rsid w:val="00BB1D22"/>
    <w:rsid w:val="00BB2CCD"/>
    <w:rsid w:val="00BB3AE8"/>
    <w:rsid w:val="00BB3B50"/>
    <w:rsid w:val="00BB4489"/>
    <w:rsid w:val="00BB563A"/>
    <w:rsid w:val="00BB5DCD"/>
    <w:rsid w:val="00BB706E"/>
    <w:rsid w:val="00BC184D"/>
    <w:rsid w:val="00BC22D0"/>
    <w:rsid w:val="00BC60FE"/>
    <w:rsid w:val="00BC7226"/>
    <w:rsid w:val="00BC7287"/>
    <w:rsid w:val="00BC75A2"/>
    <w:rsid w:val="00BC76F0"/>
    <w:rsid w:val="00BD005A"/>
    <w:rsid w:val="00BD043B"/>
    <w:rsid w:val="00BD3438"/>
    <w:rsid w:val="00BD4B6C"/>
    <w:rsid w:val="00BD5FAA"/>
    <w:rsid w:val="00BD6C0F"/>
    <w:rsid w:val="00BD70A7"/>
    <w:rsid w:val="00BD72BE"/>
    <w:rsid w:val="00BD77BE"/>
    <w:rsid w:val="00BD7B80"/>
    <w:rsid w:val="00BE7A05"/>
    <w:rsid w:val="00BF0705"/>
    <w:rsid w:val="00BF1236"/>
    <w:rsid w:val="00BF25A6"/>
    <w:rsid w:val="00BF2C96"/>
    <w:rsid w:val="00BF6CAE"/>
    <w:rsid w:val="00C00EF9"/>
    <w:rsid w:val="00C00FFC"/>
    <w:rsid w:val="00C018A9"/>
    <w:rsid w:val="00C01C97"/>
    <w:rsid w:val="00C01CBD"/>
    <w:rsid w:val="00C0245B"/>
    <w:rsid w:val="00C02DC5"/>
    <w:rsid w:val="00C03527"/>
    <w:rsid w:val="00C03DF2"/>
    <w:rsid w:val="00C043A7"/>
    <w:rsid w:val="00C04841"/>
    <w:rsid w:val="00C04BBB"/>
    <w:rsid w:val="00C0566C"/>
    <w:rsid w:val="00C0572D"/>
    <w:rsid w:val="00C07D3A"/>
    <w:rsid w:val="00C108ED"/>
    <w:rsid w:val="00C13420"/>
    <w:rsid w:val="00C1425A"/>
    <w:rsid w:val="00C142B7"/>
    <w:rsid w:val="00C159C0"/>
    <w:rsid w:val="00C20555"/>
    <w:rsid w:val="00C2116D"/>
    <w:rsid w:val="00C22AD3"/>
    <w:rsid w:val="00C2336E"/>
    <w:rsid w:val="00C23390"/>
    <w:rsid w:val="00C241FC"/>
    <w:rsid w:val="00C270BC"/>
    <w:rsid w:val="00C27B94"/>
    <w:rsid w:val="00C313DE"/>
    <w:rsid w:val="00C314AB"/>
    <w:rsid w:val="00C315CE"/>
    <w:rsid w:val="00C31A87"/>
    <w:rsid w:val="00C33FE7"/>
    <w:rsid w:val="00C406C1"/>
    <w:rsid w:val="00C41076"/>
    <w:rsid w:val="00C41592"/>
    <w:rsid w:val="00C42055"/>
    <w:rsid w:val="00C438ED"/>
    <w:rsid w:val="00C53FF3"/>
    <w:rsid w:val="00C605C7"/>
    <w:rsid w:val="00C63056"/>
    <w:rsid w:val="00C634F1"/>
    <w:rsid w:val="00C65B9A"/>
    <w:rsid w:val="00C66990"/>
    <w:rsid w:val="00C66F57"/>
    <w:rsid w:val="00C67037"/>
    <w:rsid w:val="00C67686"/>
    <w:rsid w:val="00C70ECF"/>
    <w:rsid w:val="00C722C4"/>
    <w:rsid w:val="00C73A1F"/>
    <w:rsid w:val="00C73D9D"/>
    <w:rsid w:val="00C73E13"/>
    <w:rsid w:val="00C743BC"/>
    <w:rsid w:val="00C773DC"/>
    <w:rsid w:val="00C77571"/>
    <w:rsid w:val="00C777E3"/>
    <w:rsid w:val="00C77D6A"/>
    <w:rsid w:val="00C8060E"/>
    <w:rsid w:val="00C82D00"/>
    <w:rsid w:val="00C82FCE"/>
    <w:rsid w:val="00C82FEA"/>
    <w:rsid w:val="00C83639"/>
    <w:rsid w:val="00C83F63"/>
    <w:rsid w:val="00C85257"/>
    <w:rsid w:val="00C85894"/>
    <w:rsid w:val="00C868F2"/>
    <w:rsid w:val="00C90306"/>
    <w:rsid w:val="00C91F63"/>
    <w:rsid w:val="00C92F1D"/>
    <w:rsid w:val="00C94212"/>
    <w:rsid w:val="00C9570C"/>
    <w:rsid w:val="00C95D7F"/>
    <w:rsid w:val="00C95FE7"/>
    <w:rsid w:val="00C96BDD"/>
    <w:rsid w:val="00C97C61"/>
    <w:rsid w:val="00C97CEF"/>
    <w:rsid w:val="00CA0A80"/>
    <w:rsid w:val="00CA2124"/>
    <w:rsid w:val="00CA4725"/>
    <w:rsid w:val="00CA4A92"/>
    <w:rsid w:val="00CA50EB"/>
    <w:rsid w:val="00CA59EA"/>
    <w:rsid w:val="00CA6B2B"/>
    <w:rsid w:val="00CA766D"/>
    <w:rsid w:val="00CA7ADA"/>
    <w:rsid w:val="00CB2B75"/>
    <w:rsid w:val="00CB3D8B"/>
    <w:rsid w:val="00CB53D3"/>
    <w:rsid w:val="00CB716D"/>
    <w:rsid w:val="00CB7ADA"/>
    <w:rsid w:val="00CC0077"/>
    <w:rsid w:val="00CC0BAF"/>
    <w:rsid w:val="00CC2B47"/>
    <w:rsid w:val="00CC3518"/>
    <w:rsid w:val="00CC38CC"/>
    <w:rsid w:val="00CC3B06"/>
    <w:rsid w:val="00CC3EC2"/>
    <w:rsid w:val="00CC4048"/>
    <w:rsid w:val="00CC66FF"/>
    <w:rsid w:val="00CD0F6A"/>
    <w:rsid w:val="00CD1F64"/>
    <w:rsid w:val="00CD354D"/>
    <w:rsid w:val="00CD63CC"/>
    <w:rsid w:val="00CD6D70"/>
    <w:rsid w:val="00CD7A1A"/>
    <w:rsid w:val="00CE1EC3"/>
    <w:rsid w:val="00CE41A5"/>
    <w:rsid w:val="00CE4624"/>
    <w:rsid w:val="00CF108E"/>
    <w:rsid w:val="00CF3AFB"/>
    <w:rsid w:val="00CF43C0"/>
    <w:rsid w:val="00CF474C"/>
    <w:rsid w:val="00CF51FB"/>
    <w:rsid w:val="00CF6676"/>
    <w:rsid w:val="00CF7FA5"/>
    <w:rsid w:val="00D00435"/>
    <w:rsid w:val="00D0111A"/>
    <w:rsid w:val="00D01D82"/>
    <w:rsid w:val="00D05E1C"/>
    <w:rsid w:val="00D06754"/>
    <w:rsid w:val="00D10746"/>
    <w:rsid w:val="00D10C00"/>
    <w:rsid w:val="00D10CEE"/>
    <w:rsid w:val="00D119A2"/>
    <w:rsid w:val="00D153E6"/>
    <w:rsid w:val="00D171CA"/>
    <w:rsid w:val="00D17966"/>
    <w:rsid w:val="00D22FF9"/>
    <w:rsid w:val="00D23474"/>
    <w:rsid w:val="00D238C0"/>
    <w:rsid w:val="00D23A43"/>
    <w:rsid w:val="00D2465B"/>
    <w:rsid w:val="00D254D8"/>
    <w:rsid w:val="00D264AD"/>
    <w:rsid w:val="00D301D6"/>
    <w:rsid w:val="00D326A0"/>
    <w:rsid w:val="00D32C3D"/>
    <w:rsid w:val="00D32E77"/>
    <w:rsid w:val="00D33013"/>
    <w:rsid w:val="00D3336B"/>
    <w:rsid w:val="00D40848"/>
    <w:rsid w:val="00D411B7"/>
    <w:rsid w:val="00D4211B"/>
    <w:rsid w:val="00D431C2"/>
    <w:rsid w:val="00D4381E"/>
    <w:rsid w:val="00D43B83"/>
    <w:rsid w:val="00D44167"/>
    <w:rsid w:val="00D45737"/>
    <w:rsid w:val="00D46579"/>
    <w:rsid w:val="00D51027"/>
    <w:rsid w:val="00D53059"/>
    <w:rsid w:val="00D541A3"/>
    <w:rsid w:val="00D5515C"/>
    <w:rsid w:val="00D55BD4"/>
    <w:rsid w:val="00D56119"/>
    <w:rsid w:val="00D571CC"/>
    <w:rsid w:val="00D57271"/>
    <w:rsid w:val="00D57D7A"/>
    <w:rsid w:val="00D618D9"/>
    <w:rsid w:val="00D64A06"/>
    <w:rsid w:val="00D66430"/>
    <w:rsid w:val="00D673D0"/>
    <w:rsid w:val="00D678DD"/>
    <w:rsid w:val="00D7223C"/>
    <w:rsid w:val="00D727DC"/>
    <w:rsid w:val="00D73537"/>
    <w:rsid w:val="00D758B1"/>
    <w:rsid w:val="00D7691D"/>
    <w:rsid w:val="00D8072E"/>
    <w:rsid w:val="00D813CF"/>
    <w:rsid w:val="00D81838"/>
    <w:rsid w:val="00D843FE"/>
    <w:rsid w:val="00D85DBE"/>
    <w:rsid w:val="00D87C37"/>
    <w:rsid w:val="00D903C5"/>
    <w:rsid w:val="00D9165C"/>
    <w:rsid w:val="00D92317"/>
    <w:rsid w:val="00D9348F"/>
    <w:rsid w:val="00D93715"/>
    <w:rsid w:val="00DA034F"/>
    <w:rsid w:val="00DA07CE"/>
    <w:rsid w:val="00DA1C3D"/>
    <w:rsid w:val="00DA1FB3"/>
    <w:rsid w:val="00DA3CE6"/>
    <w:rsid w:val="00DA53E2"/>
    <w:rsid w:val="00DA5630"/>
    <w:rsid w:val="00DA63E2"/>
    <w:rsid w:val="00DA7551"/>
    <w:rsid w:val="00DA77F2"/>
    <w:rsid w:val="00DB0A89"/>
    <w:rsid w:val="00DB1FA4"/>
    <w:rsid w:val="00DB2B39"/>
    <w:rsid w:val="00DB52F5"/>
    <w:rsid w:val="00DB53FE"/>
    <w:rsid w:val="00DC0646"/>
    <w:rsid w:val="00DC1BDF"/>
    <w:rsid w:val="00DC585F"/>
    <w:rsid w:val="00DC6A6F"/>
    <w:rsid w:val="00DC7524"/>
    <w:rsid w:val="00DC758A"/>
    <w:rsid w:val="00DC7DDF"/>
    <w:rsid w:val="00DD1753"/>
    <w:rsid w:val="00DD1C8B"/>
    <w:rsid w:val="00DD2D27"/>
    <w:rsid w:val="00DD2E8D"/>
    <w:rsid w:val="00DD3006"/>
    <w:rsid w:val="00DD5E31"/>
    <w:rsid w:val="00DD77D7"/>
    <w:rsid w:val="00DE1A16"/>
    <w:rsid w:val="00DE20DA"/>
    <w:rsid w:val="00DE23E9"/>
    <w:rsid w:val="00DE5B5A"/>
    <w:rsid w:val="00DE708C"/>
    <w:rsid w:val="00DF02CF"/>
    <w:rsid w:val="00DF08AB"/>
    <w:rsid w:val="00DF0CE3"/>
    <w:rsid w:val="00DF133F"/>
    <w:rsid w:val="00DF2A39"/>
    <w:rsid w:val="00DF53F0"/>
    <w:rsid w:val="00DF6247"/>
    <w:rsid w:val="00DF67D9"/>
    <w:rsid w:val="00E014EE"/>
    <w:rsid w:val="00E01CB5"/>
    <w:rsid w:val="00E04ADE"/>
    <w:rsid w:val="00E06114"/>
    <w:rsid w:val="00E11BC0"/>
    <w:rsid w:val="00E1306D"/>
    <w:rsid w:val="00E1391D"/>
    <w:rsid w:val="00E16B2A"/>
    <w:rsid w:val="00E210F6"/>
    <w:rsid w:val="00E2208A"/>
    <w:rsid w:val="00E23948"/>
    <w:rsid w:val="00E2461D"/>
    <w:rsid w:val="00E25F25"/>
    <w:rsid w:val="00E272F3"/>
    <w:rsid w:val="00E31648"/>
    <w:rsid w:val="00E32EDE"/>
    <w:rsid w:val="00E346B0"/>
    <w:rsid w:val="00E37F69"/>
    <w:rsid w:val="00E420B6"/>
    <w:rsid w:val="00E438B1"/>
    <w:rsid w:val="00E4559D"/>
    <w:rsid w:val="00E46C5F"/>
    <w:rsid w:val="00E5102A"/>
    <w:rsid w:val="00E5378A"/>
    <w:rsid w:val="00E54CEB"/>
    <w:rsid w:val="00E54EAF"/>
    <w:rsid w:val="00E55399"/>
    <w:rsid w:val="00E60C09"/>
    <w:rsid w:val="00E60C78"/>
    <w:rsid w:val="00E610B5"/>
    <w:rsid w:val="00E61304"/>
    <w:rsid w:val="00E62715"/>
    <w:rsid w:val="00E649F7"/>
    <w:rsid w:val="00E70A8C"/>
    <w:rsid w:val="00E72BA9"/>
    <w:rsid w:val="00E7320A"/>
    <w:rsid w:val="00E74B62"/>
    <w:rsid w:val="00E74FF1"/>
    <w:rsid w:val="00E75A3B"/>
    <w:rsid w:val="00E75EF5"/>
    <w:rsid w:val="00E80ED0"/>
    <w:rsid w:val="00E80FCE"/>
    <w:rsid w:val="00E81B2F"/>
    <w:rsid w:val="00E81E0A"/>
    <w:rsid w:val="00E8320B"/>
    <w:rsid w:val="00E8363A"/>
    <w:rsid w:val="00E84264"/>
    <w:rsid w:val="00E84A4D"/>
    <w:rsid w:val="00E84A78"/>
    <w:rsid w:val="00E86BAC"/>
    <w:rsid w:val="00E86C98"/>
    <w:rsid w:val="00E91364"/>
    <w:rsid w:val="00E92103"/>
    <w:rsid w:val="00E92B98"/>
    <w:rsid w:val="00E92D86"/>
    <w:rsid w:val="00E9387A"/>
    <w:rsid w:val="00E95AA9"/>
    <w:rsid w:val="00E96E62"/>
    <w:rsid w:val="00EA040A"/>
    <w:rsid w:val="00EA044B"/>
    <w:rsid w:val="00EA30CF"/>
    <w:rsid w:val="00EA3A5C"/>
    <w:rsid w:val="00EA3F34"/>
    <w:rsid w:val="00EA4478"/>
    <w:rsid w:val="00EA4B3F"/>
    <w:rsid w:val="00EA4F6E"/>
    <w:rsid w:val="00EA583D"/>
    <w:rsid w:val="00EA58ED"/>
    <w:rsid w:val="00EA7BDE"/>
    <w:rsid w:val="00EA7EA5"/>
    <w:rsid w:val="00EB09C6"/>
    <w:rsid w:val="00EB23CA"/>
    <w:rsid w:val="00EB4B90"/>
    <w:rsid w:val="00EB4DE3"/>
    <w:rsid w:val="00EB5577"/>
    <w:rsid w:val="00EB64CF"/>
    <w:rsid w:val="00EB7062"/>
    <w:rsid w:val="00EB7097"/>
    <w:rsid w:val="00EC1136"/>
    <w:rsid w:val="00EC1819"/>
    <w:rsid w:val="00EC417A"/>
    <w:rsid w:val="00EC5CD3"/>
    <w:rsid w:val="00ED18F1"/>
    <w:rsid w:val="00ED1AF0"/>
    <w:rsid w:val="00ED316B"/>
    <w:rsid w:val="00ED4D2D"/>
    <w:rsid w:val="00ED55A6"/>
    <w:rsid w:val="00ED7737"/>
    <w:rsid w:val="00EE107C"/>
    <w:rsid w:val="00EE1509"/>
    <w:rsid w:val="00EE4941"/>
    <w:rsid w:val="00EE6CEC"/>
    <w:rsid w:val="00EE6EC7"/>
    <w:rsid w:val="00EE6FED"/>
    <w:rsid w:val="00EE7957"/>
    <w:rsid w:val="00EF305B"/>
    <w:rsid w:val="00EF3BB2"/>
    <w:rsid w:val="00EF5F93"/>
    <w:rsid w:val="00F01215"/>
    <w:rsid w:val="00F01DF1"/>
    <w:rsid w:val="00F05337"/>
    <w:rsid w:val="00F053EC"/>
    <w:rsid w:val="00F061A1"/>
    <w:rsid w:val="00F06CED"/>
    <w:rsid w:val="00F06DC8"/>
    <w:rsid w:val="00F072C6"/>
    <w:rsid w:val="00F10DFF"/>
    <w:rsid w:val="00F11CEB"/>
    <w:rsid w:val="00F12B2F"/>
    <w:rsid w:val="00F1381B"/>
    <w:rsid w:val="00F1429D"/>
    <w:rsid w:val="00F14552"/>
    <w:rsid w:val="00F14875"/>
    <w:rsid w:val="00F14AFF"/>
    <w:rsid w:val="00F15C08"/>
    <w:rsid w:val="00F16C59"/>
    <w:rsid w:val="00F17C96"/>
    <w:rsid w:val="00F20D42"/>
    <w:rsid w:val="00F20D55"/>
    <w:rsid w:val="00F20EAE"/>
    <w:rsid w:val="00F21D70"/>
    <w:rsid w:val="00F220FC"/>
    <w:rsid w:val="00F22AD4"/>
    <w:rsid w:val="00F25347"/>
    <w:rsid w:val="00F26232"/>
    <w:rsid w:val="00F26729"/>
    <w:rsid w:val="00F30FBF"/>
    <w:rsid w:val="00F329E8"/>
    <w:rsid w:val="00F33C6C"/>
    <w:rsid w:val="00F3458F"/>
    <w:rsid w:val="00F34717"/>
    <w:rsid w:val="00F35411"/>
    <w:rsid w:val="00F35480"/>
    <w:rsid w:val="00F36546"/>
    <w:rsid w:val="00F36D45"/>
    <w:rsid w:val="00F37E83"/>
    <w:rsid w:val="00F41065"/>
    <w:rsid w:val="00F41CCA"/>
    <w:rsid w:val="00F43AC1"/>
    <w:rsid w:val="00F44690"/>
    <w:rsid w:val="00F515AE"/>
    <w:rsid w:val="00F51D15"/>
    <w:rsid w:val="00F600B1"/>
    <w:rsid w:val="00F6242C"/>
    <w:rsid w:val="00F70ED8"/>
    <w:rsid w:val="00F7353A"/>
    <w:rsid w:val="00F73926"/>
    <w:rsid w:val="00F74293"/>
    <w:rsid w:val="00F74D44"/>
    <w:rsid w:val="00F7696E"/>
    <w:rsid w:val="00F81BEA"/>
    <w:rsid w:val="00F82082"/>
    <w:rsid w:val="00F8269D"/>
    <w:rsid w:val="00F8324B"/>
    <w:rsid w:val="00F84D5F"/>
    <w:rsid w:val="00F85526"/>
    <w:rsid w:val="00F85C38"/>
    <w:rsid w:val="00F86D2B"/>
    <w:rsid w:val="00F905B2"/>
    <w:rsid w:val="00F90769"/>
    <w:rsid w:val="00F90F6B"/>
    <w:rsid w:val="00F92C5E"/>
    <w:rsid w:val="00F930BD"/>
    <w:rsid w:val="00F93710"/>
    <w:rsid w:val="00F947AC"/>
    <w:rsid w:val="00F94D4A"/>
    <w:rsid w:val="00F9568D"/>
    <w:rsid w:val="00F95D8D"/>
    <w:rsid w:val="00F95DB1"/>
    <w:rsid w:val="00F96371"/>
    <w:rsid w:val="00F967DF"/>
    <w:rsid w:val="00F96F53"/>
    <w:rsid w:val="00F97A78"/>
    <w:rsid w:val="00FA2F49"/>
    <w:rsid w:val="00FA372C"/>
    <w:rsid w:val="00FA3AC6"/>
    <w:rsid w:val="00FA3F7D"/>
    <w:rsid w:val="00FA64EB"/>
    <w:rsid w:val="00FA69FD"/>
    <w:rsid w:val="00FA7BCA"/>
    <w:rsid w:val="00FA7FD8"/>
    <w:rsid w:val="00FB0CD4"/>
    <w:rsid w:val="00FB0EA8"/>
    <w:rsid w:val="00FB3940"/>
    <w:rsid w:val="00FB4B85"/>
    <w:rsid w:val="00FB5303"/>
    <w:rsid w:val="00FB5EEF"/>
    <w:rsid w:val="00FB6C0D"/>
    <w:rsid w:val="00FC0A80"/>
    <w:rsid w:val="00FC209F"/>
    <w:rsid w:val="00FC2E10"/>
    <w:rsid w:val="00FC372C"/>
    <w:rsid w:val="00FC3E60"/>
    <w:rsid w:val="00FC4413"/>
    <w:rsid w:val="00FC4728"/>
    <w:rsid w:val="00FC47E2"/>
    <w:rsid w:val="00FD1620"/>
    <w:rsid w:val="00FD2542"/>
    <w:rsid w:val="00FD3FE9"/>
    <w:rsid w:val="00FD41EB"/>
    <w:rsid w:val="00FD441B"/>
    <w:rsid w:val="00FD57F7"/>
    <w:rsid w:val="00FD596F"/>
    <w:rsid w:val="00FD5F77"/>
    <w:rsid w:val="00FD61AC"/>
    <w:rsid w:val="00FE31AA"/>
    <w:rsid w:val="00FE422C"/>
    <w:rsid w:val="00FE5320"/>
    <w:rsid w:val="00FE79E1"/>
    <w:rsid w:val="00FF14B5"/>
    <w:rsid w:val="00FF2675"/>
    <w:rsid w:val="00FF2CF6"/>
    <w:rsid w:val="00FF3C00"/>
    <w:rsid w:val="00FF5BA9"/>
    <w:rsid w:val="00FF681D"/>
    <w:rsid w:val="00FF7117"/>
    <w:rsid w:val="00FF7303"/>
    <w:rsid w:val="023E72DD"/>
    <w:rsid w:val="028FAF77"/>
    <w:rsid w:val="032014FF"/>
    <w:rsid w:val="06CEB1BF"/>
    <w:rsid w:val="06E9E4A8"/>
    <w:rsid w:val="06FF9887"/>
    <w:rsid w:val="07E6AC85"/>
    <w:rsid w:val="09151448"/>
    <w:rsid w:val="0954EC99"/>
    <w:rsid w:val="0AB28F54"/>
    <w:rsid w:val="0B2C5EA8"/>
    <w:rsid w:val="0CDE3617"/>
    <w:rsid w:val="0D9DC20C"/>
    <w:rsid w:val="0DAADCA1"/>
    <w:rsid w:val="0DBB5828"/>
    <w:rsid w:val="0DC949ED"/>
    <w:rsid w:val="0DFB8102"/>
    <w:rsid w:val="0E37A318"/>
    <w:rsid w:val="12228BC8"/>
    <w:rsid w:val="122F953E"/>
    <w:rsid w:val="125A3DC7"/>
    <w:rsid w:val="12EEDF39"/>
    <w:rsid w:val="12F5B478"/>
    <w:rsid w:val="13D93AF7"/>
    <w:rsid w:val="14167674"/>
    <w:rsid w:val="16FBF3B6"/>
    <w:rsid w:val="18942C11"/>
    <w:rsid w:val="18CADD46"/>
    <w:rsid w:val="19E6F2DF"/>
    <w:rsid w:val="1A7A3CCD"/>
    <w:rsid w:val="1B75446D"/>
    <w:rsid w:val="1C1F3A18"/>
    <w:rsid w:val="1CED7256"/>
    <w:rsid w:val="1F020BF3"/>
    <w:rsid w:val="1F55542A"/>
    <w:rsid w:val="201D6A2A"/>
    <w:rsid w:val="20C97E63"/>
    <w:rsid w:val="21D55F11"/>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0A0988"/>
    <w:rsid w:val="329A82B1"/>
    <w:rsid w:val="33022F10"/>
    <w:rsid w:val="3340129D"/>
    <w:rsid w:val="34820857"/>
    <w:rsid w:val="349C4020"/>
    <w:rsid w:val="34C67D2A"/>
    <w:rsid w:val="35E65CD7"/>
    <w:rsid w:val="363576A6"/>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3B53AFF"/>
    <w:rsid w:val="44230373"/>
    <w:rsid w:val="44BA3745"/>
    <w:rsid w:val="44C4E4ED"/>
    <w:rsid w:val="45C5FF60"/>
    <w:rsid w:val="45CB42D3"/>
    <w:rsid w:val="46BDEEAB"/>
    <w:rsid w:val="48C57877"/>
    <w:rsid w:val="4B9F3047"/>
    <w:rsid w:val="4BA63DD9"/>
    <w:rsid w:val="4C00BA8D"/>
    <w:rsid w:val="4D4C80AE"/>
    <w:rsid w:val="4D7C6706"/>
    <w:rsid w:val="4F3F5618"/>
    <w:rsid w:val="509E1228"/>
    <w:rsid w:val="51FBA2E8"/>
    <w:rsid w:val="520BD14C"/>
    <w:rsid w:val="5231C999"/>
    <w:rsid w:val="52521B09"/>
    <w:rsid w:val="52E71F1C"/>
    <w:rsid w:val="52F1C162"/>
    <w:rsid w:val="54A32051"/>
    <w:rsid w:val="54C9E59E"/>
    <w:rsid w:val="5626172F"/>
    <w:rsid w:val="572595AD"/>
    <w:rsid w:val="5770E9BA"/>
    <w:rsid w:val="57D3816A"/>
    <w:rsid w:val="58CC905D"/>
    <w:rsid w:val="59972986"/>
    <w:rsid w:val="59E0890A"/>
    <w:rsid w:val="59E793AF"/>
    <w:rsid w:val="5A20D253"/>
    <w:rsid w:val="5B0CE662"/>
    <w:rsid w:val="5B52F3FF"/>
    <w:rsid w:val="5D193FEE"/>
    <w:rsid w:val="5E55A65A"/>
    <w:rsid w:val="5F60242C"/>
    <w:rsid w:val="606BBBA1"/>
    <w:rsid w:val="60E052F1"/>
    <w:rsid w:val="626F491C"/>
    <w:rsid w:val="62E84F04"/>
    <w:rsid w:val="62F7CE63"/>
    <w:rsid w:val="632BF4A0"/>
    <w:rsid w:val="643281C8"/>
    <w:rsid w:val="64750C6E"/>
    <w:rsid w:val="65B14D97"/>
    <w:rsid w:val="663E1245"/>
    <w:rsid w:val="664E4BF6"/>
    <w:rsid w:val="693E293C"/>
    <w:rsid w:val="6BF0E62C"/>
    <w:rsid w:val="6C952B2A"/>
    <w:rsid w:val="6DF39696"/>
    <w:rsid w:val="6E28BA75"/>
    <w:rsid w:val="6F1FD0CC"/>
    <w:rsid w:val="6F3FDA6E"/>
    <w:rsid w:val="6F654CD4"/>
    <w:rsid w:val="7157A557"/>
    <w:rsid w:val="71ADE2AF"/>
    <w:rsid w:val="7213DA06"/>
    <w:rsid w:val="73241326"/>
    <w:rsid w:val="733F9E77"/>
    <w:rsid w:val="739E5687"/>
    <w:rsid w:val="74664E8B"/>
    <w:rsid w:val="74E997E9"/>
    <w:rsid w:val="7562B63C"/>
    <w:rsid w:val="75FBA5FF"/>
    <w:rsid w:val="76573138"/>
    <w:rsid w:val="76B59733"/>
    <w:rsid w:val="7733B0F3"/>
    <w:rsid w:val="78F69205"/>
    <w:rsid w:val="79A2C8D3"/>
    <w:rsid w:val="7A20A415"/>
    <w:rsid w:val="7B00825B"/>
    <w:rsid w:val="7E1B752E"/>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BD399DDB-138F-4CED-8612-09E1EECF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1">
    <w:name w:val="heading 1"/>
    <w:basedOn w:val="Normal"/>
    <w:next w:val="Normal"/>
    <w:link w:val="Heading1Char"/>
    <w:uiPriority w:val="9"/>
    <w:qFormat/>
    <w:rsid w:val="00D56119"/>
    <w:pPr>
      <w:jc w:val="center"/>
      <w:outlineLvl w:val="0"/>
    </w:pPr>
    <w:rPr>
      <w:rFonts w:ascii="Tahoma" w:hAnsi="Tahoma" w:cs="Tahoma"/>
      <w:b/>
      <w:bCs/>
    </w:rPr>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rsid w:val="00414EAF"/>
    <w:pPr>
      <w:spacing w:before="100" w:beforeAutospacing="1" w:after="100" w:afterAutospacing="1"/>
    </w:pPr>
    <w:rPr>
      <w:rFonts w:ascii="Arial" w:eastAsia="Times New Roman" w:hAnsi="Arial" w:cs="Arial"/>
    </w:rPr>
  </w:style>
  <w:style w:type="character" w:customStyle="1" w:styleId="Heading1Char">
    <w:name w:val="Heading 1 Char"/>
    <w:basedOn w:val="DefaultParagraphFont"/>
    <w:link w:val="Heading1"/>
    <w:uiPriority w:val="9"/>
    <w:rsid w:val="00D56119"/>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energystar.gov/productfinder/product/certified-evse/resul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166B1705-C900-4535-BDE2-47BAA0155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1514</Words>
  <Characters>8651</Characters>
  <Application>Microsoft Office Word</Application>
  <DocSecurity>0</DocSecurity>
  <Lines>201</Lines>
  <Paragraphs>78</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10087</CharactersWithSpaces>
  <SharedDoc>false</SharedDoc>
  <HLinks>
    <vt:vector size="24" baseType="variant">
      <vt:variant>
        <vt:i4>7143543</vt:i4>
      </vt:variant>
      <vt:variant>
        <vt:i4>3</vt:i4>
      </vt:variant>
      <vt:variant>
        <vt:i4>0</vt:i4>
      </vt:variant>
      <vt:variant>
        <vt:i4>5</vt:i4>
      </vt:variant>
      <vt:variant>
        <vt:lpwstr>https://www.energystar.gov/productfinder/product/certified-evse/results</vt:lpwstr>
      </vt:variant>
      <vt:variant>
        <vt:lpwstr/>
      </vt:variant>
      <vt:variant>
        <vt:i4>4194311</vt:i4>
      </vt:variant>
      <vt:variant>
        <vt:i4>0</vt:i4>
      </vt:variant>
      <vt:variant>
        <vt:i4>0</vt:i4>
      </vt:variant>
      <vt:variant>
        <vt:i4>5</vt:i4>
      </vt:variant>
      <vt:variant>
        <vt:lpwstr>https://www.energy.ca.gov/funding-opportunities/solicitations</vt:lpwstr>
      </vt:variant>
      <vt:variant>
        <vt:lpwstr/>
      </vt:variant>
      <vt:variant>
        <vt:i4>8192090</vt:i4>
      </vt:variant>
      <vt:variant>
        <vt:i4>3</vt:i4>
      </vt:variant>
      <vt:variant>
        <vt:i4>0</vt:i4>
      </vt:variant>
      <vt:variant>
        <vt:i4>5</vt:i4>
      </vt:variant>
      <vt:variant>
        <vt:lpwstr>mailto:Kathryn.Reid@energy.ca.gov</vt:lpwstr>
      </vt:variant>
      <vt:variant>
        <vt:lpwstr/>
      </vt:variant>
      <vt:variant>
        <vt:i4>8192090</vt:i4>
      </vt:variant>
      <vt:variant>
        <vt:i4>0</vt:i4>
      </vt:variant>
      <vt:variant>
        <vt:i4>0</vt:i4>
      </vt:variant>
      <vt:variant>
        <vt:i4>5</vt:i4>
      </vt:variant>
      <vt:variant>
        <vt:lpwstr>mailto:Kathryn.Reid@energy.ca.gov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Au-Yeung, Carmen@Energy</cp:lastModifiedBy>
  <cp:revision>44</cp:revision>
  <cp:lastPrinted>2019-04-08T16:38:00Z</cp:lastPrinted>
  <dcterms:created xsi:type="dcterms:W3CDTF">2026-03-05T21:34:00Z</dcterms:created>
  <dcterms:modified xsi:type="dcterms:W3CDTF">2026-03-12T20:49:00Z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