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126A4" w14:textId="3694EF5E" w:rsidR="009E6C35" w:rsidRPr="00CC3EC2" w:rsidRDefault="001D1DD0" w:rsidP="00B33F69">
      <w:pPr>
        <w:pStyle w:val="paragraph"/>
        <w:ind w:left="4320"/>
        <w:jc w:val="right"/>
        <w:textAlignment w:val="baseline"/>
        <w:rPr>
          <w:rStyle w:val="normaltextrun"/>
          <w:rFonts w:ascii="Tahoma" w:hAnsi="Tahoma" w:cs="Tahoma"/>
        </w:rPr>
      </w:pPr>
      <w:r w:rsidRPr="00CC3EC2">
        <w:rPr>
          <w:rStyle w:val="normaltextrun"/>
          <w:rFonts w:ascii="Tahoma" w:hAnsi="Tahoma" w:cs="Tahoma"/>
        </w:rPr>
        <w:t xml:space="preserve">March </w:t>
      </w:r>
      <w:r w:rsidR="00F51FB9">
        <w:rPr>
          <w:rStyle w:val="normaltextrun"/>
          <w:rFonts w:ascii="Tahoma" w:hAnsi="Tahoma" w:cs="Tahoma"/>
        </w:rPr>
        <w:t>12</w:t>
      </w:r>
      <w:r w:rsidRPr="00CC3EC2">
        <w:rPr>
          <w:rStyle w:val="normaltextrun"/>
          <w:rFonts w:ascii="Tahoma" w:hAnsi="Tahoma" w:cs="Tahoma"/>
        </w:rPr>
        <w:t>,</w:t>
      </w:r>
      <w:r w:rsidR="00C241FC" w:rsidRPr="00CC3EC2">
        <w:rPr>
          <w:rStyle w:val="normaltextrun"/>
          <w:rFonts w:ascii="Tahoma" w:hAnsi="Tahoma" w:cs="Tahoma"/>
        </w:rPr>
        <w:t xml:space="preserve"> 2026</w:t>
      </w:r>
    </w:p>
    <w:p w14:paraId="3049D69B" w14:textId="701FE002" w:rsidR="00B1122A" w:rsidRPr="00CC3EC2" w:rsidRDefault="00B1122A" w:rsidP="00B1122A">
      <w:pPr>
        <w:jc w:val="center"/>
        <w:rPr>
          <w:rFonts w:ascii="Tahoma" w:hAnsi="Tahoma" w:cs="Tahoma"/>
          <w:b/>
          <w:bCs/>
        </w:rPr>
      </w:pPr>
      <w:r w:rsidRPr="00CC3EC2">
        <w:rPr>
          <w:rFonts w:ascii="Tahoma" w:hAnsi="Tahoma" w:cs="Tahoma"/>
          <w:b/>
          <w:bCs/>
        </w:rPr>
        <w:t>GFO-2</w:t>
      </w:r>
      <w:r w:rsidR="3E07790D" w:rsidRPr="00CC3EC2">
        <w:rPr>
          <w:rFonts w:ascii="Tahoma" w:hAnsi="Tahoma" w:cs="Tahoma"/>
          <w:b/>
          <w:bCs/>
        </w:rPr>
        <w:t>4</w:t>
      </w:r>
      <w:r w:rsidR="00353981" w:rsidRPr="00CC3EC2">
        <w:rPr>
          <w:rFonts w:ascii="Tahoma" w:hAnsi="Tahoma" w:cs="Tahoma"/>
          <w:b/>
          <w:bCs/>
        </w:rPr>
        <w:t>-6</w:t>
      </w:r>
      <w:r w:rsidR="00076083" w:rsidRPr="00CC3EC2">
        <w:rPr>
          <w:rFonts w:ascii="Tahoma" w:hAnsi="Tahoma" w:cs="Tahoma"/>
          <w:b/>
          <w:bCs/>
        </w:rPr>
        <w:t>1</w:t>
      </w:r>
      <w:r w:rsidR="00104E0A">
        <w:rPr>
          <w:rFonts w:ascii="Tahoma" w:hAnsi="Tahoma" w:cs="Tahoma"/>
          <w:b/>
          <w:bCs/>
        </w:rPr>
        <w:t>1</w:t>
      </w:r>
    </w:p>
    <w:p w14:paraId="51411F34" w14:textId="77777777" w:rsidR="009F3048" w:rsidRPr="009F3048" w:rsidRDefault="009F3048" w:rsidP="009F3048">
      <w:pPr>
        <w:jc w:val="center"/>
        <w:rPr>
          <w:rFonts w:ascii="Tahoma" w:eastAsia="Calibri" w:hAnsi="Tahoma" w:cs="Tahoma"/>
          <w:b/>
          <w:bCs/>
          <w:color w:val="000000" w:themeColor="text1"/>
        </w:rPr>
      </w:pPr>
      <w:r w:rsidRPr="009F3048">
        <w:rPr>
          <w:rFonts w:ascii="Tahoma" w:eastAsia="Calibri" w:hAnsi="Tahoma" w:cs="Tahoma"/>
          <w:b/>
          <w:bCs/>
          <w:color w:val="000000" w:themeColor="text1"/>
        </w:rPr>
        <w:t xml:space="preserve">Implementation of Medium- and Heavy-Duty </w:t>
      </w:r>
    </w:p>
    <w:p w14:paraId="119B227B" w14:textId="6218375F" w:rsidR="00AD6D89" w:rsidRPr="00CC3EC2" w:rsidRDefault="009F3048" w:rsidP="009F3048">
      <w:pPr>
        <w:jc w:val="center"/>
        <w:rPr>
          <w:rFonts w:ascii="Tahoma" w:eastAsia="Calibri" w:hAnsi="Tahoma" w:cs="Tahoma"/>
          <w:b/>
          <w:color w:val="000000" w:themeColor="text1"/>
        </w:rPr>
      </w:pPr>
      <w:r w:rsidRPr="009F3048">
        <w:rPr>
          <w:rFonts w:ascii="Tahoma" w:eastAsia="Calibri" w:hAnsi="Tahoma" w:cs="Tahoma"/>
          <w:b/>
          <w:bCs/>
          <w:color w:val="000000" w:themeColor="text1"/>
        </w:rPr>
        <w:t>Zero-Emission Vehicle Infrastructure Blueprints 2.0</w:t>
      </w:r>
      <w:r w:rsidR="00AD6D89" w:rsidRPr="00CC3EC2">
        <w:rPr>
          <w:rFonts w:ascii="Tahoma" w:eastAsia="Calibri" w:hAnsi="Tahoma" w:cs="Tahoma"/>
          <w:b/>
          <w:bCs/>
          <w:color w:val="000000" w:themeColor="text1"/>
        </w:rPr>
        <w:t xml:space="preserve"> </w:t>
      </w:r>
    </w:p>
    <w:p w14:paraId="6587D6BB" w14:textId="30C143B5" w:rsidR="00B1122A" w:rsidRPr="00CC3EC2" w:rsidRDefault="00B1122A" w:rsidP="00B1122A">
      <w:pPr>
        <w:autoSpaceDE w:val="0"/>
        <w:autoSpaceDN w:val="0"/>
        <w:adjustRightInd w:val="0"/>
        <w:jc w:val="center"/>
        <w:rPr>
          <w:rFonts w:ascii="Tahoma" w:eastAsia="Calibri" w:hAnsi="Tahoma" w:cs="Tahoma"/>
          <w:b/>
          <w:bCs/>
          <w:color w:val="000000"/>
        </w:rPr>
      </w:pPr>
      <w:r w:rsidRPr="00CC3EC2">
        <w:rPr>
          <w:rFonts w:ascii="Tahoma" w:eastAsia="Calibri" w:hAnsi="Tahoma" w:cs="Tahoma"/>
          <w:b/>
          <w:bCs/>
          <w:color w:val="000000" w:themeColor="text1"/>
        </w:rPr>
        <w:t xml:space="preserve">Addendum </w:t>
      </w:r>
      <w:r w:rsidR="009F3048">
        <w:rPr>
          <w:rFonts w:ascii="Tahoma" w:eastAsia="Calibri" w:hAnsi="Tahoma" w:cs="Tahoma"/>
          <w:b/>
          <w:bCs/>
          <w:color w:val="000000" w:themeColor="text1"/>
        </w:rPr>
        <w:t>9</w:t>
      </w:r>
    </w:p>
    <w:p w14:paraId="363B15A9" w14:textId="77777777" w:rsidR="00B1122A" w:rsidRPr="00CC3EC2" w:rsidRDefault="00B1122A" w:rsidP="00B1122A">
      <w:pPr>
        <w:autoSpaceDE w:val="0"/>
        <w:autoSpaceDN w:val="0"/>
        <w:adjustRightInd w:val="0"/>
        <w:jc w:val="center"/>
        <w:rPr>
          <w:rFonts w:ascii="Tahoma" w:eastAsia="Calibri" w:hAnsi="Tahoma" w:cs="Tahoma"/>
          <w:b/>
          <w:bCs/>
          <w:color w:val="000000"/>
        </w:rPr>
      </w:pPr>
    </w:p>
    <w:p w14:paraId="28220DB1" w14:textId="0C52F50C" w:rsidR="00FD441B" w:rsidRPr="00CC3EC2" w:rsidRDefault="00B1122A" w:rsidP="00B1122A">
      <w:pPr>
        <w:autoSpaceDE w:val="0"/>
        <w:autoSpaceDN w:val="0"/>
        <w:adjustRightInd w:val="0"/>
        <w:rPr>
          <w:rFonts w:ascii="Tahoma" w:eastAsia="Calibri" w:hAnsi="Tahoma" w:cs="Tahoma"/>
          <w:color w:val="000000"/>
        </w:rPr>
      </w:pPr>
      <w:r w:rsidRPr="00CC3EC2">
        <w:rPr>
          <w:rFonts w:ascii="Tahoma" w:eastAsia="Calibri" w:hAnsi="Tahoma" w:cs="Tahoma"/>
          <w:color w:val="000000" w:themeColor="text1"/>
        </w:rPr>
        <w:t>The purpose of this addendum is to notify potential applicants of changes that have been made to GFO-2</w:t>
      </w:r>
      <w:r w:rsidR="6BF0E62C" w:rsidRPr="00CC3EC2">
        <w:rPr>
          <w:rFonts w:ascii="Tahoma" w:eastAsia="Calibri" w:hAnsi="Tahoma" w:cs="Tahoma"/>
          <w:color w:val="000000" w:themeColor="text1"/>
        </w:rPr>
        <w:t>4</w:t>
      </w:r>
      <w:r w:rsidR="00353981" w:rsidRPr="00CC3EC2">
        <w:rPr>
          <w:rFonts w:ascii="Tahoma" w:eastAsia="Calibri" w:hAnsi="Tahoma" w:cs="Tahoma"/>
          <w:color w:val="000000" w:themeColor="text1"/>
        </w:rPr>
        <w:t>-6</w:t>
      </w:r>
      <w:r w:rsidR="00076083" w:rsidRPr="00CC3EC2">
        <w:rPr>
          <w:rFonts w:ascii="Tahoma" w:eastAsia="Calibri" w:hAnsi="Tahoma" w:cs="Tahoma"/>
          <w:color w:val="000000" w:themeColor="text1"/>
        </w:rPr>
        <w:t>1</w:t>
      </w:r>
      <w:r w:rsidR="00490F96">
        <w:rPr>
          <w:rFonts w:ascii="Tahoma" w:eastAsia="Calibri" w:hAnsi="Tahoma" w:cs="Tahoma"/>
          <w:color w:val="000000" w:themeColor="text1"/>
        </w:rPr>
        <w:t>1</w:t>
      </w:r>
      <w:r w:rsidRPr="00CC3EC2">
        <w:rPr>
          <w:rFonts w:ascii="Tahoma" w:eastAsia="Calibri" w:hAnsi="Tahoma" w:cs="Tahoma"/>
          <w:color w:val="000000" w:themeColor="text1"/>
        </w:rPr>
        <w:t xml:space="preserve">. </w:t>
      </w:r>
    </w:p>
    <w:p w14:paraId="24A5A8EC" w14:textId="77777777" w:rsidR="00FD441B" w:rsidRPr="00CC3EC2" w:rsidRDefault="00FD441B" w:rsidP="00B1122A">
      <w:pPr>
        <w:autoSpaceDE w:val="0"/>
        <w:autoSpaceDN w:val="0"/>
        <w:adjustRightInd w:val="0"/>
        <w:rPr>
          <w:rFonts w:ascii="Tahoma" w:eastAsia="Calibri" w:hAnsi="Tahoma" w:cs="Tahoma"/>
          <w:color w:val="000000"/>
        </w:rPr>
      </w:pPr>
    </w:p>
    <w:p w14:paraId="6B9C85F9" w14:textId="0FABA802" w:rsidR="006B74C6" w:rsidRDefault="006B74C6" w:rsidP="006B74C6">
      <w:pPr>
        <w:pStyle w:val="paragraph"/>
        <w:spacing w:before="0" w:beforeAutospacing="0" w:after="0" w:afterAutospacing="0"/>
        <w:textAlignment w:val="baseline"/>
      </w:pPr>
      <w:r>
        <w:rPr>
          <w:rStyle w:val="normaltextrun"/>
          <w:rFonts w:ascii="Tahoma" w:hAnsi="Tahoma" w:cs="Tahoma"/>
          <w:color w:val="000000"/>
        </w:rPr>
        <w:t>The addendum includes revisions to the Solicitation Manual</w:t>
      </w:r>
      <w:r w:rsidRPr="006B74C6">
        <w:rPr>
          <w:rStyle w:val="normaltextrun"/>
          <w:rFonts w:ascii="Tahoma" w:hAnsi="Tahoma" w:cs="Tahoma"/>
        </w:rPr>
        <w:t xml:space="preserve">; Attachment 2, Scope of Work; Attachment 3, Scope of Work Instructions; Attachment </w:t>
      </w:r>
      <w:r w:rsidR="00316E0D">
        <w:rPr>
          <w:rStyle w:val="normaltextrun"/>
          <w:rFonts w:ascii="Tahoma" w:hAnsi="Tahoma" w:cs="Tahoma"/>
        </w:rPr>
        <w:t>14</w:t>
      </w:r>
      <w:r w:rsidRPr="006B74C6">
        <w:rPr>
          <w:rStyle w:val="normaltextrun"/>
          <w:rFonts w:ascii="Tahoma" w:hAnsi="Tahoma" w:cs="Tahoma"/>
        </w:rPr>
        <w:t xml:space="preserve">, Station Checklist; </w:t>
      </w:r>
      <w:r>
        <w:rPr>
          <w:rStyle w:val="normaltextrun"/>
          <w:rFonts w:ascii="Tahoma" w:hAnsi="Tahoma" w:cs="Tahoma"/>
          <w:color w:val="000000"/>
        </w:rPr>
        <w:t xml:space="preserve">and Questions and Answers. Added language appears in </w:t>
      </w:r>
      <w:r>
        <w:rPr>
          <w:rStyle w:val="normaltextrun"/>
          <w:rFonts w:ascii="Tahoma" w:hAnsi="Tahoma" w:cs="Tahoma"/>
          <w:b/>
          <w:bCs/>
          <w:color w:val="000000"/>
          <w:u w:val="single"/>
        </w:rPr>
        <w:t>bold underline</w:t>
      </w:r>
      <w:r>
        <w:rPr>
          <w:rStyle w:val="normaltextrun"/>
          <w:rFonts w:ascii="Tahoma" w:hAnsi="Tahoma" w:cs="Tahoma"/>
          <w:color w:val="000000"/>
        </w:rPr>
        <w:t>, and deleted language appears in [</w:t>
      </w:r>
      <w:r>
        <w:rPr>
          <w:rStyle w:val="normaltextrun"/>
          <w:rFonts w:ascii="Tahoma" w:hAnsi="Tahoma" w:cs="Tahoma"/>
          <w:strike/>
          <w:color w:val="000000"/>
        </w:rPr>
        <w:t>strikethrough</w:t>
      </w:r>
      <w:r>
        <w:rPr>
          <w:rStyle w:val="normaltextrun"/>
          <w:rFonts w:ascii="Tahoma" w:hAnsi="Tahoma" w:cs="Tahoma"/>
          <w:color w:val="000000"/>
        </w:rPr>
        <w:t>] and within square brackets.</w:t>
      </w:r>
      <w:r>
        <w:rPr>
          <w:rStyle w:val="eop"/>
          <w:rFonts w:ascii="Tahoma" w:hAnsi="Tahoma" w:cs="Tahoma"/>
          <w:color w:val="000000"/>
        </w:rPr>
        <w:t> </w:t>
      </w:r>
    </w:p>
    <w:p w14:paraId="6ECC8A21" w14:textId="77777777" w:rsidR="006B74C6" w:rsidRDefault="006B74C6" w:rsidP="006B74C6">
      <w:pPr>
        <w:pStyle w:val="paragraph"/>
        <w:spacing w:before="0" w:beforeAutospacing="0" w:after="0" w:afterAutospacing="0"/>
        <w:textAlignment w:val="baseline"/>
      </w:pPr>
      <w:r>
        <w:rPr>
          <w:rStyle w:val="eop"/>
          <w:rFonts w:ascii="Tahoma" w:hAnsi="Tahoma" w:cs="Tahoma"/>
          <w:color w:val="000000"/>
        </w:rPr>
        <w:t> </w:t>
      </w:r>
    </w:p>
    <w:p w14:paraId="37DC0AC0" w14:textId="55F40ED8" w:rsidR="006B74C6" w:rsidRDefault="006B74C6" w:rsidP="006B74C6">
      <w:pPr>
        <w:pStyle w:val="paragraph"/>
        <w:spacing w:before="0" w:beforeAutospacing="0" w:after="0" w:afterAutospacing="0"/>
        <w:textAlignment w:val="baseline"/>
      </w:pPr>
      <w:r>
        <w:rPr>
          <w:rStyle w:val="normaltextrun"/>
          <w:rFonts w:ascii="Tahoma" w:hAnsi="Tahoma" w:cs="Tahoma"/>
          <w:color w:val="000000"/>
        </w:rPr>
        <w:t xml:space="preserve">The </w:t>
      </w:r>
      <w:r w:rsidRPr="006B74C6">
        <w:rPr>
          <w:rStyle w:val="normaltextrun"/>
          <w:rFonts w:ascii="Tahoma" w:hAnsi="Tahoma" w:cs="Tahoma"/>
        </w:rPr>
        <w:t xml:space="preserve">updated question-and-answer set is </w:t>
      </w:r>
      <w:r>
        <w:rPr>
          <w:rStyle w:val="normaltextrun"/>
          <w:rFonts w:ascii="Tahoma" w:hAnsi="Tahoma" w:cs="Tahoma"/>
          <w:color w:val="000000"/>
        </w:rPr>
        <w:t xml:space="preserve">posted on the </w:t>
      </w:r>
      <w:hyperlink r:id="rId11" w:tgtFrame="_blank" w:history="1">
        <w:r>
          <w:rPr>
            <w:rStyle w:val="normaltextrun"/>
            <w:rFonts w:ascii="Tahoma" w:hAnsi="Tahoma" w:cs="Tahoma"/>
            <w:color w:val="0000FF"/>
            <w:u w:val="single"/>
          </w:rPr>
          <w:t>CEC’s solicitation information website</w:t>
        </w:r>
      </w:hyperlink>
      <w:r>
        <w:rPr>
          <w:rStyle w:val="normaltextrun"/>
          <w:rFonts w:ascii="Tahoma" w:hAnsi="Tahoma" w:cs="Tahoma"/>
          <w:color w:val="000000"/>
        </w:rPr>
        <w:t xml:space="preserve"> at </w:t>
      </w:r>
      <w:r>
        <w:rPr>
          <w:rStyle w:val="normaltextrun"/>
          <w:rFonts w:ascii="Tahoma" w:hAnsi="Tahoma" w:cs="Tahoma"/>
          <w:color w:val="000000"/>
          <w:shd w:val="clear" w:color="auto" w:fill="FFFFFF"/>
        </w:rPr>
        <w:t>www.energy.ca.gov/funding-opportunities/solicitations.</w:t>
      </w:r>
      <w:r>
        <w:rPr>
          <w:rStyle w:val="eop"/>
          <w:rFonts w:ascii="Tahoma" w:hAnsi="Tahoma" w:cs="Tahoma"/>
          <w:color w:val="000000"/>
        </w:rPr>
        <w:t> </w:t>
      </w:r>
    </w:p>
    <w:p w14:paraId="75680E49" w14:textId="77777777" w:rsidR="008F4EE9" w:rsidRPr="00CC3EC2" w:rsidRDefault="008F4EE9" w:rsidP="0000028A">
      <w:pPr>
        <w:autoSpaceDE w:val="0"/>
        <w:autoSpaceDN w:val="0"/>
        <w:adjustRightInd w:val="0"/>
        <w:rPr>
          <w:rFonts w:ascii="Tahoma" w:eastAsia="Calibri" w:hAnsi="Tahoma" w:cs="Tahoma"/>
          <w:color w:val="000000"/>
        </w:rPr>
      </w:pPr>
    </w:p>
    <w:p w14:paraId="48667D19" w14:textId="1DEF493C" w:rsidR="00292E6D" w:rsidRPr="00CC3EC2" w:rsidRDefault="00B1122A" w:rsidP="00AD0BD5">
      <w:pPr>
        <w:keepNext/>
        <w:keepLines/>
        <w:spacing w:after="240"/>
        <w:outlineLvl w:val="1"/>
        <w:rPr>
          <w:rFonts w:ascii="Tahoma" w:hAnsi="Tahoma" w:cs="Tahoma"/>
          <w:b/>
          <w:bCs/>
        </w:rPr>
      </w:pPr>
      <w:r w:rsidRPr="00CC3EC2">
        <w:rPr>
          <w:rFonts w:ascii="Tahoma" w:eastAsiaTheme="majorEastAsia" w:hAnsi="Tahoma" w:cs="Tahoma"/>
          <w:b/>
        </w:rPr>
        <w:t>Solicitation Manual</w:t>
      </w:r>
    </w:p>
    <w:p w14:paraId="5CA644DE" w14:textId="3B8B047F" w:rsidR="00E01CB5" w:rsidRPr="00CC3EC2" w:rsidRDefault="009E4146" w:rsidP="00A12A97">
      <w:pPr>
        <w:pStyle w:val="Heading2"/>
        <w:keepNext w:val="0"/>
        <w:numPr>
          <w:ilvl w:val="0"/>
          <w:numId w:val="2"/>
        </w:numPr>
        <w:spacing w:before="0" w:after="0"/>
        <w:ind w:left="720" w:hanging="720"/>
        <w:rPr>
          <w:rFonts w:ascii="Tahoma" w:eastAsiaTheme="majorEastAsia" w:hAnsi="Tahoma" w:cs="Tahoma"/>
          <w:bCs/>
          <w:smallCaps w:val="0"/>
          <w:sz w:val="24"/>
          <w:szCs w:val="24"/>
          <w:lang w:val="en-US" w:eastAsia="en-US"/>
        </w:rPr>
      </w:pPr>
      <w:bookmarkStart w:id="0" w:name="_Toc155803478"/>
      <w:r w:rsidRPr="00CC3EC2">
        <w:rPr>
          <w:rFonts w:ascii="Tahoma" w:eastAsiaTheme="majorEastAsia" w:hAnsi="Tahoma" w:cs="Tahoma"/>
          <w:bCs/>
          <w:smallCaps w:val="0"/>
          <w:sz w:val="24"/>
          <w:szCs w:val="24"/>
          <w:lang w:val="en-US" w:eastAsia="en-US"/>
        </w:rPr>
        <w:t xml:space="preserve">Section </w:t>
      </w:r>
      <w:r w:rsidR="00012767" w:rsidRPr="00CC3EC2">
        <w:rPr>
          <w:rFonts w:ascii="Tahoma" w:eastAsiaTheme="majorEastAsia" w:hAnsi="Tahoma" w:cs="Tahoma"/>
          <w:bCs/>
          <w:smallCaps w:val="0"/>
          <w:sz w:val="24"/>
          <w:szCs w:val="24"/>
          <w:lang w:val="en-US" w:eastAsia="en-US"/>
        </w:rPr>
        <w:t>II.</w:t>
      </w:r>
      <w:r w:rsidR="001D1DD0" w:rsidRPr="00CC3EC2">
        <w:rPr>
          <w:rFonts w:ascii="Tahoma" w:eastAsiaTheme="majorEastAsia" w:hAnsi="Tahoma" w:cs="Tahoma"/>
          <w:bCs/>
          <w:smallCaps w:val="0"/>
          <w:sz w:val="24"/>
          <w:szCs w:val="24"/>
          <w:lang w:val="en-US" w:eastAsia="en-US"/>
        </w:rPr>
        <w:t>C</w:t>
      </w:r>
      <w:r w:rsidR="00A12A97" w:rsidRPr="00CC3EC2">
        <w:rPr>
          <w:rFonts w:ascii="Tahoma" w:eastAsiaTheme="majorEastAsia" w:hAnsi="Tahoma" w:cs="Tahoma"/>
          <w:bCs/>
          <w:smallCaps w:val="0"/>
          <w:sz w:val="24"/>
          <w:szCs w:val="24"/>
          <w:lang w:val="en-US" w:eastAsia="en-US"/>
        </w:rPr>
        <w:t>.</w:t>
      </w:r>
      <w:r w:rsidR="001D1DD0" w:rsidRPr="00CC3EC2">
        <w:rPr>
          <w:rFonts w:ascii="Tahoma" w:eastAsiaTheme="majorEastAsia" w:hAnsi="Tahoma" w:cs="Tahoma"/>
          <w:bCs/>
          <w:smallCaps w:val="0"/>
          <w:sz w:val="24"/>
          <w:szCs w:val="24"/>
          <w:lang w:val="en-US" w:eastAsia="en-US"/>
        </w:rPr>
        <w:t xml:space="preserve"> Minimum Technical Requirements for Electric Vehicle Charging Stations</w:t>
      </w:r>
      <w:r w:rsidR="005615F4" w:rsidRPr="00CC3EC2">
        <w:rPr>
          <w:rFonts w:ascii="Tahoma" w:eastAsiaTheme="majorEastAsia" w:hAnsi="Tahoma" w:cs="Tahoma"/>
          <w:bCs/>
          <w:smallCaps w:val="0"/>
          <w:sz w:val="24"/>
          <w:szCs w:val="24"/>
          <w:lang w:val="en-US" w:eastAsia="en-US"/>
        </w:rPr>
        <w:t xml:space="preserve"> </w:t>
      </w:r>
      <w:bookmarkEnd w:id="0"/>
    </w:p>
    <w:p w14:paraId="6A25F995" w14:textId="0AAFAD43" w:rsidR="001D1DD0" w:rsidRPr="00CC3EC2" w:rsidRDefault="001D1DD0" w:rsidP="00210AD8">
      <w:pPr>
        <w:pStyle w:val="NormalWeb"/>
        <w:numPr>
          <w:ilvl w:val="0"/>
          <w:numId w:val="43"/>
        </w:numPr>
        <w:rPr>
          <w:rFonts w:ascii="Tahoma" w:hAnsi="Tahoma" w:cs="Tahoma"/>
        </w:rPr>
      </w:pPr>
      <w:r w:rsidRPr="7D986B06">
        <w:rPr>
          <w:rFonts w:ascii="Tahoma" w:hAnsi="Tahoma" w:cs="Tahoma"/>
          <w:b/>
          <w:bCs/>
          <w:u w:val="single"/>
        </w:rPr>
        <w:t>For Public Access charging stations, t</w:t>
      </w:r>
      <w:r w:rsidRPr="7D986B06">
        <w:rPr>
          <w:rFonts w:ascii="Tahoma" w:hAnsi="Tahoma" w:cs="Tahoma"/>
          <w:u w:val="single"/>
        </w:rPr>
        <w:t>[</w:t>
      </w:r>
      <w:r w:rsidRPr="7D986B06">
        <w:rPr>
          <w:rFonts w:ascii="Tahoma" w:hAnsi="Tahoma" w:cs="Tahoma"/>
          <w:strike/>
        </w:rPr>
        <w:t>T</w:t>
      </w:r>
      <w:r w:rsidRPr="7D986B06">
        <w:rPr>
          <w:rFonts w:ascii="Tahoma" w:hAnsi="Tahoma" w:cs="Tahoma"/>
        </w:rPr>
        <w:t>]</w:t>
      </w:r>
      <w:proofErr w:type="gramStart"/>
      <w:r w:rsidRPr="7D986B06">
        <w:rPr>
          <w:rFonts w:ascii="Tahoma" w:hAnsi="Tahoma" w:cs="Tahoma"/>
        </w:rPr>
        <w:t>he</w:t>
      </w:r>
      <w:proofErr w:type="gramEnd"/>
      <w:r w:rsidRPr="7D986B06">
        <w:rPr>
          <w:rFonts w:ascii="Tahoma" w:hAnsi="Tahoma" w:cs="Tahoma"/>
        </w:rPr>
        <w:t xml:space="preserve"> charging port’s networking software must connect to a central management system using OCPP 2.0.1 for the purposes of charger management and data reporting, including for reliability data reporting requirements specified in the solicitation Scope of Work. </w:t>
      </w:r>
      <w:r w:rsidR="00F26AA6" w:rsidRPr="7D986B06">
        <w:rPr>
          <w:rFonts w:ascii="Tahoma" w:hAnsi="Tahoma" w:cs="Tahoma"/>
          <w:b/>
          <w:bCs/>
          <w:u w:val="single"/>
        </w:rPr>
        <w:t xml:space="preserve">Charging ports must comply with regulatory requirements under Assembly Bill 2061 once the regulation is </w:t>
      </w:r>
      <w:r w:rsidR="008B14B8" w:rsidRPr="7D986B06">
        <w:rPr>
          <w:rFonts w:ascii="Tahoma" w:hAnsi="Tahoma" w:cs="Tahoma"/>
          <w:b/>
          <w:bCs/>
          <w:u w:val="single"/>
        </w:rPr>
        <w:t>adopted by the California Energy Commission</w:t>
      </w:r>
      <w:r w:rsidR="00F26AA6" w:rsidRPr="7D986B06">
        <w:rPr>
          <w:rFonts w:ascii="Tahoma" w:hAnsi="Tahoma" w:cs="Tahoma"/>
          <w:b/>
          <w:bCs/>
          <w:u w:val="single"/>
        </w:rPr>
        <w:t xml:space="preserve">. This includes connecting to a central management system using OCPP 2.0.1 or later for the purposes of reliability data reporting </w:t>
      </w:r>
      <w:r w:rsidR="00F26AA6" w:rsidRPr="7D986B06">
        <w:rPr>
          <w:rFonts w:ascii="Tahoma" w:hAnsi="Tahoma" w:cs="Tahoma"/>
          <w:b/>
          <w:bCs/>
          <w:i/>
          <w:iCs/>
          <w:u w:val="single"/>
        </w:rPr>
        <w:t>for applicable charging ports</w:t>
      </w:r>
      <w:r w:rsidR="00F26AA6" w:rsidRPr="7D986B06">
        <w:rPr>
          <w:rFonts w:ascii="Tahoma" w:hAnsi="Tahoma" w:cs="Tahoma"/>
          <w:b/>
          <w:bCs/>
          <w:u w:val="single"/>
        </w:rPr>
        <w:t>.</w:t>
      </w:r>
      <w:r w:rsidR="00F26AA6" w:rsidRPr="7D986B06">
        <w:rPr>
          <w:rFonts w:ascii="Tahoma" w:hAnsi="Tahoma" w:cs="Tahoma"/>
        </w:rPr>
        <w:t> </w:t>
      </w:r>
    </w:p>
    <w:p w14:paraId="476C7C33" w14:textId="110BA25B" w:rsidR="000B2D17" w:rsidRPr="00CC3EC2" w:rsidRDefault="006C683F" w:rsidP="006C683F">
      <w:pPr>
        <w:pStyle w:val="Heading2"/>
        <w:keepNext w:val="0"/>
        <w:numPr>
          <w:ilvl w:val="0"/>
          <w:numId w:val="2"/>
        </w:numPr>
        <w:spacing w:before="0" w:after="0"/>
        <w:ind w:left="720" w:hanging="720"/>
        <w:rPr>
          <w:rFonts w:ascii="Tahoma" w:eastAsiaTheme="majorEastAsia" w:hAnsi="Tahoma" w:cs="Tahoma"/>
          <w:bCs/>
          <w:smallCaps w:val="0"/>
          <w:sz w:val="24"/>
          <w:szCs w:val="24"/>
          <w:lang w:val="en-US" w:eastAsia="en-US"/>
        </w:rPr>
      </w:pPr>
      <w:r w:rsidRPr="00CC3EC2">
        <w:rPr>
          <w:rFonts w:ascii="Tahoma" w:eastAsiaTheme="majorEastAsia" w:hAnsi="Tahoma" w:cs="Tahoma"/>
          <w:bCs/>
          <w:smallCaps w:val="0"/>
          <w:sz w:val="24"/>
          <w:szCs w:val="24"/>
          <w:lang w:val="en-US" w:eastAsia="en-US"/>
        </w:rPr>
        <w:t>Section II</w:t>
      </w:r>
      <w:r w:rsidR="00A12A97" w:rsidRPr="00CC3EC2">
        <w:rPr>
          <w:rFonts w:ascii="Tahoma" w:eastAsiaTheme="majorEastAsia" w:hAnsi="Tahoma" w:cs="Tahoma"/>
          <w:bCs/>
          <w:smallCaps w:val="0"/>
          <w:sz w:val="24"/>
          <w:szCs w:val="24"/>
          <w:lang w:val="en-US" w:eastAsia="en-US"/>
        </w:rPr>
        <w:t>I</w:t>
      </w:r>
      <w:r w:rsidRPr="00CC3EC2">
        <w:rPr>
          <w:rFonts w:ascii="Tahoma" w:eastAsiaTheme="majorEastAsia" w:hAnsi="Tahoma" w:cs="Tahoma"/>
          <w:bCs/>
          <w:smallCaps w:val="0"/>
          <w:sz w:val="24"/>
          <w:szCs w:val="24"/>
          <w:lang w:val="en-US" w:eastAsia="en-US"/>
        </w:rPr>
        <w:t>.</w:t>
      </w:r>
      <w:r w:rsidR="00A12A97" w:rsidRPr="00CC3EC2">
        <w:rPr>
          <w:rFonts w:ascii="Tahoma" w:eastAsiaTheme="majorEastAsia" w:hAnsi="Tahoma" w:cs="Tahoma"/>
          <w:bCs/>
          <w:smallCaps w:val="0"/>
          <w:sz w:val="24"/>
          <w:szCs w:val="24"/>
          <w:lang w:val="en-US" w:eastAsia="en-US"/>
        </w:rPr>
        <w:t>D.3.</w:t>
      </w:r>
      <w:r w:rsidRPr="00CC3EC2">
        <w:rPr>
          <w:rFonts w:ascii="Tahoma" w:eastAsiaTheme="majorEastAsia" w:hAnsi="Tahoma" w:cs="Tahoma"/>
          <w:bCs/>
          <w:smallCaps w:val="0"/>
          <w:sz w:val="24"/>
          <w:szCs w:val="24"/>
          <w:lang w:val="en-US" w:eastAsia="en-US"/>
        </w:rPr>
        <w:t xml:space="preserve"> </w:t>
      </w:r>
      <w:r w:rsidR="00A86CC6">
        <w:rPr>
          <w:rFonts w:ascii="Tahoma" w:eastAsiaTheme="majorEastAsia" w:hAnsi="Tahoma" w:cs="Tahoma"/>
          <w:bCs/>
          <w:smallCaps w:val="0"/>
          <w:sz w:val="24"/>
          <w:szCs w:val="24"/>
          <w:lang w:val="en-US" w:eastAsia="en-US"/>
        </w:rPr>
        <w:t>Scope of Work</w:t>
      </w:r>
      <w:r w:rsidR="0010466C">
        <w:rPr>
          <w:rFonts w:ascii="Tahoma" w:eastAsiaTheme="majorEastAsia" w:hAnsi="Tahoma" w:cs="Tahoma"/>
          <w:bCs/>
          <w:smallCaps w:val="0"/>
          <w:sz w:val="24"/>
          <w:szCs w:val="24"/>
          <w:lang w:val="en-US" w:eastAsia="en-US"/>
        </w:rPr>
        <w:t xml:space="preserve"> (Atta</w:t>
      </w:r>
      <w:r w:rsidR="00592D80">
        <w:rPr>
          <w:rFonts w:ascii="Tahoma" w:eastAsiaTheme="majorEastAsia" w:hAnsi="Tahoma" w:cs="Tahoma"/>
          <w:bCs/>
          <w:smallCaps w:val="0"/>
          <w:sz w:val="24"/>
          <w:szCs w:val="24"/>
          <w:lang w:val="en-US" w:eastAsia="en-US"/>
        </w:rPr>
        <w:t>chment 2)</w:t>
      </w:r>
    </w:p>
    <w:p w14:paraId="7F52B8A7" w14:textId="77777777" w:rsidR="00A12A97" w:rsidRPr="00CC3EC2" w:rsidRDefault="00A12A97" w:rsidP="00A12A97">
      <w:pPr>
        <w:ind w:left="1080"/>
        <w:rPr>
          <w:rFonts w:ascii="Tahoma" w:hAnsi="Tahoma" w:cs="Tahoma"/>
          <w:b/>
        </w:rPr>
      </w:pPr>
    </w:p>
    <w:p w14:paraId="6D3BCC84" w14:textId="086AABF0" w:rsidR="00A12A97" w:rsidRPr="00CC3EC2" w:rsidRDefault="00A12A97" w:rsidP="00A12A97">
      <w:pPr>
        <w:ind w:left="720"/>
        <w:rPr>
          <w:rFonts w:ascii="Tahoma" w:hAnsi="Tahoma" w:cs="Tahoma"/>
        </w:rPr>
      </w:pPr>
      <w:r w:rsidRPr="00CC3EC2">
        <w:rPr>
          <w:rFonts w:ascii="Tahoma" w:hAnsi="Tahoma" w:cs="Tahoma"/>
        </w:rPr>
        <w:t>Applicants must include a completed Scope of Work utilizing the template contained in Attachment 2. Instructions for completing the Scope of Work as well as a sample are included in Attachment 3. The description of activities proposed in the Project Narrative must conform to the tasks described in the Scope of Work. Electronic files for the Scope of Work must be in MS Word.</w:t>
      </w:r>
    </w:p>
    <w:p w14:paraId="2A21D326" w14:textId="77777777" w:rsidR="00A12A97" w:rsidRPr="00CC3EC2" w:rsidRDefault="00A12A97" w:rsidP="00A12A97">
      <w:pPr>
        <w:ind w:left="1080"/>
        <w:rPr>
          <w:rFonts w:ascii="Tahoma" w:hAnsi="Tahoma" w:cs="Tahoma"/>
        </w:rPr>
      </w:pPr>
    </w:p>
    <w:p w14:paraId="6EAE218F" w14:textId="77777777" w:rsidR="00A12A97" w:rsidRPr="00CC3EC2" w:rsidRDefault="00A12A97" w:rsidP="00A12A97">
      <w:pPr>
        <w:ind w:left="720"/>
        <w:rPr>
          <w:rFonts w:ascii="Tahoma" w:hAnsi="Tahoma" w:cs="Tahoma"/>
          <w:b/>
          <w:bCs/>
          <w:u w:val="single"/>
        </w:rPr>
      </w:pPr>
      <w:r w:rsidRPr="00CC3EC2">
        <w:rPr>
          <w:rFonts w:ascii="Tahoma" w:hAnsi="Tahoma" w:cs="Tahoma"/>
          <w:b/>
          <w:bCs/>
          <w:u w:val="single"/>
        </w:rPr>
        <w:t>Please note, the information, requirements, and deliverables set forth in this Scope of Work template are provided for preliminary reference only and are subject to revision. CEC reserves the right to modify the Scope of Work at any time during the negotiation and development of a grant agreement.</w:t>
      </w:r>
    </w:p>
    <w:p w14:paraId="294A531A" w14:textId="77777777" w:rsidR="00A12A97" w:rsidRPr="00CC3EC2" w:rsidRDefault="00A12A97" w:rsidP="00A12A97">
      <w:pPr>
        <w:ind w:left="720"/>
        <w:rPr>
          <w:rFonts w:ascii="Tahoma" w:hAnsi="Tahoma" w:cs="Tahoma"/>
        </w:rPr>
      </w:pPr>
    </w:p>
    <w:p w14:paraId="2362D281" w14:textId="77777777" w:rsidR="00A12A97" w:rsidRPr="00CC3EC2" w:rsidRDefault="00A12A97" w:rsidP="00A12A97">
      <w:pPr>
        <w:ind w:left="720"/>
        <w:rPr>
          <w:rFonts w:ascii="Tahoma" w:hAnsi="Tahoma" w:cs="Tahoma"/>
        </w:rPr>
      </w:pPr>
      <w:r w:rsidRPr="00CC3EC2">
        <w:rPr>
          <w:rFonts w:ascii="Tahoma" w:hAnsi="Tahoma" w:cs="Tahoma"/>
        </w:rPr>
        <w:t>Applicants must present a comprehensive and credible Scope of Work which includes (presented in a logical manner) comprehensive and sequential tasks, products resulting from the individual tasks, and how the tasks are related to or are dependent on each other.</w:t>
      </w:r>
    </w:p>
    <w:p w14:paraId="353E0A34" w14:textId="229CFDAF" w:rsidR="000B2D17" w:rsidRPr="00CC3EC2" w:rsidRDefault="00A12A97" w:rsidP="00A12A97">
      <w:pPr>
        <w:spacing w:before="100" w:beforeAutospacing="1"/>
        <w:rPr>
          <w:rFonts w:ascii="Tahoma" w:eastAsia="Tahoma" w:hAnsi="Tahoma" w:cs="Tahoma"/>
          <w:b/>
          <w:bCs/>
        </w:rPr>
      </w:pPr>
      <w:r w:rsidRPr="00CC3EC2">
        <w:rPr>
          <w:rFonts w:ascii="Tahoma" w:eastAsia="Tahoma" w:hAnsi="Tahoma" w:cs="Tahoma"/>
          <w:b/>
          <w:bCs/>
        </w:rPr>
        <w:t>Attachment 2, Scope of Work</w:t>
      </w:r>
    </w:p>
    <w:p w14:paraId="1B156CBA" w14:textId="22BF8958" w:rsidR="00A12A97" w:rsidRPr="00CC3EC2" w:rsidRDefault="00A12A97" w:rsidP="00A12A97">
      <w:pPr>
        <w:pStyle w:val="ListParagraph"/>
        <w:numPr>
          <w:ilvl w:val="0"/>
          <w:numId w:val="2"/>
        </w:numPr>
        <w:spacing w:before="100" w:beforeAutospacing="1"/>
        <w:ind w:left="720" w:hanging="720"/>
        <w:rPr>
          <w:rFonts w:ascii="Tahoma" w:eastAsia="Tahoma" w:hAnsi="Tahoma" w:cs="Tahoma"/>
          <w:b/>
          <w:bCs/>
          <w:u w:val="single"/>
        </w:rPr>
      </w:pPr>
      <w:r w:rsidRPr="00CC3EC2">
        <w:rPr>
          <w:rFonts w:ascii="Tahoma" w:eastAsia="Tahoma" w:hAnsi="Tahoma" w:cs="Tahoma"/>
          <w:b/>
          <w:bCs/>
          <w:u w:val="single"/>
        </w:rPr>
        <w:t xml:space="preserve">The information, requirements, and deliverables set forth in this Scope of Work </w:t>
      </w:r>
      <w:r w:rsidR="009B6446">
        <w:rPr>
          <w:rFonts w:ascii="Tahoma" w:eastAsia="Tahoma" w:hAnsi="Tahoma" w:cs="Tahoma"/>
          <w:b/>
          <w:bCs/>
          <w:u w:val="single"/>
        </w:rPr>
        <w:t xml:space="preserve">template </w:t>
      </w:r>
      <w:r w:rsidRPr="00CC3EC2">
        <w:rPr>
          <w:rFonts w:ascii="Tahoma" w:eastAsia="Tahoma" w:hAnsi="Tahoma" w:cs="Tahoma"/>
          <w:b/>
          <w:bCs/>
          <w:u w:val="single"/>
        </w:rPr>
        <w:t>are provided for preliminary reference only and are subject to revision. CEC reserves the right to modify the Scope of Work at any time during the negotiation and development of a grant agreement.</w:t>
      </w:r>
    </w:p>
    <w:p w14:paraId="1CF6ACBD" w14:textId="77777777" w:rsidR="00A12A97" w:rsidRPr="00CC3EC2" w:rsidRDefault="00A12A97" w:rsidP="000B2D17">
      <w:pPr>
        <w:rPr>
          <w:rFonts w:ascii="Tahoma" w:hAnsi="Tahoma" w:cs="Tahoma"/>
        </w:rPr>
      </w:pPr>
    </w:p>
    <w:p w14:paraId="1FCC3A81" w14:textId="0948CAF1" w:rsidR="00A12A97" w:rsidRPr="00CC3EC2" w:rsidRDefault="00A12A97" w:rsidP="00A12A97">
      <w:pPr>
        <w:spacing w:before="100" w:beforeAutospacing="1"/>
        <w:rPr>
          <w:rFonts w:ascii="Tahoma" w:eastAsia="Tahoma" w:hAnsi="Tahoma" w:cs="Tahoma"/>
          <w:b/>
          <w:bCs/>
        </w:rPr>
      </w:pPr>
      <w:r w:rsidRPr="00CC3EC2">
        <w:rPr>
          <w:rFonts w:ascii="Tahoma" w:eastAsia="Tahoma" w:hAnsi="Tahoma" w:cs="Tahoma"/>
          <w:b/>
          <w:bCs/>
        </w:rPr>
        <w:t>Attachment 3, Scope of Work Instructions</w:t>
      </w:r>
    </w:p>
    <w:p w14:paraId="74E3BF48" w14:textId="78ED213B" w:rsidR="006C683F" w:rsidRPr="00CC3EC2" w:rsidRDefault="006C683F" w:rsidP="000B2D17">
      <w:pPr>
        <w:rPr>
          <w:rFonts w:ascii="Tahoma" w:hAnsi="Tahoma" w:cs="Tahoma"/>
        </w:rPr>
      </w:pPr>
    </w:p>
    <w:p w14:paraId="5696BB2A" w14:textId="58E17303" w:rsidR="00A12A97" w:rsidRPr="00CC3EC2" w:rsidRDefault="00FD04C3" w:rsidP="00003900">
      <w:pPr>
        <w:pStyle w:val="Heading2"/>
        <w:keepNext w:val="0"/>
        <w:numPr>
          <w:ilvl w:val="0"/>
          <w:numId w:val="2"/>
        </w:numPr>
        <w:spacing w:before="0" w:after="0"/>
        <w:ind w:left="720" w:hanging="720"/>
        <w:rPr>
          <w:rFonts w:ascii="Tahoma" w:eastAsiaTheme="majorEastAsia" w:hAnsi="Tahoma" w:cs="Tahoma"/>
          <w:bCs/>
          <w:smallCaps w:val="0"/>
          <w:sz w:val="24"/>
          <w:szCs w:val="24"/>
          <w:u w:val="single"/>
          <w:lang w:val="en-US" w:eastAsia="en-US"/>
        </w:rPr>
      </w:pPr>
      <w:r w:rsidRPr="00FD04C3">
        <w:rPr>
          <w:rFonts w:ascii="Tahoma" w:eastAsiaTheme="majorEastAsia" w:hAnsi="Tahoma" w:cs="Tahoma"/>
          <w:bCs/>
          <w:smallCaps w:val="0"/>
          <w:sz w:val="24"/>
          <w:szCs w:val="24"/>
          <w:u w:val="single"/>
          <w:lang w:val="en-US" w:eastAsia="en-US"/>
        </w:rPr>
        <w:t>The information, requirements, and deliverables set forth in the Scope of Work template (Attachment 2) are provided for preliminary reference only and are subject to revision. CEC reserves the right to modify the Scope of Work at any time during the negotiation and development of a grant agreement.</w:t>
      </w:r>
    </w:p>
    <w:p w14:paraId="419D91EF" w14:textId="77777777" w:rsidR="00831AC0" w:rsidRPr="00CC3EC2" w:rsidRDefault="00831AC0" w:rsidP="00831AC0">
      <w:pPr>
        <w:ind w:left="720"/>
        <w:rPr>
          <w:rFonts w:ascii="Tahoma" w:hAnsi="Tahoma" w:cs="Tahoma"/>
        </w:rPr>
      </w:pPr>
    </w:p>
    <w:p w14:paraId="61AB6F08" w14:textId="47591670" w:rsidR="00CC3EC2" w:rsidRPr="00CC3EC2" w:rsidRDefault="00CC3EC2" w:rsidP="00A12A97">
      <w:pPr>
        <w:rPr>
          <w:rFonts w:ascii="Tahoma" w:hAnsi="Tahoma" w:cs="Tahoma"/>
          <w:b/>
          <w:bCs/>
        </w:rPr>
      </w:pPr>
      <w:r w:rsidRPr="00CC3EC2">
        <w:rPr>
          <w:rFonts w:ascii="Tahoma" w:hAnsi="Tahoma" w:cs="Tahoma"/>
          <w:b/>
          <w:bCs/>
        </w:rPr>
        <w:t xml:space="preserve">Attachment </w:t>
      </w:r>
      <w:r w:rsidR="00047FB7">
        <w:rPr>
          <w:rFonts w:ascii="Tahoma" w:hAnsi="Tahoma" w:cs="Tahoma"/>
          <w:b/>
          <w:bCs/>
        </w:rPr>
        <w:t>14</w:t>
      </w:r>
      <w:r w:rsidRPr="00CC3EC2">
        <w:rPr>
          <w:rFonts w:ascii="Tahoma" w:hAnsi="Tahoma" w:cs="Tahoma"/>
          <w:b/>
          <w:bCs/>
        </w:rPr>
        <w:t>, Station Checklist</w:t>
      </w:r>
    </w:p>
    <w:p w14:paraId="58FD6B9D" w14:textId="77777777" w:rsidR="00CC3EC2" w:rsidRPr="00CC3EC2" w:rsidRDefault="00CC3EC2" w:rsidP="00A12A97">
      <w:pPr>
        <w:rPr>
          <w:rFonts w:ascii="Tahoma" w:hAnsi="Tahoma" w:cs="Tahoma"/>
          <w:b/>
          <w:bCs/>
        </w:rPr>
      </w:pPr>
    </w:p>
    <w:p w14:paraId="2D51DB5F" w14:textId="17FD2AFA" w:rsidR="00CC3EC2" w:rsidRPr="00CC3EC2" w:rsidRDefault="00CC3EC2" w:rsidP="00CC3EC2">
      <w:pPr>
        <w:pStyle w:val="ListParagraph"/>
        <w:numPr>
          <w:ilvl w:val="0"/>
          <w:numId w:val="2"/>
        </w:numPr>
        <w:ind w:left="720" w:hanging="720"/>
        <w:rPr>
          <w:rStyle w:val="normaltextrun"/>
          <w:rFonts w:ascii="Tahoma" w:hAnsi="Tahoma" w:cs="Tahoma"/>
          <w:b/>
          <w:bCs/>
        </w:rPr>
      </w:pPr>
      <w:r w:rsidRPr="00CC3EC2">
        <w:rPr>
          <w:rStyle w:val="normaltextrun"/>
          <w:rFonts w:ascii="Tahoma" w:eastAsia="Tahoma" w:hAnsi="Tahoma" w:cs="Tahoma"/>
          <w:color w:val="000000" w:themeColor="text1"/>
        </w:rPr>
        <w:t>[</w:t>
      </w:r>
      <w:r w:rsidRPr="00CC3EC2">
        <w:rPr>
          <w:rStyle w:val="normaltextrun"/>
          <w:rFonts w:ascii="Tahoma" w:eastAsia="Tahoma" w:hAnsi="Tahoma" w:cs="Tahoma"/>
          <w:strike/>
          <w:color w:val="000000" w:themeColor="text1"/>
        </w:rPr>
        <w:t xml:space="preserve">The charging port must be Energy Star certified and listed on the </w:t>
      </w:r>
      <w:hyperlink r:id="rId12">
        <w:r w:rsidRPr="00CC3EC2">
          <w:rPr>
            <w:rStyle w:val="Hyperlink"/>
            <w:rFonts w:ascii="Tahoma" w:eastAsia="Tahoma" w:hAnsi="Tahoma" w:cs="Tahoma"/>
            <w:strike/>
          </w:rPr>
          <w:t>Energy Star Product Finder Page</w:t>
        </w:r>
      </w:hyperlink>
      <w:r w:rsidRPr="00CC3EC2">
        <w:rPr>
          <w:rStyle w:val="normaltextrun"/>
          <w:rFonts w:ascii="Tahoma" w:eastAsia="Tahoma" w:hAnsi="Tahoma" w:cs="Tahoma"/>
          <w:strike/>
          <w:color w:val="000000" w:themeColor="text1"/>
        </w:rPr>
        <w:t xml:space="preserve">. They do not have to be certified at the time of submitting the proposal but must be certified prior to submitting an invoice that seeks repayment </w:t>
      </w:r>
      <w:proofErr w:type="gramStart"/>
      <w:r w:rsidRPr="00CC3EC2">
        <w:rPr>
          <w:rStyle w:val="normaltextrun"/>
          <w:rFonts w:ascii="Tahoma" w:eastAsia="Tahoma" w:hAnsi="Tahoma" w:cs="Tahoma"/>
          <w:strike/>
          <w:color w:val="000000" w:themeColor="text1"/>
        </w:rPr>
        <w:t>for</w:t>
      </w:r>
      <w:proofErr w:type="gramEnd"/>
      <w:r w:rsidRPr="00CC3EC2">
        <w:rPr>
          <w:rStyle w:val="normaltextrun"/>
          <w:rFonts w:ascii="Tahoma" w:eastAsia="Tahoma" w:hAnsi="Tahoma" w:cs="Tahoma"/>
          <w:strike/>
          <w:color w:val="000000" w:themeColor="text1"/>
        </w:rPr>
        <w:t xml:space="preserve"> the chargers. Chargers over 350 kW are not required to be Energy Star certified.</w:t>
      </w:r>
      <w:r w:rsidRPr="00C15AEC">
        <w:rPr>
          <w:rStyle w:val="normaltextrun"/>
          <w:rFonts w:ascii="Tahoma" w:eastAsia="Tahoma" w:hAnsi="Tahoma" w:cs="Tahoma"/>
          <w:color w:val="000000" w:themeColor="text1"/>
        </w:rPr>
        <w:t>]</w:t>
      </w:r>
      <w:r w:rsidRPr="00CC3EC2">
        <w:rPr>
          <w:rStyle w:val="normaltextrun"/>
          <w:rFonts w:ascii="Tahoma" w:eastAsia="Tahoma" w:hAnsi="Tahoma" w:cs="Tahoma"/>
          <w:color w:val="000000" w:themeColor="text1"/>
        </w:rPr>
        <w:t> </w:t>
      </w:r>
      <w:r w:rsidRPr="00CC3EC2">
        <w:rPr>
          <w:rStyle w:val="normaltextrun"/>
          <w:rFonts w:ascii="Tahoma" w:eastAsia="Tahoma" w:hAnsi="Tahoma" w:cs="Tahoma"/>
          <w:color w:val="000000" w:themeColor="text1"/>
        </w:rPr>
        <w:br/>
      </w:r>
    </w:p>
    <w:p w14:paraId="1852C4FC" w14:textId="5BAEDCD7" w:rsidR="00CC3EC2" w:rsidRPr="00CC3EC2" w:rsidRDefault="00DC50EE" w:rsidP="00CC3EC2">
      <w:pPr>
        <w:pStyle w:val="ListParagraph"/>
        <w:numPr>
          <w:ilvl w:val="0"/>
          <w:numId w:val="2"/>
        </w:numPr>
        <w:ind w:left="720" w:hanging="720"/>
        <w:rPr>
          <w:rFonts w:ascii="Tahoma" w:hAnsi="Tahoma" w:cs="Tahoma"/>
          <w:b/>
          <w:bCs/>
        </w:rPr>
      </w:pPr>
      <w:r w:rsidRPr="00DC50EE">
        <w:rPr>
          <w:rFonts w:ascii="Tahoma" w:hAnsi="Tahoma" w:cs="Tahoma"/>
        </w:rPr>
        <w:t>T</w:t>
      </w:r>
      <w:r w:rsidR="00CC3EC2" w:rsidRPr="00CC3EC2">
        <w:rPr>
          <w:rFonts w:ascii="Tahoma" w:hAnsi="Tahoma" w:cs="Tahoma"/>
        </w:rPr>
        <w:t xml:space="preserve">he charging ports must conform to OCPP 2.0.1 or later. Manufacturers must attest that the charger conforms to OCPP 2.0.1 or later by detailing it on a publicly available charger specification sheet.   </w:t>
      </w:r>
      <w:r w:rsidR="00CC3EC2" w:rsidRPr="00CC3EC2">
        <w:rPr>
          <w:rFonts w:ascii="Tahoma" w:hAnsi="Tahoma" w:cs="Tahoma"/>
        </w:rPr>
        <w:br/>
      </w:r>
    </w:p>
    <w:p w14:paraId="02AB4E75" w14:textId="1115C002" w:rsidR="00CC3EC2" w:rsidRPr="00CC3EC2" w:rsidRDefault="00CC3EC2" w:rsidP="00CC3EC2">
      <w:pPr>
        <w:pStyle w:val="ListParagraph"/>
        <w:numPr>
          <w:ilvl w:val="0"/>
          <w:numId w:val="2"/>
        </w:numPr>
        <w:ind w:left="720" w:hanging="720"/>
        <w:rPr>
          <w:rStyle w:val="normaltextrun"/>
          <w:rFonts w:ascii="Tahoma" w:hAnsi="Tahoma" w:cs="Tahoma"/>
          <w:b/>
          <w:bCs/>
        </w:rPr>
      </w:pPr>
      <w:r w:rsidRPr="7D986B06">
        <w:rPr>
          <w:rFonts w:ascii="Tahoma" w:hAnsi="Tahoma" w:cs="Tahoma"/>
          <w:b/>
          <w:bCs/>
          <w:u w:val="single"/>
        </w:rPr>
        <w:t>For Public Access, t</w:t>
      </w:r>
      <w:r w:rsidRPr="7D986B06">
        <w:rPr>
          <w:rFonts w:ascii="Tahoma" w:hAnsi="Tahoma" w:cs="Tahoma"/>
          <w:u w:val="single"/>
        </w:rPr>
        <w:t>[</w:t>
      </w:r>
      <w:r w:rsidRPr="7D986B06">
        <w:rPr>
          <w:rFonts w:ascii="Tahoma" w:hAnsi="Tahoma" w:cs="Tahoma"/>
          <w:strike/>
        </w:rPr>
        <w:t>T</w:t>
      </w:r>
      <w:r w:rsidRPr="7D986B06">
        <w:rPr>
          <w:rFonts w:ascii="Tahoma" w:hAnsi="Tahoma" w:cs="Tahoma"/>
        </w:rPr>
        <w:t>]</w:t>
      </w:r>
      <w:proofErr w:type="gramStart"/>
      <w:r w:rsidRPr="7D986B06">
        <w:rPr>
          <w:rFonts w:ascii="Tahoma" w:hAnsi="Tahoma" w:cs="Tahoma"/>
        </w:rPr>
        <w:t>he</w:t>
      </w:r>
      <w:proofErr w:type="gramEnd"/>
      <w:r w:rsidRPr="7D986B06">
        <w:rPr>
          <w:rStyle w:val="normaltextrun"/>
          <w:rFonts w:ascii="Tahoma" w:eastAsia="Tahoma" w:hAnsi="Tahoma" w:cs="Tahoma"/>
          <w:color w:val="000000" w:themeColor="text1"/>
        </w:rPr>
        <w:t xml:space="preserve"> charging port’s networking software must connect to a central management system using OCPP 2.0.1 for the purposes of charger management and data reporting, including for reliability data reporting requirements specified in the solicitation Scope of Work.</w:t>
      </w:r>
      <w:r w:rsidR="007C2A3F" w:rsidRPr="7D986B06">
        <w:rPr>
          <w:rStyle w:val="normaltextrun"/>
          <w:rFonts w:ascii="Tahoma" w:eastAsia="Tahoma" w:hAnsi="Tahoma" w:cs="Tahoma"/>
          <w:color w:val="000000" w:themeColor="text1"/>
        </w:rPr>
        <w:t xml:space="preserve"> </w:t>
      </w:r>
      <w:r w:rsidR="007C2A3F" w:rsidRPr="7D986B06">
        <w:rPr>
          <w:rFonts w:ascii="Tahoma" w:eastAsia="Tahoma" w:hAnsi="Tahoma" w:cs="Tahoma"/>
          <w:b/>
          <w:bCs/>
          <w:color w:val="000000" w:themeColor="text1"/>
          <w:u w:val="single"/>
        </w:rPr>
        <w:t xml:space="preserve">Charging ports must comply with regulatory requirements under Assembly Bill 2061 once the regulation is </w:t>
      </w:r>
      <w:r w:rsidR="008B14B8" w:rsidRPr="7D986B06">
        <w:rPr>
          <w:rFonts w:ascii="Tahoma" w:eastAsia="Tahoma" w:hAnsi="Tahoma" w:cs="Tahoma"/>
          <w:b/>
          <w:bCs/>
          <w:color w:val="000000" w:themeColor="text1"/>
          <w:u w:val="single"/>
        </w:rPr>
        <w:t>adopted by the California Energy Commission</w:t>
      </w:r>
      <w:r w:rsidR="007C2A3F" w:rsidRPr="7D986B06">
        <w:rPr>
          <w:rFonts w:ascii="Tahoma" w:eastAsia="Tahoma" w:hAnsi="Tahoma" w:cs="Tahoma"/>
          <w:b/>
          <w:bCs/>
          <w:color w:val="000000" w:themeColor="text1"/>
          <w:u w:val="single"/>
        </w:rPr>
        <w:t xml:space="preserve">. This includes connecting to a central management system using OCPP 2.0.1 or later for the purposes of reliability data reporting </w:t>
      </w:r>
      <w:r w:rsidR="007C2A3F" w:rsidRPr="7D986B06">
        <w:rPr>
          <w:rFonts w:ascii="Tahoma" w:eastAsia="Tahoma" w:hAnsi="Tahoma" w:cs="Tahoma"/>
          <w:b/>
          <w:bCs/>
          <w:i/>
          <w:iCs/>
          <w:color w:val="000000" w:themeColor="text1"/>
          <w:u w:val="single"/>
        </w:rPr>
        <w:t>for applicable charging ports</w:t>
      </w:r>
      <w:r w:rsidR="007C2A3F" w:rsidRPr="7D986B06">
        <w:rPr>
          <w:rFonts w:ascii="Tahoma" w:eastAsia="Tahoma" w:hAnsi="Tahoma" w:cs="Tahoma"/>
          <w:b/>
          <w:bCs/>
          <w:color w:val="000000" w:themeColor="text1"/>
          <w:u w:val="single"/>
        </w:rPr>
        <w:t>.</w:t>
      </w:r>
      <w:r w:rsidR="007C2A3F" w:rsidRPr="7D986B06">
        <w:rPr>
          <w:rFonts w:ascii="Tahoma" w:eastAsia="Tahoma" w:hAnsi="Tahoma" w:cs="Tahoma"/>
          <w:color w:val="000000" w:themeColor="text1"/>
        </w:rPr>
        <w:t> </w:t>
      </w:r>
      <w:r>
        <w:br/>
      </w:r>
    </w:p>
    <w:p w14:paraId="617CE2CC" w14:textId="08CF81FE" w:rsidR="00707AE0" w:rsidRDefault="000914DE" w:rsidP="0018235D">
      <w:pPr>
        <w:keepNext/>
        <w:rPr>
          <w:rFonts w:ascii="Tahoma" w:hAnsi="Tahoma" w:cs="Tahoma"/>
          <w:b/>
          <w:bCs/>
        </w:rPr>
      </w:pPr>
      <w:r w:rsidRPr="00CC3EC2">
        <w:rPr>
          <w:rFonts w:ascii="Tahoma" w:hAnsi="Tahoma" w:cs="Tahoma"/>
          <w:b/>
          <w:bCs/>
        </w:rPr>
        <w:lastRenderedPageBreak/>
        <w:t>Questions and Answers</w:t>
      </w:r>
    </w:p>
    <w:p w14:paraId="0D73FB84" w14:textId="77777777" w:rsidR="00C221D4" w:rsidRPr="00CC3EC2" w:rsidRDefault="00C221D4" w:rsidP="0018235D">
      <w:pPr>
        <w:keepNext/>
        <w:rPr>
          <w:rStyle w:val="normaltextrun"/>
          <w:rFonts w:ascii="Tahoma" w:hAnsi="Tahoma" w:cs="Tahoma"/>
          <w:b/>
          <w:bCs/>
        </w:rPr>
      </w:pPr>
    </w:p>
    <w:p w14:paraId="3856184C" w14:textId="5971C96F" w:rsidR="00FE19C1" w:rsidRDefault="00FE19C1" w:rsidP="00FE19C1">
      <w:pPr>
        <w:ind w:left="720" w:hanging="720"/>
        <w:rPr>
          <w:rFonts w:ascii="Tahoma" w:hAnsi="Tahoma" w:cs="Tahoma"/>
        </w:rPr>
      </w:pPr>
      <w:r>
        <w:rPr>
          <w:rFonts w:ascii="Tahoma" w:hAnsi="Tahoma" w:cs="Tahoma"/>
          <w:b/>
        </w:rPr>
        <w:t xml:space="preserve">Q12.  </w:t>
      </w:r>
      <w:r w:rsidRPr="00566C23">
        <w:rPr>
          <w:rFonts w:ascii="Tahoma" w:hAnsi="Tahoma" w:cs="Tahoma"/>
          <w:b/>
        </w:rPr>
        <w:t xml:space="preserve">How does this solicitation assess the charging port capacity? In </w:t>
      </w:r>
      <w:proofErr w:type="gramStart"/>
      <w:r w:rsidRPr="00566C23">
        <w:rPr>
          <w:rFonts w:ascii="Tahoma" w:hAnsi="Tahoma" w:cs="Tahoma"/>
          <w:b/>
        </w:rPr>
        <w:t>the instance</w:t>
      </w:r>
      <w:proofErr w:type="gramEnd"/>
      <w:r w:rsidRPr="00566C23">
        <w:rPr>
          <w:rFonts w:ascii="Tahoma" w:hAnsi="Tahoma" w:cs="Tahoma"/>
          <w:b/>
        </w:rPr>
        <w:t xml:space="preserve"> where a 360 kW Power Cabinet supports three charging ports, charging capacity varies based on how many </w:t>
      </w:r>
      <w:proofErr w:type="gramStart"/>
      <w:r w:rsidRPr="00566C23">
        <w:rPr>
          <w:rFonts w:ascii="Tahoma" w:hAnsi="Tahoma" w:cs="Tahoma"/>
          <w:b/>
        </w:rPr>
        <w:t>port</w:t>
      </w:r>
      <w:proofErr w:type="gramEnd"/>
      <w:r w:rsidRPr="00566C23">
        <w:rPr>
          <w:rFonts w:ascii="Tahoma" w:hAnsi="Tahoma" w:cs="Tahoma"/>
          <w:b/>
        </w:rPr>
        <w:t xml:space="preserve"> are active simultaneously, 360 kW if only one port is active, 180 kW two ports are simultaneously active and 90 kW when three ports are simultaneously active. Is the maximum, average, minimum, or other </w:t>
      </w:r>
      <w:proofErr w:type="gramStart"/>
      <w:r w:rsidRPr="00566C23">
        <w:rPr>
          <w:rFonts w:ascii="Tahoma" w:hAnsi="Tahoma" w:cs="Tahoma"/>
          <w:b/>
        </w:rPr>
        <w:t>factor</w:t>
      </w:r>
      <w:proofErr w:type="gramEnd"/>
      <w:r w:rsidRPr="00566C23">
        <w:rPr>
          <w:rFonts w:ascii="Tahoma" w:hAnsi="Tahoma" w:cs="Tahoma"/>
          <w:b/>
        </w:rPr>
        <w:t xml:space="preserve"> considered </w:t>
      </w:r>
      <w:proofErr w:type="gramStart"/>
      <w:r w:rsidRPr="00566C23">
        <w:rPr>
          <w:rFonts w:ascii="Tahoma" w:hAnsi="Tahoma" w:cs="Tahoma"/>
          <w:b/>
        </w:rPr>
        <w:t>for the amount of</w:t>
      </w:r>
      <w:proofErr w:type="gramEnd"/>
      <w:r w:rsidRPr="00566C23">
        <w:rPr>
          <w:rFonts w:ascii="Tahoma" w:hAnsi="Tahoma" w:cs="Tahoma"/>
          <w:b/>
        </w:rPr>
        <w:t xml:space="preserve"> eligible funding available?</w:t>
      </w:r>
      <w:r w:rsidRPr="00566C23">
        <w:rPr>
          <w:rFonts w:ascii="Tahoma" w:hAnsi="Tahoma" w:cs="Tahoma"/>
        </w:rPr>
        <w:t> </w:t>
      </w:r>
    </w:p>
    <w:p w14:paraId="59EEE796" w14:textId="77777777" w:rsidR="00FE19C1" w:rsidRPr="00566C23" w:rsidRDefault="00FE19C1" w:rsidP="00FE19C1">
      <w:pPr>
        <w:ind w:left="720" w:hanging="720"/>
        <w:rPr>
          <w:rFonts w:ascii="Tahoma" w:hAnsi="Tahoma" w:cs="Tahoma"/>
        </w:rPr>
      </w:pPr>
    </w:p>
    <w:p w14:paraId="3D374660" w14:textId="77777777" w:rsidR="00FE19C1" w:rsidRDefault="00FE19C1" w:rsidP="00FE19C1">
      <w:pPr>
        <w:ind w:left="720" w:hanging="720"/>
        <w:rPr>
          <w:rFonts w:ascii="Tahoma" w:hAnsi="Tahoma" w:cs="Tahoma"/>
        </w:rPr>
      </w:pPr>
      <w:r w:rsidRPr="00566C23">
        <w:rPr>
          <w:rFonts w:ascii="Tahoma" w:hAnsi="Tahoma" w:cs="Tahoma"/>
        </w:rPr>
        <w:t>A</w:t>
      </w:r>
      <w:r>
        <w:rPr>
          <w:rFonts w:ascii="Tahoma" w:hAnsi="Tahoma" w:cs="Tahoma"/>
        </w:rPr>
        <w:t>12</w:t>
      </w:r>
      <w:r w:rsidRPr="00566C23">
        <w:rPr>
          <w:rFonts w:ascii="Tahoma" w:hAnsi="Tahoma" w:cs="Tahoma"/>
        </w:rPr>
        <w:t>.</w:t>
      </w:r>
      <w:r w:rsidRPr="00566C23">
        <w:rPr>
          <w:rFonts w:ascii="Tahoma" w:hAnsi="Tahoma" w:cs="Tahoma"/>
        </w:rPr>
        <w:t> </w:t>
      </w:r>
      <w:r w:rsidRPr="00566C23">
        <w:rPr>
          <w:rFonts w:ascii="Tahoma" w:hAnsi="Tahoma" w:cs="Tahoma"/>
        </w:rPr>
        <w:tab/>
        <w:t xml:space="preserve">Please see Addendum </w:t>
      </w:r>
      <w:r>
        <w:rPr>
          <w:rFonts w:ascii="Tahoma" w:hAnsi="Tahoma" w:cs="Tahoma"/>
        </w:rPr>
        <w:t>[</w:t>
      </w:r>
      <w:r w:rsidRPr="00867993">
        <w:rPr>
          <w:rFonts w:ascii="Tahoma" w:hAnsi="Tahoma" w:cs="Tahoma"/>
          <w:strike/>
        </w:rPr>
        <w:t>8</w:t>
      </w:r>
      <w:r>
        <w:rPr>
          <w:rFonts w:ascii="Tahoma" w:hAnsi="Tahoma" w:cs="Tahoma"/>
        </w:rPr>
        <w:t xml:space="preserve">] </w:t>
      </w:r>
      <w:r>
        <w:rPr>
          <w:rFonts w:ascii="Tahoma" w:hAnsi="Tahoma" w:cs="Tahoma"/>
          <w:b/>
          <w:bCs/>
          <w:u w:val="single"/>
        </w:rPr>
        <w:t>9</w:t>
      </w:r>
      <w:r w:rsidRPr="00566C23">
        <w:rPr>
          <w:rFonts w:ascii="Tahoma" w:hAnsi="Tahoma" w:cs="Tahoma"/>
        </w:rPr>
        <w:t xml:space="preserve">, which no longer sets a maximum award amount per charging port. Projects will be evaluated </w:t>
      </w:r>
      <w:proofErr w:type="gramStart"/>
      <w:r w:rsidRPr="00566C23">
        <w:rPr>
          <w:rFonts w:ascii="Tahoma" w:hAnsi="Tahoma" w:cs="Tahoma"/>
        </w:rPr>
        <w:t>on</w:t>
      </w:r>
      <w:proofErr w:type="gramEnd"/>
      <w:r w:rsidRPr="00566C23">
        <w:rPr>
          <w:rFonts w:ascii="Tahoma" w:hAnsi="Tahoma" w:cs="Tahoma"/>
        </w:rPr>
        <w:t xml:space="preserve"> the degree to which the proposed infrastructure demonstrates a highly cost-effective use of CEC funds, with a low cost per charging port or refueling position relative to the power level or refueling capacity. Projects will be evaluated on both the dollar-per-port or refueling position and the dollar-per kW or kg.  </w:t>
      </w:r>
    </w:p>
    <w:p w14:paraId="0C93A566" w14:textId="77777777" w:rsidR="00FE19C1" w:rsidRPr="00566C23" w:rsidRDefault="00FE19C1" w:rsidP="00FE19C1">
      <w:pPr>
        <w:ind w:left="720" w:hanging="720"/>
        <w:rPr>
          <w:rFonts w:ascii="Tahoma" w:hAnsi="Tahoma" w:cs="Tahoma"/>
        </w:rPr>
      </w:pPr>
    </w:p>
    <w:p w14:paraId="173CE956" w14:textId="77777777" w:rsidR="00FE19C1" w:rsidRDefault="00FE19C1" w:rsidP="00FE19C1">
      <w:pPr>
        <w:ind w:left="720"/>
        <w:rPr>
          <w:rFonts w:ascii="Tahoma" w:hAnsi="Tahoma" w:cs="Tahoma"/>
        </w:rPr>
      </w:pPr>
      <w:r w:rsidRPr="00566C23">
        <w:rPr>
          <w:rFonts w:ascii="Tahoma" w:hAnsi="Tahoma" w:cs="Tahoma"/>
        </w:rPr>
        <w:t xml:space="preserve">Please see Section I.E. How Award is Determined and Section I.G. Minimum Infrastructure Requirements and Maximum Award Amounts. </w:t>
      </w:r>
    </w:p>
    <w:p w14:paraId="724D31A8" w14:textId="77777777" w:rsidR="00F33AC1" w:rsidRDefault="00F33AC1" w:rsidP="00FE19C1">
      <w:pPr>
        <w:ind w:left="720"/>
        <w:rPr>
          <w:rFonts w:ascii="Tahoma" w:hAnsi="Tahoma" w:cs="Tahoma"/>
        </w:rPr>
      </w:pPr>
    </w:p>
    <w:p w14:paraId="1C8E9324" w14:textId="1D076291" w:rsidR="00F33AC1" w:rsidRPr="00566C23" w:rsidRDefault="00F33AC1" w:rsidP="009B6446">
      <w:pPr>
        <w:ind w:left="720" w:hanging="720"/>
        <w:rPr>
          <w:rFonts w:ascii="Tahoma" w:hAnsi="Tahoma" w:cs="Tahoma"/>
        </w:rPr>
      </w:pPr>
      <w:r w:rsidRPr="00566C23">
        <w:rPr>
          <w:rFonts w:ascii="Tahoma" w:eastAsia="Tahoma" w:hAnsi="Tahoma" w:cs="Tahoma"/>
          <w:b/>
          <w:bCs/>
        </w:rPr>
        <w:t>Q</w:t>
      </w:r>
      <w:r>
        <w:rPr>
          <w:rFonts w:ascii="Tahoma" w:eastAsia="Tahoma" w:hAnsi="Tahoma" w:cs="Tahoma"/>
          <w:b/>
          <w:bCs/>
        </w:rPr>
        <w:t>13</w:t>
      </w:r>
      <w:r w:rsidRPr="00566C23">
        <w:rPr>
          <w:rFonts w:ascii="Tahoma" w:eastAsia="Tahoma" w:hAnsi="Tahoma" w:cs="Tahoma"/>
          <w:b/>
          <w:bCs/>
        </w:rPr>
        <w:t>:</w:t>
      </w:r>
      <w:r w:rsidRPr="000A6E3F">
        <w:rPr>
          <w:rFonts w:ascii="Tahoma" w:hAnsi="Tahoma" w:cs="Tahoma"/>
        </w:rPr>
        <w:tab/>
      </w:r>
      <w:r w:rsidRPr="00566C23">
        <w:rPr>
          <w:rFonts w:ascii="Tahoma" w:hAnsi="Tahoma" w:cs="Tahoma"/>
          <w:b/>
        </w:rPr>
        <w:t xml:space="preserve">As written, this solicitation appears to encourage eliminating a charging port if the minimum simultaneous delivery is used as an applicant could receive $225,000 for a </w:t>
      </w:r>
      <w:proofErr w:type="gramStart"/>
      <w:r w:rsidRPr="00566C23">
        <w:rPr>
          <w:rFonts w:ascii="Tahoma" w:hAnsi="Tahoma" w:cs="Tahoma"/>
          <w:b/>
        </w:rPr>
        <w:t>three port</w:t>
      </w:r>
      <w:proofErr w:type="gramEnd"/>
      <w:r w:rsidRPr="00566C23">
        <w:rPr>
          <w:rFonts w:ascii="Tahoma" w:hAnsi="Tahoma" w:cs="Tahoma"/>
          <w:b/>
        </w:rPr>
        <w:t xml:space="preserve"> configuration ($75,000 * 3) and $500,000 ($250,000 * 2) for a </w:t>
      </w:r>
      <w:proofErr w:type="gramStart"/>
      <w:r w:rsidRPr="00566C23">
        <w:rPr>
          <w:rFonts w:ascii="Tahoma" w:hAnsi="Tahoma" w:cs="Tahoma"/>
          <w:b/>
        </w:rPr>
        <w:t>two port</w:t>
      </w:r>
      <w:proofErr w:type="gramEnd"/>
      <w:r w:rsidRPr="00566C23">
        <w:rPr>
          <w:rFonts w:ascii="Tahoma" w:hAnsi="Tahoma" w:cs="Tahoma"/>
          <w:b/>
        </w:rPr>
        <w:t xml:space="preserve"> configuration with the same power cabinet. Is the goal of the CEC to have higher power ratings for all applications as opposed to more charging ports? This seems like an odd incentive as it is cheaper to have a </w:t>
      </w:r>
      <w:proofErr w:type="gramStart"/>
      <w:r w:rsidRPr="00566C23">
        <w:rPr>
          <w:rFonts w:ascii="Tahoma" w:hAnsi="Tahoma" w:cs="Tahoma"/>
          <w:b/>
        </w:rPr>
        <w:t>two port</w:t>
      </w:r>
      <w:proofErr w:type="gramEnd"/>
      <w:r w:rsidRPr="00566C23">
        <w:rPr>
          <w:rFonts w:ascii="Tahoma" w:hAnsi="Tahoma" w:cs="Tahoma"/>
          <w:b/>
        </w:rPr>
        <w:t xml:space="preserve"> configuration than a </w:t>
      </w:r>
      <w:proofErr w:type="gramStart"/>
      <w:r w:rsidRPr="00566C23">
        <w:rPr>
          <w:rFonts w:ascii="Tahoma" w:hAnsi="Tahoma" w:cs="Tahoma"/>
          <w:b/>
        </w:rPr>
        <w:t>three port</w:t>
      </w:r>
      <w:proofErr w:type="gramEnd"/>
      <w:r w:rsidRPr="00566C23">
        <w:rPr>
          <w:rFonts w:ascii="Tahoma" w:hAnsi="Tahoma" w:cs="Tahoma"/>
          <w:b/>
        </w:rPr>
        <w:t xml:space="preserve"> configuration, but it is rewarded with more eligible dollars.</w:t>
      </w:r>
      <w:r w:rsidRPr="00566C23">
        <w:rPr>
          <w:rFonts w:ascii="Tahoma" w:hAnsi="Tahoma" w:cs="Tahoma"/>
        </w:rPr>
        <w:t> </w:t>
      </w:r>
    </w:p>
    <w:p w14:paraId="5EAD6531" w14:textId="24AF8E64" w:rsidR="00FE19C1" w:rsidRDefault="00F33AC1" w:rsidP="00F33AC1">
      <w:pPr>
        <w:spacing w:before="100" w:beforeAutospacing="1" w:after="100" w:afterAutospacing="1"/>
        <w:ind w:left="720" w:hanging="720"/>
        <w:rPr>
          <w:rFonts w:ascii="Tahoma" w:hAnsi="Tahoma" w:cs="Tahoma"/>
          <w:b/>
          <w:u w:val="single"/>
        </w:rPr>
      </w:pPr>
      <w:r w:rsidRPr="00566C23">
        <w:rPr>
          <w:rFonts w:ascii="Tahoma" w:hAnsi="Tahoma" w:cs="Tahoma"/>
        </w:rPr>
        <w:t>A</w:t>
      </w:r>
      <w:r>
        <w:rPr>
          <w:rFonts w:ascii="Tahoma" w:hAnsi="Tahoma" w:cs="Tahoma"/>
        </w:rPr>
        <w:t>13</w:t>
      </w:r>
      <w:r w:rsidRPr="00566C23">
        <w:rPr>
          <w:rFonts w:ascii="Tahoma" w:hAnsi="Tahoma" w:cs="Tahoma"/>
        </w:rPr>
        <w:t>.</w:t>
      </w:r>
      <w:r w:rsidRPr="00566C23">
        <w:rPr>
          <w:rFonts w:ascii="Tahoma" w:hAnsi="Tahoma" w:cs="Tahoma"/>
        </w:rPr>
        <w:t> </w:t>
      </w:r>
      <w:r w:rsidRPr="00566C23">
        <w:rPr>
          <w:rFonts w:ascii="Tahoma" w:hAnsi="Tahoma" w:cs="Tahoma"/>
        </w:rPr>
        <w:tab/>
        <w:t xml:space="preserve">The CEC does not </w:t>
      </w:r>
      <w:proofErr w:type="gramStart"/>
      <w:r w:rsidRPr="00566C23">
        <w:rPr>
          <w:rFonts w:ascii="Tahoma" w:hAnsi="Tahoma" w:cs="Tahoma"/>
        </w:rPr>
        <w:t>have a preference for</w:t>
      </w:r>
      <w:proofErr w:type="gramEnd"/>
      <w:r w:rsidRPr="00566C23">
        <w:rPr>
          <w:rFonts w:ascii="Tahoma" w:hAnsi="Tahoma" w:cs="Tahoma"/>
        </w:rPr>
        <w:t xml:space="preserve"> higher power ratings over the number of charging ports. Applicants are encouraged to focus on the infrastructure needs for planned ZEVs and choose the infrastructure type(s) accordingly. Please see Addendum </w:t>
      </w:r>
      <w:r>
        <w:rPr>
          <w:rFonts w:ascii="Tahoma" w:hAnsi="Tahoma" w:cs="Tahoma"/>
        </w:rPr>
        <w:t>[</w:t>
      </w:r>
      <w:r w:rsidRPr="00867993">
        <w:rPr>
          <w:rFonts w:ascii="Tahoma" w:hAnsi="Tahoma" w:cs="Tahoma"/>
          <w:strike/>
        </w:rPr>
        <w:t>8</w:t>
      </w:r>
      <w:r>
        <w:rPr>
          <w:rFonts w:ascii="Tahoma" w:hAnsi="Tahoma" w:cs="Tahoma"/>
        </w:rPr>
        <w:t xml:space="preserve">] </w:t>
      </w:r>
      <w:r>
        <w:rPr>
          <w:rFonts w:ascii="Tahoma" w:hAnsi="Tahoma" w:cs="Tahoma"/>
          <w:b/>
          <w:bCs/>
          <w:u w:val="single"/>
        </w:rPr>
        <w:t>9</w:t>
      </w:r>
      <w:r w:rsidRPr="00566C23">
        <w:rPr>
          <w:rFonts w:ascii="Tahoma" w:hAnsi="Tahoma" w:cs="Tahoma"/>
        </w:rPr>
        <w:t>, which no longer sets a maximum award amount per charging port.</w:t>
      </w:r>
    </w:p>
    <w:p w14:paraId="42FC95C3" w14:textId="77777777" w:rsidR="00F70DEB" w:rsidRDefault="00F70DEB" w:rsidP="00F70DEB">
      <w:pPr>
        <w:ind w:left="720" w:hanging="720"/>
        <w:rPr>
          <w:rFonts w:ascii="Tahoma" w:eastAsia="Tahoma" w:hAnsi="Tahoma" w:cs="Tahoma"/>
          <w:b/>
          <w:bCs/>
        </w:rPr>
      </w:pPr>
      <w:r w:rsidRPr="00566C23">
        <w:rPr>
          <w:rFonts w:ascii="Tahoma" w:eastAsia="Tahoma" w:hAnsi="Tahoma" w:cs="Tahoma"/>
          <w:b/>
          <w:bCs/>
        </w:rPr>
        <w:t>Q</w:t>
      </w:r>
      <w:r>
        <w:rPr>
          <w:rFonts w:ascii="Tahoma" w:eastAsia="Tahoma" w:hAnsi="Tahoma" w:cs="Tahoma"/>
          <w:b/>
          <w:bCs/>
        </w:rPr>
        <w:t>14</w:t>
      </w:r>
      <w:r w:rsidRPr="00566C23">
        <w:rPr>
          <w:rFonts w:ascii="Tahoma" w:eastAsia="Tahoma" w:hAnsi="Tahoma" w:cs="Tahoma"/>
          <w:b/>
          <w:bCs/>
        </w:rPr>
        <w:t xml:space="preserve">: </w:t>
      </w:r>
      <w:r w:rsidRPr="000A6E3F">
        <w:rPr>
          <w:rFonts w:ascii="Tahoma" w:hAnsi="Tahoma" w:cs="Tahoma"/>
        </w:rPr>
        <w:tab/>
      </w:r>
      <w:r w:rsidRPr="00566C23">
        <w:rPr>
          <w:rFonts w:ascii="Tahoma" w:eastAsia="Tahoma" w:hAnsi="Tahoma" w:cs="Tahoma"/>
          <w:b/>
          <w:bCs/>
        </w:rPr>
        <w:t xml:space="preserve">In the vehicle deployment requirement (three MDHD EVs per DCFC), does the CEC define a “charger”? Is this per dispenser/port? For multi-port load-sharing systems does each port count as a separate charger or is the cabinet treated as one charger? </w:t>
      </w:r>
    </w:p>
    <w:p w14:paraId="6F0A21EB" w14:textId="77777777" w:rsidR="00F70DEB" w:rsidRPr="00566C23" w:rsidRDefault="00F70DEB" w:rsidP="00F70DEB">
      <w:pPr>
        <w:ind w:left="720" w:hanging="720"/>
        <w:rPr>
          <w:rFonts w:ascii="Tahoma" w:eastAsia="Tahoma" w:hAnsi="Tahoma" w:cs="Tahoma"/>
          <w:b/>
          <w:bCs/>
          <w:highlight w:val="yellow"/>
        </w:rPr>
      </w:pPr>
    </w:p>
    <w:p w14:paraId="72C42A88" w14:textId="77777777" w:rsidR="00F70DEB" w:rsidRDefault="00F70DEB" w:rsidP="00F70DEB">
      <w:pPr>
        <w:ind w:left="720" w:hanging="720"/>
        <w:rPr>
          <w:rFonts w:ascii="Tahoma" w:eastAsia="Tahoma" w:hAnsi="Tahoma" w:cs="Tahoma"/>
          <w:color w:val="000000" w:themeColor="text1"/>
        </w:rPr>
      </w:pPr>
      <w:r w:rsidRPr="00566C23">
        <w:rPr>
          <w:rFonts w:ascii="Tahoma" w:eastAsia="Tahoma" w:hAnsi="Tahoma" w:cs="Tahoma"/>
          <w:color w:val="000000" w:themeColor="text1"/>
        </w:rPr>
        <w:t>A</w:t>
      </w:r>
      <w:r>
        <w:rPr>
          <w:rFonts w:ascii="Tahoma" w:eastAsia="Tahoma" w:hAnsi="Tahoma" w:cs="Tahoma"/>
          <w:color w:val="000000" w:themeColor="text1"/>
        </w:rPr>
        <w:t>14</w:t>
      </w:r>
      <w:proofErr w:type="gramStart"/>
      <w:r w:rsidRPr="00566C23">
        <w:rPr>
          <w:rFonts w:ascii="Tahoma" w:eastAsia="Tahoma" w:hAnsi="Tahoma" w:cs="Tahoma"/>
          <w:color w:val="000000" w:themeColor="text1"/>
        </w:rPr>
        <w:t>:</w:t>
      </w:r>
      <w:r w:rsidRPr="00566C23">
        <w:rPr>
          <w:rFonts w:ascii="Tahoma" w:eastAsia="Tahoma" w:hAnsi="Tahoma" w:cs="Tahoma"/>
          <w:b/>
          <w:bCs/>
          <w:color w:val="000000" w:themeColor="text1"/>
        </w:rPr>
        <w:t xml:space="preserve"> </w:t>
      </w:r>
      <w:r w:rsidRPr="000A6E3F">
        <w:rPr>
          <w:rFonts w:ascii="Tahoma" w:hAnsi="Tahoma" w:cs="Tahoma"/>
        </w:rPr>
        <w:tab/>
      </w:r>
      <w:r>
        <w:rPr>
          <w:rFonts w:ascii="Tahoma" w:hAnsi="Tahoma" w:cs="Tahoma"/>
        </w:rPr>
        <w:t>Section</w:t>
      </w:r>
      <w:proofErr w:type="gramEnd"/>
      <w:r>
        <w:rPr>
          <w:rFonts w:ascii="Tahoma" w:hAnsi="Tahoma" w:cs="Tahoma"/>
        </w:rPr>
        <w:t xml:space="preserve"> II.B.4 of Addendum [</w:t>
      </w:r>
      <w:r w:rsidRPr="00867993">
        <w:rPr>
          <w:rFonts w:ascii="Tahoma" w:hAnsi="Tahoma" w:cs="Tahoma"/>
          <w:strike/>
        </w:rPr>
        <w:t>8</w:t>
      </w:r>
      <w:r>
        <w:rPr>
          <w:rFonts w:ascii="Tahoma" w:hAnsi="Tahoma" w:cs="Tahoma"/>
        </w:rPr>
        <w:t xml:space="preserve">] </w:t>
      </w:r>
      <w:r>
        <w:rPr>
          <w:rFonts w:ascii="Tahoma" w:hAnsi="Tahoma" w:cs="Tahoma"/>
          <w:b/>
          <w:bCs/>
          <w:u w:val="single"/>
        </w:rPr>
        <w:t>9</w:t>
      </w:r>
      <w:r w:rsidRPr="009617F1">
        <w:rPr>
          <w:rFonts w:ascii="Tahoma" w:hAnsi="Tahoma" w:cs="Tahoma"/>
        </w:rPr>
        <w:t xml:space="preserve"> </w:t>
      </w:r>
      <w:r>
        <w:rPr>
          <w:rFonts w:ascii="Tahoma" w:hAnsi="Tahoma" w:cs="Tahoma"/>
        </w:rPr>
        <w:t xml:space="preserve">clarifies that vehicle deployment requirements are based on charging port instead of charger. </w:t>
      </w:r>
      <w:r w:rsidRPr="00566C23">
        <w:rPr>
          <w:rFonts w:ascii="Tahoma" w:eastAsia="Tahoma" w:hAnsi="Tahoma" w:cs="Tahoma"/>
          <w:color w:val="000000" w:themeColor="text1"/>
        </w:rPr>
        <w:t xml:space="preserve">For the purposes of this solicitation, “charging port” is defined as the system within a charger that charges one electric vehicle. A charging port may have multiple connectors, but it can provide power to charge only one electric vehicle through one connector at a time. In this solicitation CEC </w:t>
      </w:r>
      <w:r w:rsidRPr="00566C23">
        <w:rPr>
          <w:rFonts w:ascii="Tahoma" w:eastAsia="Tahoma" w:hAnsi="Tahoma" w:cs="Tahoma"/>
          <w:color w:val="000000" w:themeColor="text1"/>
        </w:rPr>
        <w:lastRenderedPageBreak/>
        <w:t>is defining charger as the ability to charge/dispense one vehicle at a time, regardless of how many connectors it has. For example, a multi-port-load sharing system that can simultaneously charge three (3) vehicles would count as three (3) charging ports.</w:t>
      </w:r>
    </w:p>
    <w:p w14:paraId="6AA08E7A" w14:textId="77777777" w:rsidR="00F70DEB" w:rsidRPr="00566C23" w:rsidRDefault="00F70DEB" w:rsidP="00F70DEB">
      <w:pPr>
        <w:ind w:left="720" w:hanging="720"/>
        <w:rPr>
          <w:rFonts w:ascii="Tahoma" w:eastAsia="Tahoma" w:hAnsi="Tahoma" w:cs="Tahoma"/>
          <w:color w:val="000000" w:themeColor="text1"/>
        </w:rPr>
      </w:pPr>
    </w:p>
    <w:p w14:paraId="2C86CDE4" w14:textId="77777777" w:rsidR="00F70DEB" w:rsidRDefault="00F70DEB" w:rsidP="00F70DEB">
      <w:pPr>
        <w:ind w:left="720" w:hanging="720"/>
        <w:rPr>
          <w:rFonts w:ascii="Tahoma" w:eastAsia="Tahoma" w:hAnsi="Tahoma" w:cs="Tahoma"/>
          <w:b/>
          <w:bCs/>
        </w:rPr>
      </w:pPr>
      <w:r w:rsidRPr="00566C23">
        <w:rPr>
          <w:rFonts w:ascii="Tahoma" w:eastAsia="Tahoma" w:hAnsi="Tahoma" w:cs="Tahoma"/>
          <w:b/>
          <w:bCs/>
        </w:rPr>
        <w:t>Q</w:t>
      </w:r>
      <w:r>
        <w:rPr>
          <w:rFonts w:ascii="Tahoma" w:eastAsia="Tahoma" w:hAnsi="Tahoma" w:cs="Tahoma"/>
          <w:b/>
          <w:bCs/>
        </w:rPr>
        <w:t>15</w:t>
      </w:r>
      <w:r w:rsidRPr="00566C23">
        <w:rPr>
          <w:rFonts w:ascii="Tahoma" w:eastAsia="Tahoma" w:hAnsi="Tahoma" w:cs="Tahoma"/>
          <w:b/>
          <w:bCs/>
        </w:rPr>
        <w:t>:</w:t>
      </w:r>
      <w:r w:rsidRPr="000A6E3F">
        <w:rPr>
          <w:rFonts w:ascii="Tahoma" w:hAnsi="Tahoma" w:cs="Tahoma"/>
        </w:rPr>
        <w:tab/>
      </w:r>
      <w:r w:rsidRPr="00566C23">
        <w:rPr>
          <w:rFonts w:ascii="Tahoma" w:eastAsia="Tahoma" w:hAnsi="Tahoma" w:cs="Tahoma"/>
          <w:b/>
          <w:bCs/>
        </w:rPr>
        <w:t>As an applicant with secure, fenced yards where public access poses safety and liability risks, is there an exception to the requirement that at least 25% of charging ports must be available for public access during normal hours? If not, this may limit eligibility for transit agencies. Can you clarify?</w:t>
      </w:r>
    </w:p>
    <w:p w14:paraId="4A956910" w14:textId="77777777" w:rsidR="00F70DEB" w:rsidRPr="00566C23" w:rsidRDefault="00F70DEB" w:rsidP="00F70DEB">
      <w:pPr>
        <w:ind w:left="720" w:hanging="720"/>
        <w:rPr>
          <w:rFonts w:ascii="Tahoma" w:eastAsia="Tahoma" w:hAnsi="Tahoma" w:cs="Tahoma"/>
          <w:color w:val="000000" w:themeColor="text1"/>
          <w:highlight w:val="yellow"/>
        </w:rPr>
      </w:pPr>
    </w:p>
    <w:p w14:paraId="60EC5E5B" w14:textId="77777777" w:rsidR="00F70DEB" w:rsidRPr="004F2242" w:rsidRDefault="00F70DEB" w:rsidP="00F70DEB">
      <w:pPr>
        <w:spacing w:after="120"/>
        <w:ind w:left="720" w:hanging="720"/>
        <w:rPr>
          <w:rFonts w:ascii="Tahoma" w:hAnsi="Tahoma" w:cs="Tahoma"/>
          <w:color w:val="000000"/>
        </w:rPr>
      </w:pPr>
      <w:r w:rsidRPr="006244AD">
        <w:rPr>
          <w:rFonts w:ascii="Tahoma" w:eastAsia="Tahoma" w:hAnsi="Tahoma" w:cs="Tahoma"/>
        </w:rPr>
        <w:t>A15</w:t>
      </w:r>
      <w:proofErr w:type="gramStart"/>
      <w:r w:rsidRPr="006244AD">
        <w:rPr>
          <w:rFonts w:ascii="Tahoma" w:eastAsia="Tahoma" w:hAnsi="Tahoma" w:cs="Tahoma"/>
        </w:rPr>
        <w:t xml:space="preserve">: </w:t>
      </w:r>
      <w:r w:rsidRPr="006244AD">
        <w:rPr>
          <w:rFonts w:ascii="Tahoma" w:hAnsi="Tahoma" w:cs="Tahoma"/>
        </w:rPr>
        <w:tab/>
      </w:r>
      <w:r w:rsidRPr="006244AD">
        <w:rPr>
          <w:rFonts w:ascii="Tahoma" w:eastAsia="Tahoma" w:hAnsi="Tahoma" w:cs="Tahoma"/>
        </w:rPr>
        <w:t>The</w:t>
      </w:r>
      <w:proofErr w:type="gramEnd"/>
      <w:r w:rsidRPr="006244AD">
        <w:rPr>
          <w:rFonts w:ascii="Tahoma" w:eastAsia="Tahoma" w:hAnsi="Tahoma" w:cs="Tahoma"/>
        </w:rPr>
        <w:t xml:space="preserve"> requirement that at least 25% of charging ports be available for public access during normal operating hours applies to applicants providing charging or fueling for the fleets of public entities (other than California state government agencies, which are ineligible under this solicitation</w:t>
      </w:r>
      <w:r w:rsidRPr="004F2242">
        <w:rPr>
          <w:rFonts w:ascii="Tahoma" w:eastAsia="Tahoma" w:hAnsi="Tahoma" w:cs="Tahoma"/>
        </w:rPr>
        <w:t xml:space="preserve">). Addendum </w:t>
      </w:r>
      <w:r>
        <w:rPr>
          <w:rFonts w:ascii="Tahoma" w:hAnsi="Tahoma" w:cs="Tahoma"/>
        </w:rPr>
        <w:t>[</w:t>
      </w:r>
      <w:r w:rsidRPr="00867993">
        <w:rPr>
          <w:rFonts w:ascii="Tahoma" w:hAnsi="Tahoma" w:cs="Tahoma"/>
          <w:strike/>
        </w:rPr>
        <w:t>8</w:t>
      </w:r>
      <w:r>
        <w:rPr>
          <w:rFonts w:ascii="Tahoma" w:hAnsi="Tahoma" w:cs="Tahoma"/>
        </w:rPr>
        <w:t xml:space="preserve">] </w:t>
      </w:r>
      <w:r>
        <w:rPr>
          <w:rFonts w:ascii="Tahoma" w:hAnsi="Tahoma" w:cs="Tahoma"/>
          <w:b/>
          <w:bCs/>
          <w:u w:val="single"/>
        </w:rPr>
        <w:t>9</w:t>
      </w:r>
      <w:r w:rsidRPr="000270EB">
        <w:rPr>
          <w:rFonts w:ascii="Tahoma" w:hAnsi="Tahoma" w:cs="Tahoma"/>
        </w:rPr>
        <w:t xml:space="preserve"> </w:t>
      </w:r>
      <w:r w:rsidRPr="004F2242">
        <w:rPr>
          <w:rFonts w:ascii="Tahoma" w:eastAsia="Tahoma" w:hAnsi="Tahoma" w:cs="Tahoma"/>
        </w:rPr>
        <w:t>clarifies exceptions to these public access requirements:</w:t>
      </w:r>
    </w:p>
    <w:p w14:paraId="66ECB733" w14:textId="77777777" w:rsidR="00F70DEB" w:rsidRPr="004F2242" w:rsidRDefault="00F70DEB" w:rsidP="00F70DEB">
      <w:pPr>
        <w:numPr>
          <w:ilvl w:val="0"/>
          <w:numId w:val="31"/>
        </w:numPr>
        <w:spacing w:after="120"/>
        <w:ind w:left="1080"/>
        <w:contextualSpacing/>
        <w:rPr>
          <w:rFonts w:ascii="Tahoma" w:eastAsia="Tahoma" w:hAnsi="Tahoma" w:cs="Tahoma"/>
          <w:color w:val="000000"/>
        </w:rPr>
      </w:pPr>
      <w:r w:rsidRPr="004F2242">
        <w:rPr>
          <w:rFonts w:ascii="Tahoma" w:eastAsia="Tahoma" w:hAnsi="Tahoma" w:cs="Tahoma"/>
          <w:color w:val="000000"/>
        </w:rPr>
        <w:t xml:space="preserve">Infrastructure for off-road and non-road applications </w:t>
      </w:r>
      <w:proofErr w:type="gramStart"/>
      <w:r w:rsidRPr="004F2242">
        <w:rPr>
          <w:rFonts w:ascii="Tahoma" w:eastAsia="Tahoma" w:hAnsi="Tahoma" w:cs="Tahoma"/>
          <w:color w:val="000000"/>
        </w:rPr>
        <w:t>are</w:t>
      </w:r>
      <w:proofErr w:type="gramEnd"/>
      <w:r w:rsidRPr="004F2242">
        <w:rPr>
          <w:rFonts w:ascii="Tahoma" w:eastAsia="Tahoma" w:hAnsi="Tahoma" w:cs="Tahoma"/>
          <w:color w:val="000000"/>
        </w:rPr>
        <w:t xml:space="preserve"> not required to be Public Access.</w:t>
      </w:r>
    </w:p>
    <w:p w14:paraId="223D202E" w14:textId="77777777" w:rsidR="00F70DEB" w:rsidRPr="004F2242" w:rsidRDefault="00F70DEB" w:rsidP="00F70DEB">
      <w:pPr>
        <w:numPr>
          <w:ilvl w:val="0"/>
          <w:numId w:val="31"/>
        </w:numPr>
        <w:spacing w:after="120"/>
        <w:ind w:left="1080"/>
        <w:contextualSpacing/>
        <w:rPr>
          <w:rFonts w:ascii="Tahoma" w:eastAsia="Tahoma" w:hAnsi="Tahoma" w:cs="Tahoma"/>
          <w:color w:val="000000"/>
        </w:rPr>
      </w:pPr>
      <w:r w:rsidRPr="004F2242">
        <w:rPr>
          <w:rFonts w:ascii="Tahoma" w:eastAsia="Tahoma" w:hAnsi="Tahoma" w:cs="Tahoma"/>
          <w:color w:val="000000"/>
        </w:rPr>
        <w:t>Infrastructure that is used for the sole purpose of supporting ZEVs that provide essential city services and are vehicles upfitted to meet such a need (i.e. street sweepers and sanitation trucks) are not required to be Public Access.</w:t>
      </w:r>
    </w:p>
    <w:p w14:paraId="1E0859D5" w14:textId="77777777" w:rsidR="00F70DEB" w:rsidRPr="004F2242" w:rsidRDefault="00F70DEB" w:rsidP="00F70DEB">
      <w:pPr>
        <w:numPr>
          <w:ilvl w:val="0"/>
          <w:numId w:val="31"/>
        </w:numPr>
        <w:spacing w:after="120"/>
        <w:ind w:left="1080"/>
        <w:contextualSpacing/>
        <w:rPr>
          <w:rFonts w:ascii="Tahoma" w:eastAsia="Tahoma" w:hAnsi="Tahoma" w:cs="Tahoma"/>
          <w:color w:val="000000"/>
        </w:rPr>
      </w:pPr>
      <w:r w:rsidRPr="004F2242">
        <w:rPr>
          <w:rFonts w:ascii="Tahoma" w:eastAsia="Tahoma" w:hAnsi="Tahoma" w:cs="Tahoma"/>
          <w:color w:val="000000"/>
        </w:rPr>
        <w:t>If the Applicant is a school district and their blueprint implementation project is solely for charging and/or refueling school buses, there is no Public Access requirement for their project.</w:t>
      </w:r>
    </w:p>
    <w:p w14:paraId="416B010B" w14:textId="77777777" w:rsidR="00F70DEB" w:rsidRPr="004F2242" w:rsidRDefault="00F70DEB" w:rsidP="00F70DEB">
      <w:pPr>
        <w:numPr>
          <w:ilvl w:val="0"/>
          <w:numId w:val="31"/>
        </w:numPr>
        <w:spacing w:after="120"/>
        <w:ind w:left="1080"/>
        <w:contextualSpacing/>
        <w:rPr>
          <w:rFonts w:ascii="Tahoma" w:eastAsia="Tahoma" w:hAnsi="Tahoma" w:cs="Tahoma"/>
          <w:color w:val="000000"/>
        </w:rPr>
      </w:pPr>
      <w:r w:rsidRPr="004F2242">
        <w:rPr>
          <w:rFonts w:ascii="Tahoma" w:eastAsia="Tahoma" w:hAnsi="Tahoma" w:cs="Tahoma"/>
          <w:color w:val="000000"/>
        </w:rPr>
        <w:t xml:space="preserve">If the Applicant is a transit </w:t>
      </w:r>
      <w:r w:rsidRPr="003D1A78">
        <w:rPr>
          <w:rFonts w:ascii="Tahoma" w:eastAsia="Tahoma" w:hAnsi="Tahoma" w:cs="Tahoma"/>
          <w:color w:val="000000"/>
        </w:rPr>
        <w:t>agency</w:t>
      </w:r>
      <w:r w:rsidRPr="004F2242">
        <w:rPr>
          <w:rFonts w:ascii="Tahoma" w:eastAsia="Tahoma" w:hAnsi="Tahoma" w:cs="Tahoma"/>
          <w:color w:val="000000"/>
        </w:rPr>
        <w:t xml:space="preserve"> and their blueprint implementation project is solely for charging and/or refueling their transit buses, then there is no Public Access requirement for their project.</w:t>
      </w:r>
    </w:p>
    <w:p w14:paraId="4113D378" w14:textId="77777777" w:rsidR="00F70DEB" w:rsidRPr="004F2242" w:rsidRDefault="00F70DEB" w:rsidP="00F70DEB">
      <w:pPr>
        <w:spacing w:after="120"/>
        <w:contextualSpacing/>
        <w:rPr>
          <w:rFonts w:ascii="Tahoma" w:eastAsia="Tahoma" w:hAnsi="Tahoma" w:cs="Tahoma"/>
          <w:color w:val="000000"/>
        </w:rPr>
      </w:pPr>
    </w:p>
    <w:p w14:paraId="30A47F95" w14:textId="77777777" w:rsidR="00F70DEB" w:rsidRPr="004F2242" w:rsidRDefault="00F70DEB" w:rsidP="00F70DEB">
      <w:pPr>
        <w:spacing w:after="120"/>
        <w:ind w:left="720"/>
        <w:contextualSpacing/>
        <w:rPr>
          <w:rFonts w:ascii="Tahoma" w:eastAsia="Tahoma" w:hAnsi="Tahoma" w:cs="Tahoma"/>
          <w:color w:val="000000"/>
        </w:rPr>
      </w:pPr>
      <w:r w:rsidRPr="004F2242">
        <w:rPr>
          <w:rStyle w:val="normaltextrun"/>
          <w:rFonts w:ascii="Tahoma" w:hAnsi="Tahoma" w:cs="Tahoma"/>
          <w:color w:val="000000"/>
          <w:shd w:val="clear" w:color="auto" w:fill="FFFFFF"/>
        </w:rPr>
        <w:t>Applicants proposing to support blueprint implementation on behalf of a public entity must adhere to all requirements established for public entities. Exceptions will apply only for the specific vehicle types as described above.</w:t>
      </w:r>
      <w:r w:rsidRPr="004F2242">
        <w:rPr>
          <w:rStyle w:val="eop"/>
          <w:rFonts w:ascii="Tahoma" w:hAnsi="Tahoma" w:cs="Tahoma"/>
          <w:color w:val="000000"/>
          <w:shd w:val="clear" w:color="auto" w:fill="FFFFFF"/>
        </w:rPr>
        <w:t> </w:t>
      </w:r>
    </w:p>
    <w:p w14:paraId="31BF3A91" w14:textId="77777777" w:rsidR="00F70DEB" w:rsidRPr="00566C23" w:rsidRDefault="00F70DEB" w:rsidP="00F70DEB">
      <w:pPr>
        <w:rPr>
          <w:rFonts w:ascii="Tahoma" w:eastAsia="Tahoma" w:hAnsi="Tahoma" w:cs="Tahoma"/>
        </w:rPr>
      </w:pPr>
    </w:p>
    <w:p w14:paraId="10369270" w14:textId="77777777" w:rsidR="00F70DEB" w:rsidRDefault="00F70DEB" w:rsidP="00F70DEB">
      <w:pPr>
        <w:ind w:left="720"/>
        <w:rPr>
          <w:rFonts w:ascii="Tahoma" w:eastAsia="Tahoma" w:hAnsi="Tahoma" w:cs="Tahoma"/>
        </w:rPr>
      </w:pPr>
      <w:r w:rsidRPr="00566C23">
        <w:rPr>
          <w:rFonts w:ascii="Tahoma" w:eastAsia="Tahoma" w:hAnsi="Tahoma" w:cs="Tahoma"/>
        </w:rPr>
        <w:t>In cases where access to secure or fenced yards is not feasible for safety or operational reasons, applicants may consider installing public-accessible infrastructure outside the fenced area. For example, chargers could be installed in a publicly accessible area of the property, such as a parking lot or designated zone outside the secured perimeter. Publicly dedicated equipment can also be built at a different location.</w:t>
      </w:r>
    </w:p>
    <w:p w14:paraId="6EF95DAF" w14:textId="77777777" w:rsidR="00C63E40" w:rsidRDefault="00C63E40" w:rsidP="00F70DEB">
      <w:pPr>
        <w:ind w:left="720"/>
        <w:rPr>
          <w:rFonts w:ascii="Tahoma" w:eastAsia="Tahoma" w:hAnsi="Tahoma" w:cs="Tahoma"/>
        </w:rPr>
      </w:pPr>
    </w:p>
    <w:p w14:paraId="394800F5" w14:textId="77777777" w:rsidR="00C63E40" w:rsidRPr="00566C23" w:rsidRDefault="00C63E40" w:rsidP="00C63E40">
      <w:pPr>
        <w:ind w:left="720" w:hanging="720"/>
        <w:rPr>
          <w:rFonts w:ascii="Tahoma" w:eastAsia="Tahoma" w:hAnsi="Tahoma" w:cs="Tahoma"/>
          <w:color w:val="000000" w:themeColor="text1"/>
          <w:highlight w:val="yellow"/>
        </w:rPr>
      </w:pPr>
      <w:r w:rsidRPr="00566C23">
        <w:rPr>
          <w:rFonts w:ascii="Tahoma" w:eastAsia="Tahoma" w:hAnsi="Tahoma" w:cs="Tahoma"/>
          <w:b/>
          <w:color w:val="000000" w:themeColor="text1"/>
        </w:rPr>
        <w:t>Q1</w:t>
      </w:r>
      <w:r>
        <w:rPr>
          <w:rFonts w:ascii="Tahoma" w:eastAsia="Tahoma" w:hAnsi="Tahoma" w:cs="Tahoma"/>
          <w:b/>
          <w:color w:val="000000" w:themeColor="text1"/>
        </w:rPr>
        <w:t>7</w:t>
      </w:r>
      <w:proofErr w:type="gramStart"/>
      <w:r w:rsidRPr="00566C23">
        <w:rPr>
          <w:rFonts w:ascii="Tahoma" w:eastAsia="Tahoma" w:hAnsi="Tahoma" w:cs="Tahoma"/>
          <w:b/>
          <w:color w:val="000000" w:themeColor="text1"/>
        </w:rPr>
        <w:t>:</w:t>
      </w:r>
      <w:r w:rsidRPr="00566C23">
        <w:rPr>
          <w:rFonts w:ascii="Tahoma" w:eastAsia="Tahoma" w:hAnsi="Tahoma" w:cs="Tahoma"/>
          <w:color w:val="000000" w:themeColor="text1"/>
        </w:rPr>
        <w:t xml:space="preserve"> </w:t>
      </w:r>
      <w:r w:rsidRPr="000A6E3F">
        <w:rPr>
          <w:rFonts w:ascii="Tahoma" w:hAnsi="Tahoma" w:cs="Tahoma"/>
        </w:rPr>
        <w:tab/>
      </w:r>
      <w:r w:rsidRPr="00566C23">
        <w:rPr>
          <w:rFonts w:ascii="Tahoma" w:eastAsia="Tahoma" w:hAnsi="Tahoma" w:cs="Tahoma"/>
          <w:b/>
          <w:bCs/>
          <w:color w:val="000000" w:themeColor="text1"/>
        </w:rPr>
        <w:t>Many</w:t>
      </w:r>
      <w:proofErr w:type="gramEnd"/>
      <w:r w:rsidRPr="00566C23">
        <w:rPr>
          <w:rFonts w:ascii="Tahoma" w:eastAsia="Tahoma" w:hAnsi="Tahoma" w:cs="Tahoma"/>
          <w:b/>
          <w:bCs/>
          <w:color w:val="000000" w:themeColor="text1"/>
        </w:rPr>
        <w:t xml:space="preserve"> public entities, like school districts and transit agencies, operate sites that are not open to the </w:t>
      </w:r>
      <w:proofErr w:type="gramStart"/>
      <w:r w:rsidRPr="00566C23">
        <w:rPr>
          <w:rFonts w:ascii="Tahoma" w:eastAsia="Tahoma" w:hAnsi="Tahoma" w:cs="Tahoma"/>
          <w:b/>
          <w:bCs/>
          <w:color w:val="000000" w:themeColor="text1"/>
        </w:rPr>
        <w:t>general public</w:t>
      </w:r>
      <w:proofErr w:type="gramEnd"/>
      <w:r w:rsidRPr="00566C23">
        <w:rPr>
          <w:rFonts w:ascii="Tahoma" w:eastAsia="Tahoma" w:hAnsi="Tahoma" w:cs="Tahoma"/>
          <w:b/>
          <w:bCs/>
          <w:color w:val="000000" w:themeColor="text1"/>
        </w:rPr>
        <w:t xml:space="preserve"> but still serve an essential public function. Would the CEC clarify whether these are considered Private Access or Public Access</w:t>
      </w:r>
      <w:r w:rsidRPr="00566C23" w:rsidDel="00D275EC">
        <w:rPr>
          <w:rFonts w:ascii="Tahoma" w:eastAsia="Tahoma" w:hAnsi="Tahoma" w:cs="Tahoma"/>
          <w:b/>
          <w:bCs/>
          <w:color w:val="000000" w:themeColor="text1"/>
        </w:rPr>
        <w:t xml:space="preserve">? </w:t>
      </w:r>
    </w:p>
    <w:p w14:paraId="1A598083" w14:textId="77777777" w:rsidR="00C63E40" w:rsidRPr="00566C23" w:rsidRDefault="00C63E40" w:rsidP="00C63E40">
      <w:pPr>
        <w:ind w:left="720" w:hanging="720"/>
        <w:rPr>
          <w:rFonts w:ascii="Tahoma" w:eastAsia="Tahoma" w:hAnsi="Tahoma" w:cs="Tahoma"/>
          <w:color w:val="000000" w:themeColor="text1"/>
          <w:highlight w:val="yellow"/>
        </w:rPr>
      </w:pPr>
    </w:p>
    <w:p w14:paraId="76A3DC55" w14:textId="77777777" w:rsidR="00C63E40" w:rsidRDefault="00C63E40" w:rsidP="00C63E40">
      <w:pPr>
        <w:ind w:left="720" w:hanging="720"/>
        <w:rPr>
          <w:rFonts w:ascii="Tahoma" w:eastAsia="Tahoma" w:hAnsi="Tahoma" w:cs="Tahoma"/>
          <w:color w:val="000000" w:themeColor="text1"/>
        </w:rPr>
      </w:pPr>
      <w:r w:rsidRPr="00566C23">
        <w:rPr>
          <w:rFonts w:ascii="Tahoma" w:eastAsia="Tahoma" w:hAnsi="Tahoma" w:cs="Tahoma"/>
          <w:color w:val="000000" w:themeColor="text1"/>
        </w:rPr>
        <w:t>A1</w:t>
      </w:r>
      <w:r>
        <w:rPr>
          <w:rFonts w:ascii="Tahoma" w:eastAsia="Tahoma" w:hAnsi="Tahoma" w:cs="Tahoma"/>
          <w:color w:val="000000" w:themeColor="text1"/>
        </w:rPr>
        <w:t>7</w:t>
      </w:r>
      <w:proofErr w:type="gramStart"/>
      <w:r w:rsidRPr="00566C23">
        <w:rPr>
          <w:rFonts w:ascii="Tahoma" w:eastAsia="Tahoma" w:hAnsi="Tahoma" w:cs="Tahoma"/>
          <w:color w:val="000000" w:themeColor="text1"/>
        </w:rPr>
        <w:t xml:space="preserve">: </w:t>
      </w:r>
      <w:r w:rsidRPr="000A6E3F">
        <w:rPr>
          <w:rFonts w:ascii="Tahoma" w:hAnsi="Tahoma" w:cs="Tahoma"/>
        </w:rPr>
        <w:tab/>
      </w:r>
      <w:r w:rsidRPr="00566C23">
        <w:rPr>
          <w:rFonts w:ascii="Tahoma" w:hAnsi="Tahoma" w:cs="Tahoma"/>
        </w:rPr>
        <w:t>The</w:t>
      </w:r>
      <w:proofErr w:type="gramEnd"/>
      <w:r w:rsidRPr="00566C23">
        <w:rPr>
          <w:rFonts w:ascii="Tahoma" w:hAnsi="Tahoma" w:cs="Tahoma"/>
        </w:rPr>
        <w:t xml:space="preserve"> CEC would consider this to be Private Access, or Shared Access if another fleet is using infrastructure at the depot. </w:t>
      </w:r>
      <w:r w:rsidRPr="004F2242">
        <w:rPr>
          <w:rFonts w:ascii="Tahoma" w:eastAsia="Tahoma" w:hAnsi="Tahoma" w:cs="Tahoma"/>
          <w:color w:val="000000" w:themeColor="text1"/>
        </w:rPr>
        <w:t xml:space="preserve">Please see Section II.B.2 of Addendum </w:t>
      </w:r>
      <w:r>
        <w:rPr>
          <w:rFonts w:ascii="Tahoma" w:hAnsi="Tahoma" w:cs="Tahoma"/>
        </w:rPr>
        <w:t>[</w:t>
      </w:r>
      <w:r w:rsidRPr="00867993">
        <w:rPr>
          <w:rFonts w:ascii="Tahoma" w:hAnsi="Tahoma" w:cs="Tahoma"/>
          <w:strike/>
        </w:rPr>
        <w:t>8</w:t>
      </w:r>
      <w:r>
        <w:rPr>
          <w:rFonts w:ascii="Tahoma" w:hAnsi="Tahoma" w:cs="Tahoma"/>
        </w:rPr>
        <w:t xml:space="preserve">] </w:t>
      </w:r>
      <w:r>
        <w:rPr>
          <w:rFonts w:ascii="Tahoma" w:hAnsi="Tahoma" w:cs="Tahoma"/>
          <w:b/>
          <w:bCs/>
          <w:u w:val="single"/>
        </w:rPr>
        <w:t>9</w:t>
      </w:r>
      <w:r w:rsidRPr="000270EB">
        <w:rPr>
          <w:rFonts w:ascii="Tahoma" w:hAnsi="Tahoma" w:cs="Tahoma"/>
        </w:rPr>
        <w:t xml:space="preserve"> </w:t>
      </w:r>
      <w:r w:rsidRPr="004F2242">
        <w:rPr>
          <w:rFonts w:ascii="Tahoma" w:eastAsia="Tahoma" w:hAnsi="Tahoma" w:cs="Tahoma"/>
          <w:color w:val="000000" w:themeColor="text1"/>
        </w:rPr>
        <w:t>for more information about Public Access requirements.</w:t>
      </w:r>
    </w:p>
    <w:p w14:paraId="2EC7CFBD" w14:textId="77777777" w:rsidR="00356CD7" w:rsidRDefault="00356CD7" w:rsidP="00C63E40">
      <w:pPr>
        <w:ind w:left="720" w:hanging="720"/>
        <w:rPr>
          <w:rFonts w:ascii="Tahoma" w:eastAsia="Tahoma" w:hAnsi="Tahoma" w:cs="Tahoma"/>
          <w:color w:val="000000" w:themeColor="text1"/>
        </w:rPr>
      </w:pPr>
    </w:p>
    <w:p w14:paraId="118A2006" w14:textId="77777777" w:rsidR="0018506F" w:rsidRPr="00566C23" w:rsidRDefault="0018506F" w:rsidP="0018506F">
      <w:pPr>
        <w:ind w:left="720" w:hanging="720"/>
        <w:rPr>
          <w:rFonts w:ascii="Tahoma" w:eastAsia="Tahoma" w:hAnsi="Tahoma" w:cs="Tahoma"/>
          <w:color w:val="000000" w:themeColor="text1"/>
          <w:highlight w:val="yellow"/>
        </w:rPr>
      </w:pPr>
      <w:r w:rsidRPr="00566C23">
        <w:rPr>
          <w:rFonts w:ascii="Tahoma" w:eastAsia="Tahoma" w:hAnsi="Tahoma" w:cs="Tahoma"/>
          <w:b/>
          <w:bCs/>
          <w:color w:val="000000" w:themeColor="text1"/>
        </w:rPr>
        <w:t>Q1</w:t>
      </w:r>
      <w:r>
        <w:rPr>
          <w:rFonts w:ascii="Tahoma" w:eastAsia="Tahoma" w:hAnsi="Tahoma" w:cs="Tahoma"/>
          <w:b/>
          <w:bCs/>
          <w:color w:val="000000" w:themeColor="text1"/>
        </w:rPr>
        <w:t>8</w:t>
      </w:r>
      <w:proofErr w:type="gramStart"/>
      <w:r w:rsidRPr="00566C23">
        <w:rPr>
          <w:rFonts w:ascii="Tahoma" w:eastAsia="Tahoma" w:hAnsi="Tahoma" w:cs="Tahoma"/>
          <w:b/>
          <w:bCs/>
          <w:color w:val="000000" w:themeColor="text1"/>
        </w:rPr>
        <w:t>:</w:t>
      </w:r>
      <w:r w:rsidRPr="00566C23">
        <w:rPr>
          <w:rFonts w:ascii="Tahoma" w:eastAsia="Tahoma" w:hAnsi="Tahoma" w:cs="Tahoma"/>
          <w:color w:val="000000" w:themeColor="text1"/>
        </w:rPr>
        <w:t xml:space="preserve"> </w:t>
      </w:r>
      <w:r w:rsidRPr="000A6E3F">
        <w:rPr>
          <w:rFonts w:ascii="Tahoma" w:hAnsi="Tahoma" w:cs="Tahoma"/>
        </w:rPr>
        <w:tab/>
      </w:r>
      <w:r w:rsidRPr="00566C23">
        <w:rPr>
          <w:rFonts w:ascii="Tahoma" w:eastAsia="Tahoma" w:hAnsi="Tahoma" w:cs="Tahoma"/>
          <w:b/>
          <w:bCs/>
          <w:color w:val="000000" w:themeColor="text1"/>
        </w:rPr>
        <w:t>The</w:t>
      </w:r>
      <w:proofErr w:type="gramEnd"/>
      <w:r w:rsidRPr="00566C23">
        <w:rPr>
          <w:rFonts w:ascii="Tahoma" w:eastAsia="Tahoma" w:hAnsi="Tahoma" w:cs="Tahoma"/>
          <w:b/>
          <w:bCs/>
          <w:color w:val="000000" w:themeColor="text1"/>
        </w:rPr>
        <w:t xml:space="preserve"> new solicitation addendum requires sites to be open 25% of the time to the </w:t>
      </w:r>
      <w:proofErr w:type="gramStart"/>
      <w:r w:rsidRPr="00566C23">
        <w:rPr>
          <w:rFonts w:ascii="Tahoma" w:eastAsia="Tahoma" w:hAnsi="Tahoma" w:cs="Tahoma"/>
          <w:b/>
          <w:bCs/>
          <w:color w:val="000000" w:themeColor="text1"/>
        </w:rPr>
        <w:t>general public</w:t>
      </w:r>
      <w:proofErr w:type="gramEnd"/>
      <w:r w:rsidRPr="00566C23">
        <w:rPr>
          <w:rFonts w:ascii="Tahoma" w:eastAsia="Tahoma" w:hAnsi="Tahoma" w:cs="Tahoma"/>
          <w:b/>
          <w:bCs/>
          <w:color w:val="000000" w:themeColor="text1"/>
        </w:rPr>
        <w:t xml:space="preserve">. If a site is required to be open to the </w:t>
      </w:r>
      <w:proofErr w:type="gramStart"/>
      <w:r w:rsidRPr="00566C23">
        <w:rPr>
          <w:rFonts w:ascii="Tahoma" w:eastAsia="Tahoma" w:hAnsi="Tahoma" w:cs="Tahoma"/>
          <w:b/>
          <w:bCs/>
          <w:color w:val="000000" w:themeColor="text1"/>
        </w:rPr>
        <w:t>general public</w:t>
      </w:r>
      <w:proofErr w:type="gramEnd"/>
      <w:r w:rsidRPr="00566C23">
        <w:rPr>
          <w:rFonts w:ascii="Tahoma" w:eastAsia="Tahoma" w:hAnsi="Tahoma" w:cs="Tahoma"/>
          <w:b/>
          <w:bCs/>
          <w:color w:val="000000" w:themeColor="text1"/>
        </w:rPr>
        <w:t xml:space="preserve"> for part of the time, would those chargers then be subject to the same regulations and requirements as retail and public EVSE?</w:t>
      </w:r>
    </w:p>
    <w:p w14:paraId="7AFB4CE9" w14:textId="77777777" w:rsidR="0018506F" w:rsidRPr="00566C23" w:rsidRDefault="0018506F" w:rsidP="0018506F">
      <w:pPr>
        <w:pStyle w:val="ListParagraph"/>
        <w:ind w:left="1440" w:hanging="720"/>
        <w:rPr>
          <w:rFonts w:ascii="Tahoma" w:eastAsia="Tahoma" w:hAnsi="Tahoma" w:cs="Tahoma"/>
          <w:color w:val="000000" w:themeColor="text1"/>
        </w:rPr>
      </w:pPr>
    </w:p>
    <w:p w14:paraId="41944E3D" w14:textId="15C27278" w:rsidR="00356CD7" w:rsidRDefault="0018506F" w:rsidP="0018506F">
      <w:pPr>
        <w:ind w:left="720" w:hanging="720"/>
        <w:rPr>
          <w:rFonts w:ascii="Tahoma" w:eastAsia="Tahoma" w:hAnsi="Tahoma" w:cs="Tahoma"/>
          <w:color w:val="000000" w:themeColor="text1"/>
        </w:rPr>
      </w:pPr>
      <w:r w:rsidRPr="00566C23">
        <w:rPr>
          <w:rFonts w:ascii="Tahoma" w:eastAsia="Tahoma" w:hAnsi="Tahoma" w:cs="Tahoma"/>
          <w:color w:val="000000" w:themeColor="text1"/>
        </w:rPr>
        <w:t>A1</w:t>
      </w:r>
      <w:r>
        <w:rPr>
          <w:rFonts w:ascii="Tahoma" w:eastAsia="Tahoma" w:hAnsi="Tahoma" w:cs="Tahoma"/>
          <w:color w:val="000000" w:themeColor="text1"/>
        </w:rPr>
        <w:t>8</w:t>
      </w:r>
      <w:proofErr w:type="gramStart"/>
      <w:r w:rsidRPr="00566C23">
        <w:rPr>
          <w:rFonts w:ascii="Tahoma" w:eastAsia="Tahoma" w:hAnsi="Tahoma" w:cs="Tahoma"/>
          <w:color w:val="000000" w:themeColor="text1"/>
        </w:rPr>
        <w:t xml:space="preserve">: </w:t>
      </w:r>
      <w:r w:rsidRPr="000A6E3F">
        <w:rPr>
          <w:rFonts w:ascii="Tahoma" w:hAnsi="Tahoma" w:cs="Tahoma"/>
        </w:rPr>
        <w:tab/>
      </w:r>
      <w:r w:rsidRPr="00566C23">
        <w:rPr>
          <w:rFonts w:ascii="Tahoma" w:eastAsia="Tahoma" w:hAnsi="Tahoma" w:cs="Tahoma"/>
          <w:color w:val="000000" w:themeColor="text1"/>
        </w:rPr>
        <w:t>The</w:t>
      </w:r>
      <w:proofErr w:type="gramEnd"/>
      <w:r w:rsidRPr="00566C23">
        <w:rPr>
          <w:rFonts w:ascii="Tahoma" w:eastAsia="Tahoma" w:hAnsi="Tahoma" w:cs="Tahoma"/>
          <w:color w:val="000000" w:themeColor="text1"/>
        </w:rPr>
        <w:t xml:space="preserve"> requirement is not that the sites be open to the public 25% of the time. Under Section II B., the requirement is “For infrastructure projects providing charging or fueling for the fleets of public entities (other than California state government agencies, which are ineligible under this GFO</w:t>
      </w:r>
      <w:r w:rsidRPr="004F2242">
        <w:rPr>
          <w:rFonts w:ascii="Tahoma" w:eastAsia="Tahoma" w:hAnsi="Tahoma" w:cs="Tahoma"/>
          <w:color w:val="000000" w:themeColor="text1"/>
        </w:rPr>
        <w:t xml:space="preserve">, and entities covered by the exceptions listed in Section II.B.2 in Addendum </w:t>
      </w:r>
      <w:r>
        <w:rPr>
          <w:rFonts w:ascii="Tahoma" w:hAnsi="Tahoma" w:cs="Tahoma"/>
        </w:rPr>
        <w:t>[</w:t>
      </w:r>
      <w:r w:rsidRPr="00867993">
        <w:rPr>
          <w:rFonts w:ascii="Tahoma" w:hAnsi="Tahoma" w:cs="Tahoma"/>
          <w:strike/>
        </w:rPr>
        <w:t>8</w:t>
      </w:r>
      <w:r>
        <w:rPr>
          <w:rFonts w:ascii="Tahoma" w:hAnsi="Tahoma" w:cs="Tahoma"/>
        </w:rPr>
        <w:t xml:space="preserve">] </w:t>
      </w:r>
      <w:r>
        <w:rPr>
          <w:rFonts w:ascii="Tahoma" w:hAnsi="Tahoma" w:cs="Tahoma"/>
          <w:b/>
          <w:bCs/>
          <w:u w:val="single"/>
        </w:rPr>
        <w:t>9</w:t>
      </w:r>
      <w:r w:rsidRPr="00566C23">
        <w:rPr>
          <w:rFonts w:ascii="Tahoma" w:eastAsia="Tahoma" w:hAnsi="Tahoma" w:cs="Tahoma"/>
          <w:color w:val="000000" w:themeColor="text1"/>
        </w:rPr>
        <w:t>), applicants must propose infrastructure with at least 25% of the charging ports/hydrogen fueling positions available as Public Access during normal operating hours. The remaining 75% of infrastructure may be Public, Shared, or Private Access.”</w:t>
      </w:r>
    </w:p>
    <w:p w14:paraId="6A6E1FAB" w14:textId="77777777" w:rsidR="00BA3ED8" w:rsidRDefault="00BA3ED8" w:rsidP="0018506F">
      <w:pPr>
        <w:ind w:left="720" w:hanging="720"/>
        <w:rPr>
          <w:rFonts w:ascii="Tahoma" w:eastAsia="Tahoma" w:hAnsi="Tahoma" w:cs="Tahoma"/>
          <w:color w:val="000000" w:themeColor="text1"/>
        </w:rPr>
      </w:pPr>
      <w:r>
        <w:rPr>
          <w:rFonts w:ascii="Tahoma" w:eastAsia="Tahoma" w:hAnsi="Tahoma" w:cs="Tahoma"/>
          <w:color w:val="000000" w:themeColor="text1"/>
        </w:rPr>
        <w:tab/>
      </w:r>
    </w:p>
    <w:p w14:paraId="10C08C0E" w14:textId="3BE20F34" w:rsidR="00BA3ED8" w:rsidRDefault="00BA3ED8" w:rsidP="00BA3ED8">
      <w:pPr>
        <w:ind w:left="720"/>
        <w:rPr>
          <w:rFonts w:ascii="Tahoma" w:eastAsia="Tahoma" w:hAnsi="Tahoma" w:cs="Tahoma"/>
          <w:color w:val="000000" w:themeColor="text1"/>
        </w:rPr>
      </w:pPr>
      <w:r>
        <w:rPr>
          <w:rFonts w:ascii="Tahoma" w:eastAsia="Tahoma" w:hAnsi="Tahoma" w:cs="Tahoma"/>
          <w:color w:val="000000" w:themeColor="text1"/>
        </w:rPr>
        <w:t>See Section II.B.2. Eligible Project Accessibility Requirements</w:t>
      </w:r>
    </w:p>
    <w:p w14:paraId="3CC79F9A" w14:textId="77777777" w:rsidR="00BA3ED8" w:rsidRDefault="00BA3ED8" w:rsidP="00BA3ED8">
      <w:pPr>
        <w:rPr>
          <w:rFonts w:ascii="Tahoma" w:eastAsia="Tahoma" w:hAnsi="Tahoma" w:cs="Tahoma"/>
          <w:color w:val="000000" w:themeColor="text1"/>
        </w:rPr>
      </w:pPr>
    </w:p>
    <w:p w14:paraId="50E9E2FA" w14:textId="77777777" w:rsidR="00A12C23" w:rsidRPr="00566C23" w:rsidRDefault="00A12C23" w:rsidP="00A12C23">
      <w:pPr>
        <w:ind w:left="720" w:hanging="720"/>
        <w:rPr>
          <w:rFonts w:ascii="Tahoma" w:eastAsia="Tahoma" w:hAnsi="Tahoma" w:cs="Tahoma"/>
          <w:b/>
        </w:rPr>
      </w:pPr>
      <w:r w:rsidRPr="00566C23">
        <w:rPr>
          <w:rFonts w:ascii="Tahoma" w:eastAsia="Tahoma" w:hAnsi="Tahoma" w:cs="Tahoma"/>
          <w:b/>
        </w:rPr>
        <w:t>Q1</w:t>
      </w:r>
      <w:r>
        <w:rPr>
          <w:rFonts w:ascii="Tahoma" w:eastAsia="Tahoma" w:hAnsi="Tahoma" w:cs="Tahoma"/>
          <w:b/>
        </w:rPr>
        <w:t>9</w:t>
      </w:r>
      <w:proofErr w:type="gramStart"/>
      <w:r w:rsidRPr="00566C23">
        <w:rPr>
          <w:rFonts w:ascii="Tahoma" w:eastAsia="Tahoma" w:hAnsi="Tahoma" w:cs="Tahoma"/>
          <w:b/>
        </w:rPr>
        <w:t xml:space="preserve">: </w:t>
      </w:r>
      <w:r w:rsidRPr="000A6E3F">
        <w:rPr>
          <w:rFonts w:ascii="Tahoma" w:hAnsi="Tahoma" w:cs="Tahoma"/>
        </w:rPr>
        <w:tab/>
      </w:r>
      <w:r w:rsidRPr="00566C23">
        <w:rPr>
          <w:rFonts w:ascii="Tahoma" w:eastAsia="Tahoma" w:hAnsi="Tahoma" w:cs="Tahoma"/>
          <w:b/>
        </w:rPr>
        <w:t>Does</w:t>
      </w:r>
      <w:proofErr w:type="gramEnd"/>
      <w:r w:rsidRPr="00566C23">
        <w:rPr>
          <w:rFonts w:ascii="Tahoma" w:eastAsia="Tahoma" w:hAnsi="Tahoma" w:cs="Tahoma"/>
          <w:b/>
        </w:rPr>
        <w:t xml:space="preserve"> the 25% public access requirement apply to public entities that are applying for </w:t>
      </w:r>
      <w:r w:rsidRPr="00566C23">
        <w:rPr>
          <w:rFonts w:ascii="Tahoma" w:eastAsia="Tahoma" w:hAnsi="Tahoma" w:cs="Tahoma"/>
          <w:b/>
          <w:i/>
        </w:rPr>
        <w:t>non-road, private-access chargers</w:t>
      </w:r>
      <w:r w:rsidRPr="00566C23">
        <w:rPr>
          <w:rFonts w:ascii="Tahoma" w:eastAsia="Tahoma" w:hAnsi="Tahoma" w:cs="Tahoma"/>
          <w:b/>
        </w:rPr>
        <w:t xml:space="preserve">? </w:t>
      </w:r>
    </w:p>
    <w:p w14:paraId="37B57DC4" w14:textId="77777777" w:rsidR="00A12C23" w:rsidRPr="00566C23" w:rsidRDefault="00A12C23" w:rsidP="00A12C23">
      <w:pPr>
        <w:ind w:left="720" w:hanging="720"/>
        <w:rPr>
          <w:rFonts w:ascii="Tahoma" w:eastAsia="Tahoma" w:hAnsi="Tahoma" w:cs="Tahoma"/>
          <w:b/>
        </w:rPr>
      </w:pPr>
    </w:p>
    <w:p w14:paraId="48A6A617" w14:textId="77777777" w:rsidR="00A12C23" w:rsidRPr="00566C23" w:rsidRDefault="00A12C23" w:rsidP="00A12C23">
      <w:pPr>
        <w:ind w:left="720" w:hanging="720"/>
        <w:rPr>
          <w:rFonts w:ascii="Tahoma" w:eastAsia="Tahoma" w:hAnsi="Tahoma" w:cs="Tahoma"/>
        </w:rPr>
      </w:pPr>
      <w:r w:rsidRPr="00566C23">
        <w:rPr>
          <w:rFonts w:ascii="Tahoma" w:eastAsia="Tahoma" w:hAnsi="Tahoma" w:cs="Tahoma"/>
        </w:rPr>
        <w:t>A1</w:t>
      </w:r>
      <w:r>
        <w:rPr>
          <w:rFonts w:ascii="Tahoma" w:eastAsia="Tahoma" w:hAnsi="Tahoma" w:cs="Tahoma"/>
        </w:rPr>
        <w:t>9</w:t>
      </w:r>
      <w:r w:rsidRPr="00566C23">
        <w:rPr>
          <w:rFonts w:ascii="Tahoma" w:eastAsia="Tahoma" w:hAnsi="Tahoma" w:cs="Tahoma"/>
        </w:rPr>
        <w:t>:</w:t>
      </w:r>
      <w:r w:rsidRPr="000A6E3F">
        <w:rPr>
          <w:rFonts w:ascii="Tahoma" w:hAnsi="Tahoma" w:cs="Tahoma"/>
        </w:rPr>
        <w:tab/>
      </w:r>
      <w:r w:rsidRPr="004F2242">
        <w:rPr>
          <w:rFonts w:ascii="Tahoma" w:eastAsia="Tahoma" w:hAnsi="Tahoma" w:cs="Tahoma"/>
        </w:rPr>
        <w:t xml:space="preserve">Please see exceptions to Public Access requirements in Section II.B.2. in Addendum </w:t>
      </w:r>
      <w:r>
        <w:rPr>
          <w:rFonts w:ascii="Tahoma" w:hAnsi="Tahoma" w:cs="Tahoma"/>
        </w:rPr>
        <w:t>[</w:t>
      </w:r>
      <w:r w:rsidRPr="00867993">
        <w:rPr>
          <w:rFonts w:ascii="Tahoma" w:hAnsi="Tahoma" w:cs="Tahoma"/>
          <w:strike/>
        </w:rPr>
        <w:t>8</w:t>
      </w:r>
      <w:r>
        <w:rPr>
          <w:rFonts w:ascii="Tahoma" w:hAnsi="Tahoma" w:cs="Tahoma"/>
        </w:rPr>
        <w:t xml:space="preserve">] </w:t>
      </w:r>
      <w:r>
        <w:rPr>
          <w:rFonts w:ascii="Tahoma" w:hAnsi="Tahoma" w:cs="Tahoma"/>
          <w:b/>
          <w:bCs/>
          <w:u w:val="single"/>
        </w:rPr>
        <w:t>9</w:t>
      </w:r>
      <w:r w:rsidRPr="004F2242">
        <w:rPr>
          <w:rFonts w:ascii="Tahoma" w:eastAsia="Tahoma" w:hAnsi="Tahoma" w:cs="Tahoma"/>
        </w:rPr>
        <w:t>.</w:t>
      </w:r>
    </w:p>
    <w:p w14:paraId="5559E336" w14:textId="77777777" w:rsidR="00BA3ED8" w:rsidRDefault="00BA3ED8" w:rsidP="00BA3ED8">
      <w:pPr>
        <w:rPr>
          <w:rFonts w:ascii="Tahoma" w:eastAsia="Tahoma" w:hAnsi="Tahoma" w:cs="Tahoma"/>
          <w:b/>
          <w:bCs/>
          <w:color w:val="000000" w:themeColor="text1"/>
          <w:u w:val="single"/>
        </w:rPr>
      </w:pPr>
    </w:p>
    <w:p w14:paraId="25DEA517" w14:textId="77777777" w:rsidR="00A46348" w:rsidRDefault="00A46348" w:rsidP="00A46348">
      <w:pPr>
        <w:ind w:left="720" w:hanging="720"/>
        <w:rPr>
          <w:rFonts w:ascii="Tahoma" w:eastAsia="Tahoma" w:hAnsi="Tahoma" w:cs="Tahoma"/>
          <w:b/>
          <w:bCs/>
        </w:rPr>
      </w:pPr>
      <w:r w:rsidRPr="00566C23">
        <w:rPr>
          <w:rFonts w:ascii="Tahoma" w:eastAsia="Tahoma" w:hAnsi="Tahoma" w:cs="Tahoma"/>
          <w:b/>
          <w:bCs/>
          <w:color w:val="000000" w:themeColor="text1"/>
        </w:rPr>
        <w:t>Q</w:t>
      </w:r>
      <w:r>
        <w:rPr>
          <w:rFonts w:ascii="Tahoma" w:eastAsia="Tahoma" w:hAnsi="Tahoma" w:cs="Tahoma"/>
          <w:b/>
          <w:bCs/>
          <w:color w:val="000000" w:themeColor="text1"/>
        </w:rPr>
        <w:t>20</w:t>
      </w:r>
      <w:proofErr w:type="gramStart"/>
      <w:r w:rsidRPr="00566C23">
        <w:rPr>
          <w:rFonts w:ascii="Tahoma" w:eastAsia="Tahoma" w:hAnsi="Tahoma" w:cs="Tahoma"/>
          <w:b/>
          <w:color w:val="000000" w:themeColor="text1"/>
        </w:rPr>
        <w:t xml:space="preserve">: </w:t>
      </w:r>
      <w:r w:rsidRPr="000A6E3F">
        <w:rPr>
          <w:rFonts w:ascii="Tahoma" w:hAnsi="Tahoma" w:cs="Tahoma"/>
        </w:rPr>
        <w:tab/>
      </w:r>
      <w:r w:rsidRPr="00566C23">
        <w:rPr>
          <w:rFonts w:ascii="Tahoma" w:eastAsia="Tahoma" w:hAnsi="Tahoma" w:cs="Tahoma"/>
          <w:b/>
          <w:color w:val="000000" w:themeColor="text1"/>
        </w:rPr>
        <w:t>Would</w:t>
      </w:r>
      <w:proofErr w:type="gramEnd"/>
      <w:r w:rsidRPr="00566C23">
        <w:rPr>
          <w:rFonts w:ascii="Tahoma" w:eastAsia="Tahoma" w:hAnsi="Tahoma" w:cs="Tahoma"/>
          <w:b/>
          <w:color w:val="000000" w:themeColor="text1"/>
        </w:rPr>
        <w:t xml:space="preserve"> a school district be required to comply with payment system requirements for public charging? Public school districts are not well-positioned to handle financial transactions or store sensitive user/payment data. Installing and operating a secure point-of-sale system is both costly and outside the core mission of this type of project which is to deliver students safely to and from school. Will CEC provide funding to cover these point-of-sale systems, and will applicants be allowed (or expected) to partner with third-party operators who can handle payments and data security?</w:t>
      </w:r>
      <w:r w:rsidRPr="00566C23">
        <w:rPr>
          <w:rFonts w:ascii="Tahoma" w:eastAsia="Tahoma" w:hAnsi="Tahoma" w:cs="Tahoma"/>
          <w:b/>
          <w:bCs/>
        </w:rPr>
        <w:t xml:space="preserve"> </w:t>
      </w:r>
    </w:p>
    <w:p w14:paraId="69703C98" w14:textId="77777777" w:rsidR="00A46348" w:rsidRPr="00566C23" w:rsidRDefault="00A46348" w:rsidP="00A46348">
      <w:pPr>
        <w:ind w:left="720" w:hanging="720"/>
        <w:rPr>
          <w:rFonts w:ascii="Tahoma" w:eastAsia="Tahoma" w:hAnsi="Tahoma" w:cs="Tahoma"/>
          <w:b/>
        </w:rPr>
      </w:pPr>
    </w:p>
    <w:p w14:paraId="11D179E0" w14:textId="77777777" w:rsidR="00A46348" w:rsidRPr="00566C23" w:rsidRDefault="00A46348" w:rsidP="00A46348">
      <w:pPr>
        <w:ind w:left="720" w:hanging="720"/>
        <w:rPr>
          <w:rFonts w:ascii="Tahoma" w:eastAsia="Tahoma" w:hAnsi="Tahoma" w:cs="Tahoma"/>
          <w:color w:val="000000" w:themeColor="text1"/>
        </w:rPr>
      </w:pPr>
      <w:r w:rsidRPr="00566C23">
        <w:rPr>
          <w:rFonts w:ascii="Tahoma" w:eastAsia="Tahoma" w:hAnsi="Tahoma" w:cs="Tahoma"/>
          <w:color w:val="000000" w:themeColor="text1"/>
        </w:rPr>
        <w:t>A</w:t>
      </w:r>
      <w:r>
        <w:rPr>
          <w:rFonts w:ascii="Tahoma" w:eastAsia="Tahoma" w:hAnsi="Tahoma" w:cs="Tahoma"/>
          <w:color w:val="000000" w:themeColor="text1"/>
        </w:rPr>
        <w:t>20</w:t>
      </w:r>
      <w:proofErr w:type="gramStart"/>
      <w:r w:rsidRPr="00566C23">
        <w:rPr>
          <w:rFonts w:ascii="Tahoma" w:eastAsia="Tahoma" w:hAnsi="Tahoma" w:cs="Tahoma"/>
          <w:color w:val="000000" w:themeColor="text1"/>
        </w:rPr>
        <w:t xml:space="preserve">: </w:t>
      </w:r>
      <w:r>
        <w:tab/>
      </w:r>
      <w:r w:rsidRPr="00EE3C66">
        <w:rPr>
          <w:rFonts w:ascii="Tahoma" w:eastAsia="Tahoma" w:hAnsi="Tahoma" w:cs="Tahoma"/>
          <w:color w:val="000000" w:themeColor="text1"/>
        </w:rPr>
        <w:t>Please</w:t>
      </w:r>
      <w:proofErr w:type="gramEnd"/>
      <w:r w:rsidRPr="00EE3C66">
        <w:rPr>
          <w:rFonts w:ascii="Tahoma" w:eastAsia="Tahoma" w:hAnsi="Tahoma" w:cs="Tahoma"/>
          <w:color w:val="000000" w:themeColor="text1"/>
        </w:rPr>
        <w:t xml:space="preserve"> see exceptions to Public Access requirements in Section II.B.2 in Addendum </w:t>
      </w:r>
      <w:r>
        <w:rPr>
          <w:rFonts w:ascii="Tahoma" w:hAnsi="Tahoma" w:cs="Tahoma"/>
        </w:rPr>
        <w:t>[</w:t>
      </w:r>
      <w:r w:rsidRPr="00867993">
        <w:rPr>
          <w:rFonts w:ascii="Tahoma" w:hAnsi="Tahoma" w:cs="Tahoma"/>
          <w:strike/>
        </w:rPr>
        <w:t>8</w:t>
      </w:r>
      <w:r>
        <w:rPr>
          <w:rFonts w:ascii="Tahoma" w:hAnsi="Tahoma" w:cs="Tahoma"/>
        </w:rPr>
        <w:t xml:space="preserve">] </w:t>
      </w:r>
      <w:r>
        <w:rPr>
          <w:rFonts w:ascii="Tahoma" w:hAnsi="Tahoma" w:cs="Tahoma"/>
          <w:b/>
          <w:bCs/>
          <w:u w:val="single"/>
        </w:rPr>
        <w:t>9</w:t>
      </w:r>
      <w:r w:rsidRPr="00EE3C66">
        <w:rPr>
          <w:rFonts w:ascii="Tahoma" w:eastAsia="Tahoma" w:hAnsi="Tahoma" w:cs="Tahoma"/>
          <w:color w:val="000000" w:themeColor="text1"/>
        </w:rPr>
        <w:t>. If equipment will be 100% public access, it must meet the requirements for public access charging stations listed in Section II.C. Minimum Technical Requirements for Electric Vehicle Charging Stations.</w:t>
      </w:r>
      <w:r w:rsidRPr="001E3EFD">
        <w:rPr>
          <w:rFonts w:ascii="Tahoma" w:eastAsia="Tahoma" w:hAnsi="Tahoma" w:cs="Tahoma"/>
          <w:color w:val="000000" w:themeColor="text1"/>
          <w:u w:val="single"/>
        </w:rPr>
        <w:t xml:space="preserve"> </w:t>
      </w:r>
      <w:r w:rsidRPr="00566C23">
        <w:rPr>
          <w:rFonts w:ascii="Tahoma" w:eastAsia="Tahoma" w:hAnsi="Tahoma" w:cs="Tahoma"/>
          <w:color w:val="000000" w:themeColor="text1"/>
        </w:rPr>
        <w:t xml:space="preserve">There is no requirement for chargers to have a </w:t>
      </w:r>
      <w:proofErr w:type="gramStart"/>
      <w:r w:rsidRPr="00566C23">
        <w:rPr>
          <w:rFonts w:ascii="Tahoma" w:eastAsia="Tahoma" w:hAnsi="Tahoma" w:cs="Tahoma"/>
          <w:color w:val="000000" w:themeColor="text1"/>
        </w:rPr>
        <w:t>point of sale</w:t>
      </w:r>
      <w:proofErr w:type="gramEnd"/>
      <w:r w:rsidRPr="00566C23">
        <w:rPr>
          <w:rFonts w:ascii="Tahoma" w:eastAsia="Tahoma" w:hAnsi="Tahoma" w:cs="Tahoma"/>
          <w:color w:val="000000" w:themeColor="text1"/>
        </w:rPr>
        <w:t xml:space="preserve"> system. Nonetheless, point of sale systems are eligible reimbursable and match costs.</w:t>
      </w:r>
      <w:r>
        <w:rPr>
          <w:rFonts w:ascii="Tahoma" w:eastAsia="Tahoma" w:hAnsi="Tahoma" w:cs="Tahoma"/>
          <w:color w:val="000000" w:themeColor="text1"/>
        </w:rPr>
        <w:t xml:space="preserve"> </w:t>
      </w:r>
      <w:r w:rsidRPr="00566C23">
        <w:rPr>
          <w:rFonts w:ascii="Tahoma" w:eastAsia="Tahoma" w:hAnsi="Tahoma" w:cs="Tahoma"/>
          <w:color w:val="000000" w:themeColor="text1"/>
        </w:rPr>
        <w:t xml:space="preserve">Third-party operators may be included as an Applicant’s match share. </w:t>
      </w:r>
    </w:p>
    <w:p w14:paraId="2C3D3402" w14:textId="77777777" w:rsidR="00A46348" w:rsidRPr="00566C23" w:rsidRDefault="00A46348" w:rsidP="00A46348">
      <w:pPr>
        <w:rPr>
          <w:rFonts w:ascii="Tahoma" w:eastAsia="Tahoma" w:hAnsi="Tahoma" w:cs="Tahoma"/>
          <w:b/>
          <w:color w:val="000000" w:themeColor="text1"/>
        </w:rPr>
      </w:pPr>
    </w:p>
    <w:p w14:paraId="4300FBF4" w14:textId="77777777" w:rsidR="00A46348" w:rsidRPr="00566C23" w:rsidRDefault="00A46348" w:rsidP="00A46348">
      <w:pPr>
        <w:ind w:left="720" w:hanging="720"/>
        <w:rPr>
          <w:rFonts w:ascii="Tahoma" w:eastAsia="Tahoma" w:hAnsi="Tahoma" w:cs="Tahoma"/>
          <w:b/>
        </w:rPr>
      </w:pPr>
      <w:r w:rsidRPr="00566C23">
        <w:rPr>
          <w:rFonts w:ascii="Tahoma" w:eastAsia="Tahoma" w:hAnsi="Tahoma" w:cs="Tahoma"/>
          <w:b/>
          <w:bCs/>
        </w:rPr>
        <w:t>Q</w:t>
      </w:r>
      <w:r>
        <w:rPr>
          <w:rFonts w:ascii="Tahoma" w:eastAsia="Tahoma" w:hAnsi="Tahoma" w:cs="Tahoma"/>
          <w:b/>
          <w:bCs/>
        </w:rPr>
        <w:t>21</w:t>
      </w:r>
      <w:proofErr w:type="gramStart"/>
      <w:r w:rsidRPr="00566C23">
        <w:rPr>
          <w:rFonts w:ascii="Tahoma" w:eastAsia="Tahoma" w:hAnsi="Tahoma" w:cs="Tahoma"/>
          <w:b/>
        </w:rPr>
        <w:t xml:space="preserve">: </w:t>
      </w:r>
      <w:r w:rsidRPr="000A6E3F">
        <w:rPr>
          <w:rFonts w:ascii="Tahoma" w:hAnsi="Tahoma" w:cs="Tahoma"/>
        </w:rPr>
        <w:tab/>
      </w:r>
      <w:r w:rsidRPr="00566C23">
        <w:rPr>
          <w:rFonts w:ascii="Tahoma" w:eastAsia="Tahoma" w:hAnsi="Tahoma" w:cs="Tahoma"/>
          <w:b/>
        </w:rPr>
        <w:t>The</w:t>
      </w:r>
      <w:proofErr w:type="gramEnd"/>
      <w:r w:rsidRPr="00566C23">
        <w:rPr>
          <w:rFonts w:ascii="Tahoma" w:eastAsia="Tahoma" w:hAnsi="Tahoma" w:cs="Tahoma"/>
          <w:b/>
        </w:rPr>
        <w:t xml:space="preserve"> new public access requirement will likely cause additional maintenance burdens for applicants. Public chargers are significantly more expensive to maintain than private fleet chargers, and they’re also more susceptible to vandalism or damage. If a public-facing unit is vandalized and needs to be </w:t>
      </w:r>
      <w:r w:rsidRPr="00566C23">
        <w:rPr>
          <w:rFonts w:ascii="Tahoma" w:eastAsia="Tahoma" w:hAnsi="Tahoma" w:cs="Tahoma"/>
          <w:b/>
        </w:rPr>
        <w:lastRenderedPageBreak/>
        <w:t xml:space="preserve">fully replaced, that could represent a very </w:t>
      </w:r>
      <w:proofErr w:type="gramStart"/>
      <w:r w:rsidRPr="00566C23">
        <w:rPr>
          <w:rFonts w:ascii="Tahoma" w:eastAsia="Tahoma" w:hAnsi="Tahoma" w:cs="Tahoma"/>
          <w:b/>
        </w:rPr>
        <w:t>large unplanned</w:t>
      </w:r>
      <w:proofErr w:type="gramEnd"/>
      <w:r w:rsidRPr="00566C23">
        <w:rPr>
          <w:rFonts w:ascii="Tahoma" w:eastAsia="Tahoma" w:hAnsi="Tahoma" w:cs="Tahoma"/>
          <w:b/>
        </w:rPr>
        <w:t xml:space="preserve"> expense for a school district. Can CEC clarify who would be responsible for covering these maintenance and replacement costs — the grantee, the district, or would there be supplemental funding available? </w:t>
      </w:r>
    </w:p>
    <w:p w14:paraId="62491804" w14:textId="77777777" w:rsidR="004D3251" w:rsidRPr="004D3251" w:rsidRDefault="004D3251" w:rsidP="43CA2EB0">
      <w:pPr>
        <w:spacing w:before="100" w:beforeAutospacing="1" w:after="100" w:afterAutospacing="1"/>
        <w:ind w:left="720" w:hanging="720"/>
        <w:rPr>
          <w:rFonts w:ascii="Tahoma" w:eastAsia="Tahoma" w:hAnsi="Tahoma" w:cs="Tahoma"/>
        </w:rPr>
      </w:pPr>
      <w:r w:rsidRPr="43CA2EB0">
        <w:rPr>
          <w:rFonts w:ascii="Tahoma" w:eastAsia="Tahoma" w:hAnsi="Tahoma" w:cs="Tahoma"/>
        </w:rPr>
        <w:t xml:space="preserve">A21: </w:t>
      </w:r>
      <w:r>
        <w:tab/>
      </w:r>
      <w:r w:rsidRPr="43CA2EB0">
        <w:rPr>
          <w:rFonts w:ascii="Tahoma" w:eastAsia="Tahoma" w:hAnsi="Tahoma" w:cs="Tahoma"/>
        </w:rPr>
        <w:t xml:space="preserve">Equipment maintenance (i.e. maintenance for chargers used to recharge school buses) for the term of the agreement may be included as an Applicant’s match share. The entity responsible for covering maintenance and replacement costs would be the grantee. Moreover, </w:t>
      </w:r>
      <w:bookmarkStart w:id="1" w:name="_Hlk216187114"/>
      <w:r w:rsidRPr="43CA2EB0">
        <w:rPr>
          <w:rFonts w:ascii="Tahoma" w:eastAsia="Tahoma" w:hAnsi="Tahoma" w:cs="Tahoma"/>
        </w:rPr>
        <w:t>if the Applicant is a school district and their blueprint implementation project is solely for charging and/or refueling their vehicles (i.e. school buses), there is no Public Access requirement for their project.</w:t>
      </w:r>
      <w:bookmarkEnd w:id="1"/>
      <w:r w:rsidRPr="43CA2EB0">
        <w:rPr>
          <w:rFonts w:ascii="Tahoma" w:eastAsia="Tahoma" w:hAnsi="Tahoma" w:cs="Tahoma"/>
        </w:rPr>
        <w:t xml:space="preserve"> See exceptions to Public Access requirements in Section II.B.2. in Addendum [</w:t>
      </w:r>
      <w:r w:rsidRPr="43CA2EB0">
        <w:rPr>
          <w:rFonts w:ascii="Tahoma" w:eastAsia="Tahoma" w:hAnsi="Tahoma" w:cs="Tahoma"/>
          <w:strike/>
        </w:rPr>
        <w:t>8</w:t>
      </w:r>
      <w:r w:rsidRPr="43CA2EB0">
        <w:rPr>
          <w:rFonts w:ascii="Tahoma" w:eastAsia="Tahoma" w:hAnsi="Tahoma" w:cs="Tahoma"/>
        </w:rPr>
        <w:t xml:space="preserve">] </w:t>
      </w:r>
      <w:r w:rsidRPr="43CA2EB0">
        <w:rPr>
          <w:rFonts w:ascii="Tahoma" w:eastAsia="Tahoma" w:hAnsi="Tahoma" w:cs="Tahoma"/>
          <w:b/>
          <w:bCs/>
          <w:u w:val="single"/>
        </w:rPr>
        <w:t>9</w:t>
      </w:r>
      <w:r w:rsidRPr="43CA2EB0">
        <w:rPr>
          <w:rFonts w:ascii="Tahoma" w:eastAsia="Tahoma" w:hAnsi="Tahoma" w:cs="Tahoma"/>
        </w:rPr>
        <w:t>.</w:t>
      </w:r>
    </w:p>
    <w:p w14:paraId="0CCC25CC" w14:textId="77777777" w:rsidR="00AF4B93" w:rsidRDefault="00AF4B93" w:rsidP="00AF4B93">
      <w:pPr>
        <w:ind w:left="720" w:hanging="720"/>
        <w:rPr>
          <w:rFonts w:ascii="Tahoma" w:eastAsia="Tahoma" w:hAnsi="Tahoma" w:cs="Tahoma"/>
          <w:b/>
        </w:rPr>
      </w:pPr>
      <w:r w:rsidRPr="00566C23">
        <w:rPr>
          <w:rFonts w:ascii="Tahoma" w:eastAsia="Tahoma" w:hAnsi="Tahoma" w:cs="Tahoma"/>
          <w:b/>
        </w:rPr>
        <w:t>Q</w:t>
      </w:r>
      <w:r>
        <w:rPr>
          <w:rFonts w:ascii="Tahoma" w:eastAsia="Tahoma" w:hAnsi="Tahoma" w:cs="Tahoma"/>
          <w:b/>
        </w:rPr>
        <w:t>26</w:t>
      </w:r>
      <w:proofErr w:type="gramStart"/>
      <w:r w:rsidRPr="00566C23">
        <w:rPr>
          <w:rFonts w:ascii="Tahoma" w:eastAsia="Tahoma" w:hAnsi="Tahoma" w:cs="Tahoma"/>
          <w:b/>
        </w:rPr>
        <w:t xml:space="preserve">: </w:t>
      </w:r>
      <w:r w:rsidRPr="000A6E3F">
        <w:rPr>
          <w:rFonts w:ascii="Tahoma" w:hAnsi="Tahoma" w:cs="Tahoma"/>
        </w:rPr>
        <w:tab/>
      </w:r>
      <w:r w:rsidRPr="00566C23">
        <w:rPr>
          <w:rFonts w:ascii="Tahoma" w:eastAsia="Tahoma" w:hAnsi="Tahoma" w:cs="Tahoma"/>
          <w:b/>
        </w:rPr>
        <w:t>The</w:t>
      </w:r>
      <w:proofErr w:type="gramEnd"/>
      <w:r w:rsidRPr="00566C23">
        <w:rPr>
          <w:rFonts w:ascii="Tahoma" w:eastAsia="Tahoma" w:hAnsi="Tahoma" w:cs="Tahoma"/>
          <w:b/>
        </w:rPr>
        <w:t xml:space="preserve"> Application Manual suggests Level 2 chargers may be eligible if they support MDHD battery electric vehicles (BEVs), but only DCFC outputs are listed in the funding table, and Section C states each port must provide at least 60 kW. Are Level 2 chargers eligible for CEC funding under this GFO if all other criteria are met (e.g., supporting at least two MDHD BEVs per charger)? </w:t>
      </w:r>
    </w:p>
    <w:p w14:paraId="0ED2B876" w14:textId="77777777" w:rsidR="00AF4B93" w:rsidRPr="00566C23" w:rsidRDefault="00AF4B93" w:rsidP="00AF4B93">
      <w:pPr>
        <w:ind w:left="720" w:hanging="720"/>
        <w:rPr>
          <w:rFonts w:ascii="Tahoma" w:eastAsia="Tahoma" w:hAnsi="Tahoma" w:cs="Tahoma"/>
          <w:b/>
          <w:color w:val="000000" w:themeColor="text1"/>
        </w:rPr>
      </w:pPr>
    </w:p>
    <w:p w14:paraId="44FB46EE" w14:textId="602F380D" w:rsidR="00AF4B93" w:rsidRDefault="00AF4B93" w:rsidP="00AF4B93">
      <w:pPr>
        <w:ind w:left="720" w:hanging="720"/>
        <w:rPr>
          <w:rFonts w:ascii="Tahoma" w:eastAsia="Tahoma" w:hAnsi="Tahoma" w:cs="Tahoma"/>
        </w:rPr>
      </w:pPr>
      <w:r w:rsidRPr="00566C23">
        <w:rPr>
          <w:rFonts w:ascii="Tahoma" w:eastAsia="Tahoma" w:hAnsi="Tahoma" w:cs="Tahoma"/>
        </w:rPr>
        <w:t>A</w:t>
      </w:r>
      <w:r>
        <w:rPr>
          <w:rFonts w:ascii="Tahoma" w:eastAsia="Tahoma" w:hAnsi="Tahoma" w:cs="Tahoma"/>
        </w:rPr>
        <w:t>26</w:t>
      </w:r>
      <w:proofErr w:type="gramStart"/>
      <w:r w:rsidRPr="00566C23">
        <w:rPr>
          <w:rFonts w:ascii="Tahoma" w:eastAsia="Tahoma" w:hAnsi="Tahoma" w:cs="Tahoma"/>
        </w:rPr>
        <w:t>:</w:t>
      </w:r>
      <w:r w:rsidRPr="00566C23">
        <w:rPr>
          <w:rFonts w:ascii="Tahoma" w:eastAsia="Tahoma" w:hAnsi="Tahoma" w:cs="Tahoma"/>
          <w:b/>
        </w:rPr>
        <w:t xml:space="preserve"> </w:t>
      </w:r>
      <w:r w:rsidRPr="000A6E3F">
        <w:rPr>
          <w:rFonts w:ascii="Tahoma" w:hAnsi="Tahoma" w:cs="Tahoma"/>
        </w:rPr>
        <w:tab/>
      </w:r>
      <w:r w:rsidRPr="00566C23">
        <w:rPr>
          <w:rFonts w:ascii="Tahoma" w:eastAsia="Tahoma" w:hAnsi="Tahoma" w:cs="Tahoma"/>
        </w:rPr>
        <w:t>Please</w:t>
      </w:r>
      <w:proofErr w:type="gramEnd"/>
      <w:r w:rsidRPr="00566C23">
        <w:rPr>
          <w:rFonts w:ascii="Tahoma" w:eastAsia="Tahoma" w:hAnsi="Tahoma" w:cs="Tahoma"/>
        </w:rPr>
        <w:t xml:space="preserve"> see Addendum </w:t>
      </w:r>
      <w:r>
        <w:rPr>
          <w:rFonts w:ascii="Tahoma" w:hAnsi="Tahoma" w:cs="Tahoma"/>
        </w:rPr>
        <w:t>[</w:t>
      </w:r>
      <w:r w:rsidRPr="00867993">
        <w:rPr>
          <w:rFonts w:ascii="Tahoma" w:hAnsi="Tahoma" w:cs="Tahoma"/>
          <w:strike/>
        </w:rPr>
        <w:t>8</w:t>
      </w:r>
      <w:r>
        <w:rPr>
          <w:rFonts w:ascii="Tahoma" w:hAnsi="Tahoma" w:cs="Tahoma"/>
        </w:rPr>
        <w:t xml:space="preserve">] </w:t>
      </w:r>
      <w:r>
        <w:rPr>
          <w:rFonts w:ascii="Tahoma" w:hAnsi="Tahoma" w:cs="Tahoma"/>
          <w:b/>
          <w:bCs/>
          <w:u w:val="single"/>
        </w:rPr>
        <w:t>9</w:t>
      </w:r>
      <w:r w:rsidRPr="00566C23">
        <w:rPr>
          <w:rFonts w:ascii="Tahoma" w:eastAsia="Tahoma" w:hAnsi="Tahoma" w:cs="Tahoma"/>
        </w:rPr>
        <w:t>. Level 2 chargers are eligible for CEC funding.</w:t>
      </w:r>
      <w:r w:rsidR="00DE7F2F">
        <w:rPr>
          <w:rFonts w:ascii="Tahoma" w:eastAsia="Tahoma" w:hAnsi="Tahoma" w:cs="Tahoma"/>
        </w:rPr>
        <w:br/>
      </w:r>
    </w:p>
    <w:p w14:paraId="1524F40B" w14:textId="77777777" w:rsidR="00DE7F2F" w:rsidRPr="00566C23" w:rsidRDefault="00DE7F2F" w:rsidP="00DE7F2F">
      <w:pPr>
        <w:ind w:left="720" w:hanging="720"/>
        <w:rPr>
          <w:rFonts w:ascii="Tahoma" w:eastAsia="Times New Roman" w:hAnsi="Tahoma" w:cs="Tahoma"/>
          <w:b/>
          <w:bCs/>
          <w:color w:val="000000"/>
        </w:rPr>
      </w:pPr>
      <w:r w:rsidRPr="00566C23">
        <w:rPr>
          <w:rFonts w:ascii="Tahoma" w:hAnsi="Tahoma" w:cs="Tahoma"/>
          <w:b/>
          <w:bCs/>
        </w:rPr>
        <w:t>Q</w:t>
      </w:r>
      <w:r>
        <w:rPr>
          <w:rFonts w:ascii="Tahoma" w:hAnsi="Tahoma" w:cs="Tahoma"/>
          <w:b/>
          <w:bCs/>
        </w:rPr>
        <w:t>2</w:t>
      </w:r>
      <w:r w:rsidRPr="00566C23">
        <w:rPr>
          <w:rFonts w:ascii="Tahoma" w:hAnsi="Tahoma" w:cs="Tahoma"/>
          <w:b/>
          <w:bCs/>
        </w:rPr>
        <w:t>8:</w:t>
      </w:r>
      <w:r w:rsidRPr="000A6E3F">
        <w:rPr>
          <w:rFonts w:ascii="Tahoma" w:hAnsi="Tahoma" w:cs="Tahoma"/>
        </w:rPr>
        <w:tab/>
      </w:r>
      <w:r w:rsidRPr="00566C23">
        <w:rPr>
          <w:rFonts w:ascii="Tahoma" w:eastAsia="Times New Roman" w:hAnsi="Tahoma" w:cs="Tahoma"/>
          <w:b/>
          <w:color w:val="000000" w:themeColor="text1"/>
        </w:rPr>
        <w:t xml:space="preserve">Why are minimums on simultaneous power levels included in the solicitation? Many MDHD applications do not need more than Level 2, and this will inflate costs. Typical bidirectional equipment is 60kW as well, which makes this difficult for school </w:t>
      </w:r>
      <w:r w:rsidRPr="00566C23">
        <w:rPr>
          <w:rFonts w:ascii="Tahoma" w:eastAsia="Times New Roman" w:hAnsi="Tahoma" w:cs="Tahoma"/>
          <w:b/>
          <w:bCs/>
          <w:color w:val="000000" w:themeColor="text1"/>
        </w:rPr>
        <w:t xml:space="preserve">districts. </w:t>
      </w:r>
    </w:p>
    <w:p w14:paraId="45B2F947" w14:textId="77777777" w:rsidR="00DE7F2F" w:rsidRPr="00566C23" w:rsidRDefault="00DE7F2F" w:rsidP="00DE7F2F">
      <w:pPr>
        <w:ind w:left="720" w:hanging="720"/>
        <w:rPr>
          <w:rFonts w:ascii="Tahoma" w:eastAsia="Times New Roman" w:hAnsi="Tahoma" w:cs="Tahoma"/>
          <w:color w:val="000000" w:themeColor="text1"/>
        </w:rPr>
      </w:pPr>
    </w:p>
    <w:p w14:paraId="7E11E3DE" w14:textId="77777777" w:rsidR="00DE7F2F" w:rsidRPr="00566C23" w:rsidRDefault="00DE7F2F" w:rsidP="00DE7F2F">
      <w:pPr>
        <w:ind w:left="720" w:hanging="720"/>
        <w:rPr>
          <w:rFonts w:ascii="Tahoma" w:hAnsi="Tahoma" w:cs="Tahoma"/>
        </w:rPr>
      </w:pPr>
      <w:r w:rsidRPr="00566C23">
        <w:rPr>
          <w:rFonts w:ascii="Tahoma" w:eastAsia="Times New Roman" w:hAnsi="Tahoma" w:cs="Tahoma"/>
          <w:color w:val="000000" w:themeColor="text1"/>
        </w:rPr>
        <w:t>A</w:t>
      </w:r>
      <w:r>
        <w:rPr>
          <w:rFonts w:ascii="Tahoma" w:eastAsia="Times New Roman" w:hAnsi="Tahoma" w:cs="Tahoma"/>
          <w:color w:val="000000" w:themeColor="text1"/>
        </w:rPr>
        <w:t>2</w:t>
      </w:r>
      <w:r w:rsidRPr="00566C23">
        <w:rPr>
          <w:rFonts w:ascii="Tahoma" w:eastAsia="Times New Roman" w:hAnsi="Tahoma" w:cs="Tahoma"/>
          <w:color w:val="000000" w:themeColor="text1"/>
        </w:rPr>
        <w:t>8:</w:t>
      </w:r>
      <w:r w:rsidRPr="000A6E3F">
        <w:rPr>
          <w:rFonts w:ascii="Tahoma" w:hAnsi="Tahoma" w:cs="Tahoma"/>
        </w:rPr>
        <w:tab/>
      </w:r>
      <w:r w:rsidRPr="00566C23">
        <w:rPr>
          <w:rFonts w:ascii="Tahoma" w:hAnsi="Tahoma" w:cs="Tahoma"/>
        </w:rPr>
        <w:t xml:space="preserve">Please see Addendum </w:t>
      </w:r>
      <w:r>
        <w:rPr>
          <w:rFonts w:ascii="Tahoma" w:hAnsi="Tahoma" w:cs="Tahoma"/>
        </w:rPr>
        <w:t>[</w:t>
      </w:r>
      <w:r w:rsidRPr="00867993">
        <w:rPr>
          <w:rFonts w:ascii="Tahoma" w:hAnsi="Tahoma" w:cs="Tahoma"/>
          <w:strike/>
        </w:rPr>
        <w:t>8</w:t>
      </w:r>
      <w:r>
        <w:rPr>
          <w:rFonts w:ascii="Tahoma" w:hAnsi="Tahoma" w:cs="Tahoma"/>
        </w:rPr>
        <w:t xml:space="preserve">] </w:t>
      </w:r>
      <w:r>
        <w:rPr>
          <w:rFonts w:ascii="Tahoma" w:hAnsi="Tahoma" w:cs="Tahoma"/>
          <w:b/>
          <w:bCs/>
          <w:u w:val="single"/>
        </w:rPr>
        <w:t>9</w:t>
      </w:r>
      <w:r w:rsidRPr="009B2CA3">
        <w:rPr>
          <w:rFonts w:ascii="Tahoma" w:hAnsi="Tahoma" w:cs="Tahoma"/>
        </w:rPr>
        <w:t xml:space="preserve"> </w:t>
      </w:r>
      <w:r w:rsidRPr="00566C23">
        <w:rPr>
          <w:rFonts w:ascii="Tahoma" w:hAnsi="Tahoma" w:cs="Tahoma"/>
        </w:rPr>
        <w:t>for new power level requirements (Section II.B.</w:t>
      </w:r>
      <w:r>
        <w:rPr>
          <w:rFonts w:ascii="Tahoma" w:hAnsi="Tahoma" w:cs="Tahoma"/>
        </w:rPr>
        <w:t>3</w:t>
      </w:r>
      <w:r w:rsidRPr="00566C23">
        <w:rPr>
          <w:rFonts w:ascii="Tahoma" w:hAnsi="Tahoma" w:cs="Tahoma"/>
        </w:rPr>
        <w:t xml:space="preserve">). </w:t>
      </w:r>
      <w:r w:rsidRPr="00566C23">
        <w:rPr>
          <w:rFonts w:ascii="Tahoma" w:eastAsia="Tahoma" w:hAnsi="Tahoma" w:cs="Tahoma"/>
        </w:rPr>
        <w:t>Level 2 chargers are eligible for CEC funding.</w:t>
      </w:r>
    </w:p>
    <w:p w14:paraId="0F5FBC01" w14:textId="77777777" w:rsidR="00DE7F2F" w:rsidRPr="00566C23" w:rsidRDefault="00DE7F2F" w:rsidP="00DE7F2F">
      <w:pPr>
        <w:ind w:left="720" w:hanging="720"/>
        <w:rPr>
          <w:rFonts w:ascii="Tahoma" w:hAnsi="Tahoma" w:cs="Tahoma"/>
        </w:rPr>
      </w:pPr>
      <w:r w:rsidRPr="00566C23">
        <w:rPr>
          <w:rFonts w:ascii="Tahoma" w:eastAsia="Times New Roman" w:hAnsi="Tahoma" w:cs="Tahoma"/>
          <w:color w:val="000000" w:themeColor="text1"/>
        </w:rPr>
        <w:tab/>
      </w:r>
    </w:p>
    <w:p w14:paraId="66BC2BAE" w14:textId="3C59C59D" w:rsidR="00DE7F2F" w:rsidRPr="00566C23" w:rsidRDefault="00DE7F2F" w:rsidP="00DE7F2F">
      <w:pPr>
        <w:ind w:left="720"/>
        <w:rPr>
          <w:rFonts w:ascii="Tahoma" w:hAnsi="Tahoma" w:cs="Tahoma"/>
        </w:rPr>
      </w:pPr>
      <w:r w:rsidRPr="00566C23">
        <w:rPr>
          <w:rFonts w:ascii="Tahoma" w:hAnsi="Tahoma" w:cs="Tahoma"/>
        </w:rPr>
        <w:t xml:space="preserve">Additionally, minimums on simultaneous power levels are required if the electric vehicle charging station </w:t>
      </w:r>
      <w:proofErr w:type="gramStart"/>
      <w:r w:rsidRPr="00566C23">
        <w:rPr>
          <w:rFonts w:ascii="Tahoma" w:hAnsi="Tahoma" w:cs="Tahoma"/>
        </w:rPr>
        <w:t xml:space="preserve">will </w:t>
      </w:r>
      <w:r>
        <w:rPr>
          <w:rFonts w:ascii="Tahoma" w:hAnsi="Tahoma" w:cs="Tahoma"/>
        </w:rPr>
        <w:t>be</w:t>
      </w:r>
      <w:proofErr w:type="gramEnd"/>
      <w:r>
        <w:rPr>
          <w:rFonts w:ascii="Tahoma" w:hAnsi="Tahoma" w:cs="Tahoma"/>
        </w:rPr>
        <w:t xml:space="preserve"> open for public access</w:t>
      </w:r>
      <w:r w:rsidRPr="00566C23">
        <w:rPr>
          <w:rFonts w:ascii="Tahoma" w:hAnsi="Tahoma" w:cs="Tahoma"/>
        </w:rPr>
        <w:t>, and each charging station port must be capable of providing at least 200 kW (Section II.B.</w:t>
      </w:r>
      <w:r>
        <w:rPr>
          <w:rFonts w:ascii="Tahoma" w:hAnsi="Tahoma" w:cs="Tahoma"/>
        </w:rPr>
        <w:t>3</w:t>
      </w:r>
      <w:r w:rsidRPr="00566C23">
        <w:rPr>
          <w:rFonts w:ascii="Tahoma" w:hAnsi="Tahoma" w:cs="Tahoma"/>
        </w:rPr>
        <w:t>.). If Automated Load Management (ALM) is being utilized, each charging station port must be capable of simultaneously providing at least 150 kW when all ports are in use. This requirement aims to provide sufficient charging speed for larger vehicles, facilitating efficient operations and reducing downtime. If the charging equipment is not for public use, the simultaneous power level minimums do not apply.</w:t>
      </w:r>
      <w:r w:rsidR="00F228E2">
        <w:rPr>
          <w:rFonts w:ascii="Tahoma" w:hAnsi="Tahoma" w:cs="Tahoma"/>
        </w:rPr>
        <w:br/>
      </w:r>
    </w:p>
    <w:p w14:paraId="6853EDD6" w14:textId="77777777" w:rsidR="00F228E2" w:rsidRPr="00566C23" w:rsidRDefault="00F228E2" w:rsidP="00F228E2">
      <w:pPr>
        <w:ind w:left="720" w:hanging="720"/>
        <w:rPr>
          <w:rFonts w:ascii="Tahoma" w:eastAsia="Times New Roman" w:hAnsi="Tahoma" w:cs="Tahoma"/>
          <w:b/>
          <w:bCs/>
          <w:color w:val="000000"/>
        </w:rPr>
      </w:pPr>
      <w:r w:rsidRPr="00566C23">
        <w:rPr>
          <w:rFonts w:ascii="Tahoma" w:hAnsi="Tahoma" w:cs="Tahoma"/>
          <w:b/>
          <w:bCs/>
        </w:rPr>
        <w:t>Q</w:t>
      </w:r>
      <w:r>
        <w:rPr>
          <w:rFonts w:ascii="Tahoma" w:hAnsi="Tahoma" w:cs="Tahoma"/>
          <w:b/>
          <w:bCs/>
        </w:rPr>
        <w:t>2</w:t>
      </w:r>
      <w:r w:rsidRPr="00566C23">
        <w:rPr>
          <w:rFonts w:ascii="Tahoma" w:hAnsi="Tahoma" w:cs="Tahoma"/>
          <w:b/>
          <w:bCs/>
        </w:rPr>
        <w:t>9:</w:t>
      </w:r>
      <w:r w:rsidRPr="000A6E3F">
        <w:rPr>
          <w:rFonts w:ascii="Tahoma" w:hAnsi="Tahoma" w:cs="Tahoma"/>
        </w:rPr>
        <w:tab/>
      </w:r>
      <w:r w:rsidRPr="00566C23">
        <w:rPr>
          <w:rFonts w:ascii="Tahoma" w:eastAsia="Times New Roman" w:hAnsi="Tahoma" w:cs="Tahoma"/>
          <w:b/>
          <w:color w:val="000000" w:themeColor="text1"/>
        </w:rPr>
        <w:t xml:space="preserve">Could </w:t>
      </w:r>
      <w:r w:rsidRPr="00566C23">
        <w:rPr>
          <w:rFonts w:ascii="Tahoma" w:eastAsia="Times New Roman" w:hAnsi="Tahoma" w:cs="Tahoma"/>
          <w:b/>
          <w:bCs/>
        </w:rPr>
        <w:t>an application be eligible if it makes the case that a per-port power capacity below 80kW is in the economic and operational interest of the project?</w:t>
      </w:r>
    </w:p>
    <w:p w14:paraId="76D823F9" w14:textId="77777777" w:rsidR="00F228E2" w:rsidRPr="00566C23" w:rsidRDefault="00F228E2" w:rsidP="00F228E2">
      <w:pPr>
        <w:ind w:left="720" w:hanging="720"/>
        <w:rPr>
          <w:rFonts w:ascii="Tahoma" w:hAnsi="Tahoma" w:cs="Tahoma"/>
        </w:rPr>
      </w:pPr>
    </w:p>
    <w:p w14:paraId="5CE9039D" w14:textId="79DA0EAE" w:rsidR="00F228E2" w:rsidRPr="00566C23" w:rsidRDefault="00F228E2" w:rsidP="00F228E2">
      <w:pPr>
        <w:ind w:left="720" w:hanging="720"/>
        <w:rPr>
          <w:rFonts w:ascii="Tahoma" w:hAnsi="Tahoma" w:cs="Tahoma"/>
          <w:b/>
          <w:bCs/>
        </w:rPr>
      </w:pPr>
      <w:r w:rsidRPr="00566C23">
        <w:rPr>
          <w:rFonts w:ascii="Tahoma" w:hAnsi="Tahoma" w:cs="Tahoma"/>
        </w:rPr>
        <w:lastRenderedPageBreak/>
        <w:t>A</w:t>
      </w:r>
      <w:r>
        <w:rPr>
          <w:rFonts w:ascii="Tahoma" w:hAnsi="Tahoma" w:cs="Tahoma"/>
        </w:rPr>
        <w:t>2</w:t>
      </w:r>
      <w:r w:rsidRPr="00566C23">
        <w:rPr>
          <w:rFonts w:ascii="Tahoma" w:hAnsi="Tahoma" w:cs="Tahoma"/>
        </w:rPr>
        <w:t>9:</w:t>
      </w:r>
      <w:r w:rsidRPr="000A6E3F">
        <w:rPr>
          <w:rFonts w:ascii="Tahoma" w:hAnsi="Tahoma" w:cs="Tahoma"/>
        </w:rPr>
        <w:tab/>
      </w:r>
      <w:r w:rsidRPr="00566C23">
        <w:rPr>
          <w:rFonts w:ascii="Tahoma" w:hAnsi="Tahoma" w:cs="Tahoma"/>
        </w:rPr>
        <w:t xml:space="preserve">Please see Addendum </w:t>
      </w:r>
      <w:r>
        <w:rPr>
          <w:rFonts w:ascii="Tahoma" w:hAnsi="Tahoma" w:cs="Tahoma"/>
        </w:rPr>
        <w:t>[</w:t>
      </w:r>
      <w:r w:rsidRPr="00867993">
        <w:rPr>
          <w:rFonts w:ascii="Tahoma" w:hAnsi="Tahoma" w:cs="Tahoma"/>
          <w:strike/>
        </w:rPr>
        <w:t>8</w:t>
      </w:r>
      <w:r>
        <w:rPr>
          <w:rFonts w:ascii="Tahoma" w:hAnsi="Tahoma" w:cs="Tahoma"/>
        </w:rPr>
        <w:t xml:space="preserve">] </w:t>
      </w:r>
      <w:r>
        <w:rPr>
          <w:rFonts w:ascii="Tahoma" w:hAnsi="Tahoma" w:cs="Tahoma"/>
          <w:b/>
          <w:bCs/>
          <w:u w:val="single"/>
        </w:rPr>
        <w:t>9</w:t>
      </w:r>
      <w:r>
        <w:rPr>
          <w:rFonts w:ascii="Tahoma" w:hAnsi="Tahoma" w:cs="Tahoma"/>
        </w:rPr>
        <w:t xml:space="preserve"> </w:t>
      </w:r>
      <w:r w:rsidRPr="00566C23">
        <w:rPr>
          <w:rFonts w:ascii="Tahoma" w:hAnsi="Tahoma" w:cs="Tahoma"/>
        </w:rPr>
        <w:t xml:space="preserve">for power level requirements. If the electric vehicle charging station will be </w:t>
      </w:r>
      <w:r>
        <w:rPr>
          <w:rFonts w:ascii="Tahoma" w:hAnsi="Tahoma" w:cs="Tahoma"/>
        </w:rPr>
        <w:t>P</w:t>
      </w:r>
      <w:r w:rsidRPr="00566C23">
        <w:rPr>
          <w:rFonts w:ascii="Tahoma" w:hAnsi="Tahoma" w:cs="Tahoma"/>
        </w:rPr>
        <w:t>rivate</w:t>
      </w:r>
      <w:r>
        <w:rPr>
          <w:rFonts w:ascii="Tahoma" w:hAnsi="Tahoma" w:cs="Tahoma"/>
        </w:rPr>
        <w:t xml:space="preserve"> Access</w:t>
      </w:r>
      <w:r w:rsidRPr="00566C23">
        <w:rPr>
          <w:rFonts w:ascii="Tahoma" w:hAnsi="Tahoma" w:cs="Tahoma"/>
        </w:rPr>
        <w:t xml:space="preserve"> </w:t>
      </w:r>
      <w:r>
        <w:rPr>
          <w:rFonts w:ascii="Tahoma" w:hAnsi="Tahoma" w:cs="Tahoma"/>
        </w:rPr>
        <w:t>or Shared Access</w:t>
      </w:r>
      <w:r w:rsidRPr="00566C23">
        <w:rPr>
          <w:rFonts w:ascii="Tahoma" w:hAnsi="Tahoma" w:cs="Tahoma"/>
        </w:rPr>
        <w:t xml:space="preserve">, each charging port must </w:t>
      </w:r>
      <w:r>
        <w:rPr>
          <w:rFonts w:ascii="Tahoma" w:hAnsi="Tahoma" w:cs="Tahoma"/>
        </w:rPr>
        <w:t>be</w:t>
      </w:r>
      <w:r w:rsidRPr="00566C23">
        <w:rPr>
          <w:rFonts w:ascii="Tahoma" w:hAnsi="Tahoma" w:cs="Tahoma"/>
        </w:rPr>
        <w:t xml:space="preserve"> </w:t>
      </w:r>
      <w:r>
        <w:rPr>
          <w:rFonts w:ascii="Tahoma" w:hAnsi="Tahoma" w:cs="Tahoma"/>
        </w:rPr>
        <w:t>capable of at least</w:t>
      </w:r>
      <w:r w:rsidRPr="00566C23">
        <w:rPr>
          <w:rFonts w:ascii="Tahoma" w:hAnsi="Tahoma" w:cs="Tahoma"/>
        </w:rPr>
        <w:t xml:space="preserve"> </w:t>
      </w:r>
      <w:r>
        <w:rPr>
          <w:rFonts w:ascii="Tahoma" w:hAnsi="Tahoma" w:cs="Tahoma"/>
        </w:rPr>
        <w:t>L</w:t>
      </w:r>
      <w:r w:rsidRPr="00566C23">
        <w:rPr>
          <w:rFonts w:ascii="Tahoma" w:hAnsi="Tahoma" w:cs="Tahoma"/>
        </w:rPr>
        <w:t xml:space="preserve">evel 2 </w:t>
      </w:r>
      <w:r>
        <w:rPr>
          <w:rFonts w:ascii="Tahoma" w:hAnsi="Tahoma" w:cs="Tahoma"/>
        </w:rPr>
        <w:t>charging</w:t>
      </w:r>
      <w:r w:rsidRPr="00566C23">
        <w:rPr>
          <w:rFonts w:ascii="Tahoma" w:hAnsi="Tahoma" w:cs="Tahoma"/>
        </w:rPr>
        <w:t>. (Section II.B.</w:t>
      </w:r>
      <w:r>
        <w:rPr>
          <w:rFonts w:ascii="Tahoma" w:hAnsi="Tahoma" w:cs="Tahoma"/>
        </w:rPr>
        <w:t>3</w:t>
      </w:r>
      <w:r w:rsidRPr="00566C23">
        <w:rPr>
          <w:rFonts w:ascii="Tahoma" w:hAnsi="Tahoma" w:cs="Tahoma"/>
        </w:rPr>
        <w:t xml:space="preserve">). If the electric vehicle charging station will be </w:t>
      </w:r>
      <w:r>
        <w:rPr>
          <w:rFonts w:ascii="Tahoma" w:hAnsi="Tahoma" w:cs="Tahoma"/>
        </w:rPr>
        <w:t>Public Access</w:t>
      </w:r>
      <w:r w:rsidRPr="00566C23">
        <w:rPr>
          <w:rFonts w:ascii="Tahoma" w:hAnsi="Tahoma" w:cs="Tahoma"/>
        </w:rPr>
        <w:t>, each charging station port</w:t>
      </w:r>
      <w:r>
        <w:rPr>
          <w:rFonts w:ascii="Tahoma" w:hAnsi="Tahoma" w:cs="Tahoma"/>
        </w:rPr>
        <w:t xml:space="preserve"> </w:t>
      </w:r>
      <w:r w:rsidRPr="00566C23">
        <w:rPr>
          <w:rFonts w:ascii="Tahoma" w:hAnsi="Tahoma" w:cs="Tahoma"/>
        </w:rPr>
        <w:t>must be capable of providing at least 200 kW. This requirement is designed to ensure that the infrastructure supports the deployment of and performance needs of medium- and heavy-duty zero-emission vehicles.</w:t>
      </w:r>
      <w:r w:rsidR="006132E6">
        <w:rPr>
          <w:rFonts w:ascii="Tahoma" w:hAnsi="Tahoma" w:cs="Tahoma"/>
        </w:rPr>
        <w:br/>
      </w:r>
    </w:p>
    <w:p w14:paraId="56E4F769" w14:textId="77777777" w:rsidR="006132E6" w:rsidRPr="00566C23" w:rsidRDefault="006132E6" w:rsidP="006132E6">
      <w:pPr>
        <w:ind w:left="720" w:hanging="720"/>
        <w:rPr>
          <w:rFonts w:ascii="Tahoma" w:eastAsia="Tahoma" w:hAnsi="Tahoma" w:cs="Tahoma"/>
          <w:b/>
          <w:color w:val="000000" w:themeColor="text1"/>
        </w:rPr>
      </w:pPr>
      <w:r w:rsidRPr="00566C23">
        <w:rPr>
          <w:rFonts w:ascii="Tahoma" w:eastAsia="Tahoma" w:hAnsi="Tahoma" w:cs="Tahoma"/>
          <w:b/>
        </w:rPr>
        <w:t>Q</w:t>
      </w:r>
      <w:r>
        <w:rPr>
          <w:rFonts w:ascii="Tahoma" w:eastAsia="Tahoma" w:hAnsi="Tahoma" w:cs="Tahoma"/>
          <w:b/>
        </w:rPr>
        <w:t>3</w:t>
      </w:r>
      <w:r w:rsidRPr="00566C23">
        <w:rPr>
          <w:rFonts w:ascii="Tahoma" w:eastAsia="Tahoma" w:hAnsi="Tahoma" w:cs="Tahoma"/>
          <w:b/>
        </w:rPr>
        <w:t>2:</w:t>
      </w:r>
      <w:r w:rsidRPr="000A6E3F">
        <w:rPr>
          <w:rFonts w:ascii="Tahoma" w:hAnsi="Tahoma" w:cs="Tahoma"/>
        </w:rPr>
        <w:tab/>
      </w:r>
      <w:r w:rsidRPr="00566C23">
        <w:rPr>
          <w:rFonts w:ascii="Tahoma" w:eastAsia="Tahoma" w:hAnsi="Tahoma" w:cs="Tahoma"/>
          <w:b/>
        </w:rPr>
        <w:t xml:space="preserve">The GFO Vehicle Deployment Requirements state: “... the fleet that is being provided with charging...must commit to...[a]t least three MDHD EVs per DC fast charger proposed for CEC funding.” Thus, if the project seeks to install 27 DC fast chargers, then the fleet must commit at least 81 MDHD EVs to the project. Do these Vehicle Deployment Requirements apply to off-road equipment or specialty vehicles? </w:t>
      </w:r>
    </w:p>
    <w:p w14:paraId="25654007" w14:textId="41045783" w:rsidR="00FE19C1" w:rsidRDefault="006132E6" w:rsidP="006132E6">
      <w:pPr>
        <w:spacing w:before="100" w:beforeAutospacing="1" w:after="100" w:afterAutospacing="1"/>
        <w:ind w:left="720" w:hanging="720"/>
        <w:rPr>
          <w:rFonts w:ascii="Tahoma" w:eastAsia="Tahoma" w:hAnsi="Tahoma" w:cs="Tahoma"/>
          <w:color w:val="000000" w:themeColor="text1"/>
        </w:rPr>
      </w:pPr>
      <w:r w:rsidRPr="00566C23">
        <w:rPr>
          <w:rFonts w:ascii="Tahoma" w:eastAsia="Tahoma" w:hAnsi="Tahoma" w:cs="Tahoma"/>
        </w:rPr>
        <w:t>A</w:t>
      </w:r>
      <w:r>
        <w:rPr>
          <w:rFonts w:ascii="Tahoma" w:eastAsia="Tahoma" w:hAnsi="Tahoma" w:cs="Tahoma"/>
        </w:rPr>
        <w:t>3</w:t>
      </w:r>
      <w:r w:rsidRPr="00566C23">
        <w:rPr>
          <w:rFonts w:ascii="Tahoma" w:eastAsia="Tahoma" w:hAnsi="Tahoma" w:cs="Tahoma"/>
        </w:rPr>
        <w:t>2</w:t>
      </w:r>
      <w:proofErr w:type="gramStart"/>
      <w:r w:rsidRPr="00566C23">
        <w:rPr>
          <w:rFonts w:ascii="Tahoma" w:eastAsia="Tahoma" w:hAnsi="Tahoma" w:cs="Tahoma"/>
        </w:rPr>
        <w:t xml:space="preserve">: </w:t>
      </w:r>
      <w:r>
        <w:tab/>
      </w:r>
      <w:r w:rsidRPr="00566C23">
        <w:rPr>
          <w:rFonts w:ascii="Tahoma" w:eastAsia="Tahoma" w:hAnsi="Tahoma" w:cs="Tahoma"/>
        </w:rPr>
        <w:t>Please</w:t>
      </w:r>
      <w:proofErr w:type="gramEnd"/>
      <w:r w:rsidRPr="00566C23">
        <w:rPr>
          <w:rFonts w:ascii="Tahoma" w:eastAsia="Tahoma" w:hAnsi="Tahoma" w:cs="Tahoma"/>
        </w:rPr>
        <w:t xml:space="preserve"> see Addendum </w:t>
      </w:r>
      <w:r>
        <w:rPr>
          <w:rFonts w:ascii="Tahoma" w:hAnsi="Tahoma" w:cs="Tahoma"/>
        </w:rPr>
        <w:t>[</w:t>
      </w:r>
      <w:r w:rsidRPr="00867993">
        <w:rPr>
          <w:rFonts w:ascii="Tahoma" w:hAnsi="Tahoma" w:cs="Tahoma"/>
          <w:strike/>
        </w:rPr>
        <w:t>8</w:t>
      </w:r>
      <w:r>
        <w:rPr>
          <w:rFonts w:ascii="Tahoma" w:hAnsi="Tahoma" w:cs="Tahoma"/>
        </w:rPr>
        <w:t xml:space="preserve">] </w:t>
      </w:r>
      <w:r>
        <w:rPr>
          <w:rFonts w:ascii="Tahoma" w:hAnsi="Tahoma" w:cs="Tahoma"/>
          <w:b/>
          <w:bCs/>
          <w:u w:val="single"/>
        </w:rPr>
        <w:t>9</w:t>
      </w:r>
      <w:r w:rsidRPr="1E6C905A">
        <w:rPr>
          <w:rFonts w:ascii="Tahoma" w:eastAsia="Tahoma" w:hAnsi="Tahoma" w:cs="Tahoma"/>
        </w:rPr>
        <w:t>.</w:t>
      </w:r>
      <w:r w:rsidRPr="00566C23">
        <w:rPr>
          <w:rFonts w:ascii="Tahoma" w:eastAsia="Tahoma" w:hAnsi="Tahoma" w:cs="Tahoma"/>
        </w:rPr>
        <w:t xml:space="preserve"> A commitment of at least one (1) specialty vehicle, off-road equipment/vehicle, or non-road vehicle is required per charging port or refueling position</w:t>
      </w:r>
      <w:r>
        <w:rPr>
          <w:rFonts w:ascii="Tahoma" w:eastAsia="Tahoma" w:hAnsi="Tahoma" w:cs="Tahoma"/>
        </w:rPr>
        <w:t xml:space="preserve"> </w:t>
      </w:r>
      <w:r w:rsidRPr="009B5833">
        <w:rPr>
          <w:rFonts w:ascii="Tahoma" w:eastAsia="Tahoma" w:hAnsi="Tahoma" w:cs="Tahoma"/>
          <w:color w:val="000000" w:themeColor="text1"/>
        </w:rPr>
        <w:t>proposed for CEC funding</w:t>
      </w:r>
      <w:r w:rsidRPr="009F34AA">
        <w:rPr>
          <w:rFonts w:ascii="Tahoma" w:eastAsia="Tahoma" w:hAnsi="Tahoma" w:cs="Tahoma"/>
          <w:color w:val="000000" w:themeColor="text1"/>
        </w:rPr>
        <w:t>.</w:t>
      </w:r>
    </w:p>
    <w:p w14:paraId="34871858" w14:textId="77777777" w:rsidR="00697746" w:rsidRPr="00566C23" w:rsidRDefault="00697746" w:rsidP="00697746">
      <w:pPr>
        <w:ind w:left="720" w:hanging="720"/>
        <w:rPr>
          <w:rFonts w:ascii="Tahoma" w:eastAsia="Tahoma" w:hAnsi="Tahoma" w:cs="Tahoma"/>
          <w:b/>
          <w:color w:val="000000" w:themeColor="text1"/>
        </w:rPr>
      </w:pPr>
      <w:r w:rsidRPr="00566C23">
        <w:rPr>
          <w:rFonts w:ascii="Tahoma" w:eastAsia="Tahoma" w:hAnsi="Tahoma" w:cs="Tahoma"/>
          <w:b/>
        </w:rPr>
        <w:t>Q</w:t>
      </w:r>
      <w:r>
        <w:rPr>
          <w:rFonts w:ascii="Tahoma" w:eastAsia="Tahoma" w:hAnsi="Tahoma" w:cs="Tahoma"/>
          <w:b/>
        </w:rPr>
        <w:t>3</w:t>
      </w:r>
      <w:r w:rsidRPr="00566C23">
        <w:rPr>
          <w:rFonts w:ascii="Tahoma" w:eastAsia="Tahoma" w:hAnsi="Tahoma" w:cs="Tahoma"/>
          <w:b/>
        </w:rPr>
        <w:t xml:space="preserve">3: </w:t>
      </w:r>
      <w:r w:rsidRPr="000A6E3F">
        <w:rPr>
          <w:rFonts w:ascii="Tahoma" w:hAnsi="Tahoma" w:cs="Tahoma"/>
        </w:rPr>
        <w:tab/>
      </w:r>
      <w:r w:rsidRPr="00566C23">
        <w:rPr>
          <w:rFonts w:ascii="Tahoma" w:eastAsia="Tahoma" w:hAnsi="Tahoma" w:cs="Tahoma"/>
          <w:b/>
        </w:rPr>
        <w:t xml:space="preserve">Does each port count as a “DC fast charger” in the context of this text from the GFO: “... the fleet that is being provided with charging...must commit to...[a]t least three MDHD EVs per DC fast charger proposed for CEC funding.”  </w:t>
      </w:r>
    </w:p>
    <w:p w14:paraId="3DBDA9C2" w14:textId="77777777" w:rsidR="00697746" w:rsidRPr="00566C23" w:rsidRDefault="00697746" w:rsidP="00697746">
      <w:pPr>
        <w:ind w:left="720" w:hanging="720"/>
        <w:rPr>
          <w:rFonts w:ascii="Tahoma" w:eastAsia="Tahoma" w:hAnsi="Tahoma" w:cs="Tahoma"/>
        </w:rPr>
      </w:pPr>
    </w:p>
    <w:p w14:paraId="30263D63" w14:textId="43916E81" w:rsidR="00697746" w:rsidRDefault="00697746" w:rsidP="00697746">
      <w:pPr>
        <w:ind w:left="720" w:hanging="720"/>
        <w:rPr>
          <w:rFonts w:ascii="Tahoma" w:eastAsia="Tahoma" w:hAnsi="Tahoma" w:cs="Tahoma"/>
          <w:i/>
          <w:iCs/>
        </w:rPr>
      </w:pPr>
      <w:r w:rsidRPr="00566C23">
        <w:rPr>
          <w:rFonts w:ascii="Tahoma" w:eastAsia="Tahoma" w:hAnsi="Tahoma" w:cs="Tahoma"/>
        </w:rPr>
        <w:t>A</w:t>
      </w:r>
      <w:r>
        <w:rPr>
          <w:rFonts w:ascii="Tahoma" w:eastAsia="Tahoma" w:hAnsi="Tahoma" w:cs="Tahoma"/>
        </w:rPr>
        <w:t>3</w:t>
      </w:r>
      <w:r w:rsidRPr="00566C23">
        <w:rPr>
          <w:rFonts w:ascii="Tahoma" w:eastAsia="Tahoma" w:hAnsi="Tahoma" w:cs="Tahoma"/>
        </w:rPr>
        <w:t>3</w:t>
      </w:r>
      <w:proofErr w:type="gramStart"/>
      <w:r w:rsidRPr="00566C23">
        <w:rPr>
          <w:rFonts w:ascii="Tahoma" w:eastAsia="Tahoma" w:hAnsi="Tahoma" w:cs="Tahoma"/>
        </w:rPr>
        <w:t xml:space="preserve">: </w:t>
      </w:r>
      <w:r>
        <w:tab/>
      </w:r>
      <w:r w:rsidRPr="00566C23">
        <w:rPr>
          <w:rFonts w:ascii="Tahoma" w:eastAsia="Tahoma" w:hAnsi="Tahoma" w:cs="Tahoma"/>
        </w:rPr>
        <w:t>Please</w:t>
      </w:r>
      <w:proofErr w:type="gramEnd"/>
      <w:r w:rsidRPr="00566C23">
        <w:rPr>
          <w:rFonts w:ascii="Tahoma" w:eastAsia="Tahoma" w:hAnsi="Tahoma" w:cs="Tahoma"/>
        </w:rPr>
        <w:t xml:space="preserve"> see Addendum </w:t>
      </w:r>
      <w:r>
        <w:rPr>
          <w:rFonts w:ascii="Tahoma" w:hAnsi="Tahoma" w:cs="Tahoma"/>
        </w:rPr>
        <w:t>[</w:t>
      </w:r>
      <w:r w:rsidRPr="00867993">
        <w:rPr>
          <w:rFonts w:ascii="Tahoma" w:hAnsi="Tahoma" w:cs="Tahoma"/>
          <w:strike/>
        </w:rPr>
        <w:t>8</w:t>
      </w:r>
      <w:r>
        <w:rPr>
          <w:rFonts w:ascii="Tahoma" w:hAnsi="Tahoma" w:cs="Tahoma"/>
        </w:rPr>
        <w:t xml:space="preserve">] </w:t>
      </w:r>
      <w:r>
        <w:rPr>
          <w:rFonts w:ascii="Tahoma" w:hAnsi="Tahoma" w:cs="Tahoma"/>
          <w:b/>
          <w:bCs/>
          <w:u w:val="single"/>
        </w:rPr>
        <w:t>9</w:t>
      </w:r>
      <w:r w:rsidRPr="00566C23">
        <w:rPr>
          <w:rFonts w:ascii="Tahoma" w:eastAsia="Tahoma" w:hAnsi="Tahoma" w:cs="Tahoma"/>
        </w:rPr>
        <w:t xml:space="preserve">. </w:t>
      </w:r>
      <w:r w:rsidRPr="009B5833">
        <w:rPr>
          <w:rFonts w:ascii="Tahoma" w:eastAsia="Tahoma" w:hAnsi="Tahoma" w:cs="Tahoma"/>
        </w:rPr>
        <w:t>T</w:t>
      </w:r>
      <w:r w:rsidRPr="00975AF6">
        <w:rPr>
          <w:rFonts w:ascii="Tahoma" w:eastAsia="Tahoma" w:hAnsi="Tahoma" w:cs="Tahoma"/>
        </w:rPr>
        <w:t>he</w:t>
      </w:r>
      <w:r w:rsidRPr="00566C23">
        <w:rPr>
          <w:rFonts w:ascii="Tahoma" w:eastAsia="Tahoma" w:hAnsi="Tahoma" w:cs="Tahoma"/>
        </w:rPr>
        <w:t xml:space="preserve"> charging port is defined as </w:t>
      </w:r>
      <w:r w:rsidRPr="00566C23">
        <w:rPr>
          <w:rFonts w:ascii="Tahoma" w:eastAsia="Tahoma" w:hAnsi="Tahoma" w:cs="Tahoma"/>
          <w:i/>
          <w:iCs/>
        </w:rPr>
        <w:t>“The system within a charger that charges one electric vehicle. A charging port may have multiple connectors, but it can provide power to charge only one electric vehicle through one connector at a time.”</w:t>
      </w:r>
      <w:r w:rsidR="00CB0831">
        <w:rPr>
          <w:rFonts w:ascii="Tahoma" w:eastAsia="Tahoma" w:hAnsi="Tahoma" w:cs="Tahoma"/>
          <w:i/>
          <w:iCs/>
        </w:rPr>
        <w:br/>
      </w:r>
    </w:p>
    <w:p w14:paraId="211104D9" w14:textId="77777777" w:rsidR="00CB0831" w:rsidRPr="00566C23" w:rsidRDefault="00CB0831" w:rsidP="00CB0831">
      <w:pPr>
        <w:ind w:left="720" w:hanging="720"/>
        <w:rPr>
          <w:rFonts w:ascii="Tahoma" w:eastAsia="Tahoma" w:hAnsi="Tahoma" w:cs="Tahoma"/>
          <w:b/>
        </w:rPr>
      </w:pPr>
      <w:r w:rsidRPr="00566C23">
        <w:rPr>
          <w:rFonts w:ascii="Tahoma" w:eastAsia="Tahoma" w:hAnsi="Tahoma" w:cs="Tahoma"/>
          <w:b/>
        </w:rPr>
        <w:t>Q</w:t>
      </w:r>
      <w:r>
        <w:rPr>
          <w:rFonts w:ascii="Tahoma" w:eastAsia="Tahoma" w:hAnsi="Tahoma" w:cs="Tahoma"/>
          <w:b/>
        </w:rPr>
        <w:t>3</w:t>
      </w:r>
      <w:r w:rsidRPr="00566C23">
        <w:rPr>
          <w:rFonts w:ascii="Tahoma" w:eastAsia="Tahoma" w:hAnsi="Tahoma" w:cs="Tahoma"/>
          <w:b/>
        </w:rPr>
        <w:t>5</w:t>
      </w:r>
      <w:proofErr w:type="gramStart"/>
      <w:r w:rsidRPr="00566C23">
        <w:rPr>
          <w:rFonts w:ascii="Tahoma" w:eastAsia="Tahoma" w:hAnsi="Tahoma" w:cs="Tahoma"/>
          <w:b/>
        </w:rPr>
        <w:t xml:space="preserve">: </w:t>
      </w:r>
      <w:r w:rsidRPr="000A6E3F">
        <w:rPr>
          <w:rFonts w:ascii="Tahoma" w:hAnsi="Tahoma" w:cs="Tahoma"/>
        </w:rPr>
        <w:tab/>
      </w:r>
      <w:r w:rsidRPr="00566C23">
        <w:rPr>
          <w:rFonts w:ascii="Tahoma" w:eastAsia="Tahoma" w:hAnsi="Tahoma" w:cs="Tahoma"/>
          <w:b/>
        </w:rPr>
        <w:t>If</w:t>
      </w:r>
      <w:proofErr w:type="gramEnd"/>
      <w:r w:rsidRPr="00566C23">
        <w:rPr>
          <w:rFonts w:ascii="Tahoma" w:eastAsia="Tahoma" w:hAnsi="Tahoma" w:cs="Tahoma"/>
          <w:b/>
        </w:rPr>
        <w:t xml:space="preserve"> a project phases in vehicles over multiple years, how will compliance with the vehicle-to-charger ratio be measured? At the start of operations or by project completion?</w:t>
      </w:r>
    </w:p>
    <w:p w14:paraId="24F3CB7B" w14:textId="77777777" w:rsidR="00CB0831" w:rsidRPr="00566C23" w:rsidRDefault="00CB0831" w:rsidP="00CB0831">
      <w:pPr>
        <w:ind w:left="720" w:hanging="720"/>
        <w:rPr>
          <w:rFonts w:ascii="Tahoma" w:eastAsia="Tahoma" w:hAnsi="Tahoma" w:cs="Tahoma"/>
        </w:rPr>
      </w:pPr>
    </w:p>
    <w:p w14:paraId="37D1EE93" w14:textId="77777777" w:rsidR="00CB0831" w:rsidRDefault="00CB0831" w:rsidP="00CB0831">
      <w:pPr>
        <w:ind w:left="720" w:hanging="720"/>
        <w:rPr>
          <w:rFonts w:ascii="Tahoma" w:eastAsia="Tahoma" w:hAnsi="Tahoma" w:cs="Tahoma"/>
          <w:b/>
          <w:bCs/>
          <w:u w:val="single"/>
        </w:rPr>
      </w:pPr>
      <w:r w:rsidRPr="00566C23">
        <w:rPr>
          <w:rFonts w:ascii="Tahoma" w:eastAsia="Tahoma" w:hAnsi="Tahoma" w:cs="Tahoma"/>
        </w:rPr>
        <w:t>A</w:t>
      </w:r>
      <w:r>
        <w:rPr>
          <w:rFonts w:ascii="Tahoma" w:eastAsia="Tahoma" w:hAnsi="Tahoma" w:cs="Tahoma"/>
        </w:rPr>
        <w:t>3</w:t>
      </w:r>
      <w:r w:rsidRPr="00566C23">
        <w:rPr>
          <w:rFonts w:ascii="Tahoma" w:eastAsia="Tahoma" w:hAnsi="Tahoma" w:cs="Tahoma"/>
        </w:rPr>
        <w:t>5</w:t>
      </w:r>
      <w:proofErr w:type="gramStart"/>
      <w:r w:rsidRPr="00566C23">
        <w:rPr>
          <w:rFonts w:ascii="Tahoma" w:eastAsia="Tahoma" w:hAnsi="Tahoma" w:cs="Tahoma"/>
        </w:rPr>
        <w:t xml:space="preserve">: </w:t>
      </w:r>
      <w:r w:rsidRPr="000A6E3F">
        <w:rPr>
          <w:rFonts w:ascii="Tahoma" w:hAnsi="Tahoma" w:cs="Tahoma"/>
        </w:rPr>
        <w:tab/>
      </w:r>
      <w:r w:rsidRPr="00566C23">
        <w:rPr>
          <w:rFonts w:ascii="Tahoma" w:eastAsia="Tahoma" w:hAnsi="Tahoma" w:cs="Tahoma"/>
        </w:rPr>
        <w:t>Compliance</w:t>
      </w:r>
      <w:proofErr w:type="gramEnd"/>
      <w:r w:rsidRPr="00566C23">
        <w:rPr>
          <w:rFonts w:ascii="Tahoma" w:eastAsia="Tahoma" w:hAnsi="Tahoma" w:cs="Tahoma"/>
        </w:rPr>
        <w:t xml:space="preserve"> with the vehicle-to-charger ratio will be measured by the time infrastructure becomes energized and operational. </w:t>
      </w:r>
    </w:p>
    <w:p w14:paraId="0BBA3C6C" w14:textId="77777777" w:rsidR="00CB0831" w:rsidRPr="00566C23" w:rsidRDefault="00CB0831" w:rsidP="00CB0831">
      <w:pPr>
        <w:ind w:left="720" w:hanging="720"/>
        <w:rPr>
          <w:rFonts w:ascii="Tahoma" w:eastAsia="Tahoma" w:hAnsi="Tahoma" w:cs="Tahoma"/>
        </w:rPr>
      </w:pPr>
    </w:p>
    <w:p w14:paraId="02ACA57F" w14:textId="77777777" w:rsidR="00CB0831" w:rsidRPr="00566C23" w:rsidRDefault="00CB0831" w:rsidP="00CB0831">
      <w:pPr>
        <w:ind w:left="720" w:hanging="720"/>
        <w:rPr>
          <w:rFonts w:ascii="Tahoma" w:eastAsia="Tahoma" w:hAnsi="Tahoma" w:cs="Tahoma"/>
        </w:rPr>
      </w:pPr>
      <w:r w:rsidRPr="00566C23">
        <w:rPr>
          <w:rFonts w:ascii="Tahoma" w:eastAsia="Tahoma" w:hAnsi="Tahoma" w:cs="Tahoma"/>
        </w:rPr>
        <w:tab/>
      </w:r>
      <w:r w:rsidRPr="00410A08">
        <w:rPr>
          <w:rFonts w:ascii="Tahoma" w:eastAsia="Tahoma" w:hAnsi="Tahoma" w:cs="Tahoma"/>
        </w:rPr>
        <w:t xml:space="preserve">Please see Addendum </w:t>
      </w:r>
      <w:r w:rsidRPr="00410A08">
        <w:rPr>
          <w:rFonts w:ascii="Tahoma" w:hAnsi="Tahoma" w:cs="Tahoma"/>
        </w:rPr>
        <w:t>[</w:t>
      </w:r>
      <w:r w:rsidRPr="00867993">
        <w:rPr>
          <w:rFonts w:ascii="Tahoma" w:hAnsi="Tahoma" w:cs="Tahoma"/>
          <w:strike/>
        </w:rPr>
        <w:t>8</w:t>
      </w:r>
      <w:r>
        <w:rPr>
          <w:rFonts w:ascii="Tahoma" w:hAnsi="Tahoma" w:cs="Tahoma"/>
        </w:rPr>
        <w:t>]</w:t>
      </w:r>
      <w:r w:rsidRPr="0038498B">
        <w:rPr>
          <w:rFonts w:ascii="Tahoma" w:hAnsi="Tahoma" w:cs="Tahoma"/>
          <w:b/>
          <w:bCs/>
          <w:u w:val="single"/>
        </w:rPr>
        <w:t xml:space="preserve"> </w:t>
      </w:r>
      <w:r>
        <w:rPr>
          <w:rFonts w:ascii="Tahoma" w:hAnsi="Tahoma" w:cs="Tahoma"/>
          <w:b/>
          <w:bCs/>
          <w:u w:val="single"/>
        </w:rPr>
        <w:t>9</w:t>
      </w:r>
      <w:r w:rsidRPr="0038498B">
        <w:rPr>
          <w:rFonts w:ascii="Tahoma" w:eastAsia="Tahoma" w:hAnsi="Tahoma" w:cs="Tahoma"/>
        </w:rPr>
        <w:t>.</w:t>
      </w:r>
      <w:r>
        <w:rPr>
          <w:rFonts w:ascii="Tahoma" w:eastAsia="Tahoma" w:hAnsi="Tahoma" w:cs="Tahoma"/>
        </w:rPr>
        <w:t xml:space="preserve"> </w:t>
      </w:r>
      <w:r w:rsidRPr="00566C23">
        <w:rPr>
          <w:rFonts w:ascii="Tahoma" w:eastAsia="Tahoma" w:hAnsi="Tahoma" w:cs="Tahoma"/>
        </w:rPr>
        <w:t>Other relevant requirements are as follows: To ensure that the infrastructure funded under this solicitation will be utilized, Applicants of</w:t>
      </w:r>
      <w:r>
        <w:rPr>
          <w:rFonts w:ascii="Tahoma" w:eastAsia="Tahoma" w:hAnsi="Tahoma" w:cs="Tahoma"/>
        </w:rPr>
        <w:t xml:space="preserve"> </w:t>
      </w:r>
      <w:r w:rsidRPr="00410A08">
        <w:rPr>
          <w:rFonts w:ascii="Tahoma" w:eastAsia="Tahoma" w:hAnsi="Tahoma" w:cs="Tahoma"/>
        </w:rPr>
        <w:t>all</w:t>
      </w:r>
      <w:r w:rsidRPr="00566C23">
        <w:rPr>
          <w:rFonts w:ascii="Tahoma" w:eastAsia="Tahoma" w:hAnsi="Tahoma" w:cs="Tahoma"/>
        </w:rPr>
        <w:t xml:space="preserve"> Private </w:t>
      </w:r>
      <w:r w:rsidRPr="00410A08">
        <w:rPr>
          <w:rFonts w:ascii="Tahoma" w:eastAsia="Tahoma" w:hAnsi="Tahoma" w:cs="Tahoma"/>
        </w:rPr>
        <w:t>A</w:t>
      </w:r>
      <w:r w:rsidRPr="00566C23">
        <w:rPr>
          <w:rFonts w:ascii="Tahoma" w:eastAsia="Tahoma" w:hAnsi="Tahoma" w:cs="Tahoma"/>
        </w:rPr>
        <w:t xml:space="preserve">ccess infrastructure projects must submit a Letter(s) of Intent to Place a Purchase Order (Attachment 20) per fleet with their application, </w:t>
      </w:r>
      <w:proofErr w:type="gramStart"/>
      <w:r w:rsidRPr="00566C23">
        <w:rPr>
          <w:rFonts w:ascii="Tahoma" w:eastAsia="Tahoma" w:hAnsi="Tahoma" w:cs="Tahoma"/>
        </w:rPr>
        <w:t>with the exception of</w:t>
      </w:r>
      <w:proofErr w:type="gramEnd"/>
      <w:r w:rsidRPr="00566C23">
        <w:rPr>
          <w:rFonts w:ascii="Tahoma" w:eastAsia="Tahoma" w:hAnsi="Tahoma" w:cs="Tahoma"/>
        </w:rPr>
        <w:t xml:space="preserve"> applicants using existing vehicles. The letter(s) must specify the type(s) and number(s) of ZEVs to be procured and justify the need for the proposed infrastructure. </w:t>
      </w:r>
      <w:r w:rsidRPr="00566C23">
        <w:rPr>
          <w:rFonts w:ascii="Tahoma" w:eastAsia="Tahoma" w:hAnsi="Tahoma" w:cs="Tahoma"/>
        </w:rPr>
        <w:br/>
      </w:r>
    </w:p>
    <w:p w14:paraId="3455BDB2" w14:textId="57A15316" w:rsidR="00CB0831" w:rsidRPr="00566C23" w:rsidRDefault="00CB0831" w:rsidP="00CB0831">
      <w:pPr>
        <w:ind w:left="720"/>
        <w:rPr>
          <w:rFonts w:ascii="Tahoma" w:eastAsia="Tahoma" w:hAnsi="Tahoma" w:cs="Tahoma"/>
          <w:highlight w:val="cyan"/>
        </w:rPr>
      </w:pPr>
      <w:r w:rsidRPr="00566C23">
        <w:rPr>
          <w:rFonts w:ascii="Tahoma" w:eastAsia="Tahoma" w:hAnsi="Tahoma" w:cs="Tahoma"/>
        </w:rPr>
        <w:lastRenderedPageBreak/>
        <w:t xml:space="preserve">If an Applicant cannot place a purchase order within three (3) months of agreement execution, the CEC reserves the right, in addition to any other rights it has, to cancel the award and offer funding to the next highest scored eligible Applicant on the NOPA list. While the purchase order must be placed within three months of </w:t>
      </w:r>
      <w:r>
        <w:rPr>
          <w:rFonts w:ascii="Tahoma" w:eastAsia="Tahoma" w:hAnsi="Tahoma" w:cs="Tahoma"/>
        </w:rPr>
        <w:t>agreement execution</w:t>
      </w:r>
      <w:r w:rsidRPr="00566C23">
        <w:rPr>
          <w:rFonts w:ascii="Tahoma" w:eastAsia="Tahoma" w:hAnsi="Tahoma" w:cs="Tahoma"/>
        </w:rPr>
        <w:t xml:space="preserve">, there is not a firm </w:t>
      </w:r>
      <w:proofErr w:type="gramStart"/>
      <w:r w:rsidRPr="00566C23">
        <w:rPr>
          <w:rFonts w:ascii="Tahoma" w:eastAsia="Tahoma" w:hAnsi="Tahoma" w:cs="Tahoma"/>
        </w:rPr>
        <w:t>requirement by</w:t>
      </w:r>
      <w:proofErr w:type="gramEnd"/>
      <w:r w:rsidRPr="00566C23">
        <w:rPr>
          <w:rFonts w:ascii="Tahoma" w:eastAsia="Tahoma" w:hAnsi="Tahoma" w:cs="Tahoma"/>
        </w:rPr>
        <w:t xml:space="preserve"> when the vehicles must be delivered. Infrastructure lead times or vehicle production lead </w:t>
      </w:r>
      <w:r>
        <w:rPr>
          <w:rFonts w:ascii="Tahoma" w:eastAsia="Tahoma" w:hAnsi="Tahoma" w:cs="Tahoma"/>
        </w:rPr>
        <w:t>times</w:t>
      </w:r>
      <w:r w:rsidRPr="00566C23">
        <w:rPr>
          <w:rFonts w:ascii="Tahoma" w:eastAsia="Tahoma" w:hAnsi="Tahoma" w:cs="Tahoma"/>
        </w:rPr>
        <w:t xml:space="preserve"> may </w:t>
      </w:r>
      <w:proofErr w:type="gramStart"/>
      <w:r w:rsidRPr="00566C23">
        <w:rPr>
          <w:rFonts w:ascii="Tahoma" w:eastAsia="Tahoma" w:hAnsi="Tahoma" w:cs="Tahoma"/>
        </w:rPr>
        <w:t>vary</w:t>
      </w:r>
      <w:proofErr w:type="gramEnd"/>
      <w:r w:rsidRPr="00566C23">
        <w:rPr>
          <w:rFonts w:ascii="Tahoma" w:eastAsia="Tahoma" w:hAnsi="Tahoma" w:cs="Tahoma"/>
        </w:rPr>
        <w:t xml:space="preserve"> and the fleet operator may need to ensure alignment of those. However, </w:t>
      </w:r>
      <w:r w:rsidRPr="00566C23">
        <w:rPr>
          <w:rFonts w:ascii="Tahoma" w:eastAsia="Tahoma" w:hAnsi="Tahoma" w:cs="Tahoma"/>
          <w:i/>
        </w:rPr>
        <w:t xml:space="preserve">the vehicle orders must take </w:t>
      </w:r>
      <w:proofErr w:type="gramStart"/>
      <w:r w:rsidRPr="00566C23">
        <w:rPr>
          <w:rFonts w:ascii="Tahoma" w:eastAsia="Tahoma" w:hAnsi="Tahoma" w:cs="Tahoma"/>
          <w:i/>
        </w:rPr>
        <w:t>place</w:t>
      </w:r>
      <w:proofErr w:type="gramEnd"/>
      <w:r w:rsidRPr="00566C23">
        <w:rPr>
          <w:rFonts w:ascii="Tahoma" w:eastAsia="Tahoma" w:hAnsi="Tahoma" w:cs="Tahoma"/>
          <w:i/>
        </w:rPr>
        <w:t xml:space="preserve"> and vehicles </w:t>
      </w:r>
      <w:r>
        <w:rPr>
          <w:rFonts w:ascii="Tahoma" w:eastAsia="Tahoma" w:hAnsi="Tahoma" w:cs="Tahoma"/>
          <w:i/>
        </w:rPr>
        <w:t>must be</w:t>
      </w:r>
      <w:r w:rsidRPr="00566C23">
        <w:rPr>
          <w:rFonts w:ascii="Tahoma" w:eastAsia="Tahoma" w:hAnsi="Tahoma" w:cs="Tahoma"/>
          <w:i/>
        </w:rPr>
        <w:t xml:space="preserve"> delivered by the time the infrastructure becomes energized and operational. </w:t>
      </w:r>
      <w:r w:rsidR="00324568">
        <w:rPr>
          <w:rFonts w:ascii="Tahoma" w:eastAsia="Tahoma" w:hAnsi="Tahoma" w:cs="Tahoma"/>
          <w:i/>
        </w:rPr>
        <w:br/>
      </w:r>
    </w:p>
    <w:p w14:paraId="6A3C6D13" w14:textId="77777777" w:rsidR="00324568" w:rsidRDefault="00324568" w:rsidP="00324568">
      <w:pPr>
        <w:shd w:val="clear" w:color="auto" w:fill="FFFFFF" w:themeFill="background1"/>
        <w:ind w:left="720" w:hanging="720"/>
        <w:rPr>
          <w:rFonts w:ascii="Tahoma" w:eastAsia="Tahoma" w:hAnsi="Tahoma" w:cs="Tahoma"/>
          <w:b/>
          <w:bCs/>
        </w:rPr>
      </w:pPr>
      <w:r w:rsidRPr="00566C23">
        <w:rPr>
          <w:rFonts w:ascii="Tahoma" w:eastAsia="Tahoma" w:hAnsi="Tahoma" w:cs="Tahoma"/>
          <w:b/>
          <w:bCs/>
          <w:color w:val="000000" w:themeColor="text1"/>
        </w:rPr>
        <w:t>Q</w:t>
      </w:r>
      <w:r>
        <w:rPr>
          <w:rFonts w:ascii="Tahoma" w:eastAsia="Tahoma" w:hAnsi="Tahoma" w:cs="Tahoma"/>
          <w:b/>
          <w:bCs/>
          <w:color w:val="000000" w:themeColor="text1"/>
        </w:rPr>
        <w:t>3</w:t>
      </w:r>
      <w:r w:rsidRPr="00566C23">
        <w:rPr>
          <w:rFonts w:ascii="Tahoma" w:eastAsia="Tahoma" w:hAnsi="Tahoma" w:cs="Tahoma"/>
          <w:b/>
          <w:bCs/>
          <w:color w:val="000000" w:themeColor="text1"/>
        </w:rPr>
        <w:t>9</w:t>
      </w:r>
      <w:proofErr w:type="gramStart"/>
      <w:r w:rsidRPr="00566C23">
        <w:rPr>
          <w:rFonts w:ascii="Tahoma" w:eastAsia="Tahoma" w:hAnsi="Tahoma" w:cs="Tahoma"/>
          <w:b/>
          <w:color w:val="000000" w:themeColor="text1"/>
        </w:rPr>
        <w:t>:</w:t>
      </w:r>
      <w:r w:rsidRPr="00566C23">
        <w:rPr>
          <w:rFonts w:ascii="Tahoma" w:eastAsia="Tahoma" w:hAnsi="Tahoma" w:cs="Tahoma"/>
          <w:b/>
          <w:bCs/>
          <w:color w:val="000000" w:themeColor="text1"/>
        </w:rPr>
        <w:t xml:space="preserve"> </w:t>
      </w:r>
      <w:r w:rsidRPr="000A6E3F">
        <w:rPr>
          <w:rFonts w:ascii="Tahoma" w:hAnsi="Tahoma" w:cs="Tahoma"/>
        </w:rPr>
        <w:tab/>
      </w:r>
      <w:r w:rsidRPr="00566C23">
        <w:rPr>
          <w:rFonts w:ascii="Tahoma" w:eastAsia="Tahoma" w:hAnsi="Tahoma" w:cs="Tahoma"/>
          <w:b/>
          <w:bCs/>
          <w:color w:val="000000" w:themeColor="text1"/>
        </w:rPr>
        <w:t>When</w:t>
      </w:r>
      <w:proofErr w:type="gramEnd"/>
      <w:r w:rsidRPr="00566C23">
        <w:rPr>
          <w:rFonts w:ascii="Tahoma" w:eastAsia="Tahoma" w:hAnsi="Tahoma" w:cs="Tahoma"/>
          <w:b/>
          <w:bCs/>
          <w:color w:val="000000" w:themeColor="text1"/>
        </w:rPr>
        <w:t xml:space="preserve"> will we be able to begin obtaining the electric vehicles required for shared access projects? May we obtain them prior to funding, only after funding has been awarded or only after the infrastructure is in place?</w:t>
      </w:r>
      <w:r w:rsidRPr="00566C23">
        <w:rPr>
          <w:rFonts w:ascii="Tahoma" w:eastAsia="Tahoma" w:hAnsi="Tahoma" w:cs="Tahoma"/>
          <w:b/>
          <w:bCs/>
        </w:rPr>
        <w:t xml:space="preserve"> </w:t>
      </w:r>
    </w:p>
    <w:p w14:paraId="2B3171A8" w14:textId="77777777" w:rsidR="00324568" w:rsidRPr="00566C23" w:rsidRDefault="00324568" w:rsidP="00324568">
      <w:pPr>
        <w:shd w:val="clear" w:color="auto" w:fill="FFFFFF" w:themeFill="background1"/>
        <w:ind w:left="720" w:hanging="720"/>
        <w:rPr>
          <w:rFonts w:ascii="Tahoma" w:eastAsia="Tahoma" w:hAnsi="Tahoma" w:cs="Tahoma"/>
          <w:b/>
          <w:bCs/>
          <w:highlight w:val="yellow"/>
        </w:rPr>
      </w:pPr>
    </w:p>
    <w:p w14:paraId="22E20842" w14:textId="77777777" w:rsidR="00324568" w:rsidRDefault="00324568" w:rsidP="00324568">
      <w:pPr>
        <w:ind w:left="720" w:hanging="720"/>
        <w:rPr>
          <w:rFonts w:ascii="Tahoma" w:eastAsia="Tahoma" w:hAnsi="Tahoma" w:cs="Tahoma"/>
        </w:rPr>
      </w:pPr>
      <w:r w:rsidRPr="00566C23">
        <w:rPr>
          <w:rFonts w:ascii="Tahoma" w:eastAsia="Tahoma" w:hAnsi="Tahoma" w:cs="Tahoma"/>
        </w:rPr>
        <w:t>A</w:t>
      </w:r>
      <w:r>
        <w:rPr>
          <w:rFonts w:ascii="Tahoma" w:eastAsia="Tahoma" w:hAnsi="Tahoma" w:cs="Tahoma"/>
        </w:rPr>
        <w:t>3</w:t>
      </w:r>
      <w:r w:rsidRPr="00566C23">
        <w:rPr>
          <w:rFonts w:ascii="Tahoma" w:eastAsia="Tahoma" w:hAnsi="Tahoma" w:cs="Tahoma"/>
        </w:rPr>
        <w:t>9:</w:t>
      </w:r>
      <w:r w:rsidRPr="000A6E3F">
        <w:rPr>
          <w:rFonts w:ascii="Tahoma" w:hAnsi="Tahoma" w:cs="Tahoma"/>
        </w:rPr>
        <w:tab/>
      </w:r>
      <w:r w:rsidRPr="00410A08">
        <w:rPr>
          <w:rFonts w:ascii="Tahoma" w:hAnsi="Tahoma" w:cs="Tahoma"/>
        </w:rPr>
        <w:t xml:space="preserve">Please see Addendum </w:t>
      </w:r>
      <w:r>
        <w:rPr>
          <w:rFonts w:ascii="Tahoma" w:hAnsi="Tahoma" w:cs="Tahoma"/>
        </w:rPr>
        <w:t>[</w:t>
      </w:r>
      <w:r w:rsidRPr="00867993">
        <w:rPr>
          <w:rFonts w:ascii="Tahoma" w:hAnsi="Tahoma" w:cs="Tahoma"/>
          <w:strike/>
        </w:rPr>
        <w:t>8</w:t>
      </w:r>
      <w:r>
        <w:rPr>
          <w:rFonts w:ascii="Tahoma" w:hAnsi="Tahoma" w:cs="Tahoma"/>
        </w:rPr>
        <w:t xml:space="preserve">] </w:t>
      </w:r>
      <w:r>
        <w:rPr>
          <w:rFonts w:ascii="Tahoma" w:hAnsi="Tahoma" w:cs="Tahoma"/>
          <w:b/>
          <w:bCs/>
          <w:u w:val="single"/>
        </w:rPr>
        <w:t>9</w:t>
      </w:r>
      <w:r w:rsidRPr="0038498B">
        <w:rPr>
          <w:rFonts w:ascii="Tahoma" w:hAnsi="Tahoma" w:cs="Tahoma"/>
        </w:rPr>
        <w:t>.</w:t>
      </w:r>
      <w:r>
        <w:rPr>
          <w:rFonts w:ascii="Tahoma" w:hAnsi="Tahoma" w:cs="Tahoma"/>
        </w:rPr>
        <w:t xml:space="preserve"> </w:t>
      </w:r>
      <w:r w:rsidRPr="00566C23">
        <w:rPr>
          <w:rFonts w:ascii="Tahoma" w:eastAsia="Tahoma" w:hAnsi="Tahoma" w:cs="Tahoma"/>
        </w:rPr>
        <w:t xml:space="preserve">Applicants of </w:t>
      </w:r>
      <w:r w:rsidRPr="00410A08">
        <w:rPr>
          <w:rFonts w:ascii="Tahoma" w:eastAsia="Tahoma" w:hAnsi="Tahoma" w:cs="Tahoma"/>
        </w:rPr>
        <w:t>all</w:t>
      </w:r>
      <w:r>
        <w:rPr>
          <w:rFonts w:ascii="Tahoma" w:eastAsia="Tahoma" w:hAnsi="Tahoma" w:cs="Tahoma"/>
        </w:rPr>
        <w:t xml:space="preserve"> </w:t>
      </w:r>
      <w:r w:rsidRPr="00566C23">
        <w:rPr>
          <w:rFonts w:ascii="Tahoma" w:eastAsia="Tahoma" w:hAnsi="Tahoma" w:cs="Tahoma"/>
        </w:rPr>
        <w:t xml:space="preserve">Private </w:t>
      </w:r>
      <w:r w:rsidRPr="00410A08">
        <w:rPr>
          <w:rFonts w:ascii="Tahoma" w:eastAsia="Tahoma" w:hAnsi="Tahoma" w:cs="Tahoma"/>
        </w:rPr>
        <w:t>A</w:t>
      </w:r>
      <w:r w:rsidRPr="00566C23">
        <w:rPr>
          <w:rFonts w:ascii="Tahoma" w:eastAsia="Tahoma" w:hAnsi="Tahoma" w:cs="Tahoma"/>
        </w:rPr>
        <w:t xml:space="preserve">ccess infrastructure projects must submit a Letter(s) of Intent to Place a Purchase Order (Attachment 20) per fleet with their application, </w:t>
      </w:r>
      <w:proofErr w:type="gramStart"/>
      <w:r w:rsidRPr="00566C23">
        <w:rPr>
          <w:rFonts w:ascii="Tahoma" w:eastAsia="Tahoma" w:hAnsi="Tahoma" w:cs="Tahoma"/>
        </w:rPr>
        <w:t>with the exception of</w:t>
      </w:r>
      <w:proofErr w:type="gramEnd"/>
      <w:r w:rsidRPr="00566C23">
        <w:rPr>
          <w:rFonts w:ascii="Tahoma" w:eastAsia="Tahoma" w:hAnsi="Tahoma" w:cs="Tahoma"/>
        </w:rPr>
        <w:t xml:space="preserve"> applicants using existing vehicles. The letter(s) must specify the type(s) and number(s) of ZEVs to be procured and justify the need for the proposed infrastructure.</w:t>
      </w:r>
    </w:p>
    <w:p w14:paraId="546397BA" w14:textId="77777777" w:rsidR="00324568" w:rsidRPr="00566C23" w:rsidRDefault="00324568" w:rsidP="00324568">
      <w:pPr>
        <w:ind w:left="720" w:hanging="720"/>
        <w:rPr>
          <w:rFonts w:ascii="Tahoma" w:eastAsia="Tahoma" w:hAnsi="Tahoma" w:cs="Tahoma"/>
        </w:rPr>
      </w:pPr>
    </w:p>
    <w:p w14:paraId="0BC0ACEA" w14:textId="77777777" w:rsidR="00324568" w:rsidRDefault="00324568" w:rsidP="00324568">
      <w:pPr>
        <w:ind w:left="720"/>
        <w:rPr>
          <w:rFonts w:ascii="Tahoma" w:eastAsia="Tahoma" w:hAnsi="Tahoma" w:cs="Tahoma"/>
        </w:rPr>
      </w:pPr>
      <w:r w:rsidRPr="00566C23">
        <w:rPr>
          <w:rFonts w:ascii="Tahoma" w:eastAsia="Tahoma" w:hAnsi="Tahoma" w:cs="Tahoma"/>
        </w:rPr>
        <w:t xml:space="preserve">If an Applicant cannot place a purchase order within three (3) months of agreement execution, the CEC reserves the right, in addition to any other rights it has, to cancel the award and offer funding to the next highest scored eligible Applicant on the NOPA list. While the purchase order must be placed within three months of </w:t>
      </w:r>
      <w:r>
        <w:rPr>
          <w:rFonts w:ascii="Tahoma" w:eastAsia="Tahoma" w:hAnsi="Tahoma" w:cs="Tahoma"/>
        </w:rPr>
        <w:t>agreement execution</w:t>
      </w:r>
      <w:r w:rsidRPr="00566C23">
        <w:rPr>
          <w:rFonts w:ascii="Tahoma" w:eastAsia="Tahoma" w:hAnsi="Tahoma" w:cs="Tahoma"/>
        </w:rPr>
        <w:t xml:space="preserve">, there is not a firm </w:t>
      </w:r>
      <w:proofErr w:type="gramStart"/>
      <w:r w:rsidRPr="00566C23">
        <w:rPr>
          <w:rFonts w:ascii="Tahoma" w:eastAsia="Tahoma" w:hAnsi="Tahoma" w:cs="Tahoma"/>
        </w:rPr>
        <w:t>requirement by</w:t>
      </w:r>
      <w:proofErr w:type="gramEnd"/>
      <w:r w:rsidRPr="00566C23">
        <w:rPr>
          <w:rFonts w:ascii="Tahoma" w:eastAsia="Tahoma" w:hAnsi="Tahoma" w:cs="Tahoma"/>
        </w:rPr>
        <w:t xml:space="preserve"> when the vehicles must be delivered</w:t>
      </w:r>
      <w:r>
        <w:rPr>
          <w:rFonts w:ascii="Tahoma" w:eastAsia="Tahoma" w:hAnsi="Tahoma" w:cs="Tahoma"/>
        </w:rPr>
        <w:t>.</w:t>
      </w:r>
    </w:p>
    <w:p w14:paraId="79B64786" w14:textId="77777777" w:rsidR="00324568" w:rsidRPr="00566C23" w:rsidRDefault="00324568" w:rsidP="00324568">
      <w:pPr>
        <w:ind w:left="720"/>
        <w:rPr>
          <w:rFonts w:ascii="Tahoma" w:eastAsia="Tahoma" w:hAnsi="Tahoma" w:cs="Tahoma"/>
        </w:rPr>
      </w:pPr>
    </w:p>
    <w:p w14:paraId="60E2DA8F" w14:textId="03340E3E" w:rsidR="00324568" w:rsidRDefault="00324568" w:rsidP="00324568">
      <w:pPr>
        <w:ind w:left="720"/>
        <w:rPr>
          <w:rFonts w:ascii="Tahoma" w:eastAsia="Tahoma" w:hAnsi="Tahoma" w:cs="Tahoma"/>
        </w:rPr>
      </w:pPr>
      <w:r w:rsidRPr="00566C23">
        <w:rPr>
          <w:rFonts w:ascii="Tahoma" w:eastAsia="Tahoma" w:hAnsi="Tahoma" w:cs="Tahoma"/>
        </w:rPr>
        <w:t xml:space="preserve">The vehicles being supported must either be new vehicles being </w:t>
      </w:r>
      <w:proofErr w:type="gramStart"/>
      <w:r w:rsidRPr="00566C23">
        <w:rPr>
          <w:rFonts w:ascii="Tahoma" w:eastAsia="Tahoma" w:hAnsi="Tahoma" w:cs="Tahoma"/>
        </w:rPr>
        <w:t>procured</w:t>
      </w:r>
      <w:proofErr w:type="gramEnd"/>
      <w:r w:rsidRPr="00566C23">
        <w:rPr>
          <w:rFonts w:ascii="Tahoma" w:eastAsia="Tahoma" w:hAnsi="Tahoma" w:cs="Tahoma"/>
        </w:rPr>
        <w:t xml:space="preserve"> or existing vehicles that were not able to be used due to a lack of infrastructure. New vehicles procured as part of a resulting grant agreement may be eligible for match funding. Existing vehicles are not eligible for reimbursement or match funding.</w:t>
      </w:r>
      <w:r w:rsidR="00074A45">
        <w:rPr>
          <w:rFonts w:ascii="Tahoma" w:eastAsia="Tahoma" w:hAnsi="Tahoma" w:cs="Tahoma"/>
        </w:rPr>
        <w:br/>
      </w:r>
    </w:p>
    <w:p w14:paraId="5BE1D866" w14:textId="77777777" w:rsidR="00074A45" w:rsidRPr="00566C23" w:rsidRDefault="00074A45" w:rsidP="00074A45">
      <w:pPr>
        <w:ind w:left="720" w:hanging="720"/>
        <w:rPr>
          <w:rFonts w:ascii="Tahoma" w:eastAsia="Tahoma" w:hAnsi="Tahoma" w:cs="Tahoma"/>
          <w:color w:val="000000" w:themeColor="text1"/>
        </w:rPr>
      </w:pPr>
      <w:r w:rsidRPr="00566C23">
        <w:rPr>
          <w:rFonts w:ascii="Tahoma" w:eastAsia="Tahoma" w:hAnsi="Tahoma" w:cs="Tahoma"/>
          <w:b/>
        </w:rPr>
        <w:t>Q</w:t>
      </w:r>
      <w:r>
        <w:rPr>
          <w:rFonts w:ascii="Tahoma" w:eastAsia="Tahoma" w:hAnsi="Tahoma" w:cs="Tahoma"/>
          <w:b/>
        </w:rPr>
        <w:t>4</w:t>
      </w:r>
      <w:r w:rsidRPr="00566C23">
        <w:rPr>
          <w:rFonts w:ascii="Tahoma" w:eastAsia="Tahoma" w:hAnsi="Tahoma" w:cs="Tahoma"/>
          <w:b/>
        </w:rPr>
        <w:t>0:</w:t>
      </w:r>
      <w:r w:rsidRPr="000A6E3F">
        <w:rPr>
          <w:rFonts w:ascii="Tahoma" w:hAnsi="Tahoma" w:cs="Tahoma"/>
        </w:rPr>
        <w:tab/>
      </w:r>
      <w:r w:rsidRPr="00566C23">
        <w:rPr>
          <w:rFonts w:ascii="Tahoma" w:eastAsia="Tahoma" w:hAnsi="Tahoma" w:cs="Tahoma"/>
          <w:b/>
        </w:rPr>
        <w:t>In the GFO, one of the success criteria is average daily vehicle miles traveled (VMT). While this works well for projects deploying infrastructure that will serve MDHD trucks, VMT does not seem to be a good way of measuring the success of off-road or specialty equipment, such as forklifts, cargo handling equipment, or industrial equipment. Can you explain if VMT applies equally to such equipment and, if not, provide an alternative metric?’</w:t>
      </w:r>
      <w:r w:rsidRPr="00566C23">
        <w:rPr>
          <w:rFonts w:ascii="Tahoma" w:eastAsia="Tahoma" w:hAnsi="Tahoma" w:cs="Tahoma"/>
        </w:rPr>
        <w:t xml:space="preserve"> </w:t>
      </w:r>
    </w:p>
    <w:p w14:paraId="02379DF8" w14:textId="77777777" w:rsidR="00074A45" w:rsidRPr="00566C23" w:rsidRDefault="00074A45" w:rsidP="00074A45">
      <w:pPr>
        <w:ind w:left="720" w:hanging="720"/>
        <w:rPr>
          <w:rFonts w:ascii="Tahoma" w:eastAsia="Tahoma" w:hAnsi="Tahoma" w:cs="Tahoma"/>
        </w:rPr>
      </w:pPr>
    </w:p>
    <w:p w14:paraId="2AB3EF90" w14:textId="28FE3965" w:rsidR="00074A45" w:rsidRDefault="00074A45" w:rsidP="00074A45">
      <w:pPr>
        <w:ind w:left="720" w:hanging="720"/>
        <w:rPr>
          <w:rFonts w:ascii="Tahoma" w:eastAsia="Tahoma" w:hAnsi="Tahoma" w:cs="Tahoma"/>
        </w:rPr>
      </w:pPr>
      <w:r w:rsidRPr="00566C23">
        <w:rPr>
          <w:rFonts w:ascii="Tahoma" w:eastAsia="Tahoma" w:hAnsi="Tahoma" w:cs="Tahoma"/>
        </w:rPr>
        <w:t>A</w:t>
      </w:r>
      <w:r>
        <w:rPr>
          <w:rFonts w:ascii="Tahoma" w:eastAsia="Tahoma" w:hAnsi="Tahoma" w:cs="Tahoma"/>
        </w:rPr>
        <w:t>4</w:t>
      </w:r>
      <w:r w:rsidRPr="00566C23">
        <w:rPr>
          <w:rFonts w:ascii="Tahoma" w:eastAsia="Tahoma" w:hAnsi="Tahoma" w:cs="Tahoma"/>
        </w:rPr>
        <w:t>0</w:t>
      </w:r>
      <w:proofErr w:type="gramStart"/>
      <w:r w:rsidRPr="00566C23">
        <w:rPr>
          <w:rFonts w:ascii="Tahoma" w:eastAsia="Tahoma" w:hAnsi="Tahoma" w:cs="Tahoma"/>
        </w:rPr>
        <w:t xml:space="preserve">: </w:t>
      </w:r>
      <w:r w:rsidRPr="000A6E3F">
        <w:rPr>
          <w:rFonts w:ascii="Tahoma" w:hAnsi="Tahoma" w:cs="Tahoma"/>
        </w:rPr>
        <w:tab/>
      </w:r>
      <w:r w:rsidRPr="00566C23">
        <w:rPr>
          <w:rFonts w:ascii="Tahoma" w:eastAsia="Tahoma" w:hAnsi="Tahoma" w:cs="Tahoma"/>
        </w:rPr>
        <w:t>Please</w:t>
      </w:r>
      <w:proofErr w:type="gramEnd"/>
      <w:r w:rsidRPr="00566C23">
        <w:rPr>
          <w:rFonts w:ascii="Tahoma" w:eastAsia="Tahoma" w:hAnsi="Tahoma" w:cs="Tahoma"/>
        </w:rPr>
        <w:t xml:space="preserve"> see Addendum </w:t>
      </w:r>
      <w:r>
        <w:rPr>
          <w:rFonts w:ascii="Tahoma" w:hAnsi="Tahoma" w:cs="Tahoma"/>
        </w:rPr>
        <w:t>[</w:t>
      </w:r>
      <w:r w:rsidRPr="00867993">
        <w:rPr>
          <w:rFonts w:ascii="Tahoma" w:hAnsi="Tahoma" w:cs="Tahoma"/>
          <w:strike/>
        </w:rPr>
        <w:t>8</w:t>
      </w:r>
      <w:r>
        <w:rPr>
          <w:rFonts w:ascii="Tahoma" w:hAnsi="Tahoma" w:cs="Tahoma"/>
        </w:rPr>
        <w:t xml:space="preserve">] </w:t>
      </w:r>
      <w:r>
        <w:rPr>
          <w:rFonts w:ascii="Tahoma" w:hAnsi="Tahoma" w:cs="Tahoma"/>
          <w:b/>
          <w:bCs/>
          <w:u w:val="single"/>
        </w:rPr>
        <w:t>9</w:t>
      </w:r>
      <w:r w:rsidRPr="00566C23">
        <w:rPr>
          <w:rFonts w:ascii="Tahoma" w:eastAsia="Tahoma" w:hAnsi="Tahoma" w:cs="Tahoma"/>
        </w:rPr>
        <w:t xml:space="preserve">. In place of vehicle miles traveled, applicants must provide operations and average daily engine hours, as well as number of engine hours and fuel volume to be replaced by zero-emission alternatives for specialty, off-road, or non-road applications. </w:t>
      </w:r>
      <w:r w:rsidR="00D70202">
        <w:rPr>
          <w:rFonts w:ascii="Tahoma" w:eastAsia="Tahoma" w:hAnsi="Tahoma" w:cs="Tahoma"/>
        </w:rPr>
        <w:br/>
      </w:r>
    </w:p>
    <w:p w14:paraId="15184D76" w14:textId="77777777" w:rsidR="00D70202" w:rsidRPr="00D70202" w:rsidRDefault="00D70202" w:rsidP="00D70202">
      <w:pPr>
        <w:ind w:left="720" w:hanging="720"/>
        <w:rPr>
          <w:rFonts w:ascii="Tahoma" w:eastAsia="Tahoma" w:hAnsi="Tahoma" w:cs="Tahoma"/>
          <w:b/>
        </w:rPr>
      </w:pPr>
      <w:r w:rsidRPr="00D70202">
        <w:rPr>
          <w:rFonts w:ascii="Tahoma" w:eastAsia="Tahoma" w:hAnsi="Tahoma" w:cs="Tahoma"/>
          <w:b/>
          <w:bCs/>
        </w:rPr>
        <w:lastRenderedPageBreak/>
        <w:t>Q45:</w:t>
      </w:r>
      <w:r w:rsidRPr="00D70202">
        <w:rPr>
          <w:rFonts w:ascii="Tahoma" w:eastAsia="Tahoma" w:hAnsi="Tahoma" w:cs="Tahoma"/>
        </w:rPr>
        <w:tab/>
      </w:r>
      <w:r w:rsidRPr="00D70202">
        <w:rPr>
          <w:rFonts w:ascii="Tahoma" w:eastAsia="Tahoma" w:hAnsi="Tahoma" w:cs="Tahoma"/>
          <w:b/>
          <w:bCs/>
        </w:rPr>
        <w:t>Under what circumstances would the application need to show proof of an MDHD purchase?</w:t>
      </w:r>
    </w:p>
    <w:p w14:paraId="606053EC" w14:textId="77777777" w:rsidR="00D70202" w:rsidRPr="00D70202" w:rsidRDefault="00D70202" w:rsidP="00D70202">
      <w:pPr>
        <w:ind w:left="720" w:hanging="720"/>
        <w:rPr>
          <w:rFonts w:ascii="Tahoma" w:eastAsia="Tahoma" w:hAnsi="Tahoma" w:cs="Tahoma"/>
        </w:rPr>
      </w:pPr>
    </w:p>
    <w:p w14:paraId="6A807D71" w14:textId="77777777" w:rsidR="00D70202" w:rsidRPr="00D70202" w:rsidRDefault="00D70202" w:rsidP="00D70202">
      <w:pPr>
        <w:ind w:left="720" w:hanging="720"/>
        <w:rPr>
          <w:rFonts w:ascii="Tahoma" w:eastAsia="Tahoma" w:hAnsi="Tahoma" w:cs="Tahoma"/>
        </w:rPr>
      </w:pPr>
      <w:r w:rsidRPr="00D70202">
        <w:rPr>
          <w:rFonts w:ascii="Tahoma" w:eastAsia="Tahoma" w:hAnsi="Tahoma" w:cs="Tahoma"/>
        </w:rPr>
        <w:t>A45</w:t>
      </w:r>
      <w:proofErr w:type="gramStart"/>
      <w:r w:rsidRPr="00D70202">
        <w:rPr>
          <w:rFonts w:ascii="Tahoma" w:eastAsia="Tahoma" w:hAnsi="Tahoma" w:cs="Tahoma"/>
        </w:rPr>
        <w:t xml:space="preserve">: </w:t>
      </w:r>
      <w:r w:rsidRPr="00D70202">
        <w:rPr>
          <w:rFonts w:ascii="Tahoma" w:eastAsia="Tahoma" w:hAnsi="Tahoma" w:cs="Tahoma"/>
        </w:rPr>
        <w:tab/>
        <w:t>Please</w:t>
      </w:r>
      <w:proofErr w:type="gramEnd"/>
      <w:r w:rsidRPr="00D70202">
        <w:rPr>
          <w:rFonts w:ascii="Tahoma" w:eastAsia="Tahoma" w:hAnsi="Tahoma" w:cs="Tahoma"/>
        </w:rPr>
        <w:t xml:space="preserve"> see Addendum [</w:t>
      </w:r>
      <w:r w:rsidRPr="009B6446">
        <w:rPr>
          <w:rFonts w:ascii="Tahoma" w:eastAsia="Tahoma" w:hAnsi="Tahoma" w:cs="Tahoma"/>
          <w:strike/>
        </w:rPr>
        <w:t>8</w:t>
      </w:r>
      <w:r w:rsidRPr="00D70202">
        <w:rPr>
          <w:rFonts w:ascii="Tahoma" w:eastAsia="Tahoma" w:hAnsi="Tahoma" w:cs="Tahoma"/>
        </w:rPr>
        <w:t xml:space="preserve">] </w:t>
      </w:r>
      <w:r w:rsidRPr="00D70202">
        <w:rPr>
          <w:rFonts w:ascii="Tahoma" w:eastAsia="Tahoma" w:hAnsi="Tahoma" w:cs="Tahoma"/>
          <w:b/>
          <w:bCs/>
          <w:u w:val="single"/>
        </w:rPr>
        <w:t>9</w:t>
      </w:r>
      <w:r w:rsidRPr="00D70202">
        <w:rPr>
          <w:rFonts w:ascii="Tahoma" w:eastAsia="Tahoma" w:hAnsi="Tahoma" w:cs="Tahoma"/>
        </w:rPr>
        <w:t>. If proposing a Private Access infrastructure project (excluding the public entities covered by the exceptions listed in Section II.B.2.), the fleet that is being provided with charging or fueling must commit to:  </w:t>
      </w:r>
    </w:p>
    <w:p w14:paraId="5E5949CA" w14:textId="77777777" w:rsidR="00D70202" w:rsidRPr="00D70202" w:rsidRDefault="00D70202" w:rsidP="00D70202">
      <w:pPr>
        <w:numPr>
          <w:ilvl w:val="0"/>
          <w:numId w:val="42"/>
        </w:numPr>
        <w:rPr>
          <w:rFonts w:ascii="Tahoma" w:eastAsia="Tahoma" w:hAnsi="Tahoma" w:cs="Tahoma"/>
        </w:rPr>
      </w:pPr>
      <w:r w:rsidRPr="00D70202">
        <w:rPr>
          <w:rFonts w:ascii="Tahoma" w:eastAsia="Tahoma" w:hAnsi="Tahoma" w:cs="Tahoma"/>
        </w:rPr>
        <w:t>At least one MDHD EV per charging port proposed for CEC funding</w:t>
      </w:r>
      <w:r w:rsidRPr="009B6446">
        <w:rPr>
          <w:rFonts w:ascii="Tahoma" w:eastAsia="Tahoma" w:hAnsi="Tahoma" w:cs="Tahoma"/>
        </w:rPr>
        <w:t xml:space="preserve">. </w:t>
      </w:r>
      <w:r w:rsidRPr="00D70202">
        <w:rPr>
          <w:rFonts w:ascii="Tahoma" w:eastAsia="Tahoma" w:hAnsi="Tahoma" w:cs="Tahoma"/>
        </w:rPr>
        <w:t>Applicants that can demonstrate vehicles above a 1-to-1 ratio will score higher.</w:t>
      </w:r>
    </w:p>
    <w:p w14:paraId="2270C03F" w14:textId="77777777" w:rsidR="00D70202" w:rsidRPr="00D70202" w:rsidRDefault="00D70202" w:rsidP="00D70202">
      <w:pPr>
        <w:numPr>
          <w:ilvl w:val="0"/>
          <w:numId w:val="42"/>
        </w:numPr>
        <w:rPr>
          <w:rFonts w:ascii="Tahoma" w:eastAsia="Tahoma" w:hAnsi="Tahoma" w:cs="Tahoma"/>
        </w:rPr>
      </w:pPr>
      <w:r w:rsidRPr="00D70202">
        <w:rPr>
          <w:rFonts w:ascii="Tahoma" w:eastAsia="Tahoma" w:hAnsi="Tahoma" w:cs="Tahoma"/>
        </w:rPr>
        <w:t xml:space="preserve">At least 15 MDHD FCEVs per every one hydrogen fueling position proposed for CEC </w:t>
      </w:r>
      <w:proofErr w:type="gramStart"/>
      <w:r w:rsidRPr="00D70202">
        <w:rPr>
          <w:rFonts w:ascii="Tahoma" w:eastAsia="Tahoma" w:hAnsi="Tahoma" w:cs="Tahoma"/>
        </w:rPr>
        <w:t>funding;</w:t>
      </w:r>
      <w:proofErr w:type="gramEnd"/>
      <w:r w:rsidRPr="00D70202">
        <w:rPr>
          <w:rFonts w:ascii="Tahoma" w:eastAsia="Tahoma" w:hAnsi="Tahoma" w:cs="Tahoma"/>
        </w:rPr>
        <w:t xml:space="preserve"> or </w:t>
      </w:r>
    </w:p>
    <w:p w14:paraId="5A8C0002" w14:textId="77777777" w:rsidR="00D70202" w:rsidRPr="00D70202" w:rsidRDefault="00D70202" w:rsidP="00D70202">
      <w:pPr>
        <w:numPr>
          <w:ilvl w:val="0"/>
          <w:numId w:val="42"/>
        </w:numPr>
        <w:rPr>
          <w:rFonts w:ascii="Tahoma" w:eastAsia="Tahoma" w:hAnsi="Tahoma" w:cs="Tahoma"/>
        </w:rPr>
      </w:pPr>
      <w:r w:rsidRPr="00D70202">
        <w:rPr>
          <w:rFonts w:ascii="Tahoma" w:eastAsia="Tahoma" w:hAnsi="Tahoma" w:cs="Tahoma"/>
        </w:rPr>
        <w:t>At least one specialty vehicle, off-road equipment/vehicle, or non-road vehicle per EV charging port or hydrogen refueling position proposed for CEC funding. </w:t>
      </w:r>
    </w:p>
    <w:p w14:paraId="47E945BC" w14:textId="77777777" w:rsidR="00D70202" w:rsidRPr="00D70202" w:rsidRDefault="00D70202" w:rsidP="00D70202">
      <w:pPr>
        <w:ind w:left="720" w:hanging="720"/>
        <w:rPr>
          <w:rFonts w:ascii="Tahoma" w:eastAsia="Tahoma" w:hAnsi="Tahoma" w:cs="Tahoma"/>
        </w:rPr>
      </w:pPr>
    </w:p>
    <w:p w14:paraId="5B25248C" w14:textId="77777777" w:rsidR="00D70202" w:rsidRPr="00D70202" w:rsidRDefault="00D70202" w:rsidP="00D70202">
      <w:pPr>
        <w:ind w:left="720"/>
        <w:rPr>
          <w:rFonts w:ascii="Tahoma" w:eastAsia="Tahoma" w:hAnsi="Tahoma" w:cs="Tahoma"/>
        </w:rPr>
      </w:pPr>
      <w:r w:rsidRPr="00D70202">
        <w:rPr>
          <w:rFonts w:ascii="Tahoma" w:eastAsia="Tahoma" w:hAnsi="Tahoma" w:cs="Tahoma"/>
        </w:rPr>
        <w:t>Applicants must place a purchase order within three (3) months of agreement execution. Applicants who already own ZEVs or have recently placed a purchase order for ZEVs that will use the proposed infrastructure must submit a letter stating the type(s) and number(s) of ZEVs and explaining the need for the new infrastructure instead of a Letter of Intent to Place a Purchase Order. The proposed number of charging ports or refueling positions must be reasonably aligned with the applicant’s existing or incoming ZEV fleet size.</w:t>
      </w:r>
      <w:r w:rsidRPr="00D70202">
        <w:rPr>
          <w:rFonts w:ascii="Tahoma" w:eastAsia="Tahoma" w:hAnsi="Tahoma" w:cs="Tahoma"/>
          <w:b/>
          <w:bCs/>
        </w:rPr>
        <w:t xml:space="preserve"> </w:t>
      </w:r>
      <w:r w:rsidRPr="00D70202">
        <w:rPr>
          <w:rFonts w:ascii="Tahoma" w:eastAsia="Tahoma" w:hAnsi="Tahoma" w:cs="Tahoma"/>
        </w:rPr>
        <w:t xml:space="preserve">Please see Section 2.B.4. Vehicle Deployment Requirements. </w:t>
      </w:r>
    </w:p>
    <w:p w14:paraId="0A842364" w14:textId="7A5BFF32" w:rsidR="00842864" w:rsidRPr="00CC3EC2" w:rsidRDefault="00842864" w:rsidP="006115F8">
      <w:pPr>
        <w:spacing w:before="100" w:beforeAutospacing="1" w:after="100" w:afterAutospacing="1"/>
        <w:ind w:left="720" w:hanging="720"/>
        <w:rPr>
          <w:rFonts w:ascii="Tahoma" w:hAnsi="Tahoma" w:cs="Tahoma"/>
          <w:b/>
          <w:u w:val="single"/>
        </w:rPr>
      </w:pPr>
      <w:r w:rsidRPr="00CC3EC2">
        <w:rPr>
          <w:rFonts w:ascii="Tahoma" w:hAnsi="Tahoma" w:cs="Tahoma"/>
          <w:b/>
          <w:u w:val="single"/>
        </w:rPr>
        <w:t>Q</w:t>
      </w:r>
      <w:r>
        <w:rPr>
          <w:rFonts w:ascii="Tahoma" w:hAnsi="Tahoma" w:cs="Tahoma"/>
          <w:b/>
          <w:u w:val="single"/>
        </w:rPr>
        <w:t>5</w:t>
      </w:r>
      <w:r w:rsidRPr="00CC3EC2">
        <w:rPr>
          <w:rFonts w:ascii="Tahoma" w:hAnsi="Tahoma" w:cs="Tahoma"/>
          <w:b/>
          <w:u w:val="single"/>
        </w:rPr>
        <w:t>9:</w:t>
      </w:r>
      <w:r>
        <w:tab/>
      </w:r>
      <w:r w:rsidRPr="00CC3EC2">
        <w:rPr>
          <w:rFonts w:ascii="Tahoma" w:hAnsi="Tahoma" w:cs="Tahoma"/>
          <w:b/>
          <w:u w:val="single"/>
        </w:rPr>
        <w:t xml:space="preserve">Are </w:t>
      </w:r>
      <w:r>
        <w:rPr>
          <w:rFonts w:ascii="Tahoma" w:hAnsi="Tahoma" w:cs="Tahoma"/>
          <w:b/>
          <w:u w:val="single"/>
        </w:rPr>
        <w:t>Private</w:t>
      </w:r>
      <w:r w:rsidRPr="00CC3EC2">
        <w:rPr>
          <w:rFonts w:ascii="Tahoma" w:hAnsi="Tahoma" w:cs="Tahoma"/>
          <w:b/>
          <w:u w:val="single"/>
        </w:rPr>
        <w:t xml:space="preserve"> or </w:t>
      </w:r>
      <w:r>
        <w:rPr>
          <w:rFonts w:ascii="Tahoma" w:hAnsi="Tahoma" w:cs="Tahoma"/>
          <w:b/>
          <w:u w:val="single"/>
        </w:rPr>
        <w:t>Shared Access</w:t>
      </w:r>
      <w:r w:rsidRPr="00CC3EC2">
        <w:rPr>
          <w:rFonts w:ascii="Tahoma" w:hAnsi="Tahoma" w:cs="Tahoma"/>
          <w:b/>
          <w:u w:val="single"/>
        </w:rPr>
        <w:t xml:space="preserve"> projects required to operate on OCPP 2.0.1 </w:t>
      </w:r>
      <w:proofErr w:type="gramStart"/>
      <w:r w:rsidRPr="00CC3EC2">
        <w:rPr>
          <w:rFonts w:ascii="Tahoma" w:hAnsi="Tahoma" w:cs="Tahoma"/>
          <w:b/>
          <w:u w:val="single"/>
        </w:rPr>
        <w:t>in order to</w:t>
      </w:r>
      <w:proofErr w:type="gramEnd"/>
      <w:r w:rsidRPr="00CC3EC2">
        <w:rPr>
          <w:rFonts w:ascii="Tahoma" w:hAnsi="Tahoma" w:cs="Tahoma"/>
          <w:b/>
          <w:u w:val="single"/>
        </w:rPr>
        <w:t xml:space="preserve"> be eligible for this solicitation?</w:t>
      </w:r>
    </w:p>
    <w:p w14:paraId="0A4E5A4B" w14:textId="10969B17" w:rsidR="00842864" w:rsidRDefault="00842864" w:rsidP="7D986B06">
      <w:pPr>
        <w:spacing w:before="100" w:beforeAutospacing="1" w:after="100" w:afterAutospacing="1"/>
        <w:ind w:left="720" w:hanging="720"/>
        <w:rPr>
          <w:rFonts w:ascii="Tahoma" w:hAnsi="Tahoma" w:cs="Tahoma"/>
          <w:b/>
          <w:bCs/>
          <w:u w:val="single"/>
        </w:rPr>
      </w:pPr>
      <w:r w:rsidRPr="7D986B06">
        <w:rPr>
          <w:rFonts w:ascii="Tahoma" w:hAnsi="Tahoma" w:cs="Tahoma"/>
          <w:b/>
          <w:bCs/>
          <w:u w:val="single"/>
        </w:rPr>
        <w:t>A59:</w:t>
      </w:r>
      <w:r>
        <w:tab/>
      </w:r>
      <w:r w:rsidR="00DC7AF7" w:rsidRPr="7D986B06">
        <w:rPr>
          <w:rFonts w:ascii="Tahoma" w:hAnsi="Tahoma" w:cs="Tahoma"/>
          <w:b/>
          <w:bCs/>
          <w:u w:val="single"/>
        </w:rPr>
        <w:t xml:space="preserve">All charging ports must conform to OCPP 2.0.1 or later, and manufacturers must attest that the charger hardware conforms to OCPP 2.0.1 or later by detailing it on a publicly available charger specification sheet. For Public Access charging stations, charging ports must comply with regulatory requirements under Assembly Bill 2061 once the regulation is </w:t>
      </w:r>
      <w:r w:rsidR="008B14B8" w:rsidRPr="7D986B06">
        <w:rPr>
          <w:rFonts w:ascii="Tahoma" w:hAnsi="Tahoma" w:cs="Tahoma"/>
          <w:b/>
          <w:bCs/>
          <w:u w:val="single"/>
        </w:rPr>
        <w:t>adopted by the California Energy Commission</w:t>
      </w:r>
      <w:r w:rsidR="00DC7AF7" w:rsidRPr="7D986B06">
        <w:rPr>
          <w:rFonts w:ascii="Tahoma" w:hAnsi="Tahoma" w:cs="Tahoma"/>
          <w:b/>
          <w:bCs/>
          <w:u w:val="single"/>
        </w:rPr>
        <w:t>. This includes connecting to a central management system using OCPP 2.0.1 or later for the purposes of reliability data reporting for applicable charging ports.</w:t>
      </w:r>
    </w:p>
    <w:p w14:paraId="1E094E77" w14:textId="77777777" w:rsidR="009A58F4" w:rsidRPr="002A70AD" w:rsidRDefault="009A58F4" w:rsidP="009A58F4">
      <w:pPr>
        <w:spacing w:before="100" w:beforeAutospacing="1" w:after="100" w:afterAutospacing="1" w:line="259" w:lineRule="auto"/>
        <w:ind w:left="720" w:hanging="720"/>
        <w:rPr>
          <w:rFonts w:ascii="Tahoma" w:hAnsi="Tahoma" w:cs="Tahoma"/>
          <w:b/>
          <w:u w:val="single"/>
        </w:rPr>
      </w:pPr>
      <w:r w:rsidRPr="002A70AD">
        <w:rPr>
          <w:rFonts w:ascii="Tahoma" w:hAnsi="Tahoma" w:cs="Tahoma"/>
          <w:b/>
          <w:bCs/>
          <w:u w:val="single"/>
        </w:rPr>
        <w:t>Q</w:t>
      </w:r>
      <w:r>
        <w:rPr>
          <w:rFonts w:ascii="Tahoma" w:hAnsi="Tahoma" w:cs="Tahoma"/>
          <w:b/>
          <w:bCs/>
          <w:u w:val="single"/>
        </w:rPr>
        <w:t>60</w:t>
      </w:r>
      <w:r w:rsidRPr="002A70AD">
        <w:rPr>
          <w:rFonts w:ascii="Tahoma" w:hAnsi="Tahoma" w:cs="Tahoma"/>
          <w:b/>
          <w:bCs/>
          <w:u w:val="single"/>
        </w:rPr>
        <w:t>.    Are forklifts on-road vehicles?</w:t>
      </w:r>
    </w:p>
    <w:p w14:paraId="6613DB68" w14:textId="77777777" w:rsidR="009A58F4" w:rsidRDefault="009A58F4" w:rsidP="009A58F4">
      <w:pPr>
        <w:spacing w:before="100" w:beforeAutospacing="1" w:after="100" w:afterAutospacing="1"/>
        <w:ind w:left="720" w:hanging="720"/>
        <w:rPr>
          <w:rFonts w:ascii="Tahoma" w:hAnsi="Tahoma" w:cs="Tahoma"/>
          <w:b/>
          <w:bCs/>
          <w:u w:val="single"/>
        </w:rPr>
      </w:pPr>
      <w:r w:rsidRPr="002A70AD">
        <w:rPr>
          <w:rFonts w:ascii="Tahoma" w:hAnsi="Tahoma" w:cs="Tahoma"/>
          <w:b/>
          <w:bCs/>
          <w:u w:val="single"/>
        </w:rPr>
        <w:t>A</w:t>
      </w:r>
      <w:r>
        <w:rPr>
          <w:rFonts w:ascii="Tahoma" w:hAnsi="Tahoma" w:cs="Tahoma"/>
          <w:b/>
          <w:bCs/>
          <w:u w:val="single"/>
        </w:rPr>
        <w:t>60</w:t>
      </w:r>
      <w:r w:rsidRPr="002A70AD">
        <w:rPr>
          <w:rFonts w:ascii="Tahoma" w:hAnsi="Tahoma" w:cs="Tahoma"/>
          <w:b/>
          <w:bCs/>
          <w:u w:val="single"/>
        </w:rPr>
        <w:t xml:space="preserve">.   No, forklifts are not considered on-road vehicles. On-road vehicles are vehicles that are intended by their </w:t>
      </w:r>
      <w:proofErr w:type="gramStart"/>
      <w:r w:rsidRPr="002A70AD">
        <w:rPr>
          <w:rFonts w:ascii="Tahoma" w:hAnsi="Tahoma" w:cs="Tahoma"/>
          <w:b/>
          <w:bCs/>
          <w:u w:val="single"/>
        </w:rPr>
        <w:t>manufacturer</w:t>
      </w:r>
      <w:proofErr w:type="gramEnd"/>
      <w:r w:rsidRPr="002A70AD">
        <w:rPr>
          <w:rFonts w:ascii="Tahoma" w:hAnsi="Tahoma" w:cs="Tahoma"/>
          <w:b/>
          <w:bCs/>
          <w:u w:val="single"/>
        </w:rPr>
        <w:t xml:space="preserve"> for use on public highways. On-road vehicles must be certified by their manufacturer with the U.S. Department of Transportation (DOT), National Highway Traffic Safety Administration (NHTSA), as compliant with on-highway safety standards as well as certified to all applicable ARB and U.S. EPA on-road emission standards. Compliance with these standards is indicated by separate safety and emissions labels on the vehicle.</w:t>
      </w:r>
    </w:p>
    <w:p w14:paraId="22D51D1E" w14:textId="77777777" w:rsidR="009A58F4" w:rsidRPr="0090654C" w:rsidRDefault="009A58F4" w:rsidP="009A58F4">
      <w:pPr>
        <w:spacing w:before="100" w:beforeAutospacing="1" w:after="100" w:afterAutospacing="1" w:line="259" w:lineRule="auto"/>
        <w:ind w:left="720" w:hanging="720"/>
        <w:rPr>
          <w:rFonts w:ascii="Tahoma" w:hAnsi="Tahoma" w:cs="Tahoma"/>
          <w:b/>
          <w:u w:val="single"/>
        </w:rPr>
      </w:pPr>
      <w:r w:rsidRPr="0090654C">
        <w:rPr>
          <w:rFonts w:ascii="Tahoma" w:hAnsi="Tahoma" w:cs="Tahoma"/>
          <w:b/>
          <w:bCs/>
          <w:u w:val="single"/>
        </w:rPr>
        <w:lastRenderedPageBreak/>
        <w:t>Q</w:t>
      </w:r>
      <w:r>
        <w:rPr>
          <w:rFonts w:ascii="Tahoma" w:hAnsi="Tahoma" w:cs="Tahoma"/>
          <w:b/>
          <w:bCs/>
          <w:u w:val="single"/>
        </w:rPr>
        <w:t>61</w:t>
      </w:r>
      <w:r w:rsidRPr="0090654C">
        <w:rPr>
          <w:rFonts w:ascii="Tahoma" w:hAnsi="Tahoma" w:cs="Tahoma"/>
          <w:b/>
          <w:bCs/>
          <w:u w:val="single"/>
        </w:rPr>
        <w:t xml:space="preserve">.  We are in the process of acquiring a site that could be used to qualify for this project. If land ownership were imminent </w:t>
      </w:r>
      <w:proofErr w:type="gramStart"/>
      <w:r w:rsidRPr="0090654C">
        <w:rPr>
          <w:rFonts w:ascii="Tahoma" w:hAnsi="Tahoma" w:cs="Tahoma"/>
          <w:b/>
          <w:bCs/>
          <w:u w:val="single"/>
        </w:rPr>
        <w:t>in the near future</w:t>
      </w:r>
      <w:proofErr w:type="gramEnd"/>
      <w:r w:rsidRPr="0090654C">
        <w:rPr>
          <w:rFonts w:ascii="Tahoma" w:hAnsi="Tahoma" w:cs="Tahoma"/>
          <w:b/>
          <w:bCs/>
          <w:u w:val="single"/>
        </w:rPr>
        <w:t>, could this be used to make the site eligible under this grant's definition of "Site control"? (We'd likely take ownership by the time the awards are made.)</w:t>
      </w:r>
    </w:p>
    <w:p w14:paraId="64CAD6CC" w14:textId="014A1313" w:rsidR="009A58F4" w:rsidRDefault="625302B1" w:rsidP="792D9D8F">
      <w:pPr>
        <w:spacing w:before="100" w:beforeAutospacing="1" w:after="100" w:afterAutospacing="1"/>
        <w:ind w:left="720" w:hanging="720"/>
        <w:rPr>
          <w:rFonts w:ascii="Tahoma" w:hAnsi="Tahoma" w:cs="Tahoma"/>
          <w:b/>
          <w:bCs/>
          <w:u w:val="single"/>
        </w:rPr>
      </w:pPr>
      <w:r w:rsidRPr="792D9D8F">
        <w:rPr>
          <w:rFonts w:ascii="Tahoma" w:hAnsi="Tahoma" w:cs="Tahoma"/>
          <w:b/>
          <w:bCs/>
          <w:u w:val="single"/>
        </w:rPr>
        <w:t>A61.  Site ownership is not required for this solicitation. However, site control will be evaluated under the Project Readiness evaluation criterion. Projects will be scored on the degree to which site control is secured, viable back-up sites have been identified, and a sufficient plan for managing site or site host changes is provided. </w:t>
      </w:r>
    </w:p>
    <w:p w14:paraId="549F3436" w14:textId="7BBF2F67" w:rsidR="009A58F4" w:rsidRPr="00C2190A" w:rsidRDefault="009A58F4" w:rsidP="50789664">
      <w:pPr>
        <w:spacing w:before="100" w:beforeAutospacing="1" w:after="100" w:afterAutospacing="1" w:line="259" w:lineRule="auto"/>
        <w:ind w:left="720" w:hanging="720"/>
        <w:rPr>
          <w:rFonts w:ascii="Tahoma" w:hAnsi="Tahoma" w:cs="Tahoma"/>
          <w:b/>
          <w:bCs/>
          <w:u w:val="single"/>
        </w:rPr>
      </w:pPr>
      <w:r w:rsidRPr="50789664">
        <w:rPr>
          <w:rFonts w:ascii="Tahoma" w:hAnsi="Tahoma" w:cs="Tahoma"/>
          <w:b/>
          <w:bCs/>
          <w:u w:val="single"/>
        </w:rPr>
        <w:t>Q62. Could you please clarify the data</w:t>
      </w:r>
      <w:r w:rsidR="65DD2A6C" w:rsidRPr="50789664">
        <w:rPr>
          <w:rFonts w:ascii="Tahoma" w:hAnsi="Tahoma" w:cs="Tahoma"/>
          <w:b/>
          <w:bCs/>
          <w:u w:val="single"/>
        </w:rPr>
        <w:t xml:space="preserve"> </w:t>
      </w:r>
      <w:r w:rsidRPr="50789664">
        <w:rPr>
          <w:rFonts w:ascii="Tahoma" w:hAnsi="Tahoma" w:cs="Tahoma"/>
          <w:b/>
          <w:bCs/>
          <w:u w:val="single"/>
        </w:rPr>
        <w:t xml:space="preserve">collection requirements and associated timelines in the GFO? Is the </w:t>
      </w:r>
      <w:proofErr w:type="gramStart"/>
      <w:r w:rsidRPr="50789664">
        <w:rPr>
          <w:rFonts w:ascii="Tahoma" w:hAnsi="Tahoma" w:cs="Tahoma"/>
          <w:b/>
          <w:bCs/>
          <w:u w:val="single"/>
        </w:rPr>
        <w:t>12</w:t>
      </w:r>
      <w:r w:rsidR="009F39B8" w:rsidRPr="50789664">
        <w:rPr>
          <w:rFonts w:ascii="Tahoma" w:hAnsi="Tahoma" w:cs="Tahoma"/>
          <w:b/>
          <w:bCs/>
          <w:u w:val="single"/>
        </w:rPr>
        <w:t xml:space="preserve"> </w:t>
      </w:r>
      <w:r w:rsidRPr="50789664">
        <w:rPr>
          <w:rFonts w:ascii="Tahoma" w:hAnsi="Tahoma" w:cs="Tahoma"/>
          <w:b/>
          <w:bCs/>
          <w:u w:val="single"/>
        </w:rPr>
        <w:t>month</w:t>
      </w:r>
      <w:proofErr w:type="gramEnd"/>
      <w:r w:rsidRPr="50789664">
        <w:rPr>
          <w:rFonts w:ascii="Tahoma" w:hAnsi="Tahoma" w:cs="Tahoma"/>
          <w:b/>
          <w:bCs/>
          <w:u w:val="single"/>
        </w:rPr>
        <w:t xml:space="preserve"> data</w:t>
      </w:r>
      <w:r w:rsidR="578580BA" w:rsidRPr="50789664">
        <w:rPr>
          <w:rFonts w:ascii="Tahoma" w:hAnsi="Tahoma" w:cs="Tahoma"/>
          <w:b/>
          <w:bCs/>
          <w:u w:val="single"/>
        </w:rPr>
        <w:t xml:space="preserve"> </w:t>
      </w:r>
      <w:r w:rsidRPr="50789664">
        <w:rPr>
          <w:rFonts w:ascii="Tahoma" w:hAnsi="Tahoma" w:cs="Tahoma"/>
          <w:b/>
          <w:bCs/>
          <w:u w:val="single"/>
        </w:rPr>
        <w:t xml:space="preserve">collection requirement intended to be part of this </w:t>
      </w:r>
      <w:r w:rsidR="009F39B8" w:rsidRPr="50789664">
        <w:rPr>
          <w:rFonts w:ascii="Tahoma" w:hAnsi="Tahoma" w:cs="Tahoma"/>
          <w:b/>
          <w:bCs/>
          <w:u w:val="single"/>
        </w:rPr>
        <w:t>three-year</w:t>
      </w:r>
      <w:r w:rsidRPr="50789664">
        <w:rPr>
          <w:rFonts w:ascii="Tahoma" w:hAnsi="Tahoma" w:cs="Tahoma"/>
          <w:b/>
          <w:bCs/>
          <w:u w:val="single"/>
        </w:rPr>
        <w:t xml:space="preserve"> utilization requirement? Can you confirm </w:t>
      </w:r>
      <w:proofErr w:type="gramStart"/>
      <w:r w:rsidRPr="50789664">
        <w:rPr>
          <w:rFonts w:ascii="Tahoma" w:hAnsi="Tahoma" w:cs="Tahoma"/>
          <w:b/>
          <w:bCs/>
          <w:u w:val="single"/>
        </w:rPr>
        <w:t>whether either</w:t>
      </w:r>
      <w:proofErr w:type="gramEnd"/>
      <w:r w:rsidRPr="50789664">
        <w:rPr>
          <w:rFonts w:ascii="Tahoma" w:hAnsi="Tahoma" w:cs="Tahoma"/>
          <w:b/>
          <w:bCs/>
          <w:u w:val="single"/>
        </w:rPr>
        <w:t xml:space="preserve"> the 12</w:t>
      </w:r>
      <w:r w:rsidR="00282C20" w:rsidRPr="50789664">
        <w:rPr>
          <w:rFonts w:ascii="Tahoma" w:hAnsi="Tahoma" w:cs="Tahoma"/>
          <w:b/>
          <w:bCs/>
          <w:u w:val="single"/>
        </w:rPr>
        <w:t xml:space="preserve"> </w:t>
      </w:r>
      <w:r w:rsidRPr="50789664">
        <w:rPr>
          <w:rFonts w:ascii="Tahoma" w:hAnsi="Tahoma" w:cs="Tahoma"/>
          <w:b/>
          <w:bCs/>
          <w:u w:val="single"/>
        </w:rPr>
        <w:t xml:space="preserve">month or the </w:t>
      </w:r>
      <w:r w:rsidR="009F39B8" w:rsidRPr="50789664">
        <w:rPr>
          <w:rFonts w:ascii="Tahoma" w:hAnsi="Tahoma" w:cs="Tahoma"/>
          <w:b/>
          <w:bCs/>
          <w:u w:val="single"/>
        </w:rPr>
        <w:t>three-year</w:t>
      </w:r>
      <w:r w:rsidRPr="50789664">
        <w:rPr>
          <w:rFonts w:ascii="Tahoma" w:hAnsi="Tahoma" w:cs="Tahoma"/>
          <w:b/>
          <w:bCs/>
          <w:u w:val="single"/>
        </w:rPr>
        <w:t xml:space="preserve"> data</w:t>
      </w:r>
      <w:r w:rsidR="72521343" w:rsidRPr="50789664">
        <w:rPr>
          <w:rFonts w:ascii="Tahoma" w:hAnsi="Tahoma" w:cs="Tahoma"/>
          <w:b/>
          <w:bCs/>
          <w:u w:val="single"/>
        </w:rPr>
        <w:t xml:space="preserve"> </w:t>
      </w:r>
      <w:r w:rsidRPr="50789664">
        <w:rPr>
          <w:rFonts w:ascii="Tahoma" w:hAnsi="Tahoma" w:cs="Tahoma"/>
          <w:b/>
          <w:bCs/>
          <w:u w:val="single"/>
        </w:rPr>
        <w:t>collection milestones must be included in the Schedule of Products and Due Dates and therefore completed before March 31, 2029?</w:t>
      </w:r>
    </w:p>
    <w:p w14:paraId="7AA2EF3A" w14:textId="273A74F7" w:rsidR="009A58F4" w:rsidRDefault="009A58F4" w:rsidP="009A58F4">
      <w:pPr>
        <w:spacing w:before="100" w:beforeAutospacing="1" w:after="100" w:afterAutospacing="1"/>
        <w:ind w:left="720" w:hanging="720"/>
        <w:rPr>
          <w:rFonts w:ascii="Tahoma" w:hAnsi="Tahoma" w:cs="Tahoma"/>
          <w:b/>
          <w:u w:val="single"/>
        </w:rPr>
      </w:pPr>
      <w:r w:rsidRPr="00C2190A">
        <w:rPr>
          <w:rFonts w:ascii="Tahoma" w:hAnsi="Tahoma" w:cs="Tahoma"/>
          <w:b/>
          <w:bCs/>
          <w:u w:val="single"/>
        </w:rPr>
        <w:t>A6</w:t>
      </w:r>
      <w:r>
        <w:rPr>
          <w:rFonts w:ascii="Tahoma" w:hAnsi="Tahoma" w:cs="Tahoma"/>
          <w:b/>
          <w:bCs/>
          <w:u w:val="single"/>
        </w:rPr>
        <w:t>2</w:t>
      </w:r>
      <w:r w:rsidRPr="00C2190A">
        <w:rPr>
          <w:rFonts w:ascii="Tahoma" w:hAnsi="Tahoma" w:cs="Tahoma"/>
          <w:b/>
          <w:bCs/>
          <w:u w:val="single"/>
        </w:rPr>
        <w:t xml:space="preserve">. </w:t>
      </w:r>
      <w:r w:rsidR="00011456">
        <w:rPr>
          <w:rFonts w:ascii="Tahoma" w:hAnsi="Tahoma" w:cs="Tahoma"/>
          <w:b/>
          <w:bCs/>
          <w:u w:val="single"/>
        </w:rPr>
        <w:t xml:space="preserve">  </w:t>
      </w:r>
      <w:r w:rsidRPr="00C2190A">
        <w:rPr>
          <w:rFonts w:ascii="Tahoma" w:hAnsi="Tahoma" w:cs="Tahoma"/>
          <w:b/>
          <w:bCs/>
          <w:u w:val="single"/>
        </w:rPr>
        <w:t xml:space="preserve">Applicants must collect a minimum of 12 months of operations and utilization data within the agreement term, which must end no later than </w:t>
      </w:r>
      <w:r>
        <w:rPr>
          <w:rFonts w:ascii="Tahoma" w:hAnsi="Tahoma" w:cs="Tahoma"/>
          <w:b/>
          <w:bCs/>
          <w:u w:val="single"/>
        </w:rPr>
        <w:t>March</w:t>
      </w:r>
      <w:r w:rsidRPr="00C2190A">
        <w:rPr>
          <w:rFonts w:ascii="Tahoma" w:hAnsi="Tahoma" w:cs="Tahoma"/>
          <w:b/>
          <w:bCs/>
          <w:u w:val="single"/>
        </w:rPr>
        <w:t xml:space="preserve"> 31, 2029. The full </w:t>
      </w:r>
      <w:proofErr w:type="gramStart"/>
      <w:r w:rsidRPr="3DD642DA">
        <w:rPr>
          <w:rFonts w:ascii="Tahoma" w:hAnsi="Tahoma" w:cs="Tahoma"/>
          <w:b/>
          <w:bCs/>
          <w:u w:val="single"/>
        </w:rPr>
        <w:t>12</w:t>
      </w:r>
      <w:r w:rsidR="009F39B8">
        <w:rPr>
          <w:rFonts w:ascii="Tahoma" w:hAnsi="Tahoma" w:cs="Tahoma"/>
          <w:b/>
          <w:bCs/>
          <w:u w:val="single"/>
        </w:rPr>
        <w:t xml:space="preserve"> </w:t>
      </w:r>
      <w:r w:rsidRPr="3DD642DA">
        <w:rPr>
          <w:rFonts w:ascii="Tahoma" w:hAnsi="Tahoma" w:cs="Tahoma"/>
          <w:b/>
          <w:bCs/>
          <w:u w:val="single"/>
        </w:rPr>
        <w:t>month</w:t>
      </w:r>
      <w:proofErr w:type="gramEnd"/>
      <w:r w:rsidRPr="00C2190A">
        <w:rPr>
          <w:rFonts w:ascii="Tahoma" w:hAnsi="Tahoma" w:cs="Tahoma"/>
          <w:b/>
          <w:bCs/>
          <w:u w:val="single"/>
        </w:rPr>
        <w:t xml:space="preserve"> data</w:t>
      </w:r>
      <w:r w:rsidR="4F75CD50" w:rsidRPr="3DD642DA">
        <w:rPr>
          <w:rFonts w:ascii="Tahoma" w:hAnsi="Tahoma" w:cs="Tahoma"/>
          <w:b/>
          <w:bCs/>
          <w:u w:val="single"/>
        </w:rPr>
        <w:t xml:space="preserve"> </w:t>
      </w:r>
      <w:r w:rsidRPr="00C2190A">
        <w:rPr>
          <w:rFonts w:ascii="Tahoma" w:hAnsi="Tahoma" w:cs="Tahoma"/>
          <w:b/>
          <w:bCs/>
          <w:u w:val="single"/>
        </w:rPr>
        <w:t>collection period must be included in the Schedule of Products</w:t>
      </w:r>
      <w:r>
        <w:rPr>
          <w:rFonts w:ascii="Tahoma" w:hAnsi="Tahoma" w:cs="Tahoma"/>
          <w:b/>
          <w:bCs/>
          <w:u w:val="single"/>
        </w:rPr>
        <w:t xml:space="preserve"> and Due Dates</w:t>
      </w:r>
      <w:r w:rsidRPr="00C2190A">
        <w:rPr>
          <w:rFonts w:ascii="Tahoma" w:hAnsi="Tahoma" w:cs="Tahoma"/>
          <w:b/>
          <w:bCs/>
          <w:u w:val="single"/>
        </w:rPr>
        <w:t>.</w:t>
      </w:r>
    </w:p>
    <w:p w14:paraId="57C08EB0" w14:textId="279A0A9E" w:rsidR="009A58F4" w:rsidRPr="00C2190A" w:rsidRDefault="009A58F4" w:rsidP="50789664">
      <w:pPr>
        <w:spacing w:before="100" w:beforeAutospacing="1" w:after="100" w:afterAutospacing="1" w:line="259" w:lineRule="auto"/>
        <w:ind w:left="720"/>
        <w:rPr>
          <w:rFonts w:ascii="Tahoma" w:hAnsi="Tahoma" w:cs="Tahoma"/>
          <w:b/>
          <w:bCs/>
          <w:u w:val="single"/>
        </w:rPr>
      </w:pPr>
      <w:r w:rsidRPr="50789664">
        <w:rPr>
          <w:rFonts w:ascii="Tahoma" w:hAnsi="Tahoma" w:cs="Tahoma"/>
          <w:b/>
          <w:bCs/>
          <w:u w:val="single"/>
        </w:rPr>
        <w:t xml:space="preserve">The required 12 months of data collection is part of the broader </w:t>
      </w:r>
      <w:r w:rsidR="00AF0507" w:rsidRPr="50789664">
        <w:rPr>
          <w:rFonts w:ascii="Tahoma" w:hAnsi="Tahoma" w:cs="Tahoma"/>
          <w:b/>
          <w:bCs/>
          <w:u w:val="single"/>
        </w:rPr>
        <w:t>three-year</w:t>
      </w:r>
      <w:r w:rsidRPr="50789664">
        <w:rPr>
          <w:rFonts w:ascii="Tahoma" w:hAnsi="Tahoma" w:cs="Tahoma"/>
          <w:b/>
          <w:bCs/>
          <w:u w:val="single"/>
        </w:rPr>
        <w:t xml:space="preserve"> utilization reporting requirement described under the Utilization task in the Scope of Work. Although the full three years of reporting extends beyond the agreement term, applicants must ensure that at least the first 12 months of data collection and reporting occur before the agreement end date and are reflected in the </w:t>
      </w:r>
      <w:r w:rsidR="00991E87" w:rsidRPr="50789664">
        <w:rPr>
          <w:rFonts w:ascii="Tahoma" w:hAnsi="Tahoma" w:cs="Tahoma"/>
          <w:b/>
          <w:bCs/>
          <w:u w:val="single"/>
        </w:rPr>
        <w:t>Schedule of Products and Due Dates</w:t>
      </w:r>
      <w:r w:rsidRPr="50789664">
        <w:rPr>
          <w:rFonts w:ascii="Tahoma" w:hAnsi="Tahoma" w:cs="Tahoma"/>
          <w:b/>
          <w:bCs/>
          <w:u w:val="single"/>
        </w:rPr>
        <w:t>.</w:t>
      </w:r>
    </w:p>
    <w:p w14:paraId="46AE0BD9" w14:textId="77777777" w:rsidR="009A58F4" w:rsidRPr="00CC3EC2" w:rsidRDefault="009A58F4" w:rsidP="00F463B2">
      <w:pPr>
        <w:spacing w:before="100" w:beforeAutospacing="1" w:after="100" w:afterAutospacing="1"/>
        <w:ind w:left="720" w:hanging="720"/>
        <w:rPr>
          <w:rFonts w:ascii="Tahoma" w:hAnsi="Tahoma" w:cs="Tahoma"/>
          <w:b/>
          <w:u w:val="single"/>
        </w:rPr>
      </w:pPr>
    </w:p>
    <w:p w14:paraId="4EA6DD3F" w14:textId="77777777" w:rsidR="00A12A97" w:rsidRPr="00CC3EC2" w:rsidRDefault="00A12A97" w:rsidP="00707AE0">
      <w:pPr>
        <w:ind w:left="720" w:hanging="720"/>
        <w:rPr>
          <w:rStyle w:val="normaltextrun"/>
          <w:rFonts w:ascii="Tahoma" w:eastAsia="Tahoma" w:hAnsi="Tahoma" w:cs="Tahoma"/>
          <w:b/>
          <w:color w:val="000000" w:themeColor="text1"/>
        </w:rPr>
      </w:pPr>
    </w:p>
    <w:p w14:paraId="4BD70FD4" w14:textId="165271A1" w:rsidR="00CA59EA" w:rsidRPr="00CC3EC2" w:rsidRDefault="00B3359C" w:rsidP="21D55F11">
      <w:pPr>
        <w:rPr>
          <w:rFonts w:ascii="Tahoma" w:hAnsi="Tahoma" w:cs="Tahoma"/>
          <w:b/>
          <w:bCs/>
        </w:rPr>
      </w:pPr>
      <w:r>
        <w:rPr>
          <w:rFonts w:ascii="Tahoma" w:hAnsi="Tahoma" w:cs="Tahoma"/>
          <w:b/>
          <w:bCs/>
        </w:rPr>
        <w:t>Enrico Palo</w:t>
      </w:r>
    </w:p>
    <w:p w14:paraId="7BE46C3E" w14:textId="3989EB3A" w:rsidR="00CA59EA" w:rsidRPr="00CC3EC2" w:rsidRDefault="00AD0BD5" w:rsidP="00AD0BD5">
      <w:pPr>
        <w:rPr>
          <w:rFonts w:ascii="Tahoma" w:hAnsi="Tahoma" w:cs="Tahoma"/>
          <w:b/>
          <w:bCs/>
        </w:rPr>
      </w:pPr>
      <w:r w:rsidRPr="00CC3EC2">
        <w:rPr>
          <w:rFonts w:ascii="Tahoma" w:hAnsi="Tahoma" w:cs="Tahoma"/>
          <w:b/>
          <w:bCs/>
        </w:rPr>
        <w:t>Commission Agreement Officer</w:t>
      </w:r>
    </w:p>
    <w:sectPr w:rsidR="00CA59EA" w:rsidRPr="00CC3EC2" w:rsidSect="00BA556B">
      <w:headerReference w:type="default" r:id="rId13"/>
      <w:footerReference w:type="default" r:id="rId14"/>
      <w:headerReference w:type="first" r:id="rId15"/>
      <w:footerReference w:type="first" r:id="rId16"/>
      <w:pgSz w:w="12240" w:h="15840"/>
      <w:pgMar w:top="1440" w:right="1080" w:bottom="1440" w:left="1080" w:header="36" w:footer="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1C19E" w14:textId="77777777" w:rsidR="001A22CB" w:rsidRDefault="001A22CB" w:rsidP="00F86D2B">
      <w:r>
        <w:separator/>
      </w:r>
    </w:p>
  </w:endnote>
  <w:endnote w:type="continuationSeparator" w:id="0">
    <w:p w14:paraId="192045A0" w14:textId="77777777" w:rsidR="001A22CB" w:rsidRDefault="001A22CB" w:rsidP="00F86D2B">
      <w:r>
        <w:continuationSeparator/>
      </w:r>
    </w:p>
  </w:endnote>
  <w:endnote w:type="continuationNotice" w:id="1">
    <w:p w14:paraId="7403EDBD" w14:textId="77777777" w:rsidR="001A22CB" w:rsidRDefault="001A22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880"/>
      <w:gridCol w:w="2880"/>
      <w:gridCol w:w="2880"/>
    </w:tblGrid>
    <w:tr w:rsidR="4D7C6706" w14:paraId="4DCC657B" w14:textId="77777777" w:rsidTr="00544461">
      <w:tc>
        <w:tcPr>
          <w:tcW w:w="2880" w:type="dxa"/>
        </w:tcPr>
        <w:p w14:paraId="1C30F658" w14:textId="4FC5E23C" w:rsidR="4D7C6706" w:rsidRDefault="4D7C6706" w:rsidP="4D7C6706">
          <w:pPr>
            <w:pStyle w:val="Header"/>
            <w:ind w:left="-115"/>
          </w:pPr>
        </w:p>
      </w:tc>
      <w:tc>
        <w:tcPr>
          <w:tcW w:w="2880" w:type="dxa"/>
        </w:tcPr>
        <w:p w14:paraId="1D3F0B1C" w14:textId="217B9FC7" w:rsidR="4D7C6706" w:rsidRDefault="4D7C6706" w:rsidP="4D7C6706">
          <w:pPr>
            <w:pStyle w:val="Header"/>
            <w:jc w:val="center"/>
          </w:pPr>
        </w:p>
      </w:tc>
      <w:tc>
        <w:tcPr>
          <w:tcW w:w="2880" w:type="dxa"/>
        </w:tcPr>
        <w:p w14:paraId="5681F7D6" w14:textId="65144E5E" w:rsidR="4D7C6706" w:rsidRDefault="4D7C6706" w:rsidP="4D7C6706">
          <w:pPr>
            <w:pStyle w:val="Header"/>
            <w:ind w:right="-115"/>
            <w:jc w:val="right"/>
          </w:pPr>
        </w:p>
      </w:tc>
    </w:tr>
  </w:tbl>
  <w:p w14:paraId="01AFCF9C" w14:textId="46A281DD" w:rsidR="4D7C6706" w:rsidRDefault="4D7C6706" w:rsidP="00B112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8CA5" w14:textId="1F81AC6B" w:rsidR="002D11A5" w:rsidRDefault="00E95AA9" w:rsidP="002D11A5">
    <w:pPr>
      <w:pStyle w:val="Footer"/>
      <w:ind w:hanging="1800"/>
    </w:pPr>
    <w:r>
      <w:rPr>
        <w:noProof/>
      </w:rPr>
      <w:drawing>
        <wp:inline distT="0" distB="0" distL="0" distR="0" wp14:anchorId="4CC05A24" wp14:editId="3B78DAB8">
          <wp:extent cx="7762875" cy="1033780"/>
          <wp:effectExtent l="0" t="0" r="9525" b="0"/>
          <wp:docPr id="10" name="Picture 10" descr="energy.ca.gov&#10;715 P Street, Sacramento, CA 9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762875" cy="10337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A56DC" w14:textId="77777777" w:rsidR="001A22CB" w:rsidRDefault="001A22CB" w:rsidP="00F86D2B">
      <w:r>
        <w:separator/>
      </w:r>
    </w:p>
  </w:footnote>
  <w:footnote w:type="continuationSeparator" w:id="0">
    <w:p w14:paraId="68A9788B" w14:textId="77777777" w:rsidR="001A22CB" w:rsidRDefault="001A22CB" w:rsidP="00F86D2B">
      <w:r>
        <w:continuationSeparator/>
      </w:r>
    </w:p>
  </w:footnote>
  <w:footnote w:type="continuationNotice" w:id="1">
    <w:p w14:paraId="4BD38041" w14:textId="77777777" w:rsidR="001A22CB" w:rsidRDefault="001A22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CEFA" w14:textId="77777777" w:rsidR="003E0D2D" w:rsidRDefault="003E0D2D" w:rsidP="00E210F6">
    <w:pPr>
      <w:rPr>
        <w:rFonts w:ascii="Arial" w:hAnsi="Arial" w:cs="Arial"/>
      </w:rPr>
    </w:pPr>
  </w:p>
  <w:p w14:paraId="736D9520" w14:textId="77777777" w:rsidR="003E0D2D" w:rsidRDefault="003E0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044F" w14:textId="77777777" w:rsidR="00C01C97" w:rsidRDefault="00C01C97" w:rsidP="002D11A5">
    <w:pPr>
      <w:pStyle w:val="Header"/>
      <w:ind w:hanging="1800"/>
    </w:pPr>
  </w:p>
  <w:p w14:paraId="0CC19A77" w14:textId="4DF62421" w:rsidR="00E210F6" w:rsidRDefault="0012092F" w:rsidP="00A84E83">
    <w:pPr>
      <w:pStyle w:val="Header"/>
      <w:ind w:hanging="1800"/>
      <w:jc w:val="center"/>
    </w:pPr>
    <w:r>
      <w:rPr>
        <w:noProof/>
      </w:rPr>
      <w:drawing>
        <wp:inline distT="0" distB="0" distL="0" distR="0" wp14:anchorId="76D4ECA3" wp14:editId="3F6C7D1E">
          <wp:extent cx="6400800" cy="734993"/>
          <wp:effectExtent l="0" t="0" r="0" b="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6400800" cy="734993"/>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ULWdrEu5DZtRWi" int2:id="8wBrPBh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32D"/>
    <w:multiLevelType w:val="multilevel"/>
    <w:tmpl w:val="23840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FE4BA6"/>
    <w:multiLevelType w:val="hybridMultilevel"/>
    <w:tmpl w:val="D4F2CA82"/>
    <w:lvl w:ilvl="0" w:tplc="B99410E6">
      <w:start w:val="7"/>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F09884"/>
    <w:multiLevelType w:val="hybridMultilevel"/>
    <w:tmpl w:val="FFFFFFFF"/>
    <w:lvl w:ilvl="0" w:tplc="33B6252A">
      <w:start w:val="1"/>
      <w:numFmt w:val="decimal"/>
      <w:lvlText w:val="%1."/>
      <w:lvlJc w:val="left"/>
      <w:pPr>
        <w:ind w:left="720" w:hanging="360"/>
      </w:pPr>
    </w:lvl>
    <w:lvl w:ilvl="1" w:tplc="1DFEFA12">
      <w:start w:val="1"/>
      <w:numFmt w:val="lowerLetter"/>
      <w:lvlText w:val="%2."/>
      <w:lvlJc w:val="left"/>
      <w:pPr>
        <w:ind w:left="1440" w:hanging="360"/>
      </w:pPr>
    </w:lvl>
    <w:lvl w:ilvl="2" w:tplc="2B4C69BE">
      <w:start w:val="1"/>
      <w:numFmt w:val="lowerRoman"/>
      <w:lvlText w:val="%3."/>
      <w:lvlJc w:val="right"/>
      <w:pPr>
        <w:ind w:left="2160" w:hanging="180"/>
      </w:pPr>
    </w:lvl>
    <w:lvl w:ilvl="3" w:tplc="19C28014">
      <w:start w:val="1"/>
      <w:numFmt w:val="decimal"/>
      <w:lvlText w:val="%4."/>
      <w:lvlJc w:val="left"/>
      <w:pPr>
        <w:ind w:left="2880" w:hanging="360"/>
      </w:pPr>
    </w:lvl>
    <w:lvl w:ilvl="4" w:tplc="21F4F780">
      <w:start w:val="1"/>
      <w:numFmt w:val="lowerLetter"/>
      <w:lvlText w:val="%5."/>
      <w:lvlJc w:val="left"/>
      <w:pPr>
        <w:ind w:left="3600" w:hanging="360"/>
      </w:pPr>
    </w:lvl>
    <w:lvl w:ilvl="5" w:tplc="B6508AF8">
      <w:start w:val="1"/>
      <w:numFmt w:val="lowerRoman"/>
      <w:lvlText w:val="%6."/>
      <w:lvlJc w:val="right"/>
      <w:pPr>
        <w:ind w:left="4320" w:hanging="180"/>
      </w:pPr>
    </w:lvl>
    <w:lvl w:ilvl="6" w:tplc="CFD0F2D2">
      <w:start w:val="1"/>
      <w:numFmt w:val="decimal"/>
      <w:lvlText w:val="%7."/>
      <w:lvlJc w:val="left"/>
      <w:pPr>
        <w:ind w:left="5040" w:hanging="360"/>
      </w:pPr>
    </w:lvl>
    <w:lvl w:ilvl="7" w:tplc="007017DA">
      <w:start w:val="1"/>
      <w:numFmt w:val="lowerLetter"/>
      <w:lvlText w:val="%8."/>
      <w:lvlJc w:val="left"/>
      <w:pPr>
        <w:ind w:left="5760" w:hanging="360"/>
      </w:pPr>
    </w:lvl>
    <w:lvl w:ilvl="8" w:tplc="6BBC9228">
      <w:start w:val="1"/>
      <w:numFmt w:val="lowerRoman"/>
      <w:lvlText w:val="%9."/>
      <w:lvlJc w:val="right"/>
      <w:pPr>
        <w:ind w:left="6480" w:hanging="180"/>
      </w:pPr>
    </w:lvl>
  </w:abstractNum>
  <w:abstractNum w:abstractNumId="3" w15:restartNumberingAfterBreak="0">
    <w:nsid w:val="0CED032F"/>
    <w:multiLevelType w:val="hybridMultilevel"/>
    <w:tmpl w:val="06068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A2E22"/>
    <w:multiLevelType w:val="hybridMultilevel"/>
    <w:tmpl w:val="93B4DB76"/>
    <w:lvl w:ilvl="0" w:tplc="4174675A">
      <w:start w:val="8"/>
      <w:numFmt w:val="decimal"/>
      <w:lvlText w:val="%1."/>
      <w:lvlJc w:val="left"/>
      <w:pPr>
        <w:ind w:left="1512" w:hanging="432"/>
      </w:pPr>
      <w:rPr>
        <w:rFonts w:hint="default"/>
        <w:b w:val="0"/>
        <w:color w:val="auto"/>
      </w:rPr>
    </w:lvl>
    <w:lvl w:ilvl="1" w:tplc="3AF2E40E">
      <w:start w:val="3"/>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B38F0"/>
    <w:multiLevelType w:val="hybridMultilevel"/>
    <w:tmpl w:val="C2F4BE80"/>
    <w:lvl w:ilvl="0" w:tplc="5FE2C1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DC7686"/>
    <w:multiLevelType w:val="hybridMultilevel"/>
    <w:tmpl w:val="B11AA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8048B"/>
    <w:multiLevelType w:val="hybridMultilevel"/>
    <w:tmpl w:val="91B0A74A"/>
    <w:lvl w:ilvl="0" w:tplc="BE88EA78">
      <w:start w:val="1"/>
      <w:numFmt w:val="decimal"/>
      <w:lvlText w:val="%1."/>
      <w:lvlJc w:val="left"/>
      <w:pPr>
        <w:ind w:left="864" w:hanging="432"/>
      </w:pPr>
      <w:rPr>
        <w:rFonts w:hint="default"/>
        <w:b w:val="0"/>
        <w:color w:val="auto"/>
      </w:rPr>
    </w:lvl>
    <w:lvl w:ilvl="1" w:tplc="528C3626">
      <w:start w:val="3"/>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BE31DE"/>
    <w:multiLevelType w:val="hybridMultilevel"/>
    <w:tmpl w:val="715A1732"/>
    <w:lvl w:ilvl="0" w:tplc="04090001">
      <w:start w:val="1"/>
      <w:numFmt w:val="bullet"/>
      <w:lvlText w:val=""/>
      <w:lvlJc w:val="left"/>
      <w:pPr>
        <w:ind w:left="720" w:hanging="360"/>
      </w:pPr>
      <w:rPr>
        <w:rFonts w:ascii="Symbol" w:hAnsi="Symbol" w:hint="default"/>
      </w:rPr>
    </w:lvl>
    <w:lvl w:ilvl="1" w:tplc="C8F27C8C">
      <w:start w:val="1"/>
      <w:numFmt w:val="bullet"/>
      <w:lvlText w:val=""/>
      <w:lvlJc w:val="left"/>
      <w:pPr>
        <w:ind w:left="144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24E6FE60">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B10B1E"/>
    <w:multiLevelType w:val="hybridMultilevel"/>
    <w:tmpl w:val="7CA68E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7E5285"/>
    <w:multiLevelType w:val="hybridMultilevel"/>
    <w:tmpl w:val="BB02BE7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o"/>
      <w:lvlJc w:val="left"/>
      <w:pPr>
        <w:ind w:left="1440" w:hanging="360"/>
      </w:pPr>
      <w:rPr>
        <w:rFonts w:ascii="Courier New" w:hAnsi="Courier New" w:cs="Courier New" w:hint="default"/>
      </w:rPr>
    </w:lvl>
    <w:lvl w:ilvl="3" w:tplc="E1588620">
      <w:start w:val="1"/>
      <w:numFmt w:val="bullet"/>
      <w:pStyle w:val="ListBullet"/>
      <w:lvlText w:val="o"/>
      <w:lvlJc w:val="left"/>
      <w:pPr>
        <w:ind w:left="2880" w:hanging="360"/>
      </w:pPr>
      <w:rPr>
        <w:rFonts w:ascii="Courier New" w:hAnsi="Courier New" w:cs="Courier New"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E5C6568"/>
    <w:multiLevelType w:val="multilevel"/>
    <w:tmpl w:val="F7260BA8"/>
    <w:lvl w:ilvl="0">
      <w:start w:val="4"/>
      <w:numFmt w:val="lowerLetter"/>
      <w:lvlText w:val="%1."/>
      <w:lvlJc w:val="left"/>
      <w:pPr>
        <w:tabs>
          <w:tab w:val="num" w:pos="1080"/>
        </w:tabs>
        <w:ind w:left="1080" w:hanging="360"/>
      </w:pPr>
      <w:rPr>
        <w:rFonts w:hint="default"/>
        <w:b/>
        <w:bCs/>
      </w:rPr>
    </w:lvl>
    <w:lvl w:ilvl="1">
      <w:start w:val="4"/>
      <w:numFmt w:val="lowerLetter"/>
      <w:lvlText w:val="%2."/>
      <w:lvlJc w:val="left"/>
      <w:pPr>
        <w:tabs>
          <w:tab w:val="num" w:pos="1800"/>
        </w:tabs>
        <w:ind w:left="1800" w:hanging="360"/>
      </w:pPr>
      <w:rPr>
        <w:rFonts w:hint="default"/>
      </w:rPr>
    </w:lvl>
    <w:lvl w:ilvl="2">
      <w:start w:val="4"/>
      <w:numFmt w:val="lowerLetter"/>
      <w:lvlText w:val="%3."/>
      <w:lvlJc w:val="left"/>
      <w:pPr>
        <w:tabs>
          <w:tab w:val="num" w:pos="2520"/>
        </w:tabs>
        <w:ind w:left="2520" w:hanging="360"/>
      </w:pPr>
      <w:rPr>
        <w:rFonts w:hint="default"/>
      </w:rPr>
    </w:lvl>
    <w:lvl w:ilvl="3">
      <w:start w:val="1"/>
      <w:numFmt w:val="lowerLetter"/>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Letter"/>
      <w:lvlText w:val="%6."/>
      <w:lvlJc w:val="left"/>
      <w:pPr>
        <w:tabs>
          <w:tab w:val="num" w:pos="4680"/>
        </w:tabs>
        <w:ind w:left="4680" w:hanging="360"/>
      </w:pPr>
      <w:rPr>
        <w:rFonts w:hint="default"/>
      </w:rPr>
    </w:lvl>
    <w:lvl w:ilvl="6">
      <w:start w:val="1"/>
      <w:numFmt w:val="lowerLetter"/>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Letter"/>
      <w:lvlText w:val="%9."/>
      <w:lvlJc w:val="left"/>
      <w:pPr>
        <w:tabs>
          <w:tab w:val="num" w:pos="6840"/>
        </w:tabs>
        <w:ind w:left="6840" w:hanging="360"/>
      </w:pPr>
      <w:rPr>
        <w:rFonts w:hint="default"/>
      </w:rPr>
    </w:lvl>
  </w:abstractNum>
  <w:abstractNum w:abstractNumId="12" w15:restartNumberingAfterBreak="0">
    <w:nsid w:val="285F0273"/>
    <w:multiLevelType w:val="hybridMultilevel"/>
    <w:tmpl w:val="E7C87964"/>
    <w:lvl w:ilvl="0" w:tplc="62A86664">
      <w:start w:val="1"/>
      <w:numFmt w:val="lowerRoman"/>
      <w:lvlText w:val="%1."/>
      <w:lvlJc w:val="right"/>
      <w:pPr>
        <w:ind w:left="3240" w:hanging="360"/>
      </w:pPr>
      <w:rPr>
        <w:rFonts w:ascii="Tahoma" w:hAnsi="Tahoma" w:cs="Tahoma"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3" w15:restartNumberingAfterBreak="0">
    <w:nsid w:val="29623D34"/>
    <w:multiLevelType w:val="hybridMultilevel"/>
    <w:tmpl w:val="768416D6"/>
    <w:lvl w:ilvl="0" w:tplc="04581C86">
      <w:start w:val="4"/>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4A0B8B"/>
    <w:multiLevelType w:val="hybridMultilevel"/>
    <w:tmpl w:val="2784512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2C090D8F"/>
    <w:multiLevelType w:val="hybridMultilevel"/>
    <w:tmpl w:val="9FEED6B2"/>
    <w:lvl w:ilvl="0" w:tplc="DAAC9F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C2701AB"/>
    <w:multiLevelType w:val="hybridMultilevel"/>
    <w:tmpl w:val="F104C7C2"/>
    <w:lvl w:ilvl="0" w:tplc="04090001">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6569A5"/>
    <w:multiLevelType w:val="hybridMultilevel"/>
    <w:tmpl w:val="3CA02202"/>
    <w:lvl w:ilvl="0" w:tplc="2130B194">
      <w:start w:val="1"/>
      <w:numFmt w:val="lowerLetter"/>
      <w:lvlText w:val="%1."/>
      <w:lvlJc w:val="left"/>
      <w:pPr>
        <w:ind w:left="1440" w:hanging="360"/>
      </w:pPr>
      <w:rPr>
        <w:b w:val="0"/>
      </w:rPr>
    </w:lvl>
    <w:lvl w:ilvl="1" w:tplc="5F0A9454">
      <w:start w:val="1"/>
      <w:numFmt w:val="decimal"/>
      <w:lvlText w:val="%2)"/>
      <w:lvlJc w:val="left"/>
      <w:pPr>
        <w:ind w:left="2160" w:hanging="360"/>
      </w:pPr>
      <w:rPr>
        <w:b w:val="0"/>
        <w:strike w:val="0"/>
      </w:rPr>
    </w:lvl>
    <w:lvl w:ilvl="2" w:tplc="04090015">
      <w:start w:val="1"/>
      <w:numFmt w:val="upperLetter"/>
      <w:lvlText w:val="%3."/>
      <w:lvlJc w:val="left"/>
      <w:pPr>
        <w:ind w:left="2250" w:hanging="36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FD42697"/>
    <w:multiLevelType w:val="hybridMultilevel"/>
    <w:tmpl w:val="5F828D12"/>
    <w:lvl w:ilvl="0" w:tplc="002E31C2">
      <w:start w:val="2"/>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0F61226"/>
    <w:multiLevelType w:val="hybridMultilevel"/>
    <w:tmpl w:val="EE5CC9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6EF214C"/>
    <w:multiLevelType w:val="hybridMultilevel"/>
    <w:tmpl w:val="D8ACBB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3271C9"/>
    <w:multiLevelType w:val="hybridMultilevel"/>
    <w:tmpl w:val="63343236"/>
    <w:lvl w:ilvl="0" w:tplc="A6AA592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22206E"/>
    <w:multiLevelType w:val="multilevel"/>
    <w:tmpl w:val="BB5E8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AA331F"/>
    <w:multiLevelType w:val="multilevel"/>
    <w:tmpl w:val="B6DA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47C0B3F"/>
    <w:multiLevelType w:val="hybridMultilevel"/>
    <w:tmpl w:val="E74CD7D8"/>
    <w:lvl w:ilvl="0" w:tplc="19EE1F94">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5F20F2A"/>
    <w:multiLevelType w:val="hybridMultilevel"/>
    <w:tmpl w:val="651A21E0"/>
    <w:lvl w:ilvl="0" w:tplc="417C8B52">
      <w:start w:val="6"/>
      <w:numFmt w:val="decimal"/>
      <w:lvlText w:val="%1."/>
      <w:lvlJc w:val="left"/>
      <w:pPr>
        <w:ind w:left="1440" w:hanging="360"/>
      </w:pPr>
      <w:rPr>
        <w:rFonts w:hint="default"/>
      </w:r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7C353CB"/>
    <w:multiLevelType w:val="hybridMultilevel"/>
    <w:tmpl w:val="C0DEA8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8D37D02"/>
    <w:multiLevelType w:val="hybridMultilevel"/>
    <w:tmpl w:val="7E98F17A"/>
    <w:lvl w:ilvl="0" w:tplc="FFFFFFFF">
      <w:start w:val="1"/>
      <w:numFmt w:val="lowerLetter"/>
      <w:lvlText w:val="%1."/>
      <w:lvlJc w:val="left"/>
      <w:pPr>
        <w:ind w:left="1440" w:hanging="360"/>
      </w:pPr>
      <w:rPr>
        <w:b w:val="0"/>
      </w:rPr>
    </w:lvl>
    <w:lvl w:ilvl="1" w:tplc="0409001B">
      <w:start w:val="1"/>
      <w:numFmt w:val="lowerRoman"/>
      <w:lvlText w:val="%2."/>
      <w:lvlJc w:val="right"/>
      <w:pPr>
        <w:ind w:left="2880" w:hanging="360"/>
      </w:pPr>
    </w:lvl>
    <w:lvl w:ilvl="2" w:tplc="FFFFFFFF">
      <w:start w:val="1"/>
      <w:numFmt w:val="upperLetter"/>
      <w:lvlText w:val="%3."/>
      <w:lvlJc w:val="left"/>
      <w:pPr>
        <w:ind w:left="2250" w:hanging="360"/>
      </w:pPr>
      <w:rPr>
        <w:rFonts w:hint="default"/>
      </w:rPr>
    </w:lvl>
    <w:lvl w:ilvl="3" w:tplc="FFFFFFFF">
      <w:start w:val="1"/>
      <w:numFmt w:val="bullet"/>
      <w:lvlText w:val=""/>
      <w:lvlJc w:val="left"/>
      <w:pPr>
        <w:ind w:left="3600" w:hanging="360"/>
      </w:pPr>
      <w:rPr>
        <w:rFonts w:ascii="Symbol" w:hAnsi="Symbol" w:hint="default"/>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4E5C7616"/>
    <w:multiLevelType w:val="hybridMultilevel"/>
    <w:tmpl w:val="051EBA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FF4109E"/>
    <w:multiLevelType w:val="hybridMultilevel"/>
    <w:tmpl w:val="518E4EF4"/>
    <w:lvl w:ilvl="0" w:tplc="6C56BF28">
      <w:start w:val="9"/>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683B3D"/>
    <w:multiLevelType w:val="hybridMultilevel"/>
    <w:tmpl w:val="C6984F90"/>
    <w:lvl w:ilvl="0" w:tplc="9B9AE4FA">
      <w:start w:val="9"/>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B80C40"/>
    <w:multiLevelType w:val="hybridMultilevel"/>
    <w:tmpl w:val="F5F6A29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58AF6BF0"/>
    <w:multiLevelType w:val="hybridMultilevel"/>
    <w:tmpl w:val="67D283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176566"/>
    <w:multiLevelType w:val="hybridMultilevel"/>
    <w:tmpl w:val="79948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562102"/>
    <w:multiLevelType w:val="hybridMultilevel"/>
    <w:tmpl w:val="3288F1FC"/>
    <w:lvl w:ilvl="0" w:tplc="F5FEA210">
      <w:start w:val="1"/>
      <w:numFmt w:val="lowerLetter"/>
      <w:lvlText w:val="%1."/>
      <w:lvlJc w:val="left"/>
      <w:pPr>
        <w:ind w:left="0" w:hanging="360"/>
      </w:pPr>
      <w:rPr>
        <w:rFonts w:hint="default"/>
        <w:b w:val="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5" w15:restartNumberingAfterBreak="0">
    <w:nsid w:val="64765671"/>
    <w:multiLevelType w:val="hybridMultilevel"/>
    <w:tmpl w:val="D2222120"/>
    <w:lvl w:ilvl="0" w:tplc="8C6EC9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80563CA"/>
    <w:multiLevelType w:val="multilevel"/>
    <w:tmpl w:val="93EAF090"/>
    <w:lvl w:ilvl="0">
      <w:start w:val="1"/>
      <w:numFmt w:val="upperLetter"/>
      <w:lvlText w:val="%1."/>
      <w:lvlJc w:val="left"/>
      <w:pPr>
        <w:ind w:left="720" w:hanging="360"/>
      </w:pPr>
      <w:rPr>
        <w:rFonts w:hint="default"/>
        <w:b w:val="0"/>
      </w:rPr>
    </w:lvl>
    <w:lvl w:ilvl="1">
      <w:start w:val="1"/>
      <w:numFmt w:val="lowerLetter"/>
      <w:lvlText w:val="%2."/>
      <w:lvlJc w:val="left"/>
      <w:pPr>
        <w:ind w:left="1080" w:hanging="360"/>
      </w:pPr>
      <w:rPr>
        <w:rFonts w:hint="default"/>
        <w:b w:val="0"/>
        <w:i w:val="0"/>
      </w:rPr>
    </w:lvl>
    <w:lvl w:ilvl="2">
      <w:start w:val="1"/>
      <w:numFmt w:val="lowerLetter"/>
      <w:lvlText w:val="%3."/>
      <w:lvlJc w:val="right"/>
      <w:pPr>
        <w:ind w:left="1440" w:hanging="360"/>
      </w:pPr>
      <w:rPr>
        <w:rFonts w:hint="default"/>
      </w:rPr>
    </w:lvl>
    <w:lvl w:ilvl="3">
      <w:start w:val="1"/>
      <w:numFmt w:val="lowerRoman"/>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4500" w:hanging="360"/>
      </w:pPr>
      <w:rPr>
        <w:rFonts w:ascii="Tahoma" w:hAnsi="Tahoma" w:cs="Tahoma" w:hint="default"/>
        <w:sz w:val="24"/>
        <w:szCs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8316AAF"/>
    <w:multiLevelType w:val="hybridMultilevel"/>
    <w:tmpl w:val="687E41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3DB7467"/>
    <w:multiLevelType w:val="hybridMultilevel"/>
    <w:tmpl w:val="A964D57C"/>
    <w:lvl w:ilvl="0" w:tplc="27E86430">
      <w:start w:val="2"/>
      <w:numFmt w:val="lowerRoman"/>
      <w:lvlText w:val="%1."/>
      <w:lvlJc w:val="right"/>
      <w:pPr>
        <w:ind w:left="1440" w:hanging="360"/>
      </w:pPr>
      <w:rPr>
        <w:rFonts w:hint="default"/>
        <w:b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9" w15:restartNumberingAfterBreak="0">
    <w:nsid w:val="76380BFA"/>
    <w:multiLevelType w:val="hybridMultilevel"/>
    <w:tmpl w:val="687E41E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77AD762D"/>
    <w:multiLevelType w:val="hybridMultilevel"/>
    <w:tmpl w:val="E9502250"/>
    <w:lvl w:ilvl="0" w:tplc="10CEEFD6">
      <w:start w:val="15"/>
      <w:numFmt w:val="decimal"/>
      <w:lvlText w:val="%1."/>
      <w:lvlJc w:val="left"/>
      <w:pPr>
        <w:ind w:left="1512" w:hanging="432"/>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CB2882"/>
    <w:multiLevelType w:val="hybridMultilevel"/>
    <w:tmpl w:val="74C2C174"/>
    <w:lvl w:ilvl="0" w:tplc="B9E4CF14">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E76D50"/>
    <w:multiLevelType w:val="hybridMultilevel"/>
    <w:tmpl w:val="87E4AF5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8845048">
    <w:abstractNumId w:val="28"/>
  </w:num>
  <w:num w:numId="2" w16cid:durableId="1642884978">
    <w:abstractNumId w:val="24"/>
  </w:num>
  <w:num w:numId="3" w16cid:durableId="621424096">
    <w:abstractNumId w:val="8"/>
  </w:num>
  <w:num w:numId="4" w16cid:durableId="1278104474">
    <w:abstractNumId w:val="42"/>
  </w:num>
  <w:num w:numId="5" w16cid:durableId="2130855339">
    <w:abstractNumId w:val="37"/>
  </w:num>
  <w:num w:numId="6" w16cid:durableId="446892252">
    <w:abstractNumId w:val="11"/>
  </w:num>
  <w:num w:numId="7" w16cid:durableId="149292626">
    <w:abstractNumId w:val="10"/>
  </w:num>
  <w:num w:numId="8" w16cid:durableId="314337568">
    <w:abstractNumId w:val="7"/>
  </w:num>
  <w:num w:numId="9" w16cid:durableId="2104258113">
    <w:abstractNumId w:val="38"/>
  </w:num>
  <w:num w:numId="10" w16cid:durableId="850022999">
    <w:abstractNumId w:val="20"/>
  </w:num>
  <w:num w:numId="11" w16cid:durableId="1293973762">
    <w:abstractNumId w:val="6"/>
  </w:num>
  <w:num w:numId="12" w16cid:durableId="1862087584">
    <w:abstractNumId w:val="16"/>
  </w:num>
  <w:num w:numId="13" w16cid:durableId="1434744100">
    <w:abstractNumId w:val="21"/>
  </w:num>
  <w:num w:numId="14" w16cid:durableId="1056470891">
    <w:abstractNumId w:val="9"/>
  </w:num>
  <w:num w:numId="15" w16cid:durableId="1432821712">
    <w:abstractNumId w:val="34"/>
  </w:num>
  <w:num w:numId="16" w16cid:durableId="1554733316">
    <w:abstractNumId w:val="13"/>
  </w:num>
  <w:num w:numId="17" w16cid:durableId="179007202">
    <w:abstractNumId w:val="32"/>
  </w:num>
  <w:num w:numId="18" w16cid:durableId="84196707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7614064">
    <w:abstractNumId w:val="3"/>
  </w:num>
  <w:num w:numId="20" w16cid:durableId="654064370">
    <w:abstractNumId w:val="39"/>
  </w:num>
  <w:num w:numId="21" w16cid:durableId="906113705">
    <w:abstractNumId w:val="18"/>
  </w:num>
  <w:num w:numId="22" w16cid:durableId="1663535">
    <w:abstractNumId w:val="2"/>
  </w:num>
  <w:num w:numId="23" w16cid:durableId="649099242">
    <w:abstractNumId w:val="4"/>
  </w:num>
  <w:num w:numId="24" w16cid:durableId="1229997213">
    <w:abstractNumId w:val="40"/>
  </w:num>
  <w:num w:numId="25" w16cid:durableId="1552419868">
    <w:abstractNumId w:val="35"/>
  </w:num>
  <w:num w:numId="26" w16cid:durableId="2029746485">
    <w:abstractNumId w:val="5"/>
  </w:num>
  <w:num w:numId="27" w16cid:durableId="1682311915">
    <w:abstractNumId w:val="41"/>
  </w:num>
  <w:num w:numId="28" w16cid:durableId="1113282204">
    <w:abstractNumId w:val="15"/>
  </w:num>
  <w:num w:numId="29" w16cid:durableId="1165245682">
    <w:abstractNumId w:val="26"/>
  </w:num>
  <w:num w:numId="30" w16cid:durableId="191722775">
    <w:abstractNumId w:val="27"/>
  </w:num>
  <w:num w:numId="31" w16cid:durableId="79065717">
    <w:abstractNumId w:val="31"/>
  </w:num>
  <w:num w:numId="32" w16cid:durableId="1643149288">
    <w:abstractNumId w:val="25"/>
  </w:num>
  <w:num w:numId="33" w16cid:durableId="338965589">
    <w:abstractNumId w:val="33"/>
  </w:num>
  <w:num w:numId="34" w16cid:durableId="1148785204">
    <w:abstractNumId w:val="17"/>
  </w:num>
  <w:num w:numId="35" w16cid:durableId="834995770">
    <w:abstractNumId w:val="12"/>
  </w:num>
  <w:num w:numId="36" w16cid:durableId="235286359">
    <w:abstractNumId w:val="29"/>
  </w:num>
  <w:num w:numId="37" w16cid:durableId="2061516325">
    <w:abstractNumId w:val="30"/>
  </w:num>
  <w:num w:numId="38" w16cid:durableId="2781295">
    <w:abstractNumId w:val="36"/>
  </w:num>
  <w:num w:numId="39" w16cid:durableId="504440660">
    <w:abstractNumId w:val="23"/>
  </w:num>
  <w:num w:numId="40" w16cid:durableId="2021547323">
    <w:abstractNumId w:val="22"/>
  </w:num>
  <w:num w:numId="41" w16cid:durableId="1201741821">
    <w:abstractNumId w:val="0"/>
  </w:num>
  <w:num w:numId="42" w16cid:durableId="1188451334">
    <w:abstractNumId w:val="19"/>
  </w:num>
  <w:num w:numId="43" w16cid:durableId="1232424117">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yNjIxMDA0NjOwNDVU0lEKTi0uzszPAykwrAUA5DMOLSwAAAA="/>
  </w:docVars>
  <w:rsids>
    <w:rsidRoot w:val="00F86D2B"/>
    <w:rsid w:val="0000028A"/>
    <w:rsid w:val="000028DD"/>
    <w:rsid w:val="00003900"/>
    <w:rsid w:val="00003CFA"/>
    <w:rsid w:val="00005579"/>
    <w:rsid w:val="00005D84"/>
    <w:rsid w:val="00005DA1"/>
    <w:rsid w:val="000063B5"/>
    <w:rsid w:val="00006CBE"/>
    <w:rsid w:val="000073B8"/>
    <w:rsid w:val="00007C86"/>
    <w:rsid w:val="00011456"/>
    <w:rsid w:val="00012767"/>
    <w:rsid w:val="00013BAA"/>
    <w:rsid w:val="00013BB8"/>
    <w:rsid w:val="0001408A"/>
    <w:rsid w:val="00015969"/>
    <w:rsid w:val="000172D2"/>
    <w:rsid w:val="00017C73"/>
    <w:rsid w:val="00020457"/>
    <w:rsid w:val="0002369F"/>
    <w:rsid w:val="00024043"/>
    <w:rsid w:val="00027125"/>
    <w:rsid w:val="00033827"/>
    <w:rsid w:val="00035AA7"/>
    <w:rsid w:val="00035D03"/>
    <w:rsid w:val="00035DE2"/>
    <w:rsid w:val="00037F66"/>
    <w:rsid w:val="000442AD"/>
    <w:rsid w:val="00046233"/>
    <w:rsid w:val="0004705B"/>
    <w:rsid w:val="0004705D"/>
    <w:rsid w:val="00047FB7"/>
    <w:rsid w:val="00050E1B"/>
    <w:rsid w:val="000510AC"/>
    <w:rsid w:val="00053E9D"/>
    <w:rsid w:val="000557AC"/>
    <w:rsid w:val="00057AB2"/>
    <w:rsid w:val="00060591"/>
    <w:rsid w:val="00060A6F"/>
    <w:rsid w:val="000611BE"/>
    <w:rsid w:val="0006377F"/>
    <w:rsid w:val="00063941"/>
    <w:rsid w:val="00063B9D"/>
    <w:rsid w:val="000653A6"/>
    <w:rsid w:val="00066161"/>
    <w:rsid w:val="00067503"/>
    <w:rsid w:val="000677AE"/>
    <w:rsid w:val="0007042E"/>
    <w:rsid w:val="000705C3"/>
    <w:rsid w:val="00071316"/>
    <w:rsid w:val="00071594"/>
    <w:rsid w:val="000728DA"/>
    <w:rsid w:val="00074A45"/>
    <w:rsid w:val="00074E58"/>
    <w:rsid w:val="00076083"/>
    <w:rsid w:val="00081864"/>
    <w:rsid w:val="00082D36"/>
    <w:rsid w:val="00084005"/>
    <w:rsid w:val="0009064B"/>
    <w:rsid w:val="000909F6"/>
    <w:rsid w:val="00091227"/>
    <w:rsid w:val="000914DE"/>
    <w:rsid w:val="000922CE"/>
    <w:rsid w:val="00092DF0"/>
    <w:rsid w:val="000930AE"/>
    <w:rsid w:val="00093184"/>
    <w:rsid w:val="000963E8"/>
    <w:rsid w:val="0009684A"/>
    <w:rsid w:val="00096A8B"/>
    <w:rsid w:val="0009741A"/>
    <w:rsid w:val="00097BFF"/>
    <w:rsid w:val="000A0FA4"/>
    <w:rsid w:val="000A133D"/>
    <w:rsid w:val="000A2B9D"/>
    <w:rsid w:val="000A560E"/>
    <w:rsid w:val="000A6CE7"/>
    <w:rsid w:val="000B06C0"/>
    <w:rsid w:val="000B2D17"/>
    <w:rsid w:val="000B2DF5"/>
    <w:rsid w:val="000B39C3"/>
    <w:rsid w:val="000B3A58"/>
    <w:rsid w:val="000B6ADA"/>
    <w:rsid w:val="000B71AD"/>
    <w:rsid w:val="000C16AE"/>
    <w:rsid w:val="000C1A7F"/>
    <w:rsid w:val="000C2B73"/>
    <w:rsid w:val="000C69AF"/>
    <w:rsid w:val="000D2DA7"/>
    <w:rsid w:val="000D4A7B"/>
    <w:rsid w:val="000D50E3"/>
    <w:rsid w:val="000D53E1"/>
    <w:rsid w:val="000D6791"/>
    <w:rsid w:val="000D79C3"/>
    <w:rsid w:val="000E01FA"/>
    <w:rsid w:val="000E0A56"/>
    <w:rsid w:val="000E1B44"/>
    <w:rsid w:val="000E31D6"/>
    <w:rsid w:val="000E378B"/>
    <w:rsid w:val="000E433B"/>
    <w:rsid w:val="000E6CD9"/>
    <w:rsid w:val="000F0D5B"/>
    <w:rsid w:val="000F3E5F"/>
    <w:rsid w:val="000F57C6"/>
    <w:rsid w:val="000F5BE1"/>
    <w:rsid w:val="000F7242"/>
    <w:rsid w:val="00103791"/>
    <w:rsid w:val="00103C24"/>
    <w:rsid w:val="00104045"/>
    <w:rsid w:val="0010466C"/>
    <w:rsid w:val="00104E0A"/>
    <w:rsid w:val="00106742"/>
    <w:rsid w:val="00106C10"/>
    <w:rsid w:val="00113B54"/>
    <w:rsid w:val="001151E5"/>
    <w:rsid w:val="00117CB8"/>
    <w:rsid w:val="0012092F"/>
    <w:rsid w:val="00122045"/>
    <w:rsid w:val="00123E80"/>
    <w:rsid w:val="0012428F"/>
    <w:rsid w:val="00124FD9"/>
    <w:rsid w:val="001259D2"/>
    <w:rsid w:val="001261BE"/>
    <w:rsid w:val="00131C4D"/>
    <w:rsid w:val="0013208E"/>
    <w:rsid w:val="0013506C"/>
    <w:rsid w:val="00135B57"/>
    <w:rsid w:val="0013714A"/>
    <w:rsid w:val="00140123"/>
    <w:rsid w:val="0014043C"/>
    <w:rsid w:val="00142AD3"/>
    <w:rsid w:val="001448B6"/>
    <w:rsid w:val="001449AA"/>
    <w:rsid w:val="001457B1"/>
    <w:rsid w:val="00145B43"/>
    <w:rsid w:val="00146C62"/>
    <w:rsid w:val="0014731B"/>
    <w:rsid w:val="001477A0"/>
    <w:rsid w:val="0015411D"/>
    <w:rsid w:val="00157F88"/>
    <w:rsid w:val="00160236"/>
    <w:rsid w:val="0016033C"/>
    <w:rsid w:val="00162611"/>
    <w:rsid w:val="00163485"/>
    <w:rsid w:val="00164745"/>
    <w:rsid w:val="001665C7"/>
    <w:rsid w:val="00167654"/>
    <w:rsid w:val="001716C3"/>
    <w:rsid w:val="00174050"/>
    <w:rsid w:val="00174A2D"/>
    <w:rsid w:val="00174E34"/>
    <w:rsid w:val="00174F32"/>
    <w:rsid w:val="001760FE"/>
    <w:rsid w:val="00176A45"/>
    <w:rsid w:val="0018235D"/>
    <w:rsid w:val="00182A16"/>
    <w:rsid w:val="0018326B"/>
    <w:rsid w:val="00183BEA"/>
    <w:rsid w:val="0018506F"/>
    <w:rsid w:val="00185DF1"/>
    <w:rsid w:val="00185E8D"/>
    <w:rsid w:val="00187140"/>
    <w:rsid w:val="00187E1A"/>
    <w:rsid w:val="00190B05"/>
    <w:rsid w:val="00192A55"/>
    <w:rsid w:val="00193972"/>
    <w:rsid w:val="0019407E"/>
    <w:rsid w:val="00196F52"/>
    <w:rsid w:val="00197C74"/>
    <w:rsid w:val="001A2082"/>
    <w:rsid w:val="001A22CB"/>
    <w:rsid w:val="001A5B69"/>
    <w:rsid w:val="001A7C59"/>
    <w:rsid w:val="001A7FEC"/>
    <w:rsid w:val="001B0F25"/>
    <w:rsid w:val="001B1AB3"/>
    <w:rsid w:val="001B2889"/>
    <w:rsid w:val="001B2D6F"/>
    <w:rsid w:val="001C2F0B"/>
    <w:rsid w:val="001C3201"/>
    <w:rsid w:val="001C3CDA"/>
    <w:rsid w:val="001C4AE1"/>
    <w:rsid w:val="001C5631"/>
    <w:rsid w:val="001C605E"/>
    <w:rsid w:val="001C6A3B"/>
    <w:rsid w:val="001D1BAA"/>
    <w:rsid w:val="001D1DD0"/>
    <w:rsid w:val="001D48CF"/>
    <w:rsid w:val="001D4BCF"/>
    <w:rsid w:val="001D6C4D"/>
    <w:rsid w:val="001D6CF5"/>
    <w:rsid w:val="001E136C"/>
    <w:rsid w:val="001E4F81"/>
    <w:rsid w:val="001E73D1"/>
    <w:rsid w:val="001E7F6F"/>
    <w:rsid w:val="001F0E43"/>
    <w:rsid w:val="001F1FC1"/>
    <w:rsid w:val="001F2E2E"/>
    <w:rsid w:val="001F3152"/>
    <w:rsid w:val="001F478B"/>
    <w:rsid w:val="001F5214"/>
    <w:rsid w:val="001F62F3"/>
    <w:rsid w:val="001F6300"/>
    <w:rsid w:val="00203307"/>
    <w:rsid w:val="00203587"/>
    <w:rsid w:val="00204718"/>
    <w:rsid w:val="0020542A"/>
    <w:rsid w:val="00205D2C"/>
    <w:rsid w:val="00205D3F"/>
    <w:rsid w:val="0020648F"/>
    <w:rsid w:val="00206807"/>
    <w:rsid w:val="00206D7E"/>
    <w:rsid w:val="00210AD8"/>
    <w:rsid w:val="00210F3E"/>
    <w:rsid w:val="002121E7"/>
    <w:rsid w:val="002137AE"/>
    <w:rsid w:val="00213F82"/>
    <w:rsid w:val="002168C6"/>
    <w:rsid w:val="00216A85"/>
    <w:rsid w:val="002204FC"/>
    <w:rsid w:val="00220757"/>
    <w:rsid w:val="00221879"/>
    <w:rsid w:val="00221C82"/>
    <w:rsid w:val="00227C4F"/>
    <w:rsid w:val="00235167"/>
    <w:rsid w:val="00242B10"/>
    <w:rsid w:val="00242D2C"/>
    <w:rsid w:val="002462BF"/>
    <w:rsid w:val="002512E1"/>
    <w:rsid w:val="00252EA8"/>
    <w:rsid w:val="00255BCA"/>
    <w:rsid w:val="00256C04"/>
    <w:rsid w:val="00256FBB"/>
    <w:rsid w:val="002572D4"/>
    <w:rsid w:val="002577F3"/>
    <w:rsid w:val="00261A28"/>
    <w:rsid w:val="00262018"/>
    <w:rsid w:val="00262D0D"/>
    <w:rsid w:val="002636E7"/>
    <w:rsid w:val="0026385E"/>
    <w:rsid w:val="00264EA1"/>
    <w:rsid w:val="002652F2"/>
    <w:rsid w:val="00266739"/>
    <w:rsid w:val="002670B3"/>
    <w:rsid w:val="0026739C"/>
    <w:rsid w:val="002747CF"/>
    <w:rsid w:val="00274C4C"/>
    <w:rsid w:val="0027534D"/>
    <w:rsid w:val="00281BB0"/>
    <w:rsid w:val="002829DB"/>
    <w:rsid w:val="00282C20"/>
    <w:rsid w:val="002847A4"/>
    <w:rsid w:val="00286620"/>
    <w:rsid w:val="002879B4"/>
    <w:rsid w:val="00292E6D"/>
    <w:rsid w:val="00292F10"/>
    <w:rsid w:val="00293842"/>
    <w:rsid w:val="00294C1C"/>
    <w:rsid w:val="002977F8"/>
    <w:rsid w:val="002A1809"/>
    <w:rsid w:val="002A290C"/>
    <w:rsid w:val="002A2C80"/>
    <w:rsid w:val="002A312D"/>
    <w:rsid w:val="002A5E85"/>
    <w:rsid w:val="002A5F7A"/>
    <w:rsid w:val="002A6474"/>
    <w:rsid w:val="002B0A97"/>
    <w:rsid w:val="002B1D97"/>
    <w:rsid w:val="002B3D9A"/>
    <w:rsid w:val="002B4FE5"/>
    <w:rsid w:val="002B6615"/>
    <w:rsid w:val="002C3A9E"/>
    <w:rsid w:val="002C6259"/>
    <w:rsid w:val="002C7DA8"/>
    <w:rsid w:val="002D0ACB"/>
    <w:rsid w:val="002D11A5"/>
    <w:rsid w:val="002D3F4D"/>
    <w:rsid w:val="002D506D"/>
    <w:rsid w:val="002D5865"/>
    <w:rsid w:val="002D74C3"/>
    <w:rsid w:val="002E1315"/>
    <w:rsid w:val="002E34FB"/>
    <w:rsid w:val="002E5E7B"/>
    <w:rsid w:val="002E6E83"/>
    <w:rsid w:val="002F2B94"/>
    <w:rsid w:val="002F3357"/>
    <w:rsid w:val="00300FB1"/>
    <w:rsid w:val="00303130"/>
    <w:rsid w:val="0030410C"/>
    <w:rsid w:val="00305227"/>
    <w:rsid w:val="0030692B"/>
    <w:rsid w:val="00306AA9"/>
    <w:rsid w:val="00306C82"/>
    <w:rsid w:val="003077B7"/>
    <w:rsid w:val="00310A92"/>
    <w:rsid w:val="00311FCA"/>
    <w:rsid w:val="00313A53"/>
    <w:rsid w:val="00313B02"/>
    <w:rsid w:val="003142CC"/>
    <w:rsid w:val="0031556C"/>
    <w:rsid w:val="00315EC9"/>
    <w:rsid w:val="00316E0D"/>
    <w:rsid w:val="003172B7"/>
    <w:rsid w:val="00320836"/>
    <w:rsid w:val="00320AD2"/>
    <w:rsid w:val="00321832"/>
    <w:rsid w:val="00324568"/>
    <w:rsid w:val="003273DD"/>
    <w:rsid w:val="00331BA0"/>
    <w:rsid w:val="00332A3E"/>
    <w:rsid w:val="00333768"/>
    <w:rsid w:val="00335863"/>
    <w:rsid w:val="00337025"/>
    <w:rsid w:val="00340ABF"/>
    <w:rsid w:val="00344417"/>
    <w:rsid w:val="003468DD"/>
    <w:rsid w:val="00346B06"/>
    <w:rsid w:val="003526C5"/>
    <w:rsid w:val="00352EF2"/>
    <w:rsid w:val="00353981"/>
    <w:rsid w:val="00355865"/>
    <w:rsid w:val="00355CE1"/>
    <w:rsid w:val="00356CD7"/>
    <w:rsid w:val="00356F9C"/>
    <w:rsid w:val="00360BE0"/>
    <w:rsid w:val="00360ED1"/>
    <w:rsid w:val="003702FD"/>
    <w:rsid w:val="0037114C"/>
    <w:rsid w:val="003714BA"/>
    <w:rsid w:val="003729D0"/>
    <w:rsid w:val="00372C95"/>
    <w:rsid w:val="00373169"/>
    <w:rsid w:val="00374AF1"/>
    <w:rsid w:val="00375727"/>
    <w:rsid w:val="00375A65"/>
    <w:rsid w:val="00375F4A"/>
    <w:rsid w:val="0037614B"/>
    <w:rsid w:val="00376F8E"/>
    <w:rsid w:val="00377E7A"/>
    <w:rsid w:val="0038240B"/>
    <w:rsid w:val="00382D10"/>
    <w:rsid w:val="00387642"/>
    <w:rsid w:val="00390376"/>
    <w:rsid w:val="00390B6A"/>
    <w:rsid w:val="00391FC2"/>
    <w:rsid w:val="003938F1"/>
    <w:rsid w:val="00396780"/>
    <w:rsid w:val="00397367"/>
    <w:rsid w:val="003A0F89"/>
    <w:rsid w:val="003A14C0"/>
    <w:rsid w:val="003A1602"/>
    <w:rsid w:val="003A3A36"/>
    <w:rsid w:val="003A4749"/>
    <w:rsid w:val="003A605D"/>
    <w:rsid w:val="003A685E"/>
    <w:rsid w:val="003B0CF8"/>
    <w:rsid w:val="003B149F"/>
    <w:rsid w:val="003B2535"/>
    <w:rsid w:val="003B2D4A"/>
    <w:rsid w:val="003B39C4"/>
    <w:rsid w:val="003B4C06"/>
    <w:rsid w:val="003B787B"/>
    <w:rsid w:val="003C0B8E"/>
    <w:rsid w:val="003C19A2"/>
    <w:rsid w:val="003C337A"/>
    <w:rsid w:val="003C36DE"/>
    <w:rsid w:val="003C47B8"/>
    <w:rsid w:val="003C55A4"/>
    <w:rsid w:val="003C746B"/>
    <w:rsid w:val="003C767D"/>
    <w:rsid w:val="003C7B84"/>
    <w:rsid w:val="003D0C68"/>
    <w:rsid w:val="003D21A6"/>
    <w:rsid w:val="003D575C"/>
    <w:rsid w:val="003D5F92"/>
    <w:rsid w:val="003D738A"/>
    <w:rsid w:val="003E05A6"/>
    <w:rsid w:val="003E05D1"/>
    <w:rsid w:val="003E0914"/>
    <w:rsid w:val="003E0AD6"/>
    <w:rsid w:val="003E0D2D"/>
    <w:rsid w:val="003E2A5D"/>
    <w:rsid w:val="003E3CF9"/>
    <w:rsid w:val="003E404D"/>
    <w:rsid w:val="003E404F"/>
    <w:rsid w:val="003E524B"/>
    <w:rsid w:val="003E7824"/>
    <w:rsid w:val="003F0224"/>
    <w:rsid w:val="003F037E"/>
    <w:rsid w:val="003F0F25"/>
    <w:rsid w:val="003F1FDC"/>
    <w:rsid w:val="003F3137"/>
    <w:rsid w:val="003F3ABD"/>
    <w:rsid w:val="003F3B07"/>
    <w:rsid w:val="003F3D3C"/>
    <w:rsid w:val="003F62A8"/>
    <w:rsid w:val="003F6DB4"/>
    <w:rsid w:val="003F6FD8"/>
    <w:rsid w:val="00400838"/>
    <w:rsid w:val="00403DAB"/>
    <w:rsid w:val="00405296"/>
    <w:rsid w:val="004073D3"/>
    <w:rsid w:val="004076CF"/>
    <w:rsid w:val="004104AF"/>
    <w:rsid w:val="00410AC7"/>
    <w:rsid w:val="004140C9"/>
    <w:rsid w:val="00414EAF"/>
    <w:rsid w:val="00415DE9"/>
    <w:rsid w:val="00416213"/>
    <w:rsid w:val="00416ABE"/>
    <w:rsid w:val="00422DA7"/>
    <w:rsid w:val="004276CE"/>
    <w:rsid w:val="00427DF2"/>
    <w:rsid w:val="00430859"/>
    <w:rsid w:val="004318AF"/>
    <w:rsid w:val="00432FB1"/>
    <w:rsid w:val="00433228"/>
    <w:rsid w:val="00434A01"/>
    <w:rsid w:val="00435278"/>
    <w:rsid w:val="00435553"/>
    <w:rsid w:val="00436340"/>
    <w:rsid w:val="004379A5"/>
    <w:rsid w:val="00437D5F"/>
    <w:rsid w:val="004449F1"/>
    <w:rsid w:val="00445151"/>
    <w:rsid w:val="00445F8E"/>
    <w:rsid w:val="004504D5"/>
    <w:rsid w:val="00450CEE"/>
    <w:rsid w:val="00451977"/>
    <w:rsid w:val="00452103"/>
    <w:rsid w:val="00452815"/>
    <w:rsid w:val="00455EAE"/>
    <w:rsid w:val="00456FB3"/>
    <w:rsid w:val="0045786A"/>
    <w:rsid w:val="0046003A"/>
    <w:rsid w:val="00463011"/>
    <w:rsid w:val="00463B37"/>
    <w:rsid w:val="00464C7B"/>
    <w:rsid w:val="00465F9A"/>
    <w:rsid w:val="00467AE7"/>
    <w:rsid w:val="00470C12"/>
    <w:rsid w:val="00470EF0"/>
    <w:rsid w:val="00471C5A"/>
    <w:rsid w:val="00472C70"/>
    <w:rsid w:val="00474F40"/>
    <w:rsid w:val="00475B35"/>
    <w:rsid w:val="004772EB"/>
    <w:rsid w:val="0048178F"/>
    <w:rsid w:val="00481B8A"/>
    <w:rsid w:val="00483F19"/>
    <w:rsid w:val="00483F3B"/>
    <w:rsid w:val="004848CD"/>
    <w:rsid w:val="0048657F"/>
    <w:rsid w:val="00490F96"/>
    <w:rsid w:val="00491630"/>
    <w:rsid w:val="00493781"/>
    <w:rsid w:val="0049454E"/>
    <w:rsid w:val="00495D9E"/>
    <w:rsid w:val="00496116"/>
    <w:rsid w:val="004965B0"/>
    <w:rsid w:val="0049713B"/>
    <w:rsid w:val="004977A8"/>
    <w:rsid w:val="004A0E02"/>
    <w:rsid w:val="004A1AAA"/>
    <w:rsid w:val="004A316B"/>
    <w:rsid w:val="004A3C3C"/>
    <w:rsid w:val="004A3FE3"/>
    <w:rsid w:val="004A45E3"/>
    <w:rsid w:val="004A4C18"/>
    <w:rsid w:val="004A69AA"/>
    <w:rsid w:val="004B2C25"/>
    <w:rsid w:val="004B4281"/>
    <w:rsid w:val="004B5391"/>
    <w:rsid w:val="004B58FE"/>
    <w:rsid w:val="004C2F0F"/>
    <w:rsid w:val="004C666C"/>
    <w:rsid w:val="004D0158"/>
    <w:rsid w:val="004D0F8C"/>
    <w:rsid w:val="004D128F"/>
    <w:rsid w:val="004D3251"/>
    <w:rsid w:val="004D5823"/>
    <w:rsid w:val="004E0805"/>
    <w:rsid w:val="004E1EA3"/>
    <w:rsid w:val="004E2159"/>
    <w:rsid w:val="004E45E3"/>
    <w:rsid w:val="004E64D2"/>
    <w:rsid w:val="004E72B5"/>
    <w:rsid w:val="004EEFCF"/>
    <w:rsid w:val="004F0C72"/>
    <w:rsid w:val="004F14FE"/>
    <w:rsid w:val="004F1541"/>
    <w:rsid w:val="004F2BCA"/>
    <w:rsid w:val="004F477F"/>
    <w:rsid w:val="004F5603"/>
    <w:rsid w:val="004F6969"/>
    <w:rsid w:val="004F76BA"/>
    <w:rsid w:val="00500234"/>
    <w:rsid w:val="0050279B"/>
    <w:rsid w:val="00503C6B"/>
    <w:rsid w:val="00505C2A"/>
    <w:rsid w:val="00505F62"/>
    <w:rsid w:val="0050729E"/>
    <w:rsid w:val="00507795"/>
    <w:rsid w:val="005100D5"/>
    <w:rsid w:val="00511D19"/>
    <w:rsid w:val="00511F4E"/>
    <w:rsid w:val="00512A41"/>
    <w:rsid w:val="00513978"/>
    <w:rsid w:val="00514143"/>
    <w:rsid w:val="00515618"/>
    <w:rsid w:val="00515927"/>
    <w:rsid w:val="00515A05"/>
    <w:rsid w:val="005201E6"/>
    <w:rsid w:val="00524EA9"/>
    <w:rsid w:val="005256ED"/>
    <w:rsid w:val="00525E2C"/>
    <w:rsid w:val="00527817"/>
    <w:rsid w:val="00530087"/>
    <w:rsid w:val="005307F4"/>
    <w:rsid w:val="00530F97"/>
    <w:rsid w:val="00532B97"/>
    <w:rsid w:val="00534797"/>
    <w:rsid w:val="0053616E"/>
    <w:rsid w:val="00536616"/>
    <w:rsid w:val="0054094D"/>
    <w:rsid w:val="00541330"/>
    <w:rsid w:val="00541DB3"/>
    <w:rsid w:val="005427D3"/>
    <w:rsid w:val="00544461"/>
    <w:rsid w:val="00544677"/>
    <w:rsid w:val="00544845"/>
    <w:rsid w:val="005454B5"/>
    <w:rsid w:val="00545635"/>
    <w:rsid w:val="00546140"/>
    <w:rsid w:val="00546779"/>
    <w:rsid w:val="00547FB1"/>
    <w:rsid w:val="005504D3"/>
    <w:rsid w:val="00551452"/>
    <w:rsid w:val="00552BB9"/>
    <w:rsid w:val="00554C47"/>
    <w:rsid w:val="00555607"/>
    <w:rsid w:val="00555FC3"/>
    <w:rsid w:val="005561A1"/>
    <w:rsid w:val="005568CA"/>
    <w:rsid w:val="0055692E"/>
    <w:rsid w:val="005573C8"/>
    <w:rsid w:val="00557984"/>
    <w:rsid w:val="00557BC9"/>
    <w:rsid w:val="005608A7"/>
    <w:rsid w:val="005615F4"/>
    <w:rsid w:val="00561990"/>
    <w:rsid w:val="005631B1"/>
    <w:rsid w:val="00566D9C"/>
    <w:rsid w:val="00572577"/>
    <w:rsid w:val="00573655"/>
    <w:rsid w:val="005738B6"/>
    <w:rsid w:val="0057562D"/>
    <w:rsid w:val="005762CA"/>
    <w:rsid w:val="00577D95"/>
    <w:rsid w:val="00580EDD"/>
    <w:rsid w:val="0058138E"/>
    <w:rsid w:val="005826B3"/>
    <w:rsid w:val="0058395D"/>
    <w:rsid w:val="0058670A"/>
    <w:rsid w:val="005879A0"/>
    <w:rsid w:val="00592D80"/>
    <w:rsid w:val="00593743"/>
    <w:rsid w:val="0059473D"/>
    <w:rsid w:val="0059609D"/>
    <w:rsid w:val="00597734"/>
    <w:rsid w:val="005A062F"/>
    <w:rsid w:val="005A3623"/>
    <w:rsid w:val="005A378C"/>
    <w:rsid w:val="005A47F6"/>
    <w:rsid w:val="005A4B19"/>
    <w:rsid w:val="005B451E"/>
    <w:rsid w:val="005B5E51"/>
    <w:rsid w:val="005B61B8"/>
    <w:rsid w:val="005B645F"/>
    <w:rsid w:val="005B7609"/>
    <w:rsid w:val="005C2A35"/>
    <w:rsid w:val="005C2FA5"/>
    <w:rsid w:val="005C33FC"/>
    <w:rsid w:val="005C73E0"/>
    <w:rsid w:val="005D0398"/>
    <w:rsid w:val="005D1DB4"/>
    <w:rsid w:val="005D32E7"/>
    <w:rsid w:val="005D4EE4"/>
    <w:rsid w:val="005D57D4"/>
    <w:rsid w:val="005E1E2D"/>
    <w:rsid w:val="005E5713"/>
    <w:rsid w:val="005E5A04"/>
    <w:rsid w:val="005E62D0"/>
    <w:rsid w:val="005E6FA2"/>
    <w:rsid w:val="005F32CC"/>
    <w:rsid w:val="005F79FD"/>
    <w:rsid w:val="00601F17"/>
    <w:rsid w:val="006024EA"/>
    <w:rsid w:val="006025AA"/>
    <w:rsid w:val="00603E43"/>
    <w:rsid w:val="00606ED7"/>
    <w:rsid w:val="006115F8"/>
    <w:rsid w:val="00612AE0"/>
    <w:rsid w:val="006132E6"/>
    <w:rsid w:val="00614E46"/>
    <w:rsid w:val="006157EC"/>
    <w:rsid w:val="00615E32"/>
    <w:rsid w:val="006172CE"/>
    <w:rsid w:val="0062191B"/>
    <w:rsid w:val="006234CA"/>
    <w:rsid w:val="006241B1"/>
    <w:rsid w:val="00624429"/>
    <w:rsid w:val="0062485E"/>
    <w:rsid w:val="00625B2A"/>
    <w:rsid w:val="0062615E"/>
    <w:rsid w:val="00627607"/>
    <w:rsid w:val="00630520"/>
    <w:rsid w:val="006330B9"/>
    <w:rsid w:val="00640BB6"/>
    <w:rsid w:val="0064142B"/>
    <w:rsid w:val="00642441"/>
    <w:rsid w:val="00643061"/>
    <w:rsid w:val="0064392B"/>
    <w:rsid w:val="0064527B"/>
    <w:rsid w:val="00646CD2"/>
    <w:rsid w:val="0064776D"/>
    <w:rsid w:val="00647E92"/>
    <w:rsid w:val="0065002A"/>
    <w:rsid w:val="006507AC"/>
    <w:rsid w:val="006511D6"/>
    <w:rsid w:val="006525EE"/>
    <w:rsid w:val="00652888"/>
    <w:rsid w:val="0065465F"/>
    <w:rsid w:val="00654BE4"/>
    <w:rsid w:val="00656273"/>
    <w:rsid w:val="006575F3"/>
    <w:rsid w:val="00657D5A"/>
    <w:rsid w:val="00657F71"/>
    <w:rsid w:val="00661706"/>
    <w:rsid w:val="006621DF"/>
    <w:rsid w:val="00662548"/>
    <w:rsid w:val="00662A16"/>
    <w:rsid w:val="00663283"/>
    <w:rsid w:val="0067221B"/>
    <w:rsid w:val="00673BF4"/>
    <w:rsid w:val="00674D7D"/>
    <w:rsid w:val="006757C4"/>
    <w:rsid w:val="0067702F"/>
    <w:rsid w:val="00677E50"/>
    <w:rsid w:val="00680FC7"/>
    <w:rsid w:val="00681CAD"/>
    <w:rsid w:val="00684D65"/>
    <w:rsid w:val="00685F5C"/>
    <w:rsid w:val="00687606"/>
    <w:rsid w:val="00687B9F"/>
    <w:rsid w:val="00693454"/>
    <w:rsid w:val="006939D5"/>
    <w:rsid w:val="00693DDE"/>
    <w:rsid w:val="006972F9"/>
    <w:rsid w:val="00697408"/>
    <w:rsid w:val="00697746"/>
    <w:rsid w:val="006A0281"/>
    <w:rsid w:val="006A44A6"/>
    <w:rsid w:val="006A5696"/>
    <w:rsid w:val="006A57AF"/>
    <w:rsid w:val="006A5A55"/>
    <w:rsid w:val="006A700F"/>
    <w:rsid w:val="006A74A2"/>
    <w:rsid w:val="006B0329"/>
    <w:rsid w:val="006B135B"/>
    <w:rsid w:val="006B13F0"/>
    <w:rsid w:val="006B5394"/>
    <w:rsid w:val="006B74C6"/>
    <w:rsid w:val="006C0B9C"/>
    <w:rsid w:val="006C1977"/>
    <w:rsid w:val="006C3488"/>
    <w:rsid w:val="006C56EA"/>
    <w:rsid w:val="006C60D5"/>
    <w:rsid w:val="006C683F"/>
    <w:rsid w:val="006C7442"/>
    <w:rsid w:val="006D3827"/>
    <w:rsid w:val="006D4420"/>
    <w:rsid w:val="006D459B"/>
    <w:rsid w:val="006D498C"/>
    <w:rsid w:val="006D6734"/>
    <w:rsid w:val="006D6AD0"/>
    <w:rsid w:val="006D7163"/>
    <w:rsid w:val="006D7942"/>
    <w:rsid w:val="006E146A"/>
    <w:rsid w:val="006E232C"/>
    <w:rsid w:val="006E6B48"/>
    <w:rsid w:val="006F0229"/>
    <w:rsid w:val="006F1578"/>
    <w:rsid w:val="006F1B0E"/>
    <w:rsid w:val="006F6339"/>
    <w:rsid w:val="007032F3"/>
    <w:rsid w:val="0070468C"/>
    <w:rsid w:val="007046B1"/>
    <w:rsid w:val="007063FC"/>
    <w:rsid w:val="007079B2"/>
    <w:rsid w:val="00707AE0"/>
    <w:rsid w:val="007134AE"/>
    <w:rsid w:val="007157D3"/>
    <w:rsid w:val="00716C87"/>
    <w:rsid w:val="0072006A"/>
    <w:rsid w:val="007205AE"/>
    <w:rsid w:val="00720723"/>
    <w:rsid w:val="0072118B"/>
    <w:rsid w:val="007211FC"/>
    <w:rsid w:val="00731277"/>
    <w:rsid w:val="00731C4D"/>
    <w:rsid w:val="00732160"/>
    <w:rsid w:val="00732994"/>
    <w:rsid w:val="0073342D"/>
    <w:rsid w:val="007338F9"/>
    <w:rsid w:val="00734C5A"/>
    <w:rsid w:val="007350B5"/>
    <w:rsid w:val="00736F8A"/>
    <w:rsid w:val="0073776C"/>
    <w:rsid w:val="00743ADF"/>
    <w:rsid w:val="00744EE3"/>
    <w:rsid w:val="00745F00"/>
    <w:rsid w:val="00746790"/>
    <w:rsid w:val="007467BF"/>
    <w:rsid w:val="0074779B"/>
    <w:rsid w:val="00747BAC"/>
    <w:rsid w:val="007500C3"/>
    <w:rsid w:val="007504F1"/>
    <w:rsid w:val="00751C0F"/>
    <w:rsid w:val="00752F4B"/>
    <w:rsid w:val="00761F8B"/>
    <w:rsid w:val="00762BBF"/>
    <w:rsid w:val="00763547"/>
    <w:rsid w:val="00763870"/>
    <w:rsid w:val="00764102"/>
    <w:rsid w:val="0076420C"/>
    <w:rsid w:val="00764361"/>
    <w:rsid w:val="007668C2"/>
    <w:rsid w:val="0077041B"/>
    <w:rsid w:val="00772408"/>
    <w:rsid w:val="0077265A"/>
    <w:rsid w:val="0077301E"/>
    <w:rsid w:val="00774EA9"/>
    <w:rsid w:val="00777528"/>
    <w:rsid w:val="00777798"/>
    <w:rsid w:val="00777ACF"/>
    <w:rsid w:val="007804A0"/>
    <w:rsid w:val="0078154A"/>
    <w:rsid w:val="00781E8B"/>
    <w:rsid w:val="00782921"/>
    <w:rsid w:val="00783717"/>
    <w:rsid w:val="00784246"/>
    <w:rsid w:val="00787349"/>
    <w:rsid w:val="007900F2"/>
    <w:rsid w:val="0079120A"/>
    <w:rsid w:val="00791211"/>
    <w:rsid w:val="00791376"/>
    <w:rsid w:val="00793199"/>
    <w:rsid w:val="0079379C"/>
    <w:rsid w:val="00794224"/>
    <w:rsid w:val="00796B1D"/>
    <w:rsid w:val="007971BE"/>
    <w:rsid w:val="007A50D3"/>
    <w:rsid w:val="007A5DD3"/>
    <w:rsid w:val="007A7AAB"/>
    <w:rsid w:val="007A7DF0"/>
    <w:rsid w:val="007B235E"/>
    <w:rsid w:val="007B243B"/>
    <w:rsid w:val="007B314A"/>
    <w:rsid w:val="007B3CC9"/>
    <w:rsid w:val="007B3F87"/>
    <w:rsid w:val="007B5BAB"/>
    <w:rsid w:val="007C2815"/>
    <w:rsid w:val="007C2A3F"/>
    <w:rsid w:val="007C2DD3"/>
    <w:rsid w:val="007C3C42"/>
    <w:rsid w:val="007C5894"/>
    <w:rsid w:val="007C6C8A"/>
    <w:rsid w:val="007C795F"/>
    <w:rsid w:val="007D05C8"/>
    <w:rsid w:val="007D2ED3"/>
    <w:rsid w:val="007D3F58"/>
    <w:rsid w:val="007D545A"/>
    <w:rsid w:val="007D7DB4"/>
    <w:rsid w:val="007E18AE"/>
    <w:rsid w:val="007E1C46"/>
    <w:rsid w:val="007E4256"/>
    <w:rsid w:val="007E47D3"/>
    <w:rsid w:val="007E77CF"/>
    <w:rsid w:val="007E7A4E"/>
    <w:rsid w:val="007F0365"/>
    <w:rsid w:val="007F2BA5"/>
    <w:rsid w:val="007F36D3"/>
    <w:rsid w:val="007F5E9A"/>
    <w:rsid w:val="007F6063"/>
    <w:rsid w:val="007F7AA4"/>
    <w:rsid w:val="008008AA"/>
    <w:rsid w:val="00803029"/>
    <w:rsid w:val="00803E15"/>
    <w:rsid w:val="0080408D"/>
    <w:rsid w:val="0080478D"/>
    <w:rsid w:val="00804FCD"/>
    <w:rsid w:val="008055E1"/>
    <w:rsid w:val="00805AD3"/>
    <w:rsid w:val="00806195"/>
    <w:rsid w:val="0080669E"/>
    <w:rsid w:val="0080736B"/>
    <w:rsid w:val="00807BAD"/>
    <w:rsid w:val="00812FE0"/>
    <w:rsid w:val="0081533B"/>
    <w:rsid w:val="0081551E"/>
    <w:rsid w:val="008200ED"/>
    <w:rsid w:val="008213B2"/>
    <w:rsid w:val="008253F2"/>
    <w:rsid w:val="00825D3E"/>
    <w:rsid w:val="008267FC"/>
    <w:rsid w:val="00826E92"/>
    <w:rsid w:val="00830D80"/>
    <w:rsid w:val="00831AC0"/>
    <w:rsid w:val="00831C8C"/>
    <w:rsid w:val="0083275C"/>
    <w:rsid w:val="00833081"/>
    <w:rsid w:val="00833949"/>
    <w:rsid w:val="00833DDE"/>
    <w:rsid w:val="00833F61"/>
    <w:rsid w:val="00835AFC"/>
    <w:rsid w:val="00840C0C"/>
    <w:rsid w:val="00841D92"/>
    <w:rsid w:val="00842176"/>
    <w:rsid w:val="00842864"/>
    <w:rsid w:val="00845154"/>
    <w:rsid w:val="00845D34"/>
    <w:rsid w:val="00846985"/>
    <w:rsid w:val="00850701"/>
    <w:rsid w:val="00851970"/>
    <w:rsid w:val="008604AC"/>
    <w:rsid w:val="00860A6B"/>
    <w:rsid w:val="00864FF0"/>
    <w:rsid w:val="00871025"/>
    <w:rsid w:val="00872F35"/>
    <w:rsid w:val="00873303"/>
    <w:rsid w:val="00873B6E"/>
    <w:rsid w:val="00874191"/>
    <w:rsid w:val="00874988"/>
    <w:rsid w:val="00876362"/>
    <w:rsid w:val="0087650F"/>
    <w:rsid w:val="00876B2B"/>
    <w:rsid w:val="0087776A"/>
    <w:rsid w:val="00877EAA"/>
    <w:rsid w:val="008803FC"/>
    <w:rsid w:val="00880C0B"/>
    <w:rsid w:val="00881565"/>
    <w:rsid w:val="00884465"/>
    <w:rsid w:val="00884D77"/>
    <w:rsid w:val="00885647"/>
    <w:rsid w:val="00886249"/>
    <w:rsid w:val="0088752D"/>
    <w:rsid w:val="00887F04"/>
    <w:rsid w:val="00890B17"/>
    <w:rsid w:val="00891290"/>
    <w:rsid w:val="00891410"/>
    <w:rsid w:val="0089264A"/>
    <w:rsid w:val="00896B6A"/>
    <w:rsid w:val="00897F5B"/>
    <w:rsid w:val="008A4634"/>
    <w:rsid w:val="008A6E2D"/>
    <w:rsid w:val="008B1157"/>
    <w:rsid w:val="008B14B8"/>
    <w:rsid w:val="008B3D1C"/>
    <w:rsid w:val="008B4FD3"/>
    <w:rsid w:val="008B73B2"/>
    <w:rsid w:val="008B740B"/>
    <w:rsid w:val="008C0BBF"/>
    <w:rsid w:val="008C28DF"/>
    <w:rsid w:val="008C45EF"/>
    <w:rsid w:val="008C7223"/>
    <w:rsid w:val="008C73BA"/>
    <w:rsid w:val="008C7F64"/>
    <w:rsid w:val="008D421C"/>
    <w:rsid w:val="008D4BC2"/>
    <w:rsid w:val="008D7347"/>
    <w:rsid w:val="008D7686"/>
    <w:rsid w:val="008E1433"/>
    <w:rsid w:val="008E2179"/>
    <w:rsid w:val="008E292A"/>
    <w:rsid w:val="008E2B5A"/>
    <w:rsid w:val="008E3926"/>
    <w:rsid w:val="008E4794"/>
    <w:rsid w:val="008E7852"/>
    <w:rsid w:val="008E78F8"/>
    <w:rsid w:val="008F0B91"/>
    <w:rsid w:val="008F1D2E"/>
    <w:rsid w:val="008F1EC9"/>
    <w:rsid w:val="008F4EE9"/>
    <w:rsid w:val="008F5B28"/>
    <w:rsid w:val="008F7767"/>
    <w:rsid w:val="008F7BB2"/>
    <w:rsid w:val="009006CE"/>
    <w:rsid w:val="00904F8C"/>
    <w:rsid w:val="009057B4"/>
    <w:rsid w:val="0090646F"/>
    <w:rsid w:val="00910710"/>
    <w:rsid w:val="009108CA"/>
    <w:rsid w:val="009121F5"/>
    <w:rsid w:val="009124AA"/>
    <w:rsid w:val="00917578"/>
    <w:rsid w:val="00917995"/>
    <w:rsid w:val="00917C0C"/>
    <w:rsid w:val="009208E6"/>
    <w:rsid w:val="0092105D"/>
    <w:rsid w:val="009230DB"/>
    <w:rsid w:val="00923C09"/>
    <w:rsid w:val="00923C0F"/>
    <w:rsid w:val="00923C47"/>
    <w:rsid w:val="009245F9"/>
    <w:rsid w:val="00925908"/>
    <w:rsid w:val="00926356"/>
    <w:rsid w:val="00926DAF"/>
    <w:rsid w:val="00930F91"/>
    <w:rsid w:val="0093107C"/>
    <w:rsid w:val="00931275"/>
    <w:rsid w:val="0093181E"/>
    <w:rsid w:val="00934A76"/>
    <w:rsid w:val="00934FF9"/>
    <w:rsid w:val="00936AA9"/>
    <w:rsid w:val="009406CE"/>
    <w:rsid w:val="009407F5"/>
    <w:rsid w:val="00943EDF"/>
    <w:rsid w:val="00950AF4"/>
    <w:rsid w:val="0095255D"/>
    <w:rsid w:val="00954325"/>
    <w:rsid w:val="00955E22"/>
    <w:rsid w:val="00957692"/>
    <w:rsid w:val="00957DD8"/>
    <w:rsid w:val="0096014C"/>
    <w:rsid w:val="009609B3"/>
    <w:rsid w:val="00961E96"/>
    <w:rsid w:val="00962BB3"/>
    <w:rsid w:val="00964764"/>
    <w:rsid w:val="00966E0A"/>
    <w:rsid w:val="00970562"/>
    <w:rsid w:val="0097247B"/>
    <w:rsid w:val="009739B0"/>
    <w:rsid w:val="0097477F"/>
    <w:rsid w:val="00974BB8"/>
    <w:rsid w:val="00976840"/>
    <w:rsid w:val="009778CE"/>
    <w:rsid w:val="00982582"/>
    <w:rsid w:val="00982AE1"/>
    <w:rsid w:val="00983FF2"/>
    <w:rsid w:val="0098479F"/>
    <w:rsid w:val="00986316"/>
    <w:rsid w:val="009872D6"/>
    <w:rsid w:val="009904BD"/>
    <w:rsid w:val="00991A4A"/>
    <w:rsid w:val="00991E87"/>
    <w:rsid w:val="00993CAB"/>
    <w:rsid w:val="009A02B8"/>
    <w:rsid w:val="009A0452"/>
    <w:rsid w:val="009A0B3E"/>
    <w:rsid w:val="009A17EF"/>
    <w:rsid w:val="009A53E9"/>
    <w:rsid w:val="009A58F4"/>
    <w:rsid w:val="009A6BE5"/>
    <w:rsid w:val="009B0980"/>
    <w:rsid w:val="009B19E1"/>
    <w:rsid w:val="009B3212"/>
    <w:rsid w:val="009B4AC9"/>
    <w:rsid w:val="009B6446"/>
    <w:rsid w:val="009B6E75"/>
    <w:rsid w:val="009B7817"/>
    <w:rsid w:val="009B7B6A"/>
    <w:rsid w:val="009C2A91"/>
    <w:rsid w:val="009C30C0"/>
    <w:rsid w:val="009C3566"/>
    <w:rsid w:val="009C49F8"/>
    <w:rsid w:val="009C7E65"/>
    <w:rsid w:val="009D151A"/>
    <w:rsid w:val="009D16C5"/>
    <w:rsid w:val="009D19BD"/>
    <w:rsid w:val="009D2367"/>
    <w:rsid w:val="009D23CA"/>
    <w:rsid w:val="009D405B"/>
    <w:rsid w:val="009D6648"/>
    <w:rsid w:val="009D7532"/>
    <w:rsid w:val="009E08FD"/>
    <w:rsid w:val="009E11DE"/>
    <w:rsid w:val="009E4146"/>
    <w:rsid w:val="009E442D"/>
    <w:rsid w:val="009E4554"/>
    <w:rsid w:val="009E4F20"/>
    <w:rsid w:val="009E609D"/>
    <w:rsid w:val="009E6C35"/>
    <w:rsid w:val="009E754B"/>
    <w:rsid w:val="009E7A43"/>
    <w:rsid w:val="009F0221"/>
    <w:rsid w:val="009F2C3C"/>
    <w:rsid w:val="009F3048"/>
    <w:rsid w:val="009F3084"/>
    <w:rsid w:val="009F39B8"/>
    <w:rsid w:val="009F591C"/>
    <w:rsid w:val="009F6604"/>
    <w:rsid w:val="00A00179"/>
    <w:rsid w:val="00A004CC"/>
    <w:rsid w:val="00A0084F"/>
    <w:rsid w:val="00A03DFA"/>
    <w:rsid w:val="00A05672"/>
    <w:rsid w:val="00A0626A"/>
    <w:rsid w:val="00A07BCC"/>
    <w:rsid w:val="00A10F99"/>
    <w:rsid w:val="00A12A97"/>
    <w:rsid w:val="00A12C23"/>
    <w:rsid w:val="00A141CA"/>
    <w:rsid w:val="00A15CEC"/>
    <w:rsid w:val="00A15FA8"/>
    <w:rsid w:val="00A17202"/>
    <w:rsid w:val="00A20644"/>
    <w:rsid w:val="00A207F2"/>
    <w:rsid w:val="00A21809"/>
    <w:rsid w:val="00A23EF9"/>
    <w:rsid w:val="00A24295"/>
    <w:rsid w:val="00A24C47"/>
    <w:rsid w:val="00A27654"/>
    <w:rsid w:val="00A27B4C"/>
    <w:rsid w:val="00A309EB"/>
    <w:rsid w:val="00A31411"/>
    <w:rsid w:val="00A3384C"/>
    <w:rsid w:val="00A338B3"/>
    <w:rsid w:val="00A33904"/>
    <w:rsid w:val="00A33C31"/>
    <w:rsid w:val="00A36CF5"/>
    <w:rsid w:val="00A415DD"/>
    <w:rsid w:val="00A422A7"/>
    <w:rsid w:val="00A44D62"/>
    <w:rsid w:val="00A46348"/>
    <w:rsid w:val="00A552C2"/>
    <w:rsid w:val="00A568D1"/>
    <w:rsid w:val="00A64C45"/>
    <w:rsid w:val="00A67079"/>
    <w:rsid w:val="00A673A4"/>
    <w:rsid w:val="00A70DFA"/>
    <w:rsid w:val="00A7125B"/>
    <w:rsid w:val="00A71CE9"/>
    <w:rsid w:val="00A72C3A"/>
    <w:rsid w:val="00A73089"/>
    <w:rsid w:val="00A7364B"/>
    <w:rsid w:val="00A74376"/>
    <w:rsid w:val="00A7483D"/>
    <w:rsid w:val="00A76860"/>
    <w:rsid w:val="00A77A07"/>
    <w:rsid w:val="00A8047F"/>
    <w:rsid w:val="00A818E1"/>
    <w:rsid w:val="00A82448"/>
    <w:rsid w:val="00A82558"/>
    <w:rsid w:val="00A82982"/>
    <w:rsid w:val="00A84E83"/>
    <w:rsid w:val="00A86CC6"/>
    <w:rsid w:val="00A8753A"/>
    <w:rsid w:val="00A879C1"/>
    <w:rsid w:val="00A90DC6"/>
    <w:rsid w:val="00A91094"/>
    <w:rsid w:val="00A91807"/>
    <w:rsid w:val="00A96083"/>
    <w:rsid w:val="00A96E09"/>
    <w:rsid w:val="00AA3B54"/>
    <w:rsid w:val="00AA3F95"/>
    <w:rsid w:val="00AA6912"/>
    <w:rsid w:val="00AB0469"/>
    <w:rsid w:val="00AB095D"/>
    <w:rsid w:val="00AB147C"/>
    <w:rsid w:val="00AB45E0"/>
    <w:rsid w:val="00AB5858"/>
    <w:rsid w:val="00AB5F23"/>
    <w:rsid w:val="00AB65DD"/>
    <w:rsid w:val="00AC26A3"/>
    <w:rsid w:val="00AC29DF"/>
    <w:rsid w:val="00AC38B8"/>
    <w:rsid w:val="00AC6E48"/>
    <w:rsid w:val="00AD021C"/>
    <w:rsid w:val="00AD06A6"/>
    <w:rsid w:val="00AD0BD5"/>
    <w:rsid w:val="00AD10DB"/>
    <w:rsid w:val="00AD1D37"/>
    <w:rsid w:val="00AD21FC"/>
    <w:rsid w:val="00AD253D"/>
    <w:rsid w:val="00AD383D"/>
    <w:rsid w:val="00AD5870"/>
    <w:rsid w:val="00AD675E"/>
    <w:rsid w:val="00AD6D89"/>
    <w:rsid w:val="00AD7584"/>
    <w:rsid w:val="00AD764E"/>
    <w:rsid w:val="00AE05B9"/>
    <w:rsid w:val="00AE1291"/>
    <w:rsid w:val="00AE1D13"/>
    <w:rsid w:val="00AE2B23"/>
    <w:rsid w:val="00AE2B54"/>
    <w:rsid w:val="00AE2CB4"/>
    <w:rsid w:val="00AE3D3E"/>
    <w:rsid w:val="00AE4413"/>
    <w:rsid w:val="00AE5C20"/>
    <w:rsid w:val="00AE5F71"/>
    <w:rsid w:val="00AF0507"/>
    <w:rsid w:val="00AF2371"/>
    <w:rsid w:val="00AF4B93"/>
    <w:rsid w:val="00AF56D5"/>
    <w:rsid w:val="00B03AD3"/>
    <w:rsid w:val="00B05919"/>
    <w:rsid w:val="00B100D6"/>
    <w:rsid w:val="00B10CF8"/>
    <w:rsid w:val="00B10F20"/>
    <w:rsid w:val="00B1122A"/>
    <w:rsid w:val="00B117E0"/>
    <w:rsid w:val="00B11AE4"/>
    <w:rsid w:val="00B2160E"/>
    <w:rsid w:val="00B2526A"/>
    <w:rsid w:val="00B2651A"/>
    <w:rsid w:val="00B30487"/>
    <w:rsid w:val="00B30EFA"/>
    <w:rsid w:val="00B33439"/>
    <w:rsid w:val="00B3359C"/>
    <w:rsid w:val="00B33F69"/>
    <w:rsid w:val="00B35362"/>
    <w:rsid w:val="00B36854"/>
    <w:rsid w:val="00B40211"/>
    <w:rsid w:val="00B404CE"/>
    <w:rsid w:val="00B41CF9"/>
    <w:rsid w:val="00B42C3A"/>
    <w:rsid w:val="00B4508D"/>
    <w:rsid w:val="00B50873"/>
    <w:rsid w:val="00B50F59"/>
    <w:rsid w:val="00B51D4C"/>
    <w:rsid w:val="00B54109"/>
    <w:rsid w:val="00B55552"/>
    <w:rsid w:val="00B564F9"/>
    <w:rsid w:val="00B570A1"/>
    <w:rsid w:val="00B57413"/>
    <w:rsid w:val="00B5781C"/>
    <w:rsid w:val="00B57F6D"/>
    <w:rsid w:val="00B601D6"/>
    <w:rsid w:val="00B60597"/>
    <w:rsid w:val="00B62279"/>
    <w:rsid w:val="00B64DB2"/>
    <w:rsid w:val="00B65DC6"/>
    <w:rsid w:val="00B672EF"/>
    <w:rsid w:val="00B74FE5"/>
    <w:rsid w:val="00B759EA"/>
    <w:rsid w:val="00B8061A"/>
    <w:rsid w:val="00B80E72"/>
    <w:rsid w:val="00B811C0"/>
    <w:rsid w:val="00B82679"/>
    <w:rsid w:val="00B84D31"/>
    <w:rsid w:val="00B85F4A"/>
    <w:rsid w:val="00B86168"/>
    <w:rsid w:val="00B8624A"/>
    <w:rsid w:val="00B86C96"/>
    <w:rsid w:val="00B906E9"/>
    <w:rsid w:val="00B965DF"/>
    <w:rsid w:val="00BA1317"/>
    <w:rsid w:val="00BA200D"/>
    <w:rsid w:val="00BA25AD"/>
    <w:rsid w:val="00BA3ED8"/>
    <w:rsid w:val="00BA3F4C"/>
    <w:rsid w:val="00BA556B"/>
    <w:rsid w:val="00BA55D6"/>
    <w:rsid w:val="00BA56CE"/>
    <w:rsid w:val="00BA5A6D"/>
    <w:rsid w:val="00BA5C46"/>
    <w:rsid w:val="00BA6653"/>
    <w:rsid w:val="00BA7219"/>
    <w:rsid w:val="00BA7FFE"/>
    <w:rsid w:val="00BB03D9"/>
    <w:rsid w:val="00BB09AB"/>
    <w:rsid w:val="00BB1D22"/>
    <w:rsid w:val="00BB2CCD"/>
    <w:rsid w:val="00BB3AE8"/>
    <w:rsid w:val="00BB3B50"/>
    <w:rsid w:val="00BB4489"/>
    <w:rsid w:val="00BB563A"/>
    <w:rsid w:val="00BB5DCD"/>
    <w:rsid w:val="00BB77A3"/>
    <w:rsid w:val="00BC184D"/>
    <w:rsid w:val="00BC60FE"/>
    <w:rsid w:val="00BC7226"/>
    <w:rsid w:val="00BC7287"/>
    <w:rsid w:val="00BC76F0"/>
    <w:rsid w:val="00BD043B"/>
    <w:rsid w:val="00BD3438"/>
    <w:rsid w:val="00BD4B6C"/>
    <w:rsid w:val="00BD5FAA"/>
    <w:rsid w:val="00BD6C0F"/>
    <w:rsid w:val="00BD70A7"/>
    <w:rsid w:val="00BD72BE"/>
    <w:rsid w:val="00BD77BE"/>
    <w:rsid w:val="00BD7B80"/>
    <w:rsid w:val="00BE7A05"/>
    <w:rsid w:val="00BF0705"/>
    <w:rsid w:val="00BF1236"/>
    <w:rsid w:val="00BF25A6"/>
    <w:rsid w:val="00BF2C96"/>
    <w:rsid w:val="00BF6CAE"/>
    <w:rsid w:val="00C00EF9"/>
    <w:rsid w:val="00C00FFC"/>
    <w:rsid w:val="00C018A9"/>
    <w:rsid w:val="00C01C97"/>
    <w:rsid w:val="00C01CBD"/>
    <w:rsid w:val="00C0245B"/>
    <w:rsid w:val="00C02DC5"/>
    <w:rsid w:val="00C03527"/>
    <w:rsid w:val="00C03DF2"/>
    <w:rsid w:val="00C043A7"/>
    <w:rsid w:val="00C04BBB"/>
    <w:rsid w:val="00C0566C"/>
    <w:rsid w:val="00C0572D"/>
    <w:rsid w:val="00C07D3A"/>
    <w:rsid w:val="00C108ED"/>
    <w:rsid w:val="00C13420"/>
    <w:rsid w:val="00C1425A"/>
    <w:rsid w:val="00C142B7"/>
    <w:rsid w:val="00C159C0"/>
    <w:rsid w:val="00C15AEC"/>
    <w:rsid w:val="00C20555"/>
    <w:rsid w:val="00C2116D"/>
    <w:rsid w:val="00C221D4"/>
    <w:rsid w:val="00C22AD3"/>
    <w:rsid w:val="00C2336E"/>
    <w:rsid w:val="00C23390"/>
    <w:rsid w:val="00C241FC"/>
    <w:rsid w:val="00C270BC"/>
    <w:rsid w:val="00C27B94"/>
    <w:rsid w:val="00C313DE"/>
    <w:rsid w:val="00C314AB"/>
    <w:rsid w:val="00C315CE"/>
    <w:rsid w:val="00C31A87"/>
    <w:rsid w:val="00C33FE7"/>
    <w:rsid w:val="00C406C1"/>
    <w:rsid w:val="00C41076"/>
    <w:rsid w:val="00C41592"/>
    <w:rsid w:val="00C438ED"/>
    <w:rsid w:val="00C53FF3"/>
    <w:rsid w:val="00C605C7"/>
    <w:rsid w:val="00C63056"/>
    <w:rsid w:val="00C634F1"/>
    <w:rsid w:val="00C63E40"/>
    <w:rsid w:val="00C65B9A"/>
    <w:rsid w:val="00C66F57"/>
    <w:rsid w:val="00C67037"/>
    <w:rsid w:val="00C71E89"/>
    <w:rsid w:val="00C722C4"/>
    <w:rsid w:val="00C73A1F"/>
    <w:rsid w:val="00C73D9D"/>
    <w:rsid w:val="00C73E13"/>
    <w:rsid w:val="00C743BC"/>
    <w:rsid w:val="00C773DC"/>
    <w:rsid w:val="00C77571"/>
    <w:rsid w:val="00C777E3"/>
    <w:rsid w:val="00C77D6A"/>
    <w:rsid w:val="00C8060E"/>
    <w:rsid w:val="00C8160C"/>
    <w:rsid w:val="00C82D00"/>
    <w:rsid w:val="00C82FCE"/>
    <w:rsid w:val="00C83639"/>
    <w:rsid w:val="00C83F63"/>
    <w:rsid w:val="00C84DC7"/>
    <w:rsid w:val="00C85257"/>
    <w:rsid w:val="00C85894"/>
    <w:rsid w:val="00C868F2"/>
    <w:rsid w:val="00C90306"/>
    <w:rsid w:val="00C94212"/>
    <w:rsid w:val="00C9570C"/>
    <w:rsid w:val="00C95D7F"/>
    <w:rsid w:val="00C95FE7"/>
    <w:rsid w:val="00C96BDD"/>
    <w:rsid w:val="00C97C61"/>
    <w:rsid w:val="00C97CEF"/>
    <w:rsid w:val="00CA0A80"/>
    <w:rsid w:val="00CA2124"/>
    <w:rsid w:val="00CA4725"/>
    <w:rsid w:val="00CA4A92"/>
    <w:rsid w:val="00CA59EA"/>
    <w:rsid w:val="00CA6B2B"/>
    <w:rsid w:val="00CA766D"/>
    <w:rsid w:val="00CA7ADA"/>
    <w:rsid w:val="00CB0831"/>
    <w:rsid w:val="00CB2B75"/>
    <w:rsid w:val="00CB3D8B"/>
    <w:rsid w:val="00CB53D3"/>
    <w:rsid w:val="00CB716D"/>
    <w:rsid w:val="00CB7ADA"/>
    <w:rsid w:val="00CC0077"/>
    <w:rsid w:val="00CC0BAF"/>
    <w:rsid w:val="00CC2B47"/>
    <w:rsid w:val="00CC3518"/>
    <w:rsid w:val="00CC38CC"/>
    <w:rsid w:val="00CC3EC2"/>
    <w:rsid w:val="00CC4048"/>
    <w:rsid w:val="00CC66FF"/>
    <w:rsid w:val="00CD0F6A"/>
    <w:rsid w:val="00CD1F64"/>
    <w:rsid w:val="00CD354D"/>
    <w:rsid w:val="00CD38D6"/>
    <w:rsid w:val="00CD63CC"/>
    <w:rsid w:val="00CD6D70"/>
    <w:rsid w:val="00CD7A1A"/>
    <w:rsid w:val="00CE0D69"/>
    <w:rsid w:val="00CE1EC3"/>
    <w:rsid w:val="00CE41A5"/>
    <w:rsid w:val="00CE4624"/>
    <w:rsid w:val="00CF108E"/>
    <w:rsid w:val="00CF3AFB"/>
    <w:rsid w:val="00CF43C0"/>
    <w:rsid w:val="00CF51FB"/>
    <w:rsid w:val="00CF6676"/>
    <w:rsid w:val="00CF7FA5"/>
    <w:rsid w:val="00D0111A"/>
    <w:rsid w:val="00D01D82"/>
    <w:rsid w:val="00D05E1C"/>
    <w:rsid w:val="00D06754"/>
    <w:rsid w:val="00D06AA0"/>
    <w:rsid w:val="00D10746"/>
    <w:rsid w:val="00D10C00"/>
    <w:rsid w:val="00D10CEE"/>
    <w:rsid w:val="00D153E6"/>
    <w:rsid w:val="00D17966"/>
    <w:rsid w:val="00D22FF9"/>
    <w:rsid w:val="00D23474"/>
    <w:rsid w:val="00D238C0"/>
    <w:rsid w:val="00D23A43"/>
    <w:rsid w:val="00D2465B"/>
    <w:rsid w:val="00D264AD"/>
    <w:rsid w:val="00D301D6"/>
    <w:rsid w:val="00D326A0"/>
    <w:rsid w:val="00D32C3D"/>
    <w:rsid w:val="00D32E77"/>
    <w:rsid w:val="00D33013"/>
    <w:rsid w:val="00D3336B"/>
    <w:rsid w:val="00D411B7"/>
    <w:rsid w:val="00D4211B"/>
    <w:rsid w:val="00D431C2"/>
    <w:rsid w:val="00D43B83"/>
    <w:rsid w:val="00D44167"/>
    <w:rsid w:val="00D45737"/>
    <w:rsid w:val="00D46579"/>
    <w:rsid w:val="00D51027"/>
    <w:rsid w:val="00D53059"/>
    <w:rsid w:val="00D541A3"/>
    <w:rsid w:val="00D5515C"/>
    <w:rsid w:val="00D55464"/>
    <w:rsid w:val="00D55BD4"/>
    <w:rsid w:val="00D56A4D"/>
    <w:rsid w:val="00D571CC"/>
    <w:rsid w:val="00D57271"/>
    <w:rsid w:val="00D57D7A"/>
    <w:rsid w:val="00D618D9"/>
    <w:rsid w:val="00D64A06"/>
    <w:rsid w:val="00D66430"/>
    <w:rsid w:val="00D673D0"/>
    <w:rsid w:val="00D678DD"/>
    <w:rsid w:val="00D7015E"/>
    <w:rsid w:val="00D70202"/>
    <w:rsid w:val="00D7223C"/>
    <w:rsid w:val="00D727DC"/>
    <w:rsid w:val="00D73537"/>
    <w:rsid w:val="00D758B1"/>
    <w:rsid w:val="00D7691D"/>
    <w:rsid w:val="00D8072E"/>
    <w:rsid w:val="00D813CF"/>
    <w:rsid w:val="00D81838"/>
    <w:rsid w:val="00D843FE"/>
    <w:rsid w:val="00D85675"/>
    <w:rsid w:val="00D85DBE"/>
    <w:rsid w:val="00D87C37"/>
    <w:rsid w:val="00D903C5"/>
    <w:rsid w:val="00D9165C"/>
    <w:rsid w:val="00D92317"/>
    <w:rsid w:val="00D9348F"/>
    <w:rsid w:val="00D93715"/>
    <w:rsid w:val="00D93EEB"/>
    <w:rsid w:val="00DA034F"/>
    <w:rsid w:val="00DA07CE"/>
    <w:rsid w:val="00DA1C3D"/>
    <w:rsid w:val="00DA1FB3"/>
    <w:rsid w:val="00DA53E2"/>
    <w:rsid w:val="00DA5630"/>
    <w:rsid w:val="00DA63E2"/>
    <w:rsid w:val="00DA7551"/>
    <w:rsid w:val="00DA77F2"/>
    <w:rsid w:val="00DB0A89"/>
    <w:rsid w:val="00DB1FA4"/>
    <w:rsid w:val="00DB2B39"/>
    <w:rsid w:val="00DB52F5"/>
    <w:rsid w:val="00DB53FE"/>
    <w:rsid w:val="00DC0646"/>
    <w:rsid w:val="00DC1BDF"/>
    <w:rsid w:val="00DC50EE"/>
    <w:rsid w:val="00DC585F"/>
    <w:rsid w:val="00DC7524"/>
    <w:rsid w:val="00DC758A"/>
    <w:rsid w:val="00DC7AF7"/>
    <w:rsid w:val="00DC7DDF"/>
    <w:rsid w:val="00DD1753"/>
    <w:rsid w:val="00DD1C8B"/>
    <w:rsid w:val="00DD2D27"/>
    <w:rsid w:val="00DD3006"/>
    <w:rsid w:val="00DD3F81"/>
    <w:rsid w:val="00DD5E31"/>
    <w:rsid w:val="00DD77D7"/>
    <w:rsid w:val="00DE1A16"/>
    <w:rsid w:val="00DE20DA"/>
    <w:rsid w:val="00DE23E9"/>
    <w:rsid w:val="00DE708C"/>
    <w:rsid w:val="00DE7F2F"/>
    <w:rsid w:val="00DF02CF"/>
    <w:rsid w:val="00DF08AB"/>
    <w:rsid w:val="00DF0CE3"/>
    <w:rsid w:val="00DF133F"/>
    <w:rsid w:val="00DF2A39"/>
    <w:rsid w:val="00DF53F0"/>
    <w:rsid w:val="00DF6247"/>
    <w:rsid w:val="00DF67D9"/>
    <w:rsid w:val="00E014EE"/>
    <w:rsid w:val="00E01CB5"/>
    <w:rsid w:val="00E02947"/>
    <w:rsid w:val="00E04ADE"/>
    <w:rsid w:val="00E06114"/>
    <w:rsid w:val="00E11BC0"/>
    <w:rsid w:val="00E1306D"/>
    <w:rsid w:val="00E1391D"/>
    <w:rsid w:val="00E16B2A"/>
    <w:rsid w:val="00E210F6"/>
    <w:rsid w:val="00E23948"/>
    <w:rsid w:val="00E2461D"/>
    <w:rsid w:val="00E25F25"/>
    <w:rsid w:val="00E272F3"/>
    <w:rsid w:val="00E31648"/>
    <w:rsid w:val="00E32EDE"/>
    <w:rsid w:val="00E346B0"/>
    <w:rsid w:val="00E37F69"/>
    <w:rsid w:val="00E420B6"/>
    <w:rsid w:val="00E438B1"/>
    <w:rsid w:val="00E43BD9"/>
    <w:rsid w:val="00E4559D"/>
    <w:rsid w:val="00E46C5F"/>
    <w:rsid w:val="00E5102A"/>
    <w:rsid w:val="00E51D44"/>
    <w:rsid w:val="00E54CEB"/>
    <w:rsid w:val="00E55399"/>
    <w:rsid w:val="00E60C09"/>
    <w:rsid w:val="00E60C78"/>
    <w:rsid w:val="00E610B5"/>
    <w:rsid w:val="00E61304"/>
    <w:rsid w:val="00E62715"/>
    <w:rsid w:val="00E649F7"/>
    <w:rsid w:val="00E70A8C"/>
    <w:rsid w:val="00E72BA9"/>
    <w:rsid w:val="00E74B62"/>
    <w:rsid w:val="00E74FF1"/>
    <w:rsid w:val="00E75A3B"/>
    <w:rsid w:val="00E75EF5"/>
    <w:rsid w:val="00E76CF1"/>
    <w:rsid w:val="00E80ED0"/>
    <w:rsid w:val="00E80FCE"/>
    <w:rsid w:val="00E81B2F"/>
    <w:rsid w:val="00E81E0A"/>
    <w:rsid w:val="00E8320B"/>
    <w:rsid w:val="00E8363A"/>
    <w:rsid w:val="00E84A4D"/>
    <w:rsid w:val="00E84A78"/>
    <w:rsid w:val="00E85007"/>
    <w:rsid w:val="00E86BAC"/>
    <w:rsid w:val="00E86C98"/>
    <w:rsid w:val="00E91364"/>
    <w:rsid w:val="00E92103"/>
    <w:rsid w:val="00E92D86"/>
    <w:rsid w:val="00E9387A"/>
    <w:rsid w:val="00E95AA9"/>
    <w:rsid w:val="00EA040A"/>
    <w:rsid w:val="00EA044B"/>
    <w:rsid w:val="00EA30CF"/>
    <w:rsid w:val="00EA3A5C"/>
    <w:rsid w:val="00EA3F34"/>
    <w:rsid w:val="00EA4478"/>
    <w:rsid w:val="00EA4B3F"/>
    <w:rsid w:val="00EA4D69"/>
    <w:rsid w:val="00EA4F6E"/>
    <w:rsid w:val="00EA583D"/>
    <w:rsid w:val="00EA58ED"/>
    <w:rsid w:val="00EA7BDE"/>
    <w:rsid w:val="00EA7EA5"/>
    <w:rsid w:val="00EB09C6"/>
    <w:rsid w:val="00EB23CA"/>
    <w:rsid w:val="00EB4B90"/>
    <w:rsid w:val="00EB4DE3"/>
    <w:rsid w:val="00EB5270"/>
    <w:rsid w:val="00EB5577"/>
    <w:rsid w:val="00EB64CF"/>
    <w:rsid w:val="00EB7062"/>
    <w:rsid w:val="00EB7097"/>
    <w:rsid w:val="00EC1136"/>
    <w:rsid w:val="00EC1819"/>
    <w:rsid w:val="00EC417A"/>
    <w:rsid w:val="00EC5CD3"/>
    <w:rsid w:val="00ED0BAF"/>
    <w:rsid w:val="00ED18F1"/>
    <w:rsid w:val="00ED1AF0"/>
    <w:rsid w:val="00ED316B"/>
    <w:rsid w:val="00ED4D2D"/>
    <w:rsid w:val="00ED55A6"/>
    <w:rsid w:val="00ED7737"/>
    <w:rsid w:val="00EE107C"/>
    <w:rsid w:val="00EE4941"/>
    <w:rsid w:val="00EE6CEC"/>
    <w:rsid w:val="00EE6EC7"/>
    <w:rsid w:val="00EE6FED"/>
    <w:rsid w:val="00EE7957"/>
    <w:rsid w:val="00EF2F74"/>
    <w:rsid w:val="00EF305B"/>
    <w:rsid w:val="00EF5F93"/>
    <w:rsid w:val="00F01215"/>
    <w:rsid w:val="00F01DF1"/>
    <w:rsid w:val="00F05337"/>
    <w:rsid w:val="00F053EC"/>
    <w:rsid w:val="00F061A1"/>
    <w:rsid w:val="00F06CED"/>
    <w:rsid w:val="00F06DC8"/>
    <w:rsid w:val="00F072C6"/>
    <w:rsid w:val="00F10DFF"/>
    <w:rsid w:val="00F11CEB"/>
    <w:rsid w:val="00F12B2F"/>
    <w:rsid w:val="00F1381B"/>
    <w:rsid w:val="00F1429D"/>
    <w:rsid w:val="00F14552"/>
    <w:rsid w:val="00F14875"/>
    <w:rsid w:val="00F14AFF"/>
    <w:rsid w:val="00F15C08"/>
    <w:rsid w:val="00F16C59"/>
    <w:rsid w:val="00F17C96"/>
    <w:rsid w:val="00F20D55"/>
    <w:rsid w:val="00F20EAE"/>
    <w:rsid w:val="00F220FC"/>
    <w:rsid w:val="00F228E2"/>
    <w:rsid w:val="00F22AD4"/>
    <w:rsid w:val="00F233DD"/>
    <w:rsid w:val="00F25347"/>
    <w:rsid w:val="00F26232"/>
    <w:rsid w:val="00F26729"/>
    <w:rsid w:val="00F26AA6"/>
    <w:rsid w:val="00F30FBF"/>
    <w:rsid w:val="00F329E8"/>
    <w:rsid w:val="00F33AC1"/>
    <w:rsid w:val="00F33C6C"/>
    <w:rsid w:val="00F3458F"/>
    <w:rsid w:val="00F34717"/>
    <w:rsid w:val="00F35411"/>
    <w:rsid w:val="00F35480"/>
    <w:rsid w:val="00F36546"/>
    <w:rsid w:val="00F36D45"/>
    <w:rsid w:val="00F37E83"/>
    <w:rsid w:val="00F40F4F"/>
    <w:rsid w:val="00F41065"/>
    <w:rsid w:val="00F41CCA"/>
    <w:rsid w:val="00F43AC1"/>
    <w:rsid w:val="00F44690"/>
    <w:rsid w:val="00F463B2"/>
    <w:rsid w:val="00F505CE"/>
    <w:rsid w:val="00F515AE"/>
    <w:rsid w:val="00F51D15"/>
    <w:rsid w:val="00F51FB9"/>
    <w:rsid w:val="00F600B1"/>
    <w:rsid w:val="00F70DEB"/>
    <w:rsid w:val="00F70ED8"/>
    <w:rsid w:val="00F7353A"/>
    <w:rsid w:val="00F73926"/>
    <w:rsid w:val="00F74293"/>
    <w:rsid w:val="00F74D44"/>
    <w:rsid w:val="00F7696E"/>
    <w:rsid w:val="00F81BEA"/>
    <w:rsid w:val="00F82082"/>
    <w:rsid w:val="00F8269D"/>
    <w:rsid w:val="00F8324B"/>
    <w:rsid w:val="00F84D5F"/>
    <w:rsid w:val="00F84D7E"/>
    <w:rsid w:val="00F85526"/>
    <w:rsid w:val="00F85C38"/>
    <w:rsid w:val="00F86D2B"/>
    <w:rsid w:val="00F90769"/>
    <w:rsid w:val="00F90F6B"/>
    <w:rsid w:val="00F92C5E"/>
    <w:rsid w:val="00F930BD"/>
    <w:rsid w:val="00F93710"/>
    <w:rsid w:val="00F947AC"/>
    <w:rsid w:val="00F94D4A"/>
    <w:rsid w:val="00F9568D"/>
    <w:rsid w:val="00F95D8D"/>
    <w:rsid w:val="00F95DB1"/>
    <w:rsid w:val="00F96371"/>
    <w:rsid w:val="00F967DF"/>
    <w:rsid w:val="00F96F53"/>
    <w:rsid w:val="00F97A78"/>
    <w:rsid w:val="00FA2F49"/>
    <w:rsid w:val="00FA372C"/>
    <w:rsid w:val="00FA3AC6"/>
    <w:rsid w:val="00FA3F7D"/>
    <w:rsid w:val="00FA64EB"/>
    <w:rsid w:val="00FA69FD"/>
    <w:rsid w:val="00FA7BCA"/>
    <w:rsid w:val="00FA7FD8"/>
    <w:rsid w:val="00FB0CD4"/>
    <w:rsid w:val="00FB0EA8"/>
    <w:rsid w:val="00FB3940"/>
    <w:rsid w:val="00FB4B85"/>
    <w:rsid w:val="00FB5303"/>
    <w:rsid w:val="00FB5EEF"/>
    <w:rsid w:val="00FC2E10"/>
    <w:rsid w:val="00FC3E60"/>
    <w:rsid w:val="00FC4728"/>
    <w:rsid w:val="00FC47E2"/>
    <w:rsid w:val="00FC5064"/>
    <w:rsid w:val="00FC53D0"/>
    <w:rsid w:val="00FD04C3"/>
    <w:rsid w:val="00FD1620"/>
    <w:rsid w:val="00FD2542"/>
    <w:rsid w:val="00FD3FE9"/>
    <w:rsid w:val="00FD41EB"/>
    <w:rsid w:val="00FD441B"/>
    <w:rsid w:val="00FD596F"/>
    <w:rsid w:val="00FD5F77"/>
    <w:rsid w:val="00FD61AC"/>
    <w:rsid w:val="00FE19C1"/>
    <w:rsid w:val="00FE31AA"/>
    <w:rsid w:val="00FE422C"/>
    <w:rsid w:val="00FE5320"/>
    <w:rsid w:val="00FE79E1"/>
    <w:rsid w:val="00FE7D03"/>
    <w:rsid w:val="00FF14B5"/>
    <w:rsid w:val="00FF2675"/>
    <w:rsid w:val="00FF2CF6"/>
    <w:rsid w:val="00FF3C00"/>
    <w:rsid w:val="00FF50C2"/>
    <w:rsid w:val="00FF5BA9"/>
    <w:rsid w:val="00FF7117"/>
    <w:rsid w:val="00FF7303"/>
    <w:rsid w:val="023E72DD"/>
    <w:rsid w:val="028FAF77"/>
    <w:rsid w:val="032014FF"/>
    <w:rsid w:val="0591F7D1"/>
    <w:rsid w:val="06CEB1BF"/>
    <w:rsid w:val="06E9E4A8"/>
    <w:rsid w:val="06FF9887"/>
    <w:rsid w:val="07E6AC85"/>
    <w:rsid w:val="08717E13"/>
    <w:rsid w:val="09151448"/>
    <w:rsid w:val="0954EC99"/>
    <w:rsid w:val="0AB28F54"/>
    <w:rsid w:val="0B2C5EA8"/>
    <w:rsid w:val="0CDE3617"/>
    <w:rsid w:val="0D9DC20C"/>
    <w:rsid w:val="0DAADCA1"/>
    <w:rsid w:val="0DBB5828"/>
    <w:rsid w:val="0DC949ED"/>
    <w:rsid w:val="0DFB8102"/>
    <w:rsid w:val="0E37A318"/>
    <w:rsid w:val="12228BC8"/>
    <w:rsid w:val="122F953E"/>
    <w:rsid w:val="125A3DC7"/>
    <w:rsid w:val="12EEDF39"/>
    <w:rsid w:val="12F5B478"/>
    <w:rsid w:val="13D93AF7"/>
    <w:rsid w:val="14167674"/>
    <w:rsid w:val="163E9A35"/>
    <w:rsid w:val="16FBF3B6"/>
    <w:rsid w:val="1778D634"/>
    <w:rsid w:val="18942C11"/>
    <w:rsid w:val="18CADD46"/>
    <w:rsid w:val="19E6F2DF"/>
    <w:rsid w:val="1A7A3CCD"/>
    <w:rsid w:val="1B75446D"/>
    <w:rsid w:val="1C1F3A18"/>
    <w:rsid w:val="1CED7256"/>
    <w:rsid w:val="1ECEAF54"/>
    <w:rsid w:val="1F020BF3"/>
    <w:rsid w:val="1F13C80E"/>
    <w:rsid w:val="1F55542A"/>
    <w:rsid w:val="201D6A2A"/>
    <w:rsid w:val="20C97E63"/>
    <w:rsid w:val="219CDE5C"/>
    <w:rsid w:val="21D55F11"/>
    <w:rsid w:val="2342CFD3"/>
    <w:rsid w:val="23BA20C6"/>
    <w:rsid w:val="23DAF934"/>
    <w:rsid w:val="23F4DB2B"/>
    <w:rsid w:val="2407BBC1"/>
    <w:rsid w:val="25A02DD7"/>
    <w:rsid w:val="25ECEADF"/>
    <w:rsid w:val="2667A7D3"/>
    <w:rsid w:val="26A48A3C"/>
    <w:rsid w:val="26ABAA1B"/>
    <w:rsid w:val="274C0677"/>
    <w:rsid w:val="280B5F05"/>
    <w:rsid w:val="284E95FB"/>
    <w:rsid w:val="28AC732F"/>
    <w:rsid w:val="28CE4799"/>
    <w:rsid w:val="29E1349B"/>
    <w:rsid w:val="29E72730"/>
    <w:rsid w:val="29F8E530"/>
    <w:rsid w:val="2A1F8EB2"/>
    <w:rsid w:val="2A7A4F8E"/>
    <w:rsid w:val="2A96AAA8"/>
    <w:rsid w:val="2ACEB206"/>
    <w:rsid w:val="2AFC7ABA"/>
    <w:rsid w:val="2B249ABB"/>
    <w:rsid w:val="2C538143"/>
    <w:rsid w:val="2E114FE2"/>
    <w:rsid w:val="306B0D54"/>
    <w:rsid w:val="30D2BE5B"/>
    <w:rsid w:val="30DE83BD"/>
    <w:rsid w:val="329A82B1"/>
    <w:rsid w:val="33022F10"/>
    <w:rsid w:val="3340129D"/>
    <w:rsid w:val="34820857"/>
    <w:rsid w:val="349C4020"/>
    <w:rsid w:val="34C67D2A"/>
    <w:rsid w:val="35E65CD7"/>
    <w:rsid w:val="363576A6"/>
    <w:rsid w:val="37E61136"/>
    <w:rsid w:val="38136EDA"/>
    <w:rsid w:val="3842A9E7"/>
    <w:rsid w:val="390F0A72"/>
    <w:rsid w:val="3ABFF17D"/>
    <w:rsid w:val="3D5294F7"/>
    <w:rsid w:val="3D7165C6"/>
    <w:rsid w:val="3DD501D6"/>
    <w:rsid w:val="3DD642DA"/>
    <w:rsid w:val="3E07790D"/>
    <w:rsid w:val="3F7416C0"/>
    <w:rsid w:val="4006F6AD"/>
    <w:rsid w:val="413A14A1"/>
    <w:rsid w:val="4152C8D3"/>
    <w:rsid w:val="426D7197"/>
    <w:rsid w:val="4277A3C8"/>
    <w:rsid w:val="43198628"/>
    <w:rsid w:val="43B53AFF"/>
    <w:rsid w:val="43CA2EB0"/>
    <w:rsid w:val="44230373"/>
    <w:rsid w:val="44BA3745"/>
    <w:rsid w:val="44C4E4ED"/>
    <w:rsid w:val="45C5FF60"/>
    <w:rsid w:val="45CB42D3"/>
    <w:rsid w:val="46BDEEAB"/>
    <w:rsid w:val="47B1081F"/>
    <w:rsid w:val="48C57877"/>
    <w:rsid w:val="4B9F3047"/>
    <w:rsid w:val="4C00BA8D"/>
    <w:rsid w:val="4D4C80AE"/>
    <w:rsid w:val="4D7C6706"/>
    <w:rsid w:val="4F3F5618"/>
    <w:rsid w:val="4F75CD50"/>
    <w:rsid w:val="50789664"/>
    <w:rsid w:val="509E1228"/>
    <w:rsid w:val="51FBA2E8"/>
    <w:rsid w:val="520BD14C"/>
    <w:rsid w:val="5231C999"/>
    <w:rsid w:val="52521B09"/>
    <w:rsid w:val="52E71F1C"/>
    <w:rsid w:val="52F1C162"/>
    <w:rsid w:val="54A32051"/>
    <w:rsid w:val="54C9E59E"/>
    <w:rsid w:val="5626172F"/>
    <w:rsid w:val="572595AD"/>
    <w:rsid w:val="5770E9BA"/>
    <w:rsid w:val="578580BA"/>
    <w:rsid w:val="57D3816A"/>
    <w:rsid w:val="59972986"/>
    <w:rsid w:val="59E0890A"/>
    <w:rsid w:val="59E793AF"/>
    <w:rsid w:val="5A20D253"/>
    <w:rsid w:val="5B0CE662"/>
    <w:rsid w:val="5B52F3FF"/>
    <w:rsid w:val="5D193FEE"/>
    <w:rsid w:val="5E55A65A"/>
    <w:rsid w:val="5F60242C"/>
    <w:rsid w:val="606BBBA1"/>
    <w:rsid w:val="60E052F1"/>
    <w:rsid w:val="625302B1"/>
    <w:rsid w:val="62E84F04"/>
    <w:rsid w:val="62F7CE63"/>
    <w:rsid w:val="632BF4A0"/>
    <w:rsid w:val="643281C8"/>
    <w:rsid w:val="64750C6E"/>
    <w:rsid w:val="65B14D97"/>
    <w:rsid w:val="65DD2A6C"/>
    <w:rsid w:val="663E1245"/>
    <w:rsid w:val="664E4BF6"/>
    <w:rsid w:val="693E293C"/>
    <w:rsid w:val="69FA4B75"/>
    <w:rsid w:val="6BF0E62C"/>
    <w:rsid w:val="6C952B2A"/>
    <w:rsid w:val="6DF39696"/>
    <w:rsid w:val="6E28BA75"/>
    <w:rsid w:val="6F1FD0CC"/>
    <w:rsid w:val="6F3FDA6E"/>
    <w:rsid w:val="6F654CD4"/>
    <w:rsid w:val="70CEE08F"/>
    <w:rsid w:val="7157A557"/>
    <w:rsid w:val="71ADE2AF"/>
    <w:rsid w:val="7213DA06"/>
    <w:rsid w:val="72521343"/>
    <w:rsid w:val="73241326"/>
    <w:rsid w:val="733F9E77"/>
    <w:rsid w:val="739E5687"/>
    <w:rsid w:val="74664E8B"/>
    <w:rsid w:val="74E997E9"/>
    <w:rsid w:val="7562B63C"/>
    <w:rsid w:val="76573138"/>
    <w:rsid w:val="76B59733"/>
    <w:rsid w:val="7733B0F3"/>
    <w:rsid w:val="78F69205"/>
    <w:rsid w:val="792D9D8F"/>
    <w:rsid w:val="79A2C8D3"/>
    <w:rsid w:val="79F6231D"/>
    <w:rsid w:val="7A20A415"/>
    <w:rsid w:val="7B00825B"/>
    <w:rsid w:val="7D986B06"/>
    <w:rsid w:val="7E1B752E"/>
    <w:rsid w:val="7E5AC5E6"/>
    <w:rsid w:val="7F6D5E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8D208C"/>
  <w14:defaultImageDpi w14:val="300"/>
  <w15:docId w15:val="{ABEFDDB5-4C17-450B-BD45-08A37E052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AA9"/>
  </w:style>
  <w:style w:type="paragraph" w:styleId="Heading2">
    <w:name w:val="heading 2"/>
    <w:aliases w:val="Heading 2 Char1,Heading 2 Char Char"/>
    <w:basedOn w:val="Normal"/>
    <w:next w:val="Heading3"/>
    <w:link w:val="Heading2Char"/>
    <w:qFormat/>
    <w:rsid w:val="00292E6D"/>
    <w:pPr>
      <w:keepNext/>
      <w:spacing w:before="120" w:after="120"/>
      <w:outlineLvl w:val="1"/>
    </w:pPr>
    <w:rPr>
      <w:rFonts w:ascii="Arial" w:eastAsia="Times New Roman" w:hAnsi="Arial" w:cs="Times New Roman"/>
      <w:b/>
      <w:smallCaps/>
      <w:sz w:val="28"/>
      <w:szCs w:val="20"/>
      <w:lang w:val="x-none" w:eastAsia="x-none"/>
    </w:rPr>
  </w:style>
  <w:style w:type="paragraph" w:styleId="Heading3">
    <w:name w:val="heading 3"/>
    <w:basedOn w:val="Normal"/>
    <w:next w:val="Normal"/>
    <w:link w:val="Heading3Char"/>
    <w:uiPriority w:val="9"/>
    <w:semiHidden/>
    <w:unhideWhenUsed/>
    <w:qFormat/>
    <w:rsid w:val="00292E6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D2B"/>
    <w:pPr>
      <w:tabs>
        <w:tab w:val="center" w:pos="4320"/>
        <w:tab w:val="right" w:pos="8640"/>
      </w:tabs>
    </w:pPr>
  </w:style>
  <w:style w:type="character" w:customStyle="1" w:styleId="HeaderChar">
    <w:name w:val="Header Char"/>
    <w:basedOn w:val="DefaultParagraphFont"/>
    <w:link w:val="Header"/>
    <w:uiPriority w:val="99"/>
    <w:rsid w:val="00F86D2B"/>
  </w:style>
  <w:style w:type="paragraph" w:styleId="Footer">
    <w:name w:val="footer"/>
    <w:basedOn w:val="Normal"/>
    <w:link w:val="FooterChar"/>
    <w:uiPriority w:val="99"/>
    <w:unhideWhenUsed/>
    <w:rsid w:val="00F86D2B"/>
    <w:pPr>
      <w:tabs>
        <w:tab w:val="center" w:pos="4320"/>
        <w:tab w:val="right" w:pos="8640"/>
      </w:tabs>
    </w:pPr>
  </w:style>
  <w:style w:type="character" w:customStyle="1" w:styleId="FooterChar">
    <w:name w:val="Footer Char"/>
    <w:basedOn w:val="DefaultParagraphFont"/>
    <w:link w:val="Footer"/>
    <w:uiPriority w:val="99"/>
    <w:rsid w:val="00F86D2B"/>
  </w:style>
  <w:style w:type="paragraph" w:styleId="BalloonText">
    <w:name w:val="Balloon Text"/>
    <w:basedOn w:val="Normal"/>
    <w:link w:val="BalloonTextChar"/>
    <w:uiPriority w:val="99"/>
    <w:semiHidden/>
    <w:unhideWhenUsed/>
    <w:rsid w:val="00F86D2B"/>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D2B"/>
    <w:rPr>
      <w:rFonts w:ascii="Lucida Grande" w:hAnsi="Lucida Grande"/>
      <w:sz w:val="18"/>
      <w:szCs w:val="18"/>
    </w:rPr>
  </w:style>
  <w:style w:type="character" w:styleId="Hyperlink">
    <w:name w:val="Hyperlink"/>
    <w:basedOn w:val="DefaultParagraphFont"/>
    <w:uiPriority w:val="99"/>
    <w:unhideWhenUsed/>
    <w:rsid w:val="00C96BDD"/>
    <w:rPr>
      <w:color w:val="0000FF" w:themeColor="hyperlink"/>
      <w:u w:val="single"/>
    </w:rPr>
  </w:style>
  <w:style w:type="paragraph" w:styleId="Date">
    <w:name w:val="Date"/>
    <w:basedOn w:val="Normal"/>
    <w:next w:val="Normal"/>
    <w:link w:val="DateChar"/>
    <w:uiPriority w:val="1"/>
    <w:qFormat/>
    <w:rsid w:val="00524EA9"/>
    <w:pPr>
      <w:spacing w:after="280" w:line="288" w:lineRule="auto"/>
    </w:pPr>
    <w:rPr>
      <w:rFonts w:asciiTheme="majorHAnsi" w:eastAsiaTheme="minorHAnsi" w:hAnsiTheme="majorHAnsi"/>
      <w:color w:val="4F81BD" w:themeColor="accent1"/>
      <w:sz w:val="26"/>
      <w:szCs w:val="22"/>
    </w:rPr>
  </w:style>
  <w:style w:type="character" w:customStyle="1" w:styleId="DateChar">
    <w:name w:val="Date Char"/>
    <w:basedOn w:val="DefaultParagraphFont"/>
    <w:link w:val="Date"/>
    <w:uiPriority w:val="1"/>
    <w:rsid w:val="00524EA9"/>
    <w:rPr>
      <w:rFonts w:asciiTheme="majorHAnsi" w:eastAsiaTheme="minorHAnsi" w:hAnsiTheme="majorHAnsi"/>
      <w:color w:val="4F81BD" w:themeColor="accent1"/>
      <w:sz w:val="26"/>
      <w:szCs w:val="22"/>
    </w:rPr>
  </w:style>
  <w:style w:type="paragraph" w:customStyle="1" w:styleId="ContactInfo">
    <w:name w:val="Contact Info"/>
    <w:basedOn w:val="Normal"/>
    <w:uiPriority w:val="2"/>
    <w:qFormat/>
    <w:rsid w:val="00524EA9"/>
    <w:pPr>
      <w:spacing w:after="220" w:line="288" w:lineRule="auto"/>
      <w:contextualSpacing/>
    </w:pPr>
    <w:rPr>
      <w:rFonts w:eastAsiaTheme="minorHAnsi"/>
      <w:color w:val="3071C3" w:themeColor="text2" w:themeTint="BF"/>
      <w:sz w:val="22"/>
      <w:szCs w:val="22"/>
    </w:rPr>
  </w:style>
  <w:style w:type="paragraph" w:styleId="Closing">
    <w:name w:val="Closing"/>
    <w:basedOn w:val="Normal"/>
    <w:next w:val="Signature"/>
    <w:link w:val="ClosingChar"/>
    <w:uiPriority w:val="4"/>
    <w:unhideWhenUsed/>
    <w:qFormat/>
    <w:rsid w:val="00524EA9"/>
    <w:pPr>
      <w:spacing w:before="320" w:after="1000"/>
      <w:contextualSpacing/>
    </w:pPr>
    <w:rPr>
      <w:rFonts w:eastAsiaTheme="minorHAnsi"/>
      <w:color w:val="3071C3" w:themeColor="text2" w:themeTint="BF"/>
      <w:sz w:val="22"/>
      <w:szCs w:val="22"/>
    </w:rPr>
  </w:style>
  <w:style w:type="character" w:customStyle="1" w:styleId="ClosingChar">
    <w:name w:val="Closing Char"/>
    <w:basedOn w:val="DefaultParagraphFont"/>
    <w:link w:val="Closing"/>
    <w:uiPriority w:val="4"/>
    <w:rsid w:val="00524EA9"/>
    <w:rPr>
      <w:rFonts w:eastAsiaTheme="minorHAnsi"/>
      <w:color w:val="3071C3" w:themeColor="text2" w:themeTint="BF"/>
      <w:sz w:val="22"/>
      <w:szCs w:val="22"/>
    </w:rPr>
  </w:style>
  <w:style w:type="paragraph" w:styleId="Signature">
    <w:name w:val="Signature"/>
    <w:basedOn w:val="Normal"/>
    <w:next w:val="Normal"/>
    <w:link w:val="SignatureChar"/>
    <w:uiPriority w:val="7"/>
    <w:unhideWhenUsed/>
    <w:qFormat/>
    <w:rsid w:val="00524EA9"/>
    <w:pPr>
      <w:spacing w:after="220" w:line="288" w:lineRule="auto"/>
    </w:pPr>
    <w:rPr>
      <w:rFonts w:eastAsiaTheme="minorHAnsi"/>
      <w:color w:val="3071C3" w:themeColor="text2" w:themeTint="BF"/>
      <w:sz w:val="22"/>
      <w:szCs w:val="22"/>
    </w:rPr>
  </w:style>
  <w:style w:type="character" w:customStyle="1" w:styleId="SignatureChar">
    <w:name w:val="Signature Char"/>
    <w:basedOn w:val="DefaultParagraphFont"/>
    <w:link w:val="Signature"/>
    <w:uiPriority w:val="7"/>
    <w:rsid w:val="00524EA9"/>
    <w:rPr>
      <w:rFonts w:eastAsiaTheme="minorHAnsi"/>
      <w:color w:val="3071C3" w:themeColor="text2" w:themeTint="BF"/>
      <w:sz w:val="22"/>
      <w:szCs w:val="22"/>
    </w:rPr>
  </w:style>
  <w:style w:type="paragraph" w:customStyle="1" w:styleId="Default">
    <w:name w:val="Default"/>
    <w:rsid w:val="00C03527"/>
    <w:pPr>
      <w:autoSpaceDE w:val="0"/>
      <w:autoSpaceDN w:val="0"/>
      <w:adjustRightInd w:val="0"/>
    </w:pPr>
    <w:rPr>
      <w:rFonts w:ascii="Arial" w:eastAsia="Calibri" w:hAnsi="Arial" w:cs="Arial"/>
      <w:color w:val="000000"/>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3301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33013"/>
  </w:style>
  <w:style w:type="character" w:customStyle="1" w:styleId="eop">
    <w:name w:val="eop"/>
    <w:basedOn w:val="DefaultParagraphFont"/>
    <w:rsid w:val="00D33013"/>
  </w:style>
  <w:style w:type="table" w:customStyle="1" w:styleId="ListTable321">
    <w:name w:val="List Table 321"/>
    <w:basedOn w:val="TableNormal"/>
    <w:next w:val="ListTable3"/>
    <w:uiPriority w:val="48"/>
    <w:rsid w:val="00463011"/>
    <w:rPr>
      <w:rFonts w:ascii="Arial" w:eastAsia="Times New Roman" w:hAnsi="Arial" w:cs="Arial"/>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46301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
    <w:basedOn w:val="Normal"/>
    <w:link w:val="FootnoteTextChar"/>
    <w:uiPriority w:val="99"/>
    <w:qFormat/>
    <w:rsid w:val="0004705B"/>
    <w:pPr>
      <w:spacing w:after="120"/>
    </w:pPr>
    <w:rPr>
      <w:rFonts w:ascii="Arial" w:eastAsia="Times New Roman" w:hAnsi="Arial" w:cs="Arial"/>
      <w:sz w:val="20"/>
      <w:szCs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
    <w:basedOn w:val="DefaultParagraphFont"/>
    <w:link w:val="FootnoteText"/>
    <w:uiPriority w:val="99"/>
    <w:rsid w:val="0004705B"/>
    <w:rPr>
      <w:rFonts w:ascii="Arial" w:eastAsia="Times New Roman" w:hAnsi="Arial" w:cs="Arial"/>
      <w:sz w:val="20"/>
      <w:szCs w:val="20"/>
    </w:rPr>
  </w:style>
  <w:style w:type="character" w:styleId="FootnoteReference">
    <w:name w:val="footnote reference"/>
    <w:aliases w:val="0 PIER Footnote Reference,o,fr,Style 3,o1,o2,o3,o4,o5,o6,o11,o21,o7,o + Times New Roman"/>
    <w:basedOn w:val="DefaultParagraphFont"/>
    <w:uiPriority w:val="99"/>
    <w:qFormat/>
    <w:rsid w:val="0004705B"/>
    <w:rPr>
      <w:rFonts w:cs="Times New Roman"/>
      <w:vertAlign w:val="superscript"/>
    </w:rPr>
  </w:style>
  <w:style w:type="paragraph" w:styleId="ListParagraph">
    <w:name w:val="List Paragraph"/>
    <w:aliases w:val="DPAC Alpha Numeric List"/>
    <w:basedOn w:val="Normal"/>
    <w:link w:val="ListParagraphChar"/>
    <w:uiPriority w:val="34"/>
    <w:qFormat/>
    <w:rsid w:val="00D87C37"/>
    <w:pPr>
      <w:ind w:left="720"/>
      <w:contextualSpacing/>
    </w:pPr>
  </w:style>
  <w:style w:type="character" w:styleId="CommentReference">
    <w:name w:val="annotation reference"/>
    <w:uiPriority w:val="99"/>
    <w:rsid w:val="00F329E8"/>
    <w:rPr>
      <w:sz w:val="16"/>
    </w:rPr>
  </w:style>
  <w:style w:type="paragraph" w:styleId="CommentText">
    <w:name w:val="annotation text"/>
    <w:basedOn w:val="Normal"/>
    <w:link w:val="CommentTextChar"/>
    <w:uiPriority w:val="99"/>
    <w:rsid w:val="00F329E8"/>
    <w:pPr>
      <w:spacing w:after="120"/>
    </w:pPr>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F329E8"/>
    <w:rPr>
      <w:rFonts w:ascii="Arial" w:eastAsia="Times New Roman" w:hAnsi="Arial" w:cs="Arial"/>
      <w:sz w:val="20"/>
      <w:szCs w:val="20"/>
    </w:rPr>
  </w:style>
  <w:style w:type="character" w:customStyle="1" w:styleId="ListParagraphChar">
    <w:name w:val="List Paragraph Char"/>
    <w:aliases w:val="DPAC Alpha Numeric List Char"/>
    <w:basedOn w:val="DefaultParagraphFont"/>
    <w:link w:val="ListParagraph"/>
    <w:uiPriority w:val="34"/>
    <w:locked/>
    <w:rsid w:val="00926356"/>
  </w:style>
  <w:style w:type="character" w:styleId="Mention">
    <w:name w:val="Mention"/>
    <w:basedOn w:val="DefaultParagraphFont"/>
    <w:uiPriority w:val="99"/>
    <w:unhideWhenUsed/>
    <w:rsid w:val="00561990"/>
    <w:rPr>
      <w:color w:val="2B579A"/>
      <w:shd w:val="clear" w:color="auto" w:fill="E1DFDD"/>
    </w:rPr>
  </w:style>
  <w:style w:type="paragraph" w:customStyle="1" w:styleId="NumberedStyle">
    <w:name w:val="Numbered Style"/>
    <w:basedOn w:val="Normal"/>
    <w:qFormat/>
    <w:rsid w:val="00B51D4C"/>
    <w:pPr>
      <w:ind w:left="720" w:hanging="360"/>
      <w:jc w:val="both"/>
    </w:pPr>
    <w:rPr>
      <w:rFonts w:ascii="Arial" w:eastAsia="Times New Roman" w:hAnsi="Arial" w:cs="Times New Roman"/>
      <w:sz w:val="22"/>
      <w:szCs w:val="22"/>
    </w:rPr>
  </w:style>
  <w:style w:type="paragraph" w:styleId="CommentSubject">
    <w:name w:val="annotation subject"/>
    <w:basedOn w:val="CommentText"/>
    <w:next w:val="CommentText"/>
    <w:link w:val="CommentSubjectChar"/>
    <w:uiPriority w:val="99"/>
    <w:semiHidden/>
    <w:unhideWhenUsed/>
    <w:rsid w:val="0072118B"/>
    <w:pPr>
      <w:spacing w:after="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72118B"/>
    <w:rPr>
      <w:rFonts w:ascii="Arial" w:eastAsia="Times New Roman" w:hAnsi="Arial" w:cs="Arial"/>
      <w:b/>
      <w:bCs/>
      <w:sz w:val="20"/>
      <w:szCs w:val="20"/>
    </w:rPr>
  </w:style>
  <w:style w:type="character" w:styleId="UnresolvedMention">
    <w:name w:val="Unresolved Mention"/>
    <w:basedOn w:val="DefaultParagraphFont"/>
    <w:uiPriority w:val="99"/>
    <w:unhideWhenUsed/>
    <w:rsid w:val="0072118B"/>
    <w:rPr>
      <w:color w:val="605E5C"/>
      <w:shd w:val="clear" w:color="auto" w:fill="E1DFDD"/>
    </w:rPr>
  </w:style>
  <w:style w:type="character" w:customStyle="1" w:styleId="tabchar">
    <w:name w:val="tabchar"/>
    <w:basedOn w:val="DefaultParagraphFont"/>
    <w:rsid w:val="00122045"/>
  </w:style>
  <w:style w:type="character" w:customStyle="1" w:styleId="spellingerror">
    <w:name w:val="spellingerror"/>
    <w:basedOn w:val="DefaultParagraphFont"/>
    <w:rsid w:val="00122045"/>
  </w:style>
  <w:style w:type="character" w:styleId="FollowedHyperlink">
    <w:name w:val="FollowedHyperlink"/>
    <w:basedOn w:val="DefaultParagraphFont"/>
    <w:uiPriority w:val="99"/>
    <w:semiHidden/>
    <w:unhideWhenUsed/>
    <w:rsid w:val="00496116"/>
    <w:rPr>
      <w:color w:val="800080" w:themeColor="followedHyperlink"/>
      <w:u w:val="single"/>
    </w:rPr>
  </w:style>
  <w:style w:type="paragraph" w:styleId="Revision">
    <w:name w:val="Revision"/>
    <w:hidden/>
    <w:uiPriority w:val="99"/>
    <w:semiHidden/>
    <w:rsid w:val="005454B5"/>
  </w:style>
  <w:style w:type="character" w:customStyle="1" w:styleId="Heading2Char">
    <w:name w:val="Heading 2 Char"/>
    <w:aliases w:val="Heading 2 Char1 Char,Heading 2 Char Char Char"/>
    <w:basedOn w:val="DefaultParagraphFont"/>
    <w:link w:val="Heading2"/>
    <w:rsid w:val="00292E6D"/>
    <w:rPr>
      <w:rFonts w:ascii="Arial" w:eastAsia="Times New Roman" w:hAnsi="Arial" w:cs="Times New Roman"/>
      <w:b/>
      <w:smallCaps/>
      <w:sz w:val="28"/>
      <w:szCs w:val="20"/>
      <w:lang w:val="x-none" w:eastAsia="x-none"/>
    </w:rPr>
  </w:style>
  <w:style w:type="character" w:customStyle="1" w:styleId="Heading3Char">
    <w:name w:val="Heading 3 Char"/>
    <w:basedOn w:val="DefaultParagraphFont"/>
    <w:link w:val="Heading3"/>
    <w:uiPriority w:val="9"/>
    <w:semiHidden/>
    <w:rsid w:val="00292E6D"/>
    <w:rPr>
      <w:rFonts w:asciiTheme="majorHAnsi" w:eastAsiaTheme="majorEastAsia" w:hAnsiTheme="majorHAnsi" w:cstheme="majorBidi"/>
      <w:color w:val="243F60" w:themeColor="accent1" w:themeShade="7F"/>
    </w:rPr>
  </w:style>
  <w:style w:type="paragraph" w:styleId="ListBullet">
    <w:name w:val="List Bullet"/>
    <w:basedOn w:val="Normal"/>
    <w:autoRedefine/>
    <w:rsid w:val="00EA3A5C"/>
    <w:pPr>
      <w:keepLines/>
      <w:widowControl w:val="0"/>
      <w:numPr>
        <w:ilvl w:val="3"/>
        <w:numId w:val="7"/>
      </w:numPr>
      <w:spacing w:after="120"/>
    </w:pPr>
    <w:rPr>
      <w:rFonts w:ascii="Tahoma" w:eastAsia="Tahoma" w:hAnsi="Tahoma" w:cs="Tahoma"/>
      <w:b/>
      <w:bCs/>
      <w:u w:val="single"/>
    </w:rPr>
  </w:style>
  <w:style w:type="character" w:customStyle="1" w:styleId="cf01">
    <w:name w:val="cf01"/>
    <w:basedOn w:val="DefaultParagraphFont"/>
    <w:rsid w:val="002652F2"/>
    <w:rPr>
      <w:rFonts w:ascii="Segoe UI" w:hAnsi="Segoe UI" w:cs="Segoe UI" w:hint="default"/>
      <w:sz w:val="18"/>
      <w:szCs w:val="18"/>
    </w:rPr>
  </w:style>
  <w:style w:type="paragraph" w:styleId="NormalWeb">
    <w:name w:val="Normal (Web)"/>
    <w:basedOn w:val="Normal"/>
    <w:uiPriority w:val="99"/>
    <w:rsid w:val="00414EAF"/>
    <w:pPr>
      <w:spacing w:before="100" w:beforeAutospacing="1" w:after="100" w:afterAutospacing="1"/>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228">
      <w:bodyDiv w:val="1"/>
      <w:marLeft w:val="0"/>
      <w:marRight w:val="0"/>
      <w:marTop w:val="0"/>
      <w:marBottom w:val="0"/>
      <w:divBdr>
        <w:top w:val="none" w:sz="0" w:space="0" w:color="auto"/>
        <w:left w:val="none" w:sz="0" w:space="0" w:color="auto"/>
        <w:bottom w:val="none" w:sz="0" w:space="0" w:color="auto"/>
        <w:right w:val="none" w:sz="0" w:space="0" w:color="auto"/>
      </w:divBdr>
      <w:divsChild>
        <w:div w:id="1708488669">
          <w:marLeft w:val="0"/>
          <w:marRight w:val="0"/>
          <w:marTop w:val="0"/>
          <w:marBottom w:val="0"/>
          <w:divBdr>
            <w:top w:val="none" w:sz="0" w:space="0" w:color="auto"/>
            <w:left w:val="none" w:sz="0" w:space="0" w:color="auto"/>
            <w:bottom w:val="none" w:sz="0" w:space="0" w:color="auto"/>
            <w:right w:val="none" w:sz="0" w:space="0" w:color="auto"/>
          </w:divBdr>
          <w:divsChild>
            <w:div w:id="16513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4454">
      <w:bodyDiv w:val="1"/>
      <w:marLeft w:val="0"/>
      <w:marRight w:val="0"/>
      <w:marTop w:val="0"/>
      <w:marBottom w:val="0"/>
      <w:divBdr>
        <w:top w:val="none" w:sz="0" w:space="0" w:color="auto"/>
        <w:left w:val="none" w:sz="0" w:space="0" w:color="auto"/>
        <w:bottom w:val="none" w:sz="0" w:space="0" w:color="auto"/>
        <w:right w:val="none" w:sz="0" w:space="0" w:color="auto"/>
      </w:divBdr>
    </w:div>
    <w:div w:id="160900976">
      <w:bodyDiv w:val="1"/>
      <w:marLeft w:val="0"/>
      <w:marRight w:val="0"/>
      <w:marTop w:val="0"/>
      <w:marBottom w:val="0"/>
      <w:divBdr>
        <w:top w:val="none" w:sz="0" w:space="0" w:color="auto"/>
        <w:left w:val="none" w:sz="0" w:space="0" w:color="auto"/>
        <w:bottom w:val="none" w:sz="0" w:space="0" w:color="auto"/>
        <w:right w:val="none" w:sz="0" w:space="0" w:color="auto"/>
      </w:divBdr>
    </w:div>
    <w:div w:id="707294577">
      <w:bodyDiv w:val="1"/>
      <w:marLeft w:val="0"/>
      <w:marRight w:val="0"/>
      <w:marTop w:val="0"/>
      <w:marBottom w:val="0"/>
      <w:divBdr>
        <w:top w:val="none" w:sz="0" w:space="0" w:color="auto"/>
        <w:left w:val="none" w:sz="0" w:space="0" w:color="auto"/>
        <w:bottom w:val="none" w:sz="0" w:space="0" w:color="auto"/>
        <w:right w:val="none" w:sz="0" w:space="0" w:color="auto"/>
      </w:divBdr>
      <w:divsChild>
        <w:div w:id="1103113295">
          <w:marLeft w:val="0"/>
          <w:marRight w:val="0"/>
          <w:marTop w:val="0"/>
          <w:marBottom w:val="0"/>
          <w:divBdr>
            <w:top w:val="none" w:sz="0" w:space="0" w:color="auto"/>
            <w:left w:val="none" w:sz="0" w:space="0" w:color="auto"/>
            <w:bottom w:val="none" w:sz="0" w:space="0" w:color="auto"/>
            <w:right w:val="none" w:sz="0" w:space="0" w:color="auto"/>
          </w:divBdr>
        </w:div>
        <w:div w:id="1963074974">
          <w:marLeft w:val="0"/>
          <w:marRight w:val="0"/>
          <w:marTop w:val="0"/>
          <w:marBottom w:val="0"/>
          <w:divBdr>
            <w:top w:val="none" w:sz="0" w:space="0" w:color="auto"/>
            <w:left w:val="none" w:sz="0" w:space="0" w:color="auto"/>
            <w:bottom w:val="none" w:sz="0" w:space="0" w:color="auto"/>
            <w:right w:val="none" w:sz="0" w:space="0" w:color="auto"/>
          </w:divBdr>
        </w:div>
      </w:divsChild>
    </w:div>
    <w:div w:id="746996601">
      <w:bodyDiv w:val="1"/>
      <w:marLeft w:val="0"/>
      <w:marRight w:val="0"/>
      <w:marTop w:val="0"/>
      <w:marBottom w:val="0"/>
      <w:divBdr>
        <w:top w:val="none" w:sz="0" w:space="0" w:color="auto"/>
        <w:left w:val="none" w:sz="0" w:space="0" w:color="auto"/>
        <w:bottom w:val="none" w:sz="0" w:space="0" w:color="auto"/>
        <w:right w:val="none" w:sz="0" w:space="0" w:color="auto"/>
      </w:divBdr>
      <w:divsChild>
        <w:div w:id="95709890">
          <w:marLeft w:val="0"/>
          <w:marRight w:val="0"/>
          <w:marTop w:val="0"/>
          <w:marBottom w:val="0"/>
          <w:divBdr>
            <w:top w:val="none" w:sz="0" w:space="0" w:color="auto"/>
            <w:left w:val="none" w:sz="0" w:space="0" w:color="auto"/>
            <w:bottom w:val="none" w:sz="0" w:space="0" w:color="auto"/>
            <w:right w:val="none" w:sz="0" w:space="0" w:color="auto"/>
          </w:divBdr>
          <w:divsChild>
            <w:div w:id="1738479277">
              <w:marLeft w:val="0"/>
              <w:marRight w:val="0"/>
              <w:marTop w:val="0"/>
              <w:marBottom w:val="0"/>
              <w:divBdr>
                <w:top w:val="none" w:sz="0" w:space="0" w:color="auto"/>
                <w:left w:val="none" w:sz="0" w:space="0" w:color="auto"/>
                <w:bottom w:val="none" w:sz="0" w:space="0" w:color="auto"/>
                <w:right w:val="none" w:sz="0" w:space="0" w:color="auto"/>
              </w:divBdr>
            </w:div>
          </w:divsChild>
        </w:div>
        <w:div w:id="205412887">
          <w:marLeft w:val="0"/>
          <w:marRight w:val="0"/>
          <w:marTop w:val="0"/>
          <w:marBottom w:val="0"/>
          <w:divBdr>
            <w:top w:val="none" w:sz="0" w:space="0" w:color="auto"/>
            <w:left w:val="none" w:sz="0" w:space="0" w:color="auto"/>
            <w:bottom w:val="none" w:sz="0" w:space="0" w:color="auto"/>
            <w:right w:val="none" w:sz="0" w:space="0" w:color="auto"/>
          </w:divBdr>
          <w:divsChild>
            <w:div w:id="394857296">
              <w:marLeft w:val="0"/>
              <w:marRight w:val="0"/>
              <w:marTop w:val="0"/>
              <w:marBottom w:val="0"/>
              <w:divBdr>
                <w:top w:val="none" w:sz="0" w:space="0" w:color="auto"/>
                <w:left w:val="none" w:sz="0" w:space="0" w:color="auto"/>
                <w:bottom w:val="none" w:sz="0" w:space="0" w:color="auto"/>
                <w:right w:val="none" w:sz="0" w:space="0" w:color="auto"/>
              </w:divBdr>
            </w:div>
          </w:divsChild>
        </w:div>
        <w:div w:id="270746979">
          <w:marLeft w:val="0"/>
          <w:marRight w:val="0"/>
          <w:marTop w:val="0"/>
          <w:marBottom w:val="0"/>
          <w:divBdr>
            <w:top w:val="none" w:sz="0" w:space="0" w:color="auto"/>
            <w:left w:val="none" w:sz="0" w:space="0" w:color="auto"/>
            <w:bottom w:val="none" w:sz="0" w:space="0" w:color="auto"/>
            <w:right w:val="none" w:sz="0" w:space="0" w:color="auto"/>
          </w:divBdr>
          <w:divsChild>
            <w:div w:id="228075463">
              <w:marLeft w:val="0"/>
              <w:marRight w:val="0"/>
              <w:marTop w:val="0"/>
              <w:marBottom w:val="0"/>
              <w:divBdr>
                <w:top w:val="none" w:sz="0" w:space="0" w:color="auto"/>
                <w:left w:val="none" w:sz="0" w:space="0" w:color="auto"/>
                <w:bottom w:val="none" w:sz="0" w:space="0" w:color="auto"/>
                <w:right w:val="none" w:sz="0" w:space="0" w:color="auto"/>
              </w:divBdr>
            </w:div>
          </w:divsChild>
        </w:div>
        <w:div w:id="272858109">
          <w:marLeft w:val="0"/>
          <w:marRight w:val="0"/>
          <w:marTop w:val="0"/>
          <w:marBottom w:val="0"/>
          <w:divBdr>
            <w:top w:val="none" w:sz="0" w:space="0" w:color="auto"/>
            <w:left w:val="none" w:sz="0" w:space="0" w:color="auto"/>
            <w:bottom w:val="none" w:sz="0" w:space="0" w:color="auto"/>
            <w:right w:val="none" w:sz="0" w:space="0" w:color="auto"/>
          </w:divBdr>
          <w:divsChild>
            <w:div w:id="642665174">
              <w:marLeft w:val="0"/>
              <w:marRight w:val="0"/>
              <w:marTop w:val="0"/>
              <w:marBottom w:val="0"/>
              <w:divBdr>
                <w:top w:val="none" w:sz="0" w:space="0" w:color="auto"/>
                <w:left w:val="none" w:sz="0" w:space="0" w:color="auto"/>
                <w:bottom w:val="none" w:sz="0" w:space="0" w:color="auto"/>
                <w:right w:val="none" w:sz="0" w:space="0" w:color="auto"/>
              </w:divBdr>
            </w:div>
          </w:divsChild>
        </w:div>
        <w:div w:id="393627506">
          <w:marLeft w:val="0"/>
          <w:marRight w:val="0"/>
          <w:marTop w:val="0"/>
          <w:marBottom w:val="0"/>
          <w:divBdr>
            <w:top w:val="none" w:sz="0" w:space="0" w:color="auto"/>
            <w:left w:val="none" w:sz="0" w:space="0" w:color="auto"/>
            <w:bottom w:val="none" w:sz="0" w:space="0" w:color="auto"/>
            <w:right w:val="none" w:sz="0" w:space="0" w:color="auto"/>
          </w:divBdr>
          <w:divsChild>
            <w:div w:id="1150319071">
              <w:marLeft w:val="0"/>
              <w:marRight w:val="0"/>
              <w:marTop w:val="0"/>
              <w:marBottom w:val="0"/>
              <w:divBdr>
                <w:top w:val="none" w:sz="0" w:space="0" w:color="auto"/>
                <w:left w:val="none" w:sz="0" w:space="0" w:color="auto"/>
                <w:bottom w:val="none" w:sz="0" w:space="0" w:color="auto"/>
                <w:right w:val="none" w:sz="0" w:space="0" w:color="auto"/>
              </w:divBdr>
            </w:div>
          </w:divsChild>
        </w:div>
        <w:div w:id="475413494">
          <w:marLeft w:val="0"/>
          <w:marRight w:val="0"/>
          <w:marTop w:val="0"/>
          <w:marBottom w:val="0"/>
          <w:divBdr>
            <w:top w:val="none" w:sz="0" w:space="0" w:color="auto"/>
            <w:left w:val="none" w:sz="0" w:space="0" w:color="auto"/>
            <w:bottom w:val="none" w:sz="0" w:space="0" w:color="auto"/>
            <w:right w:val="none" w:sz="0" w:space="0" w:color="auto"/>
          </w:divBdr>
          <w:divsChild>
            <w:div w:id="1195576989">
              <w:marLeft w:val="0"/>
              <w:marRight w:val="0"/>
              <w:marTop w:val="0"/>
              <w:marBottom w:val="0"/>
              <w:divBdr>
                <w:top w:val="none" w:sz="0" w:space="0" w:color="auto"/>
                <w:left w:val="none" w:sz="0" w:space="0" w:color="auto"/>
                <w:bottom w:val="none" w:sz="0" w:space="0" w:color="auto"/>
                <w:right w:val="none" w:sz="0" w:space="0" w:color="auto"/>
              </w:divBdr>
            </w:div>
          </w:divsChild>
        </w:div>
        <w:div w:id="639501702">
          <w:marLeft w:val="0"/>
          <w:marRight w:val="0"/>
          <w:marTop w:val="0"/>
          <w:marBottom w:val="0"/>
          <w:divBdr>
            <w:top w:val="none" w:sz="0" w:space="0" w:color="auto"/>
            <w:left w:val="none" w:sz="0" w:space="0" w:color="auto"/>
            <w:bottom w:val="none" w:sz="0" w:space="0" w:color="auto"/>
            <w:right w:val="none" w:sz="0" w:space="0" w:color="auto"/>
          </w:divBdr>
          <w:divsChild>
            <w:div w:id="1493838024">
              <w:marLeft w:val="0"/>
              <w:marRight w:val="0"/>
              <w:marTop w:val="0"/>
              <w:marBottom w:val="0"/>
              <w:divBdr>
                <w:top w:val="none" w:sz="0" w:space="0" w:color="auto"/>
                <w:left w:val="none" w:sz="0" w:space="0" w:color="auto"/>
                <w:bottom w:val="none" w:sz="0" w:space="0" w:color="auto"/>
                <w:right w:val="none" w:sz="0" w:space="0" w:color="auto"/>
              </w:divBdr>
            </w:div>
          </w:divsChild>
        </w:div>
        <w:div w:id="739791577">
          <w:marLeft w:val="0"/>
          <w:marRight w:val="0"/>
          <w:marTop w:val="0"/>
          <w:marBottom w:val="0"/>
          <w:divBdr>
            <w:top w:val="none" w:sz="0" w:space="0" w:color="auto"/>
            <w:left w:val="none" w:sz="0" w:space="0" w:color="auto"/>
            <w:bottom w:val="none" w:sz="0" w:space="0" w:color="auto"/>
            <w:right w:val="none" w:sz="0" w:space="0" w:color="auto"/>
          </w:divBdr>
          <w:divsChild>
            <w:div w:id="1240870506">
              <w:marLeft w:val="0"/>
              <w:marRight w:val="0"/>
              <w:marTop w:val="0"/>
              <w:marBottom w:val="0"/>
              <w:divBdr>
                <w:top w:val="none" w:sz="0" w:space="0" w:color="auto"/>
                <w:left w:val="none" w:sz="0" w:space="0" w:color="auto"/>
                <w:bottom w:val="none" w:sz="0" w:space="0" w:color="auto"/>
                <w:right w:val="none" w:sz="0" w:space="0" w:color="auto"/>
              </w:divBdr>
            </w:div>
          </w:divsChild>
        </w:div>
        <w:div w:id="762258641">
          <w:marLeft w:val="0"/>
          <w:marRight w:val="0"/>
          <w:marTop w:val="0"/>
          <w:marBottom w:val="0"/>
          <w:divBdr>
            <w:top w:val="none" w:sz="0" w:space="0" w:color="auto"/>
            <w:left w:val="none" w:sz="0" w:space="0" w:color="auto"/>
            <w:bottom w:val="none" w:sz="0" w:space="0" w:color="auto"/>
            <w:right w:val="none" w:sz="0" w:space="0" w:color="auto"/>
          </w:divBdr>
          <w:divsChild>
            <w:div w:id="341200466">
              <w:marLeft w:val="0"/>
              <w:marRight w:val="0"/>
              <w:marTop w:val="0"/>
              <w:marBottom w:val="0"/>
              <w:divBdr>
                <w:top w:val="none" w:sz="0" w:space="0" w:color="auto"/>
                <w:left w:val="none" w:sz="0" w:space="0" w:color="auto"/>
                <w:bottom w:val="none" w:sz="0" w:space="0" w:color="auto"/>
                <w:right w:val="none" w:sz="0" w:space="0" w:color="auto"/>
              </w:divBdr>
            </w:div>
          </w:divsChild>
        </w:div>
        <w:div w:id="770317321">
          <w:marLeft w:val="0"/>
          <w:marRight w:val="0"/>
          <w:marTop w:val="0"/>
          <w:marBottom w:val="0"/>
          <w:divBdr>
            <w:top w:val="none" w:sz="0" w:space="0" w:color="auto"/>
            <w:left w:val="none" w:sz="0" w:space="0" w:color="auto"/>
            <w:bottom w:val="none" w:sz="0" w:space="0" w:color="auto"/>
            <w:right w:val="none" w:sz="0" w:space="0" w:color="auto"/>
          </w:divBdr>
          <w:divsChild>
            <w:div w:id="765345521">
              <w:marLeft w:val="0"/>
              <w:marRight w:val="0"/>
              <w:marTop w:val="0"/>
              <w:marBottom w:val="0"/>
              <w:divBdr>
                <w:top w:val="none" w:sz="0" w:space="0" w:color="auto"/>
                <w:left w:val="none" w:sz="0" w:space="0" w:color="auto"/>
                <w:bottom w:val="none" w:sz="0" w:space="0" w:color="auto"/>
                <w:right w:val="none" w:sz="0" w:space="0" w:color="auto"/>
              </w:divBdr>
            </w:div>
          </w:divsChild>
        </w:div>
        <w:div w:id="808669657">
          <w:marLeft w:val="0"/>
          <w:marRight w:val="0"/>
          <w:marTop w:val="0"/>
          <w:marBottom w:val="0"/>
          <w:divBdr>
            <w:top w:val="none" w:sz="0" w:space="0" w:color="auto"/>
            <w:left w:val="none" w:sz="0" w:space="0" w:color="auto"/>
            <w:bottom w:val="none" w:sz="0" w:space="0" w:color="auto"/>
            <w:right w:val="none" w:sz="0" w:space="0" w:color="auto"/>
          </w:divBdr>
          <w:divsChild>
            <w:div w:id="1558668196">
              <w:marLeft w:val="0"/>
              <w:marRight w:val="0"/>
              <w:marTop w:val="0"/>
              <w:marBottom w:val="0"/>
              <w:divBdr>
                <w:top w:val="none" w:sz="0" w:space="0" w:color="auto"/>
                <w:left w:val="none" w:sz="0" w:space="0" w:color="auto"/>
                <w:bottom w:val="none" w:sz="0" w:space="0" w:color="auto"/>
                <w:right w:val="none" w:sz="0" w:space="0" w:color="auto"/>
              </w:divBdr>
            </w:div>
          </w:divsChild>
        </w:div>
        <w:div w:id="905532456">
          <w:marLeft w:val="0"/>
          <w:marRight w:val="0"/>
          <w:marTop w:val="0"/>
          <w:marBottom w:val="0"/>
          <w:divBdr>
            <w:top w:val="none" w:sz="0" w:space="0" w:color="auto"/>
            <w:left w:val="none" w:sz="0" w:space="0" w:color="auto"/>
            <w:bottom w:val="none" w:sz="0" w:space="0" w:color="auto"/>
            <w:right w:val="none" w:sz="0" w:space="0" w:color="auto"/>
          </w:divBdr>
          <w:divsChild>
            <w:div w:id="1973363796">
              <w:marLeft w:val="0"/>
              <w:marRight w:val="0"/>
              <w:marTop w:val="0"/>
              <w:marBottom w:val="0"/>
              <w:divBdr>
                <w:top w:val="none" w:sz="0" w:space="0" w:color="auto"/>
                <w:left w:val="none" w:sz="0" w:space="0" w:color="auto"/>
                <w:bottom w:val="none" w:sz="0" w:space="0" w:color="auto"/>
                <w:right w:val="none" w:sz="0" w:space="0" w:color="auto"/>
              </w:divBdr>
            </w:div>
          </w:divsChild>
        </w:div>
        <w:div w:id="943461158">
          <w:marLeft w:val="0"/>
          <w:marRight w:val="0"/>
          <w:marTop w:val="0"/>
          <w:marBottom w:val="0"/>
          <w:divBdr>
            <w:top w:val="none" w:sz="0" w:space="0" w:color="auto"/>
            <w:left w:val="none" w:sz="0" w:space="0" w:color="auto"/>
            <w:bottom w:val="none" w:sz="0" w:space="0" w:color="auto"/>
            <w:right w:val="none" w:sz="0" w:space="0" w:color="auto"/>
          </w:divBdr>
          <w:divsChild>
            <w:div w:id="1271202277">
              <w:marLeft w:val="0"/>
              <w:marRight w:val="0"/>
              <w:marTop w:val="0"/>
              <w:marBottom w:val="0"/>
              <w:divBdr>
                <w:top w:val="none" w:sz="0" w:space="0" w:color="auto"/>
                <w:left w:val="none" w:sz="0" w:space="0" w:color="auto"/>
                <w:bottom w:val="none" w:sz="0" w:space="0" w:color="auto"/>
                <w:right w:val="none" w:sz="0" w:space="0" w:color="auto"/>
              </w:divBdr>
            </w:div>
          </w:divsChild>
        </w:div>
        <w:div w:id="949509202">
          <w:marLeft w:val="0"/>
          <w:marRight w:val="0"/>
          <w:marTop w:val="0"/>
          <w:marBottom w:val="0"/>
          <w:divBdr>
            <w:top w:val="none" w:sz="0" w:space="0" w:color="auto"/>
            <w:left w:val="none" w:sz="0" w:space="0" w:color="auto"/>
            <w:bottom w:val="none" w:sz="0" w:space="0" w:color="auto"/>
            <w:right w:val="none" w:sz="0" w:space="0" w:color="auto"/>
          </w:divBdr>
          <w:divsChild>
            <w:div w:id="421609808">
              <w:marLeft w:val="0"/>
              <w:marRight w:val="0"/>
              <w:marTop w:val="0"/>
              <w:marBottom w:val="0"/>
              <w:divBdr>
                <w:top w:val="none" w:sz="0" w:space="0" w:color="auto"/>
                <w:left w:val="none" w:sz="0" w:space="0" w:color="auto"/>
                <w:bottom w:val="none" w:sz="0" w:space="0" w:color="auto"/>
                <w:right w:val="none" w:sz="0" w:space="0" w:color="auto"/>
              </w:divBdr>
            </w:div>
          </w:divsChild>
        </w:div>
        <w:div w:id="989480732">
          <w:marLeft w:val="0"/>
          <w:marRight w:val="0"/>
          <w:marTop w:val="0"/>
          <w:marBottom w:val="0"/>
          <w:divBdr>
            <w:top w:val="none" w:sz="0" w:space="0" w:color="auto"/>
            <w:left w:val="none" w:sz="0" w:space="0" w:color="auto"/>
            <w:bottom w:val="none" w:sz="0" w:space="0" w:color="auto"/>
            <w:right w:val="none" w:sz="0" w:space="0" w:color="auto"/>
          </w:divBdr>
          <w:divsChild>
            <w:div w:id="1921476126">
              <w:marLeft w:val="0"/>
              <w:marRight w:val="0"/>
              <w:marTop w:val="0"/>
              <w:marBottom w:val="0"/>
              <w:divBdr>
                <w:top w:val="none" w:sz="0" w:space="0" w:color="auto"/>
                <w:left w:val="none" w:sz="0" w:space="0" w:color="auto"/>
                <w:bottom w:val="none" w:sz="0" w:space="0" w:color="auto"/>
                <w:right w:val="none" w:sz="0" w:space="0" w:color="auto"/>
              </w:divBdr>
            </w:div>
          </w:divsChild>
        </w:div>
        <w:div w:id="1065034331">
          <w:marLeft w:val="0"/>
          <w:marRight w:val="0"/>
          <w:marTop w:val="0"/>
          <w:marBottom w:val="0"/>
          <w:divBdr>
            <w:top w:val="none" w:sz="0" w:space="0" w:color="auto"/>
            <w:left w:val="none" w:sz="0" w:space="0" w:color="auto"/>
            <w:bottom w:val="none" w:sz="0" w:space="0" w:color="auto"/>
            <w:right w:val="none" w:sz="0" w:space="0" w:color="auto"/>
          </w:divBdr>
          <w:divsChild>
            <w:div w:id="1759906391">
              <w:marLeft w:val="0"/>
              <w:marRight w:val="0"/>
              <w:marTop w:val="0"/>
              <w:marBottom w:val="0"/>
              <w:divBdr>
                <w:top w:val="none" w:sz="0" w:space="0" w:color="auto"/>
                <w:left w:val="none" w:sz="0" w:space="0" w:color="auto"/>
                <w:bottom w:val="none" w:sz="0" w:space="0" w:color="auto"/>
                <w:right w:val="none" w:sz="0" w:space="0" w:color="auto"/>
              </w:divBdr>
            </w:div>
          </w:divsChild>
        </w:div>
        <w:div w:id="1155953195">
          <w:marLeft w:val="0"/>
          <w:marRight w:val="0"/>
          <w:marTop w:val="0"/>
          <w:marBottom w:val="0"/>
          <w:divBdr>
            <w:top w:val="none" w:sz="0" w:space="0" w:color="auto"/>
            <w:left w:val="none" w:sz="0" w:space="0" w:color="auto"/>
            <w:bottom w:val="none" w:sz="0" w:space="0" w:color="auto"/>
            <w:right w:val="none" w:sz="0" w:space="0" w:color="auto"/>
          </w:divBdr>
          <w:divsChild>
            <w:div w:id="471289680">
              <w:marLeft w:val="0"/>
              <w:marRight w:val="0"/>
              <w:marTop w:val="0"/>
              <w:marBottom w:val="0"/>
              <w:divBdr>
                <w:top w:val="none" w:sz="0" w:space="0" w:color="auto"/>
                <w:left w:val="none" w:sz="0" w:space="0" w:color="auto"/>
                <w:bottom w:val="none" w:sz="0" w:space="0" w:color="auto"/>
                <w:right w:val="none" w:sz="0" w:space="0" w:color="auto"/>
              </w:divBdr>
            </w:div>
          </w:divsChild>
        </w:div>
        <w:div w:id="1347293777">
          <w:marLeft w:val="0"/>
          <w:marRight w:val="0"/>
          <w:marTop w:val="0"/>
          <w:marBottom w:val="0"/>
          <w:divBdr>
            <w:top w:val="none" w:sz="0" w:space="0" w:color="auto"/>
            <w:left w:val="none" w:sz="0" w:space="0" w:color="auto"/>
            <w:bottom w:val="none" w:sz="0" w:space="0" w:color="auto"/>
            <w:right w:val="none" w:sz="0" w:space="0" w:color="auto"/>
          </w:divBdr>
          <w:divsChild>
            <w:div w:id="1320114608">
              <w:marLeft w:val="0"/>
              <w:marRight w:val="0"/>
              <w:marTop w:val="0"/>
              <w:marBottom w:val="0"/>
              <w:divBdr>
                <w:top w:val="none" w:sz="0" w:space="0" w:color="auto"/>
                <w:left w:val="none" w:sz="0" w:space="0" w:color="auto"/>
                <w:bottom w:val="none" w:sz="0" w:space="0" w:color="auto"/>
                <w:right w:val="none" w:sz="0" w:space="0" w:color="auto"/>
              </w:divBdr>
            </w:div>
            <w:div w:id="1941257869">
              <w:marLeft w:val="0"/>
              <w:marRight w:val="0"/>
              <w:marTop w:val="0"/>
              <w:marBottom w:val="0"/>
              <w:divBdr>
                <w:top w:val="none" w:sz="0" w:space="0" w:color="auto"/>
                <w:left w:val="none" w:sz="0" w:space="0" w:color="auto"/>
                <w:bottom w:val="none" w:sz="0" w:space="0" w:color="auto"/>
                <w:right w:val="none" w:sz="0" w:space="0" w:color="auto"/>
              </w:divBdr>
            </w:div>
          </w:divsChild>
        </w:div>
        <w:div w:id="1414736039">
          <w:marLeft w:val="0"/>
          <w:marRight w:val="0"/>
          <w:marTop w:val="0"/>
          <w:marBottom w:val="0"/>
          <w:divBdr>
            <w:top w:val="none" w:sz="0" w:space="0" w:color="auto"/>
            <w:left w:val="none" w:sz="0" w:space="0" w:color="auto"/>
            <w:bottom w:val="none" w:sz="0" w:space="0" w:color="auto"/>
            <w:right w:val="none" w:sz="0" w:space="0" w:color="auto"/>
          </w:divBdr>
          <w:divsChild>
            <w:div w:id="1087769329">
              <w:marLeft w:val="0"/>
              <w:marRight w:val="0"/>
              <w:marTop w:val="0"/>
              <w:marBottom w:val="0"/>
              <w:divBdr>
                <w:top w:val="none" w:sz="0" w:space="0" w:color="auto"/>
                <w:left w:val="none" w:sz="0" w:space="0" w:color="auto"/>
                <w:bottom w:val="none" w:sz="0" w:space="0" w:color="auto"/>
                <w:right w:val="none" w:sz="0" w:space="0" w:color="auto"/>
              </w:divBdr>
            </w:div>
          </w:divsChild>
        </w:div>
        <w:div w:id="1427143746">
          <w:marLeft w:val="0"/>
          <w:marRight w:val="0"/>
          <w:marTop w:val="0"/>
          <w:marBottom w:val="0"/>
          <w:divBdr>
            <w:top w:val="none" w:sz="0" w:space="0" w:color="auto"/>
            <w:left w:val="none" w:sz="0" w:space="0" w:color="auto"/>
            <w:bottom w:val="none" w:sz="0" w:space="0" w:color="auto"/>
            <w:right w:val="none" w:sz="0" w:space="0" w:color="auto"/>
          </w:divBdr>
          <w:divsChild>
            <w:div w:id="537788792">
              <w:marLeft w:val="0"/>
              <w:marRight w:val="0"/>
              <w:marTop w:val="0"/>
              <w:marBottom w:val="0"/>
              <w:divBdr>
                <w:top w:val="none" w:sz="0" w:space="0" w:color="auto"/>
                <w:left w:val="none" w:sz="0" w:space="0" w:color="auto"/>
                <w:bottom w:val="none" w:sz="0" w:space="0" w:color="auto"/>
                <w:right w:val="none" w:sz="0" w:space="0" w:color="auto"/>
              </w:divBdr>
            </w:div>
          </w:divsChild>
        </w:div>
        <w:div w:id="1555581170">
          <w:marLeft w:val="0"/>
          <w:marRight w:val="0"/>
          <w:marTop w:val="0"/>
          <w:marBottom w:val="0"/>
          <w:divBdr>
            <w:top w:val="none" w:sz="0" w:space="0" w:color="auto"/>
            <w:left w:val="none" w:sz="0" w:space="0" w:color="auto"/>
            <w:bottom w:val="none" w:sz="0" w:space="0" w:color="auto"/>
            <w:right w:val="none" w:sz="0" w:space="0" w:color="auto"/>
          </w:divBdr>
          <w:divsChild>
            <w:div w:id="819541749">
              <w:marLeft w:val="0"/>
              <w:marRight w:val="0"/>
              <w:marTop w:val="0"/>
              <w:marBottom w:val="0"/>
              <w:divBdr>
                <w:top w:val="none" w:sz="0" w:space="0" w:color="auto"/>
                <w:left w:val="none" w:sz="0" w:space="0" w:color="auto"/>
                <w:bottom w:val="none" w:sz="0" w:space="0" w:color="auto"/>
                <w:right w:val="none" w:sz="0" w:space="0" w:color="auto"/>
              </w:divBdr>
            </w:div>
          </w:divsChild>
        </w:div>
        <w:div w:id="1628119360">
          <w:marLeft w:val="0"/>
          <w:marRight w:val="0"/>
          <w:marTop w:val="0"/>
          <w:marBottom w:val="0"/>
          <w:divBdr>
            <w:top w:val="none" w:sz="0" w:space="0" w:color="auto"/>
            <w:left w:val="none" w:sz="0" w:space="0" w:color="auto"/>
            <w:bottom w:val="none" w:sz="0" w:space="0" w:color="auto"/>
            <w:right w:val="none" w:sz="0" w:space="0" w:color="auto"/>
          </w:divBdr>
          <w:divsChild>
            <w:div w:id="140468677">
              <w:marLeft w:val="0"/>
              <w:marRight w:val="0"/>
              <w:marTop w:val="0"/>
              <w:marBottom w:val="0"/>
              <w:divBdr>
                <w:top w:val="none" w:sz="0" w:space="0" w:color="auto"/>
                <w:left w:val="none" w:sz="0" w:space="0" w:color="auto"/>
                <w:bottom w:val="none" w:sz="0" w:space="0" w:color="auto"/>
                <w:right w:val="none" w:sz="0" w:space="0" w:color="auto"/>
              </w:divBdr>
            </w:div>
          </w:divsChild>
        </w:div>
        <w:div w:id="1804694698">
          <w:marLeft w:val="0"/>
          <w:marRight w:val="0"/>
          <w:marTop w:val="0"/>
          <w:marBottom w:val="0"/>
          <w:divBdr>
            <w:top w:val="none" w:sz="0" w:space="0" w:color="auto"/>
            <w:left w:val="none" w:sz="0" w:space="0" w:color="auto"/>
            <w:bottom w:val="none" w:sz="0" w:space="0" w:color="auto"/>
            <w:right w:val="none" w:sz="0" w:space="0" w:color="auto"/>
          </w:divBdr>
          <w:divsChild>
            <w:div w:id="153692059">
              <w:marLeft w:val="0"/>
              <w:marRight w:val="0"/>
              <w:marTop w:val="0"/>
              <w:marBottom w:val="0"/>
              <w:divBdr>
                <w:top w:val="none" w:sz="0" w:space="0" w:color="auto"/>
                <w:left w:val="none" w:sz="0" w:space="0" w:color="auto"/>
                <w:bottom w:val="none" w:sz="0" w:space="0" w:color="auto"/>
                <w:right w:val="none" w:sz="0" w:space="0" w:color="auto"/>
              </w:divBdr>
            </w:div>
          </w:divsChild>
        </w:div>
        <w:div w:id="1842428787">
          <w:marLeft w:val="0"/>
          <w:marRight w:val="0"/>
          <w:marTop w:val="0"/>
          <w:marBottom w:val="0"/>
          <w:divBdr>
            <w:top w:val="none" w:sz="0" w:space="0" w:color="auto"/>
            <w:left w:val="none" w:sz="0" w:space="0" w:color="auto"/>
            <w:bottom w:val="none" w:sz="0" w:space="0" w:color="auto"/>
            <w:right w:val="none" w:sz="0" w:space="0" w:color="auto"/>
          </w:divBdr>
          <w:divsChild>
            <w:div w:id="21254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776084">
      <w:bodyDiv w:val="1"/>
      <w:marLeft w:val="0"/>
      <w:marRight w:val="0"/>
      <w:marTop w:val="0"/>
      <w:marBottom w:val="0"/>
      <w:divBdr>
        <w:top w:val="none" w:sz="0" w:space="0" w:color="auto"/>
        <w:left w:val="none" w:sz="0" w:space="0" w:color="auto"/>
        <w:bottom w:val="none" w:sz="0" w:space="0" w:color="auto"/>
        <w:right w:val="none" w:sz="0" w:space="0" w:color="auto"/>
      </w:divBdr>
      <w:divsChild>
        <w:div w:id="409734129">
          <w:marLeft w:val="0"/>
          <w:marRight w:val="0"/>
          <w:marTop w:val="0"/>
          <w:marBottom w:val="0"/>
          <w:divBdr>
            <w:top w:val="none" w:sz="0" w:space="0" w:color="auto"/>
            <w:left w:val="none" w:sz="0" w:space="0" w:color="auto"/>
            <w:bottom w:val="none" w:sz="0" w:space="0" w:color="auto"/>
            <w:right w:val="none" w:sz="0" w:space="0" w:color="auto"/>
          </w:divBdr>
        </w:div>
        <w:div w:id="697124411">
          <w:marLeft w:val="0"/>
          <w:marRight w:val="0"/>
          <w:marTop w:val="0"/>
          <w:marBottom w:val="0"/>
          <w:divBdr>
            <w:top w:val="none" w:sz="0" w:space="0" w:color="auto"/>
            <w:left w:val="none" w:sz="0" w:space="0" w:color="auto"/>
            <w:bottom w:val="none" w:sz="0" w:space="0" w:color="auto"/>
            <w:right w:val="none" w:sz="0" w:space="0" w:color="auto"/>
          </w:divBdr>
        </w:div>
        <w:div w:id="740980996">
          <w:marLeft w:val="0"/>
          <w:marRight w:val="0"/>
          <w:marTop w:val="0"/>
          <w:marBottom w:val="0"/>
          <w:divBdr>
            <w:top w:val="none" w:sz="0" w:space="0" w:color="auto"/>
            <w:left w:val="none" w:sz="0" w:space="0" w:color="auto"/>
            <w:bottom w:val="none" w:sz="0" w:space="0" w:color="auto"/>
            <w:right w:val="none" w:sz="0" w:space="0" w:color="auto"/>
          </w:divBdr>
        </w:div>
        <w:div w:id="1925332687">
          <w:marLeft w:val="0"/>
          <w:marRight w:val="0"/>
          <w:marTop w:val="0"/>
          <w:marBottom w:val="0"/>
          <w:divBdr>
            <w:top w:val="none" w:sz="0" w:space="0" w:color="auto"/>
            <w:left w:val="none" w:sz="0" w:space="0" w:color="auto"/>
            <w:bottom w:val="none" w:sz="0" w:space="0" w:color="auto"/>
            <w:right w:val="none" w:sz="0" w:space="0" w:color="auto"/>
          </w:divBdr>
        </w:div>
      </w:divsChild>
    </w:div>
    <w:div w:id="1159417695">
      <w:bodyDiv w:val="1"/>
      <w:marLeft w:val="0"/>
      <w:marRight w:val="0"/>
      <w:marTop w:val="0"/>
      <w:marBottom w:val="0"/>
      <w:divBdr>
        <w:top w:val="none" w:sz="0" w:space="0" w:color="auto"/>
        <w:left w:val="none" w:sz="0" w:space="0" w:color="auto"/>
        <w:bottom w:val="none" w:sz="0" w:space="0" w:color="auto"/>
        <w:right w:val="none" w:sz="0" w:space="0" w:color="auto"/>
      </w:divBdr>
      <w:divsChild>
        <w:div w:id="855771219">
          <w:marLeft w:val="0"/>
          <w:marRight w:val="0"/>
          <w:marTop w:val="0"/>
          <w:marBottom w:val="0"/>
          <w:divBdr>
            <w:top w:val="none" w:sz="0" w:space="0" w:color="auto"/>
            <w:left w:val="none" w:sz="0" w:space="0" w:color="auto"/>
            <w:bottom w:val="none" w:sz="0" w:space="0" w:color="auto"/>
            <w:right w:val="none" w:sz="0" w:space="0" w:color="auto"/>
          </w:divBdr>
          <w:divsChild>
            <w:div w:id="234244860">
              <w:marLeft w:val="0"/>
              <w:marRight w:val="0"/>
              <w:marTop w:val="0"/>
              <w:marBottom w:val="0"/>
              <w:divBdr>
                <w:top w:val="none" w:sz="0" w:space="0" w:color="auto"/>
                <w:left w:val="none" w:sz="0" w:space="0" w:color="auto"/>
                <w:bottom w:val="none" w:sz="0" w:space="0" w:color="auto"/>
                <w:right w:val="none" w:sz="0" w:space="0" w:color="auto"/>
              </w:divBdr>
            </w:div>
            <w:div w:id="872503236">
              <w:marLeft w:val="0"/>
              <w:marRight w:val="0"/>
              <w:marTop w:val="0"/>
              <w:marBottom w:val="0"/>
              <w:divBdr>
                <w:top w:val="none" w:sz="0" w:space="0" w:color="auto"/>
                <w:left w:val="none" w:sz="0" w:space="0" w:color="auto"/>
                <w:bottom w:val="none" w:sz="0" w:space="0" w:color="auto"/>
                <w:right w:val="none" w:sz="0" w:space="0" w:color="auto"/>
              </w:divBdr>
            </w:div>
            <w:div w:id="924070740">
              <w:marLeft w:val="0"/>
              <w:marRight w:val="0"/>
              <w:marTop w:val="0"/>
              <w:marBottom w:val="0"/>
              <w:divBdr>
                <w:top w:val="none" w:sz="0" w:space="0" w:color="auto"/>
                <w:left w:val="none" w:sz="0" w:space="0" w:color="auto"/>
                <w:bottom w:val="none" w:sz="0" w:space="0" w:color="auto"/>
                <w:right w:val="none" w:sz="0" w:space="0" w:color="auto"/>
              </w:divBdr>
            </w:div>
            <w:div w:id="1140923847">
              <w:marLeft w:val="0"/>
              <w:marRight w:val="0"/>
              <w:marTop w:val="0"/>
              <w:marBottom w:val="0"/>
              <w:divBdr>
                <w:top w:val="none" w:sz="0" w:space="0" w:color="auto"/>
                <w:left w:val="none" w:sz="0" w:space="0" w:color="auto"/>
                <w:bottom w:val="none" w:sz="0" w:space="0" w:color="auto"/>
                <w:right w:val="none" w:sz="0" w:space="0" w:color="auto"/>
              </w:divBdr>
            </w:div>
            <w:div w:id="1276869647">
              <w:marLeft w:val="0"/>
              <w:marRight w:val="0"/>
              <w:marTop w:val="0"/>
              <w:marBottom w:val="0"/>
              <w:divBdr>
                <w:top w:val="none" w:sz="0" w:space="0" w:color="auto"/>
                <w:left w:val="none" w:sz="0" w:space="0" w:color="auto"/>
                <w:bottom w:val="none" w:sz="0" w:space="0" w:color="auto"/>
                <w:right w:val="none" w:sz="0" w:space="0" w:color="auto"/>
              </w:divBdr>
            </w:div>
            <w:div w:id="1630358117">
              <w:marLeft w:val="0"/>
              <w:marRight w:val="0"/>
              <w:marTop w:val="0"/>
              <w:marBottom w:val="0"/>
              <w:divBdr>
                <w:top w:val="none" w:sz="0" w:space="0" w:color="auto"/>
                <w:left w:val="none" w:sz="0" w:space="0" w:color="auto"/>
                <w:bottom w:val="none" w:sz="0" w:space="0" w:color="auto"/>
                <w:right w:val="none" w:sz="0" w:space="0" w:color="auto"/>
              </w:divBdr>
            </w:div>
            <w:div w:id="1639917079">
              <w:marLeft w:val="0"/>
              <w:marRight w:val="0"/>
              <w:marTop w:val="0"/>
              <w:marBottom w:val="0"/>
              <w:divBdr>
                <w:top w:val="none" w:sz="0" w:space="0" w:color="auto"/>
                <w:left w:val="none" w:sz="0" w:space="0" w:color="auto"/>
                <w:bottom w:val="none" w:sz="0" w:space="0" w:color="auto"/>
                <w:right w:val="none" w:sz="0" w:space="0" w:color="auto"/>
              </w:divBdr>
            </w:div>
          </w:divsChild>
        </w:div>
        <w:div w:id="1986398015">
          <w:marLeft w:val="0"/>
          <w:marRight w:val="0"/>
          <w:marTop w:val="0"/>
          <w:marBottom w:val="0"/>
          <w:divBdr>
            <w:top w:val="none" w:sz="0" w:space="0" w:color="auto"/>
            <w:left w:val="none" w:sz="0" w:space="0" w:color="auto"/>
            <w:bottom w:val="none" w:sz="0" w:space="0" w:color="auto"/>
            <w:right w:val="none" w:sz="0" w:space="0" w:color="auto"/>
          </w:divBdr>
          <w:divsChild>
            <w:div w:id="1485391876">
              <w:marLeft w:val="0"/>
              <w:marRight w:val="0"/>
              <w:marTop w:val="0"/>
              <w:marBottom w:val="0"/>
              <w:divBdr>
                <w:top w:val="none" w:sz="0" w:space="0" w:color="auto"/>
                <w:left w:val="none" w:sz="0" w:space="0" w:color="auto"/>
                <w:bottom w:val="none" w:sz="0" w:space="0" w:color="auto"/>
                <w:right w:val="none" w:sz="0" w:space="0" w:color="auto"/>
              </w:divBdr>
            </w:div>
            <w:div w:id="184119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3175">
      <w:bodyDiv w:val="1"/>
      <w:marLeft w:val="0"/>
      <w:marRight w:val="0"/>
      <w:marTop w:val="0"/>
      <w:marBottom w:val="0"/>
      <w:divBdr>
        <w:top w:val="none" w:sz="0" w:space="0" w:color="auto"/>
        <w:left w:val="none" w:sz="0" w:space="0" w:color="auto"/>
        <w:bottom w:val="none" w:sz="0" w:space="0" w:color="auto"/>
        <w:right w:val="none" w:sz="0" w:space="0" w:color="auto"/>
      </w:divBdr>
    </w:div>
    <w:div w:id="1358776810">
      <w:bodyDiv w:val="1"/>
      <w:marLeft w:val="0"/>
      <w:marRight w:val="0"/>
      <w:marTop w:val="0"/>
      <w:marBottom w:val="0"/>
      <w:divBdr>
        <w:top w:val="none" w:sz="0" w:space="0" w:color="auto"/>
        <w:left w:val="none" w:sz="0" w:space="0" w:color="auto"/>
        <w:bottom w:val="none" w:sz="0" w:space="0" w:color="auto"/>
        <w:right w:val="none" w:sz="0" w:space="0" w:color="auto"/>
      </w:divBdr>
    </w:div>
    <w:div w:id="1406217921">
      <w:bodyDiv w:val="1"/>
      <w:marLeft w:val="0"/>
      <w:marRight w:val="0"/>
      <w:marTop w:val="0"/>
      <w:marBottom w:val="0"/>
      <w:divBdr>
        <w:top w:val="none" w:sz="0" w:space="0" w:color="auto"/>
        <w:left w:val="none" w:sz="0" w:space="0" w:color="auto"/>
        <w:bottom w:val="none" w:sz="0" w:space="0" w:color="auto"/>
        <w:right w:val="none" w:sz="0" w:space="0" w:color="auto"/>
      </w:divBdr>
      <w:divsChild>
        <w:div w:id="647630574">
          <w:marLeft w:val="0"/>
          <w:marRight w:val="0"/>
          <w:marTop w:val="0"/>
          <w:marBottom w:val="0"/>
          <w:divBdr>
            <w:top w:val="none" w:sz="0" w:space="0" w:color="auto"/>
            <w:left w:val="none" w:sz="0" w:space="0" w:color="auto"/>
            <w:bottom w:val="none" w:sz="0" w:space="0" w:color="auto"/>
            <w:right w:val="none" w:sz="0" w:space="0" w:color="auto"/>
          </w:divBdr>
        </w:div>
        <w:div w:id="1270695363">
          <w:marLeft w:val="0"/>
          <w:marRight w:val="0"/>
          <w:marTop w:val="0"/>
          <w:marBottom w:val="0"/>
          <w:divBdr>
            <w:top w:val="none" w:sz="0" w:space="0" w:color="auto"/>
            <w:left w:val="none" w:sz="0" w:space="0" w:color="auto"/>
            <w:bottom w:val="none" w:sz="0" w:space="0" w:color="auto"/>
            <w:right w:val="none" w:sz="0" w:space="0" w:color="auto"/>
          </w:divBdr>
        </w:div>
      </w:divsChild>
    </w:div>
    <w:div w:id="1733119529">
      <w:bodyDiv w:val="1"/>
      <w:marLeft w:val="0"/>
      <w:marRight w:val="0"/>
      <w:marTop w:val="0"/>
      <w:marBottom w:val="0"/>
      <w:divBdr>
        <w:top w:val="none" w:sz="0" w:space="0" w:color="auto"/>
        <w:left w:val="none" w:sz="0" w:space="0" w:color="auto"/>
        <w:bottom w:val="none" w:sz="0" w:space="0" w:color="auto"/>
        <w:right w:val="none" w:sz="0" w:space="0" w:color="auto"/>
      </w:divBdr>
    </w:div>
    <w:div w:id="1897549262">
      <w:bodyDiv w:val="1"/>
      <w:marLeft w:val="0"/>
      <w:marRight w:val="0"/>
      <w:marTop w:val="0"/>
      <w:marBottom w:val="0"/>
      <w:divBdr>
        <w:top w:val="none" w:sz="0" w:space="0" w:color="auto"/>
        <w:left w:val="none" w:sz="0" w:space="0" w:color="auto"/>
        <w:bottom w:val="none" w:sz="0" w:space="0" w:color="auto"/>
        <w:right w:val="none" w:sz="0" w:space="0" w:color="auto"/>
      </w:divBdr>
      <w:divsChild>
        <w:div w:id="66418295">
          <w:marLeft w:val="0"/>
          <w:marRight w:val="0"/>
          <w:marTop w:val="0"/>
          <w:marBottom w:val="0"/>
          <w:divBdr>
            <w:top w:val="none" w:sz="0" w:space="0" w:color="auto"/>
            <w:left w:val="none" w:sz="0" w:space="0" w:color="auto"/>
            <w:bottom w:val="none" w:sz="0" w:space="0" w:color="auto"/>
            <w:right w:val="none" w:sz="0" w:space="0" w:color="auto"/>
          </w:divBdr>
          <w:divsChild>
            <w:div w:id="602033885">
              <w:marLeft w:val="0"/>
              <w:marRight w:val="0"/>
              <w:marTop w:val="0"/>
              <w:marBottom w:val="0"/>
              <w:divBdr>
                <w:top w:val="none" w:sz="0" w:space="0" w:color="auto"/>
                <w:left w:val="none" w:sz="0" w:space="0" w:color="auto"/>
                <w:bottom w:val="none" w:sz="0" w:space="0" w:color="auto"/>
                <w:right w:val="none" w:sz="0" w:space="0" w:color="auto"/>
              </w:divBdr>
            </w:div>
          </w:divsChild>
        </w:div>
        <w:div w:id="270480133">
          <w:marLeft w:val="0"/>
          <w:marRight w:val="0"/>
          <w:marTop w:val="0"/>
          <w:marBottom w:val="0"/>
          <w:divBdr>
            <w:top w:val="none" w:sz="0" w:space="0" w:color="auto"/>
            <w:left w:val="none" w:sz="0" w:space="0" w:color="auto"/>
            <w:bottom w:val="none" w:sz="0" w:space="0" w:color="auto"/>
            <w:right w:val="none" w:sz="0" w:space="0" w:color="auto"/>
          </w:divBdr>
          <w:divsChild>
            <w:div w:id="1608582385">
              <w:marLeft w:val="0"/>
              <w:marRight w:val="0"/>
              <w:marTop w:val="0"/>
              <w:marBottom w:val="0"/>
              <w:divBdr>
                <w:top w:val="none" w:sz="0" w:space="0" w:color="auto"/>
                <w:left w:val="none" w:sz="0" w:space="0" w:color="auto"/>
                <w:bottom w:val="none" w:sz="0" w:space="0" w:color="auto"/>
                <w:right w:val="none" w:sz="0" w:space="0" w:color="auto"/>
              </w:divBdr>
            </w:div>
          </w:divsChild>
        </w:div>
        <w:div w:id="404494353">
          <w:marLeft w:val="0"/>
          <w:marRight w:val="0"/>
          <w:marTop w:val="0"/>
          <w:marBottom w:val="0"/>
          <w:divBdr>
            <w:top w:val="none" w:sz="0" w:space="0" w:color="auto"/>
            <w:left w:val="none" w:sz="0" w:space="0" w:color="auto"/>
            <w:bottom w:val="none" w:sz="0" w:space="0" w:color="auto"/>
            <w:right w:val="none" w:sz="0" w:space="0" w:color="auto"/>
          </w:divBdr>
          <w:divsChild>
            <w:div w:id="128598565">
              <w:marLeft w:val="0"/>
              <w:marRight w:val="0"/>
              <w:marTop w:val="0"/>
              <w:marBottom w:val="0"/>
              <w:divBdr>
                <w:top w:val="none" w:sz="0" w:space="0" w:color="auto"/>
                <w:left w:val="none" w:sz="0" w:space="0" w:color="auto"/>
                <w:bottom w:val="none" w:sz="0" w:space="0" w:color="auto"/>
                <w:right w:val="none" w:sz="0" w:space="0" w:color="auto"/>
              </w:divBdr>
            </w:div>
          </w:divsChild>
        </w:div>
        <w:div w:id="1274094337">
          <w:marLeft w:val="0"/>
          <w:marRight w:val="0"/>
          <w:marTop w:val="0"/>
          <w:marBottom w:val="0"/>
          <w:divBdr>
            <w:top w:val="none" w:sz="0" w:space="0" w:color="auto"/>
            <w:left w:val="none" w:sz="0" w:space="0" w:color="auto"/>
            <w:bottom w:val="none" w:sz="0" w:space="0" w:color="auto"/>
            <w:right w:val="none" w:sz="0" w:space="0" w:color="auto"/>
          </w:divBdr>
          <w:divsChild>
            <w:div w:id="1201161473">
              <w:marLeft w:val="0"/>
              <w:marRight w:val="0"/>
              <w:marTop w:val="0"/>
              <w:marBottom w:val="0"/>
              <w:divBdr>
                <w:top w:val="none" w:sz="0" w:space="0" w:color="auto"/>
                <w:left w:val="none" w:sz="0" w:space="0" w:color="auto"/>
                <w:bottom w:val="none" w:sz="0" w:space="0" w:color="auto"/>
                <w:right w:val="none" w:sz="0" w:space="0" w:color="auto"/>
              </w:divBdr>
            </w:div>
          </w:divsChild>
        </w:div>
        <w:div w:id="1312978207">
          <w:marLeft w:val="0"/>
          <w:marRight w:val="0"/>
          <w:marTop w:val="0"/>
          <w:marBottom w:val="0"/>
          <w:divBdr>
            <w:top w:val="none" w:sz="0" w:space="0" w:color="auto"/>
            <w:left w:val="none" w:sz="0" w:space="0" w:color="auto"/>
            <w:bottom w:val="none" w:sz="0" w:space="0" w:color="auto"/>
            <w:right w:val="none" w:sz="0" w:space="0" w:color="auto"/>
          </w:divBdr>
          <w:divsChild>
            <w:div w:id="218981745">
              <w:marLeft w:val="0"/>
              <w:marRight w:val="0"/>
              <w:marTop w:val="0"/>
              <w:marBottom w:val="0"/>
              <w:divBdr>
                <w:top w:val="none" w:sz="0" w:space="0" w:color="auto"/>
                <w:left w:val="none" w:sz="0" w:space="0" w:color="auto"/>
                <w:bottom w:val="none" w:sz="0" w:space="0" w:color="auto"/>
                <w:right w:val="none" w:sz="0" w:space="0" w:color="auto"/>
              </w:divBdr>
            </w:div>
          </w:divsChild>
        </w:div>
        <w:div w:id="1376389221">
          <w:marLeft w:val="0"/>
          <w:marRight w:val="0"/>
          <w:marTop w:val="0"/>
          <w:marBottom w:val="0"/>
          <w:divBdr>
            <w:top w:val="none" w:sz="0" w:space="0" w:color="auto"/>
            <w:left w:val="none" w:sz="0" w:space="0" w:color="auto"/>
            <w:bottom w:val="none" w:sz="0" w:space="0" w:color="auto"/>
            <w:right w:val="none" w:sz="0" w:space="0" w:color="auto"/>
          </w:divBdr>
          <w:divsChild>
            <w:div w:id="1393307567">
              <w:marLeft w:val="0"/>
              <w:marRight w:val="0"/>
              <w:marTop w:val="0"/>
              <w:marBottom w:val="0"/>
              <w:divBdr>
                <w:top w:val="none" w:sz="0" w:space="0" w:color="auto"/>
                <w:left w:val="none" w:sz="0" w:space="0" w:color="auto"/>
                <w:bottom w:val="none" w:sz="0" w:space="0" w:color="auto"/>
                <w:right w:val="none" w:sz="0" w:space="0" w:color="auto"/>
              </w:divBdr>
            </w:div>
          </w:divsChild>
        </w:div>
        <w:div w:id="1380402069">
          <w:marLeft w:val="0"/>
          <w:marRight w:val="0"/>
          <w:marTop w:val="0"/>
          <w:marBottom w:val="0"/>
          <w:divBdr>
            <w:top w:val="none" w:sz="0" w:space="0" w:color="auto"/>
            <w:left w:val="none" w:sz="0" w:space="0" w:color="auto"/>
            <w:bottom w:val="none" w:sz="0" w:space="0" w:color="auto"/>
            <w:right w:val="none" w:sz="0" w:space="0" w:color="auto"/>
          </w:divBdr>
          <w:divsChild>
            <w:div w:id="1665477747">
              <w:marLeft w:val="0"/>
              <w:marRight w:val="0"/>
              <w:marTop w:val="0"/>
              <w:marBottom w:val="0"/>
              <w:divBdr>
                <w:top w:val="none" w:sz="0" w:space="0" w:color="auto"/>
                <w:left w:val="none" w:sz="0" w:space="0" w:color="auto"/>
                <w:bottom w:val="none" w:sz="0" w:space="0" w:color="auto"/>
                <w:right w:val="none" w:sz="0" w:space="0" w:color="auto"/>
              </w:divBdr>
            </w:div>
          </w:divsChild>
        </w:div>
        <w:div w:id="1445298159">
          <w:marLeft w:val="0"/>
          <w:marRight w:val="0"/>
          <w:marTop w:val="0"/>
          <w:marBottom w:val="0"/>
          <w:divBdr>
            <w:top w:val="none" w:sz="0" w:space="0" w:color="auto"/>
            <w:left w:val="none" w:sz="0" w:space="0" w:color="auto"/>
            <w:bottom w:val="none" w:sz="0" w:space="0" w:color="auto"/>
            <w:right w:val="none" w:sz="0" w:space="0" w:color="auto"/>
          </w:divBdr>
          <w:divsChild>
            <w:div w:id="1196043376">
              <w:marLeft w:val="0"/>
              <w:marRight w:val="0"/>
              <w:marTop w:val="0"/>
              <w:marBottom w:val="0"/>
              <w:divBdr>
                <w:top w:val="none" w:sz="0" w:space="0" w:color="auto"/>
                <w:left w:val="none" w:sz="0" w:space="0" w:color="auto"/>
                <w:bottom w:val="none" w:sz="0" w:space="0" w:color="auto"/>
                <w:right w:val="none" w:sz="0" w:space="0" w:color="auto"/>
              </w:divBdr>
            </w:div>
          </w:divsChild>
        </w:div>
        <w:div w:id="1807697654">
          <w:marLeft w:val="0"/>
          <w:marRight w:val="0"/>
          <w:marTop w:val="0"/>
          <w:marBottom w:val="0"/>
          <w:divBdr>
            <w:top w:val="none" w:sz="0" w:space="0" w:color="auto"/>
            <w:left w:val="none" w:sz="0" w:space="0" w:color="auto"/>
            <w:bottom w:val="none" w:sz="0" w:space="0" w:color="auto"/>
            <w:right w:val="none" w:sz="0" w:space="0" w:color="auto"/>
          </w:divBdr>
          <w:divsChild>
            <w:div w:id="1261067166">
              <w:marLeft w:val="0"/>
              <w:marRight w:val="0"/>
              <w:marTop w:val="0"/>
              <w:marBottom w:val="0"/>
              <w:divBdr>
                <w:top w:val="none" w:sz="0" w:space="0" w:color="auto"/>
                <w:left w:val="none" w:sz="0" w:space="0" w:color="auto"/>
                <w:bottom w:val="none" w:sz="0" w:space="0" w:color="auto"/>
                <w:right w:val="none" w:sz="0" w:space="0" w:color="auto"/>
              </w:divBdr>
            </w:div>
          </w:divsChild>
        </w:div>
        <w:div w:id="2030989156">
          <w:marLeft w:val="0"/>
          <w:marRight w:val="0"/>
          <w:marTop w:val="0"/>
          <w:marBottom w:val="0"/>
          <w:divBdr>
            <w:top w:val="none" w:sz="0" w:space="0" w:color="auto"/>
            <w:left w:val="none" w:sz="0" w:space="0" w:color="auto"/>
            <w:bottom w:val="none" w:sz="0" w:space="0" w:color="auto"/>
            <w:right w:val="none" w:sz="0" w:space="0" w:color="auto"/>
          </w:divBdr>
          <w:divsChild>
            <w:div w:id="210661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ergystar.gov/productfinder/product/certified-evse/resul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ergy.ca.gov/funding-opportunities/solicitation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SharedWithUsers xmlns="5067c814-4b34-462c-a21d-c185ff6548d2">
      <UserInfo>
        <DisplayName>Vail, Melanie@Energy</DisplayName>
        <AccountId>175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B3591-85F7-4296-8681-810DCA9B2479}">
  <ds:schemaRefs>
    <ds:schemaRef ds:uri="http://schemas.microsoft.com/sharepoint/v3/contenttype/forms"/>
  </ds:schemaRefs>
</ds:datastoreItem>
</file>

<file path=customXml/itemProps2.xml><?xml version="1.0" encoding="utf-8"?>
<ds:datastoreItem xmlns:ds="http://schemas.openxmlformats.org/officeDocument/2006/customXml" ds:itemID="{74767D39-677C-45F0-A310-67C5BE75DAFE}">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3.xml><?xml version="1.0" encoding="utf-8"?>
<ds:datastoreItem xmlns:ds="http://schemas.openxmlformats.org/officeDocument/2006/customXml" ds:itemID="{EA4D48F4-4C57-4F82-ACE9-5CCFFC8B6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9D46E3-B1C6-4A03-A8F1-133DE36FA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3822</Words>
  <Characters>20530</Characters>
  <Application>Microsoft Office Word</Application>
  <DocSecurity>0</DocSecurity>
  <Lines>403</Lines>
  <Paragraphs>88</Paragraphs>
  <ScaleCrop>false</ScaleCrop>
  <HeadingPairs>
    <vt:vector size="2" baseType="variant">
      <vt:variant>
        <vt:lpstr>Title</vt:lpstr>
      </vt:variant>
      <vt:variant>
        <vt:i4>1</vt:i4>
      </vt:variant>
    </vt:vector>
  </HeadingPairs>
  <TitlesOfParts>
    <vt:vector size="1" baseType="lpstr">
      <vt:lpstr/>
    </vt:vector>
  </TitlesOfParts>
  <Company>Wobschall Design</Company>
  <LinksUpToDate>false</LinksUpToDate>
  <CharactersWithSpaces>24360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Wobschall</dc:creator>
  <cp:keywords/>
  <dc:description/>
  <cp:lastModifiedBy>Dyer, Phil@Energy</cp:lastModifiedBy>
  <cp:revision>95</cp:revision>
  <cp:lastPrinted>2019-04-08T16:38:00Z</cp:lastPrinted>
  <dcterms:created xsi:type="dcterms:W3CDTF">2026-03-05T00:25:00Z</dcterms:created>
  <dcterms:modified xsi:type="dcterms:W3CDTF">2026-03-12T21:49:00Z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Order">
    <vt:r8>443100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