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2052A" w14:textId="6439BD47" w:rsidR="00FC47C1" w:rsidRPr="000B10AB" w:rsidRDefault="000B10AB" w:rsidP="00FC47C1">
      <w:pPr>
        <w:pStyle w:val="paragraph"/>
        <w:spacing w:before="0" w:after="0"/>
        <w:ind w:left="4320"/>
        <w:jc w:val="right"/>
        <w:textAlignment w:val="baseline"/>
        <w:rPr>
          <w:rStyle w:val="normaltextrun"/>
          <w:rFonts w:ascii="Tahoma" w:hAnsi="Tahoma" w:cs="Tahoma"/>
          <w:color w:val="000000" w:themeColor="text1"/>
        </w:rPr>
      </w:pPr>
      <w:r w:rsidRPr="000B10AB">
        <w:rPr>
          <w:rStyle w:val="normaltextrun"/>
          <w:rFonts w:ascii="Tahoma" w:hAnsi="Tahoma" w:cs="Tahoma"/>
          <w:color w:val="000000" w:themeColor="text1"/>
        </w:rPr>
        <w:t>March 12, 2026</w:t>
      </w:r>
    </w:p>
    <w:p w14:paraId="714F7108" w14:textId="437F716B" w:rsidR="00FC47C1" w:rsidRPr="00263551" w:rsidRDefault="00FC47C1" w:rsidP="00263551">
      <w:pPr>
        <w:pStyle w:val="Heading1"/>
        <w:jc w:val="center"/>
        <w:rPr>
          <w:rFonts w:ascii="Segoe UI" w:hAnsi="Segoe UI" w:cs="Segoe UI"/>
          <w:color w:val="000000" w:themeColor="text1"/>
          <w:sz w:val="24"/>
          <w:szCs w:val="24"/>
        </w:rPr>
      </w:pPr>
      <w:r w:rsidRPr="00263551">
        <w:rPr>
          <w:rStyle w:val="normaltextrun"/>
          <w:rFonts w:ascii="Tahoma" w:hAnsi="Tahoma" w:cs="Tahoma"/>
          <w:b/>
          <w:bCs/>
          <w:color w:val="000000" w:themeColor="text1"/>
          <w:sz w:val="24"/>
          <w:szCs w:val="24"/>
        </w:rPr>
        <w:t>GFO-24-612</w:t>
      </w:r>
      <w:r w:rsidR="00263551">
        <w:rPr>
          <w:rStyle w:val="eop"/>
          <w:rFonts w:ascii="Tahoma" w:hAnsi="Tahoma" w:cs="Tahoma"/>
          <w:color w:val="000000" w:themeColor="text1"/>
          <w:sz w:val="24"/>
          <w:szCs w:val="24"/>
        </w:rPr>
        <w:br/>
      </w:r>
      <w:r w:rsidRPr="00263551">
        <w:rPr>
          <w:rStyle w:val="normaltextrun"/>
          <w:rFonts w:ascii="Tahoma" w:hAnsi="Tahoma" w:cs="Tahoma"/>
          <w:b/>
          <w:bCs/>
          <w:color w:val="000000" w:themeColor="text1"/>
          <w:sz w:val="24"/>
          <w:szCs w:val="24"/>
        </w:rPr>
        <w:t>Depot Charging and Hydrogen Refueling Infrastructure for Medium- and Heavy-Duty On-Road Zero-Emission Vehicles</w:t>
      </w:r>
      <w:r w:rsidR="00263551">
        <w:rPr>
          <w:rStyle w:val="normaltextrun"/>
          <w:rFonts w:ascii="Tahoma" w:hAnsi="Tahoma" w:cs="Tahoma"/>
          <w:b/>
          <w:bCs/>
          <w:color w:val="000000" w:themeColor="text1"/>
          <w:sz w:val="24"/>
          <w:szCs w:val="24"/>
        </w:rPr>
        <w:br/>
      </w:r>
      <w:r w:rsidRPr="00263551">
        <w:rPr>
          <w:rStyle w:val="normaltextrun"/>
          <w:rFonts w:ascii="Tahoma" w:hAnsi="Tahoma" w:cs="Tahoma"/>
          <w:b/>
          <w:bCs/>
          <w:color w:val="000000" w:themeColor="text1"/>
          <w:sz w:val="24"/>
          <w:szCs w:val="24"/>
        </w:rPr>
        <w:t>Addendum 7</w:t>
      </w:r>
    </w:p>
    <w:p w14:paraId="0FB02F41" w14:textId="77777777" w:rsidR="00FC47C1" w:rsidRDefault="00FC47C1" w:rsidP="00FC47C1">
      <w:pPr>
        <w:pStyle w:val="paragraph"/>
        <w:spacing w:before="0" w:beforeAutospacing="0" w:after="0" w:afterAutospacing="0"/>
        <w:jc w:val="center"/>
        <w:textAlignment w:val="baseline"/>
        <w:rPr>
          <w:rFonts w:ascii="Segoe UI" w:hAnsi="Segoe UI" w:cs="Segoe UI"/>
          <w:sz w:val="18"/>
          <w:szCs w:val="18"/>
        </w:rPr>
      </w:pPr>
      <w:r>
        <w:rPr>
          <w:rStyle w:val="eop"/>
          <w:rFonts w:ascii="Tahoma" w:hAnsi="Tahoma" w:cs="Tahoma"/>
          <w:color w:val="000000"/>
        </w:rPr>
        <w:t> </w:t>
      </w:r>
    </w:p>
    <w:p w14:paraId="75118117" w14:textId="77777777" w:rsidR="00FC47C1" w:rsidRDefault="00FC47C1" w:rsidP="00FC47C1">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color w:val="000000"/>
        </w:rPr>
        <w:t>The purpose of this addendum is to notify potential applicants of changes that have been made to GFO-24-612. </w:t>
      </w:r>
      <w:r>
        <w:rPr>
          <w:rStyle w:val="eop"/>
          <w:rFonts w:ascii="Tahoma" w:hAnsi="Tahoma" w:cs="Tahoma"/>
          <w:color w:val="000000"/>
        </w:rPr>
        <w:t> </w:t>
      </w:r>
    </w:p>
    <w:p w14:paraId="3B923D33" w14:textId="77777777" w:rsidR="00FC47C1" w:rsidRDefault="00FC47C1" w:rsidP="00FC47C1">
      <w:pPr>
        <w:pStyle w:val="paragraph"/>
        <w:spacing w:before="0" w:beforeAutospacing="0" w:after="0" w:afterAutospacing="0"/>
        <w:textAlignment w:val="baseline"/>
        <w:rPr>
          <w:rFonts w:ascii="Segoe UI" w:hAnsi="Segoe UI" w:cs="Segoe UI"/>
          <w:sz w:val="18"/>
          <w:szCs w:val="18"/>
        </w:rPr>
      </w:pPr>
      <w:r>
        <w:rPr>
          <w:rStyle w:val="eop"/>
          <w:rFonts w:ascii="Tahoma" w:hAnsi="Tahoma" w:cs="Tahoma"/>
          <w:color w:val="000000"/>
        </w:rPr>
        <w:t> </w:t>
      </w:r>
    </w:p>
    <w:p w14:paraId="7442B274" w14:textId="7419A70F" w:rsidR="00FC47C1" w:rsidRDefault="00FC47C1" w:rsidP="00FC47C1">
      <w:pPr>
        <w:pStyle w:val="paragraph"/>
        <w:spacing w:before="0" w:beforeAutospacing="0" w:after="0" w:afterAutospacing="0"/>
        <w:textAlignment w:val="baseline"/>
        <w:rPr>
          <w:rStyle w:val="eop"/>
          <w:rFonts w:ascii="Tahoma" w:hAnsi="Tahoma" w:cs="Tahoma"/>
          <w:color w:val="000000" w:themeColor="text1"/>
        </w:rPr>
      </w:pPr>
      <w:r w:rsidRPr="4A707F87">
        <w:rPr>
          <w:rStyle w:val="normaltextrun"/>
          <w:rFonts w:ascii="Tahoma" w:hAnsi="Tahoma" w:cs="Tahoma"/>
          <w:color w:val="000000" w:themeColor="text1"/>
        </w:rPr>
        <w:t>The addendum includes revisions to the Solicitation Manual</w:t>
      </w:r>
      <w:r w:rsidR="00497534">
        <w:rPr>
          <w:rStyle w:val="normaltextrun"/>
          <w:rFonts w:ascii="Tahoma" w:hAnsi="Tahoma" w:cs="Tahoma"/>
          <w:color w:val="000000" w:themeColor="text1"/>
        </w:rPr>
        <w:t>;</w:t>
      </w:r>
      <w:r w:rsidR="180213E8" w:rsidRPr="4A707F87">
        <w:rPr>
          <w:rStyle w:val="normaltextrun"/>
          <w:rFonts w:ascii="Tahoma" w:hAnsi="Tahoma" w:cs="Tahoma"/>
          <w:color w:val="000000" w:themeColor="text1"/>
        </w:rPr>
        <w:t xml:space="preserve"> Attachment 2, Scope of Work</w:t>
      </w:r>
      <w:r w:rsidR="00497534">
        <w:rPr>
          <w:rStyle w:val="normaltextrun"/>
          <w:rFonts w:ascii="Tahoma" w:hAnsi="Tahoma" w:cs="Tahoma"/>
          <w:color w:val="000000" w:themeColor="text1"/>
        </w:rPr>
        <w:t>;</w:t>
      </w:r>
      <w:r w:rsidR="180213E8" w:rsidRPr="4A707F87">
        <w:rPr>
          <w:rStyle w:val="normaltextrun"/>
          <w:rFonts w:ascii="Tahoma" w:hAnsi="Tahoma" w:cs="Tahoma"/>
          <w:color w:val="000000" w:themeColor="text1"/>
        </w:rPr>
        <w:t xml:space="preserve"> Attachment 3, Scope of Work Instructions</w:t>
      </w:r>
      <w:r w:rsidR="00497534">
        <w:rPr>
          <w:rStyle w:val="normaltextrun"/>
          <w:rFonts w:ascii="Tahoma" w:hAnsi="Tahoma" w:cs="Tahoma"/>
          <w:color w:val="000000" w:themeColor="text1"/>
        </w:rPr>
        <w:t>;</w:t>
      </w:r>
      <w:r w:rsidR="180213E8" w:rsidRPr="4A707F87">
        <w:rPr>
          <w:rStyle w:val="normaltextrun"/>
          <w:rFonts w:ascii="Tahoma" w:hAnsi="Tahoma" w:cs="Tahoma"/>
          <w:color w:val="000000" w:themeColor="text1"/>
        </w:rPr>
        <w:t xml:space="preserve"> Attachment 11, Station Checklist</w:t>
      </w:r>
      <w:r w:rsidR="00CC5021">
        <w:rPr>
          <w:rStyle w:val="normaltextrun"/>
          <w:rFonts w:ascii="Tahoma" w:hAnsi="Tahoma" w:cs="Tahoma"/>
          <w:color w:val="000000" w:themeColor="text1"/>
        </w:rPr>
        <w:t>; and Questions and Answers</w:t>
      </w:r>
      <w:r w:rsidRPr="4A707F87">
        <w:rPr>
          <w:rStyle w:val="normaltextrun"/>
          <w:rFonts w:ascii="Tahoma" w:hAnsi="Tahoma" w:cs="Tahoma"/>
          <w:color w:val="000000" w:themeColor="text1"/>
        </w:rPr>
        <w:t>. Added language appears in </w:t>
      </w:r>
      <w:r w:rsidRPr="4A707F87">
        <w:rPr>
          <w:rStyle w:val="normaltextrun"/>
          <w:rFonts w:ascii="Tahoma" w:hAnsi="Tahoma" w:cs="Tahoma"/>
          <w:b/>
          <w:color w:val="000000" w:themeColor="text1"/>
          <w:u w:val="single"/>
        </w:rPr>
        <w:t>bold underline</w:t>
      </w:r>
      <w:r w:rsidRPr="4A707F87">
        <w:rPr>
          <w:rStyle w:val="normaltextrun"/>
          <w:rFonts w:ascii="Tahoma" w:hAnsi="Tahoma" w:cs="Tahoma"/>
          <w:color w:val="000000" w:themeColor="text1"/>
        </w:rPr>
        <w:t>, and deleted language appears in [</w:t>
      </w:r>
      <w:r w:rsidRPr="4A707F87">
        <w:rPr>
          <w:rStyle w:val="normaltextrun"/>
          <w:rFonts w:ascii="Tahoma" w:hAnsi="Tahoma" w:cs="Tahoma"/>
          <w:strike/>
          <w:color w:val="000000" w:themeColor="text1"/>
        </w:rPr>
        <w:t>strikethrough</w:t>
      </w:r>
      <w:r w:rsidRPr="4A707F87">
        <w:rPr>
          <w:rStyle w:val="normaltextrun"/>
          <w:rFonts w:ascii="Tahoma" w:hAnsi="Tahoma" w:cs="Tahoma"/>
          <w:color w:val="000000" w:themeColor="text1"/>
        </w:rPr>
        <w:t>] and within square brackets.</w:t>
      </w:r>
      <w:r w:rsidRPr="4A707F87">
        <w:rPr>
          <w:rStyle w:val="eop"/>
          <w:rFonts w:ascii="Tahoma" w:hAnsi="Tahoma" w:cs="Tahoma"/>
          <w:color w:val="000000" w:themeColor="text1"/>
        </w:rPr>
        <w:t> </w:t>
      </w:r>
    </w:p>
    <w:p w14:paraId="71B400AB" w14:textId="77777777" w:rsidR="00CC5021" w:rsidRDefault="00CC5021" w:rsidP="00FC47C1">
      <w:pPr>
        <w:pStyle w:val="paragraph"/>
        <w:spacing w:before="0" w:beforeAutospacing="0" w:after="0" w:afterAutospacing="0"/>
        <w:textAlignment w:val="baseline"/>
        <w:rPr>
          <w:rStyle w:val="eop"/>
          <w:rFonts w:ascii="Tahoma" w:hAnsi="Tahoma" w:cs="Tahoma"/>
          <w:color w:val="000000" w:themeColor="text1"/>
        </w:rPr>
      </w:pPr>
    </w:p>
    <w:p w14:paraId="5AD9E87E" w14:textId="6031B329" w:rsidR="00CC5021" w:rsidRDefault="00CC5021" w:rsidP="00FC47C1">
      <w:pPr>
        <w:pStyle w:val="paragraph"/>
        <w:spacing w:before="0" w:beforeAutospacing="0" w:after="0" w:afterAutospacing="0"/>
        <w:textAlignment w:val="baseline"/>
        <w:rPr>
          <w:rFonts w:ascii="Segoe UI" w:hAnsi="Segoe UI" w:cs="Segoe UI"/>
          <w:sz w:val="18"/>
          <w:szCs w:val="18"/>
        </w:rPr>
      </w:pPr>
      <w:r>
        <w:rPr>
          <w:rStyle w:val="eop"/>
          <w:rFonts w:ascii="Tahoma" w:hAnsi="Tahoma" w:cs="Tahoma"/>
          <w:color w:val="000000" w:themeColor="text1"/>
        </w:rPr>
        <w:t>The updated question</w:t>
      </w:r>
      <w:r w:rsidR="00E33D53">
        <w:rPr>
          <w:rStyle w:val="eop"/>
          <w:rFonts w:ascii="Tahoma" w:hAnsi="Tahoma" w:cs="Tahoma"/>
          <w:color w:val="000000" w:themeColor="text1"/>
        </w:rPr>
        <w:t xml:space="preserve">-and-answer set is posted on the </w:t>
      </w:r>
      <w:hyperlink r:id="rId11" w:tgtFrame="_blank" w:history="1">
        <w:r w:rsidR="00900601" w:rsidRPr="00900601">
          <w:rPr>
            <w:rStyle w:val="Hyperlink"/>
            <w:rFonts w:ascii="Tahoma" w:hAnsi="Tahoma" w:cs="Tahoma"/>
          </w:rPr>
          <w:t>CEC’s solicitation information website</w:t>
        </w:r>
      </w:hyperlink>
      <w:r w:rsidR="00900601" w:rsidRPr="00900601">
        <w:rPr>
          <w:rFonts w:ascii="Tahoma" w:hAnsi="Tahoma" w:cs="Tahoma"/>
          <w:color w:val="000000" w:themeColor="text1"/>
        </w:rPr>
        <w:t> at www.energy.ca.gov/funding-opportunities/solicitations.</w:t>
      </w:r>
    </w:p>
    <w:p w14:paraId="3DC4FFAE" w14:textId="77777777" w:rsidR="00FC47C1" w:rsidRDefault="00FC47C1" w:rsidP="00FC47C1">
      <w:pPr>
        <w:pStyle w:val="paragraph"/>
        <w:spacing w:before="0" w:beforeAutospacing="0" w:after="0" w:afterAutospacing="0"/>
        <w:textAlignment w:val="baseline"/>
        <w:rPr>
          <w:rFonts w:ascii="Segoe UI" w:hAnsi="Segoe UI" w:cs="Segoe UI"/>
          <w:sz w:val="18"/>
          <w:szCs w:val="18"/>
        </w:rPr>
      </w:pPr>
      <w:r>
        <w:rPr>
          <w:rStyle w:val="eop"/>
          <w:rFonts w:ascii="Tahoma" w:hAnsi="Tahoma" w:cs="Tahoma"/>
          <w:color w:val="000000"/>
        </w:rPr>
        <w:t> </w:t>
      </w:r>
    </w:p>
    <w:p w14:paraId="499193A5" w14:textId="77777777" w:rsidR="00FC47C1" w:rsidRDefault="00FC47C1" w:rsidP="00FC47C1">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rPr>
        <w:t>SOLICITATION MANUAL</w:t>
      </w:r>
      <w:r>
        <w:rPr>
          <w:rStyle w:val="eop"/>
          <w:rFonts w:ascii="Tahoma" w:hAnsi="Tahoma" w:cs="Tahoma"/>
        </w:rPr>
        <w:t> </w:t>
      </w:r>
    </w:p>
    <w:p w14:paraId="49C60E05" w14:textId="519F6972" w:rsidR="00773B90" w:rsidRDefault="00773B90" w:rsidP="001261E1">
      <w:pPr>
        <w:pStyle w:val="paragraph"/>
        <w:numPr>
          <w:ilvl w:val="0"/>
          <w:numId w:val="1"/>
        </w:numPr>
        <w:spacing w:before="0" w:beforeAutospacing="0" w:after="0" w:afterAutospacing="0"/>
        <w:ind w:left="1440" w:hanging="720"/>
        <w:textAlignment w:val="baseline"/>
        <w:rPr>
          <w:rStyle w:val="normaltextrun"/>
          <w:rFonts w:ascii="Tahoma" w:hAnsi="Tahoma" w:cs="Tahoma"/>
          <w:b/>
          <w:bCs/>
        </w:rPr>
      </w:pPr>
      <w:r w:rsidRPr="00773B90">
        <w:rPr>
          <w:rStyle w:val="normaltextrun"/>
          <w:rFonts w:ascii="Tahoma" w:hAnsi="Tahoma" w:cs="Tahoma"/>
          <w:b/>
          <w:bCs/>
        </w:rPr>
        <w:t>Section I.A. Purpose of Solicitation</w:t>
      </w:r>
    </w:p>
    <w:p w14:paraId="6434C18C" w14:textId="77777777" w:rsidR="00C8388B" w:rsidRPr="00C8388B" w:rsidRDefault="00C8388B" w:rsidP="00C8388B">
      <w:pPr>
        <w:pStyle w:val="ListParagraph"/>
        <w:ind w:left="1440"/>
        <w:rPr>
          <w:rFonts w:ascii="Tahoma" w:hAnsi="Tahoma" w:cs="Tahoma"/>
        </w:rPr>
      </w:pPr>
      <w:r w:rsidRPr="00C8388B">
        <w:rPr>
          <w:rFonts w:ascii="Tahoma" w:hAnsi="Tahoma" w:cs="Tahoma"/>
        </w:rPr>
        <w:t>This is a competitive grant solicitation. The California Energy Commission’s (CEC’s) Clean Transportation Program announces the availability of up to $[</w:t>
      </w:r>
      <w:r w:rsidRPr="00C8388B">
        <w:rPr>
          <w:rFonts w:ascii="Tahoma" w:hAnsi="Tahoma" w:cs="Tahoma"/>
          <w:strike/>
        </w:rPr>
        <w:t>20</w:t>
      </w:r>
      <w:r w:rsidRPr="00C8388B">
        <w:rPr>
          <w:rFonts w:ascii="Tahoma" w:hAnsi="Tahoma" w:cs="Tahoma"/>
        </w:rPr>
        <w:t>]</w:t>
      </w:r>
      <w:r w:rsidRPr="00C8388B">
        <w:rPr>
          <w:rFonts w:ascii="Tahoma" w:hAnsi="Tahoma" w:cs="Tahoma"/>
          <w:b/>
          <w:bCs/>
          <w:u w:val="single"/>
        </w:rPr>
        <w:t>30</w:t>
      </w:r>
      <w:r w:rsidRPr="00C8388B">
        <w:rPr>
          <w:rFonts w:ascii="Tahoma" w:hAnsi="Tahoma" w:cs="Tahoma"/>
        </w:rPr>
        <w:t xml:space="preserve"> million in grant funds for projects that will fund the deployment of depot charging and hydrogen refueling infrastructure for medium- and heavy-duty (MDHD) on-road zero-emission vehicles (ZEVs).</w:t>
      </w:r>
    </w:p>
    <w:p w14:paraId="4B5C74F8" w14:textId="77777777" w:rsidR="00BC403E" w:rsidRPr="00773B90" w:rsidRDefault="00BC403E" w:rsidP="00BC403E">
      <w:pPr>
        <w:pStyle w:val="paragraph"/>
        <w:spacing w:before="0" w:beforeAutospacing="0" w:after="0" w:afterAutospacing="0"/>
        <w:ind w:left="1440"/>
        <w:textAlignment w:val="baseline"/>
        <w:rPr>
          <w:rStyle w:val="normaltextrun"/>
          <w:rFonts w:ascii="Tahoma" w:hAnsi="Tahoma" w:cs="Tahoma"/>
          <w:b/>
          <w:bCs/>
        </w:rPr>
      </w:pPr>
    </w:p>
    <w:p w14:paraId="2ED32112" w14:textId="7B4D9447" w:rsidR="005D5E4B" w:rsidRPr="00DF59AB" w:rsidRDefault="005D5E4B" w:rsidP="001261E1">
      <w:pPr>
        <w:pStyle w:val="paragraph"/>
        <w:numPr>
          <w:ilvl w:val="0"/>
          <w:numId w:val="1"/>
        </w:numPr>
        <w:spacing w:before="0" w:beforeAutospacing="0" w:after="0" w:afterAutospacing="0"/>
        <w:ind w:left="1440" w:hanging="720"/>
        <w:textAlignment w:val="baseline"/>
        <w:rPr>
          <w:rStyle w:val="normaltextrun"/>
          <w:rFonts w:ascii="Tahoma" w:hAnsi="Tahoma" w:cs="Tahoma"/>
          <w:b/>
          <w:bCs/>
        </w:rPr>
      </w:pPr>
      <w:r w:rsidRPr="00DF59AB">
        <w:rPr>
          <w:rStyle w:val="normaltextrun"/>
          <w:rFonts w:ascii="Tahoma" w:hAnsi="Tahoma" w:cs="Tahoma"/>
          <w:b/>
          <w:bCs/>
        </w:rPr>
        <w:t>Section I.F. Availability of Funds</w:t>
      </w:r>
    </w:p>
    <w:p w14:paraId="36AA92E2" w14:textId="77777777" w:rsidR="00DF59AB" w:rsidRPr="00DF59AB" w:rsidRDefault="00DF59AB" w:rsidP="00DF59AB">
      <w:pPr>
        <w:pStyle w:val="ListParagraph"/>
        <w:ind w:left="1440"/>
        <w:rPr>
          <w:rFonts w:ascii="Tahoma" w:hAnsi="Tahoma" w:cs="Tahoma"/>
          <w:szCs w:val="22"/>
        </w:rPr>
      </w:pPr>
      <w:r w:rsidRPr="00DF59AB">
        <w:rPr>
          <w:rFonts w:ascii="Tahoma" w:hAnsi="Tahoma" w:cs="Tahoma"/>
        </w:rPr>
        <w:t>A total of $[</w:t>
      </w:r>
      <w:r w:rsidRPr="00DF59AB">
        <w:rPr>
          <w:rFonts w:ascii="Tahoma" w:hAnsi="Tahoma" w:cs="Tahoma"/>
          <w:strike/>
        </w:rPr>
        <w:t>20</w:t>
      </w:r>
      <w:r w:rsidRPr="00DF59AB">
        <w:rPr>
          <w:rFonts w:ascii="Tahoma" w:hAnsi="Tahoma" w:cs="Tahoma"/>
        </w:rPr>
        <w:t>]</w:t>
      </w:r>
      <w:r w:rsidRPr="00DF59AB">
        <w:rPr>
          <w:rFonts w:ascii="Tahoma" w:hAnsi="Tahoma" w:cs="Tahoma"/>
          <w:b/>
          <w:bCs/>
          <w:u w:val="single"/>
        </w:rPr>
        <w:t>30</w:t>
      </w:r>
      <w:r w:rsidRPr="00DF59AB">
        <w:rPr>
          <w:rFonts w:ascii="Tahoma" w:hAnsi="Tahoma" w:cs="Tahoma"/>
        </w:rPr>
        <w:t xml:space="preserve"> </w:t>
      </w:r>
      <w:r w:rsidRPr="00DF59AB">
        <w:rPr>
          <w:rFonts w:ascii="Tahoma" w:hAnsi="Tahoma" w:cs="Tahoma"/>
          <w:lang w:eastAsia="ja-JP"/>
        </w:rPr>
        <w:t>million</w:t>
      </w:r>
      <w:r w:rsidRPr="00DF59AB">
        <w:rPr>
          <w:rFonts w:ascii="Tahoma" w:hAnsi="Tahoma" w:cs="Tahoma"/>
        </w:rPr>
        <w:t xml:space="preserve"> is available for awards under this solicitation. CEC, at its sole discretion, reserves the right to increase or decrease the amount of funds available under this solicitation.</w:t>
      </w:r>
    </w:p>
    <w:p w14:paraId="6BB012C6" w14:textId="77777777" w:rsidR="005D5E4B" w:rsidRPr="005D5E4B" w:rsidRDefault="005D5E4B" w:rsidP="005D5E4B">
      <w:pPr>
        <w:pStyle w:val="paragraph"/>
        <w:spacing w:before="0" w:beforeAutospacing="0" w:after="0" w:afterAutospacing="0"/>
        <w:ind w:left="1440"/>
        <w:textAlignment w:val="baseline"/>
        <w:rPr>
          <w:rStyle w:val="normaltextrun"/>
          <w:rFonts w:ascii="Tahoma" w:hAnsi="Tahoma" w:cs="Tahoma"/>
          <w:b/>
          <w:bCs/>
          <w:smallCaps/>
        </w:rPr>
      </w:pPr>
    </w:p>
    <w:p w14:paraId="70DA0E2F" w14:textId="3EDC91D3" w:rsidR="00FC47C1" w:rsidRDefault="00FC47C1" w:rsidP="001261E1">
      <w:pPr>
        <w:pStyle w:val="paragraph"/>
        <w:numPr>
          <w:ilvl w:val="0"/>
          <w:numId w:val="1"/>
        </w:numPr>
        <w:spacing w:before="0" w:beforeAutospacing="0" w:after="0" w:afterAutospacing="0"/>
        <w:ind w:left="1440" w:hanging="720"/>
        <w:textAlignment w:val="baseline"/>
        <w:rPr>
          <w:rFonts w:ascii="Tahoma" w:hAnsi="Tahoma" w:cs="Tahoma"/>
          <w:b/>
          <w:bCs/>
          <w:smallCaps/>
        </w:rPr>
      </w:pPr>
      <w:r>
        <w:rPr>
          <w:rStyle w:val="normaltextrun"/>
          <w:rFonts w:ascii="Tahoma" w:hAnsi="Tahoma" w:cs="Tahoma"/>
          <w:b/>
          <w:bCs/>
        </w:rPr>
        <w:t>Section II.C. Minimum Technical Requirements for Electric Vehicle Charging Stations </w:t>
      </w:r>
      <w:r>
        <w:rPr>
          <w:rStyle w:val="eop"/>
          <w:rFonts w:ascii="Tahoma" w:hAnsi="Tahoma" w:cs="Tahoma"/>
          <w:b/>
          <w:bCs/>
          <w:smallCaps/>
        </w:rPr>
        <w:t> </w:t>
      </w:r>
    </w:p>
    <w:p w14:paraId="73953DA9" w14:textId="5EDAD6DC" w:rsidR="007A5661" w:rsidRPr="003D7085" w:rsidRDefault="007A5661" w:rsidP="00AF39A2">
      <w:pPr>
        <w:pStyle w:val="paragraph"/>
        <w:numPr>
          <w:ilvl w:val="0"/>
          <w:numId w:val="3"/>
        </w:numPr>
        <w:tabs>
          <w:tab w:val="left" w:pos="2160"/>
        </w:tabs>
        <w:spacing w:before="0" w:beforeAutospacing="0" w:after="0" w:afterAutospacing="0"/>
        <w:ind w:left="2160" w:hanging="720"/>
        <w:textAlignment w:val="baseline"/>
        <w:rPr>
          <w:rFonts w:ascii="Tahoma" w:hAnsi="Tahoma" w:cs="Tahoma"/>
        </w:rPr>
      </w:pPr>
      <w:r>
        <w:rPr>
          <w:rStyle w:val="normaltextrun"/>
          <w:rFonts w:ascii="Tahoma" w:hAnsi="Tahoma" w:cs="Tahoma"/>
          <w:b/>
          <w:u w:val="single"/>
        </w:rPr>
        <w:t>For Public Access charging stations, t</w:t>
      </w:r>
      <w:r>
        <w:rPr>
          <w:rStyle w:val="normaltextrun"/>
          <w:rFonts w:ascii="Tahoma" w:hAnsi="Tahoma" w:cs="Tahoma"/>
          <w:u w:val="single"/>
        </w:rPr>
        <w:t>[</w:t>
      </w:r>
      <w:r>
        <w:rPr>
          <w:rStyle w:val="normaltextrun"/>
          <w:rFonts w:ascii="Tahoma" w:hAnsi="Tahoma" w:cs="Tahoma"/>
          <w:strike/>
        </w:rPr>
        <w:t>T</w:t>
      </w:r>
      <w:r>
        <w:rPr>
          <w:rStyle w:val="normaltextrun"/>
          <w:rFonts w:ascii="Tahoma" w:hAnsi="Tahoma" w:cs="Tahoma"/>
        </w:rPr>
        <w:t>]he charging port’s networking software must connect to a central management system using OCPP 2.0.1 for the purposes of charger management and data reporting, including for reliability data reporting requirements specified in the solicitation Scope of Work.</w:t>
      </w:r>
      <w:r w:rsidR="00FC47C1">
        <w:rPr>
          <w:rStyle w:val="normaltextrun"/>
          <w:rFonts w:ascii="Tahoma" w:hAnsi="Tahoma" w:cs="Tahoma"/>
        </w:rPr>
        <w:t> </w:t>
      </w:r>
      <w:r w:rsidR="00681D70" w:rsidRPr="00681D70">
        <w:rPr>
          <w:rFonts w:ascii="Tahoma" w:hAnsi="Tahoma" w:cs="Tahoma"/>
          <w:b/>
          <w:bCs/>
          <w:u w:val="single"/>
          <w:lang w:eastAsia="x-none"/>
        </w:rPr>
        <w:t xml:space="preserve"> </w:t>
      </w:r>
      <w:r w:rsidR="00681D70" w:rsidRPr="00622282">
        <w:rPr>
          <w:rFonts w:ascii="Tahoma" w:hAnsi="Tahoma" w:cs="Tahoma"/>
          <w:b/>
          <w:bCs/>
          <w:u w:val="single"/>
          <w:lang w:eastAsia="x-none"/>
        </w:rPr>
        <w:t>Charging ports must comply with regulatory requirements under Assembly Bill 2061 once the regulation is</w:t>
      </w:r>
      <w:r w:rsidR="00BE244B">
        <w:rPr>
          <w:rFonts w:ascii="Tahoma" w:hAnsi="Tahoma" w:cs="Tahoma"/>
          <w:b/>
          <w:bCs/>
          <w:u w:val="single"/>
          <w:lang w:eastAsia="x-none"/>
        </w:rPr>
        <w:t xml:space="preserve"> adopted by CEC</w:t>
      </w:r>
      <w:r w:rsidR="00681D70" w:rsidRPr="00622282">
        <w:rPr>
          <w:rFonts w:ascii="Tahoma" w:hAnsi="Tahoma" w:cs="Tahoma"/>
          <w:b/>
          <w:bCs/>
          <w:u w:val="single"/>
          <w:lang w:eastAsia="x-none"/>
        </w:rPr>
        <w:t xml:space="preserve">. This includes connecting to a central management system using OCPP 2.0.1 or later for the </w:t>
      </w:r>
      <w:r w:rsidR="00681D70" w:rsidRPr="00622282">
        <w:rPr>
          <w:rFonts w:ascii="Tahoma" w:hAnsi="Tahoma" w:cs="Tahoma"/>
          <w:b/>
          <w:bCs/>
          <w:u w:val="single"/>
          <w:lang w:eastAsia="x-none"/>
        </w:rPr>
        <w:lastRenderedPageBreak/>
        <w:t xml:space="preserve">purposes of reliability data reporting </w:t>
      </w:r>
      <w:r w:rsidR="00681D70" w:rsidRPr="00622282">
        <w:rPr>
          <w:rFonts w:ascii="Tahoma" w:hAnsi="Tahoma" w:cs="Tahoma"/>
          <w:b/>
          <w:bCs/>
          <w:i/>
          <w:iCs/>
          <w:u w:val="single"/>
          <w:lang w:eastAsia="x-none"/>
        </w:rPr>
        <w:t>for applicable charging ports</w:t>
      </w:r>
      <w:r w:rsidR="00681D70" w:rsidRPr="00622282">
        <w:rPr>
          <w:rFonts w:ascii="Tahoma" w:hAnsi="Tahoma" w:cs="Tahoma"/>
          <w:b/>
          <w:bCs/>
          <w:u w:val="single"/>
          <w:lang w:eastAsia="x-none"/>
        </w:rPr>
        <w:t>.</w:t>
      </w:r>
      <w:r w:rsidR="00FC47C1">
        <w:rPr>
          <w:rStyle w:val="normaltextrun"/>
          <w:rFonts w:ascii="Tahoma" w:hAnsi="Tahoma" w:cs="Tahoma"/>
        </w:rPr>
        <w:t> </w:t>
      </w:r>
      <w:r>
        <w:rPr>
          <w:rStyle w:val="eop"/>
          <w:rFonts w:ascii="Tahoma" w:hAnsi="Tahoma" w:cs="Tahoma"/>
        </w:rPr>
        <w:t> </w:t>
      </w:r>
    </w:p>
    <w:p w14:paraId="414BC541" w14:textId="77777777" w:rsidR="00AF39A2" w:rsidRPr="001D1DD0" w:rsidRDefault="00AF39A2" w:rsidP="00AF39A2">
      <w:pPr>
        <w:pStyle w:val="paragraph"/>
        <w:spacing w:before="0" w:beforeAutospacing="0" w:after="0" w:afterAutospacing="0"/>
        <w:ind w:left="1440"/>
        <w:textAlignment w:val="baseline"/>
        <w:rPr>
          <w:rFonts w:ascii="Tahoma" w:hAnsi="Tahoma" w:cs="Tahoma"/>
        </w:rPr>
      </w:pPr>
    </w:p>
    <w:p w14:paraId="1633B263" w14:textId="77777777" w:rsidR="007A5661" w:rsidRDefault="007A5661" w:rsidP="00607221">
      <w:pPr>
        <w:pStyle w:val="paragraph"/>
        <w:numPr>
          <w:ilvl w:val="0"/>
          <w:numId w:val="5"/>
        </w:numPr>
        <w:tabs>
          <w:tab w:val="clear" w:pos="720"/>
          <w:tab w:val="num" w:pos="1440"/>
        </w:tabs>
        <w:spacing w:before="0" w:beforeAutospacing="0" w:after="0" w:afterAutospacing="0"/>
        <w:ind w:left="1440" w:hanging="720"/>
        <w:textAlignment w:val="baseline"/>
        <w:rPr>
          <w:rFonts w:ascii="Tahoma" w:eastAsiaTheme="majorEastAsia" w:hAnsi="Tahoma" w:cs="Tahoma"/>
          <w:bCs/>
          <w:smallCaps/>
        </w:rPr>
      </w:pPr>
      <w:r>
        <w:rPr>
          <w:rStyle w:val="normaltextrun"/>
          <w:rFonts w:ascii="Tahoma" w:eastAsiaTheme="majorEastAsia" w:hAnsi="Tahoma" w:cs="Tahoma"/>
          <w:b/>
        </w:rPr>
        <w:t>Section</w:t>
      </w:r>
      <w:r w:rsidR="00FC47C1">
        <w:rPr>
          <w:rStyle w:val="normaltextrun"/>
          <w:rFonts w:ascii="Tahoma" w:hAnsi="Tahoma" w:cs="Tahoma"/>
          <w:b/>
          <w:bCs/>
        </w:rPr>
        <w:t> III.D.3. Scope of Work (Attachment 2) </w:t>
      </w:r>
      <w:r w:rsidR="00EE7BAA">
        <w:rPr>
          <w:rStyle w:val="eop"/>
          <w:rFonts w:ascii="Tahoma" w:eastAsiaTheme="majorEastAsia" w:hAnsi="Tahoma" w:cs="Tahoma"/>
          <w:b/>
          <w:smallCaps/>
        </w:rPr>
        <w:t> </w:t>
      </w:r>
    </w:p>
    <w:p w14:paraId="584F4AE4" w14:textId="77777777" w:rsidR="00FC47C1" w:rsidRDefault="00FC47C1" w:rsidP="00FC47C1">
      <w:pPr>
        <w:pStyle w:val="paragraph"/>
        <w:spacing w:before="0" w:beforeAutospacing="0" w:after="0" w:afterAutospacing="0"/>
        <w:ind w:left="1080"/>
        <w:textAlignment w:val="baseline"/>
        <w:rPr>
          <w:rFonts w:ascii="Segoe UI" w:hAnsi="Segoe UI" w:cs="Segoe UI"/>
          <w:sz w:val="18"/>
          <w:szCs w:val="18"/>
        </w:rPr>
      </w:pPr>
      <w:r>
        <w:rPr>
          <w:rStyle w:val="eop"/>
          <w:rFonts w:ascii="Tahoma" w:hAnsi="Tahoma" w:cs="Tahoma"/>
        </w:rPr>
        <w:t> </w:t>
      </w:r>
    </w:p>
    <w:p w14:paraId="74F8FF3E" w14:textId="77777777" w:rsidR="00FC47C1" w:rsidRDefault="00FC47C1" w:rsidP="002F6A1B">
      <w:pPr>
        <w:pStyle w:val="paragraph"/>
        <w:spacing w:before="0" w:beforeAutospacing="0" w:after="0" w:afterAutospacing="0"/>
        <w:ind w:left="1440"/>
        <w:textAlignment w:val="baseline"/>
        <w:rPr>
          <w:rFonts w:ascii="Segoe UI" w:hAnsi="Segoe UI" w:cs="Segoe UI"/>
          <w:sz w:val="18"/>
          <w:szCs w:val="18"/>
        </w:rPr>
      </w:pPr>
      <w:r>
        <w:rPr>
          <w:rStyle w:val="normaltextrun"/>
          <w:rFonts w:ascii="Tahoma" w:hAnsi="Tahoma" w:cs="Tahoma"/>
        </w:rPr>
        <w:t>Applicants must include a completed Scope of Work utilizing the template contained in Attachment 2. Instructions for completing the Scope of Work as well as a sample are included in Attachment 3. The description of activities proposed in the Project Narrative must conform to the tasks described in the Scope of Work. Electronic files for the Scope of Work must be in MS Word.</w:t>
      </w:r>
      <w:r>
        <w:rPr>
          <w:rStyle w:val="eop"/>
          <w:rFonts w:ascii="Tahoma" w:hAnsi="Tahoma" w:cs="Tahoma"/>
        </w:rPr>
        <w:t> </w:t>
      </w:r>
    </w:p>
    <w:p w14:paraId="0F64D561" w14:textId="77777777" w:rsidR="00FC47C1" w:rsidRDefault="00FC47C1" w:rsidP="00FC47C1">
      <w:pPr>
        <w:pStyle w:val="paragraph"/>
        <w:spacing w:before="0" w:beforeAutospacing="0" w:after="0" w:afterAutospacing="0"/>
        <w:ind w:left="1080"/>
        <w:textAlignment w:val="baseline"/>
        <w:rPr>
          <w:rFonts w:ascii="Segoe UI" w:hAnsi="Segoe UI" w:cs="Segoe UI"/>
          <w:sz w:val="18"/>
          <w:szCs w:val="18"/>
        </w:rPr>
      </w:pPr>
      <w:r>
        <w:rPr>
          <w:rStyle w:val="eop"/>
          <w:rFonts w:ascii="Tahoma" w:hAnsi="Tahoma" w:cs="Tahoma"/>
        </w:rPr>
        <w:t> </w:t>
      </w:r>
    </w:p>
    <w:p w14:paraId="2A5A946D" w14:textId="77777777" w:rsidR="00FC47C1" w:rsidRDefault="00FC47C1" w:rsidP="002F6A1B">
      <w:pPr>
        <w:pStyle w:val="paragraph"/>
        <w:spacing w:before="0" w:beforeAutospacing="0" w:after="0" w:afterAutospacing="0"/>
        <w:ind w:left="1440"/>
        <w:textAlignment w:val="baseline"/>
        <w:rPr>
          <w:rFonts w:ascii="Segoe UI" w:hAnsi="Segoe UI" w:cs="Segoe UI"/>
          <w:sz w:val="18"/>
          <w:szCs w:val="18"/>
        </w:rPr>
      </w:pPr>
      <w:r>
        <w:rPr>
          <w:rStyle w:val="normaltextrun"/>
          <w:rFonts w:ascii="Tahoma" w:hAnsi="Tahoma" w:cs="Tahoma"/>
          <w:b/>
          <w:bCs/>
          <w:u w:val="single"/>
        </w:rPr>
        <w:t>Please note, the information, requirements, and deliverables set forth in this Scope of Work template are provided for preliminary reference only and are subject to revision. CEC reserves the right to modify the Scope of Work at any time during the negotiation and development of a grant agreement.</w:t>
      </w:r>
      <w:r>
        <w:rPr>
          <w:rStyle w:val="eop"/>
          <w:rFonts w:ascii="Tahoma" w:hAnsi="Tahoma" w:cs="Tahoma"/>
        </w:rPr>
        <w:t> </w:t>
      </w:r>
    </w:p>
    <w:p w14:paraId="6FFCD730" w14:textId="77777777" w:rsidR="00FC47C1" w:rsidRDefault="00FC47C1" w:rsidP="00FC47C1">
      <w:pPr>
        <w:pStyle w:val="paragraph"/>
        <w:spacing w:before="0" w:beforeAutospacing="0" w:after="0" w:afterAutospacing="0"/>
        <w:ind w:left="720"/>
        <w:textAlignment w:val="baseline"/>
        <w:rPr>
          <w:rFonts w:ascii="Segoe UI" w:hAnsi="Segoe UI" w:cs="Segoe UI"/>
          <w:sz w:val="18"/>
          <w:szCs w:val="18"/>
        </w:rPr>
      </w:pPr>
      <w:r>
        <w:rPr>
          <w:rStyle w:val="eop"/>
          <w:rFonts w:ascii="Tahoma" w:hAnsi="Tahoma" w:cs="Tahoma"/>
        </w:rPr>
        <w:t> </w:t>
      </w:r>
    </w:p>
    <w:p w14:paraId="51D8321D" w14:textId="77777777" w:rsidR="00FC47C1" w:rsidRDefault="00FC47C1" w:rsidP="002F6A1B">
      <w:pPr>
        <w:pStyle w:val="paragraph"/>
        <w:spacing w:before="0" w:beforeAutospacing="0" w:after="0" w:afterAutospacing="0"/>
        <w:ind w:left="1440"/>
        <w:textAlignment w:val="baseline"/>
        <w:rPr>
          <w:rFonts w:ascii="Segoe UI" w:hAnsi="Segoe UI" w:cs="Segoe UI"/>
          <w:sz w:val="18"/>
          <w:szCs w:val="18"/>
        </w:rPr>
      </w:pPr>
      <w:r>
        <w:rPr>
          <w:rStyle w:val="normaltextrun"/>
          <w:rFonts w:ascii="Tahoma" w:hAnsi="Tahoma" w:cs="Tahoma"/>
        </w:rPr>
        <w:t>Applicants must present a comprehensive and credible Scope of Work which includes (presented in a logical manner) comprehensive and sequential tasks, products resulting from the individual tasks, and how the tasks are related to or are dependent on each other.</w:t>
      </w:r>
      <w:r>
        <w:rPr>
          <w:rStyle w:val="eop"/>
          <w:rFonts w:ascii="Tahoma" w:hAnsi="Tahoma" w:cs="Tahoma"/>
        </w:rPr>
        <w:t> </w:t>
      </w:r>
    </w:p>
    <w:p w14:paraId="6E076F1B" w14:textId="6D03351B" w:rsidR="00FC47C1" w:rsidRDefault="00FC47C1" w:rsidP="00AD386E">
      <w:pPr>
        <w:pStyle w:val="paragraph"/>
        <w:spacing w:after="0" w:afterAutospacing="0"/>
        <w:textAlignment w:val="baseline"/>
        <w:rPr>
          <w:rFonts w:ascii="Segoe UI" w:hAnsi="Segoe UI" w:cs="Segoe UI"/>
          <w:sz w:val="18"/>
          <w:szCs w:val="18"/>
        </w:rPr>
      </w:pPr>
      <w:r>
        <w:rPr>
          <w:rStyle w:val="normaltextrun"/>
          <w:rFonts w:ascii="Tahoma" w:hAnsi="Tahoma" w:cs="Tahoma"/>
          <w:b/>
          <w:bCs/>
        </w:rPr>
        <w:t>Attachment 2, Scope of Work</w:t>
      </w:r>
      <w:r>
        <w:rPr>
          <w:rStyle w:val="eop"/>
          <w:rFonts w:ascii="Tahoma" w:hAnsi="Tahoma" w:cs="Tahoma"/>
        </w:rPr>
        <w:t> </w:t>
      </w:r>
    </w:p>
    <w:p w14:paraId="2E3E4037" w14:textId="4453A623" w:rsidR="00FC47C1" w:rsidRDefault="00FC47C1" w:rsidP="00607221">
      <w:pPr>
        <w:pStyle w:val="paragraph"/>
        <w:numPr>
          <w:ilvl w:val="0"/>
          <w:numId w:val="6"/>
        </w:numPr>
        <w:tabs>
          <w:tab w:val="clear" w:pos="1080"/>
          <w:tab w:val="num" w:pos="1530"/>
        </w:tabs>
        <w:spacing w:before="0" w:beforeAutospacing="0" w:after="0" w:afterAutospacing="0"/>
        <w:ind w:left="1440" w:hanging="720"/>
        <w:textAlignment w:val="baseline"/>
        <w:rPr>
          <w:rFonts w:ascii="Tahoma" w:hAnsi="Tahoma" w:cs="Tahoma"/>
        </w:rPr>
      </w:pPr>
      <w:r>
        <w:rPr>
          <w:rStyle w:val="normaltextrun"/>
          <w:rFonts w:ascii="Tahoma" w:hAnsi="Tahoma" w:cs="Tahoma"/>
          <w:b/>
          <w:bCs/>
          <w:u w:val="single"/>
        </w:rPr>
        <w:t xml:space="preserve">The information, requirements, and deliverables set forth in this Scope of Work </w:t>
      </w:r>
      <w:r w:rsidR="00A3028B">
        <w:rPr>
          <w:rStyle w:val="normaltextrun"/>
          <w:rFonts w:ascii="Tahoma" w:hAnsi="Tahoma" w:cs="Tahoma"/>
          <w:b/>
          <w:bCs/>
          <w:u w:val="single"/>
        </w:rPr>
        <w:t xml:space="preserve">template </w:t>
      </w:r>
      <w:r>
        <w:rPr>
          <w:rStyle w:val="normaltextrun"/>
          <w:rFonts w:ascii="Tahoma" w:hAnsi="Tahoma" w:cs="Tahoma"/>
          <w:b/>
          <w:bCs/>
          <w:u w:val="single"/>
        </w:rPr>
        <w:t>are provided for preliminary reference only and are subject to revision. CEC reserves the right to modify the Scope of Work at any time during the negotiation and development of a grant agreement.</w:t>
      </w:r>
      <w:r>
        <w:rPr>
          <w:rStyle w:val="eop"/>
          <w:rFonts w:ascii="Tahoma" w:hAnsi="Tahoma" w:cs="Tahoma"/>
        </w:rPr>
        <w:t> </w:t>
      </w:r>
    </w:p>
    <w:p w14:paraId="25325CEB" w14:textId="77777777" w:rsidR="00FC47C1" w:rsidRDefault="00FC47C1" w:rsidP="00FC47C1">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rPr>
        <w:t> </w:t>
      </w:r>
    </w:p>
    <w:p w14:paraId="1F93AB53" w14:textId="2F193170" w:rsidR="00FC47C1" w:rsidRDefault="00FC47C1" w:rsidP="00FC47C1">
      <w:pPr>
        <w:pStyle w:val="paragraph"/>
        <w:spacing w:before="0" w:after="0" w:afterAutospacing="0"/>
        <w:textAlignment w:val="baseline"/>
        <w:rPr>
          <w:rFonts w:ascii="Segoe UI" w:hAnsi="Segoe UI" w:cs="Segoe UI"/>
          <w:sz w:val="18"/>
          <w:szCs w:val="18"/>
        </w:rPr>
      </w:pPr>
      <w:r>
        <w:rPr>
          <w:rStyle w:val="normaltextrun"/>
          <w:rFonts w:ascii="Tahoma" w:hAnsi="Tahoma" w:cs="Tahoma"/>
          <w:b/>
          <w:bCs/>
        </w:rPr>
        <w:t>Attachment 3, Scope of Work Instructions</w:t>
      </w:r>
      <w:r>
        <w:rPr>
          <w:rStyle w:val="eop"/>
          <w:rFonts w:ascii="Tahoma" w:hAnsi="Tahoma" w:cs="Tahoma"/>
        </w:rPr>
        <w:t> </w:t>
      </w:r>
    </w:p>
    <w:p w14:paraId="7F20507C" w14:textId="748A6D6D" w:rsidR="00FC47C1" w:rsidRDefault="00FC47C1" w:rsidP="00607221">
      <w:pPr>
        <w:pStyle w:val="paragraph"/>
        <w:numPr>
          <w:ilvl w:val="0"/>
          <w:numId w:val="7"/>
        </w:numPr>
        <w:tabs>
          <w:tab w:val="clear" w:pos="720"/>
          <w:tab w:val="num" w:pos="1440"/>
        </w:tabs>
        <w:spacing w:before="0" w:beforeAutospacing="0" w:after="0" w:afterAutospacing="0"/>
        <w:ind w:left="1440" w:hanging="720"/>
        <w:textAlignment w:val="baseline"/>
        <w:rPr>
          <w:rFonts w:ascii="Tahoma" w:hAnsi="Tahoma" w:cs="Tahoma"/>
          <w:b/>
          <w:bCs/>
          <w:smallCaps/>
        </w:rPr>
      </w:pPr>
      <w:r>
        <w:rPr>
          <w:rStyle w:val="normaltextrun"/>
          <w:rFonts w:ascii="Tahoma" w:hAnsi="Tahoma" w:cs="Tahoma"/>
          <w:b/>
          <w:bCs/>
          <w:u w:val="single"/>
        </w:rPr>
        <w:t>The information, requirements, and deliverables set forth in th</w:t>
      </w:r>
      <w:r w:rsidR="00AD386E">
        <w:rPr>
          <w:rStyle w:val="normaltextrun"/>
          <w:rFonts w:ascii="Tahoma" w:hAnsi="Tahoma" w:cs="Tahoma"/>
          <w:b/>
          <w:bCs/>
          <w:u w:val="single"/>
        </w:rPr>
        <w:t>e</w:t>
      </w:r>
      <w:r>
        <w:rPr>
          <w:rStyle w:val="normaltextrun"/>
          <w:rFonts w:ascii="Tahoma" w:hAnsi="Tahoma" w:cs="Tahoma"/>
          <w:b/>
          <w:bCs/>
          <w:u w:val="single"/>
        </w:rPr>
        <w:t xml:space="preserve"> Scope of Work</w:t>
      </w:r>
      <w:r w:rsidR="00AD386E">
        <w:rPr>
          <w:rStyle w:val="normaltextrun"/>
          <w:rFonts w:ascii="Tahoma" w:hAnsi="Tahoma" w:cs="Tahoma"/>
          <w:b/>
          <w:bCs/>
          <w:u w:val="single"/>
        </w:rPr>
        <w:t xml:space="preserve"> template (Attachment 2)</w:t>
      </w:r>
      <w:r>
        <w:rPr>
          <w:rStyle w:val="normaltextrun"/>
          <w:rFonts w:ascii="Tahoma" w:hAnsi="Tahoma" w:cs="Tahoma"/>
          <w:b/>
          <w:bCs/>
          <w:u w:val="single"/>
        </w:rPr>
        <w:t xml:space="preserve"> are provided for preliminary reference only and are subject to revision. CEC reserves the right to modify the Scope of Work at any time during the negotiation and development of a grant agreement.</w:t>
      </w:r>
      <w:r>
        <w:rPr>
          <w:rStyle w:val="eop"/>
          <w:rFonts w:ascii="Tahoma" w:hAnsi="Tahoma" w:cs="Tahoma"/>
          <w:b/>
          <w:bCs/>
          <w:smallCaps/>
        </w:rPr>
        <w:t> </w:t>
      </w:r>
    </w:p>
    <w:p w14:paraId="15BCB43D" w14:textId="77777777" w:rsidR="00FC47C1" w:rsidRDefault="00FC47C1" w:rsidP="00FC47C1">
      <w:pPr>
        <w:pStyle w:val="paragraph"/>
        <w:spacing w:before="0" w:beforeAutospacing="0" w:after="0" w:afterAutospacing="0"/>
        <w:textAlignment w:val="baseline"/>
        <w:rPr>
          <w:rFonts w:ascii="Segoe UI" w:hAnsi="Segoe UI" w:cs="Segoe UI"/>
          <w:color w:val="243F60"/>
          <w:sz w:val="18"/>
          <w:szCs w:val="18"/>
        </w:rPr>
      </w:pPr>
      <w:r>
        <w:rPr>
          <w:rStyle w:val="eop"/>
          <w:rFonts w:ascii="Calibri" w:hAnsi="Calibri" w:cs="Calibri"/>
          <w:color w:val="243F60"/>
        </w:rPr>
        <w:t> </w:t>
      </w:r>
    </w:p>
    <w:p w14:paraId="0C79176C" w14:textId="55104853" w:rsidR="00154044" w:rsidRPr="00CC3EC2" w:rsidRDefault="00154044" w:rsidP="00154044">
      <w:pPr>
        <w:rPr>
          <w:rFonts w:ascii="Tahoma" w:hAnsi="Tahoma" w:cs="Tahoma"/>
          <w:b/>
          <w:bCs/>
        </w:rPr>
      </w:pPr>
      <w:r w:rsidRPr="00CC3EC2">
        <w:rPr>
          <w:rFonts w:ascii="Tahoma" w:hAnsi="Tahoma" w:cs="Tahoma"/>
          <w:b/>
          <w:bCs/>
        </w:rPr>
        <w:t xml:space="preserve">Attachment </w:t>
      </w:r>
      <w:r>
        <w:rPr>
          <w:rFonts w:ascii="Tahoma" w:hAnsi="Tahoma" w:cs="Tahoma"/>
          <w:b/>
          <w:bCs/>
        </w:rPr>
        <w:t>11</w:t>
      </w:r>
      <w:r w:rsidRPr="00CC3EC2">
        <w:rPr>
          <w:rFonts w:ascii="Tahoma" w:hAnsi="Tahoma" w:cs="Tahoma"/>
          <w:b/>
          <w:bCs/>
        </w:rPr>
        <w:t>, Station Checklist</w:t>
      </w:r>
    </w:p>
    <w:p w14:paraId="1C84444E" w14:textId="77777777" w:rsidR="00154044" w:rsidRPr="00CC3EC2" w:rsidRDefault="00154044" w:rsidP="00AF39A2">
      <w:pPr>
        <w:pStyle w:val="ListParagraph"/>
        <w:numPr>
          <w:ilvl w:val="0"/>
          <w:numId w:val="7"/>
        </w:numPr>
        <w:tabs>
          <w:tab w:val="clear" w:pos="720"/>
          <w:tab w:val="num" w:pos="1440"/>
        </w:tabs>
        <w:ind w:left="1440" w:hanging="720"/>
        <w:rPr>
          <w:rStyle w:val="normaltextrun"/>
          <w:rFonts w:ascii="Tahoma" w:hAnsi="Tahoma" w:cs="Tahoma"/>
          <w:b/>
          <w:bCs/>
        </w:rPr>
      </w:pPr>
      <w:r w:rsidRPr="00CC3EC2">
        <w:rPr>
          <w:rStyle w:val="normaltextrun"/>
          <w:rFonts w:ascii="Tahoma" w:eastAsia="Tahoma" w:hAnsi="Tahoma" w:cs="Tahoma"/>
          <w:color w:val="000000" w:themeColor="text1"/>
        </w:rPr>
        <w:t>[</w:t>
      </w:r>
      <w:r w:rsidRPr="00CC3EC2">
        <w:rPr>
          <w:rStyle w:val="normaltextrun"/>
          <w:rFonts w:ascii="Tahoma" w:eastAsia="Tahoma" w:hAnsi="Tahoma" w:cs="Tahoma"/>
          <w:strike/>
          <w:color w:val="000000" w:themeColor="text1"/>
        </w:rPr>
        <w:t xml:space="preserve">The charging port must be Energy Star certified and listed on the </w:t>
      </w:r>
      <w:hyperlink r:id="rId12">
        <w:r w:rsidRPr="00CC3EC2">
          <w:rPr>
            <w:rStyle w:val="Hyperlink"/>
            <w:rFonts w:ascii="Tahoma" w:eastAsia="Tahoma" w:hAnsi="Tahoma" w:cs="Tahoma"/>
            <w:strike/>
          </w:rPr>
          <w:t>Energy Star Product Finder Page</w:t>
        </w:r>
      </w:hyperlink>
      <w:r w:rsidRPr="00CC3EC2">
        <w:rPr>
          <w:rStyle w:val="normaltextrun"/>
          <w:rFonts w:ascii="Tahoma" w:eastAsia="Tahoma" w:hAnsi="Tahoma" w:cs="Tahoma"/>
          <w:strike/>
          <w:color w:val="000000" w:themeColor="text1"/>
        </w:rPr>
        <w:t>. They do not have to be certified at the time of submitting the proposal but must be certified prior to submitting an invoice that seeks repayment for the chargers. Chargers over 350 kW are not required to be Energy Star certified.</w:t>
      </w:r>
      <w:r w:rsidRPr="00877C69">
        <w:rPr>
          <w:rStyle w:val="normaltextrun"/>
          <w:rFonts w:ascii="Tahoma" w:eastAsia="Tahoma" w:hAnsi="Tahoma" w:cs="Tahoma"/>
          <w:color w:val="000000" w:themeColor="text1"/>
        </w:rPr>
        <w:t>]</w:t>
      </w:r>
      <w:r w:rsidRPr="00CC3EC2">
        <w:rPr>
          <w:rStyle w:val="normaltextrun"/>
          <w:rFonts w:ascii="Tahoma" w:eastAsia="Tahoma" w:hAnsi="Tahoma" w:cs="Tahoma"/>
          <w:color w:val="000000" w:themeColor="text1"/>
        </w:rPr>
        <w:t> </w:t>
      </w:r>
      <w:r w:rsidRPr="00CC3EC2">
        <w:rPr>
          <w:rStyle w:val="normaltextrun"/>
          <w:rFonts w:ascii="Tahoma" w:eastAsia="Tahoma" w:hAnsi="Tahoma" w:cs="Tahoma"/>
          <w:color w:val="000000" w:themeColor="text1"/>
        </w:rPr>
        <w:br/>
      </w:r>
    </w:p>
    <w:p w14:paraId="5EB82620" w14:textId="47FFBD7C" w:rsidR="00FC47C1" w:rsidRDefault="00154044" w:rsidP="005D6B0D">
      <w:pPr>
        <w:pStyle w:val="ListParagraph"/>
        <w:numPr>
          <w:ilvl w:val="0"/>
          <w:numId w:val="7"/>
        </w:numPr>
        <w:tabs>
          <w:tab w:val="clear" w:pos="720"/>
          <w:tab w:val="num" w:pos="1530"/>
        </w:tabs>
        <w:ind w:left="1440" w:hanging="720"/>
        <w:rPr>
          <w:rFonts w:ascii="Segoe UI" w:hAnsi="Segoe UI" w:cs="Segoe UI"/>
          <w:sz w:val="18"/>
          <w:szCs w:val="18"/>
        </w:rPr>
      </w:pPr>
      <w:r w:rsidRPr="00CC3EC2">
        <w:rPr>
          <w:rFonts w:ascii="Tahoma" w:hAnsi="Tahoma" w:cs="Tahoma"/>
          <w:b/>
          <w:bCs/>
          <w:u w:val="single"/>
        </w:rPr>
        <w:lastRenderedPageBreak/>
        <w:t>For Public Access, t</w:t>
      </w:r>
      <w:r w:rsidRPr="00CC3EC2">
        <w:rPr>
          <w:rFonts w:ascii="Tahoma" w:hAnsi="Tahoma" w:cs="Tahoma"/>
          <w:u w:val="single"/>
        </w:rPr>
        <w:t>[</w:t>
      </w:r>
      <w:r w:rsidRPr="00CC3EC2">
        <w:rPr>
          <w:rFonts w:ascii="Tahoma" w:hAnsi="Tahoma" w:cs="Tahoma"/>
          <w:strike/>
        </w:rPr>
        <w:t>T</w:t>
      </w:r>
      <w:r w:rsidRPr="00CC3EC2">
        <w:rPr>
          <w:rFonts w:ascii="Tahoma" w:hAnsi="Tahoma" w:cs="Tahoma"/>
        </w:rPr>
        <w:t>]he</w:t>
      </w:r>
      <w:r w:rsidRPr="00CC3EC2">
        <w:rPr>
          <w:rStyle w:val="normaltextrun"/>
          <w:rFonts w:ascii="Tahoma" w:eastAsia="Tahoma" w:hAnsi="Tahoma" w:cs="Tahoma"/>
          <w:color w:val="000000" w:themeColor="text1"/>
        </w:rPr>
        <w:t xml:space="preserve"> charging port’s networking software must connect to a central management system using OCPP 2.0.1 for the purposes of charger management and data reporting, including for reliability data reporting requirements specified in the solicitation Scope of Work.</w:t>
      </w:r>
      <w:r w:rsidR="005D6B0D">
        <w:rPr>
          <w:rStyle w:val="normaltextrun"/>
          <w:rFonts w:ascii="Tahoma" w:eastAsia="Tahoma" w:hAnsi="Tahoma" w:cs="Tahoma"/>
          <w:color w:val="000000" w:themeColor="text1"/>
        </w:rPr>
        <w:t xml:space="preserve"> </w:t>
      </w:r>
      <w:r w:rsidR="009652D7" w:rsidRPr="00622282">
        <w:rPr>
          <w:rFonts w:ascii="Tahoma" w:hAnsi="Tahoma" w:cs="Tahoma"/>
          <w:b/>
          <w:bCs/>
          <w:u w:val="single"/>
          <w:lang w:eastAsia="x-none"/>
        </w:rPr>
        <w:t>Charging ports must comply with regulatory requirements under Assembly Bill 2061 once the regulation is</w:t>
      </w:r>
      <w:r w:rsidR="009652D7">
        <w:rPr>
          <w:rFonts w:ascii="Tahoma" w:hAnsi="Tahoma" w:cs="Tahoma"/>
          <w:b/>
          <w:bCs/>
          <w:u w:val="single"/>
          <w:lang w:eastAsia="x-none"/>
        </w:rPr>
        <w:t xml:space="preserve"> adopted by CEC</w:t>
      </w:r>
      <w:r w:rsidR="009652D7" w:rsidRPr="00622282">
        <w:rPr>
          <w:rFonts w:ascii="Tahoma" w:hAnsi="Tahoma" w:cs="Tahoma"/>
          <w:b/>
          <w:bCs/>
          <w:u w:val="single"/>
          <w:lang w:eastAsia="x-none"/>
        </w:rPr>
        <w:t xml:space="preserve">. This includes connecting to a central management system using OCPP 2.0.1 or later for the purposes of reliability data reporting </w:t>
      </w:r>
      <w:r w:rsidR="009652D7" w:rsidRPr="00622282">
        <w:rPr>
          <w:rFonts w:ascii="Tahoma" w:hAnsi="Tahoma" w:cs="Tahoma"/>
          <w:b/>
          <w:bCs/>
          <w:i/>
          <w:iCs/>
          <w:u w:val="single"/>
          <w:lang w:eastAsia="x-none"/>
        </w:rPr>
        <w:t>for applicable charging ports</w:t>
      </w:r>
      <w:r w:rsidR="009652D7" w:rsidRPr="00622282">
        <w:rPr>
          <w:rFonts w:ascii="Tahoma" w:hAnsi="Tahoma" w:cs="Tahoma"/>
          <w:b/>
          <w:bCs/>
          <w:u w:val="single"/>
          <w:lang w:eastAsia="x-none"/>
        </w:rPr>
        <w:t>.</w:t>
      </w:r>
      <w:r w:rsidR="009652D7">
        <w:rPr>
          <w:rStyle w:val="normaltextrun"/>
          <w:rFonts w:ascii="Tahoma" w:hAnsi="Tahoma" w:cs="Tahoma"/>
        </w:rPr>
        <w:t> </w:t>
      </w:r>
      <w:r w:rsidR="009652D7">
        <w:rPr>
          <w:rStyle w:val="eop"/>
          <w:rFonts w:ascii="Tahoma" w:hAnsi="Tahoma" w:cs="Tahoma"/>
        </w:rPr>
        <w:t> </w:t>
      </w:r>
      <w:r w:rsidRPr="00CC3EC2">
        <w:rPr>
          <w:rStyle w:val="normaltextrun"/>
          <w:rFonts w:ascii="Tahoma" w:eastAsia="Tahoma" w:hAnsi="Tahoma" w:cs="Tahoma"/>
          <w:color w:val="000000" w:themeColor="text1"/>
        </w:rPr>
        <w:br/>
      </w:r>
    </w:p>
    <w:p w14:paraId="27E8D09E" w14:textId="619055B4" w:rsidR="004F7DD2" w:rsidRDefault="00FE7A15" w:rsidP="00FC47C1">
      <w:pPr>
        <w:pStyle w:val="paragraph"/>
        <w:spacing w:before="0" w:beforeAutospacing="0" w:after="0" w:afterAutospacing="0"/>
        <w:textAlignment w:val="baseline"/>
        <w:rPr>
          <w:rStyle w:val="normaltextrun"/>
          <w:rFonts w:ascii="Tahoma" w:hAnsi="Tahoma" w:cs="Tahoma"/>
          <w:b/>
          <w:bCs/>
        </w:rPr>
      </w:pPr>
      <w:r w:rsidRPr="00FE7A15">
        <w:rPr>
          <w:rStyle w:val="normaltextrun"/>
          <w:rFonts w:ascii="Tahoma" w:hAnsi="Tahoma" w:cs="Tahoma"/>
          <w:b/>
          <w:bCs/>
        </w:rPr>
        <w:t>Questions and Answers</w:t>
      </w:r>
    </w:p>
    <w:p w14:paraId="219D6511" w14:textId="77777777" w:rsidR="009771DF" w:rsidRPr="009771DF" w:rsidRDefault="009771DF" w:rsidP="009771DF">
      <w:pPr>
        <w:pStyle w:val="ListParagraph"/>
        <w:numPr>
          <w:ilvl w:val="0"/>
          <w:numId w:val="7"/>
        </w:numPr>
        <w:tabs>
          <w:tab w:val="clear" w:pos="720"/>
          <w:tab w:val="left" w:pos="1530"/>
        </w:tabs>
        <w:ind w:left="1440" w:hanging="720"/>
        <w:rPr>
          <w:rFonts w:ascii="Tahoma" w:hAnsi="Tahoma" w:cs="Tahoma"/>
        </w:rPr>
      </w:pPr>
      <w:r w:rsidRPr="009771DF">
        <w:rPr>
          <w:rFonts w:ascii="Tahoma" w:eastAsia="Tahoma" w:hAnsi="Tahoma" w:cs="Tahoma"/>
        </w:rPr>
        <w:t>Unless indicated otherwise, all section numbers identified are from the solicitation manual (for example, “Section II.B.” refers to Section II.B. of the solicitation manual) of Addendum [</w:t>
      </w:r>
      <w:r w:rsidRPr="009771DF">
        <w:rPr>
          <w:rFonts w:ascii="Tahoma" w:eastAsia="Tahoma" w:hAnsi="Tahoma" w:cs="Tahoma"/>
          <w:strike/>
        </w:rPr>
        <w:t>6</w:t>
      </w:r>
      <w:r w:rsidRPr="009771DF">
        <w:rPr>
          <w:rFonts w:ascii="Tahoma" w:eastAsia="Tahoma" w:hAnsi="Tahoma" w:cs="Tahoma"/>
        </w:rPr>
        <w:t>]</w:t>
      </w:r>
      <w:r w:rsidRPr="009771DF">
        <w:rPr>
          <w:rFonts w:ascii="Tahoma" w:eastAsia="Tahoma" w:hAnsi="Tahoma" w:cs="Tahoma"/>
          <w:b/>
          <w:bCs/>
          <w:u w:val="single"/>
        </w:rPr>
        <w:t>7</w:t>
      </w:r>
      <w:r w:rsidRPr="009771DF">
        <w:rPr>
          <w:rFonts w:ascii="Tahoma" w:eastAsia="Tahoma" w:hAnsi="Tahoma" w:cs="Tahoma"/>
        </w:rPr>
        <w:t>.</w:t>
      </w:r>
    </w:p>
    <w:p w14:paraId="52C57798" w14:textId="77777777" w:rsidR="00701394" w:rsidRDefault="00701394" w:rsidP="00427B6A">
      <w:pPr>
        <w:pStyle w:val="ListParagraph"/>
        <w:rPr>
          <w:rFonts w:ascii="Tahoma" w:eastAsia="Tahoma" w:hAnsi="Tahoma" w:cs="Tahoma"/>
        </w:rPr>
      </w:pPr>
    </w:p>
    <w:p w14:paraId="5EAB2144" w14:textId="77777777" w:rsidR="0017117D" w:rsidRPr="00695C3C" w:rsidRDefault="0017117D" w:rsidP="005F2763">
      <w:pPr>
        <w:ind w:left="2160" w:hanging="720"/>
        <w:rPr>
          <w:rFonts w:ascii="Tahoma" w:hAnsi="Tahoma" w:cs="Tahoma"/>
        </w:rPr>
      </w:pPr>
      <w:r w:rsidRPr="4AAB1458">
        <w:rPr>
          <w:rFonts w:ascii="Tahoma" w:eastAsia="Tahoma" w:hAnsi="Tahoma" w:cs="Tahoma"/>
        </w:rPr>
        <w:t>A1.</w:t>
      </w:r>
      <w:r>
        <w:tab/>
        <w:t>[</w:t>
      </w:r>
      <w:r w:rsidRPr="00C35D73">
        <w:rPr>
          <w:rFonts w:ascii="Tahoma" w:hAnsi="Tahoma" w:cs="Tahoma"/>
          <w:strike/>
        </w:rPr>
        <w:t>Addendum 6 removed t</w:t>
      </w:r>
      <w:r>
        <w:rPr>
          <w:rFonts w:ascii="Tahoma" w:hAnsi="Tahoma" w:cs="Tahoma"/>
        </w:rPr>
        <w:t>]</w:t>
      </w:r>
      <w:r w:rsidRPr="00C35D73">
        <w:rPr>
          <w:rFonts w:ascii="Tahoma" w:hAnsi="Tahoma" w:cs="Tahoma"/>
          <w:b/>
          <w:bCs/>
          <w:u w:val="single"/>
        </w:rPr>
        <w:t>T</w:t>
      </w:r>
      <w:r w:rsidRPr="0067735F">
        <w:rPr>
          <w:rFonts w:ascii="Tahoma" w:hAnsi="Tahoma" w:cs="Tahoma"/>
        </w:rPr>
        <w:t xml:space="preserve">he Public Access requirements </w:t>
      </w:r>
      <w:r w:rsidRPr="00C35D73">
        <w:rPr>
          <w:rFonts w:ascii="Tahoma" w:hAnsi="Tahoma" w:cs="Tahoma"/>
          <w:b/>
          <w:bCs/>
          <w:u w:val="single"/>
        </w:rPr>
        <w:t>have been removed</w:t>
      </w:r>
      <w:r>
        <w:rPr>
          <w:rFonts w:ascii="Tahoma" w:hAnsi="Tahoma" w:cs="Tahoma"/>
        </w:rPr>
        <w:t xml:space="preserve"> </w:t>
      </w:r>
      <w:r w:rsidRPr="0067735F">
        <w:rPr>
          <w:rFonts w:ascii="Tahoma" w:hAnsi="Tahoma" w:cs="Tahoma"/>
        </w:rPr>
        <w:t>for public school districts and public transit agencies with projects that are solely for charging and/or refueling school buses and transit buses. (</w:t>
      </w:r>
      <w:r w:rsidRPr="0067735F">
        <w:rPr>
          <w:rStyle w:val="eop"/>
          <w:rFonts w:ascii="Tahoma" w:eastAsia="Tahoma" w:hAnsi="Tahoma" w:cs="Tahoma"/>
          <w:color w:val="000000" w:themeColor="text1"/>
        </w:rPr>
        <w:t>Section II.B.2.</w:t>
      </w:r>
      <w:r w:rsidRPr="0067735F">
        <w:rPr>
          <w:rFonts w:ascii="Tahoma" w:eastAsia="Tahoma" w:hAnsi="Tahoma" w:cs="Tahoma"/>
        </w:rPr>
        <w:t xml:space="preserve"> </w:t>
      </w:r>
      <w:r>
        <w:rPr>
          <w:rFonts w:ascii="Tahoma" w:eastAsia="Tahoma" w:hAnsi="Tahoma" w:cs="Tahoma"/>
        </w:rPr>
        <w:t>[</w:t>
      </w:r>
      <w:r w:rsidRPr="001211C5">
        <w:rPr>
          <w:rFonts w:ascii="Tahoma" w:eastAsia="Tahoma" w:hAnsi="Tahoma" w:cs="Tahoma"/>
          <w:strike/>
        </w:rPr>
        <w:t>of Addendum 6</w:t>
      </w:r>
      <w:r>
        <w:rPr>
          <w:rFonts w:ascii="Tahoma" w:eastAsia="Tahoma" w:hAnsi="Tahoma" w:cs="Tahoma"/>
        </w:rPr>
        <w:t>]</w:t>
      </w:r>
      <w:r w:rsidRPr="0067735F">
        <w:rPr>
          <w:rFonts w:ascii="Tahoma" w:eastAsia="Tahoma" w:hAnsi="Tahoma" w:cs="Tahoma"/>
        </w:rPr>
        <w:t>)</w:t>
      </w:r>
      <w:r w:rsidRPr="0067735F">
        <w:rPr>
          <w:rFonts w:ascii="Tahoma" w:eastAsia="Tahoma" w:hAnsi="Tahoma" w:cs="Tahoma"/>
          <w:strike/>
        </w:rPr>
        <w:t xml:space="preserve"> </w:t>
      </w:r>
    </w:p>
    <w:p w14:paraId="19344708" w14:textId="0595CB76" w:rsidR="0017117D" w:rsidRDefault="0017117D" w:rsidP="005F2763">
      <w:pPr>
        <w:pStyle w:val="ListParagraph"/>
        <w:tabs>
          <w:tab w:val="left" w:pos="1440"/>
        </w:tabs>
        <w:ind w:left="2160" w:hanging="720"/>
        <w:rPr>
          <w:rFonts w:ascii="Tahoma" w:eastAsia="Tahoma" w:hAnsi="Tahoma" w:cs="Tahoma"/>
        </w:rPr>
      </w:pPr>
      <w:r>
        <w:rPr>
          <w:rFonts w:ascii="Tahoma" w:eastAsia="Tahoma" w:hAnsi="Tahoma" w:cs="Tahoma"/>
        </w:rPr>
        <w:br/>
      </w:r>
    </w:p>
    <w:p w14:paraId="4992ECAA" w14:textId="77777777" w:rsidR="00BD197F" w:rsidRPr="00695C3C" w:rsidRDefault="00BD197F" w:rsidP="005F2763">
      <w:pPr>
        <w:ind w:left="2160" w:hanging="720"/>
        <w:rPr>
          <w:rFonts w:ascii="Tahoma" w:hAnsi="Tahoma" w:cs="Tahoma"/>
        </w:rPr>
      </w:pPr>
      <w:r w:rsidRPr="4AAB1458">
        <w:rPr>
          <w:rFonts w:ascii="Tahoma" w:eastAsia="Tahoma" w:hAnsi="Tahoma" w:cs="Tahoma"/>
        </w:rPr>
        <w:t xml:space="preserve">A2. </w:t>
      </w:r>
      <w:r>
        <w:tab/>
      </w:r>
      <w:r w:rsidRPr="4AAB1458">
        <w:rPr>
          <w:rFonts w:ascii="Tahoma" w:hAnsi="Tahoma" w:cs="Tahoma"/>
        </w:rPr>
        <w:t>If proposing a Private Access infrastructure project</w:t>
      </w:r>
      <w:r w:rsidRPr="0067735F">
        <w:rPr>
          <w:rFonts w:ascii="Tahoma" w:eastAsia="Tahoma" w:hAnsi="Tahoma" w:cs="Tahoma"/>
          <w:color w:val="000000" w:themeColor="text1"/>
        </w:rPr>
        <w:t xml:space="preserve"> (excluding the public entities covered by the exceptions listed in Section II.B.2 of Addendum </w:t>
      </w:r>
      <w:r w:rsidRPr="00427B6A">
        <w:rPr>
          <w:rFonts w:ascii="Tahoma" w:eastAsia="Tahoma" w:hAnsi="Tahoma" w:cs="Tahoma"/>
        </w:rPr>
        <w:t>[</w:t>
      </w:r>
      <w:r w:rsidRPr="00427B6A">
        <w:rPr>
          <w:rFonts w:ascii="Tahoma" w:eastAsia="Tahoma" w:hAnsi="Tahoma" w:cs="Tahoma"/>
          <w:strike/>
        </w:rPr>
        <w:t>6</w:t>
      </w:r>
      <w:r w:rsidRPr="00427B6A">
        <w:rPr>
          <w:rFonts w:ascii="Tahoma" w:eastAsia="Tahoma" w:hAnsi="Tahoma" w:cs="Tahoma"/>
        </w:rPr>
        <w:t>]</w:t>
      </w:r>
      <w:r w:rsidRPr="00427B6A">
        <w:rPr>
          <w:rFonts w:ascii="Tahoma" w:eastAsia="Tahoma" w:hAnsi="Tahoma" w:cs="Tahoma"/>
          <w:b/>
          <w:bCs/>
          <w:u w:val="single"/>
        </w:rPr>
        <w:t>7</w:t>
      </w:r>
      <w:r w:rsidRPr="0067735F">
        <w:rPr>
          <w:rFonts w:ascii="Tahoma" w:eastAsia="Tahoma" w:hAnsi="Tahoma" w:cs="Tahoma"/>
          <w:color w:val="000000" w:themeColor="text1"/>
        </w:rPr>
        <w:t>)</w:t>
      </w:r>
      <w:r w:rsidRPr="0067735F">
        <w:rPr>
          <w:rFonts w:ascii="Tahoma" w:hAnsi="Tahoma" w:cs="Tahoma"/>
        </w:rPr>
        <w:t>,</w:t>
      </w:r>
      <w:r w:rsidRPr="4AAB1458">
        <w:rPr>
          <w:rFonts w:ascii="Tahoma" w:hAnsi="Tahoma" w:cs="Tahoma"/>
        </w:rPr>
        <w:t xml:space="preserve"> the fleet(s) that is being supported must commit to supporting: </w:t>
      </w:r>
    </w:p>
    <w:p w14:paraId="248E16A4" w14:textId="77777777" w:rsidR="00BD197F" w:rsidRPr="0067735F" w:rsidRDefault="00BD197F" w:rsidP="005F2763">
      <w:pPr>
        <w:numPr>
          <w:ilvl w:val="0"/>
          <w:numId w:val="10"/>
        </w:numPr>
        <w:tabs>
          <w:tab w:val="clear" w:pos="720"/>
          <w:tab w:val="num" w:pos="1530"/>
        </w:tabs>
        <w:spacing w:line="279" w:lineRule="auto"/>
        <w:ind w:left="2880" w:hanging="720"/>
        <w:rPr>
          <w:rFonts w:ascii="Tahoma" w:eastAsia="Tahoma" w:hAnsi="Tahoma" w:cs="Tahoma"/>
          <w:color w:val="000000" w:themeColor="text1"/>
        </w:rPr>
      </w:pPr>
      <w:r w:rsidRPr="0067735F">
        <w:rPr>
          <w:rFonts w:ascii="Tahoma" w:eastAsia="Tahoma" w:hAnsi="Tahoma" w:cs="Tahoma"/>
          <w:color w:val="000000" w:themeColor="text1"/>
        </w:rPr>
        <w:t>At least one MDHD EV per charging port proposed for CEC funding. Applicants that can demonstrate vehicles above a 1-to-1 ratio will score higher.</w:t>
      </w:r>
    </w:p>
    <w:p w14:paraId="7A076618" w14:textId="77777777" w:rsidR="00BD197F" w:rsidRPr="00695C3C" w:rsidRDefault="00BD197F" w:rsidP="005F2763">
      <w:pPr>
        <w:numPr>
          <w:ilvl w:val="0"/>
          <w:numId w:val="11"/>
        </w:numPr>
        <w:tabs>
          <w:tab w:val="clear" w:pos="720"/>
          <w:tab w:val="num" w:pos="1530"/>
        </w:tabs>
        <w:spacing w:line="279" w:lineRule="auto"/>
        <w:ind w:left="2880" w:hanging="720"/>
        <w:rPr>
          <w:rFonts w:ascii="Tahoma" w:hAnsi="Tahoma" w:cs="Tahoma"/>
        </w:rPr>
      </w:pPr>
      <w:r w:rsidRPr="00695C3C">
        <w:rPr>
          <w:rFonts w:ascii="Tahoma" w:hAnsi="Tahoma" w:cs="Tahoma"/>
        </w:rPr>
        <w:t>At least 15 MDHD FCEVs per hydrogen refueling position proposed for CEC funding. </w:t>
      </w:r>
    </w:p>
    <w:p w14:paraId="08E4A2BB" w14:textId="77777777" w:rsidR="00BD197F" w:rsidRPr="00695C3C" w:rsidRDefault="00BD197F" w:rsidP="005F2763">
      <w:pPr>
        <w:ind w:left="2160" w:hanging="720"/>
        <w:rPr>
          <w:rFonts w:ascii="Tahoma" w:hAnsi="Tahoma" w:cs="Tahoma"/>
        </w:rPr>
      </w:pPr>
    </w:p>
    <w:p w14:paraId="464384B9" w14:textId="77777777" w:rsidR="00BD197F" w:rsidRPr="00695C3C" w:rsidRDefault="00BD197F" w:rsidP="005F2763">
      <w:pPr>
        <w:ind w:left="2160"/>
        <w:rPr>
          <w:rFonts w:ascii="Tahoma" w:eastAsia="Tahoma" w:hAnsi="Tahoma" w:cs="Tahoma"/>
        </w:rPr>
      </w:pPr>
      <w:r w:rsidRPr="00695C3C">
        <w:rPr>
          <w:rFonts w:ascii="Tahoma" w:hAnsi="Tahoma" w:cs="Tahoma"/>
        </w:rPr>
        <w:t xml:space="preserve">To ensure that the infrastructure funded under this solicitation will be utilized, Applicants of </w:t>
      </w:r>
      <w:r w:rsidRPr="00695C3C">
        <w:rPr>
          <w:rFonts w:ascii="Tahoma" w:hAnsi="Tahoma" w:cs="Tahoma"/>
          <w:b/>
          <w:bCs/>
        </w:rPr>
        <w:t>all</w:t>
      </w:r>
      <w:r w:rsidRPr="00695C3C">
        <w:rPr>
          <w:rFonts w:ascii="Tahoma" w:hAnsi="Tahoma" w:cs="Tahoma"/>
        </w:rPr>
        <w:t xml:space="preserve"> Private infrastructure projects must submit a Letter(s) of Intent to Place a Purchase Order (Attachment 14) per fleet with their application, with the exception of applicants using existing vehicles. The letter(s) should reflect plans to place a purchase order within three months of grant agreement execution. The letter must specify the type(s) and number(s) of ZEVs to be procured and justify the need for the proposed infrastructure. If an Applicant cannot place a purchase order within three (3) months of agreement execution, the CEC reserves the right, in addition to any other rights it has, to cancel the award and offer funding to the next highest scored eligible Applicant on the NOPA list. </w:t>
      </w:r>
    </w:p>
    <w:p w14:paraId="1B453870" w14:textId="77777777" w:rsidR="00BD197F" w:rsidRDefault="00BD197F" w:rsidP="005F2763">
      <w:pPr>
        <w:pStyle w:val="ListParagraph"/>
        <w:tabs>
          <w:tab w:val="left" w:pos="1440"/>
        </w:tabs>
        <w:ind w:left="2160" w:hanging="720"/>
        <w:rPr>
          <w:rFonts w:ascii="Tahoma" w:eastAsia="Tahoma" w:hAnsi="Tahoma" w:cs="Tahoma"/>
        </w:rPr>
      </w:pPr>
    </w:p>
    <w:p w14:paraId="537654A5" w14:textId="77777777" w:rsidR="001339C3" w:rsidRPr="00695C3C" w:rsidRDefault="001339C3" w:rsidP="005F2763">
      <w:pPr>
        <w:ind w:left="2160" w:hanging="720"/>
        <w:rPr>
          <w:rFonts w:ascii="Tahoma" w:hAnsi="Tahoma" w:cs="Tahoma"/>
        </w:rPr>
      </w:pPr>
      <w:r w:rsidRPr="00695C3C">
        <w:rPr>
          <w:rFonts w:ascii="Tahoma" w:eastAsia="Tahoma" w:hAnsi="Tahoma" w:cs="Tahoma"/>
        </w:rPr>
        <w:t xml:space="preserve">A7. </w:t>
      </w:r>
      <w:r w:rsidRPr="00695C3C">
        <w:rPr>
          <w:rFonts w:ascii="Tahoma" w:hAnsi="Tahoma" w:cs="Tahoma"/>
        </w:rPr>
        <w:tab/>
        <w:t xml:space="preserve">Please refer to </w:t>
      </w:r>
      <w:r w:rsidRPr="00695C3C">
        <w:rPr>
          <w:rFonts w:ascii="Tahoma" w:eastAsia="Tahoma" w:hAnsi="Tahoma" w:cs="Tahoma"/>
        </w:rPr>
        <w:t xml:space="preserve">Addendum </w:t>
      </w:r>
      <w:r w:rsidRPr="007453FD">
        <w:rPr>
          <w:rFonts w:ascii="Tahoma" w:eastAsia="Tahoma" w:hAnsi="Tahoma" w:cs="Tahoma"/>
        </w:rPr>
        <w:t>[</w:t>
      </w:r>
      <w:r w:rsidRPr="007453FD">
        <w:rPr>
          <w:rFonts w:ascii="Tahoma" w:eastAsia="Tahoma" w:hAnsi="Tahoma" w:cs="Tahoma"/>
          <w:strike/>
        </w:rPr>
        <w:t>6</w:t>
      </w:r>
      <w:r w:rsidRPr="007453FD">
        <w:rPr>
          <w:rFonts w:ascii="Tahoma" w:eastAsia="Tahoma" w:hAnsi="Tahoma" w:cs="Tahoma"/>
        </w:rPr>
        <w:t>]</w:t>
      </w:r>
      <w:r>
        <w:rPr>
          <w:rFonts w:ascii="Tahoma" w:eastAsia="Tahoma" w:hAnsi="Tahoma" w:cs="Tahoma"/>
          <w:b/>
          <w:bCs/>
          <w:u w:val="single"/>
        </w:rPr>
        <w:t>7</w:t>
      </w:r>
      <w:r w:rsidRPr="00695C3C">
        <w:rPr>
          <w:rFonts w:ascii="Tahoma" w:hAnsi="Tahoma" w:cs="Tahoma"/>
        </w:rPr>
        <w:t xml:space="preserve">, which has a maximum award amount of $8 million per application. </w:t>
      </w:r>
    </w:p>
    <w:p w14:paraId="7D9A16A7" w14:textId="77777777" w:rsidR="001339C3" w:rsidRPr="00695C3C" w:rsidRDefault="001339C3" w:rsidP="005F2763">
      <w:pPr>
        <w:ind w:left="2160" w:hanging="720"/>
        <w:rPr>
          <w:rFonts w:ascii="Tahoma" w:hAnsi="Tahoma" w:cs="Tahoma"/>
        </w:rPr>
      </w:pPr>
    </w:p>
    <w:p w14:paraId="1B640745" w14:textId="77777777" w:rsidR="001339C3" w:rsidRPr="00695C3C" w:rsidRDefault="001339C3" w:rsidP="002211F0">
      <w:pPr>
        <w:ind w:left="2160"/>
        <w:rPr>
          <w:rFonts w:ascii="Tahoma" w:eastAsia="Tahoma" w:hAnsi="Tahoma" w:cs="Tahoma"/>
        </w:rPr>
      </w:pPr>
      <w:r w:rsidRPr="00695C3C">
        <w:rPr>
          <w:rFonts w:ascii="Tahoma" w:eastAsia="Tahoma" w:hAnsi="Tahoma" w:cs="Tahoma"/>
        </w:rPr>
        <w:t xml:space="preserve">Assuming that an Applicant requests $2 million per hydrogen refueling position, the maximum award amount of $8 million would allow at least four hydrogen refueling positions under one application. Applicants may propose more hydrogen refueling positions if the Applicant is requesting less funding per refueling position as long as the application does not request more than $8 million of CEC funding. </w:t>
      </w:r>
    </w:p>
    <w:p w14:paraId="6777AC9E" w14:textId="77777777" w:rsidR="001339C3" w:rsidRPr="00695C3C" w:rsidRDefault="001339C3" w:rsidP="005F2763">
      <w:pPr>
        <w:ind w:left="2160" w:hanging="720"/>
        <w:rPr>
          <w:rFonts w:ascii="Tahoma" w:eastAsia="Tahoma" w:hAnsi="Tahoma" w:cs="Tahoma"/>
        </w:rPr>
      </w:pPr>
    </w:p>
    <w:p w14:paraId="75261F55" w14:textId="77777777" w:rsidR="001339C3" w:rsidRPr="00695C3C" w:rsidRDefault="001339C3" w:rsidP="002211F0">
      <w:pPr>
        <w:ind w:left="2160"/>
        <w:rPr>
          <w:rFonts w:ascii="Tahoma" w:eastAsia="Tahoma" w:hAnsi="Tahoma" w:cs="Tahoma"/>
        </w:rPr>
      </w:pPr>
      <w:r w:rsidRPr="00695C3C">
        <w:rPr>
          <w:rFonts w:ascii="Tahoma" w:eastAsia="Tahoma" w:hAnsi="Tahoma" w:cs="Tahoma"/>
        </w:rPr>
        <w:t xml:space="preserve">Applicants are required to have at least 15 MDHD FCEVs per hydrogen refueling position supported by the proposed infrastructure if proposing a Private Access infrastructure project </w:t>
      </w:r>
      <w:r w:rsidRPr="00873D23">
        <w:rPr>
          <w:rFonts w:ascii="Tahoma" w:eastAsia="Tahoma" w:hAnsi="Tahoma" w:cs="Tahoma"/>
        </w:rPr>
        <w:t xml:space="preserve">(excluding public entities covered by the exceptions listed in Section II.B.2 of Addendum </w:t>
      </w:r>
      <w:r w:rsidRPr="009771DF">
        <w:rPr>
          <w:rFonts w:ascii="Tahoma" w:eastAsia="Tahoma" w:hAnsi="Tahoma" w:cs="Tahoma"/>
        </w:rPr>
        <w:t>[</w:t>
      </w:r>
      <w:r w:rsidRPr="009771DF">
        <w:rPr>
          <w:rFonts w:ascii="Tahoma" w:eastAsia="Tahoma" w:hAnsi="Tahoma" w:cs="Tahoma"/>
          <w:strike/>
        </w:rPr>
        <w:t>6</w:t>
      </w:r>
      <w:r w:rsidRPr="009771DF">
        <w:rPr>
          <w:rFonts w:ascii="Tahoma" w:eastAsia="Tahoma" w:hAnsi="Tahoma" w:cs="Tahoma"/>
        </w:rPr>
        <w:t>]</w:t>
      </w:r>
      <w:r w:rsidRPr="009771DF">
        <w:rPr>
          <w:rFonts w:ascii="Tahoma" w:eastAsia="Tahoma" w:hAnsi="Tahoma" w:cs="Tahoma"/>
          <w:b/>
          <w:bCs/>
          <w:u w:val="single"/>
        </w:rPr>
        <w:t>7</w:t>
      </w:r>
      <w:r w:rsidRPr="00873D23">
        <w:rPr>
          <w:rFonts w:ascii="Tahoma" w:eastAsia="Tahoma" w:hAnsi="Tahoma" w:cs="Tahoma"/>
        </w:rPr>
        <w:t>).</w:t>
      </w:r>
      <w:r w:rsidRPr="00695C3C">
        <w:rPr>
          <w:rFonts w:ascii="Tahoma" w:eastAsia="Tahoma" w:hAnsi="Tahoma" w:cs="Tahoma"/>
        </w:rPr>
        <w:t xml:space="preserve"> If an Applicant is proposing to install two hydrogen refueling positions, then the Applicant would need to show that at least 30 MDHD FCEVs will be supported by the proposed infrastructure. The two hydrogen refueling positions may be in two different locations with 15 MDHD FCEVs serving each position, as long as infrastructure at each proposed location meets all the applicable requirements under the solicitation.</w:t>
      </w:r>
    </w:p>
    <w:p w14:paraId="57F08D10" w14:textId="77777777" w:rsidR="001040A7" w:rsidRDefault="001040A7" w:rsidP="005F2763">
      <w:pPr>
        <w:ind w:left="2160" w:hanging="720"/>
        <w:rPr>
          <w:rFonts w:ascii="Tahoma" w:eastAsia="Tahoma" w:hAnsi="Tahoma" w:cs="Tahoma"/>
        </w:rPr>
      </w:pPr>
    </w:p>
    <w:p w14:paraId="0A8B2403" w14:textId="39B7B6E7" w:rsidR="001040A7" w:rsidRDefault="001040A7" w:rsidP="005F2763">
      <w:pPr>
        <w:ind w:left="2160" w:hanging="720"/>
        <w:rPr>
          <w:rFonts w:ascii="Tahoma" w:eastAsia="Tahoma" w:hAnsi="Tahoma" w:cs="Tahoma"/>
        </w:rPr>
      </w:pPr>
      <w:r w:rsidRPr="00695C3C">
        <w:rPr>
          <w:rFonts w:ascii="Tahoma" w:eastAsia="Tahoma" w:hAnsi="Tahoma" w:cs="Tahoma"/>
        </w:rPr>
        <w:t xml:space="preserve">A8. </w:t>
      </w:r>
      <w:r w:rsidRPr="00695C3C">
        <w:rPr>
          <w:rFonts w:ascii="Tahoma" w:hAnsi="Tahoma" w:cs="Tahoma"/>
        </w:rPr>
        <w:tab/>
      </w:r>
      <w:r>
        <w:rPr>
          <w:rFonts w:ascii="Tahoma" w:hAnsi="Tahoma" w:cs="Tahoma"/>
        </w:rPr>
        <w:t>[</w:t>
      </w:r>
      <w:r w:rsidRPr="00054C6D">
        <w:rPr>
          <w:rFonts w:ascii="Tahoma" w:hAnsi="Tahoma" w:cs="Tahoma"/>
          <w:strike/>
        </w:rPr>
        <w:t>Addendum 6 removed t</w:t>
      </w:r>
      <w:r>
        <w:rPr>
          <w:rFonts w:ascii="Tahoma" w:hAnsi="Tahoma" w:cs="Tahoma"/>
        </w:rPr>
        <w:t>]</w:t>
      </w:r>
      <w:r w:rsidRPr="00054C6D">
        <w:rPr>
          <w:rFonts w:ascii="Tahoma" w:hAnsi="Tahoma" w:cs="Tahoma"/>
          <w:b/>
          <w:bCs/>
          <w:u w:val="single"/>
        </w:rPr>
        <w:t>T</w:t>
      </w:r>
      <w:r w:rsidRPr="00CB7A56">
        <w:rPr>
          <w:rFonts w:ascii="Tahoma" w:hAnsi="Tahoma" w:cs="Tahoma"/>
        </w:rPr>
        <w:t>he vehicle to charging port/refueling position ratio</w:t>
      </w:r>
      <w:r>
        <w:rPr>
          <w:rFonts w:ascii="Tahoma" w:hAnsi="Tahoma" w:cs="Tahoma"/>
        </w:rPr>
        <w:t xml:space="preserve"> </w:t>
      </w:r>
      <w:r w:rsidRPr="00054C6D">
        <w:rPr>
          <w:rFonts w:ascii="Tahoma" w:hAnsi="Tahoma" w:cs="Tahoma"/>
          <w:b/>
          <w:bCs/>
          <w:u w:val="single"/>
        </w:rPr>
        <w:t>has been removed</w:t>
      </w:r>
      <w:r w:rsidRPr="00CB7A56">
        <w:rPr>
          <w:rFonts w:ascii="Tahoma" w:hAnsi="Tahoma" w:cs="Tahoma"/>
        </w:rPr>
        <w:t xml:space="preserve"> for a Shared Access infrastructure project.</w:t>
      </w:r>
      <w:r w:rsidRPr="00054C6D">
        <w:rPr>
          <w:rFonts w:ascii="Tahoma" w:eastAsia="Tahoma" w:hAnsi="Tahoma" w:cs="Tahoma"/>
        </w:rPr>
        <w:t xml:space="preserve"> </w:t>
      </w:r>
    </w:p>
    <w:p w14:paraId="36F4755E" w14:textId="77777777" w:rsidR="00D36BE0" w:rsidRDefault="00D36BE0" w:rsidP="005F2763">
      <w:pPr>
        <w:ind w:left="2160" w:hanging="720"/>
        <w:rPr>
          <w:rFonts w:ascii="Tahoma" w:eastAsia="Tahoma" w:hAnsi="Tahoma" w:cs="Tahoma"/>
        </w:rPr>
      </w:pPr>
    </w:p>
    <w:p w14:paraId="4A9BE6E4" w14:textId="77777777" w:rsidR="00D36BE0" w:rsidRDefault="00D36BE0" w:rsidP="005F2763">
      <w:pPr>
        <w:ind w:left="2160" w:hanging="720"/>
        <w:rPr>
          <w:rFonts w:ascii="Tahoma" w:eastAsia="Tahoma" w:hAnsi="Tahoma" w:cs="Tahoma"/>
        </w:rPr>
      </w:pPr>
      <w:r w:rsidRPr="4AAB1458">
        <w:rPr>
          <w:rFonts w:ascii="Tahoma" w:eastAsia="Tahoma" w:hAnsi="Tahoma" w:cs="Tahoma"/>
        </w:rPr>
        <w:t xml:space="preserve">A10. </w:t>
      </w:r>
      <w:r>
        <w:tab/>
      </w:r>
      <w:r w:rsidRPr="4AAB1458">
        <w:rPr>
          <w:rFonts w:ascii="Tahoma" w:eastAsia="Tahoma" w:hAnsi="Tahoma" w:cs="Tahoma"/>
        </w:rPr>
        <w:t xml:space="preserve">There is no exemption to the 25% public access requirement </w:t>
      </w:r>
      <w:r w:rsidRPr="004E3600">
        <w:rPr>
          <w:rFonts w:ascii="Tahoma" w:eastAsia="Tahoma" w:hAnsi="Tahoma" w:cs="Tahoma"/>
        </w:rPr>
        <w:t xml:space="preserve">except for the public entities covered by the exceptions listed in Section II.B.2 of Addendum </w:t>
      </w:r>
      <w:r>
        <w:rPr>
          <w:rFonts w:ascii="Tahoma" w:eastAsia="Tahoma" w:hAnsi="Tahoma" w:cs="Tahoma"/>
        </w:rPr>
        <w:t>[</w:t>
      </w:r>
      <w:r w:rsidRPr="00617E79">
        <w:rPr>
          <w:rFonts w:ascii="Tahoma" w:eastAsia="Tahoma" w:hAnsi="Tahoma" w:cs="Tahoma"/>
          <w:strike/>
        </w:rPr>
        <w:t>6</w:t>
      </w:r>
      <w:r>
        <w:rPr>
          <w:rFonts w:ascii="Tahoma" w:eastAsia="Tahoma" w:hAnsi="Tahoma" w:cs="Tahoma"/>
        </w:rPr>
        <w:t>]</w:t>
      </w:r>
      <w:r w:rsidRPr="00617E79">
        <w:rPr>
          <w:rFonts w:ascii="Tahoma" w:eastAsia="Tahoma" w:hAnsi="Tahoma" w:cs="Tahoma"/>
          <w:b/>
          <w:bCs/>
          <w:u w:val="single"/>
        </w:rPr>
        <w:t>7</w:t>
      </w:r>
      <w:r w:rsidRPr="4AAB1458">
        <w:rPr>
          <w:rFonts w:ascii="Tahoma" w:eastAsia="Tahoma" w:hAnsi="Tahoma" w:cs="Tahoma"/>
        </w:rPr>
        <w:t>. For infrastructure projects supporting the fleets of California public entities, Applicants must propose infrastructure with at least 25% of the charging ports/hydrogen fueling positions available as Public Access during normal operating hours. The infrastructure does not need to be located at the same address as long as the infrastructure at each location meets all applicable requirements in the solicitation.</w:t>
      </w:r>
    </w:p>
    <w:p w14:paraId="52A026D7" w14:textId="77777777" w:rsidR="00874ECD" w:rsidRDefault="00874ECD" w:rsidP="005F2763">
      <w:pPr>
        <w:ind w:left="2160" w:hanging="720"/>
        <w:rPr>
          <w:rFonts w:ascii="Tahoma" w:eastAsia="Tahoma" w:hAnsi="Tahoma" w:cs="Tahoma"/>
        </w:rPr>
      </w:pPr>
    </w:p>
    <w:p w14:paraId="7CF26D93" w14:textId="77777777" w:rsidR="00874ECD" w:rsidRPr="00695C3C" w:rsidRDefault="00874ECD" w:rsidP="005F2763">
      <w:pPr>
        <w:ind w:left="2160" w:hanging="720"/>
        <w:rPr>
          <w:rFonts w:ascii="Tahoma" w:eastAsia="Tahoma" w:hAnsi="Tahoma" w:cs="Tahoma"/>
        </w:rPr>
      </w:pPr>
      <w:r w:rsidRPr="00695C3C">
        <w:rPr>
          <w:rFonts w:ascii="Tahoma" w:eastAsia="Tahoma" w:hAnsi="Tahoma" w:cs="Tahoma"/>
        </w:rPr>
        <w:t xml:space="preserve">A11. </w:t>
      </w:r>
      <w:r w:rsidRPr="00695C3C">
        <w:rPr>
          <w:rFonts w:ascii="Tahoma" w:hAnsi="Tahoma" w:cs="Tahoma"/>
        </w:rPr>
        <w:tab/>
      </w:r>
      <w:r w:rsidRPr="00695C3C">
        <w:rPr>
          <w:rFonts w:ascii="Tahoma" w:eastAsia="Tahoma" w:hAnsi="Tahoma" w:cs="Tahoma"/>
        </w:rPr>
        <w:t xml:space="preserve">The infrastructure accessibility requirements are not negotiable for any Applicants </w:t>
      </w:r>
      <w:r w:rsidRPr="0034601D">
        <w:rPr>
          <w:rFonts w:ascii="Tahoma" w:eastAsia="Tahoma" w:hAnsi="Tahoma" w:cs="Tahoma"/>
        </w:rPr>
        <w:t xml:space="preserve">except for the public entities covered by the exceptions listed in Section II.B.2 of Addendum </w:t>
      </w:r>
      <w:r>
        <w:rPr>
          <w:rFonts w:ascii="Tahoma" w:eastAsia="Tahoma" w:hAnsi="Tahoma" w:cs="Tahoma"/>
        </w:rPr>
        <w:t>[</w:t>
      </w:r>
      <w:r w:rsidRPr="00617E79">
        <w:rPr>
          <w:rFonts w:ascii="Tahoma" w:eastAsia="Tahoma" w:hAnsi="Tahoma" w:cs="Tahoma"/>
          <w:strike/>
        </w:rPr>
        <w:t>6</w:t>
      </w:r>
      <w:r>
        <w:rPr>
          <w:rFonts w:ascii="Tahoma" w:eastAsia="Tahoma" w:hAnsi="Tahoma" w:cs="Tahoma"/>
        </w:rPr>
        <w:t>]</w:t>
      </w:r>
      <w:r w:rsidRPr="00617E79">
        <w:rPr>
          <w:rFonts w:ascii="Tahoma" w:eastAsia="Tahoma" w:hAnsi="Tahoma" w:cs="Tahoma"/>
          <w:b/>
          <w:bCs/>
          <w:u w:val="single"/>
        </w:rPr>
        <w:t>7</w:t>
      </w:r>
      <w:r w:rsidRPr="0034601D">
        <w:rPr>
          <w:rFonts w:ascii="Tahoma" w:eastAsia="Tahoma" w:hAnsi="Tahoma" w:cs="Tahoma"/>
        </w:rPr>
        <w:t>.</w:t>
      </w:r>
    </w:p>
    <w:p w14:paraId="232C7E35" w14:textId="77777777" w:rsidR="00874ECD" w:rsidRDefault="00874ECD" w:rsidP="005F2763">
      <w:pPr>
        <w:ind w:left="2160" w:hanging="720"/>
        <w:rPr>
          <w:rFonts w:ascii="Tahoma" w:eastAsia="Tahoma" w:hAnsi="Tahoma" w:cs="Tahoma"/>
        </w:rPr>
      </w:pPr>
    </w:p>
    <w:p w14:paraId="13292269" w14:textId="77777777" w:rsidR="00C754BA" w:rsidRPr="00695C3C" w:rsidRDefault="00C754BA" w:rsidP="005F2763">
      <w:pPr>
        <w:ind w:left="2160" w:hanging="720"/>
        <w:rPr>
          <w:rFonts w:ascii="Tahoma" w:eastAsia="Tahoma" w:hAnsi="Tahoma" w:cs="Tahoma"/>
        </w:rPr>
      </w:pPr>
      <w:r w:rsidRPr="00695C3C">
        <w:rPr>
          <w:rFonts w:ascii="Tahoma" w:eastAsia="Tahoma" w:hAnsi="Tahoma" w:cs="Tahoma"/>
        </w:rPr>
        <w:t xml:space="preserve">A12. </w:t>
      </w:r>
      <w:r w:rsidRPr="00695C3C">
        <w:rPr>
          <w:rFonts w:ascii="Tahoma" w:hAnsi="Tahoma" w:cs="Tahoma"/>
        </w:rPr>
        <w:tab/>
      </w:r>
      <w:r w:rsidRPr="00695C3C">
        <w:rPr>
          <w:rFonts w:ascii="Tahoma" w:eastAsia="Tahoma" w:hAnsi="Tahoma" w:cs="Tahoma"/>
        </w:rPr>
        <w:t>There is no minimum number of chargers to trigger the 25% requirements. These requirements apply to any infrastructure projects supporting the fleets of California public entities</w:t>
      </w:r>
      <w:r w:rsidRPr="001505DC">
        <w:rPr>
          <w:rFonts w:ascii="Tahoma" w:eastAsia="Tahoma" w:hAnsi="Tahoma" w:cs="Tahoma"/>
        </w:rPr>
        <w:t xml:space="preserve"> except for the entities covered by the exceptions listed in Section II.B.2 of Addendum </w:t>
      </w:r>
      <w:r>
        <w:rPr>
          <w:rFonts w:ascii="Tahoma" w:eastAsia="Tahoma" w:hAnsi="Tahoma" w:cs="Tahoma"/>
        </w:rPr>
        <w:t>[</w:t>
      </w:r>
      <w:r w:rsidRPr="00617E79">
        <w:rPr>
          <w:rFonts w:ascii="Tahoma" w:eastAsia="Tahoma" w:hAnsi="Tahoma" w:cs="Tahoma"/>
          <w:strike/>
        </w:rPr>
        <w:t>6</w:t>
      </w:r>
      <w:r>
        <w:rPr>
          <w:rFonts w:ascii="Tahoma" w:eastAsia="Tahoma" w:hAnsi="Tahoma" w:cs="Tahoma"/>
        </w:rPr>
        <w:t>]</w:t>
      </w:r>
      <w:r w:rsidRPr="00617E79">
        <w:rPr>
          <w:rFonts w:ascii="Tahoma" w:eastAsia="Tahoma" w:hAnsi="Tahoma" w:cs="Tahoma"/>
          <w:b/>
          <w:bCs/>
          <w:u w:val="single"/>
        </w:rPr>
        <w:t>7</w:t>
      </w:r>
      <w:r w:rsidRPr="00695C3C">
        <w:rPr>
          <w:rFonts w:ascii="Tahoma" w:eastAsia="Tahoma" w:hAnsi="Tahoma" w:cs="Tahoma"/>
        </w:rPr>
        <w:t>.</w:t>
      </w:r>
    </w:p>
    <w:p w14:paraId="0A69AD47" w14:textId="77777777" w:rsidR="00C754BA" w:rsidRPr="00695C3C" w:rsidRDefault="00C754BA" w:rsidP="005F2763">
      <w:pPr>
        <w:ind w:left="2160" w:hanging="720"/>
        <w:rPr>
          <w:rFonts w:ascii="Tahoma" w:eastAsia="Tahoma" w:hAnsi="Tahoma" w:cs="Tahoma"/>
        </w:rPr>
      </w:pPr>
    </w:p>
    <w:p w14:paraId="01840598" w14:textId="77777777" w:rsidR="00154600" w:rsidRPr="00695C3C" w:rsidRDefault="00154600" w:rsidP="005F2763">
      <w:pPr>
        <w:ind w:left="2160" w:hanging="720"/>
        <w:rPr>
          <w:rFonts w:ascii="Tahoma" w:eastAsia="Tahoma" w:hAnsi="Tahoma" w:cs="Tahoma"/>
        </w:rPr>
      </w:pPr>
      <w:r w:rsidRPr="00695C3C">
        <w:rPr>
          <w:rFonts w:ascii="Tahoma" w:eastAsia="Tahoma" w:hAnsi="Tahoma" w:cs="Tahoma"/>
        </w:rPr>
        <w:t xml:space="preserve">A13. </w:t>
      </w:r>
      <w:r w:rsidRPr="00695C3C">
        <w:rPr>
          <w:rFonts w:ascii="Tahoma" w:hAnsi="Tahoma" w:cs="Tahoma"/>
        </w:rPr>
        <w:tab/>
      </w:r>
      <w:r w:rsidRPr="00695C3C">
        <w:rPr>
          <w:rStyle w:val="normaltextrun"/>
          <w:rFonts w:ascii="Tahoma" w:hAnsi="Tahoma" w:cs="Tahoma"/>
          <w:color w:val="000000"/>
          <w:shd w:val="clear" w:color="auto" w:fill="FFFFFF"/>
        </w:rPr>
        <w:t xml:space="preserve">For infrastructure projects supporting the fleets of California public entities </w:t>
      </w:r>
      <w:r w:rsidRPr="008261BF">
        <w:rPr>
          <w:rStyle w:val="normaltextrun"/>
          <w:rFonts w:ascii="Tahoma" w:hAnsi="Tahoma" w:cs="Tahoma"/>
          <w:color w:val="000000"/>
          <w:shd w:val="clear" w:color="auto" w:fill="FFFFFF"/>
        </w:rPr>
        <w:t>(</w:t>
      </w:r>
      <w:r w:rsidRPr="008261BF">
        <w:rPr>
          <w:rFonts w:ascii="Tahoma" w:eastAsia="Tahoma" w:hAnsi="Tahoma" w:cs="Tahoma"/>
        </w:rPr>
        <w:t xml:space="preserve">except for the public entities covered by the exceptions listed in Section II.B.2 of Addendum </w:t>
      </w:r>
      <w:r>
        <w:rPr>
          <w:rFonts w:ascii="Tahoma" w:eastAsia="Tahoma" w:hAnsi="Tahoma" w:cs="Tahoma"/>
        </w:rPr>
        <w:t>[</w:t>
      </w:r>
      <w:r w:rsidRPr="00617E79">
        <w:rPr>
          <w:rFonts w:ascii="Tahoma" w:eastAsia="Tahoma" w:hAnsi="Tahoma" w:cs="Tahoma"/>
          <w:strike/>
        </w:rPr>
        <w:t>6</w:t>
      </w:r>
      <w:r>
        <w:rPr>
          <w:rFonts w:ascii="Tahoma" w:eastAsia="Tahoma" w:hAnsi="Tahoma" w:cs="Tahoma"/>
        </w:rPr>
        <w:t>]</w:t>
      </w:r>
      <w:r w:rsidRPr="00617E79">
        <w:rPr>
          <w:rFonts w:ascii="Tahoma" w:eastAsia="Tahoma" w:hAnsi="Tahoma" w:cs="Tahoma"/>
          <w:b/>
          <w:bCs/>
          <w:u w:val="single"/>
        </w:rPr>
        <w:t>7</w:t>
      </w:r>
      <w:r w:rsidRPr="008261BF">
        <w:rPr>
          <w:rFonts w:ascii="Tahoma" w:eastAsia="Tahoma" w:hAnsi="Tahoma" w:cs="Tahoma"/>
        </w:rPr>
        <w:t>)</w:t>
      </w:r>
      <w:r w:rsidRPr="008261BF">
        <w:rPr>
          <w:rStyle w:val="normaltextrun"/>
          <w:rFonts w:ascii="Tahoma" w:hAnsi="Tahoma" w:cs="Tahoma"/>
          <w:color w:val="000000"/>
          <w:shd w:val="clear" w:color="auto" w:fill="FFFFFF"/>
        </w:rPr>
        <w:t>,</w:t>
      </w:r>
      <w:r w:rsidRPr="00695C3C">
        <w:rPr>
          <w:rStyle w:val="normaltextrun"/>
          <w:rFonts w:ascii="Tahoma" w:hAnsi="Tahoma" w:cs="Tahoma"/>
          <w:color w:val="000000"/>
          <w:shd w:val="clear" w:color="auto" w:fill="FFFFFF"/>
        </w:rPr>
        <w:t xml:space="preserve"> applicants must propose infrastructure with at least </w:t>
      </w:r>
      <w:r w:rsidRPr="00695C3C">
        <w:rPr>
          <w:rStyle w:val="normaltextrun"/>
          <w:rFonts w:ascii="Tahoma" w:hAnsi="Tahoma" w:cs="Tahoma"/>
          <w:shd w:val="clear" w:color="auto" w:fill="FFFFFF"/>
        </w:rPr>
        <w:t>25%</w:t>
      </w:r>
      <w:r w:rsidRPr="00695C3C">
        <w:rPr>
          <w:rStyle w:val="normaltextrun"/>
          <w:rFonts w:ascii="Tahoma" w:hAnsi="Tahoma" w:cs="Tahoma"/>
          <w:color w:val="000000"/>
          <w:shd w:val="clear" w:color="auto" w:fill="FFFFFF"/>
        </w:rPr>
        <w:t xml:space="preserve"> of the charging ports/hydrogen fueling positions available as </w:t>
      </w:r>
      <w:r w:rsidRPr="00695C3C">
        <w:rPr>
          <w:rStyle w:val="normaltextrun"/>
          <w:rFonts w:ascii="Tahoma" w:hAnsi="Tahoma" w:cs="Tahoma"/>
          <w:color w:val="000000"/>
          <w:shd w:val="clear" w:color="auto" w:fill="FFFFFF"/>
        </w:rPr>
        <w:lastRenderedPageBreak/>
        <w:t xml:space="preserve">Public Access during normal operating hours. </w:t>
      </w:r>
      <w:r w:rsidRPr="00695C3C">
        <w:rPr>
          <w:rFonts w:ascii="Tahoma" w:eastAsia="Tahoma" w:hAnsi="Tahoma" w:cs="Tahoma"/>
        </w:rPr>
        <w:t>The infrastructure does not need to be located at the same address as long as the infrastructure at each location meets all applicable requirements in the solicitation. Applicants are encouraged to plan the size of infrastructure that accommodates their fleets with at least 25% of the infrastructure accessible to the public.</w:t>
      </w:r>
    </w:p>
    <w:p w14:paraId="530A3B90" w14:textId="77777777" w:rsidR="00D36BE0" w:rsidRDefault="00D36BE0" w:rsidP="005F2763">
      <w:pPr>
        <w:ind w:left="2160" w:hanging="720"/>
        <w:rPr>
          <w:rFonts w:ascii="Tahoma" w:eastAsia="Tahoma" w:hAnsi="Tahoma" w:cs="Tahoma"/>
        </w:rPr>
      </w:pPr>
    </w:p>
    <w:p w14:paraId="60565CC5" w14:textId="77777777" w:rsidR="002654DC" w:rsidRDefault="002654DC" w:rsidP="005F2763">
      <w:pPr>
        <w:ind w:left="2160" w:hanging="720"/>
        <w:rPr>
          <w:rFonts w:ascii="Tahoma" w:eastAsia="Tahoma" w:hAnsi="Tahoma" w:cs="Tahoma"/>
        </w:rPr>
      </w:pPr>
      <w:r w:rsidRPr="00695C3C">
        <w:rPr>
          <w:rFonts w:ascii="Tahoma" w:eastAsia="Tahoma" w:hAnsi="Tahoma" w:cs="Tahoma"/>
        </w:rPr>
        <w:t xml:space="preserve">A16. </w:t>
      </w:r>
      <w:r w:rsidRPr="00695C3C">
        <w:rPr>
          <w:rFonts w:ascii="Tahoma" w:hAnsi="Tahoma" w:cs="Tahoma"/>
        </w:rPr>
        <w:tab/>
        <w:t xml:space="preserve">Please refer to </w:t>
      </w:r>
      <w:r w:rsidRPr="00695C3C">
        <w:rPr>
          <w:rFonts w:ascii="Tahoma" w:eastAsia="Tahoma" w:hAnsi="Tahoma" w:cs="Tahoma"/>
        </w:rPr>
        <w:t xml:space="preserve">Addendum </w:t>
      </w:r>
      <w:r w:rsidRPr="007453FD">
        <w:rPr>
          <w:rFonts w:ascii="Tahoma" w:eastAsia="Tahoma" w:hAnsi="Tahoma" w:cs="Tahoma"/>
        </w:rPr>
        <w:t>[</w:t>
      </w:r>
      <w:r w:rsidRPr="007453FD">
        <w:rPr>
          <w:rFonts w:ascii="Tahoma" w:eastAsia="Tahoma" w:hAnsi="Tahoma" w:cs="Tahoma"/>
          <w:strike/>
        </w:rPr>
        <w:t>6</w:t>
      </w:r>
      <w:r w:rsidRPr="007453FD">
        <w:rPr>
          <w:rFonts w:ascii="Tahoma" w:eastAsia="Tahoma" w:hAnsi="Tahoma" w:cs="Tahoma"/>
        </w:rPr>
        <w:t>]</w:t>
      </w:r>
      <w:r>
        <w:rPr>
          <w:rFonts w:ascii="Tahoma" w:eastAsia="Tahoma" w:hAnsi="Tahoma" w:cs="Tahoma"/>
          <w:b/>
          <w:bCs/>
          <w:u w:val="single"/>
        </w:rPr>
        <w:t>7</w:t>
      </w:r>
      <w:r w:rsidRPr="00695C3C">
        <w:rPr>
          <w:rFonts w:ascii="Tahoma" w:hAnsi="Tahoma" w:cs="Tahoma"/>
        </w:rPr>
        <w:t>, which requires each charging port to be capable of at least Level 2 charging</w:t>
      </w:r>
      <w:r w:rsidRPr="00695C3C">
        <w:rPr>
          <w:rFonts w:ascii="Tahoma" w:eastAsia="Tahoma" w:hAnsi="Tahoma" w:cs="Tahoma"/>
        </w:rPr>
        <w:t xml:space="preserve"> if the EV charging station will be Private or Shared Access and not 100% Public Access. </w:t>
      </w:r>
    </w:p>
    <w:p w14:paraId="2F1CD3A4" w14:textId="77777777" w:rsidR="00E44D5E" w:rsidRDefault="00E44D5E" w:rsidP="005F2763">
      <w:pPr>
        <w:ind w:left="2160" w:hanging="720"/>
        <w:rPr>
          <w:rFonts w:ascii="Tahoma" w:eastAsia="Tahoma" w:hAnsi="Tahoma" w:cs="Tahoma"/>
        </w:rPr>
      </w:pPr>
    </w:p>
    <w:p w14:paraId="1ED198C6" w14:textId="77777777" w:rsidR="00E44D5E" w:rsidRPr="00695C3C" w:rsidRDefault="00E44D5E" w:rsidP="005F2763">
      <w:pPr>
        <w:ind w:left="2160" w:hanging="720"/>
        <w:rPr>
          <w:rFonts w:ascii="Tahoma" w:eastAsia="Tahoma" w:hAnsi="Tahoma" w:cs="Tahoma"/>
          <w:b/>
          <w:bCs/>
        </w:rPr>
      </w:pPr>
      <w:r w:rsidRPr="00695C3C">
        <w:rPr>
          <w:rFonts w:ascii="Tahoma" w:eastAsia="Tahoma" w:hAnsi="Tahoma" w:cs="Tahoma"/>
        </w:rPr>
        <w:t xml:space="preserve">A22. </w:t>
      </w:r>
      <w:r w:rsidRPr="00695C3C">
        <w:rPr>
          <w:rFonts w:ascii="Tahoma" w:hAnsi="Tahoma" w:cs="Tahoma"/>
        </w:rPr>
        <w:tab/>
        <w:t>Public agencies can apply to this solicitation; however, f</w:t>
      </w:r>
      <w:r w:rsidRPr="00695C3C">
        <w:rPr>
          <w:rFonts w:ascii="Tahoma" w:eastAsia="Tahoma" w:hAnsi="Tahoma" w:cs="Tahoma"/>
        </w:rPr>
        <w:t xml:space="preserve">or infrastructure projects supporting the fleets of California public </w:t>
      </w:r>
      <w:r w:rsidRPr="00BE2022">
        <w:rPr>
          <w:rFonts w:ascii="Tahoma" w:eastAsia="Tahoma" w:hAnsi="Tahoma" w:cs="Tahoma"/>
        </w:rPr>
        <w:t xml:space="preserve">entities (except for the public entities covered by the exceptions listed in Section II.B.2 of Addendum </w:t>
      </w:r>
      <w:r w:rsidRPr="007453FD">
        <w:rPr>
          <w:rFonts w:ascii="Tahoma" w:eastAsia="Tahoma" w:hAnsi="Tahoma" w:cs="Tahoma"/>
        </w:rPr>
        <w:t>[</w:t>
      </w:r>
      <w:r w:rsidRPr="007453FD">
        <w:rPr>
          <w:rFonts w:ascii="Tahoma" w:eastAsia="Tahoma" w:hAnsi="Tahoma" w:cs="Tahoma"/>
          <w:strike/>
        </w:rPr>
        <w:t>6</w:t>
      </w:r>
      <w:r w:rsidRPr="007453FD">
        <w:rPr>
          <w:rFonts w:ascii="Tahoma" w:eastAsia="Tahoma" w:hAnsi="Tahoma" w:cs="Tahoma"/>
        </w:rPr>
        <w:t>]</w:t>
      </w:r>
      <w:r>
        <w:rPr>
          <w:rFonts w:ascii="Tahoma" w:eastAsia="Tahoma" w:hAnsi="Tahoma" w:cs="Tahoma"/>
          <w:b/>
          <w:bCs/>
          <w:u w:val="single"/>
        </w:rPr>
        <w:t>7</w:t>
      </w:r>
      <w:r w:rsidRPr="00BE2022">
        <w:rPr>
          <w:rFonts w:ascii="Tahoma" w:eastAsia="Tahoma" w:hAnsi="Tahoma" w:cs="Tahoma"/>
        </w:rPr>
        <w:t>)</w:t>
      </w:r>
      <w:r w:rsidRPr="00695C3C">
        <w:rPr>
          <w:rFonts w:ascii="Tahoma" w:eastAsia="Tahoma" w:hAnsi="Tahoma" w:cs="Tahoma"/>
        </w:rPr>
        <w:t>, Applicants must propose infrastructure with at least 25% of the charging ports/hydrogen refueling positions available as Public Access during normal operating hours. The remaining infrastructure may be Public, Shared, or Private Access.</w:t>
      </w:r>
    </w:p>
    <w:p w14:paraId="348649FF" w14:textId="77777777" w:rsidR="00E44D5E" w:rsidRDefault="00E44D5E" w:rsidP="005F2763">
      <w:pPr>
        <w:ind w:left="2160" w:hanging="720"/>
        <w:rPr>
          <w:rFonts w:ascii="Tahoma" w:eastAsia="Tahoma" w:hAnsi="Tahoma" w:cs="Tahoma"/>
        </w:rPr>
      </w:pPr>
    </w:p>
    <w:p w14:paraId="435D8F9F" w14:textId="77777777" w:rsidR="00FA0183" w:rsidRPr="00695C3C" w:rsidRDefault="00FA0183" w:rsidP="005F2763">
      <w:pPr>
        <w:ind w:left="2160" w:hanging="720"/>
        <w:rPr>
          <w:rFonts w:ascii="Tahoma" w:eastAsia="Tahoma" w:hAnsi="Tahoma" w:cs="Tahoma"/>
        </w:rPr>
      </w:pPr>
      <w:r w:rsidRPr="002321EA">
        <w:rPr>
          <w:rFonts w:ascii="Tahoma" w:eastAsia="Tahoma" w:hAnsi="Tahoma" w:cs="Tahoma"/>
        </w:rPr>
        <w:t xml:space="preserve">A27. </w:t>
      </w:r>
      <w:r w:rsidRPr="002321EA">
        <w:rPr>
          <w:rFonts w:ascii="Tahoma" w:hAnsi="Tahoma" w:cs="Tahoma"/>
        </w:rPr>
        <w:tab/>
        <w:t>[</w:t>
      </w:r>
      <w:r w:rsidRPr="002321EA">
        <w:rPr>
          <w:rFonts w:ascii="Tahoma" w:hAnsi="Tahoma" w:cs="Tahoma"/>
          <w:strike/>
        </w:rPr>
        <w:t>Addendum 6 removed t</w:t>
      </w:r>
      <w:r w:rsidRPr="002321EA">
        <w:rPr>
          <w:rFonts w:ascii="Tahoma" w:hAnsi="Tahoma" w:cs="Tahoma"/>
        </w:rPr>
        <w:t>]</w:t>
      </w:r>
      <w:r w:rsidRPr="002321EA">
        <w:rPr>
          <w:rFonts w:ascii="Tahoma" w:hAnsi="Tahoma" w:cs="Tahoma"/>
          <w:b/>
          <w:bCs/>
          <w:u w:val="single"/>
        </w:rPr>
        <w:t>T</w:t>
      </w:r>
      <w:r w:rsidRPr="002321EA">
        <w:rPr>
          <w:rFonts w:ascii="Tahoma" w:hAnsi="Tahoma" w:cs="Tahoma"/>
        </w:rPr>
        <w:t xml:space="preserve">he Public Access requirements </w:t>
      </w:r>
      <w:r w:rsidRPr="002321EA">
        <w:rPr>
          <w:rFonts w:ascii="Tahoma" w:hAnsi="Tahoma" w:cs="Tahoma"/>
          <w:b/>
          <w:bCs/>
          <w:u w:val="single"/>
        </w:rPr>
        <w:t>have been removed</w:t>
      </w:r>
      <w:r w:rsidRPr="002321EA">
        <w:rPr>
          <w:rFonts w:ascii="Tahoma" w:hAnsi="Tahoma" w:cs="Tahoma"/>
        </w:rPr>
        <w:t xml:space="preserve"> for public school districts and public transit agencies with projects that are solely for charging and/or refueling school buses and transit buses.</w:t>
      </w:r>
      <w:r w:rsidRPr="00695C3C">
        <w:rPr>
          <w:rFonts w:ascii="Tahoma" w:hAnsi="Tahoma" w:cs="Tahoma"/>
          <w:b/>
          <w:bCs/>
        </w:rPr>
        <w:t xml:space="preserve"> </w:t>
      </w:r>
    </w:p>
    <w:p w14:paraId="296A235A" w14:textId="77777777" w:rsidR="000D575E" w:rsidRDefault="000D575E" w:rsidP="005F2763">
      <w:pPr>
        <w:ind w:left="2160" w:hanging="720"/>
        <w:rPr>
          <w:rFonts w:ascii="Tahoma" w:eastAsia="Tahoma" w:hAnsi="Tahoma" w:cs="Tahoma"/>
        </w:rPr>
      </w:pPr>
    </w:p>
    <w:p w14:paraId="23BB7449" w14:textId="77777777" w:rsidR="000D575E" w:rsidRPr="00B95E69" w:rsidRDefault="000D575E" w:rsidP="005F2763">
      <w:pPr>
        <w:spacing w:after="120"/>
        <w:ind w:left="2160" w:hanging="720"/>
        <w:rPr>
          <w:rFonts w:ascii="Tahoma" w:eastAsia="Tahoma" w:hAnsi="Tahoma" w:cs="Tahoma"/>
        </w:rPr>
      </w:pPr>
      <w:r w:rsidRPr="00695C3C">
        <w:rPr>
          <w:rFonts w:ascii="Tahoma" w:eastAsia="Tahoma" w:hAnsi="Tahoma" w:cs="Tahoma"/>
        </w:rPr>
        <w:t xml:space="preserve">A30. </w:t>
      </w:r>
      <w:r w:rsidRPr="00695C3C">
        <w:tab/>
      </w:r>
      <w:r>
        <w:t>[</w:t>
      </w:r>
      <w:r w:rsidRPr="00570824">
        <w:rPr>
          <w:rFonts w:ascii="Tahoma" w:eastAsia="Tahoma" w:hAnsi="Tahoma" w:cs="Tahoma"/>
          <w:strike/>
        </w:rPr>
        <w:t>As clarified in Addendum 6, t</w:t>
      </w:r>
      <w:r>
        <w:rPr>
          <w:rFonts w:ascii="Tahoma" w:eastAsia="Tahoma" w:hAnsi="Tahoma" w:cs="Tahoma"/>
        </w:rPr>
        <w:t>]</w:t>
      </w:r>
      <w:r w:rsidRPr="00570824">
        <w:rPr>
          <w:rFonts w:ascii="Tahoma" w:eastAsia="Tahoma" w:hAnsi="Tahoma" w:cs="Tahoma"/>
          <w:b/>
          <w:bCs/>
          <w:u w:val="single"/>
        </w:rPr>
        <w:t>T</w:t>
      </w:r>
      <w:r w:rsidRPr="00B95E69">
        <w:rPr>
          <w:rFonts w:ascii="Tahoma" w:eastAsia="Tahoma" w:hAnsi="Tahoma" w:cs="Tahoma"/>
        </w:rPr>
        <w:t xml:space="preserve">he equipment does not need to be explicitly listed in the </w:t>
      </w:r>
      <w:proofErr w:type="spellStart"/>
      <w:r w:rsidRPr="00B95E69">
        <w:rPr>
          <w:rFonts w:ascii="Tahoma" w:eastAsia="Tahoma" w:hAnsi="Tahoma" w:cs="Tahoma"/>
        </w:rPr>
        <w:t>EnergIIZE</w:t>
      </w:r>
      <w:proofErr w:type="spellEnd"/>
      <w:r w:rsidRPr="00B95E69">
        <w:rPr>
          <w:rFonts w:ascii="Tahoma" w:eastAsia="Tahoma" w:hAnsi="Tahoma" w:cs="Tahoma"/>
        </w:rPr>
        <w:t xml:space="preserve"> Equipment Catalog. The requirement is that the equipment conforms to the applicable safety and technical standards listed in the solicitation, not that it appears in the catalog itself. </w:t>
      </w:r>
    </w:p>
    <w:p w14:paraId="6968E5F7" w14:textId="77777777" w:rsidR="000D575E" w:rsidRPr="00B95E69" w:rsidRDefault="000D575E" w:rsidP="0042622F">
      <w:pPr>
        <w:spacing w:after="120"/>
        <w:ind w:left="2160"/>
      </w:pPr>
      <w:r w:rsidRPr="00B95E69">
        <w:rPr>
          <w:rFonts w:ascii="Tahoma" w:eastAsia="Tahoma" w:hAnsi="Tahoma" w:cs="Tahoma"/>
          <w:color w:val="000000" w:themeColor="text1"/>
        </w:rPr>
        <w:t xml:space="preserve">As long as the charger meets the same standards that listed equipment is required to meet, and that compliance can be verified, an Applicant may purchase equipment not formally included on the </w:t>
      </w:r>
      <w:proofErr w:type="spellStart"/>
      <w:r w:rsidRPr="00B95E69">
        <w:rPr>
          <w:rFonts w:ascii="Tahoma" w:eastAsia="Tahoma" w:hAnsi="Tahoma" w:cs="Tahoma"/>
          <w:color w:val="000000" w:themeColor="text1"/>
        </w:rPr>
        <w:t>EnergIIZE</w:t>
      </w:r>
      <w:proofErr w:type="spellEnd"/>
      <w:r w:rsidRPr="00B95E69">
        <w:rPr>
          <w:rFonts w:ascii="Tahoma" w:eastAsia="Tahoma" w:hAnsi="Tahoma" w:cs="Tahoma"/>
          <w:color w:val="000000" w:themeColor="text1"/>
        </w:rPr>
        <w:t xml:space="preserve"> Equipment Catalog list.</w:t>
      </w:r>
    </w:p>
    <w:p w14:paraId="784B1F93" w14:textId="77777777" w:rsidR="000D575E" w:rsidRPr="00B95E69" w:rsidRDefault="000D575E" w:rsidP="0042622F">
      <w:pPr>
        <w:ind w:left="2160"/>
      </w:pPr>
      <w:r w:rsidRPr="00B95E69">
        <w:rPr>
          <w:rFonts w:ascii="Tahoma" w:eastAsia="Tahoma" w:hAnsi="Tahoma" w:cs="Tahoma"/>
          <w:color w:val="000000" w:themeColor="text1"/>
        </w:rPr>
        <w:t xml:space="preserve">The </w:t>
      </w:r>
      <w:hyperlink r:id="rId13" w:history="1">
        <w:r w:rsidRPr="00B95E69">
          <w:rPr>
            <w:rStyle w:val="Hyperlink"/>
            <w:rFonts w:ascii="Tahoma" w:eastAsia="Tahoma" w:hAnsi="Tahoma" w:cs="Tahoma"/>
            <w:u w:val="none"/>
          </w:rPr>
          <w:t>EnergIIZE Equipment Catalog</w:t>
        </w:r>
      </w:hyperlink>
      <w:r w:rsidRPr="00B95E69">
        <w:rPr>
          <w:rFonts w:ascii="Tahoma" w:eastAsia="Tahoma" w:hAnsi="Tahoma" w:cs="Tahoma"/>
          <w:color w:val="000000" w:themeColor="text1"/>
        </w:rPr>
        <w:t xml:space="preserve"> can be found at https://energiize.org/equipment-catalog/.</w:t>
      </w:r>
    </w:p>
    <w:p w14:paraId="5522664D" w14:textId="77777777" w:rsidR="000D575E" w:rsidRDefault="000D575E" w:rsidP="005F2763">
      <w:pPr>
        <w:ind w:left="2160" w:hanging="720"/>
        <w:rPr>
          <w:rFonts w:ascii="Tahoma" w:eastAsia="Tahoma" w:hAnsi="Tahoma" w:cs="Tahoma"/>
        </w:rPr>
      </w:pPr>
    </w:p>
    <w:p w14:paraId="0C0B1F5D" w14:textId="67DAEF7C" w:rsidR="00F34ED4" w:rsidRPr="00695C3C" w:rsidRDefault="00F34ED4" w:rsidP="005F2763">
      <w:pPr>
        <w:ind w:left="2160" w:hanging="720"/>
        <w:rPr>
          <w:rFonts w:ascii="Tahoma" w:hAnsi="Tahoma" w:cs="Tahoma"/>
        </w:rPr>
      </w:pPr>
      <w:r w:rsidRPr="00695C3C">
        <w:rPr>
          <w:rFonts w:ascii="Tahoma" w:eastAsia="Tahoma" w:hAnsi="Tahoma" w:cs="Tahoma"/>
        </w:rPr>
        <w:t>A38.</w:t>
      </w:r>
      <w:r w:rsidRPr="00695C3C">
        <w:rPr>
          <w:rFonts w:ascii="Tahoma" w:hAnsi="Tahoma" w:cs="Tahoma"/>
        </w:rPr>
        <w:tab/>
        <w:t xml:space="preserve">Please refer to </w:t>
      </w:r>
      <w:r w:rsidRPr="00695C3C">
        <w:rPr>
          <w:rFonts w:ascii="Tahoma" w:eastAsia="Tahoma" w:hAnsi="Tahoma" w:cs="Tahoma"/>
        </w:rPr>
        <w:t xml:space="preserve">Addendum </w:t>
      </w:r>
      <w:r w:rsidRPr="007453FD">
        <w:rPr>
          <w:rFonts w:ascii="Tahoma" w:eastAsia="Tahoma" w:hAnsi="Tahoma" w:cs="Tahoma"/>
        </w:rPr>
        <w:t>[</w:t>
      </w:r>
      <w:r w:rsidRPr="007453FD">
        <w:rPr>
          <w:rFonts w:ascii="Tahoma" w:eastAsia="Tahoma" w:hAnsi="Tahoma" w:cs="Tahoma"/>
          <w:strike/>
        </w:rPr>
        <w:t>6</w:t>
      </w:r>
      <w:r w:rsidRPr="007453FD">
        <w:rPr>
          <w:rFonts w:ascii="Tahoma" w:eastAsia="Tahoma" w:hAnsi="Tahoma" w:cs="Tahoma"/>
        </w:rPr>
        <w:t>]</w:t>
      </w:r>
      <w:r>
        <w:rPr>
          <w:rFonts w:ascii="Tahoma" w:eastAsia="Tahoma" w:hAnsi="Tahoma" w:cs="Tahoma"/>
          <w:b/>
          <w:bCs/>
          <w:u w:val="single"/>
        </w:rPr>
        <w:t>7</w:t>
      </w:r>
      <w:r w:rsidRPr="00695C3C">
        <w:rPr>
          <w:rFonts w:ascii="Tahoma" w:hAnsi="Tahoma" w:cs="Tahoma"/>
        </w:rPr>
        <w:t xml:space="preserve">, which no longer has the table for maximum award amounts per charging port/hydrogen refueling position. </w:t>
      </w:r>
    </w:p>
    <w:p w14:paraId="21BEFC24" w14:textId="77777777" w:rsidR="00F34ED4" w:rsidRPr="00695C3C" w:rsidRDefault="00F34ED4" w:rsidP="005F2763">
      <w:pPr>
        <w:ind w:left="2160" w:hanging="720"/>
        <w:rPr>
          <w:rFonts w:ascii="Tahoma" w:hAnsi="Tahoma" w:cs="Tahoma"/>
        </w:rPr>
      </w:pPr>
    </w:p>
    <w:p w14:paraId="36DBC440" w14:textId="77777777" w:rsidR="00F34ED4" w:rsidRPr="00695C3C" w:rsidRDefault="00F34ED4" w:rsidP="0042622F">
      <w:pPr>
        <w:ind w:left="2160"/>
        <w:rPr>
          <w:rFonts w:ascii="Tahoma" w:eastAsia="Tahoma" w:hAnsi="Tahoma" w:cs="Tahoma"/>
        </w:rPr>
      </w:pPr>
      <w:r w:rsidRPr="00695C3C">
        <w:rPr>
          <w:rFonts w:ascii="Tahoma" w:eastAsia="Tahoma" w:hAnsi="Tahoma" w:cs="Tahoma"/>
        </w:rPr>
        <w:t xml:space="preserve">Accordingly, the maximum award amount for the project applies to all eligible reimbursable costs. Project costs may cover both the cost of the hardware and the associated costs of installation, commissioning, and solar/storage. </w:t>
      </w:r>
    </w:p>
    <w:p w14:paraId="72F3BF9F" w14:textId="77777777" w:rsidR="00F34ED4" w:rsidRDefault="00F34ED4" w:rsidP="005F2763">
      <w:pPr>
        <w:ind w:left="2160" w:hanging="720"/>
        <w:rPr>
          <w:rFonts w:ascii="Tahoma" w:eastAsia="Tahoma" w:hAnsi="Tahoma" w:cs="Tahoma"/>
        </w:rPr>
      </w:pPr>
    </w:p>
    <w:p w14:paraId="408D0F76" w14:textId="77777777" w:rsidR="00BF6CA0" w:rsidRPr="00695C3C" w:rsidRDefault="00BF6CA0" w:rsidP="005F2763">
      <w:pPr>
        <w:ind w:left="2160" w:hanging="720"/>
        <w:rPr>
          <w:rFonts w:ascii="Tahoma" w:hAnsi="Tahoma" w:cs="Tahoma"/>
        </w:rPr>
      </w:pPr>
      <w:r w:rsidRPr="00695C3C">
        <w:rPr>
          <w:rFonts w:ascii="Tahoma" w:eastAsia="Tahoma" w:hAnsi="Tahoma" w:cs="Tahoma"/>
        </w:rPr>
        <w:lastRenderedPageBreak/>
        <w:t>A39.</w:t>
      </w:r>
      <w:r w:rsidRPr="00695C3C">
        <w:rPr>
          <w:rFonts w:ascii="Tahoma" w:hAnsi="Tahoma" w:cs="Tahoma"/>
        </w:rPr>
        <w:tab/>
        <w:t xml:space="preserve">The solicitation now has </w:t>
      </w:r>
      <w:r w:rsidRPr="00695C3C">
        <w:rPr>
          <w:rFonts w:ascii="Tahoma" w:eastAsia="Tahoma" w:hAnsi="Tahoma" w:cs="Tahoma"/>
        </w:rPr>
        <w:t xml:space="preserve">Addendum </w:t>
      </w:r>
      <w:r w:rsidRPr="007453FD">
        <w:rPr>
          <w:rFonts w:ascii="Tahoma" w:eastAsia="Tahoma" w:hAnsi="Tahoma" w:cs="Tahoma"/>
        </w:rPr>
        <w:t>[</w:t>
      </w:r>
      <w:r w:rsidRPr="007453FD">
        <w:rPr>
          <w:rFonts w:ascii="Tahoma" w:eastAsia="Tahoma" w:hAnsi="Tahoma" w:cs="Tahoma"/>
          <w:strike/>
        </w:rPr>
        <w:t>6</w:t>
      </w:r>
      <w:r w:rsidRPr="007453FD">
        <w:rPr>
          <w:rFonts w:ascii="Tahoma" w:eastAsia="Tahoma" w:hAnsi="Tahoma" w:cs="Tahoma"/>
        </w:rPr>
        <w:t>]</w:t>
      </w:r>
      <w:r>
        <w:rPr>
          <w:rFonts w:ascii="Tahoma" w:eastAsia="Tahoma" w:hAnsi="Tahoma" w:cs="Tahoma"/>
          <w:b/>
          <w:bCs/>
          <w:u w:val="single"/>
        </w:rPr>
        <w:t>7</w:t>
      </w:r>
      <w:r w:rsidRPr="00695C3C">
        <w:rPr>
          <w:rFonts w:ascii="Tahoma" w:hAnsi="Tahoma" w:cs="Tahoma"/>
        </w:rPr>
        <w:t xml:space="preserve"> and it no longer has the table for maximum award amounts per charging port/hydrogen refueling position. </w:t>
      </w:r>
    </w:p>
    <w:p w14:paraId="7E96EA78" w14:textId="77777777" w:rsidR="00BF6CA0" w:rsidRPr="00695C3C" w:rsidRDefault="00BF6CA0" w:rsidP="005F2763">
      <w:pPr>
        <w:ind w:left="2160" w:hanging="720"/>
        <w:rPr>
          <w:rFonts w:ascii="Tahoma" w:hAnsi="Tahoma" w:cs="Tahoma"/>
        </w:rPr>
      </w:pPr>
    </w:p>
    <w:p w14:paraId="7EADFE2B" w14:textId="77777777" w:rsidR="00BF6CA0" w:rsidRPr="00695C3C" w:rsidRDefault="00BF6CA0" w:rsidP="0042622F">
      <w:pPr>
        <w:ind w:left="2160"/>
        <w:rPr>
          <w:rFonts w:ascii="Tahoma" w:eastAsia="Tahoma" w:hAnsi="Tahoma" w:cs="Tahoma"/>
        </w:rPr>
      </w:pPr>
      <w:r w:rsidRPr="00695C3C">
        <w:rPr>
          <w:rFonts w:ascii="Tahoma" w:eastAsia="Tahoma" w:hAnsi="Tahoma" w:cs="Tahoma"/>
        </w:rPr>
        <w:t xml:space="preserve">Nevertheless, in this example, it is correct that the on-site solar/storage equipment costs cannot exceed $1.25 million, 50% of the award amount for the chargers. This amount would be in addition to $2.5 million for the chargers. Please note that the maximum award amount per application is $8 million. For example, if an Applicant requested $6 million for chargers, even though 50% of the CEC grant funds for the chargers would be $3 million, the Applicant would only be eligible for $8 million, the maximum award amount. </w:t>
      </w:r>
    </w:p>
    <w:p w14:paraId="20E9B337" w14:textId="77777777" w:rsidR="00BF6CA0" w:rsidRDefault="00BF6CA0" w:rsidP="005F2763">
      <w:pPr>
        <w:ind w:left="2160" w:hanging="720"/>
        <w:rPr>
          <w:rFonts w:ascii="Tahoma" w:eastAsia="Tahoma" w:hAnsi="Tahoma" w:cs="Tahoma"/>
        </w:rPr>
      </w:pPr>
    </w:p>
    <w:p w14:paraId="4FC049FE" w14:textId="77777777" w:rsidR="008D5EB6" w:rsidRPr="00695C3C" w:rsidRDefault="008D5EB6" w:rsidP="005F2763">
      <w:pPr>
        <w:ind w:left="2160" w:hanging="720"/>
        <w:rPr>
          <w:rFonts w:ascii="Tahoma" w:eastAsia="Tahoma" w:hAnsi="Tahoma" w:cs="Tahoma"/>
        </w:rPr>
      </w:pPr>
      <w:r w:rsidRPr="00695C3C">
        <w:rPr>
          <w:rFonts w:ascii="Tahoma" w:eastAsia="Tahoma" w:hAnsi="Tahoma" w:cs="Tahoma"/>
        </w:rPr>
        <w:t>A41.</w:t>
      </w:r>
      <w:r w:rsidRPr="00695C3C">
        <w:rPr>
          <w:rFonts w:ascii="Tahoma" w:eastAsia="Tahoma" w:hAnsi="Tahoma" w:cs="Tahoma"/>
        </w:rPr>
        <w:tab/>
        <w:t xml:space="preserve">The CEC does not </w:t>
      </w:r>
      <w:proofErr w:type="gramStart"/>
      <w:r w:rsidRPr="00695C3C">
        <w:rPr>
          <w:rFonts w:ascii="Tahoma" w:eastAsia="Tahoma" w:hAnsi="Tahoma" w:cs="Tahoma"/>
        </w:rPr>
        <w:t>have a preference for</w:t>
      </w:r>
      <w:proofErr w:type="gramEnd"/>
      <w:r w:rsidRPr="00695C3C">
        <w:rPr>
          <w:rFonts w:ascii="Tahoma" w:eastAsia="Tahoma" w:hAnsi="Tahoma" w:cs="Tahoma"/>
        </w:rPr>
        <w:t xml:space="preserve"> higher power ratings over the number of charging ports. </w:t>
      </w:r>
      <w:r w:rsidRPr="00695C3C">
        <w:rPr>
          <w:rFonts w:ascii="Tahoma" w:eastAsia="Tahoma" w:hAnsi="Tahoma" w:cs="Tahoma"/>
        </w:rPr>
        <w:br/>
      </w:r>
    </w:p>
    <w:p w14:paraId="1EE37F86" w14:textId="77777777" w:rsidR="008D5EB6" w:rsidRPr="00695C3C" w:rsidRDefault="008D5EB6" w:rsidP="0042622F">
      <w:pPr>
        <w:ind w:left="2160"/>
        <w:rPr>
          <w:rFonts w:ascii="Tahoma" w:eastAsia="Tahoma" w:hAnsi="Tahoma" w:cs="Tahoma"/>
        </w:rPr>
      </w:pPr>
      <w:r w:rsidRPr="00695C3C">
        <w:rPr>
          <w:rFonts w:ascii="Tahoma" w:eastAsia="Tahoma" w:hAnsi="Tahoma" w:cs="Tahoma"/>
        </w:rPr>
        <w:t xml:space="preserve">The solicitation now has Addendum </w:t>
      </w:r>
      <w:r w:rsidRPr="007453FD">
        <w:rPr>
          <w:rFonts w:ascii="Tahoma" w:eastAsia="Tahoma" w:hAnsi="Tahoma" w:cs="Tahoma"/>
        </w:rPr>
        <w:t>[</w:t>
      </w:r>
      <w:r w:rsidRPr="007453FD">
        <w:rPr>
          <w:rFonts w:ascii="Tahoma" w:eastAsia="Tahoma" w:hAnsi="Tahoma" w:cs="Tahoma"/>
          <w:strike/>
        </w:rPr>
        <w:t>6</w:t>
      </w:r>
      <w:r w:rsidRPr="007453FD">
        <w:rPr>
          <w:rFonts w:ascii="Tahoma" w:eastAsia="Tahoma" w:hAnsi="Tahoma" w:cs="Tahoma"/>
        </w:rPr>
        <w:t>]</w:t>
      </w:r>
      <w:r>
        <w:rPr>
          <w:rFonts w:ascii="Tahoma" w:eastAsia="Tahoma" w:hAnsi="Tahoma" w:cs="Tahoma"/>
          <w:b/>
          <w:bCs/>
          <w:u w:val="single"/>
        </w:rPr>
        <w:t>7</w:t>
      </w:r>
      <w:r w:rsidRPr="00695C3C">
        <w:rPr>
          <w:rFonts w:ascii="Tahoma" w:eastAsia="Tahoma" w:hAnsi="Tahoma" w:cs="Tahoma"/>
        </w:rPr>
        <w:t>, which no longer sets the maximum award amount per charging port. Projects will be evaluated on the degree to which the proposed infrastructure demonstrates a highly cost-effective use of CEC funds, which a low cost per charging port or refueling position relative to the power level or refueling capacity. Projects will be evaluated on both the dollar-per-port or refueling position and the dollar-per kW or kg. Please see Section I.E. How Award is Determined and Section I.G. Minimum and Maximum Award Amounts.</w:t>
      </w:r>
    </w:p>
    <w:p w14:paraId="1C8FB285" w14:textId="77777777" w:rsidR="008D5EB6" w:rsidRDefault="008D5EB6" w:rsidP="005F2763">
      <w:pPr>
        <w:ind w:left="2160" w:hanging="720"/>
        <w:rPr>
          <w:rFonts w:ascii="Tahoma" w:eastAsia="Tahoma" w:hAnsi="Tahoma" w:cs="Tahoma"/>
        </w:rPr>
      </w:pPr>
    </w:p>
    <w:p w14:paraId="3A138E12" w14:textId="77777777" w:rsidR="00E52911" w:rsidRPr="00695C3C" w:rsidRDefault="00E52911" w:rsidP="005F2763">
      <w:pPr>
        <w:ind w:left="2160" w:hanging="720"/>
        <w:rPr>
          <w:rFonts w:ascii="Tahoma" w:eastAsia="Tahoma" w:hAnsi="Tahoma" w:cs="Tahoma"/>
        </w:rPr>
      </w:pPr>
      <w:r w:rsidRPr="00695C3C">
        <w:rPr>
          <w:rFonts w:ascii="Tahoma" w:eastAsia="Tahoma" w:hAnsi="Tahoma" w:cs="Tahoma"/>
        </w:rPr>
        <w:t xml:space="preserve">A42. </w:t>
      </w:r>
      <w:r w:rsidRPr="00695C3C">
        <w:rPr>
          <w:rFonts w:ascii="Tahoma" w:hAnsi="Tahoma" w:cs="Tahoma"/>
        </w:rPr>
        <w:tab/>
      </w:r>
      <w:r w:rsidRPr="00695C3C">
        <w:rPr>
          <w:rFonts w:ascii="Tahoma" w:eastAsia="Tahoma" w:hAnsi="Tahoma" w:cs="Tahoma"/>
        </w:rPr>
        <w:t xml:space="preserve">The materials covered in the pre-application workshop slides were based on the Addendum 3 solicitation manual. The solicitation now has Addendum </w:t>
      </w:r>
      <w:r w:rsidRPr="007453FD">
        <w:rPr>
          <w:rFonts w:ascii="Tahoma" w:eastAsia="Tahoma" w:hAnsi="Tahoma" w:cs="Tahoma"/>
        </w:rPr>
        <w:t>[</w:t>
      </w:r>
      <w:r w:rsidRPr="007453FD">
        <w:rPr>
          <w:rFonts w:ascii="Tahoma" w:eastAsia="Tahoma" w:hAnsi="Tahoma" w:cs="Tahoma"/>
          <w:strike/>
        </w:rPr>
        <w:t>6</w:t>
      </w:r>
      <w:r w:rsidRPr="007453FD">
        <w:rPr>
          <w:rFonts w:ascii="Tahoma" w:eastAsia="Tahoma" w:hAnsi="Tahoma" w:cs="Tahoma"/>
        </w:rPr>
        <w:t>]</w:t>
      </w:r>
      <w:r>
        <w:rPr>
          <w:rFonts w:ascii="Tahoma" w:eastAsia="Tahoma" w:hAnsi="Tahoma" w:cs="Tahoma"/>
          <w:b/>
          <w:bCs/>
          <w:u w:val="single"/>
        </w:rPr>
        <w:t>7</w:t>
      </w:r>
      <w:r w:rsidRPr="00695C3C">
        <w:rPr>
          <w:rFonts w:ascii="Tahoma" w:eastAsia="Tahoma" w:hAnsi="Tahoma" w:cs="Tahoma"/>
        </w:rPr>
        <w:t>. The Cover Letter</w:t>
      </w:r>
      <w:r w:rsidRPr="00F305C4">
        <w:rPr>
          <w:rFonts w:ascii="Tahoma" w:eastAsia="Tahoma" w:hAnsi="Tahoma" w:cs="Tahoma"/>
        </w:rPr>
        <w:t xml:space="preserve">s for Addenda 4, 5, </w:t>
      </w:r>
      <w:r>
        <w:rPr>
          <w:rFonts w:ascii="Tahoma" w:eastAsia="Tahoma" w:hAnsi="Tahoma" w:cs="Tahoma"/>
        </w:rPr>
        <w:t>[</w:t>
      </w:r>
      <w:r w:rsidRPr="002E4B8A">
        <w:rPr>
          <w:rFonts w:ascii="Tahoma" w:eastAsia="Tahoma" w:hAnsi="Tahoma" w:cs="Tahoma"/>
          <w:strike/>
        </w:rPr>
        <w:t xml:space="preserve">and </w:t>
      </w:r>
      <w:r>
        <w:rPr>
          <w:rFonts w:ascii="Tahoma" w:eastAsia="Tahoma" w:hAnsi="Tahoma" w:cs="Tahoma"/>
        </w:rPr>
        <w:t>]</w:t>
      </w:r>
      <w:r w:rsidRPr="00F305C4">
        <w:rPr>
          <w:rFonts w:ascii="Tahoma" w:eastAsia="Tahoma" w:hAnsi="Tahoma" w:cs="Tahoma"/>
        </w:rPr>
        <w:t>6</w:t>
      </w:r>
      <w:r w:rsidRPr="002E4B8A">
        <w:rPr>
          <w:rFonts w:ascii="Tahoma" w:eastAsia="Tahoma" w:hAnsi="Tahoma" w:cs="Tahoma"/>
          <w:b/>
          <w:bCs/>
          <w:u w:val="single"/>
        </w:rPr>
        <w:t>, and 7</w:t>
      </w:r>
      <w:r w:rsidRPr="00695C3C">
        <w:rPr>
          <w:rFonts w:ascii="Tahoma" w:eastAsia="Tahoma" w:hAnsi="Tahoma" w:cs="Tahoma"/>
        </w:rPr>
        <w:t xml:space="preserve"> list all the changes that were made </w:t>
      </w:r>
      <w:r w:rsidRPr="002E4B8A">
        <w:rPr>
          <w:rFonts w:ascii="Tahoma" w:eastAsia="Tahoma" w:hAnsi="Tahoma" w:cs="Tahoma"/>
        </w:rPr>
        <w:t>after</w:t>
      </w:r>
      <w:r w:rsidRPr="00695C3C">
        <w:rPr>
          <w:rFonts w:ascii="Tahoma" w:eastAsia="Tahoma" w:hAnsi="Tahoma" w:cs="Tahoma"/>
        </w:rPr>
        <w:t xml:space="preserve"> the Addendum 3.  </w:t>
      </w:r>
    </w:p>
    <w:p w14:paraId="47343CF6" w14:textId="77777777" w:rsidR="00E52911" w:rsidRDefault="00E52911" w:rsidP="005F2763">
      <w:pPr>
        <w:ind w:left="2160" w:hanging="720"/>
        <w:rPr>
          <w:rFonts w:ascii="Tahoma" w:eastAsia="Tahoma" w:hAnsi="Tahoma" w:cs="Tahoma"/>
        </w:rPr>
      </w:pPr>
    </w:p>
    <w:p w14:paraId="06847658" w14:textId="22BCC6EB" w:rsidR="00DF7D08" w:rsidRPr="00695C3C" w:rsidRDefault="00DF7D08" w:rsidP="005F2763">
      <w:pPr>
        <w:ind w:left="2160" w:hanging="720"/>
        <w:rPr>
          <w:rFonts w:ascii="Tahoma" w:eastAsia="Tahoma" w:hAnsi="Tahoma" w:cs="Tahoma"/>
        </w:rPr>
      </w:pPr>
      <w:r w:rsidRPr="00695C3C">
        <w:rPr>
          <w:rFonts w:ascii="Tahoma" w:eastAsia="Tahoma" w:hAnsi="Tahoma" w:cs="Tahoma"/>
        </w:rPr>
        <w:t xml:space="preserve">A47. </w:t>
      </w:r>
      <w:r w:rsidRPr="00695C3C">
        <w:rPr>
          <w:rFonts w:ascii="Tahoma" w:hAnsi="Tahoma" w:cs="Tahoma"/>
        </w:rPr>
        <w:tab/>
        <w:t xml:space="preserve">Please refer to </w:t>
      </w:r>
      <w:r w:rsidRPr="00695C3C">
        <w:rPr>
          <w:rFonts w:ascii="Tahoma" w:eastAsia="Tahoma" w:hAnsi="Tahoma" w:cs="Tahoma"/>
        </w:rPr>
        <w:t xml:space="preserve">Addendum </w:t>
      </w:r>
      <w:r w:rsidRPr="007453FD">
        <w:rPr>
          <w:rFonts w:ascii="Tahoma" w:eastAsia="Tahoma" w:hAnsi="Tahoma" w:cs="Tahoma"/>
        </w:rPr>
        <w:t>[</w:t>
      </w:r>
      <w:r w:rsidRPr="007453FD">
        <w:rPr>
          <w:rFonts w:ascii="Tahoma" w:eastAsia="Tahoma" w:hAnsi="Tahoma" w:cs="Tahoma"/>
          <w:strike/>
        </w:rPr>
        <w:t>6</w:t>
      </w:r>
      <w:r w:rsidRPr="007453FD">
        <w:rPr>
          <w:rFonts w:ascii="Tahoma" w:eastAsia="Tahoma" w:hAnsi="Tahoma" w:cs="Tahoma"/>
        </w:rPr>
        <w:t>]</w:t>
      </w:r>
      <w:r>
        <w:rPr>
          <w:rFonts w:ascii="Tahoma" w:eastAsia="Tahoma" w:hAnsi="Tahoma" w:cs="Tahoma"/>
          <w:b/>
          <w:bCs/>
          <w:u w:val="single"/>
        </w:rPr>
        <w:t>7</w:t>
      </w:r>
      <w:r w:rsidRPr="00695C3C">
        <w:rPr>
          <w:rFonts w:ascii="Tahoma" w:eastAsia="Tahoma" w:hAnsi="Tahoma" w:cs="Tahoma"/>
        </w:rPr>
        <w:t xml:space="preserve"> for the most up to date eligibility requirements.</w:t>
      </w:r>
    </w:p>
    <w:p w14:paraId="5C811D85" w14:textId="77777777" w:rsidR="002654DC" w:rsidRPr="00695C3C" w:rsidRDefault="002654DC" w:rsidP="005F2763">
      <w:pPr>
        <w:ind w:left="2160" w:hanging="720"/>
        <w:rPr>
          <w:rFonts w:ascii="Tahoma" w:eastAsia="Tahoma" w:hAnsi="Tahoma" w:cs="Tahoma"/>
        </w:rPr>
      </w:pPr>
    </w:p>
    <w:p w14:paraId="320568B2" w14:textId="77777777" w:rsidR="001F327A" w:rsidRDefault="001F327A" w:rsidP="005F2763">
      <w:pPr>
        <w:spacing w:line="279" w:lineRule="auto"/>
        <w:ind w:left="2160" w:hanging="720"/>
        <w:rPr>
          <w:rFonts w:ascii="Tahoma" w:hAnsi="Tahoma" w:cs="Tahoma"/>
          <w:b/>
          <w:bCs/>
          <w:i/>
          <w:iCs/>
          <w:u w:val="single"/>
        </w:rPr>
      </w:pPr>
      <w:r w:rsidRPr="005F5C04">
        <w:rPr>
          <w:rFonts w:ascii="Tahoma" w:hAnsi="Tahoma" w:cs="Tahoma"/>
          <w:b/>
          <w:bCs/>
          <w:i/>
          <w:iCs/>
          <w:u w:val="single"/>
        </w:rPr>
        <w:t>NEW Question &amp; Answer </w:t>
      </w:r>
      <w:r>
        <w:rPr>
          <w:rFonts w:ascii="Tahoma" w:hAnsi="Tahoma" w:cs="Tahoma"/>
          <w:b/>
          <w:bCs/>
          <w:i/>
          <w:iCs/>
          <w:u w:val="single"/>
        </w:rPr>
        <w:t>(Addendum 7)</w:t>
      </w:r>
    </w:p>
    <w:p w14:paraId="0AA798A5" w14:textId="77777777" w:rsidR="0042622F" w:rsidRPr="005F5C04" w:rsidRDefault="0042622F" w:rsidP="005F2763">
      <w:pPr>
        <w:spacing w:line="279" w:lineRule="auto"/>
        <w:ind w:left="2160" w:hanging="720"/>
        <w:rPr>
          <w:rFonts w:ascii="Tahoma" w:hAnsi="Tahoma" w:cs="Tahoma"/>
          <w:b/>
          <w:bCs/>
          <w:i/>
          <w:iCs/>
          <w:u w:val="single"/>
        </w:rPr>
      </w:pPr>
    </w:p>
    <w:p w14:paraId="3709AFAF" w14:textId="60F869BC" w:rsidR="708D2802" w:rsidRDefault="708D2802" w:rsidP="5287AEDF">
      <w:pPr>
        <w:ind w:left="2160" w:hanging="720"/>
        <w:rPr>
          <w:rFonts w:ascii="Tahoma" w:eastAsia="Tahoma" w:hAnsi="Tahoma" w:cs="Tahoma"/>
          <w:color w:val="000000" w:themeColor="text1"/>
        </w:rPr>
      </w:pPr>
      <w:r w:rsidRPr="5287AEDF">
        <w:rPr>
          <w:rFonts w:ascii="Tahoma" w:eastAsia="Tahoma" w:hAnsi="Tahoma" w:cs="Tahoma"/>
          <w:b/>
          <w:bCs/>
          <w:color w:val="000000" w:themeColor="text1"/>
          <w:u w:val="single"/>
        </w:rPr>
        <w:t>Q53.</w:t>
      </w:r>
      <w:r>
        <w:tab/>
      </w:r>
      <w:r w:rsidRPr="5287AEDF">
        <w:rPr>
          <w:rFonts w:ascii="Tahoma" w:eastAsia="Tahoma" w:hAnsi="Tahoma" w:cs="Tahoma"/>
          <w:b/>
          <w:bCs/>
          <w:color w:val="000000" w:themeColor="text1"/>
          <w:u w:val="single"/>
        </w:rPr>
        <w:t>Are Private or Shared Access projects required to operate on OCPP 2.0.1 in order to be eligible for this solicitation?</w:t>
      </w:r>
    </w:p>
    <w:p w14:paraId="6056B630" w14:textId="52F3C6FC" w:rsidR="5287AEDF" w:rsidRDefault="5287AEDF" w:rsidP="5287AEDF">
      <w:pPr>
        <w:ind w:left="2160" w:hanging="720"/>
        <w:rPr>
          <w:rFonts w:ascii="Tahoma" w:eastAsia="Tahoma" w:hAnsi="Tahoma" w:cs="Tahoma"/>
          <w:color w:val="000000" w:themeColor="text1"/>
        </w:rPr>
      </w:pPr>
    </w:p>
    <w:p w14:paraId="3CBA736F" w14:textId="346296A0" w:rsidR="708D2802" w:rsidRDefault="708D2802" w:rsidP="5287AEDF">
      <w:pPr>
        <w:ind w:left="2160" w:hanging="720"/>
        <w:rPr>
          <w:rFonts w:ascii="Tahoma" w:eastAsia="Tahoma" w:hAnsi="Tahoma" w:cs="Tahoma"/>
          <w:color w:val="000000" w:themeColor="text1"/>
        </w:rPr>
      </w:pPr>
      <w:r w:rsidRPr="784420A3">
        <w:rPr>
          <w:rFonts w:ascii="Tahoma" w:eastAsia="Tahoma" w:hAnsi="Tahoma" w:cs="Tahoma"/>
          <w:b/>
          <w:bCs/>
          <w:color w:val="000000" w:themeColor="text1"/>
          <w:u w:val="single"/>
        </w:rPr>
        <w:t>A53.</w:t>
      </w:r>
      <w:r>
        <w:tab/>
      </w:r>
      <w:r w:rsidR="00B54FB4" w:rsidRPr="00B54FB4">
        <w:rPr>
          <w:rFonts w:ascii="Tahoma" w:eastAsia="Tahoma" w:hAnsi="Tahoma" w:cs="Tahoma"/>
          <w:b/>
          <w:bCs/>
          <w:color w:val="000000" w:themeColor="text1"/>
          <w:u w:val="single"/>
        </w:rPr>
        <w:t xml:space="preserve">All charging ports must conform to OCPP 2.0.1 or later, and manufacturers must attest that the charger hardware conforms to OCPP 2.0.1 or later by detailing it on a publicly available charger specification sheet. For Public Access charging stations, </w:t>
      </w:r>
      <w:r w:rsidR="009652D7">
        <w:rPr>
          <w:rFonts w:ascii="Tahoma" w:eastAsia="Tahoma" w:hAnsi="Tahoma" w:cs="Tahoma"/>
          <w:b/>
          <w:bCs/>
          <w:color w:val="000000" w:themeColor="text1"/>
          <w:u w:val="single"/>
        </w:rPr>
        <w:t>c</w:t>
      </w:r>
      <w:r w:rsidR="009652D7" w:rsidRPr="00622282">
        <w:rPr>
          <w:rFonts w:ascii="Tahoma" w:hAnsi="Tahoma" w:cs="Tahoma"/>
          <w:b/>
          <w:bCs/>
          <w:u w:val="single"/>
          <w:lang w:eastAsia="x-none"/>
        </w:rPr>
        <w:t>harging ports must comply with regulatory requirements under Assembly Bill 2061 once the regulation is</w:t>
      </w:r>
      <w:r w:rsidR="009652D7">
        <w:rPr>
          <w:rFonts w:ascii="Tahoma" w:hAnsi="Tahoma" w:cs="Tahoma"/>
          <w:b/>
          <w:bCs/>
          <w:u w:val="single"/>
          <w:lang w:eastAsia="x-none"/>
        </w:rPr>
        <w:t xml:space="preserve"> adopted by CEC</w:t>
      </w:r>
      <w:r w:rsidR="009652D7" w:rsidRPr="00622282">
        <w:rPr>
          <w:rFonts w:ascii="Tahoma" w:hAnsi="Tahoma" w:cs="Tahoma"/>
          <w:b/>
          <w:bCs/>
          <w:u w:val="single"/>
          <w:lang w:eastAsia="x-none"/>
        </w:rPr>
        <w:t xml:space="preserve">. This includes connecting to a central management system using OCPP </w:t>
      </w:r>
      <w:r w:rsidR="009652D7" w:rsidRPr="00622282">
        <w:rPr>
          <w:rFonts w:ascii="Tahoma" w:hAnsi="Tahoma" w:cs="Tahoma"/>
          <w:b/>
          <w:bCs/>
          <w:u w:val="single"/>
          <w:lang w:eastAsia="x-none"/>
        </w:rPr>
        <w:lastRenderedPageBreak/>
        <w:t xml:space="preserve">2.0.1 or later for the purposes of reliability data reporting </w:t>
      </w:r>
      <w:r w:rsidR="009652D7" w:rsidRPr="00622282">
        <w:rPr>
          <w:rFonts w:ascii="Tahoma" w:hAnsi="Tahoma" w:cs="Tahoma"/>
          <w:b/>
          <w:bCs/>
          <w:i/>
          <w:iCs/>
          <w:u w:val="single"/>
          <w:lang w:eastAsia="x-none"/>
        </w:rPr>
        <w:t>for applicable charging ports</w:t>
      </w:r>
      <w:r w:rsidR="009652D7" w:rsidRPr="00622282">
        <w:rPr>
          <w:rFonts w:ascii="Tahoma" w:hAnsi="Tahoma" w:cs="Tahoma"/>
          <w:b/>
          <w:bCs/>
          <w:u w:val="single"/>
          <w:lang w:eastAsia="x-none"/>
        </w:rPr>
        <w:t>.</w:t>
      </w:r>
      <w:r w:rsidR="009652D7">
        <w:rPr>
          <w:rStyle w:val="normaltextrun"/>
          <w:rFonts w:ascii="Tahoma" w:hAnsi="Tahoma" w:cs="Tahoma"/>
        </w:rPr>
        <w:t> </w:t>
      </w:r>
      <w:r w:rsidR="009652D7">
        <w:rPr>
          <w:rStyle w:val="eop"/>
          <w:rFonts w:ascii="Tahoma" w:hAnsi="Tahoma" w:cs="Tahoma"/>
        </w:rPr>
        <w:t> </w:t>
      </w:r>
      <w:r w:rsidR="00B54FB4" w:rsidRPr="00B54FB4">
        <w:rPr>
          <w:rFonts w:ascii="Tahoma" w:eastAsia="Tahoma" w:hAnsi="Tahoma" w:cs="Tahoma"/>
          <w:b/>
          <w:bCs/>
          <w:color w:val="000000" w:themeColor="text1"/>
          <w:u w:val="single"/>
        </w:rPr>
        <w:t xml:space="preserve">Please see Addendum </w:t>
      </w:r>
      <w:r w:rsidR="00B54FB4">
        <w:rPr>
          <w:rFonts w:ascii="Tahoma" w:eastAsia="Tahoma" w:hAnsi="Tahoma" w:cs="Tahoma"/>
          <w:b/>
          <w:bCs/>
          <w:color w:val="000000" w:themeColor="text1"/>
          <w:u w:val="single"/>
        </w:rPr>
        <w:t>7</w:t>
      </w:r>
      <w:r w:rsidR="00B54FB4" w:rsidRPr="00B54FB4">
        <w:rPr>
          <w:rFonts w:ascii="Tahoma" w:eastAsia="Tahoma" w:hAnsi="Tahoma" w:cs="Tahoma"/>
          <w:b/>
          <w:bCs/>
          <w:color w:val="000000" w:themeColor="text1"/>
          <w:u w:val="single"/>
        </w:rPr>
        <w:t>.</w:t>
      </w:r>
    </w:p>
    <w:p w14:paraId="110757C4" w14:textId="7552C56D" w:rsidR="5287AEDF" w:rsidRDefault="5287AEDF" w:rsidP="5287AEDF">
      <w:pPr>
        <w:ind w:left="2160" w:hanging="720"/>
        <w:rPr>
          <w:rFonts w:ascii="Tahoma" w:hAnsi="Tahoma" w:cs="Tahoma"/>
        </w:rPr>
      </w:pPr>
    </w:p>
    <w:p w14:paraId="5E3F4719" w14:textId="77777777" w:rsidR="00C54D8E" w:rsidRPr="00895B3D" w:rsidRDefault="00C54D8E" w:rsidP="00C54D8E">
      <w:pPr>
        <w:ind w:left="2160" w:hanging="720"/>
        <w:rPr>
          <w:rFonts w:ascii="Tahoma" w:eastAsia="Tahoma" w:hAnsi="Tahoma" w:cs="Tahoma"/>
          <w:b/>
          <w:bCs/>
          <w:color w:val="000000" w:themeColor="text1"/>
          <w:u w:val="single"/>
        </w:rPr>
      </w:pPr>
      <w:r w:rsidRPr="00895B3D">
        <w:rPr>
          <w:rFonts w:ascii="Tahoma" w:eastAsia="Tahoma" w:hAnsi="Tahoma" w:cs="Tahoma"/>
          <w:b/>
          <w:bCs/>
          <w:color w:val="000000" w:themeColor="text1"/>
          <w:u w:val="single"/>
        </w:rPr>
        <w:t>Q54.</w:t>
      </w:r>
      <w:r>
        <w:rPr>
          <w:rFonts w:ascii="Tahoma" w:eastAsia="Tahoma" w:hAnsi="Tahoma" w:cs="Tahoma"/>
          <w:b/>
          <w:bCs/>
          <w:color w:val="000000" w:themeColor="text1"/>
          <w:u w:val="single"/>
        </w:rPr>
        <w:tab/>
      </w:r>
      <w:r w:rsidRPr="00895B3D">
        <w:rPr>
          <w:rFonts w:ascii="Tahoma" w:eastAsia="Tahoma" w:hAnsi="Tahoma" w:cs="Tahoma"/>
          <w:b/>
          <w:bCs/>
          <w:color w:val="000000" w:themeColor="text1"/>
          <w:u w:val="single"/>
        </w:rPr>
        <w:t>Are forklifts on-road vehicles?</w:t>
      </w:r>
    </w:p>
    <w:p w14:paraId="3C976618" w14:textId="77777777" w:rsidR="00C54D8E" w:rsidRPr="00895B3D" w:rsidRDefault="00C54D8E" w:rsidP="00C54D8E">
      <w:pPr>
        <w:ind w:left="2160" w:hanging="720"/>
        <w:rPr>
          <w:rFonts w:ascii="Tahoma" w:eastAsia="Tahoma" w:hAnsi="Tahoma" w:cs="Tahoma"/>
          <w:b/>
          <w:bCs/>
          <w:color w:val="000000" w:themeColor="text1"/>
          <w:u w:val="single"/>
        </w:rPr>
      </w:pPr>
    </w:p>
    <w:p w14:paraId="173482A9" w14:textId="77777777" w:rsidR="00C54D8E" w:rsidRPr="00895B3D" w:rsidRDefault="00C54D8E" w:rsidP="00C54D8E">
      <w:pPr>
        <w:ind w:left="2160" w:hanging="720"/>
        <w:rPr>
          <w:rFonts w:ascii="Tahoma" w:eastAsia="Tahoma" w:hAnsi="Tahoma" w:cs="Tahoma"/>
          <w:b/>
          <w:bCs/>
          <w:color w:val="000000" w:themeColor="text1"/>
          <w:u w:val="single"/>
        </w:rPr>
      </w:pPr>
      <w:r w:rsidRPr="00895B3D">
        <w:rPr>
          <w:rFonts w:ascii="Tahoma" w:eastAsia="Tahoma" w:hAnsi="Tahoma" w:cs="Tahoma"/>
          <w:b/>
          <w:bCs/>
          <w:color w:val="000000" w:themeColor="text1"/>
          <w:u w:val="single"/>
        </w:rPr>
        <w:t>A54.</w:t>
      </w:r>
      <w:r>
        <w:rPr>
          <w:rFonts w:ascii="Tahoma" w:eastAsia="Tahoma" w:hAnsi="Tahoma" w:cs="Tahoma"/>
          <w:b/>
          <w:bCs/>
          <w:color w:val="000000" w:themeColor="text1"/>
          <w:u w:val="single"/>
        </w:rPr>
        <w:tab/>
      </w:r>
      <w:r w:rsidRPr="00895B3D">
        <w:rPr>
          <w:rFonts w:ascii="Tahoma" w:eastAsia="Tahoma" w:hAnsi="Tahoma" w:cs="Tahoma"/>
          <w:b/>
          <w:bCs/>
          <w:color w:val="000000" w:themeColor="text1"/>
          <w:u w:val="single"/>
        </w:rPr>
        <w:t>No, forklifts are not considered on-road vehicles. On-road vehicles are vehicles that are intended by their manufacturer for use on public highways. On-road vehicles must be certified by their manufacturer with the U.S. Department of Transportation (DOT), National Highway Traffic Safety Administration (NHTSA), as compliant with on-highway safety standards as well as certified to all applicable ARB and U.S. EPA on-road emission standards. Compliance with these standards is indicated by separate safety and emissions labels on the vehicle.</w:t>
      </w:r>
    </w:p>
    <w:p w14:paraId="54853C00" w14:textId="77777777" w:rsidR="00C54D8E" w:rsidRDefault="00C54D8E" w:rsidP="00C54D8E">
      <w:pPr>
        <w:ind w:left="2160" w:hanging="720"/>
        <w:rPr>
          <w:rFonts w:ascii="Tahoma" w:eastAsia="Tahoma" w:hAnsi="Tahoma" w:cs="Tahoma"/>
          <w:b/>
          <w:bCs/>
          <w:color w:val="000000" w:themeColor="text1"/>
          <w:u w:val="single"/>
        </w:rPr>
      </w:pPr>
    </w:p>
    <w:p w14:paraId="165BA518" w14:textId="77777777" w:rsidR="00C54D8E" w:rsidRPr="00490329" w:rsidRDefault="00C54D8E" w:rsidP="00C54D8E">
      <w:pPr>
        <w:ind w:left="2160" w:hanging="720"/>
        <w:rPr>
          <w:rFonts w:ascii="Tahoma" w:eastAsia="Tahoma" w:hAnsi="Tahoma" w:cs="Tahoma"/>
          <w:b/>
          <w:bCs/>
          <w:color w:val="000000" w:themeColor="text1"/>
          <w:u w:val="single"/>
        </w:rPr>
      </w:pPr>
      <w:r w:rsidRPr="00490329">
        <w:rPr>
          <w:rFonts w:ascii="Tahoma" w:eastAsia="Tahoma" w:hAnsi="Tahoma" w:cs="Tahoma"/>
          <w:b/>
          <w:bCs/>
          <w:color w:val="000000" w:themeColor="text1"/>
          <w:u w:val="single"/>
        </w:rPr>
        <w:t>Q55.  We are in the process of acquiring a site that could be used to qualify for this project. If land ownership were imminent in the near future, could this be used to make the site eligible under this grant's definition of "Site control"? (We'd likely take ownership by the time the awards are made.)</w:t>
      </w:r>
    </w:p>
    <w:p w14:paraId="54D93C12" w14:textId="77777777" w:rsidR="00C54D8E" w:rsidRPr="00490329" w:rsidRDefault="00C54D8E" w:rsidP="00C54D8E">
      <w:pPr>
        <w:ind w:left="2160" w:hanging="720"/>
        <w:rPr>
          <w:rFonts w:ascii="Tahoma" w:eastAsia="Tahoma" w:hAnsi="Tahoma" w:cs="Tahoma"/>
          <w:b/>
          <w:bCs/>
          <w:color w:val="000000" w:themeColor="text1"/>
          <w:u w:val="single"/>
        </w:rPr>
      </w:pPr>
    </w:p>
    <w:p w14:paraId="2CE25AC7" w14:textId="77777777" w:rsidR="00C54D8E" w:rsidRDefault="00C54D8E" w:rsidP="00C54D8E">
      <w:pPr>
        <w:ind w:left="2160" w:hanging="720"/>
        <w:rPr>
          <w:rFonts w:ascii="Tahoma" w:eastAsia="Tahoma" w:hAnsi="Tahoma" w:cs="Tahoma"/>
          <w:b/>
          <w:bCs/>
          <w:color w:val="000000" w:themeColor="text1"/>
          <w:u w:val="single"/>
        </w:rPr>
      </w:pPr>
      <w:r w:rsidRPr="00490329">
        <w:rPr>
          <w:rFonts w:ascii="Tahoma" w:eastAsia="Tahoma" w:hAnsi="Tahoma" w:cs="Tahoma"/>
          <w:b/>
          <w:bCs/>
          <w:color w:val="000000" w:themeColor="text1"/>
          <w:u w:val="single"/>
        </w:rPr>
        <w:t>A55.  Site ownership is not required for this solicitation. However, site control will be evaluated under the Project Readiness/Implementation evaluation criterion. Projects will be scored on the degree to which site control is secured, viable back-up sites have been identified, and a sufficient plan for managing site or site host changes is provided. </w:t>
      </w:r>
    </w:p>
    <w:p w14:paraId="03F99DEC" w14:textId="77777777" w:rsidR="00BB27DD" w:rsidRDefault="00BB27DD" w:rsidP="00C54D8E">
      <w:pPr>
        <w:ind w:left="2160" w:hanging="720"/>
        <w:rPr>
          <w:rFonts w:ascii="Tahoma" w:eastAsia="Tahoma" w:hAnsi="Tahoma" w:cs="Tahoma"/>
          <w:b/>
          <w:bCs/>
          <w:color w:val="000000" w:themeColor="text1"/>
          <w:u w:val="single"/>
        </w:rPr>
      </w:pPr>
    </w:p>
    <w:p w14:paraId="443E3036" w14:textId="45A4A728" w:rsidR="00BB27DD" w:rsidRPr="00BB27DD" w:rsidRDefault="00BB27DD" w:rsidP="00BB27DD">
      <w:pPr>
        <w:ind w:left="2160" w:hanging="720"/>
        <w:rPr>
          <w:rFonts w:ascii="Tahoma" w:eastAsia="Tahoma" w:hAnsi="Tahoma" w:cs="Tahoma"/>
          <w:b/>
          <w:bCs/>
          <w:color w:val="000000" w:themeColor="text1"/>
          <w:u w:val="single"/>
        </w:rPr>
      </w:pPr>
      <w:r w:rsidRPr="00BB27DD">
        <w:rPr>
          <w:rFonts w:ascii="Tahoma" w:eastAsia="Tahoma" w:hAnsi="Tahoma" w:cs="Tahoma"/>
          <w:b/>
          <w:bCs/>
          <w:color w:val="000000" w:themeColor="text1"/>
          <w:u w:val="single"/>
        </w:rPr>
        <w:t>Q56.</w:t>
      </w:r>
      <w:r>
        <w:tab/>
      </w:r>
      <w:r w:rsidRPr="00BB27DD">
        <w:rPr>
          <w:rFonts w:ascii="Tahoma" w:eastAsia="Tahoma" w:hAnsi="Tahoma" w:cs="Tahoma"/>
          <w:b/>
          <w:bCs/>
          <w:color w:val="000000" w:themeColor="text1"/>
          <w:u w:val="single"/>
        </w:rPr>
        <w:t>Could you please clarify the data</w:t>
      </w:r>
      <w:r w:rsidR="3FFD651B" w:rsidRPr="4A39EE59">
        <w:rPr>
          <w:rFonts w:ascii="Tahoma" w:eastAsia="Tahoma" w:hAnsi="Tahoma" w:cs="Tahoma"/>
          <w:b/>
          <w:bCs/>
          <w:color w:val="000000" w:themeColor="text1"/>
          <w:u w:val="single"/>
        </w:rPr>
        <w:t xml:space="preserve"> </w:t>
      </w:r>
      <w:r w:rsidRPr="00BB27DD">
        <w:rPr>
          <w:rFonts w:ascii="Tahoma" w:eastAsia="Tahoma" w:hAnsi="Tahoma" w:cs="Tahoma"/>
          <w:b/>
          <w:bCs/>
          <w:color w:val="000000" w:themeColor="text1"/>
          <w:u w:val="single"/>
        </w:rPr>
        <w:t>collection requirements and associated timelines in the solicitation? Is the 12‑month data</w:t>
      </w:r>
      <w:r w:rsidR="1D717F31" w:rsidRPr="4A39EE59">
        <w:rPr>
          <w:rFonts w:ascii="Tahoma" w:eastAsia="Tahoma" w:hAnsi="Tahoma" w:cs="Tahoma"/>
          <w:b/>
          <w:bCs/>
          <w:color w:val="000000" w:themeColor="text1"/>
          <w:u w:val="single"/>
        </w:rPr>
        <w:t xml:space="preserve"> </w:t>
      </w:r>
      <w:r w:rsidRPr="00BB27DD">
        <w:rPr>
          <w:rFonts w:ascii="Tahoma" w:eastAsia="Tahoma" w:hAnsi="Tahoma" w:cs="Tahoma"/>
          <w:b/>
          <w:bCs/>
          <w:color w:val="000000" w:themeColor="text1"/>
          <w:u w:val="single"/>
        </w:rPr>
        <w:t>collection requirement intended to be part of this three‑year utilization requirement? Can you confirm whether either the 12‑month or the three‑year data</w:t>
      </w:r>
      <w:r w:rsidR="4C55B81D" w:rsidRPr="4A39EE59">
        <w:rPr>
          <w:rFonts w:ascii="Tahoma" w:eastAsia="Tahoma" w:hAnsi="Tahoma" w:cs="Tahoma"/>
          <w:b/>
          <w:bCs/>
          <w:color w:val="000000" w:themeColor="text1"/>
          <w:u w:val="single"/>
        </w:rPr>
        <w:t xml:space="preserve"> </w:t>
      </w:r>
      <w:r w:rsidRPr="00BB27DD">
        <w:rPr>
          <w:rFonts w:ascii="Tahoma" w:eastAsia="Tahoma" w:hAnsi="Tahoma" w:cs="Tahoma"/>
          <w:b/>
          <w:bCs/>
          <w:color w:val="000000" w:themeColor="text1"/>
          <w:u w:val="single"/>
        </w:rPr>
        <w:t xml:space="preserve">collection milestones must be included in the Schedule of Products and </w:t>
      </w:r>
      <w:r w:rsidR="4214592C" w:rsidRPr="4A39EE59">
        <w:rPr>
          <w:rFonts w:ascii="Tahoma" w:eastAsia="Tahoma" w:hAnsi="Tahoma" w:cs="Tahoma"/>
          <w:b/>
          <w:bCs/>
          <w:color w:val="000000" w:themeColor="text1"/>
          <w:u w:val="single"/>
        </w:rPr>
        <w:t xml:space="preserve">Due Dates </w:t>
      </w:r>
      <w:r w:rsidRPr="4A39EE59">
        <w:rPr>
          <w:rFonts w:ascii="Tahoma" w:eastAsia="Tahoma" w:hAnsi="Tahoma" w:cs="Tahoma"/>
          <w:b/>
          <w:bCs/>
          <w:color w:val="000000" w:themeColor="text1"/>
          <w:u w:val="single"/>
        </w:rPr>
        <w:t xml:space="preserve">and </w:t>
      </w:r>
      <w:r w:rsidRPr="00BB27DD">
        <w:rPr>
          <w:rFonts w:ascii="Tahoma" w:eastAsia="Tahoma" w:hAnsi="Tahoma" w:cs="Tahoma"/>
          <w:b/>
          <w:bCs/>
          <w:color w:val="000000" w:themeColor="text1"/>
          <w:u w:val="single"/>
        </w:rPr>
        <w:t>therefore completed before June 30, 2029?</w:t>
      </w:r>
    </w:p>
    <w:p w14:paraId="3DC4D8FB" w14:textId="6D8F80AA" w:rsidR="00BB27DD" w:rsidRPr="00BB27DD" w:rsidRDefault="00BB27DD" w:rsidP="00BB27DD">
      <w:pPr>
        <w:ind w:left="2160" w:hanging="720"/>
        <w:rPr>
          <w:rFonts w:ascii="Tahoma" w:eastAsia="Tahoma" w:hAnsi="Tahoma" w:cs="Tahoma"/>
          <w:b/>
          <w:bCs/>
          <w:color w:val="000000" w:themeColor="text1"/>
          <w:u w:val="single"/>
        </w:rPr>
      </w:pPr>
    </w:p>
    <w:p w14:paraId="59AFCF1A" w14:textId="67CCA409" w:rsidR="00BB27DD" w:rsidRPr="00BB27DD" w:rsidRDefault="00BB27DD" w:rsidP="00BB27DD">
      <w:pPr>
        <w:ind w:left="2160" w:hanging="720"/>
        <w:rPr>
          <w:rFonts w:ascii="Tahoma" w:eastAsia="Tahoma" w:hAnsi="Tahoma" w:cs="Tahoma"/>
          <w:b/>
          <w:bCs/>
          <w:color w:val="000000" w:themeColor="text1"/>
          <w:u w:val="single"/>
        </w:rPr>
      </w:pPr>
      <w:r w:rsidRPr="00BB27DD">
        <w:rPr>
          <w:rFonts w:ascii="Tahoma" w:eastAsia="Tahoma" w:hAnsi="Tahoma" w:cs="Tahoma"/>
          <w:b/>
          <w:bCs/>
          <w:color w:val="000000" w:themeColor="text1"/>
          <w:u w:val="single"/>
        </w:rPr>
        <w:t>A56.</w:t>
      </w:r>
      <w:r>
        <w:tab/>
      </w:r>
      <w:r w:rsidRPr="00BB27DD">
        <w:rPr>
          <w:rFonts w:ascii="Tahoma" w:eastAsia="Tahoma" w:hAnsi="Tahoma" w:cs="Tahoma"/>
          <w:b/>
          <w:bCs/>
          <w:color w:val="000000" w:themeColor="text1"/>
          <w:u w:val="single"/>
        </w:rPr>
        <w:t>Applicants must collect a minimum of 12 months of operations and utilization data within the agreement term, which must end no later than June 30, 2029. The full 12‑month data</w:t>
      </w:r>
      <w:r w:rsidR="390AC9E3" w:rsidRPr="4A39EE59">
        <w:rPr>
          <w:rFonts w:ascii="Tahoma" w:eastAsia="Tahoma" w:hAnsi="Tahoma" w:cs="Tahoma"/>
          <w:b/>
          <w:bCs/>
          <w:color w:val="000000" w:themeColor="text1"/>
          <w:u w:val="single"/>
        </w:rPr>
        <w:t xml:space="preserve"> </w:t>
      </w:r>
      <w:r w:rsidRPr="00BB27DD">
        <w:rPr>
          <w:rFonts w:ascii="Tahoma" w:eastAsia="Tahoma" w:hAnsi="Tahoma" w:cs="Tahoma"/>
          <w:b/>
          <w:bCs/>
          <w:color w:val="000000" w:themeColor="text1"/>
          <w:u w:val="single"/>
        </w:rPr>
        <w:t>collection period must be included in the Schedule of Products</w:t>
      </w:r>
      <w:r w:rsidR="169896C2" w:rsidRPr="4A39EE59">
        <w:rPr>
          <w:rFonts w:ascii="Tahoma" w:eastAsia="Tahoma" w:hAnsi="Tahoma" w:cs="Tahoma"/>
          <w:b/>
          <w:bCs/>
          <w:color w:val="000000" w:themeColor="text1"/>
          <w:u w:val="single"/>
        </w:rPr>
        <w:t xml:space="preserve"> and Due Dates</w:t>
      </w:r>
      <w:r w:rsidRPr="00BB27DD">
        <w:rPr>
          <w:rFonts w:ascii="Tahoma" w:eastAsia="Tahoma" w:hAnsi="Tahoma" w:cs="Tahoma"/>
          <w:b/>
          <w:bCs/>
          <w:color w:val="000000" w:themeColor="text1"/>
          <w:u w:val="single"/>
        </w:rPr>
        <w:t>.</w:t>
      </w:r>
    </w:p>
    <w:p w14:paraId="357E6B31" w14:textId="6C405FCD" w:rsidR="00BB27DD" w:rsidRPr="00BB27DD" w:rsidRDefault="00BB27DD" w:rsidP="4A39EE59">
      <w:pPr>
        <w:ind w:left="2160"/>
        <w:rPr>
          <w:rFonts w:ascii="Tahoma" w:eastAsia="Tahoma" w:hAnsi="Tahoma" w:cs="Tahoma"/>
          <w:b/>
          <w:bCs/>
          <w:color w:val="000000" w:themeColor="text1"/>
          <w:u w:val="single"/>
        </w:rPr>
      </w:pPr>
    </w:p>
    <w:p w14:paraId="26BA5507" w14:textId="25001E56" w:rsidR="00BB27DD" w:rsidRPr="00490329" w:rsidRDefault="00BB27DD" w:rsidP="00BB27DD">
      <w:pPr>
        <w:ind w:left="2160"/>
        <w:rPr>
          <w:rFonts w:ascii="Tahoma" w:eastAsia="Tahoma" w:hAnsi="Tahoma" w:cs="Tahoma"/>
          <w:b/>
          <w:bCs/>
          <w:color w:val="000000" w:themeColor="text1"/>
          <w:u w:val="single"/>
        </w:rPr>
      </w:pPr>
      <w:r w:rsidRPr="00BB27DD">
        <w:rPr>
          <w:rFonts w:ascii="Tahoma" w:eastAsia="Tahoma" w:hAnsi="Tahoma" w:cs="Tahoma"/>
          <w:b/>
          <w:bCs/>
          <w:color w:val="000000" w:themeColor="text1"/>
          <w:u w:val="single"/>
        </w:rPr>
        <w:t xml:space="preserve">The required 12 months of data collection is part of the broader three‑year utilization reporting requirement described under the </w:t>
      </w:r>
      <w:r w:rsidRPr="00BB27DD">
        <w:rPr>
          <w:rFonts w:ascii="Tahoma" w:eastAsia="Tahoma" w:hAnsi="Tahoma" w:cs="Tahoma"/>
          <w:b/>
          <w:bCs/>
          <w:color w:val="000000" w:themeColor="text1"/>
          <w:u w:val="single"/>
        </w:rPr>
        <w:lastRenderedPageBreak/>
        <w:t>Utilization task in the Scope of Work. Although the full three years of reporting extends beyond the agreement term, applicants must ensure that at least the first 12 months of data collection and reporting occur before the agreement end date and are reflected in the Schedule of Products</w:t>
      </w:r>
      <w:r w:rsidR="34E88639" w:rsidRPr="4A39EE59">
        <w:rPr>
          <w:rFonts w:ascii="Tahoma" w:eastAsia="Tahoma" w:hAnsi="Tahoma" w:cs="Tahoma"/>
          <w:b/>
          <w:bCs/>
          <w:color w:val="000000" w:themeColor="text1"/>
          <w:u w:val="single"/>
        </w:rPr>
        <w:t xml:space="preserve"> and Due Dates</w:t>
      </w:r>
      <w:r w:rsidRPr="4A39EE59">
        <w:rPr>
          <w:rFonts w:ascii="Tahoma" w:eastAsia="Tahoma" w:hAnsi="Tahoma" w:cs="Tahoma"/>
          <w:b/>
          <w:bCs/>
          <w:color w:val="000000" w:themeColor="text1"/>
          <w:u w:val="single"/>
        </w:rPr>
        <w:t>.</w:t>
      </w:r>
    </w:p>
    <w:p w14:paraId="0C97A734" w14:textId="2BA71931" w:rsidR="009771DF" w:rsidRDefault="009771DF" w:rsidP="6510866E">
      <w:pPr>
        <w:pStyle w:val="paragraph"/>
        <w:spacing w:before="0" w:beforeAutospacing="0" w:after="0" w:afterAutospacing="0"/>
        <w:textAlignment w:val="baseline"/>
        <w:rPr>
          <w:rStyle w:val="normaltextrun"/>
          <w:rFonts w:ascii="Tahoma" w:hAnsi="Tahoma" w:cs="Tahoma"/>
          <w:b/>
          <w:bCs/>
        </w:rPr>
      </w:pPr>
    </w:p>
    <w:p w14:paraId="707DD738" w14:textId="77777777" w:rsidR="009771DF" w:rsidRPr="00FE7A15" w:rsidRDefault="009771DF" w:rsidP="009771DF">
      <w:pPr>
        <w:pStyle w:val="paragraph"/>
        <w:spacing w:before="0" w:beforeAutospacing="0" w:after="0" w:afterAutospacing="0"/>
        <w:textAlignment w:val="baseline"/>
        <w:rPr>
          <w:rStyle w:val="normaltextrun"/>
          <w:rFonts w:ascii="Tahoma" w:hAnsi="Tahoma" w:cs="Tahoma"/>
          <w:b/>
          <w:bCs/>
        </w:rPr>
      </w:pPr>
    </w:p>
    <w:p w14:paraId="1C8CDCD8" w14:textId="77777777" w:rsidR="00FE7A15" w:rsidRDefault="00FE7A15" w:rsidP="00FC47C1">
      <w:pPr>
        <w:pStyle w:val="paragraph"/>
        <w:spacing w:before="0" w:beforeAutospacing="0" w:after="0" w:afterAutospacing="0"/>
        <w:textAlignment w:val="baseline"/>
        <w:rPr>
          <w:rFonts w:ascii="Segoe UI" w:hAnsi="Segoe UI" w:cs="Segoe UI"/>
          <w:sz w:val="18"/>
          <w:szCs w:val="18"/>
        </w:rPr>
      </w:pPr>
    </w:p>
    <w:p w14:paraId="3EC889F3" w14:textId="77777777" w:rsidR="00FC47C1" w:rsidRDefault="00FC47C1" w:rsidP="00FC47C1">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rPr>
        <w:t>Brad Worster</w:t>
      </w:r>
      <w:r>
        <w:rPr>
          <w:rStyle w:val="eop"/>
          <w:rFonts w:ascii="Tahoma" w:hAnsi="Tahoma" w:cs="Tahoma"/>
        </w:rPr>
        <w:t> </w:t>
      </w:r>
    </w:p>
    <w:p w14:paraId="2E610DEA" w14:textId="77777777" w:rsidR="00FC47C1" w:rsidRDefault="00FC47C1" w:rsidP="00FC47C1">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rPr>
        <w:t>Commission Agreement Officer</w:t>
      </w:r>
      <w:r>
        <w:rPr>
          <w:rStyle w:val="eop"/>
          <w:rFonts w:ascii="Tahoma" w:hAnsi="Tahoma" w:cs="Tahoma"/>
        </w:rPr>
        <w:t> </w:t>
      </w:r>
    </w:p>
    <w:p w14:paraId="6AEDE6BC" w14:textId="40F7F99A" w:rsidR="00E74FF1" w:rsidRPr="00FC47C1" w:rsidRDefault="00E74FF1" w:rsidP="00FC47C1">
      <w:pPr>
        <w:rPr>
          <w:rStyle w:val="eop"/>
        </w:rPr>
      </w:pPr>
    </w:p>
    <w:sectPr w:rsidR="00E74FF1" w:rsidRPr="00FC47C1" w:rsidSect="001867A7">
      <w:headerReference w:type="default" r:id="rId14"/>
      <w:footerReference w:type="default" r:id="rId15"/>
      <w:headerReference w:type="first" r:id="rId16"/>
      <w:footerReference w:type="first" r:id="rId17"/>
      <w:pgSz w:w="12240" w:h="15840"/>
      <w:pgMar w:top="1440" w:right="1080" w:bottom="1440" w:left="1080" w:header="540"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A8EE1" w14:textId="77777777" w:rsidR="0015243A" w:rsidRDefault="0015243A" w:rsidP="00F86D2B">
      <w:r>
        <w:separator/>
      </w:r>
    </w:p>
  </w:endnote>
  <w:endnote w:type="continuationSeparator" w:id="0">
    <w:p w14:paraId="213A39F5" w14:textId="77777777" w:rsidR="0015243A" w:rsidRDefault="0015243A" w:rsidP="00F86D2B">
      <w:r>
        <w:continuationSeparator/>
      </w:r>
    </w:p>
  </w:endnote>
  <w:endnote w:type="continuationNotice" w:id="1">
    <w:p w14:paraId="70A80928" w14:textId="77777777" w:rsidR="0015243A" w:rsidRDefault="00152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D7C6706" w14:paraId="4DCC657B" w14:textId="77777777" w:rsidTr="4D7C6706">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00B11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1014708470" name="Picture 1014708470"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C0889" w14:textId="77777777" w:rsidR="0015243A" w:rsidRDefault="0015243A" w:rsidP="00F86D2B">
      <w:r>
        <w:separator/>
      </w:r>
    </w:p>
  </w:footnote>
  <w:footnote w:type="continuationSeparator" w:id="0">
    <w:p w14:paraId="533BC29C" w14:textId="77777777" w:rsidR="0015243A" w:rsidRDefault="0015243A" w:rsidP="00F86D2B">
      <w:r>
        <w:continuationSeparator/>
      </w:r>
    </w:p>
  </w:footnote>
  <w:footnote w:type="continuationNotice" w:id="1">
    <w:p w14:paraId="10F635A4" w14:textId="77777777" w:rsidR="0015243A" w:rsidRDefault="00152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1A41DC84" w:rsidR="00C01C97" w:rsidRDefault="008E2CB5" w:rsidP="0098590A">
    <w:pPr>
      <w:pStyle w:val="Header"/>
      <w:ind w:hanging="1350"/>
      <w:jc w:val="center"/>
    </w:pPr>
    <w:r>
      <w:rPr>
        <w:noProof/>
      </w:rPr>
      <w:drawing>
        <wp:inline distT="0" distB="0" distL="0" distR="0" wp14:anchorId="3553AE80" wp14:editId="00DF9776">
          <wp:extent cx="7174950" cy="822960"/>
          <wp:effectExtent l="0" t="0" r="0" b="0"/>
          <wp:docPr id="788030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309"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7174950" cy="822960"/>
                  </a:xfrm>
                  <a:prstGeom prst="rect">
                    <a:avLst/>
                  </a:prstGeom>
                </pic:spPr>
              </pic:pic>
            </a:graphicData>
          </a:graphic>
        </wp:inline>
      </w:drawing>
    </w:r>
  </w:p>
  <w:p w14:paraId="0CC19A77" w14:textId="6FDBADCD" w:rsidR="00E210F6" w:rsidRDefault="00E210F6" w:rsidP="002D11A5">
    <w:pPr>
      <w:pStyle w:val="Header"/>
      <w:ind w:hanging="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1EE"/>
    <w:multiLevelType w:val="hybridMultilevel"/>
    <w:tmpl w:val="F25A2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014CC"/>
    <w:multiLevelType w:val="multilevel"/>
    <w:tmpl w:val="DBB688B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6C7DC2"/>
    <w:multiLevelType w:val="multilevel"/>
    <w:tmpl w:val="CD62DC64"/>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37D5296E"/>
    <w:multiLevelType w:val="multilevel"/>
    <w:tmpl w:val="A3B265E0"/>
    <w:lvl w:ilvl="0">
      <w:start w:val="6"/>
      <w:numFmt w:val="decimal"/>
      <w:lvlText w:val="%1."/>
      <w:lvlJc w:val="left"/>
      <w:pPr>
        <w:tabs>
          <w:tab w:val="num" w:pos="720"/>
        </w:tabs>
        <w:ind w:left="720" w:hanging="360"/>
      </w:pPr>
      <w:rPr>
        <w:rFonts w:ascii="Tahoma" w:hAnsi="Tahoma" w:cs="Tahoma" w:hint="default"/>
        <w:b w:val="0"/>
        <w:bCs w:val="0"/>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447C0B3F"/>
    <w:multiLevelType w:val="hybridMultilevel"/>
    <w:tmpl w:val="E74CD7D8"/>
    <w:lvl w:ilvl="0" w:tplc="19EE1F94">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BFA6CA2"/>
    <w:multiLevelType w:val="multilevel"/>
    <w:tmpl w:val="AD6217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7967B7"/>
    <w:multiLevelType w:val="multilevel"/>
    <w:tmpl w:val="2AEE35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A04995"/>
    <w:multiLevelType w:val="multilevel"/>
    <w:tmpl w:val="5318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AA1133"/>
    <w:multiLevelType w:val="multilevel"/>
    <w:tmpl w:val="E6BAF600"/>
    <w:lvl w:ilvl="0">
      <w:start w:val="5"/>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9" w15:restartNumberingAfterBreak="0">
    <w:nsid w:val="79464DD7"/>
    <w:multiLevelType w:val="hybridMultilevel"/>
    <w:tmpl w:val="E864E8C0"/>
    <w:lvl w:ilvl="0" w:tplc="6D14F63A">
      <w:start w:val="1"/>
      <w:numFmt w:val="bullet"/>
      <w:lvlText w:val="·"/>
      <w:lvlJc w:val="left"/>
      <w:pPr>
        <w:tabs>
          <w:tab w:val="num" w:pos="720"/>
        </w:tabs>
        <w:ind w:left="720" w:hanging="360"/>
      </w:pPr>
      <w:rPr>
        <w:rFonts w:ascii="Symbol" w:hAnsi="Symbol" w:hint="default"/>
        <w:sz w:val="20"/>
      </w:rPr>
    </w:lvl>
    <w:lvl w:ilvl="1" w:tplc="ADE6BE90" w:tentative="1">
      <w:start w:val="1"/>
      <w:numFmt w:val="bullet"/>
      <w:lvlText w:val=""/>
      <w:lvlJc w:val="left"/>
      <w:pPr>
        <w:tabs>
          <w:tab w:val="num" w:pos="1440"/>
        </w:tabs>
        <w:ind w:left="1440" w:hanging="360"/>
      </w:pPr>
      <w:rPr>
        <w:rFonts w:ascii="Symbol" w:hAnsi="Symbol" w:hint="default"/>
        <w:sz w:val="20"/>
      </w:rPr>
    </w:lvl>
    <w:lvl w:ilvl="2" w:tplc="44863A7E" w:tentative="1">
      <w:start w:val="1"/>
      <w:numFmt w:val="bullet"/>
      <w:lvlText w:val=""/>
      <w:lvlJc w:val="left"/>
      <w:pPr>
        <w:tabs>
          <w:tab w:val="num" w:pos="2160"/>
        </w:tabs>
        <w:ind w:left="2160" w:hanging="360"/>
      </w:pPr>
      <w:rPr>
        <w:rFonts w:ascii="Symbol" w:hAnsi="Symbol" w:hint="default"/>
        <w:sz w:val="20"/>
      </w:rPr>
    </w:lvl>
    <w:lvl w:ilvl="3" w:tplc="8244CE3C" w:tentative="1">
      <w:start w:val="1"/>
      <w:numFmt w:val="bullet"/>
      <w:lvlText w:val=""/>
      <w:lvlJc w:val="left"/>
      <w:pPr>
        <w:tabs>
          <w:tab w:val="num" w:pos="2880"/>
        </w:tabs>
        <w:ind w:left="2880" w:hanging="360"/>
      </w:pPr>
      <w:rPr>
        <w:rFonts w:ascii="Symbol" w:hAnsi="Symbol" w:hint="default"/>
        <w:sz w:val="20"/>
      </w:rPr>
    </w:lvl>
    <w:lvl w:ilvl="4" w:tplc="5AD290B2" w:tentative="1">
      <w:start w:val="1"/>
      <w:numFmt w:val="bullet"/>
      <w:lvlText w:val=""/>
      <w:lvlJc w:val="left"/>
      <w:pPr>
        <w:tabs>
          <w:tab w:val="num" w:pos="3600"/>
        </w:tabs>
        <w:ind w:left="3600" w:hanging="360"/>
      </w:pPr>
      <w:rPr>
        <w:rFonts w:ascii="Symbol" w:hAnsi="Symbol" w:hint="default"/>
        <w:sz w:val="20"/>
      </w:rPr>
    </w:lvl>
    <w:lvl w:ilvl="5" w:tplc="6F80EACE" w:tentative="1">
      <w:start w:val="1"/>
      <w:numFmt w:val="bullet"/>
      <w:lvlText w:val=""/>
      <w:lvlJc w:val="left"/>
      <w:pPr>
        <w:tabs>
          <w:tab w:val="num" w:pos="4320"/>
        </w:tabs>
        <w:ind w:left="4320" w:hanging="360"/>
      </w:pPr>
      <w:rPr>
        <w:rFonts w:ascii="Symbol" w:hAnsi="Symbol" w:hint="default"/>
        <w:sz w:val="20"/>
      </w:rPr>
    </w:lvl>
    <w:lvl w:ilvl="6" w:tplc="860CF892" w:tentative="1">
      <w:start w:val="1"/>
      <w:numFmt w:val="bullet"/>
      <w:lvlText w:val=""/>
      <w:lvlJc w:val="left"/>
      <w:pPr>
        <w:tabs>
          <w:tab w:val="num" w:pos="5040"/>
        </w:tabs>
        <w:ind w:left="5040" w:hanging="360"/>
      </w:pPr>
      <w:rPr>
        <w:rFonts w:ascii="Symbol" w:hAnsi="Symbol" w:hint="default"/>
        <w:sz w:val="20"/>
      </w:rPr>
    </w:lvl>
    <w:lvl w:ilvl="7" w:tplc="A30A6516" w:tentative="1">
      <w:start w:val="1"/>
      <w:numFmt w:val="bullet"/>
      <w:lvlText w:val=""/>
      <w:lvlJc w:val="left"/>
      <w:pPr>
        <w:tabs>
          <w:tab w:val="num" w:pos="5760"/>
        </w:tabs>
        <w:ind w:left="5760" w:hanging="360"/>
      </w:pPr>
      <w:rPr>
        <w:rFonts w:ascii="Symbol" w:hAnsi="Symbol" w:hint="default"/>
        <w:sz w:val="20"/>
      </w:rPr>
    </w:lvl>
    <w:lvl w:ilvl="8" w:tplc="77685CAA"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595B9E"/>
    <w:multiLevelType w:val="multilevel"/>
    <w:tmpl w:val="2A9C05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1917120">
    <w:abstractNumId w:val="1"/>
  </w:num>
  <w:num w:numId="2" w16cid:durableId="1527866112">
    <w:abstractNumId w:val="10"/>
  </w:num>
  <w:num w:numId="3" w16cid:durableId="546382828">
    <w:abstractNumId w:val="6"/>
  </w:num>
  <w:num w:numId="4" w16cid:durableId="1468815440">
    <w:abstractNumId w:val="5"/>
  </w:num>
  <w:num w:numId="5" w16cid:durableId="435751938">
    <w:abstractNumId w:val="2"/>
  </w:num>
  <w:num w:numId="6" w16cid:durableId="2067951841">
    <w:abstractNumId w:val="8"/>
  </w:num>
  <w:num w:numId="7" w16cid:durableId="1360426619">
    <w:abstractNumId w:val="3"/>
  </w:num>
  <w:num w:numId="8" w16cid:durableId="1642884978">
    <w:abstractNumId w:val="4"/>
  </w:num>
  <w:num w:numId="9" w16cid:durableId="450586747">
    <w:abstractNumId w:val="0"/>
  </w:num>
  <w:num w:numId="10" w16cid:durableId="1649674097">
    <w:abstractNumId w:val="9"/>
  </w:num>
  <w:num w:numId="11" w16cid:durableId="83572887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5D84"/>
    <w:rsid w:val="00005DA1"/>
    <w:rsid w:val="000063B5"/>
    <w:rsid w:val="00006CBE"/>
    <w:rsid w:val="00007C86"/>
    <w:rsid w:val="00013BAA"/>
    <w:rsid w:val="0001408A"/>
    <w:rsid w:val="00015969"/>
    <w:rsid w:val="000203C2"/>
    <w:rsid w:val="0002369F"/>
    <w:rsid w:val="00027125"/>
    <w:rsid w:val="00035837"/>
    <w:rsid w:val="00035DE2"/>
    <w:rsid w:val="00037F66"/>
    <w:rsid w:val="0004705B"/>
    <w:rsid w:val="0004705D"/>
    <w:rsid w:val="0004779A"/>
    <w:rsid w:val="000557AC"/>
    <w:rsid w:val="00060591"/>
    <w:rsid w:val="00060A6F"/>
    <w:rsid w:val="000611BE"/>
    <w:rsid w:val="0006377F"/>
    <w:rsid w:val="00063941"/>
    <w:rsid w:val="00063B9D"/>
    <w:rsid w:val="000653A6"/>
    <w:rsid w:val="000705C3"/>
    <w:rsid w:val="00071316"/>
    <w:rsid w:val="00071594"/>
    <w:rsid w:val="000728DA"/>
    <w:rsid w:val="00073ACA"/>
    <w:rsid w:val="00073CCF"/>
    <w:rsid w:val="00074E58"/>
    <w:rsid w:val="00081864"/>
    <w:rsid w:val="000834A3"/>
    <w:rsid w:val="0009064B"/>
    <w:rsid w:val="00091227"/>
    <w:rsid w:val="000922CE"/>
    <w:rsid w:val="000A0FA4"/>
    <w:rsid w:val="000A560E"/>
    <w:rsid w:val="000A6CE7"/>
    <w:rsid w:val="000A72F8"/>
    <w:rsid w:val="000B10AB"/>
    <w:rsid w:val="000B3A58"/>
    <w:rsid w:val="000B3CCA"/>
    <w:rsid w:val="000C16AE"/>
    <w:rsid w:val="000C4CB1"/>
    <w:rsid w:val="000C6F63"/>
    <w:rsid w:val="000D2F39"/>
    <w:rsid w:val="000D4A7B"/>
    <w:rsid w:val="000D575E"/>
    <w:rsid w:val="000D6047"/>
    <w:rsid w:val="000D6791"/>
    <w:rsid w:val="000D79C3"/>
    <w:rsid w:val="000E31D6"/>
    <w:rsid w:val="000E433B"/>
    <w:rsid w:val="000E6CD9"/>
    <w:rsid w:val="000F0D5B"/>
    <w:rsid w:val="000F4FA1"/>
    <w:rsid w:val="000F57C6"/>
    <w:rsid w:val="000F5BE1"/>
    <w:rsid w:val="000F6344"/>
    <w:rsid w:val="00103791"/>
    <w:rsid w:val="001040A7"/>
    <w:rsid w:val="001053EA"/>
    <w:rsid w:val="00106C10"/>
    <w:rsid w:val="001116D2"/>
    <w:rsid w:val="001151E5"/>
    <w:rsid w:val="00122045"/>
    <w:rsid w:val="001225AF"/>
    <w:rsid w:val="00123E80"/>
    <w:rsid w:val="0012428F"/>
    <w:rsid w:val="00124A25"/>
    <w:rsid w:val="00125523"/>
    <w:rsid w:val="001261BE"/>
    <w:rsid w:val="001261E1"/>
    <w:rsid w:val="00126DF1"/>
    <w:rsid w:val="001339C3"/>
    <w:rsid w:val="00133A81"/>
    <w:rsid w:val="0014043C"/>
    <w:rsid w:val="001406AE"/>
    <w:rsid w:val="0014153D"/>
    <w:rsid w:val="001449AA"/>
    <w:rsid w:val="001457B1"/>
    <w:rsid w:val="00146C62"/>
    <w:rsid w:val="00146E6A"/>
    <w:rsid w:val="0014731B"/>
    <w:rsid w:val="001475B3"/>
    <w:rsid w:val="001477A0"/>
    <w:rsid w:val="0015243A"/>
    <w:rsid w:val="00154044"/>
    <w:rsid w:val="00154600"/>
    <w:rsid w:val="00162611"/>
    <w:rsid w:val="001665C7"/>
    <w:rsid w:val="00167654"/>
    <w:rsid w:val="0017117D"/>
    <w:rsid w:val="00173768"/>
    <w:rsid w:val="0017462B"/>
    <w:rsid w:val="001836BF"/>
    <w:rsid w:val="00183BEA"/>
    <w:rsid w:val="00184B6B"/>
    <w:rsid w:val="00185E8D"/>
    <w:rsid w:val="001867A7"/>
    <w:rsid w:val="00190B05"/>
    <w:rsid w:val="00192308"/>
    <w:rsid w:val="001A7FA2"/>
    <w:rsid w:val="001B0F25"/>
    <w:rsid w:val="001B2889"/>
    <w:rsid w:val="001C3CDA"/>
    <w:rsid w:val="001C4AE1"/>
    <w:rsid w:val="001C605E"/>
    <w:rsid w:val="001C6A3B"/>
    <w:rsid w:val="001D0B8B"/>
    <w:rsid w:val="001D599C"/>
    <w:rsid w:val="001D62F2"/>
    <w:rsid w:val="001D6C4D"/>
    <w:rsid w:val="001D6FED"/>
    <w:rsid w:val="001E3725"/>
    <w:rsid w:val="001E39A6"/>
    <w:rsid w:val="001E73D1"/>
    <w:rsid w:val="001F143A"/>
    <w:rsid w:val="001F2E2E"/>
    <w:rsid w:val="001F3152"/>
    <w:rsid w:val="001F327A"/>
    <w:rsid w:val="001F62F3"/>
    <w:rsid w:val="001F6300"/>
    <w:rsid w:val="00203587"/>
    <w:rsid w:val="00204718"/>
    <w:rsid w:val="0020648F"/>
    <w:rsid w:val="00206D7E"/>
    <w:rsid w:val="00210F3E"/>
    <w:rsid w:val="002121E7"/>
    <w:rsid w:val="0021486D"/>
    <w:rsid w:val="002211F0"/>
    <w:rsid w:val="00221C82"/>
    <w:rsid w:val="002270F7"/>
    <w:rsid w:val="00235167"/>
    <w:rsid w:val="002410BC"/>
    <w:rsid w:val="00242B32"/>
    <w:rsid w:val="00242D2C"/>
    <w:rsid w:val="00246605"/>
    <w:rsid w:val="00256C04"/>
    <w:rsid w:val="002572D4"/>
    <w:rsid w:val="0026113E"/>
    <w:rsid w:val="00262D0D"/>
    <w:rsid w:val="00263551"/>
    <w:rsid w:val="0026385E"/>
    <w:rsid w:val="00263B02"/>
    <w:rsid w:val="00264EA1"/>
    <w:rsid w:val="002654DC"/>
    <w:rsid w:val="0026739C"/>
    <w:rsid w:val="00272279"/>
    <w:rsid w:val="00273868"/>
    <w:rsid w:val="002747CF"/>
    <w:rsid w:val="002804B9"/>
    <w:rsid w:val="00281BB0"/>
    <w:rsid w:val="002829DB"/>
    <w:rsid w:val="00292F10"/>
    <w:rsid w:val="00293842"/>
    <w:rsid w:val="0029653B"/>
    <w:rsid w:val="00297E59"/>
    <w:rsid w:val="002A2C80"/>
    <w:rsid w:val="002A3A71"/>
    <w:rsid w:val="002A5F7A"/>
    <w:rsid w:val="002B3D9A"/>
    <w:rsid w:val="002C2733"/>
    <w:rsid w:val="002C3A9E"/>
    <w:rsid w:val="002D0ACB"/>
    <w:rsid w:val="002D11A5"/>
    <w:rsid w:val="002D12D0"/>
    <w:rsid w:val="002D1CA5"/>
    <w:rsid w:val="002D6349"/>
    <w:rsid w:val="002E1315"/>
    <w:rsid w:val="002F2B94"/>
    <w:rsid w:val="002F6A1B"/>
    <w:rsid w:val="002F7B06"/>
    <w:rsid w:val="00300FB1"/>
    <w:rsid w:val="00303130"/>
    <w:rsid w:val="00306AA9"/>
    <w:rsid w:val="00306C82"/>
    <w:rsid w:val="003077B7"/>
    <w:rsid w:val="003142CC"/>
    <w:rsid w:val="0031556C"/>
    <w:rsid w:val="003156ED"/>
    <w:rsid w:val="00315EC9"/>
    <w:rsid w:val="003172B7"/>
    <w:rsid w:val="00320AD2"/>
    <w:rsid w:val="00323C04"/>
    <w:rsid w:val="003255E3"/>
    <w:rsid w:val="003267E6"/>
    <w:rsid w:val="00336606"/>
    <w:rsid w:val="003407BE"/>
    <w:rsid w:val="00340ABF"/>
    <w:rsid w:val="003435BD"/>
    <w:rsid w:val="00344417"/>
    <w:rsid w:val="00346B06"/>
    <w:rsid w:val="00353981"/>
    <w:rsid w:val="00355CE1"/>
    <w:rsid w:val="00356F9C"/>
    <w:rsid w:val="00360BE0"/>
    <w:rsid w:val="00360ED1"/>
    <w:rsid w:val="0036538D"/>
    <w:rsid w:val="00365F56"/>
    <w:rsid w:val="0037114C"/>
    <w:rsid w:val="003729D0"/>
    <w:rsid w:val="00373169"/>
    <w:rsid w:val="00377466"/>
    <w:rsid w:val="0038240B"/>
    <w:rsid w:val="003913D9"/>
    <w:rsid w:val="00391FC2"/>
    <w:rsid w:val="00393878"/>
    <w:rsid w:val="003A14C0"/>
    <w:rsid w:val="003B02B5"/>
    <w:rsid w:val="003B149F"/>
    <w:rsid w:val="003B2D4A"/>
    <w:rsid w:val="003B787B"/>
    <w:rsid w:val="003C0B8E"/>
    <w:rsid w:val="003C19A2"/>
    <w:rsid w:val="003C47B8"/>
    <w:rsid w:val="003C55A4"/>
    <w:rsid w:val="003C64F8"/>
    <w:rsid w:val="003C746B"/>
    <w:rsid w:val="003D0C68"/>
    <w:rsid w:val="003D2439"/>
    <w:rsid w:val="003D575C"/>
    <w:rsid w:val="003D5F92"/>
    <w:rsid w:val="003E0A16"/>
    <w:rsid w:val="003E0AD6"/>
    <w:rsid w:val="003E0D2D"/>
    <w:rsid w:val="003E17CE"/>
    <w:rsid w:val="003E404D"/>
    <w:rsid w:val="003E404F"/>
    <w:rsid w:val="003E7F4E"/>
    <w:rsid w:val="003F0F25"/>
    <w:rsid w:val="003F1FDC"/>
    <w:rsid w:val="003F3B07"/>
    <w:rsid w:val="00405296"/>
    <w:rsid w:val="004076CF"/>
    <w:rsid w:val="00410AC7"/>
    <w:rsid w:val="004152FA"/>
    <w:rsid w:val="004155CA"/>
    <w:rsid w:val="00415DE9"/>
    <w:rsid w:val="00416ABE"/>
    <w:rsid w:val="00421AB8"/>
    <w:rsid w:val="0042622F"/>
    <w:rsid w:val="00426E0A"/>
    <w:rsid w:val="004276CE"/>
    <w:rsid w:val="00427B6A"/>
    <w:rsid w:val="00427DF2"/>
    <w:rsid w:val="00430859"/>
    <w:rsid w:val="00432004"/>
    <w:rsid w:val="00432FB1"/>
    <w:rsid w:val="00434A01"/>
    <w:rsid w:val="004379A5"/>
    <w:rsid w:val="00437D5F"/>
    <w:rsid w:val="00441DFE"/>
    <w:rsid w:val="00445151"/>
    <w:rsid w:val="00446FA5"/>
    <w:rsid w:val="004504D5"/>
    <w:rsid w:val="004536AB"/>
    <w:rsid w:val="00456FB3"/>
    <w:rsid w:val="0045786A"/>
    <w:rsid w:val="0046003A"/>
    <w:rsid w:val="00463011"/>
    <w:rsid w:val="004703DF"/>
    <w:rsid w:val="00475B35"/>
    <w:rsid w:val="00475E6F"/>
    <w:rsid w:val="004772EB"/>
    <w:rsid w:val="00483F3B"/>
    <w:rsid w:val="00483F65"/>
    <w:rsid w:val="004848CD"/>
    <w:rsid w:val="00491630"/>
    <w:rsid w:val="00493781"/>
    <w:rsid w:val="00495D9E"/>
    <w:rsid w:val="00496116"/>
    <w:rsid w:val="00497534"/>
    <w:rsid w:val="004A1AAA"/>
    <w:rsid w:val="004A4C18"/>
    <w:rsid w:val="004A69AA"/>
    <w:rsid w:val="004B10DB"/>
    <w:rsid w:val="004B1931"/>
    <w:rsid w:val="004B325A"/>
    <w:rsid w:val="004B69BF"/>
    <w:rsid w:val="004C1D8D"/>
    <w:rsid w:val="004D0158"/>
    <w:rsid w:val="004D128F"/>
    <w:rsid w:val="004E14E3"/>
    <w:rsid w:val="004E1EA3"/>
    <w:rsid w:val="004E64D2"/>
    <w:rsid w:val="004E72B5"/>
    <w:rsid w:val="004EEFCF"/>
    <w:rsid w:val="004F477F"/>
    <w:rsid w:val="004F6228"/>
    <w:rsid w:val="004F7DD2"/>
    <w:rsid w:val="005014F5"/>
    <w:rsid w:val="0050279B"/>
    <w:rsid w:val="005100D5"/>
    <w:rsid w:val="00511F4E"/>
    <w:rsid w:val="00514143"/>
    <w:rsid w:val="00515618"/>
    <w:rsid w:val="005175DE"/>
    <w:rsid w:val="005246F8"/>
    <w:rsid w:val="00524EA9"/>
    <w:rsid w:val="00525E2C"/>
    <w:rsid w:val="00527817"/>
    <w:rsid w:val="00530F97"/>
    <w:rsid w:val="00534797"/>
    <w:rsid w:val="00541330"/>
    <w:rsid w:val="00544461"/>
    <w:rsid w:val="005454B5"/>
    <w:rsid w:val="00546779"/>
    <w:rsid w:val="00551452"/>
    <w:rsid w:val="00551D6B"/>
    <w:rsid w:val="00552BB9"/>
    <w:rsid w:val="00552D27"/>
    <w:rsid w:val="005568CA"/>
    <w:rsid w:val="005608A7"/>
    <w:rsid w:val="00561990"/>
    <w:rsid w:val="00566D9C"/>
    <w:rsid w:val="005715F7"/>
    <w:rsid w:val="00573655"/>
    <w:rsid w:val="00574842"/>
    <w:rsid w:val="0057562D"/>
    <w:rsid w:val="005773CA"/>
    <w:rsid w:val="00577D95"/>
    <w:rsid w:val="00580EDD"/>
    <w:rsid w:val="0058166C"/>
    <w:rsid w:val="00581D04"/>
    <w:rsid w:val="00584C72"/>
    <w:rsid w:val="0058670A"/>
    <w:rsid w:val="005879A0"/>
    <w:rsid w:val="00590085"/>
    <w:rsid w:val="00593743"/>
    <w:rsid w:val="0059609D"/>
    <w:rsid w:val="005A1FDE"/>
    <w:rsid w:val="005A47F6"/>
    <w:rsid w:val="005B61B8"/>
    <w:rsid w:val="005C2A35"/>
    <w:rsid w:val="005D5E4B"/>
    <w:rsid w:val="005D6300"/>
    <w:rsid w:val="005D6B0D"/>
    <w:rsid w:val="005D783A"/>
    <w:rsid w:val="005E1E2D"/>
    <w:rsid w:val="005E1EB3"/>
    <w:rsid w:val="005E5713"/>
    <w:rsid w:val="005E62D0"/>
    <w:rsid w:val="005E6FA2"/>
    <w:rsid w:val="005F2763"/>
    <w:rsid w:val="00601F17"/>
    <w:rsid w:val="00603E43"/>
    <w:rsid w:val="00606ED7"/>
    <w:rsid w:val="00607221"/>
    <w:rsid w:val="00610945"/>
    <w:rsid w:val="00614E46"/>
    <w:rsid w:val="006157EC"/>
    <w:rsid w:val="00615E32"/>
    <w:rsid w:val="006174A8"/>
    <w:rsid w:val="006330B9"/>
    <w:rsid w:val="00640BB6"/>
    <w:rsid w:val="006420FF"/>
    <w:rsid w:val="00643061"/>
    <w:rsid w:val="0064527B"/>
    <w:rsid w:val="00646CD2"/>
    <w:rsid w:val="006507AC"/>
    <w:rsid w:val="006511D6"/>
    <w:rsid w:val="006525EE"/>
    <w:rsid w:val="0065465F"/>
    <w:rsid w:val="00654BE4"/>
    <w:rsid w:val="00657C0E"/>
    <w:rsid w:val="00657EEA"/>
    <w:rsid w:val="00661706"/>
    <w:rsid w:val="006621DF"/>
    <w:rsid w:val="00662A16"/>
    <w:rsid w:val="00663283"/>
    <w:rsid w:val="00671A05"/>
    <w:rsid w:val="0067221B"/>
    <w:rsid w:val="00673BF4"/>
    <w:rsid w:val="00674D7D"/>
    <w:rsid w:val="006757C4"/>
    <w:rsid w:val="00677E50"/>
    <w:rsid w:val="00681D70"/>
    <w:rsid w:val="00682A91"/>
    <w:rsid w:val="0068335F"/>
    <w:rsid w:val="006862F5"/>
    <w:rsid w:val="00690971"/>
    <w:rsid w:val="0069318A"/>
    <w:rsid w:val="00693454"/>
    <w:rsid w:val="006939D5"/>
    <w:rsid w:val="00693DDE"/>
    <w:rsid w:val="00697408"/>
    <w:rsid w:val="006A4306"/>
    <w:rsid w:val="006A44A6"/>
    <w:rsid w:val="006A57AF"/>
    <w:rsid w:val="006B13F0"/>
    <w:rsid w:val="006C1977"/>
    <w:rsid w:val="006C6F2F"/>
    <w:rsid w:val="006C7442"/>
    <w:rsid w:val="006D3827"/>
    <w:rsid w:val="006D459B"/>
    <w:rsid w:val="006D498C"/>
    <w:rsid w:val="006D5578"/>
    <w:rsid w:val="006D669D"/>
    <w:rsid w:val="006D7088"/>
    <w:rsid w:val="006E146A"/>
    <w:rsid w:val="006E1C4F"/>
    <w:rsid w:val="006E2ACF"/>
    <w:rsid w:val="006F1578"/>
    <w:rsid w:val="006F5051"/>
    <w:rsid w:val="00701394"/>
    <w:rsid w:val="00701930"/>
    <w:rsid w:val="00702774"/>
    <w:rsid w:val="007032F3"/>
    <w:rsid w:val="007063FC"/>
    <w:rsid w:val="00706894"/>
    <w:rsid w:val="007134AE"/>
    <w:rsid w:val="00714899"/>
    <w:rsid w:val="0071665C"/>
    <w:rsid w:val="0072006A"/>
    <w:rsid w:val="00720723"/>
    <w:rsid w:val="0072118B"/>
    <w:rsid w:val="007211FC"/>
    <w:rsid w:val="007221FA"/>
    <w:rsid w:val="00723891"/>
    <w:rsid w:val="00731C4D"/>
    <w:rsid w:val="00732160"/>
    <w:rsid w:val="007326DA"/>
    <w:rsid w:val="00733B0B"/>
    <w:rsid w:val="00734C5A"/>
    <w:rsid w:val="0073731C"/>
    <w:rsid w:val="00744648"/>
    <w:rsid w:val="00744EE3"/>
    <w:rsid w:val="00745624"/>
    <w:rsid w:val="00745697"/>
    <w:rsid w:val="00746632"/>
    <w:rsid w:val="007466E0"/>
    <w:rsid w:val="007504F1"/>
    <w:rsid w:val="00751C0F"/>
    <w:rsid w:val="0075238F"/>
    <w:rsid w:val="00752F4B"/>
    <w:rsid w:val="00761F8B"/>
    <w:rsid w:val="00763547"/>
    <w:rsid w:val="00764361"/>
    <w:rsid w:val="007668C2"/>
    <w:rsid w:val="00767D4C"/>
    <w:rsid w:val="00771A9C"/>
    <w:rsid w:val="0077265A"/>
    <w:rsid w:val="00773B90"/>
    <w:rsid w:val="00775EAD"/>
    <w:rsid w:val="00777798"/>
    <w:rsid w:val="0078154A"/>
    <w:rsid w:val="00783717"/>
    <w:rsid w:val="00784246"/>
    <w:rsid w:val="00787349"/>
    <w:rsid w:val="007901B4"/>
    <w:rsid w:val="0079120A"/>
    <w:rsid w:val="007929CA"/>
    <w:rsid w:val="00794224"/>
    <w:rsid w:val="00796B1D"/>
    <w:rsid w:val="007A26C6"/>
    <w:rsid w:val="007A5661"/>
    <w:rsid w:val="007A5DD3"/>
    <w:rsid w:val="007A7DF0"/>
    <w:rsid w:val="007B019B"/>
    <w:rsid w:val="007B3002"/>
    <w:rsid w:val="007B314A"/>
    <w:rsid w:val="007B3CC9"/>
    <w:rsid w:val="007B3F87"/>
    <w:rsid w:val="007C0A81"/>
    <w:rsid w:val="007C2815"/>
    <w:rsid w:val="007C5894"/>
    <w:rsid w:val="007C6C8A"/>
    <w:rsid w:val="007C795F"/>
    <w:rsid w:val="007D05C8"/>
    <w:rsid w:val="007D4C9A"/>
    <w:rsid w:val="007D545A"/>
    <w:rsid w:val="007E1C46"/>
    <w:rsid w:val="007E4256"/>
    <w:rsid w:val="007E47D3"/>
    <w:rsid w:val="007F6063"/>
    <w:rsid w:val="007F629F"/>
    <w:rsid w:val="007F7AA4"/>
    <w:rsid w:val="008008AA"/>
    <w:rsid w:val="00803E15"/>
    <w:rsid w:val="0080408D"/>
    <w:rsid w:val="0080478D"/>
    <w:rsid w:val="00805AD3"/>
    <w:rsid w:val="00806195"/>
    <w:rsid w:val="0081533B"/>
    <w:rsid w:val="0081551E"/>
    <w:rsid w:val="00816047"/>
    <w:rsid w:val="008239AA"/>
    <w:rsid w:val="00825D3E"/>
    <w:rsid w:val="00826A42"/>
    <w:rsid w:val="00833F61"/>
    <w:rsid w:val="00835AFC"/>
    <w:rsid w:val="00840C0C"/>
    <w:rsid w:val="00841D92"/>
    <w:rsid w:val="0084555C"/>
    <w:rsid w:val="00845CAF"/>
    <w:rsid w:val="00846985"/>
    <w:rsid w:val="00850701"/>
    <w:rsid w:val="0085442C"/>
    <w:rsid w:val="008604AC"/>
    <w:rsid w:val="00860A6B"/>
    <w:rsid w:val="00864FF0"/>
    <w:rsid w:val="00873303"/>
    <w:rsid w:val="00874988"/>
    <w:rsid w:val="00874ECD"/>
    <w:rsid w:val="00877C69"/>
    <w:rsid w:val="00880C0B"/>
    <w:rsid w:val="00881565"/>
    <w:rsid w:val="008840AB"/>
    <w:rsid w:val="00887F04"/>
    <w:rsid w:val="00891290"/>
    <w:rsid w:val="00891410"/>
    <w:rsid w:val="0089264A"/>
    <w:rsid w:val="00892828"/>
    <w:rsid w:val="00897F5B"/>
    <w:rsid w:val="008B4A35"/>
    <w:rsid w:val="008B4FD3"/>
    <w:rsid w:val="008B73B2"/>
    <w:rsid w:val="008C45EF"/>
    <w:rsid w:val="008C7F64"/>
    <w:rsid w:val="008D2FE4"/>
    <w:rsid w:val="008D421C"/>
    <w:rsid w:val="008D5EB6"/>
    <w:rsid w:val="008D7686"/>
    <w:rsid w:val="008E1433"/>
    <w:rsid w:val="008E2911"/>
    <w:rsid w:val="008E2CB5"/>
    <w:rsid w:val="008E3926"/>
    <w:rsid w:val="008E4794"/>
    <w:rsid w:val="008E7852"/>
    <w:rsid w:val="008F4EE9"/>
    <w:rsid w:val="008F5B28"/>
    <w:rsid w:val="008F6257"/>
    <w:rsid w:val="008F7767"/>
    <w:rsid w:val="008F7BB2"/>
    <w:rsid w:val="00900601"/>
    <w:rsid w:val="0090646F"/>
    <w:rsid w:val="00907DFB"/>
    <w:rsid w:val="00910710"/>
    <w:rsid w:val="009108CA"/>
    <w:rsid w:val="009121F5"/>
    <w:rsid w:val="00914774"/>
    <w:rsid w:val="009208E6"/>
    <w:rsid w:val="009230DB"/>
    <w:rsid w:val="00923C09"/>
    <w:rsid w:val="00923C0F"/>
    <w:rsid w:val="009245F9"/>
    <w:rsid w:val="00925908"/>
    <w:rsid w:val="00926356"/>
    <w:rsid w:val="00926DAF"/>
    <w:rsid w:val="00927CB3"/>
    <w:rsid w:val="00930F91"/>
    <w:rsid w:val="00934FF9"/>
    <w:rsid w:val="00936AA9"/>
    <w:rsid w:val="0093782E"/>
    <w:rsid w:val="009407F5"/>
    <w:rsid w:val="00946E2A"/>
    <w:rsid w:val="00950AF4"/>
    <w:rsid w:val="00955507"/>
    <w:rsid w:val="00961BEF"/>
    <w:rsid w:val="00961C98"/>
    <w:rsid w:val="00962BB3"/>
    <w:rsid w:val="009652D7"/>
    <w:rsid w:val="00970562"/>
    <w:rsid w:val="0097247B"/>
    <w:rsid w:val="00974BB8"/>
    <w:rsid w:val="009771DF"/>
    <w:rsid w:val="00983FF2"/>
    <w:rsid w:val="0098590A"/>
    <w:rsid w:val="00992F5A"/>
    <w:rsid w:val="00993CAB"/>
    <w:rsid w:val="0099493B"/>
    <w:rsid w:val="009A0B3E"/>
    <w:rsid w:val="009A17EF"/>
    <w:rsid w:val="009A44BD"/>
    <w:rsid w:val="009B01C4"/>
    <w:rsid w:val="009B23E6"/>
    <w:rsid w:val="009B3212"/>
    <w:rsid w:val="009B7B6A"/>
    <w:rsid w:val="009C49F8"/>
    <w:rsid w:val="009D13F1"/>
    <w:rsid w:val="009D405B"/>
    <w:rsid w:val="009E08FD"/>
    <w:rsid w:val="009E11DE"/>
    <w:rsid w:val="009E4F20"/>
    <w:rsid w:val="009E5598"/>
    <w:rsid w:val="009E6C35"/>
    <w:rsid w:val="009E754B"/>
    <w:rsid w:val="00A02B5C"/>
    <w:rsid w:val="00A030BD"/>
    <w:rsid w:val="00A07BCC"/>
    <w:rsid w:val="00A133DD"/>
    <w:rsid w:val="00A141CA"/>
    <w:rsid w:val="00A15FA8"/>
    <w:rsid w:val="00A167B5"/>
    <w:rsid w:val="00A17202"/>
    <w:rsid w:val="00A207F2"/>
    <w:rsid w:val="00A22A3C"/>
    <w:rsid w:val="00A23EF9"/>
    <w:rsid w:val="00A24C47"/>
    <w:rsid w:val="00A27654"/>
    <w:rsid w:val="00A27B4C"/>
    <w:rsid w:val="00A3028B"/>
    <w:rsid w:val="00A309EB"/>
    <w:rsid w:val="00A32CA8"/>
    <w:rsid w:val="00A3384C"/>
    <w:rsid w:val="00A36CF5"/>
    <w:rsid w:val="00A45945"/>
    <w:rsid w:val="00A568D1"/>
    <w:rsid w:val="00A64C45"/>
    <w:rsid w:val="00A71A3D"/>
    <w:rsid w:val="00A71CD6"/>
    <w:rsid w:val="00A71CE9"/>
    <w:rsid w:val="00A73089"/>
    <w:rsid w:val="00A73C69"/>
    <w:rsid w:val="00A74376"/>
    <w:rsid w:val="00A76860"/>
    <w:rsid w:val="00A82137"/>
    <w:rsid w:val="00A82448"/>
    <w:rsid w:val="00A82982"/>
    <w:rsid w:val="00A90DC6"/>
    <w:rsid w:val="00A91094"/>
    <w:rsid w:val="00A9296D"/>
    <w:rsid w:val="00A94E99"/>
    <w:rsid w:val="00A96E09"/>
    <w:rsid w:val="00AA1FCC"/>
    <w:rsid w:val="00AB095D"/>
    <w:rsid w:val="00AB45E0"/>
    <w:rsid w:val="00AB5858"/>
    <w:rsid w:val="00AC29DF"/>
    <w:rsid w:val="00AD021C"/>
    <w:rsid w:val="00AD0595"/>
    <w:rsid w:val="00AD1D37"/>
    <w:rsid w:val="00AD21FC"/>
    <w:rsid w:val="00AD383D"/>
    <w:rsid w:val="00AD386E"/>
    <w:rsid w:val="00AD5181"/>
    <w:rsid w:val="00AD5870"/>
    <w:rsid w:val="00AD7584"/>
    <w:rsid w:val="00AE05B9"/>
    <w:rsid w:val="00AE1291"/>
    <w:rsid w:val="00AE15AA"/>
    <w:rsid w:val="00AE3D3E"/>
    <w:rsid w:val="00AE4413"/>
    <w:rsid w:val="00AE5C20"/>
    <w:rsid w:val="00AE76C6"/>
    <w:rsid w:val="00AF1D9D"/>
    <w:rsid w:val="00AF1F91"/>
    <w:rsid w:val="00AF2371"/>
    <w:rsid w:val="00AF39A2"/>
    <w:rsid w:val="00B00027"/>
    <w:rsid w:val="00B03AD3"/>
    <w:rsid w:val="00B10065"/>
    <w:rsid w:val="00B100D6"/>
    <w:rsid w:val="00B10F20"/>
    <w:rsid w:val="00B1122A"/>
    <w:rsid w:val="00B117E0"/>
    <w:rsid w:val="00B11AE4"/>
    <w:rsid w:val="00B13B6C"/>
    <w:rsid w:val="00B14FEC"/>
    <w:rsid w:val="00B2094B"/>
    <w:rsid w:val="00B2160E"/>
    <w:rsid w:val="00B2526A"/>
    <w:rsid w:val="00B27018"/>
    <w:rsid w:val="00B30EFA"/>
    <w:rsid w:val="00B33F69"/>
    <w:rsid w:val="00B3457E"/>
    <w:rsid w:val="00B404CE"/>
    <w:rsid w:val="00B41D0F"/>
    <w:rsid w:val="00B43E56"/>
    <w:rsid w:val="00B43EDD"/>
    <w:rsid w:val="00B47050"/>
    <w:rsid w:val="00B51D4C"/>
    <w:rsid w:val="00B51E0E"/>
    <w:rsid w:val="00B52D78"/>
    <w:rsid w:val="00B54FB4"/>
    <w:rsid w:val="00B55552"/>
    <w:rsid w:val="00B564F9"/>
    <w:rsid w:val="00B5781C"/>
    <w:rsid w:val="00B672EF"/>
    <w:rsid w:val="00B700EE"/>
    <w:rsid w:val="00B759EA"/>
    <w:rsid w:val="00B80E72"/>
    <w:rsid w:val="00B84D31"/>
    <w:rsid w:val="00B905CE"/>
    <w:rsid w:val="00B906E9"/>
    <w:rsid w:val="00B953CC"/>
    <w:rsid w:val="00B95D0C"/>
    <w:rsid w:val="00B965DF"/>
    <w:rsid w:val="00B96E87"/>
    <w:rsid w:val="00BA1317"/>
    <w:rsid w:val="00BA3F4C"/>
    <w:rsid w:val="00BA55D6"/>
    <w:rsid w:val="00BA56CE"/>
    <w:rsid w:val="00BA6A62"/>
    <w:rsid w:val="00BB11D4"/>
    <w:rsid w:val="00BB27DD"/>
    <w:rsid w:val="00BB2CCD"/>
    <w:rsid w:val="00BB3B50"/>
    <w:rsid w:val="00BB5DCD"/>
    <w:rsid w:val="00BB604C"/>
    <w:rsid w:val="00BC12F0"/>
    <w:rsid w:val="00BC184D"/>
    <w:rsid w:val="00BC403E"/>
    <w:rsid w:val="00BC7287"/>
    <w:rsid w:val="00BD043B"/>
    <w:rsid w:val="00BD197F"/>
    <w:rsid w:val="00BD26D8"/>
    <w:rsid w:val="00BD3438"/>
    <w:rsid w:val="00BD6C0F"/>
    <w:rsid w:val="00BD70A7"/>
    <w:rsid w:val="00BD77BE"/>
    <w:rsid w:val="00BE244B"/>
    <w:rsid w:val="00BE7A05"/>
    <w:rsid w:val="00BF0705"/>
    <w:rsid w:val="00BF25A6"/>
    <w:rsid w:val="00BF4E10"/>
    <w:rsid w:val="00BF6CA0"/>
    <w:rsid w:val="00BF76B7"/>
    <w:rsid w:val="00C01839"/>
    <w:rsid w:val="00C01C97"/>
    <w:rsid w:val="00C03527"/>
    <w:rsid w:val="00C03DF2"/>
    <w:rsid w:val="00C03EE5"/>
    <w:rsid w:val="00C043A7"/>
    <w:rsid w:val="00C0572D"/>
    <w:rsid w:val="00C06DB6"/>
    <w:rsid w:val="00C07D3A"/>
    <w:rsid w:val="00C142B7"/>
    <w:rsid w:val="00C20555"/>
    <w:rsid w:val="00C2116D"/>
    <w:rsid w:val="00C2336E"/>
    <w:rsid w:val="00C23390"/>
    <w:rsid w:val="00C23705"/>
    <w:rsid w:val="00C23D7A"/>
    <w:rsid w:val="00C275D5"/>
    <w:rsid w:val="00C27B94"/>
    <w:rsid w:val="00C314AB"/>
    <w:rsid w:val="00C315CE"/>
    <w:rsid w:val="00C31A87"/>
    <w:rsid w:val="00C33FE7"/>
    <w:rsid w:val="00C44A0B"/>
    <w:rsid w:val="00C44D4E"/>
    <w:rsid w:val="00C469E3"/>
    <w:rsid w:val="00C53FF3"/>
    <w:rsid w:val="00C54D8E"/>
    <w:rsid w:val="00C60278"/>
    <w:rsid w:val="00C634F1"/>
    <w:rsid w:val="00C65B9A"/>
    <w:rsid w:val="00C67037"/>
    <w:rsid w:val="00C73A1F"/>
    <w:rsid w:val="00C75399"/>
    <w:rsid w:val="00C754BA"/>
    <w:rsid w:val="00C77571"/>
    <w:rsid w:val="00C81370"/>
    <w:rsid w:val="00C82D00"/>
    <w:rsid w:val="00C83639"/>
    <w:rsid w:val="00C8388B"/>
    <w:rsid w:val="00C85257"/>
    <w:rsid w:val="00C95D7F"/>
    <w:rsid w:val="00C95FE7"/>
    <w:rsid w:val="00C96BDD"/>
    <w:rsid w:val="00C97C61"/>
    <w:rsid w:val="00C97CEF"/>
    <w:rsid w:val="00C97CF3"/>
    <w:rsid w:val="00CA4A92"/>
    <w:rsid w:val="00CA636F"/>
    <w:rsid w:val="00CA6B2B"/>
    <w:rsid w:val="00CB3D8B"/>
    <w:rsid w:val="00CC3518"/>
    <w:rsid w:val="00CC38CC"/>
    <w:rsid w:val="00CC4E88"/>
    <w:rsid w:val="00CC5021"/>
    <w:rsid w:val="00CC66FF"/>
    <w:rsid w:val="00CC75F9"/>
    <w:rsid w:val="00CD354D"/>
    <w:rsid w:val="00CD7A1A"/>
    <w:rsid w:val="00CE4624"/>
    <w:rsid w:val="00CF6676"/>
    <w:rsid w:val="00CF7FA5"/>
    <w:rsid w:val="00D039E4"/>
    <w:rsid w:val="00D05E1C"/>
    <w:rsid w:val="00D06754"/>
    <w:rsid w:val="00D14A20"/>
    <w:rsid w:val="00D17966"/>
    <w:rsid w:val="00D20C48"/>
    <w:rsid w:val="00D22FF9"/>
    <w:rsid w:val="00D23474"/>
    <w:rsid w:val="00D23A43"/>
    <w:rsid w:val="00D2465B"/>
    <w:rsid w:val="00D32C3D"/>
    <w:rsid w:val="00D33013"/>
    <w:rsid w:val="00D3336B"/>
    <w:rsid w:val="00D338FB"/>
    <w:rsid w:val="00D36BE0"/>
    <w:rsid w:val="00D4211B"/>
    <w:rsid w:val="00D431C2"/>
    <w:rsid w:val="00D43B83"/>
    <w:rsid w:val="00D43E4B"/>
    <w:rsid w:val="00D44167"/>
    <w:rsid w:val="00D50BF9"/>
    <w:rsid w:val="00D5515C"/>
    <w:rsid w:val="00D57D7A"/>
    <w:rsid w:val="00D70AE8"/>
    <w:rsid w:val="00D7223C"/>
    <w:rsid w:val="00D72331"/>
    <w:rsid w:val="00D758B1"/>
    <w:rsid w:val="00D8072E"/>
    <w:rsid w:val="00D83E69"/>
    <w:rsid w:val="00D85DBE"/>
    <w:rsid w:val="00D87C37"/>
    <w:rsid w:val="00D87C82"/>
    <w:rsid w:val="00D903BB"/>
    <w:rsid w:val="00D903C5"/>
    <w:rsid w:val="00D93715"/>
    <w:rsid w:val="00DA061C"/>
    <w:rsid w:val="00DA07CE"/>
    <w:rsid w:val="00DA7551"/>
    <w:rsid w:val="00DB174F"/>
    <w:rsid w:val="00DB53FE"/>
    <w:rsid w:val="00DC044D"/>
    <w:rsid w:val="00DC0646"/>
    <w:rsid w:val="00DC0739"/>
    <w:rsid w:val="00DC0EDE"/>
    <w:rsid w:val="00DC1BDF"/>
    <w:rsid w:val="00DC4129"/>
    <w:rsid w:val="00DC684B"/>
    <w:rsid w:val="00DE23E9"/>
    <w:rsid w:val="00DE77E9"/>
    <w:rsid w:val="00DE7B0C"/>
    <w:rsid w:val="00DF08AB"/>
    <w:rsid w:val="00DF0CE3"/>
    <w:rsid w:val="00DF133F"/>
    <w:rsid w:val="00DF59AB"/>
    <w:rsid w:val="00DF7D08"/>
    <w:rsid w:val="00E014EE"/>
    <w:rsid w:val="00E036F3"/>
    <w:rsid w:val="00E04ADE"/>
    <w:rsid w:val="00E06D59"/>
    <w:rsid w:val="00E1306D"/>
    <w:rsid w:val="00E20F8E"/>
    <w:rsid w:val="00E210F6"/>
    <w:rsid w:val="00E31648"/>
    <w:rsid w:val="00E32EDE"/>
    <w:rsid w:val="00E33D53"/>
    <w:rsid w:val="00E420B6"/>
    <w:rsid w:val="00E44255"/>
    <w:rsid w:val="00E44D5E"/>
    <w:rsid w:val="00E46C5F"/>
    <w:rsid w:val="00E52911"/>
    <w:rsid w:val="00E53AD7"/>
    <w:rsid w:val="00E55399"/>
    <w:rsid w:val="00E6032D"/>
    <w:rsid w:val="00E60C09"/>
    <w:rsid w:val="00E610B5"/>
    <w:rsid w:val="00E61304"/>
    <w:rsid w:val="00E62715"/>
    <w:rsid w:val="00E65939"/>
    <w:rsid w:val="00E70A8C"/>
    <w:rsid w:val="00E72BA9"/>
    <w:rsid w:val="00E74FF1"/>
    <w:rsid w:val="00E75877"/>
    <w:rsid w:val="00E75EF5"/>
    <w:rsid w:val="00E81E0A"/>
    <w:rsid w:val="00E8363A"/>
    <w:rsid w:val="00E84A4D"/>
    <w:rsid w:val="00E91364"/>
    <w:rsid w:val="00E9387A"/>
    <w:rsid w:val="00E95704"/>
    <w:rsid w:val="00E95AA9"/>
    <w:rsid w:val="00EA044B"/>
    <w:rsid w:val="00EA2DF2"/>
    <w:rsid w:val="00EA3F34"/>
    <w:rsid w:val="00EA58ED"/>
    <w:rsid w:val="00EA7BDE"/>
    <w:rsid w:val="00EB09C6"/>
    <w:rsid w:val="00EB5577"/>
    <w:rsid w:val="00EC0D07"/>
    <w:rsid w:val="00EC1435"/>
    <w:rsid w:val="00EC5CD3"/>
    <w:rsid w:val="00ED18F1"/>
    <w:rsid w:val="00ED316B"/>
    <w:rsid w:val="00ED55A6"/>
    <w:rsid w:val="00EE6CEC"/>
    <w:rsid w:val="00EE6FED"/>
    <w:rsid w:val="00EE7957"/>
    <w:rsid w:val="00EE7BAA"/>
    <w:rsid w:val="00EF0F2A"/>
    <w:rsid w:val="00EF305B"/>
    <w:rsid w:val="00EF4862"/>
    <w:rsid w:val="00EF7B72"/>
    <w:rsid w:val="00F053EC"/>
    <w:rsid w:val="00F05BBA"/>
    <w:rsid w:val="00F061A1"/>
    <w:rsid w:val="00F10DFF"/>
    <w:rsid w:val="00F1429D"/>
    <w:rsid w:val="00F20EAE"/>
    <w:rsid w:val="00F220FC"/>
    <w:rsid w:val="00F22AD4"/>
    <w:rsid w:val="00F233DD"/>
    <w:rsid w:val="00F23E58"/>
    <w:rsid w:val="00F25347"/>
    <w:rsid w:val="00F26729"/>
    <w:rsid w:val="00F30FBF"/>
    <w:rsid w:val="00F329E8"/>
    <w:rsid w:val="00F34ED4"/>
    <w:rsid w:val="00F35411"/>
    <w:rsid w:val="00F35480"/>
    <w:rsid w:val="00F36546"/>
    <w:rsid w:val="00F37E83"/>
    <w:rsid w:val="00F515AE"/>
    <w:rsid w:val="00F51A96"/>
    <w:rsid w:val="00F55A43"/>
    <w:rsid w:val="00F58332"/>
    <w:rsid w:val="00F602D4"/>
    <w:rsid w:val="00F71E05"/>
    <w:rsid w:val="00F7353A"/>
    <w:rsid w:val="00F73926"/>
    <w:rsid w:val="00F74293"/>
    <w:rsid w:val="00F7696E"/>
    <w:rsid w:val="00F76EC0"/>
    <w:rsid w:val="00F81BEA"/>
    <w:rsid w:val="00F85526"/>
    <w:rsid w:val="00F85C38"/>
    <w:rsid w:val="00F86D2B"/>
    <w:rsid w:val="00F90F6B"/>
    <w:rsid w:val="00F92C5E"/>
    <w:rsid w:val="00F93710"/>
    <w:rsid w:val="00F947AC"/>
    <w:rsid w:val="00F95D8D"/>
    <w:rsid w:val="00F967DF"/>
    <w:rsid w:val="00F96F53"/>
    <w:rsid w:val="00F975A1"/>
    <w:rsid w:val="00F97A78"/>
    <w:rsid w:val="00FA0183"/>
    <w:rsid w:val="00FA15AE"/>
    <w:rsid w:val="00FA64EB"/>
    <w:rsid w:val="00FA6766"/>
    <w:rsid w:val="00FA69FD"/>
    <w:rsid w:val="00FB0CA1"/>
    <w:rsid w:val="00FB0CD4"/>
    <w:rsid w:val="00FB5EEF"/>
    <w:rsid w:val="00FC24B9"/>
    <w:rsid w:val="00FC45AB"/>
    <w:rsid w:val="00FC4728"/>
    <w:rsid w:val="00FC47C1"/>
    <w:rsid w:val="00FD3FE9"/>
    <w:rsid w:val="00FD41EB"/>
    <w:rsid w:val="00FD441B"/>
    <w:rsid w:val="00FD49C9"/>
    <w:rsid w:val="00FD596F"/>
    <w:rsid w:val="00FD5F77"/>
    <w:rsid w:val="00FE0D97"/>
    <w:rsid w:val="00FE31AA"/>
    <w:rsid w:val="00FE5320"/>
    <w:rsid w:val="00FE648A"/>
    <w:rsid w:val="00FE7A15"/>
    <w:rsid w:val="00FF14B5"/>
    <w:rsid w:val="00FF2675"/>
    <w:rsid w:val="00FF320D"/>
    <w:rsid w:val="00FF5BA9"/>
    <w:rsid w:val="00FF7117"/>
    <w:rsid w:val="00FF7303"/>
    <w:rsid w:val="00FF7A59"/>
    <w:rsid w:val="023E72DD"/>
    <w:rsid w:val="02E8DBE6"/>
    <w:rsid w:val="03734D72"/>
    <w:rsid w:val="03F18A8C"/>
    <w:rsid w:val="06452941"/>
    <w:rsid w:val="06CEB1BF"/>
    <w:rsid w:val="06E9E4A8"/>
    <w:rsid w:val="0739FD48"/>
    <w:rsid w:val="07E6AC85"/>
    <w:rsid w:val="09151448"/>
    <w:rsid w:val="0954EC99"/>
    <w:rsid w:val="0A6D6815"/>
    <w:rsid w:val="0AB28F54"/>
    <w:rsid w:val="0B9C5A50"/>
    <w:rsid w:val="0C59C59D"/>
    <w:rsid w:val="0CDE3617"/>
    <w:rsid w:val="0D9DC20C"/>
    <w:rsid w:val="0DAADCA1"/>
    <w:rsid w:val="0DBD22B3"/>
    <w:rsid w:val="0DFB8102"/>
    <w:rsid w:val="0E37A318"/>
    <w:rsid w:val="0FF1594D"/>
    <w:rsid w:val="1050A3F8"/>
    <w:rsid w:val="12228BC8"/>
    <w:rsid w:val="122F953E"/>
    <w:rsid w:val="1251D4D5"/>
    <w:rsid w:val="127D9664"/>
    <w:rsid w:val="12EEDF39"/>
    <w:rsid w:val="13B49FA6"/>
    <w:rsid w:val="13D93AF7"/>
    <w:rsid w:val="14167674"/>
    <w:rsid w:val="1434F42F"/>
    <w:rsid w:val="14C05B41"/>
    <w:rsid w:val="15E2B012"/>
    <w:rsid w:val="169896C2"/>
    <w:rsid w:val="169C22FA"/>
    <w:rsid w:val="16FBF3B6"/>
    <w:rsid w:val="170407E1"/>
    <w:rsid w:val="180213E8"/>
    <w:rsid w:val="18CADD46"/>
    <w:rsid w:val="1965F84E"/>
    <w:rsid w:val="1A7A3CCD"/>
    <w:rsid w:val="1B75446D"/>
    <w:rsid w:val="1C1F3A18"/>
    <w:rsid w:val="1CED7256"/>
    <w:rsid w:val="1D717F31"/>
    <w:rsid w:val="1F020BF3"/>
    <w:rsid w:val="201D6A2A"/>
    <w:rsid w:val="20319798"/>
    <w:rsid w:val="23BA20C6"/>
    <w:rsid w:val="23DAF934"/>
    <w:rsid w:val="23F4DB2B"/>
    <w:rsid w:val="2407BBC1"/>
    <w:rsid w:val="25B503AF"/>
    <w:rsid w:val="25ECEADF"/>
    <w:rsid w:val="274C0677"/>
    <w:rsid w:val="280B5F05"/>
    <w:rsid w:val="281A98BA"/>
    <w:rsid w:val="28CE4799"/>
    <w:rsid w:val="29973678"/>
    <w:rsid w:val="2A7A4F8E"/>
    <w:rsid w:val="2BCA10F0"/>
    <w:rsid w:val="2BCF7C43"/>
    <w:rsid w:val="2C538143"/>
    <w:rsid w:val="2C5BB6B6"/>
    <w:rsid w:val="2D1C3E1B"/>
    <w:rsid w:val="2D47973F"/>
    <w:rsid w:val="2E114FE2"/>
    <w:rsid w:val="2E913E51"/>
    <w:rsid w:val="306B0D54"/>
    <w:rsid w:val="30D2BE5B"/>
    <w:rsid w:val="32067386"/>
    <w:rsid w:val="3340129D"/>
    <w:rsid w:val="3370EEC6"/>
    <w:rsid w:val="33CB7650"/>
    <w:rsid w:val="341112F6"/>
    <w:rsid w:val="34C67D2A"/>
    <w:rsid w:val="34E88639"/>
    <w:rsid w:val="356B8387"/>
    <w:rsid w:val="35E65CD7"/>
    <w:rsid w:val="376325B6"/>
    <w:rsid w:val="37E61136"/>
    <w:rsid w:val="3842A9E7"/>
    <w:rsid w:val="390AC9E3"/>
    <w:rsid w:val="390F0A72"/>
    <w:rsid w:val="3ABFF17D"/>
    <w:rsid w:val="3D5294F7"/>
    <w:rsid w:val="3D7165C6"/>
    <w:rsid w:val="3E07790D"/>
    <w:rsid w:val="3EB9A800"/>
    <w:rsid w:val="3F7416C0"/>
    <w:rsid w:val="3FFD651B"/>
    <w:rsid w:val="40D3B1A0"/>
    <w:rsid w:val="413A14A1"/>
    <w:rsid w:val="4152C8D3"/>
    <w:rsid w:val="4214592C"/>
    <w:rsid w:val="426D7197"/>
    <w:rsid w:val="427AF164"/>
    <w:rsid w:val="429C2237"/>
    <w:rsid w:val="43198628"/>
    <w:rsid w:val="44230373"/>
    <w:rsid w:val="44BA3745"/>
    <w:rsid w:val="44C4E4ED"/>
    <w:rsid w:val="45746B23"/>
    <w:rsid w:val="45CB42D3"/>
    <w:rsid w:val="4936D0CA"/>
    <w:rsid w:val="4A39EE59"/>
    <w:rsid w:val="4A707F87"/>
    <w:rsid w:val="4B9F3047"/>
    <w:rsid w:val="4C55B81D"/>
    <w:rsid w:val="4D4C80AE"/>
    <w:rsid w:val="4D7C6706"/>
    <w:rsid w:val="4E6316F6"/>
    <w:rsid w:val="509E1228"/>
    <w:rsid w:val="5231C999"/>
    <w:rsid w:val="52521B09"/>
    <w:rsid w:val="5287AEDF"/>
    <w:rsid w:val="537EBC70"/>
    <w:rsid w:val="54066D9A"/>
    <w:rsid w:val="5489042C"/>
    <w:rsid w:val="56058FEB"/>
    <w:rsid w:val="5770E9BA"/>
    <w:rsid w:val="57F4FED0"/>
    <w:rsid w:val="5825F6C8"/>
    <w:rsid w:val="59AA3195"/>
    <w:rsid w:val="59E0890A"/>
    <w:rsid w:val="5A20D253"/>
    <w:rsid w:val="5BB8EBE2"/>
    <w:rsid w:val="5CEF28DE"/>
    <w:rsid w:val="5F508770"/>
    <w:rsid w:val="603108AD"/>
    <w:rsid w:val="606BBBA1"/>
    <w:rsid w:val="60E052F1"/>
    <w:rsid w:val="616F13CE"/>
    <w:rsid w:val="62006E28"/>
    <w:rsid w:val="62F7CE63"/>
    <w:rsid w:val="632BF4A0"/>
    <w:rsid w:val="63C3B749"/>
    <w:rsid w:val="64F4E5A8"/>
    <w:rsid w:val="6510866E"/>
    <w:rsid w:val="65B14D97"/>
    <w:rsid w:val="67A110EA"/>
    <w:rsid w:val="6838974B"/>
    <w:rsid w:val="693E293C"/>
    <w:rsid w:val="6BF0E62C"/>
    <w:rsid w:val="6CCDC08C"/>
    <w:rsid w:val="6DACF009"/>
    <w:rsid w:val="6DF39696"/>
    <w:rsid w:val="6E28BA75"/>
    <w:rsid w:val="6F3FDA6E"/>
    <w:rsid w:val="6FD5C76E"/>
    <w:rsid w:val="708D2802"/>
    <w:rsid w:val="71ADE2AF"/>
    <w:rsid w:val="71E005F9"/>
    <w:rsid w:val="7213DA06"/>
    <w:rsid w:val="7276251B"/>
    <w:rsid w:val="72F576E6"/>
    <w:rsid w:val="73241326"/>
    <w:rsid w:val="740F1D47"/>
    <w:rsid w:val="749ABA24"/>
    <w:rsid w:val="74ADB8FD"/>
    <w:rsid w:val="7562B63C"/>
    <w:rsid w:val="7723D97D"/>
    <w:rsid w:val="778918BC"/>
    <w:rsid w:val="784420A3"/>
    <w:rsid w:val="78F69205"/>
    <w:rsid w:val="79A2C8D3"/>
    <w:rsid w:val="7A2282C4"/>
    <w:rsid w:val="7A945860"/>
    <w:rsid w:val="7CE8BA07"/>
    <w:rsid w:val="7E5AC5E6"/>
    <w:rsid w:val="7EBDD3E5"/>
    <w:rsid w:val="7ED006D6"/>
    <w:rsid w:val="7ED56795"/>
    <w:rsid w:val="7F6D5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D208C"/>
  <w14:defaultImageDpi w14:val="330"/>
  <w15:docId w15:val="{55ADB4FD-AB3D-4A11-9C40-A5E20E3E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A9"/>
  </w:style>
  <w:style w:type="paragraph" w:styleId="Heading1">
    <w:name w:val="heading 1"/>
    <w:basedOn w:val="Normal"/>
    <w:next w:val="Normal"/>
    <w:link w:val="Heading1Char"/>
    <w:uiPriority w:val="9"/>
    <w:qFormat/>
    <w:rsid w:val="0026355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eading 2 Char1,Heading 2 Char Char"/>
    <w:basedOn w:val="Normal"/>
    <w:next w:val="Heading3"/>
    <w:qFormat/>
    <w:rsid w:val="007A5661"/>
    <w:pPr>
      <w:keepNext/>
      <w:spacing w:before="120" w:after="120"/>
      <w:outlineLvl w:val="1"/>
    </w:pPr>
    <w:rPr>
      <w:rFonts w:ascii="Arial" w:eastAsia="Times New Roman" w:hAnsi="Arial" w:cs="Times New Roman"/>
      <w:b/>
      <w:smallCaps/>
      <w:sz w:val="28"/>
      <w:szCs w:val="20"/>
      <w:lang w:val="x-none" w:eastAsia="x-none"/>
    </w:rPr>
  </w:style>
  <w:style w:type="paragraph" w:styleId="Heading3">
    <w:name w:val="heading 3"/>
    <w:basedOn w:val="Normal"/>
    <w:next w:val="Normal"/>
    <w:uiPriority w:val="9"/>
    <w:semiHidden/>
    <w:unhideWhenUsed/>
    <w:qFormat/>
    <w:rsid w:val="007A566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uiPriority w:val="1"/>
    <w:rsid w:val="00D33013"/>
  </w:style>
  <w:style w:type="paragraph" w:styleId="ListParagraph">
    <w:name w:val="List Paragraph"/>
    <w:aliases w:val="DPAC Alpha Numeric List"/>
    <w:basedOn w:val="Normal"/>
    <w:link w:val="ListParagraphChar"/>
    <w:uiPriority w:val="34"/>
    <w:qFormat/>
    <w:rsid w:val="00154044"/>
    <w:pPr>
      <w:ind w:left="720"/>
      <w:contextualSpacing/>
    </w:pPr>
  </w:style>
  <w:style w:type="character" w:customStyle="1" w:styleId="ListParagraphChar">
    <w:name w:val="List Paragraph Char"/>
    <w:aliases w:val="DPAC Alpha Numeric List Char"/>
    <w:basedOn w:val="DefaultParagraphFont"/>
    <w:link w:val="ListParagraph"/>
    <w:uiPriority w:val="34"/>
    <w:locked/>
    <w:rsid w:val="00154044"/>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sid w:val="00F329E8"/>
    <w:rPr>
      <w:sz w:val="20"/>
      <w:szCs w:val="20"/>
    </w:rPr>
  </w:style>
  <w:style w:type="paragraph" w:styleId="CommentSubject">
    <w:name w:val="annotation subject"/>
    <w:basedOn w:val="CommentText"/>
    <w:next w:val="CommentText"/>
    <w:link w:val="CommentSubjectChar"/>
    <w:uiPriority w:val="99"/>
    <w:semiHidden/>
    <w:unhideWhenUsed/>
    <w:rsid w:val="00927CB3"/>
    <w:rPr>
      <w:b/>
      <w:bCs/>
    </w:rPr>
  </w:style>
  <w:style w:type="character" w:customStyle="1" w:styleId="CommentSubjectChar">
    <w:name w:val="Comment Subject Char"/>
    <w:basedOn w:val="CommentTextChar"/>
    <w:link w:val="CommentSubject"/>
    <w:uiPriority w:val="99"/>
    <w:semiHidden/>
    <w:rsid w:val="0072118B"/>
    <w:rPr>
      <w:b/>
      <w:bCs/>
      <w:sz w:val="20"/>
      <w:szCs w:val="20"/>
    </w:rPr>
  </w:style>
  <w:style w:type="character" w:customStyle="1" w:styleId="wacimagecontainer">
    <w:name w:val="wacimagecontainer"/>
    <w:basedOn w:val="DefaultParagraphFont"/>
    <w:rsid w:val="00961BEF"/>
  </w:style>
  <w:style w:type="character" w:styleId="UnresolvedMention">
    <w:name w:val="Unresolved Mention"/>
    <w:basedOn w:val="DefaultParagraphFont"/>
    <w:uiPriority w:val="99"/>
    <w:semiHidden/>
    <w:unhideWhenUsed/>
    <w:rsid w:val="00900601"/>
    <w:rPr>
      <w:color w:val="605E5C"/>
      <w:shd w:val="clear" w:color="auto" w:fill="E1DFDD"/>
    </w:rPr>
  </w:style>
  <w:style w:type="character" w:styleId="FollowedHyperlink">
    <w:name w:val="FollowedHyperlink"/>
    <w:basedOn w:val="DefaultParagraphFont"/>
    <w:uiPriority w:val="99"/>
    <w:semiHidden/>
    <w:unhideWhenUsed/>
    <w:rsid w:val="00900601"/>
    <w:rPr>
      <w:color w:val="800080" w:themeColor="followedHyperlink"/>
      <w:u w:val="single"/>
    </w:rPr>
  </w:style>
  <w:style w:type="character" w:customStyle="1" w:styleId="Heading1Char">
    <w:name w:val="Heading 1 Char"/>
    <w:basedOn w:val="DefaultParagraphFont"/>
    <w:link w:val="Heading1"/>
    <w:uiPriority w:val="9"/>
    <w:rsid w:val="0026355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17695">
      <w:bodyDiv w:val="1"/>
      <w:marLeft w:val="0"/>
      <w:marRight w:val="0"/>
      <w:marTop w:val="0"/>
      <w:marBottom w:val="0"/>
      <w:divBdr>
        <w:top w:val="none" w:sz="0" w:space="0" w:color="auto"/>
        <w:left w:val="none" w:sz="0" w:space="0" w:color="auto"/>
        <w:bottom w:val="none" w:sz="0" w:space="0" w:color="auto"/>
        <w:right w:val="none" w:sz="0" w:space="0" w:color="auto"/>
      </w:divBdr>
      <w:divsChild>
        <w:div w:id="855771219">
          <w:marLeft w:val="0"/>
          <w:marRight w:val="0"/>
          <w:marTop w:val="0"/>
          <w:marBottom w:val="0"/>
          <w:divBdr>
            <w:top w:val="none" w:sz="0" w:space="0" w:color="auto"/>
            <w:left w:val="none" w:sz="0" w:space="0" w:color="auto"/>
            <w:bottom w:val="none" w:sz="0" w:space="0" w:color="auto"/>
            <w:right w:val="none" w:sz="0" w:space="0" w:color="auto"/>
          </w:divBdr>
          <w:divsChild>
            <w:div w:id="234244860">
              <w:marLeft w:val="0"/>
              <w:marRight w:val="0"/>
              <w:marTop w:val="0"/>
              <w:marBottom w:val="0"/>
              <w:divBdr>
                <w:top w:val="none" w:sz="0" w:space="0" w:color="auto"/>
                <w:left w:val="none" w:sz="0" w:space="0" w:color="auto"/>
                <w:bottom w:val="none" w:sz="0" w:space="0" w:color="auto"/>
                <w:right w:val="none" w:sz="0" w:space="0" w:color="auto"/>
              </w:divBdr>
            </w:div>
            <w:div w:id="872503236">
              <w:marLeft w:val="0"/>
              <w:marRight w:val="0"/>
              <w:marTop w:val="0"/>
              <w:marBottom w:val="0"/>
              <w:divBdr>
                <w:top w:val="none" w:sz="0" w:space="0" w:color="auto"/>
                <w:left w:val="none" w:sz="0" w:space="0" w:color="auto"/>
                <w:bottom w:val="none" w:sz="0" w:space="0" w:color="auto"/>
                <w:right w:val="none" w:sz="0" w:space="0" w:color="auto"/>
              </w:divBdr>
            </w:div>
            <w:div w:id="924070740">
              <w:marLeft w:val="0"/>
              <w:marRight w:val="0"/>
              <w:marTop w:val="0"/>
              <w:marBottom w:val="0"/>
              <w:divBdr>
                <w:top w:val="none" w:sz="0" w:space="0" w:color="auto"/>
                <w:left w:val="none" w:sz="0" w:space="0" w:color="auto"/>
                <w:bottom w:val="none" w:sz="0" w:space="0" w:color="auto"/>
                <w:right w:val="none" w:sz="0" w:space="0" w:color="auto"/>
              </w:divBdr>
            </w:div>
            <w:div w:id="1140923847">
              <w:marLeft w:val="0"/>
              <w:marRight w:val="0"/>
              <w:marTop w:val="0"/>
              <w:marBottom w:val="0"/>
              <w:divBdr>
                <w:top w:val="none" w:sz="0" w:space="0" w:color="auto"/>
                <w:left w:val="none" w:sz="0" w:space="0" w:color="auto"/>
                <w:bottom w:val="none" w:sz="0" w:space="0" w:color="auto"/>
                <w:right w:val="none" w:sz="0" w:space="0" w:color="auto"/>
              </w:divBdr>
            </w:div>
            <w:div w:id="1276869647">
              <w:marLeft w:val="0"/>
              <w:marRight w:val="0"/>
              <w:marTop w:val="0"/>
              <w:marBottom w:val="0"/>
              <w:divBdr>
                <w:top w:val="none" w:sz="0" w:space="0" w:color="auto"/>
                <w:left w:val="none" w:sz="0" w:space="0" w:color="auto"/>
                <w:bottom w:val="none" w:sz="0" w:space="0" w:color="auto"/>
                <w:right w:val="none" w:sz="0" w:space="0" w:color="auto"/>
              </w:divBdr>
            </w:div>
            <w:div w:id="1630358117">
              <w:marLeft w:val="0"/>
              <w:marRight w:val="0"/>
              <w:marTop w:val="0"/>
              <w:marBottom w:val="0"/>
              <w:divBdr>
                <w:top w:val="none" w:sz="0" w:space="0" w:color="auto"/>
                <w:left w:val="none" w:sz="0" w:space="0" w:color="auto"/>
                <w:bottom w:val="none" w:sz="0" w:space="0" w:color="auto"/>
                <w:right w:val="none" w:sz="0" w:space="0" w:color="auto"/>
              </w:divBdr>
            </w:div>
            <w:div w:id="1639917079">
              <w:marLeft w:val="0"/>
              <w:marRight w:val="0"/>
              <w:marTop w:val="0"/>
              <w:marBottom w:val="0"/>
              <w:divBdr>
                <w:top w:val="none" w:sz="0" w:space="0" w:color="auto"/>
                <w:left w:val="none" w:sz="0" w:space="0" w:color="auto"/>
                <w:bottom w:val="none" w:sz="0" w:space="0" w:color="auto"/>
                <w:right w:val="none" w:sz="0" w:space="0" w:color="auto"/>
              </w:divBdr>
            </w:div>
          </w:divsChild>
        </w:div>
        <w:div w:id="1986398015">
          <w:marLeft w:val="0"/>
          <w:marRight w:val="0"/>
          <w:marTop w:val="0"/>
          <w:marBottom w:val="0"/>
          <w:divBdr>
            <w:top w:val="none" w:sz="0" w:space="0" w:color="auto"/>
            <w:left w:val="none" w:sz="0" w:space="0" w:color="auto"/>
            <w:bottom w:val="none" w:sz="0" w:space="0" w:color="auto"/>
            <w:right w:val="none" w:sz="0" w:space="0" w:color="auto"/>
          </w:divBdr>
          <w:divsChild>
            <w:div w:id="1485391876">
              <w:marLeft w:val="0"/>
              <w:marRight w:val="0"/>
              <w:marTop w:val="0"/>
              <w:marBottom w:val="0"/>
              <w:divBdr>
                <w:top w:val="none" w:sz="0" w:space="0" w:color="auto"/>
                <w:left w:val="none" w:sz="0" w:space="0" w:color="auto"/>
                <w:bottom w:val="none" w:sz="0" w:space="0" w:color="auto"/>
                <w:right w:val="none" w:sz="0" w:space="0" w:color="auto"/>
              </w:divBdr>
            </w:div>
            <w:div w:id="18411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ergiize.org/equipment-catalo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ergystar.gov/productfinder/product/certified-evse/resul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funding-opportunities/solicita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5685f2-c2e1-4352-89aa-3faca8eaba52">
      <Terms xmlns="http://schemas.microsoft.com/office/infopath/2007/PartnerControls"/>
    </lcf76f155ced4ddcb4097134ff3c332f>
    <TaxCatchAll xmlns="5067c814-4b34-462c-a21d-c185ff6548d2" xsi:nil="true"/>
    <SharedWithUsers xmlns="5067c814-4b34-462c-a21d-c185ff6548d2">
      <UserInfo>
        <DisplayName>Vail, Melanie@Energy</DisplayName>
        <AccountId>175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90683-69B8-46DF-AEF7-A6D22C30B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785685f2-c2e1-4352-89aa-3faca8eaba52"/>
    <ds:schemaRef ds:uri="5067c814-4b34-462c-a21d-c185ff6548d2"/>
  </ds:schemaRefs>
</ds:datastoreItem>
</file>

<file path=customXml/itemProps3.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4.xml><?xml version="1.0" encoding="utf-8"?>
<ds:datastoreItem xmlns:ds="http://schemas.openxmlformats.org/officeDocument/2006/customXml" ds:itemID="{AC1B3591-85F7-4296-8681-810DCA9B2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2449</Words>
  <Characters>13936</Characters>
  <Application>Microsoft Office Word</Application>
  <DocSecurity>0</DocSecurity>
  <Lines>316</Lines>
  <Paragraphs>127</Paragraphs>
  <ScaleCrop>false</ScaleCrop>
  <Company>Wobschall Design</Company>
  <LinksUpToDate>false</LinksUpToDate>
  <CharactersWithSpaces>16258</CharactersWithSpaces>
  <SharedDoc>false</SharedDoc>
  <HLinks>
    <vt:vector size="18" baseType="variant">
      <vt:variant>
        <vt:i4>1769550</vt:i4>
      </vt:variant>
      <vt:variant>
        <vt:i4>6</vt:i4>
      </vt:variant>
      <vt:variant>
        <vt:i4>0</vt:i4>
      </vt:variant>
      <vt:variant>
        <vt:i4>5</vt:i4>
      </vt:variant>
      <vt:variant>
        <vt:lpwstr>https://energiize.org/equipment-catalog/</vt:lpwstr>
      </vt:variant>
      <vt:variant>
        <vt:lpwstr/>
      </vt:variant>
      <vt:variant>
        <vt:i4>7143543</vt:i4>
      </vt:variant>
      <vt:variant>
        <vt:i4>3</vt:i4>
      </vt:variant>
      <vt:variant>
        <vt:i4>0</vt:i4>
      </vt:variant>
      <vt:variant>
        <vt:i4>5</vt:i4>
      </vt:variant>
      <vt:variant>
        <vt:lpwstr>https://www.energystar.gov/productfinder/product/certified-evse/results</vt:lpwstr>
      </vt:variant>
      <vt:variant>
        <vt:lpwstr/>
      </vt:variant>
      <vt:variant>
        <vt:i4>4194311</vt:i4>
      </vt:variant>
      <vt:variant>
        <vt:i4>0</vt:i4>
      </vt:variant>
      <vt:variant>
        <vt:i4>0</vt:i4>
      </vt:variant>
      <vt:variant>
        <vt:i4>5</vt:i4>
      </vt:variant>
      <vt:variant>
        <vt:lpwstr>https://www.energy.ca.gov/funding-opportunities/solicitations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Kidd, Kevin@Energy</cp:lastModifiedBy>
  <cp:revision>139</cp:revision>
  <cp:lastPrinted>2019-04-08T16:38:00Z</cp:lastPrinted>
  <dcterms:created xsi:type="dcterms:W3CDTF">2025-01-05T00:32:00Z</dcterms:created>
  <dcterms:modified xsi:type="dcterms:W3CDTF">2026-03-12T21:47:00Z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a3c3490fe0b700743fd941deb0d0301b64d976e5f17c825269bb95c119a40fc0</vt:lpwstr>
  </property>
  <property fmtid="{D5CDD505-2E9C-101B-9397-08002B2CF9AE}" pid="12" name="docLang">
    <vt:lpwstr>en</vt:lpwstr>
  </property>
</Properties>
</file>