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2062" w14:textId="77777777" w:rsidR="0029016E" w:rsidRPr="004A47C8" w:rsidRDefault="0029016E" w:rsidP="004C10FB">
      <w:pPr>
        <w:pStyle w:val="Heading1"/>
        <w:jc w:val="center"/>
        <w:rPr>
          <w:rStyle w:val="normaltextrun"/>
          <w:rFonts w:ascii="Arial" w:eastAsia="Arial" w:hAnsi="Arial" w:cs="Arial"/>
          <w:b/>
          <w:color w:val="000000" w:themeColor="text1"/>
          <w:sz w:val="24"/>
          <w:szCs w:val="24"/>
        </w:rPr>
      </w:pPr>
      <w:r w:rsidRPr="004A47C8">
        <w:rPr>
          <w:rStyle w:val="normaltextrun"/>
          <w:rFonts w:ascii="Arial" w:eastAsia="Arial" w:hAnsi="Arial" w:cs="Arial"/>
          <w:b/>
          <w:color w:val="000000" w:themeColor="text1"/>
          <w:sz w:val="24"/>
          <w:szCs w:val="24"/>
        </w:rPr>
        <w:t>Questions and Answers</w:t>
      </w:r>
    </w:p>
    <w:p w14:paraId="18C93ADE" w14:textId="77777777" w:rsidR="00C92922" w:rsidRPr="004A47C8" w:rsidRDefault="00C92922" w:rsidP="0029016E">
      <w:pPr>
        <w:pStyle w:val="NoSpacing"/>
        <w:jc w:val="center"/>
        <w:rPr>
          <w:rStyle w:val="normaltextrun"/>
          <w:rFonts w:ascii="Arial" w:eastAsia="Arial" w:hAnsi="Arial" w:cs="Arial"/>
          <w:b/>
          <w:color w:val="000000" w:themeColor="text1"/>
          <w:sz w:val="24"/>
          <w:szCs w:val="24"/>
        </w:rPr>
      </w:pPr>
      <w:r w:rsidRPr="004A47C8">
        <w:rPr>
          <w:rStyle w:val="normaltextrun"/>
          <w:rFonts w:ascii="Arial" w:eastAsia="Arial" w:hAnsi="Arial" w:cs="Arial"/>
          <w:b/>
          <w:color w:val="000000" w:themeColor="text1"/>
          <w:sz w:val="24"/>
          <w:szCs w:val="24"/>
        </w:rPr>
        <w:t>GFO-25-304</w:t>
      </w:r>
    </w:p>
    <w:p w14:paraId="51123B75" w14:textId="35CFAC1F" w:rsidR="00FD1D3A" w:rsidRPr="004A47C8" w:rsidRDefault="00DF37AB" w:rsidP="0029016E">
      <w:pPr>
        <w:pStyle w:val="NoSpacing"/>
        <w:jc w:val="center"/>
        <w:rPr>
          <w:rStyle w:val="normaltextrun"/>
          <w:rFonts w:ascii="Arial" w:eastAsia="Arial" w:hAnsi="Arial" w:cs="Arial"/>
          <w:b/>
          <w:color w:val="000000" w:themeColor="text1"/>
          <w:sz w:val="24"/>
          <w:szCs w:val="24"/>
        </w:rPr>
      </w:pPr>
      <w:r w:rsidRPr="004A47C8">
        <w:rPr>
          <w:rStyle w:val="normaltextrun"/>
          <w:rFonts w:ascii="Arial" w:eastAsia="Arial" w:hAnsi="Arial" w:cs="Arial"/>
          <w:b/>
          <w:color w:val="000000" w:themeColor="text1"/>
          <w:sz w:val="24"/>
          <w:szCs w:val="24"/>
        </w:rPr>
        <w:t>Modeling and Monitoring Air Quality and Co-Benefits of Energy Interventions</w:t>
      </w:r>
    </w:p>
    <w:p w14:paraId="7364AB02" w14:textId="7A7A5C0E" w:rsidR="0029016E" w:rsidRPr="00A27775" w:rsidRDefault="00476A7D" w:rsidP="0029016E">
      <w:pPr>
        <w:pStyle w:val="NoSpacing"/>
        <w:jc w:val="center"/>
        <w:rPr>
          <w:rFonts w:ascii="Arial" w:eastAsia="Arial" w:hAnsi="Arial" w:cs="Arial"/>
          <w:color w:val="000000" w:themeColor="text1"/>
          <w:sz w:val="24"/>
          <w:szCs w:val="24"/>
        </w:rPr>
      </w:pPr>
      <w:r w:rsidRPr="00A27775">
        <w:rPr>
          <w:rStyle w:val="normaltextrun"/>
          <w:rFonts w:ascii="Arial" w:eastAsia="Arial" w:hAnsi="Arial" w:cs="Arial"/>
          <w:b/>
          <w:color w:val="000000" w:themeColor="text1"/>
          <w:sz w:val="24"/>
          <w:szCs w:val="24"/>
        </w:rPr>
        <w:t xml:space="preserve">March </w:t>
      </w:r>
      <w:r w:rsidR="004A47C8" w:rsidRPr="00A27775">
        <w:rPr>
          <w:rStyle w:val="normaltextrun"/>
          <w:rFonts w:ascii="Arial" w:eastAsia="Arial" w:hAnsi="Arial" w:cs="Arial"/>
          <w:b/>
          <w:color w:val="000000" w:themeColor="text1"/>
          <w:sz w:val="24"/>
          <w:szCs w:val="24"/>
        </w:rPr>
        <w:t>2</w:t>
      </w:r>
      <w:r w:rsidR="0073331B">
        <w:rPr>
          <w:rStyle w:val="normaltextrun"/>
          <w:rFonts w:ascii="Arial" w:eastAsia="Arial" w:hAnsi="Arial" w:cs="Arial"/>
          <w:b/>
          <w:color w:val="000000" w:themeColor="text1"/>
          <w:sz w:val="24"/>
          <w:szCs w:val="24"/>
        </w:rPr>
        <w:t>4</w:t>
      </w:r>
      <w:r w:rsidR="00DF37AB" w:rsidRPr="00A27775">
        <w:rPr>
          <w:rStyle w:val="normaltextrun"/>
          <w:rFonts w:ascii="Arial" w:eastAsia="Arial" w:hAnsi="Arial" w:cs="Arial"/>
          <w:b/>
          <w:color w:val="000000" w:themeColor="text1"/>
          <w:sz w:val="24"/>
          <w:szCs w:val="24"/>
        </w:rPr>
        <w:t>, 2026</w:t>
      </w:r>
    </w:p>
    <w:p w14:paraId="7801542C" w14:textId="77777777" w:rsidR="0029016E" w:rsidRPr="004A47C8" w:rsidRDefault="0029016E" w:rsidP="0029016E">
      <w:pPr>
        <w:pStyle w:val="NoSpacing"/>
        <w:jc w:val="center"/>
        <w:rPr>
          <w:rFonts w:ascii="Arial" w:eastAsia="Arial" w:hAnsi="Arial" w:cs="Arial"/>
          <w:color w:val="000000" w:themeColor="text1"/>
          <w:sz w:val="24"/>
          <w:szCs w:val="24"/>
        </w:rPr>
      </w:pPr>
    </w:p>
    <w:p w14:paraId="66072447" w14:textId="19252BE1" w:rsidR="0029016E" w:rsidRPr="004A47C8" w:rsidRDefault="0029016E" w:rsidP="0029016E">
      <w:pPr>
        <w:pStyle w:val="NoSpacing"/>
        <w:jc w:val="both"/>
        <w:rPr>
          <w:rStyle w:val="normaltextrun"/>
          <w:rFonts w:ascii="Arial" w:eastAsia="Arial" w:hAnsi="Arial" w:cs="Arial"/>
          <w:color w:val="000000" w:themeColor="text1"/>
          <w:sz w:val="24"/>
          <w:szCs w:val="24"/>
        </w:rPr>
      </w:pPr>
      <w:r w:rsidRPr="004A47C8">
        <w:rPr>
          <w:rStyle w:val="normaltextrun"/>
          <w:rFonts w:ascii="Arial" w:eastAsia="Arial" w:hAnsi="Arial" w:cs="Arial"/>
          <w:color w:val="000000" w:themeColor="text1"/>
          <w:sz w:val="24"/>
          <w:szCs w:val="24"/>
        </w:rPr>
        <w:t xml:space="preserve">The following answers are based on California Energy Commission (CEC) staff’s interpretation of the questions received. It is the Applicant’s responsibility to review the purpose of the solicitation and to determine </w:t>
      </w:r>
      <w:proofErr w:type="gramStart"/>
      <w:r w:rsidRPr="004A47C8">
        <w:rPr>
          <w:rStyle w:val="normaltextrun"/>
          <w:rFonts w:ascii="Arial" w:eastAsia="Arial" w:hAnsi="Arial" w:cs="Arial"/>
          <w:color w:val="000000" w:themeColor="text1"/>
          <w:sz w:val="24"/>
          <w:szCs w:val="24"/>
        </w:rPr>
        <w:t>whether or not</w:t>
      </w:r>
      <w:proofErr w:type="gramEnd"/>
      <w:r w:rsidRPr="004A47C8">
        <w:rPr>
          <w:rStyle w:val="normaltextrun"/>
          <w:rFonts w:ascii="Arial" w:eastAsia="Arial" w:hAnsi="Arial" w:cs="Arial"/>
          <w:color w:val="000000" w:themeColor="text1"/>
          <w:sz w:val="24"/>
          <w:szCs w:val="24"/>
        </w:rPr>
        <w:t xml:space="preserve"> their proposed project is eligible for funding by reviewing the Eligibility Requirements within the solicitation. The CEC cannot give advice as to whether a particular project is eligible for funding, because not all proposal details are known.</w:t>
      </w:r>
    </w:p>
    <w:p w14:paraId="2F6D5309" w14:textId="77777777" w:rsidR="005F67A5" w:rsidRPr="004A47C8" w:rsidRDefault="005F67A5" w:rsidP="0029016E">
      <w:pPr>
        <w:pStyle w:val="NoSpacing"/>
        <w:jc w:val="both"/>
        <w:rPr>
          <w:rStyle w:val="normaltextrun"/>
          <w:rFonts w:ascii="Arial" w:eastAsia="Arial" w:hAnsi="Arial" w:cs="Arial"/>
          <w:color w:val="000000" w:themeColor="text1"/>
          <w:sz w:val="24"/>
          <w:szCs w:val="24"/>
        </w:rPr>
      </w:pPr>
    </w:p>
    <w:p w14:paraId="4E206A31" w14:textId="196BC27A" w:rsidR="005F67A5" w:rsidRPr="004A47C8" w:rsidRDefault="005F67A5" w:rsidP="0029016E">
      <w:pPr>
        <w:pStyle w:val="NoSpacing"/>
        <w:jc w:val="both"/>
        <w:rPr>
          <w:rStyle w:val="normaltextrun"/>
          <w:rFonts w:ascii="Arial" w:eastAsia="Arial" w:hAnsi="Arial" w:cs="Arial"/>
          <w:color w:val="000000" w:themeColor="text1"/>
          <w:sz w:val="24"/>
          <w:szCs w:val="24"/>
        </w:rPr>
      </w:pPr>
      <w:r w:rsidRPr="004A47C8">
        <w:rPr>
          <w:rStyle w:val="normaltextrun"/>
          <w:rFonts w:ascii="Arial" w:eastAsia="Arial" w:hAnsi="Arial" w:cs="Arial"/>
          <w:color w:val="000000" w:themeColor="text1"/>
          <w:sz w:val="24"/>
          <w:szCs w:val="24"/>
        </w:rPr>
        <w:t xml:space="preserve">Additionally, the deadline to submit applications has been extended to </w:t>
      </w:r>
      <w:r w:rsidR="0B2DE228" w:rsidRPr="004A47C8">
        <w:rPr>
          <w:rStyle w:val="normaltextrun"/>
          <w:rFonts w:ascii="Arial" w:eastAsia="Arial" w:hAnsi="Arial" w:cs="Arial"/>
          <w:color w:val="000000" w:themeColor="text1"/>
          <w:sz w:val="24"/>
          <w:szCs w:val="24"/>
        </w:rPr>
        <w:t>June 1</w:t>
      </w:r>
      <w:r w:rsidR="00F96721">
        <w:rPr>
          <w:rStyle w:val="normaltextrun"/>
          <w:rFonts w:ascii="Arial" w:eastAsia="Arial" w:hAnsi="Arial" w:cs="Arial"/>
          <w:color w:val="000000" w:themeColor="text1"/>
          <w:sz w:val="24"/>
          <w:szCs w:val="24"/>
        </w:rPr>
        <w:t>9</w:t>
      </w:r>
      <w:r w:rsidR="00270F6A" w:rsidRPr="004A47C8">
        <w:rPr>
          <w:rStyle w:val="normaltextrun"/>
          <w:rFonts w:ascii="Arial" w:eastAsia="Arial" w:hAnsi="Arial" w:cs="Arial"/>
          <w:color w:val="000000" w:themeColor="text1"/>
          <w:sz w:val="24"/>
          <w:szCs w:val="24"/>
        </w:rPr>
        <w:t>, 2026</w:t>
      </w:r>
      <w:r w:rsidRPr="004A47C8">
        <w:rPr>
          <w:rStyle w:val="normaltextrun"/>
          <w:rFonts w:ascii="Arial" w:eastAsia="Arial" w:hAnsi="Arial" w:cs="Arial"/>
          <w:color w:val="000000" w:themeColor="text1"/>
          <w:sz w:val="24"/>
          <w:szCs w:val="24"/>
        </w:rPr>
        <w:t xml:space="preserve">. Full details are provided in </w:t>
      </w:r>
      <w:r w:rsidRPr="004A47C8">
        <w:rPr>
          <w:rStyle w:val="normaltextrun"/>
          <w:rFonts w:ascii="Arial" w:eastAsia="Arial" w:hAnsi="Arial" w:cs="Arial"/>
          <w:b/>
          <w:color w:val="000000" w:themeColor="text1"/>
          <w:sz w:val="24"/>
          <w:szCs w:val="24"/>
        </w:rPr>
        <w:t>Solicitation Addendum 1</w:t>
      </w:r>
      <w:r w:rsidRPr="004A47C8">
        <w:rPr>
          <w:rStyle w:val="normaltextrun"/>
          <w:rFonts w:ascii="Arial" w:eastAsia="Arial" w:hAnsi="Arial" w:cs="Arial"/>
          <w:color w:val="000000" w:themeColor="text1"/>
          <w:sz w:val="24"/>
          <w:szCs w:val="24"/>
        </w:rPr>
        <w:t>.</w:t>
      </w:r>
    </w:p>
    <w:p w14:paraId="2061B04B" w14:textId="77777777" w:rsidR="0026183C" w:rsidRPr="000F6227" w:rsidRDefault="0026183C">
      <w:pPr>
        <w:rPr>
          <w:rFonts w:eastAsia="Arial"/>
          <w:sz w:val="24"/>
          <w:szCs w:val="24"/>
        </w:rPr>
      </w:pPr>
    </w:p>
    <w:p w14:paraId="47CC47C5" w14:textId="77777777" w:rsidR="00083D33" w:rsidRPr="00920065" w:rsidRDefault="00083D33" w:rsidP="00920065">
      <w:pPr>
        <w:pStyle w:val="Heading2"/>
        <w:rPr>
          <w:rFonts w:ascii="Arial" w:hAnsi="Arial" w:cs="Arial"/>
          <w:b/>
          <w:bCs/>
          <w:i/>
          <w:iCs/>
          <w:color w:val="auto"/>
          <w:sz w:val="24"/>
          <w:szCs w:val="24"/>
          <w:u w:val="single"/>
        </w:rPr>
      </w:pPr>
      <w:r w:rsidRPr="00920065">
        <w:rPr>
          <w:rFonts w:ascii="Arial" w:hAnsi="Arial" w:cs="Arial"/>
          <w:b/>
          <w:bCs/>
          <w:i/>
          <w:iCs/>
          <w:color w:val="auto"/>
          <w:sz w:val="24"/>
          <w:szCs w:val="24"/>
          <w:u w:val="single"/>
        </w:rPr>
        <w:t>Administration/Process</w:t>
      </w:r>
    </w:p>
    <w:p w14:paraId="02EA24B7" w14:textId="77777777" w:rsidR="00083D33" w:rsidRPr="000F6227" w:rsidRDefault="00083D33" w:rsidP="00083D33">
      <w:pPr>
        <w:pStyle w:val="NoSpacing"/>
        <w:jc w:val="both"/>
        <w:rPr>
          <w:rFonts w:ascii="Arial" w:eastAsia="Arial" w:hAnsi="Arial" w:cs="Arial"/>
          <w:b/>
          <w:i/>
          <w:color w:val="000000" w:themeColor="text1"/>
          <w:sz w:val="24"/>
          <w:szCs w:val="24"/>
          <w:u w:val="single"/>
        </w:rPr>
      </w:pPr>
    </w:p>
    <w:p w14:paraId="0D196651" w14:textId="71D7A782" w:rsidR="00227CE1" w:rsidRPr="000F6227" w:rsidRDefault="00144BDC" w:rsidP="00144BDC">
      <w:pPr>
        <w:ind w:left="720" w:hanging="720"/>
        <w:rPr>
          <w:rFonts w:eastAsia="Arial"/>
          <w:b/>
          <w:color w:val="000000" w:themeColor="text1"/>
          <w:sz w:val="24"/>
          <w:szCs w:val="24"/>
        </w:rPr>
      </w:pPr>
      <w:r w:rsidRPr="000F6227">
        <w:rPr>
          <w:rFonts w:eastAsia="Arial"/>
          <w:b/>
          <w:color w:val="000000" w:themeColor="text1"/>
          <w:sz w:val="24"/>
          <w:szCs w:val="24"/>
        </w:rPr>
        <w:t>Q1:</w:t>
      </w:r>
      <w:r>
        <w:rPr>
          <w:rFonts w:eastAsiaTheme="minorEastAsia"/>
        </w:rPr>
        <w:tab/>
      </w:r>
      <w:r w:rsidR="004E3542" w:rsidRPr="000F6227">
        <w:rPr>
          <w:rFonts w:eastAsia="Arial"/>
          <w:b/>
          <w:color w:val="000000" w:themeColor="text1"/>
          <w:sz w:val="24"/>
          <w:szCs w:val="24"/>
        </w:rPr>
        <w:t xml:space="preserve">The Group 1 scope includes at least 3 distinct elements that should each have their own funding / project grants. </w:t>
      </w:r>
      <w:r w:rsidR="00345192" w:rsidRPr="000F6227">
        <w:rPr>
          <w:rFonts w:eastAsia="Arial"/>
          <w:b/>
          <w:color w:val="000000" w:themeColor="text1"/>
          <w:sz w:val="24"/>
          <w:szCs w:val="24"/>
        </w:rPr>
        <w:t>Why is there only one award of $3 million to cover all required elements?</w:t>
      </w:r>
    </w:p>
    <w:p w14:paraId="053EBEE4" w14:textId="32D2E2D0" w:rsidR="00C00F3E" w:rsidRPr="000F6227" w:rsidRDefault="00227CE1" w:rsidP="00780379">
      <w:pPr>
        <w:ind w:left="720" w:hanging="720"/>
        <w:rPr>
          <w:rFonts w:eastAsia="Arial"/>
          <w:sz w:val="24"/>
          <w:szCs w:val="24"/>
        </w:rPr>
      </w:pPr>
      <w:r w:rsidRPr="000F6227">
        <w:rPr>
          <w:rFonts w:eastAsia="Arial"/>
          <w:color w:val="000000" w:themeColor="text1"/>
          <w:sz w:val="24"/>
          <w:szCs w:val="24"/>
        </w:rPr>
        <w:t>A1:</w:t>
      </w:r>
      <w:r>
        <w:tab/>
      </w:r>
      <w:r w:rsidR="00826266" w:rsidRPr="000F6227">
        <w:rPr>
          <w:rFonts w:eastAsia="Arial"/>
          <w:sz w:val="24"/>
          <w:szCs w:val="24"/>
        </w:rPr>
        <w:t xml:space="preserve">As specified in Section I.C. (Project Focus) and Section I.D. (Funding), Group 1 is structured as a single award of up to $3,000,000 to support an integrated applied research project. </w:t>
      </w:r>
      <w:r w:rsidR="002C67D5" w:rsidRPr="000F6227">
        <w:rPr>
          <w:rFonts w:eastAsia="Arial"/>
          <w:sz w:val="24"/>
          <w:szCs w:val="24"/>
        </w:rPr>
        <w:t>The intent is to fund one comprehensive effort that advances modeling capabilities, conducts the required policy-relevant analyses, develops the high-resolution spatial tool, and evaluates optimal and equitable placement of air quality sensors within California’s existing regulatory network</w:t>
      </w:r>
      <w:r w:rsidR="00826266" w:rsidRPr="000F6227">
        <w:rPr>
          <w:rFonts w:eastAsia="Arial"/>
          <w:sz w:val="24"/>
          <w:szCs w:val="24"/>
        </w:rPr>
        <w:t xml:space="preserve">. </w:t>
      </w:r>
    </w:p>
    <w:p w14:paraId="079D9BCB" w14:textId="33F5F4C3" w:rsidR="00C00F3E" w:rsidRPr="000F6227" w:rsidRDefault="00C00F3E" w:rsidP="00780379">
      <w:pPr>
        <w:ind w:left="720"/>
        <w:rPr>
          <w:rFonts w:eastAsia="Arial"/>
          <w:sz w:val="24"/>
          <w:szCs w:val="24"/>
        </w:rPr>
      </w:pPr>
      <w:r w:rsidRPr="000F6227">
        <w:rPr>
          <w:rFonts w:eastAsia="Arial"/>
          <w:sz w:val="24"/>
          <w:szCs w:val="24"/>
        </w:rPr>
        <w:t xml:space="preserve">Prior to release of this solicitation, CEC staff held a public scoping workshop </w:t>
      </w:r>
      <w:r w:rsidR="0055766D" w:rsidRPr="000F6227">
        <w:rPr>
          <w:rFonts w:eastAsia="Arial"/>
          <w:sz w:val="24"/>
          <w:szCs w:val="24"/>
        </w:rPr>
        <w:t>(</w:t>
      </w:r>
      <w:r w:rsidRPr="000F6227">
        <w:rPr>
          <w:rFonts w:eastAsia="Arial"/>
          <w:sz w:val="24"/>
          <w:szCs w:val="24"/>
        </w:rPr>
        <w:t>January 30, 2024</w:t>
      </w:r>
      <w:r w:rsidR="0055766D" w:rsidRPr="000F6227">
        <w:rPr>
          <w:rFonts w:eastAsia="Arial"/>
          <w:sz w:val="24"/>
          <w:szCs w:val="24"/>
        </w:rPr>
        <w:t>)</w:t>
      </w:r>
      <w:r w:rsidRPr="000F6227">
        <w:rPr>
          <w:rFonts w:eastAsia="Arial"/>
          <w:sz w:val="24"/>
          <w:szCs w:val="24"/>
        </w:rPr>
        <w:t xml:space="preserve"> to gather stakeholder input on the proposed research scope and funding level. During that workshop, staff specifically posed the discussion question: “</w:t>
      </w:r>
      <w:r w:rsidRPr="000F6227">
        <w:rPr>
          <w:rFonts w:eastAsia="Arial"/>
          <w:i/>
          <w:sz w:val="24"/>
          <w:szCs w:val="24"/>
        </w:rPr>
        <w:t>The proposed funding for Group 1 is $3 million. Is this funding amount sufficient to support the research scope of Group 1?</w:t>
      </w:r>
      <w:r w:rsidRPr="000F6227">
        <w:rPr>
          <w:rFonts w:eastAsia="Arial"/>
          <w:sz w:val="24"/>
          <w:szCs w:val="24"/>
        </w:rPr>
        <w:t>” No concerns were raised during the workshop regarding the adequacy of the proposed funding level for Group 1.</w:t>
      </w:r>
    </w:p>
    <w:p w14:paraId="3F7DA99B" w14:textId="06A2ABAE" w:rsidR="00C00F3E" w:rsidRPr="000F6227" w:rsidRDefault="00C00F3E" w:rsidP="00780379">
      <w:pPr>
        <w:ind w:left="720"/>
        <w:rPr>
          <w:rFonts w:eastAsia="Arial"/>
          <w:sz w:val="24"/>
          <w:szCs w:val="24"/>
        </w:rPr>
      </w:pPr>
      <w:r w:rsidRPr="000F6227">
        <w:rPr>
          <w:rFonts w:eastAsia="Arial"/>
          <w:sz w:val="24"/>
          <w:szCs w:val="24"/>
        </w:rPr>
        <w:t>Workshop materials and recording are available publicly at:</w:t>
      </w:r>
      <w:r w:rsidR="00780379" w:rsidRPr="000F6227">
        <w:rPr>
          <w:rFonts w:eastAsia="Arial"/>
          <w:sz w:val="24"/>
          <w:szCs w:val="24"/>
        </w:rPr>
        <w:t xml:space="preserve"> </w:t>
      </w:r>
      <w:hyperlink r:id="rId11">
        <w:r w:rsidR="00780379" w:rsidRPr="000F6227">
          <w:rPr>
            <w:rStyle w:val="Hyperlink"/>
            <w:rFonts w:eastAsia="Arial"/>
            <w:sz w:val="24"/>
            <w:szCs w:val="24"/>
          </w:rPr>
          <w:t>https://www.energy.ca.gov/event/workshop/2024-01/staff-workshop-funding-support-modeling-and-monitoring-air-quality-and-co</w:t>
        </w:r>
      </w:hyperlink>
      <w:r w:rsidR="260CA66A" w:rsidRPr="2D4D31BF">
        <w:rPr>
          <w:rFonts w:eastAsia="Arial"/>
          <w:sz w:val="24"/>
          <w:szCs w:val="24"/>
        </w:rPr>
        <w:t>.</w:t>
      </w:r>
      <w:r w:rsidR="00780379" w:rsidRPr="000F6227">
        <w:rPr>
          <w:rFonts w:eastAsia="Arial"/>
          <w:sz w:val="24"/>
          <w:szCs w:val="24"/>
        </w:rPr>
        <w:t xml:space="preserve"> </w:t>
      </w:r>
    </w:p>
    <w:p w14:paraId="1C736CB5" w14:textId="49C166A6" w:rsidR="004D7C93" w:rsidRPr="000F6227" w:rsidRDefault="00D46C73" w:rsidP="004D7C93">
      <w:pPr>
        <w:ind w:left="720"/>
        <w:rPr>
          <w:rFonts w:eastAsia="Arial"/>
          <w:sz w:val="24"/>
          <w:szCs w:val="24"/>
        </w:rPr>
      </w:pPr>
      <w:r w:rsidRPr="000F6227">
        <w:rPr>
          <w:rFonts w:eastAsia="Arial"/>
          <w:sz w:val="24"/>
          <w:szCs w:val="24"/>
        </w:rPr>
        <w:t>Applicants are expected to propose a cohesive and strategically scoped project within the available budget. Budget adequacy, technical feasibility, and alignment with required elements will be evaluated during the application review process.</w:t>
      </w:r>
    </w:p>
    <w:p w14:paraId="34E61496" w14:textId="77777777" w:rsidR="004B736E" w:rsidRPr="000F6227" w:rsidRDefault="004B736E" w:rsidP="004B736E">
      <w:pPr>
        <w:rPr>
          <w:rFonts w:eastAsia="Arial"/>
          <w:color w:val="000000" w:themeColor="text1"/>
          <w:sz w:val="24"/>
          <w:szCs w:val="24"/>
        </w:rPr>
      </w:pPr>
    </w:p>
    <w:p w14:paraId="745FDFC7" w14:textId="6AC52ED4" w:rsidR="001E7E6E" w:rsidRPr="000F6227" w:rsidRDefault="00227CE1" w:rsidP="00227CE1">
      <w:pPr>
        <w:ind w:left="720" w:hanging="720"/>
        <w:rPr>
          <w:rFonts w:eastAsia="Arial"/>
          <w:b/>
          <w:color w:val="000000" w:themeColor="text1"/>
          <w:sz w:val="24"/>
          <w:szCs w:val="24"/>
        </w:rPr>
      </w:pPr>
      <w:r w:rsidRPr="000F6227">
        <w:rPr>
          <w:rFonts w:eastAsia="Arial"/>
          <w:b/>
          <w:color w:val="000000" w:themeColor="text1"/>
          <w:sz w:val="24"/>
          <w:szCs w:val="24"/>
        </w:rPr>
        <w:t>Q</w:t>
      </w:r>
      <w:r w:rsidR="004F02F0" w:rsidRPr="000F6227">
        <w:rPr>
          <w:rFonts w:eastAsia="Arial"/>
          <w:b/>
          <w:color w:val="000000" w:themeColor="text1"/>
          <w:sz w:val="24"/>
          <w:szCs w:val="24"/>
        </w:rPr>
        <w:t>2</w:t>
      </w:r>
      <w:r w:rsidRPr="000F6227">
        <w:rPr>
          <w:rFonts w:eastAsia="Arial"/>
          <w:b/>
          <w:color w:val="000000" w:themeColor="text1"/>
          <w:sz w:val="24"/>
          <w:szCs w:val="24"/>
        </w:rPr>
        <w:t>:</w:t>
      </w:r>
      <w:r>
        <w:rPr>
          <w:rFonts w:eastAsiaTheme="minorEastAsia"/>
        </w:rPr>
        <w:tab/>
      </w:r>
      <w:r w:rsidR="00FD5672" w:rsidRPr="000F6227">
        <w:rPr>
          <w:rFonts w:eastAsia="Arial"/>
          <w:b/>
          <w:color w:val="000000" w:themeColor="text1"/>
          <w:sz w:val="24"/>
          <w:szCs w:val="24"/>
        </w:rPr>
        <w:t xml:space="preserve">What are the grant terms (years) for each </w:t>
      </w:r>
      <w:r w:rsidR="00876BA8" w:rsidRPr="000F6227">
        <w:rPr>
          <w:rFonts w:eastAsia="Arial"/>
          <w:b/>
          <w:color w:val="000000" w:themeColor="text1"/>
          <w:sz w:val="24"/>
          <w:szCs w:val="24"/>
        </w:rPr>
        <w:t>project group</w:t>
      </w:r>
      <w:r w:rsidR="00FD5672" w:rsidRPr="000F6227">
        <w:rPr>
          <w:rFonts w:eastAsia="Arial"/>
          <w:b/>
          <w:color w:val="000000" w:themeColor="text1"/>
          <w:sz w:val="24"/>
          <w:szCs w:val="24"/>
        </w:rPr>
        <w:t>?</w:t>
      </w:r>
    </w:p>
    <w:p w14:paraId="480D986C" w14:textId="34D844EF" w:rsidR="005F3853" w:rsidRPr="000F6227" w:rsidRDefault="005F3853" w:rsidP="08388A69">
      <w:pPr>
        <w:ind w:left="720" w:hanging="720"/>
        <w:rPr>
          <w:rFonts w:eastAsia="Arial"/>
          <w:sz w:val="24"/>
          <w:szCs w:val="24"/>
        </w:rPr>
      </w:pPr>
      <w:r w:rsidRPr="000F6227">
        <w:rPr>
          <w:rFonts w:eastAsia="Arial"/>
          <w:color w:val="000000" w:themeColor="text1"/>
          <w:sz w:val="24"/>
          <w:szCs w:val="24"/>
        </w:rPr>
        <w:lastRenderedPageBreak/>
        <w:t>A</w:t>
      </w:r>
      <w:r w:rsidR="004F02F0" w:rsidRPr="000F6227">
        <w:rPr>
          <w:rFonts w:eastAsia="Arial"/>
          <w:color w:val="000000" w:themeColor="text1"/>
          <w:sz w:val="24"/>
          <w:szCs w:val="24"/>
        </w:rPr>
        <w:t>2</w:t>
      </w:r>
      <w:r w:rsidRPr="000F6227">
        <w:rPr>
          <w:rFonts w:eastAsia="Arial"/>
          <w:color w:val="000000" w:themeColor="text1"/>
          <w:sz w:val="24"/>
          <w:szCs w:val="24"/>
        </w:rPr>
        <w:t>:</w:t>
      </w:r>
      <w:r>
        <w:tab/>
      </w:r>
      <w:r w:rsidR="003742F2" w:rsidRPr="000F6227">
        <w:rPr>
          <w:rFonts w:eastAsia="Arial"/>
          <w:sz w:val="24"/>
          <w:szCs w:val="24"/>
        </w:rPr>
        <w:t>The anticipated agreement term is up to five (5) years. However, applicants may propose a shorter project period if justified by the scope of work. The proposed schedule should align with the technical objectives and deliverables described in Section I.C.</w:t>
      </w:r>
    </w:p>
    <w:p w14:paraId="7AFB17B0" w14:textId="77777777" w:rsidR="00F4794E" w:rsidRPr="000F6227" w:rsidRDefault="00F4794E" w:rsidP="08388A69">
      <w:pPr>
        <w:ind w:left="720" w:hanging="720"/>
        <w:rPr>
          <w:rFonts w:eastAsia="Arial"/>
          <w:color w:val="000000" w:themeColor="text1"/>
          <w:sz w:val="24"/>
          <w:szCs w:val="24"/>
        </w:rPr>
      </w:pPr>
    </w:p>
    <w:p w14:paraId="1E1D7474" w14:textId="18442AAA" w:rsidR="00F4794E" w:rsidRPr="000F6227" w:rsidRDefault="00F4794E" w:rsidP="00F4794E">
      <w:pPr>
        <w:ind w:left="720" w:hanging="720"/>
        <w:rPr>
          <w:rFonts w:eastAsia="Arial"/>
          <w:b/>
          <w:sz w:val="24"/>
          <w:szCs w:val="24"/>
        </w:rPr>
      </w:pPr>
      <w:r w:rsidRPr="000F6227">
        <w:rPr>
          <w:rFonts w:eastAsia="Arial"/>
          <w:b/>
          <w:sz w:val="24"/>
          <w:szCs w:val="24"/>
        </w:rPr>
        <w:t>Q</w:t>
      </w:r>
      <w:r w:rsidR="00CD7314" w:rsidRPr="000F6227">
        <w:rPr>
          <w:rFonts w:eastAsia="Arial"/>
          <w:b/>
          <w:sz w:val="24"/>
          <w:szCs w:val="24"/>
        </w:rPr>
        <w:t>3</w:t>
      </w:r>
      <w:r w:rsidRPr="000F6227">
        <w:rPr>
          <w:rFonts w:eastAsia="Arial"/>
          <w:b/>
          <w:sz w:val="24"/>
          <w:szCs w:val="24"/>
        </w:rPr>
        <w:t>:</w:t>
      </w:r>
      <w:r>
        <w:tab/>
      </w:r>
      <w:r w:rsidR="00C931FA" w:rsidRPr="000F6227">
        <w:rPr>
          <w:rFonts w:eastAsia="Arial"/>
          <w:b/>
          <w:sz w:val="24"/>
          <w:szCs w:val="24"/>
        </w:rPr>
        <w:t>Must the project duration be five years, or may applicants propose shorter durations</w:t>
      </w:r>
      <w:r w:rsidRPr="000F6227">
        <w:rPr>
          <w:rFonts w:eastAsia="Arial"/>
          <w:b/>
          <w:sz w:val="24"/>
          <w:szCs w:val="24"/>
        </w:rPr>
        <w:t>?</w:t>
      </w:r>
    </w:p>
    <w:p w14:paraId="287046A3" w14:textId="050184DE" w:rsidR="00F4794E" w:rsidRPr="00780007" w:rsidRDefault="00F4794E" w:rsidP="00F4794E">
      <w:pPr>
        <w:ind w:left="720" w:hanging="720"/>
        <w:rPr>
          <w:rFonts w:eastAsia="Arial"/>
          <w:color w:val="000000" w:themeColor="text1"/>
          <w:sz w:val="24"/>
          <w:szCs w:val="24"/>
        </w:rPr>
      </w:pPr>
      <w:r w:rsidRPr="000F6227">
        <w:rPr>
          <w:rFonts w:eastAsia="Arial"/>
          <w:b/>
          <w:sz w:val="24"/>
          <w:szCs w:val="24"/>
        </w:rPr>
        <w:t>A</w:t>
      </w:r>
      <w:r w:rsidR="00CD7314" w:rsidRPr="000F6227">
        <w:rPr>
          <w:rFonts w:eastAsia="Arial"/>
          <w:b/>
          <w:sz w:val="24"/>
          <w:szCs w:val="24"/>
        </w:rPr>
        <w:t>3</w:t>
      </w:r>
      <w:r w:rsidRPr="000F6227">
        <w:rPr>
          <w:rFonts w:eastAsia="Arial"/>
          <w:b/>
          <w:sz w:val="24"/>
          <w:szCs w:val="24"/>
        </w:rPr>
        <w:t xml:space="preserve">: </w:t>
      </w:r>
      <w:r>
        <w:tab/>
      </w:r>
      <w:r w:rsidRPr="000F6227">
        <w:rPr>
          <w:rFonts w:eastAsia="Arial"/>
          <w:sz w:val="24"/>
          <w:szCs w:val="24"/>
        </w:rPr>
        <w:t xml:space="preserve">The anticipated agreement period is up to five years, but applicants may propose a shorter duration (e.g., 2–3 years) if </w:t>
      </w:r>
      <w:r w:rsidR="00254277" w:rsidRPr="000F6227">
        <w:rPr>
          <w:rFonts w:eastAsia="Arial"/>
          <w:sz w:val="24"/>
          <w:szCs w:val="24"/>
        </w:rPr>
        <w:t>appropriate</w:t>
      </w:r>
      <w:r w:rsidRPr="000F6227">
        <w:rPr>
          <w:rFonts w:eastAsia="Arial"/>
          <w:sz w:val="24"/>
          <w:szCs w:val="24"/>
        </w:rPr>
        <w:t>. The proposed project timeline must support completion of all required tasks.</w:t>
      </w:r>
      <w:r w:rsidR="6A361989" w:rsidRPr="2D4D31BF">
        <w:rPr>
          <w:rFonts w:eastAsia="Arial"/>
          <w:sz w:val="24"/>
          <w:szCs w:val="24"/>
        </w:rPr>
        <w:t xml:space="preserve"> See response to Q2. </w:t>
      </w:r>
    </w:p>
    <w:p w14:paraId="5F0CFB77" w14:textId="77777777" w:rsidR="00F44D4E" w:rsidRPr="00780007" w:rsidRDefault="00F44D4E" w:rsidP="00254277">
      <w:pPr>
        <w:rPr>
          <w:rFonts w:eastAsia="Arial"/>
          <w:color w:val="000000" w:themeColor="text1"/>
          <w:sz w:val="24"/>
          <w:szCs w:val="24"/>
        </w:rPr>
      </w:pPr>
    </w:p>
    <w:p w14:paraId="1ADDFBCB" w14:textId="65101A82" w:rsidR="00247B31" w:rsidRPr="00780007" w:rsidRDefault="00CD7314" w:rsidP="00254277">
      <w:pPr>
        <w:ind w:left="720" w:hanging="720"/>
        <w:rPr>
          <w:rFonts w:eastAsia="Arial"/>
          <w:b/>
          <w:color w:val="000000" w:themeColor="text1"/>
          <w:sz w:val="24"/>
          <w:szCs w:val="24"/>
        </w:rPr>
      </w:pPr>
      <w:r w:rsidRPr="00780007">
        <w:rPr>
          <w:rFonts w:eastAsia="Arial"/>
          <w:b/>
          <w:color w:val="000000" w:themeColor="text1"/>
          <w:sz w:val="24"/>
          <w:szCs w:val="24"/>
        </w:rPr>
        <w:t>Q4</w:t>
      </w:r>
      <w:r w:rsidR="00227CE1" w:rsidRPr="00780007">
        <w:rPr>
          <w:rFonts w:eastAsia="Arial"/>
          <w:b/>
          <w:color w:val="000000" w:themeColor="text1"/>
          <w:sz w:val="24"/>
          <w:szCs w:val="24"/>
        </w:rPr>
        <w:t>:</w:t>
      </w:r>
      <w:r w:rsidR="00227CE1">
        <w:rPr>
          <w:rFonts w:eastAsiaTheme="minorEastAsia"/>
        </w:rPr>
        <w:tab/>
      </w:r>
      <w:r w:rsidR="00807724" w:rsidRPr="00780007">
        <w:rPr>
          <w:rFonts w:eastAsia="Arial"/>
          <w:b/>
          <w:color w:val="000000" w:themeColor="text1"/>
          <w:sz w:val="24"/>
          <w:szCs w:val="24"/>
        </w:rPr>
        <w:t>C</w:t>
      </w:r>
      <w:r w:rsidR="008A6A06" w:rsidRPr="00780007">
        <w:rPr>
          <w:rFonts w:eastAsia="Arial"/>
          <w:b/>
          <w:color w:val="000000" w:themeColor="text1"/>
          <w:sz w:val="24"/>
          <w:szCs w:val="24"/>
        </w:rPr>
        <w:t>ould you please clarify whether the GFO page limits are strict limits or flexible recommendations, and whether content beyond the stated limits is reviewed or considered in scoring?</w:t>
      </w:r>
    </w:p>
    <w:p w14:paraId="47495195" w14:textId="7E24DAE2" w:rsidR="0032503F" w:rsidRPr="00780007" w:rsidRDefault="00CD7314" w:rsidP="00247B31">
      <w:pPr>
        <w:ind w:left="720" w:hanging="720"/>
        <w:rPr>
          <w:rFonts w:eastAsia="Arial"/>
          <w:color w:val="000000" w:themeColor="text1"/>
          <w:sz w:val="24"/>
          <w:szCs w:val="24"/>
        </w:rPr>
      </w:pPr>
      <w:r w:rsidRPr="00780007">
        <w:rPr>
          <w:rFonts w:eastAsia="Arial"/>
          <w:color w:val="000000" w:themeColor="text1"/>
          <w:sz w:val="24"/>
          <w:szCs w:val="24"/>
        </w:rPr>
        <w:t>A4</w:t>
      </w:r>
      <w:r w:rsidR="0047023F" w:rsidRPr="00780007">
        <w:rPr>
          <w:rFonts w:eastAsia="Arial"/>
          <w:color w:val="000000" w:themeColor="text1"/>
          <w:sz w:val="24"/>
          <w:szCs w:val="24"/>
        </w:rPr>
        <w:t>:</w:t>
      </w:r>
      <w:r w:rsidR="0047023F">
        <w:rPr>
          <w:rFonts w:eastAsiaTheme="minorEastAsia"/>
        </w:rPr>
        <w:tab/>
      </w:r>
      <w:r w:rsidR="005913B0" w:rsidRPr="00780007">
        <w:rPr>
          <w:rFonts w:eastAsia="Arial"/>
          <w:color w:val="000000" w:themeColor="text1"/>
          <w:sz w:val="24"/>
          <w:szCs w:val="24"/>
        </w:rPr>
        <w:t xml:space="preserve">As noted on slide </w:t>
      </w:r>
      <w:r w:rsidR="003118D3" w:rsidRPr="00780007">
        <w:rPr>
          <w:rFonts w:eastAsia="Arial"/>
          <w:color w:val="000000" w:themeColor="text1"/>
          <w:sz w:val="24"/>
          <w:szCs w:val="24"/>
        </w:rPr>
        <w:t>30</w:t>
      </w:r>
      <w:r w:rsidR="005913B0" w:rsidRPr="00780007">
        <w:rPr>
          <w:rFonts w:eastAsia="Arial"/>
          <w:color w:val="000000" w:themeColor="text1"/>
          <w:sz w:val="24"/>
          <w:szCs w:val="24"/>
        </w:rPr>
        <w:t xml:space="preserve"> of the pre-application workshop, t</w:t>
      </w:r>
      <w:r w:rsidR="0037763E" w:rsidRPr="00780007">
        <w:rPr>
          <w:rFonts w:eastAsia="Arial"/>
          <w:color w:val="000000" w:themeColor="text1"/>
          <w:sz w:val="24"/>
          <w:szCs w:val="24"/>
        </w:rPr>
        <w:t xml:space="preserve">he page limits identified in the Solicitation Manual </w:t>
      </w:r>
      <w:r w:rsidR="003F494A" w:rsidRPr="00780007">
        <w:rPr>
          <w:rFonts w:eastAsia="Arial"/>
          <w:color w:val="000000" w:themeColor="text1"/>
          <w:sz w:val="24"/>
          <w:szCs w:val="24"/>
        </w:rPr>
        <w:t>can be viewed as</w:t>
      </w:r>
      <w:r w:rsidR="00C72B69" w:rsidRPr="00780007">
        <w:rPr>
          <w:rFonts w:eastAsia="Arial"/>
          <w:color w:val="000000" w:themeColor="text1"/>
          <w:sz w:val="24"/>
          <w:szCs w:val="24"/>
        </w:rPr>
        <w:t xml:space="preserve"> </w:t>
      </w:r>
      <w:r w:rsidR="0025684A" w:rsidRPr="00780007">
        <w:rPr>
          <w:rFonts w:eastAsia="Arial"/>
          <w:color w:val="000000" w:themeColor="text1"/>
          <w:sz w:val="24"/>
          <w:szCs w:val="24"/>
        </w:rPr>
        <w:t>“recommendations”</w:t>
      </w:r>
      <w:r w:rsidR="000D6053" w:rsidRPr="00780007">
        <w:rPr>
          <w:rFonts w:eastAsia="Arial"/>
          <w:color w:val="000000" w:themeColor="text1"/>
          <w:sz w:val="24"/>
          <w:szCs w:val="24"/>
        </w:rPr>
        <w:t xml:space="preserve"> in that applicants are not blocked from submitting </w:t>
      </w:r>
      <w:r w:rsidR="00E90576" w:rsidRPr="00780007">
        <w:rPr>
          <w:rFonts w:eastAsia="Arial"/>
          <w:color w:val="000000" w:themeColor="text1"/>
          <w:sz w:val="24"/>
          <w:szCs w:val="24"/>
        </w:rPr>
        <w:t>documents that exceed the limits</w:t>
      </w:r>
      <w:r w:rsidR="0037763E" w:rsidRPr="00780007">
        <w:rPr>
          <w:rFonts w:eastAsia="Arial"/>
          <w:color w:val="000000" w:themeColor="text1"/>
          <w:sz w:val="24"/>
          <w:szCs w:val="24"/>
        </w:rPr>
        <w:t>.</w:t>
      </w:r>
      <w:r w:rsidR="00E90576" w:rsidRPr="00780007">
        <w:rPr>
          <w:rFonts w:eastAsia="Arial"/>
          <w:color w:val="000000" w:themeColor="text1"/>
          <w:sz w:val="24"/>
          <w:szCs w:val="24"/>
        </w:rPr>
        <w:t xml:space="preserve"> However,</w:t>
      </w:r>
      <w:r w:rsidR="0037763E" w:rsidRPr="00780007">
        <w:rPr>
          <w:rFonts w:eastAsia="Arial"/>
          <w:color w:val="000000" w:themeColor="text1"/>
          <w:sz w:val="24"/>
          <w:szCs w:val="24"/>
        </w:rPr>
        <w:t xml:space="preserve"> </w:t>
      </w:r>
      <w:r w:rsidR="00103B44" w:rsidRPr="00780007">
        <w:rPr>
          <w:rFonts w:eastAsia="Arial"/>
          <w:color w:val="000000" w:themeColor="text1"/>
          <w:sz w:val="24"/>
          <w:szCs w:val="24"/>
        </w:rPr>
        <w:t>the evaluation team may choose not to review or score</w:t>
      </w:r>
      <w:r w:rsidR="0037763E" w:rsidRPr="00780007">
        <w:rPr>
          <w:rFonts w:eastAsia="Arial"/>
          <w:color w:val="000000" w:themeColor="text1"/>
          <w:sz w:val="24"/>
          <w:szCs w:val="24"/>
        </w:rPr>
        <w:t xml:space="preserve"> </w:t>
      </w:r>
      <w:r w:rsidR="004819A3" w:rsidRPr="00780007">
        <w:rPr>
          <w:rFonts w:eastAsia="Arial"/>
          <w:color w:val="000000" w:themeColor="text1"/>
          <w:sz w:val="24"/>
          <w:szCs w:val="24"/>
        </w:rPr>
        <w:t>c</w:t>
      </w:r>
      <w:r w:rsidR="0037763E" w:rsidRPr="00780007">
        <w:rPr>
          <w:rFonts w:eastAsia="Arial"/>
          <w:color w:val="000000" w:themeColor="text1"/>
          <w:sz w:val="24"/>
          <w:szCs w:val="24"/>
        </w:rPr>
        <w:t xml:space="preserve">ontent exceeding </w:t>
      </w:r>
      <w:r w:rsidR="00E90576" w:rsidRPr="00780007">
        <w:rPr>
          <w:rFonts w:eastAsia="Arial"/>
          <w:color w:val="000000" w:themeColor="text1"/>
          <w:sz w:val="24"/>
          <w:szCs w:val="24"/>
        </w:rPr>
        <w:t xml:space="preserve">the recommended </w:t>
      </w:r>
      <w:r w:rsidR="0037763E" w:rsidRPr="00780007">
        <w:rPr>
          <w:rFonts w:eastAsia="Arial"/>
          <w:color w:val="000000" w:themeColor="text1"/>
          <w:sz w:val="24"/>
          <w:szCs w:val="24"/>
        </w:rPr>
        <w:t>page limits. Applicants are strongly encouraged to follow formatting and page instructions as specified in the manual.</w:t>
      </w:r>
    </w:p>
    <w:p w14:paraId="03BEDAF0" w14:textId="77777777" w:rsidR="00247B31" w:rsidRPr="00780007" w:rsidRDefault="00247B31" w:rsidP="0032503F">
      <w:pPr>
        <w:ind w:left="720" w:hanging="720"/>
        <w:rPr>
          <w:rFonts w:eastAsia="Arial"/>
          <w:b/>
          <w:color w:val="000000" w:themeColor="text1"/>
          <w:sz w:val="24"/>
          <w:szCs w:val="24"/>
        </w:rPr>
      </w:pPr>
    </w:p>
    <w:p w14:paraId="23529F52" w14:textId="6C40BE85" w:rsidR="002D7784" w:rsidRPr="00FF3553" w:rsidRDefault="00CD7314" w:rsidP="00CB166D">
      <w:pPr>
        <w:ind w:left="720" w:hanging="720"/>
        <w:rPr>
          <w:rFonts w:eastAsia="Arial"/>
          <w:b/>
          <w:color w:val="000000" w:themeColor="text1"/>
          <w:sz w:val="24"/>
          <w:szCs w:val="24"/>
        </w:rPr>
      </w:pPr>
      <w:r w:rsidRPr="00780007">
        <w:rPr>
          <w:rFonts w:eastAsia="Arial"/>
          <w:b/>
          <w:color w:val="000000" w:themeColor="text1"/>
          <w:sz w:val="24"/>
          <w:szCs w:val="24"/>
        </w:rPr>
        <w:t>Q5</w:t>
      </w:r>
      <w:r w:rsidR="0047023F" w:rsidRPr="00780007">
        <w:rPr>
          <w:rFonts w:eastAsia="Arial"/>
          <w:b/>
          <w:color w:val="000000" w:themeColor="text1"/>
          <w:sz w:val="24"/>
          <w:szCs w:val="24"/>
        </w:rPr>
        <w:t xml:space="preserve">: </w:t>
      </w:r>
      <w:r w:rsidR="004F02F0">
        <w:tab/>
      </w:r>
      <w:r w:rsidR="0032503F" w:rsidRPr="00FF3553">
        <w:rPr>
          <w:rFonts w:eastAsia="Arial"/>
          <w:b/>
          <w:sz w:val="24"/>
          <w:szCs w:val="24"/>
        </w:rPr>
        <w:t>Is the change in scoring related to “CEC Funds Spent in California” applicable to all CEC solicitations</w:t>
      </w:r>
      <w:r w:rsidR="002D7784" w:rsidRPr="00FF3553">
        <w:rPr>
          <w:rFonts w:eastAsia="Arial"/>
          <w:b/>
          <w:color w:val="000000" w:themeColor="text1"/>
          <w:sz w:val="24"/>
          <w:szCs w:val="24"/>
        </w:rPr>
        <w:t>, or just this one?</w:t>
      </w:r>
    </w:p>
    <w:p w14:paraId="44CF6D06" w14:textId="3DD5D56B" w:rsidR="005E4077" w:rsidRPr="00FF3553" w:rsidRDefault="00CD7314" w:rsidP="00CB166D">
      <w:pPr>
        <w:ind w:left="720" w:hanging="720"/>
        <w:rPr>
          <w:rFonts w:eastAsia="Arial"/>
          <w:color w:val="000000" w:themeColor="text1"/>
          <w:sz w:val="24"/>
          <w:szCs w:val="24"/>
        </w:rPr>
      </w:pPr>
      <w:r w:rsidRPr="00FF3553">
        <w:rPr>
          <w:rFonts w:eastAsia="Arial"/>
          <w:color w:val="000000" w:themeColor="text1"/>
          <w:sz w:val="24"/>
          <w:szCs w:val="24"/>
        </w:rPr>
        <w:t>A5</w:t>
      </w:r>
      <w:r w:rsidR="00CB166D" w:rsidRPr="00FF3553">
        <w:rPr>
          <w:rFonts w:eastAsia="Arial"/>
          <w:color w:val="000000" w:themeColor="text1"/>
          <w:sz w:val="24"/>
          <w:szCs w:val="24"/>
        </w:rPr>
        <w:t>:</w:t>
      </w:r>
      <w:r w:rsidR="00CB166D">
        <w:rPr>
          <w:rFonts w:eastAsiaTheme="minorEastAsia"/>
        </w:rPr>
        <w:tab/>
      </w:r>
      <w:r w:rsidR="0009404C" w:rsidRPr="00FF3553">
        <w:rPr>
          <w:rFonts w:eastAsia="Arial"/>
          <w:color w:val="000000" w:themeColor="text1"/>
          <w:sz w:val="24"/>
          <w:szCs w:val="24"/>
        </w:rPr>
        <w:t xml:space="preserve">The scoring criteria described in this </w:t>
      </w:r>
      <w:r w:rsidR="00670C79">
        <w:rPr>
          <w:rFonts w:eastAsia="Arial"/>
          <w:color w:val="000000" w:themeColor="text1"/>
          <w:sz w:val="24"/>
          <w:szCs w:val="24"/>
        </w:rPr>
        <w:t>s</w:t>
      </w:r>
      <w:r w:rsidR="00C259A6">
        <w:rPr>
          <w:rFonts w:eastAsia="Arial"/>
          <w:color w:val="000000" w:themeColor="text1"/>
          <w:sz w:val="24"/>
          <w:szCs w:val="24"/>
        </w:rPr>
        <w:t>olic</w:t>
      </w:r>
      <w:r w:rsidR="00124E33">
        <w:rPr>
          <w:rFonts w:eastAsia="Arial"/>
          <w:color w:val="000000" w:themeColor="text1"/>
          <w:sz w:val="24"/>
          <w:szCs w:val="24"/>
        </w:rPr>
        <w:t>itation</w:t>
      </w:r>
      <w:r w:rsidR="0009404C" w:rsidRPr="00FF3553">
        <w:rPr>
          <w:rFonts w:eastAsia="Arial"/>
          <w:color w:val="000000" w:themeColor="text1"/>
          <w:sz w:val="24"/>
          <w:szCs w:val="24"/>
        </w:rPr>
        <w:t xml:space="preserve"> apply specifically to GFO-25-304. As outlined in the scoring section of the Solicitation Manual, “CEC Funds Spent in California” is included as a preference point criterion for this solicitation. Scoring criteria may vary across different CEC funding opportunities.</w:t>
      </w:r>
    </w:p>
    <w:p w14:paraId="29F13D81" w14:textId="77777777" w:rsidR="00F10033" w:rsidRPr="00FF3553" w:rsidRDefault="00F10033" w:rsidP="003F2858">
      <w:pPr>
        <w:ind w:left="720" w:hanging="720"/>
        <w:rPr>
          <w:rFonts w:eastAsia="Arial"/>
          <w:color w:val="000000" w:themeColor="text1"/>
          <w:sz w:val="24"/>
          <w:szCs w:val="24"/>
        </w:rPr>
      </w:pPr>
    </w:p>
    <w:p w14:paraId="2190649B" w14:textId="447B85E3" w:rsidR="001F4E5F" w:rsidRPr="00FF3553" w:rsidRDefault="00CD7314" w:rsidP="326CD96C">
      <w:pPr>
        <w:ind w:left="720" w:hanging="720"/>
        <w:rPr>
          <w:rFonts w:eastAsia="Arial"/>
          <w:b/>
          <w:color w:val="000000" w:themeColor="text1"/>
          <w:sz w:val="24"/>
          <w:szCs w:val="24"/>
        </w:rPr>
      </w:pPr>
      <w:r w:rsidRPr="00FF3553">
        <w:rPr>
          <w:rFonts w:eastAsia="Arial"/>
          <w:b/>
          <w:color w:val="000000" w:themeColor="text1"/>
          <w:sz w:val="24"/>
          <w:szCs w:val="24"/>
        </w:rPr>
        <w:t>Q6</w:t>
      </w:r>
      <w:r w:rsidR="00F10033" w:rsidRPr="00FF3553">
        <w:rPr>
          <w:rFonts w:eastAsia="Arial"/>
          <w:b/>
          <w:color w:val="000000" w:themeColor="text1"/>
          <w:sz w:val="24"/>
          <w:szCs w:val="24"/>
        </w:rPr>
        <w:t>:</w:t>
      </w:r>
      <w:r w:rsidR="00F10033">
        <w:tab/>
      </w:r>
      <w:r w:rsidR="001F4E5F" w:rsidRPr="00FF3553">
        <w:rPr>
          <w:rFonts w:eastAsia="Arial"/>
          <w:b/>
          <w:sz w:val="24"/>
          <w:szCs w:val="24"/>
        </w:rPr>
        <w:t>Are out-of-state entities eligible to serve as subrecipients? Is there a funding limit for out-of-state subrecipients?</w:t>
      </w:r>
    </w:p>
    <w:p w14:paraId="4D28CA21" w14:textId="3D23E95B" w:rsidR="005A54C5" w:rsidRPr="00DC0662" w:rsidRDefault="00CD7314" w:rsidP="00BD6F58">
      <w:pPr>
        <w:ind w:left="720" w:hanging="720"/>
        <w:rPr>
          <w:rFonts w:eastAsia="Arial"/>
          <w:sz w:val="24"/>
          <w:szCs w:val="24"/>
        </w:rPr>
      </w:pPr>
      <w:r w:rsidRPr="00FF3553">
        <w:rPr>
          <w:rFonts w:eastAsia="Arial"/>
          <w:color w:val="000000" w:themeColor="text1"/>
          <w:sz w:val="24"/>
          <w:szCs w:val="24"/>
        </w:rPr>
        <w:t>A6</w:t>
      </w:r>
      <w:r w:rsidR="00995D5F" w:rsidRPr="00FF3553">
        <w:rPr>
          <w:rFonts w:eastAsia="Arial"/>
          <w:color w:val="000000" w:themeColor="text1"/>
          <w:sz w:val="24"/>
          <w:szCs w:val="24"/>
        </w:rPr>
        <w:t>:</w:t>
      </w:r>
      <w:r w:rsidR="00995D5F">
        <w:tab/>
      </w:r>
      <w:r w:rsidR="00BD6F58" w:rsidRPr="00FF3553">
        <w:rPr>
          <w:rFonts w:eastAsia="Arial"/>
          <w:sz w:val="24"/>
          <w:szCs w:val="24"/>
        </w:rPr>
        <w:t>Yes, out-of-state entities may participate as subrecipients. However, because this solicitation includes preference points for CEC funds spent in California, the geographic distribution of project expenditures may affect scoring. There is no explicit cap on out-of-state funding, but applicants should consider the preference point criterion described in the scoring section.</w:t>
      </w:r>
      <w:r w:rsidR="40C26E88" w:rsidRPr="65F55F53">
        <w:rPr>
          <w:rFonts w:eastAsia="Arial"/>
          <w:sz w:val="24"/>
          <w:szCs w:val="24"/>
        </w:rPr>
        <w:t xml:space="preserve"> Please also note the restrictions on out-of-country costs in </w:t>
      </w:r>
      <w:r w:rsidR="4C2ED281" w:rsidRPr="65F55F53">
        <w:rPr>
          <w:rFonts w:eastAsia="Arial"/>
          <w:sz w:val="24"/>
          <w:szCs w:val="24"/>
        </w:rPr>
        <w:t>S</w:t>
      </w:r>
      <w:r w:rsidR="40C26E88" w:rsidRPr="65F55F53">
        <w:rPr>
          <w:rFonts w:eastAsia="Arial"/>
          <w:sz w:val="24"/>
          <w:szCs w:val="24"/>
        </w:rPr>
        <w:t>ection II.</w:t>
      </w:r>
      <w:r w:rsidR="0B6DC944" w:rsidRPr="65F55F53">
        <w:rPr>
          <w:rFonts w:eastAsia="Arial"/>
          <w:sz w:val="24"/>
          <w:szCs w:val="24"/>
        </w:rPr>
        <w:t>A.4, Russia Sanctions: “The budget must NOT identify that CEC funds will be spent outside of the United States or for out-of-country travel. However, match funds may cover these costs if there are no legal restrictions.”</w:t>
      </w:r>
    </w:p>
    <w:p w14:paraId="2D1AC865" w14:textId="5E6B159B" w:rsidR="00E5320A" w:rsidRPr="00DC0662" w:rsidRDefault="00995D5F" w:rsidP="00BD6F58">
      <w:pPr>
        <w:ind w:left="720" w:hanging="720"/>
        <w:rPr>
          <w:rFonts w:eastAsia="Arial"/>
          <w:sz w:val="24"/>
          <w:szCs w:val="24"/>
        </w:rPr>
      </w:pPr>
      <w:r>
        <w:tab/>
      </w:r>
    </w:p>
    <w:p w14:paraId="034EA7FD" w14:textId="7D25EEC6" w:rsidR="00E5320A" w:rsidRPr="00DC0662" w:rsidRDefault="00CD7314" w:rsidP="16002163">
      <w:pPr>
        <w:ind w:left="720" w:hanging="720"/>
        <w:rPr>
          <w:rFonts w:eastAsia="Arial"/>
          <w:b/>
          <w:sz w:val="24"/>
          <w:szCs w:val="24"/>
        </w:rPr>
      </w:pPr>
      <w:r w:rsidRPr="00DC0662">
        <w:rPr>
          <w:rFonts w:eastAsia="Arial"/>
          <w:b/>
          <w:sz w:val="24"/>
          <w:szCs w:val="24"/>
        </w:rPr>
        <w:lastRenderedPageBreak/>
        <w:t>Q7</w:t>
      </w:r>
      <w:r w:rsidR="00B32783" w:rsidRPr="00DC0662">
        <w:rPr>
          <w:rFonts w:eastAsia="Arial"/>
          <w:b/>
          <w:sz w:val="24"/>
          <w:szCs w:val="24"/>
        </w:rPr>
        <w:t xml:space="preserve">: </w:t>
      </w:r>
      <w:r w:rsidR="00B32783">
        <w:tab/>
      </w:r>
      <w:r w:rsidR="00B32783" w:rsidRPr="00DC0662">
        <w:rPr>
          <w:rFonts w:eastAsia="Arial"/>
          <w:b/>
          <w:sz w:val="24"/>
          <w:szCs w:val="24"/>
        </w:rPr>
        <w:t>Can one person participate as a co-</w:t>
      </w:r>
      <w:r w:rsidR="002F57FA" w:rsidRPr="00DC0662">
        <w:rPr>
          <w:rFonts w:eastAsia="Arial"/>
          <w:b/>
          <w:sz w:val="24"/>
          <w:szCs w:val="24"/>
        </w:rPr>
        <w:t>P</w:t>
      </w:r>
      <w:r w:rsidR="00B32783" w:rsidRPr="00DC0662">
        <w:rPr>
          <w:rFonts w:eastAsia="Arial"/>
          <w:b/>
          <w:sz w:val="24"/>
          <w:szCs w:val="24"/>
        </w:rPr>
        <w:t>I on two different proposals submitted to separate groups, if they are not the lead PI?</w:t>
      </w:r>
    </w:p>
    <w:p w14:paraId="314672A4" w14:textId="52739753" w:rsidR="00BD6F58" w:rsidRPr="00DC0662" w:rsidRDefault="00CD7314" w:rsidP="16002163">
      <w:pPr>
        <w:ind w:left="720" w:hanging="720"/>
        <w:rPr>
          <w:rFonts w:eastAsia="Arial"/>
          <w:sz w:val="24"/>
          <w:szCs w:val="24"/>
        </w:rPr>
      </w:pPr>
      <w:r w:rsidRPr="00DC0662">
        <w:rPr>
          <w:rFonts w:eastAsia="Arial"/>
          <w:sz w:val="24"/>
          <w:szCs w:val="24"/>
        </w:rPr>
        <w:t>A7</w:t>
      </w:r>
      <w:proofErr w:type="gramStart"/>
      <w:r w:rsidR="00BD6F58" w:rsidRPr="00DC0662">
        <w:rPr>
          <w:rFonts w:eastAsia="Arial"/>
          <w:sz w:val="24"/>
          <w:szCs w:val="24"/>
        </w:rPr>
        <w:t xml:space="preserve">: </w:t>
      </w:r>
      <w:r w:rsidR="00BD6F58">
        <w:tab/>
      </w:r>
      <w:r w:rsidR="00BD6F58" w:rsidRPr="00DC0662">
        <w:rPr>
          <w:rFonts w:eastAsia="Arial"/>
          <w:sz w:val="24"/>
          <w:szCs w:val="24"/>
        </w:rPr>
        <w:t>Yes</w:t>
      </w:r>
      <w:proofErr w:type="gramEnd"/>
      <w:r w:rsidR="002F57FA" w:rsidRPr="00DC0662">
        <w:rPr>
          <w:rFonts w:eastAsia="Arial"/>
          <w:sz w:val="24"/>
          <w:szCs w:val="24"/>
        </w:rPr>
        <w:t>, a</w:t>
      </w:r>
      <w:r w:rsidR="00BD6F58" w:rsidRPr="00DC0662">
        <w:rPr>
          <w:rFonts w:eastAsia="Arial"/>
          <w:sz w:val="24"/>
          <w:szCs w:val="24"/>
        </w:rPr>
        <w:t>n individual may serve as a co-Investigator on multiple proposals, provided there is no conflict of commitment and the individual can fulfill</w:t>
      </w:r>
      <w:r w:rsidR="00BD6F58" w:rsidRPr="2D4D31BF">
        <w:rPr>
          <w:rFonts w:eastAsia="Arial"/>
          <w:sz w:val="24"/>
          <w:szCs w:val="24"/>
        </w:rPr>
        <w:t xml:space="preserve"> </w:t>
      </w:r>
      <w:proofErr w:type="gramStart"/>
      <w:r w:rsidR="0D5BE7F0" w:rsidRPr="2D4D31BF">
        <w:rPr>
          <w:rFonts w:eastAsia="Arial"/>
          <w:sz w:val="24"/>
          <w:szCs w:val="24"/>
        </w:rPr>
        <w:t>all of</w:t>
      </w:r>
      <w:proofErr w:type="gramEnd"/>
      <w:r w:rsidR="00BD6F58" w:rsidRPr="00DC0662">
        <w:rPr>
          <w:rFonts w:eastAsia="Arial"/>
          <w:sz w:val="24"/>
          <w:szCs w:val="24"/>
        </w:rPr>
        <w:t xml:space="preserve"> their proposed roles</w:t>
      </w:r>
      <w:r w:rsidR="4673D1C1" w:rsidRPr="2D4D31BF">
        <w:rPr>
          <w:rFonts w:eastAsia="Arial"/>
          <w:sz w:val="24"/>
          <w:szCs w:val="24"/>
        </w:rPr>
        <w:t xml:space="preserve"> if awarded</w:t>
      </w:r>
      <w:r w:rsidR="00BD6F58" w:rsidRPr="00DC0662">
        <w:rPr>
          <w:rFonts w:eastAsia="Arial"/>
          <w:sz w:val="24"/>
          <w:szCs w:val="24"/>
        </w:rPr>
        <w:t>. Applicants must ensure adequate time allocation and avoid duplication of effort.</w:t>
      </w:r>
    </w:p>
    <w:p w14:paraId="3B883B70" w14:textId="77777777" w:rsidR="005A54C5" w:rsidRPr="00DC0662" w:rsidRDefault="005A54C5" w:rsidP="16002163">
      <w:pPr>
        <w:ind w:left="720" w:hanging="720"/>
        <w:rPr>
          <w:rFonts w:eastAsia="Arial"/>
          <w:sz w:val="24"/>
          <w:szCs w:val="24"/>
        </w:rPr>
      </w:pPr>
    </w:p>
    <w:p w14:paraId="4F21F0D3" w14:textId="75DAF5E3" w:rsidR="00DD5BFF" w:rsidRPr="00DC0662" w:rsidRDefault="00DD5BFF" w:rsidP="00DD5BFF">
      <w:pPr>
        <w:ind w:left="720" w:hanging="720"/>
        <w:rPr>
          <w:rFonts w:eastAsia="Arial"/>
          <w:b/>
          <w:sz w:val="24"/>
          <w:szCs w:val="24"/>
        </w:rPr>
      </w:pPr>
      <w:r w:rsidRPr="00DC0662">
        <w:rPr>
          <w:rFonts w:eastAsia="Arial"/>
          <w:b/>
          <w:sz w:val="24"/>
          <w:szCs w:val="24"/>
        </w:rPr>
        <w:t>Q</w:t>
      </w:r>
      <w:r w:rsidR="00CD7314" w:rsidRPr="00DC0662">
        <w:rPr>
          <w:rFonts w:eastAsia="Arial"/>
          <w:b/>
          <w:sz w:val="24"/>
          <w:szCs w:val="24"/>
        </w:rPr>
        <w:t>8</w:t>
      </w:r>
      <w:r w:rsidRPr="00DC0662">
        <w:rPr>
          <w:rFonts w:eastAsia="Arial"/>
          <w:b/>
          <w:sz w:val="24"/>
          <w:szCs w:val="24"/>
        </w:rPr>
        <w:t>:</w:t>
      </w:r>
      <w:r>
        <w:tab/>
      </w:r>
      <w:r w:rsidR="0021740F" w:rsidRPr="00DC0662">
        <w:rPr>
          <w:rFonts w:eastAsia="Arial"/>
          <w:b/>
          <w:sz w:val="24"/>
          <w:szCs w:val="24"/>
        </w:rPr>
        <w:t>May an individual serve as PI on one proposal and co-I on another (either within Group 1 or across Groups 1 and 2)?</w:t>
      </w:r>
    </w:p>
    <w:p w14:paraId="6420A378" w14:textId="34700324" w:rsidR="00DD5BFF" w:rsidRPr="00CE236A" w:rsidRDefault="00DD5BFF" w:rsidP="00DD5BFF">
      <w:pPr>
        <w:ind w:left="720" w:hanging="720"/>
        <w:rPr>
          <w:rFonts w:eastAsia="Arial"/>
          <w:sz w:val="24"/>
          <w:szCs w:val="24"/>
        </w:rPr>
      </w:pPr>
      <w:r w:rsidRPr="00DC0662">
        <w:rPr>
          <w:rFonts w:eastAsia="Arial"/>
          <w:b/>
          <w:sz w:val="24"/>
          <w:szCs w:val="24"/>
        </w:rPr>
        <w:t>A</w:t>
      </w:r>
      <w:r w:rsidR="00CD7314" w:rsidRPr="00DC0662">
        <w:rPr>
          <w:rFonts w:eastAsia="Arial"/>
          <w:b/>
          <w:sz w:val="24"/>
          <w:szCs w:val="24"/>
        </w:rPr>
        <w:t>8</w:t>
      </w:r>
      <w:r w:rsidRPr="00DC0662">
        <w:rPr>
          <w:rFonts w:eastAsia="Arial"/>
          <w:b/>
          <w:sz w:val="24"/>
          <w:szCs w:val="24"/>
        </w:rPr>
        <w:t>:</w:t>
      </w:r>
      <w:r>
        <w:tab/>
      </w:r>
      <w:r w:rsidRPr="00DC0662">
        <w:rPr>
          <w:rFonts w:eastAsia="Arial"/>
          <w:sz w:val="24"/>
          <w:szCs w:val="24"/>
        </w:rPr>
        <w:t xml:space="preserve">Yes, provided there is no conflict of </w:t>
      </w:r>
      <w:r w:rsidR="00D64A38" w:rsidRPr="00DC0662">
        <w:rPr>
          <w:rFonts w:eastAsia="Arial"/>
          <w:sz w:val="24"/>
          <w:szCs w:val="24"/>
        </w:rPr>
        <w:t>commitment,</w:t>
      </w:r>
      <w:r w:rsidRPr="00DC0662">
        <w:rPr>
          <w:rFonts w:eastAsia="Arial"/>
          <w:sz w:val="24"/>
          <w:szCs w:val="24"/>
        </w:rPr>
        <w:t xml:space="preserve"> and the individual demonstrates sufficient capacity to perform all proposed responsibilities.</w:t>
      </w:r>
      <w:r w:rsidR="35556295" w:rsidRPr="2D4D31BF">
        <w:rPr>
          <w:rFonts w:eastAsia="Arial"/>
          <w:sz w:val="24"/>
          <w:szCs w:val="24"/>
        </w:rPr>
        <w:t xml:space="preserve"> See response to Q7.</w:t>
      </w:r>
    </w:p>
    <w:p w14:paraId="770F6EAB" w14:textId="77777777" w:rsidR="00750814" w:rsidRPr="00CE236A" w:rsidRDefault="00750814" w:rsidP="00DD5BFF">
      <w:pPr>
        <w:ind w:left="720" w:hanging="720"/>
        <w:rPr>
          <w:rFonts w:eastAsia="Arial"/>
          <w:sz w:val="24"/>
          <w:szCs w:val="24"/>
        </w:rPr>
      </w:pPr>
    </w:p>
    <w:p w14:paraId="36DF22F0" w14:textId="298C37ED" w:rsidR="00750814" w:rsidRPr="00CE236A" w:rsidRDefault="00750814" w:rsidP="00750814">
      <w:pPr>
        <w:ind w:left="720" w:hanging="720"/>
        <w:rPr>
          <w:rFonts w:eastAsia="Arial"/>
          <w:b/>
          <w:sz w:val="24"/>
          <w:szCs w:val="24"/>
        </w:rPr>
      </w:pPr>
      <w:r w:rsidRPr="00CE236A">
        <w:rPr>
          <w:rFonts w:eastAsia="Arial"/>
          <w:b/>
          <w:sz w:val="24"/>
          <w:szCs w:val="24"/>
        </w:rPr>
        <w:t>Q</w:t>
      </w:r>
      <w:r w:rsidR="00CD7314" w:rsidRPr="00CE236A">
        <w:rPr>
          <w:rFonts w:eastAsia="Arial"/>
          <w:b/>
          <w:sz w:val="24"/>
          <w:szCs w:val="24"/>
        </w:rPr>
        <w:t>9</w:t>
      </w:r>
      <w:r w:rsidRPr="00CE236A">
        <w:rPr>
          <w:rFonts w:eastAsia="Arial"/>
          <w:b/>
          <w:sz w:val="24"/>
          <w:szCs w:val="24"/>
        </w:rPr>
        <w:t xml:space="preserve">: </w:t>
      </w:r>
      <w:r>
        <w:tab/>
      </w:r>
      <w:r w:rsidRPr="00CE236A">
        <w:rPr>
          <w:rFonts w:eastAsia="Arial"/>
          <w:b/>
          <w:sz w:val="24"/>
          <w:szCs w:val="24"/>
        </w:rPr>
        <w:t xml:space="preserve">If there are multiple PIs, should they all </w:t>
      </w:r>
      <w:r w:rsidR="002224B5" w:rsidRPr="00CE236A">
        <w:rPr>
          <w:rFonts w:eastAsia="Arial"/>
          <w:b/>
          <w:sz w:val="24"/>
          <w:szCs w:val="24"/>
        </w:rPr>
        <w:t>provide</w:t>
      </w:r>
      <w:r w:rsidRPr="00CE236A">
        <w:rPr>
          <w:rFonts w:eastAsia="Arial"/>
          <w:b/>
          <w:sz w:val="24"/>
          <w:szCs w:val="24"/>
        </w:rPr>
        <w:t xml:space="preserve"> matching funds?</w:t>
      </w:r>
    </w:p>
    <w:p w14:paraId="20D66215" w14:textId="74CD6725" w:rsidR="00750814" w:rsidRPr="00CE236A" w:rsidRDefault="00750814" w:rsidP="00750814">
      <w:pPr>
        <w:ind w:left="720" w:hanging="720"/>
        <w:rPr>
          <w:rFonts w:eastAsia="Arial"/>
          <w:b/>
          <w:sz w:val="24"/>
          <w:szCs w:val="24"/>
        </w:rPr>
      </w:pPr>
      <w:r w:rsidRPr="00CE236A">
        <w:rPr>
          <w:rFonts w:eastAsia="Arial"/>
          <w:b/>
          <w:sz w:val="24"/>
          <w:szCs w:val="24"/>
        </w:rPr>
        <w:t>A</w:t>
      </w:r>
      <w:r w:rsidR="00CD7314" w:rsidRPr="00CE236A">
        <w:rPr>
          <w:rFonts w:eastAsia="Arial"/>
          <w:b/>
          <w:sz w:val="24"/>
          <w:szCs w:val="24"/>
        </w:rPr>
        <w:t>9</w:t>
      </w:r>
      <w:r w:rsidRPr="00CE236A">
        <w:rPr>
          <w:rFonts w:eastAsia="Arial"/>
          <w:b/>
          <w:sz w:val="24"/>
          <w:szCs w:val="24"/>
        </w:rPr>
        <w:t>:</w:t>
      </w:r>
      <w:r>
        <w:tab/>
      </w:r>
      <w:r w:rsidRPr="00CE236A">
        <w:rPr>
          <w:rFonts w:eastAsia="Arial"/>
          <w:sz w:val="24"/>
          <w:szCs w:val="24"/>
        </w:rPr>
        <w:t>Matching funds are required at the project level, not per individual PI. The total match</w:t>
      </w:r>
      <w:r w:rsidRPr="2D4D31BF">
        <w:rPr>
          <w:rFonts w:eastAsia="Arial"/>
          <w:sz w:val="24"/>
          <w:szCs w:val="24"/>
        </w:rPr>
        <w:t xml:space="preserve"> </w:t>
      </w:r>
      <w:r w:rsidR="0CAFE59D" w:rsidRPr="2D4D31BF">
        <w:rPr>
          <w:rFonts w:eastAsia="Arial"/>
          <w:sz w:val="24"/>
          <w:szCs w:val="24"/>
        </w:rPr>
        <w:t>for each project proposal</w:t>
      </w:r>
      <w:r w:rsidRPr="00CE236A">
        <w:rPr>
          <w:rFonts w:eastAsia="Arial"/>
          <w:sz w:val="24"/>
          <w:szCs w:val="24"/>
        </w:rPr>
        <w:t xml:space="preserve"> must meet or exceed 5</w:t>
      </w:r>
      <w:r w:rsidR="00F412C9" w:rsidRPr="00CE236A">
        <w:rPr>
          <w:rFonts w:eastAsia="Arial"/>
          <w:sz w:val="24"/>
          <w:szCs w:val="24"/>
        </w:rPr>
        <w:t xml:space="preserve"> percent</w:t>
      </w:r>
      <w:r w:rsidRPr="00CE236A">
        <w:rPr>
          <w:rFonts w:eastAsia="Arial"/>
          <w:sz w:val="24"/>
          <w:szCs w:val="24"/>
        </w:rPr>
        <w:t xml:space="preserve"> of </w:t>
      </w:r>
      <w:r w:rsidR="00743FDB" w:rsidRPr="00CE236A">
        <w:rPr>
          <w:rFonts w:eastAsia="Arial"/>
          <w:sz w:val="24"/>
          <w:szCs w:val="24"/>
        </w:rPr>
        <w:t xml:space="preserve">total </w:t>
      </w:r>
      <w:r w:rsidR="00D64A38" w:rsidRPr="00CE236A">
        <w:rPr>
          <w:rFonts w:eastAsia="Arial"/>
          <w:sz w:val="24"/>
          <w:szCs w:val="24"/>
        </w:rPr>
        <w:t>CEC funds requested</w:t>
      </w:r>
      <w:r w:rsidRPr="00CE236A">
        <w:rPr>
          <w:rFonts w:eastAsia="Arial"/>
          <w:sz w:val="24"/>
          <w:szCs w:val="24"/>
        </w:rPr>
        <w:t>.</w:t>
      </w:r>
    </w:p>
    <w:p w14:paraId="3EDC54E9" w14:textId="77777777" w:rsidR="00DD5BFF" w:rsidRPr="00CE236A" w:rsidRDefault="00DD5BFF" w:rsidP="16002163">
      <w:pPr>
        <w:ind w:left="720" w:hanging="720"/>
        <w:rPr>
          <w:rFonts w:eastAsia="Arial"/>
          <w:sz w:val="24"/>
          <w:szCs w:val="24"/>
        </w:rPr>
      </w:pPr>
    </w:p>
    <w:p w14:paraId="0F6EF0BA" w14:textId="4B9D8A9B" w:rsidR="00C26C9D" w:rsidRPr="00CE236A" w:rsidRDefault="00CD7314" w:rsidP="16002163">
      <w:pPr>
        <w:ind w:left="720" w:hanging="720"/>
        <w:rPr>
          <w:rFonts w:eastAsia="Arial"/>
          <w:b/>
          <w:sz w:val="24"/>
          <w:szCs w:val="24"/>
        </w:rPr>
      </w:pPr>
      <w:r w:rsidRPr="00CE236A">
        <w:rPr>
          <w:rFonts w:eastAsia="Arial"/>
          <w:b/>
          <w:sz w:val="24"/>
          <w:szCs w:val="24"/>
        </w:rPr>
        <w:t>Q10</w:t>
      </w:r>
      <w:proofErr w:type="gramStart"/>
      <w:r w:rsidR="00C26C9D" w:rsidRPr="00CE236A">
        <w:rPr>
          <w:rFonts w:eastAsia="Arial"/>
          <w:b/>
          <w:sz w:val="24"/>
          <w:szCs w:val="24"/>
        </w:rPr>
        <w:t xml:space="preserve">: </w:t>
      </w:r>
      <w:r w:rsidR="00C26C9D">
        <w:tab/>
      </w:r>
      <w:r w:rsidR="0082341D" w:rsidRPr="00CE236A">
        <w:rPr>
          <w:rFonts w:eastAsia="Arial"/>
          <w:b/>
          <w:sz w:val="24"/>
          <w:szCs w:val="24"/>
        </w:rPr>
        <w:t>Is</w:t>
      </w:r>
      <w:proofErr w:type="gramEnd"/>
      <w:r w:rsidR="0082341D" w:rsidRPr="00CE236A">
        <w:rPr>
          <w:rFonts w:eastAsia="Arial"/>
          <w:b/>
          <w:sz w:val="24"/>
          <w:szCs w:val="24"/>
        </w:rPr>
        <w:t xml:space="preserve"> the 5</w:t>
      </w:r>
      <w:r w:rsidR="00F412C9" w:rsidRPr="00CE236A">
        <w:rPr>
          <w:rFonts w:eastAsia="Arial"/>
          <w:b/>
          <w:sz w:val="24"/>
          <w:szCs w:val="24"/>
        </w:rPr>
        <w:t xml:space="preserve"> percent</w:t>
      </w:r>
      <w:r w:rsidR="0082341D" w:rsidRPr="00CE236A">
        <w:rPr>
          <w:rFonts w:eastAsia="Arial"/>
          <w:b/>
          <w:sz w:val="24"/>
          <w:szCs w:val="24"/>
        </w:rPr>
        <w:t xml:space="preserve"> match applied to the total budget including indirect costs, or only direct costs?</w:t>
      </w:r>
    </w:p>
    <w:p w14:paraId="606703E3" w14:textId="22BDCACB" w:rsidR="00DF60E7" w:rsidRPr="00CE236A" w:rsidRDefault="00DF60E7" w:rsidP="16002163">
      <w:pPr>
        <w:ind w:left="720" w:hanging="720"/>
        <w:rPr>
          <w:rFonts w:eastAsia="Arial"/>
          <w:sz w:val="24"/>
          <w:szCs w:val="24"/>
        </w:rPr>
      </w:pPr>
      <w:r w:rsidRPr="00CE236A">
        <w:rPr>
          <w:rFonts w:eastAsia="Arial"/>
          <w:b/>
          <w:sz w:val="24"/>
          <w:szCs w:val="24"/>
        </w:rPr>
        <w:t>A</w:t>
      </w:r>
      <w:r w:rsidR="00CD7314" w:rsidRPr="00CE236A">
        <w:rPr>
          <w:rFonts w:eastAsia="Arial"/>
          <w:b/>
          <w:sz w:val="24"/>
          <w:szCs w:val="24"/>
        </w:rPr>
        <w:t>10</w:t>
      </w:r>
      <w:proofErr w:type="gramStart"/>
      <w:r w:rsidRPr="00CE236A">
        <w:rPr>
          <w:rFonts w:eastAsia="Arial"/>
          <w:b/>
          <w:sz w:val="24"/>
          <w:szCs w:val="24"/>
        </w:rPr>
        <w:t xml:space="preserve">: </w:t>
      </w:r>
      <w:r w:rsidR="005128D6">
        <w:tab/>
      </w:r>
      <w:r w:rsidR="005128D6" w:rsidRPr="00CE236A">
        <w:rPr>
          <w:rFonts w:eastAsia="Arial"/>
          <w:sz w:val="24"/>
          <w:szCs w:val="24"/>
        </w:rPr>
        <w:t>The</w:t>
      </w:r>
      <w:proofErr w:type="gramEnd"/>
      <w:r w:rsidR="005128D6" w:rsidRPr="00CE236A">
        <w:rPr>
          <w:rFonts w:eastAsia="Arial"/>
          <w:sz w:val="24"/>
          <w:szCs w:val="24"/>
        </w:rPr>
        <w:t xml:space="preserve"> 5</w:t>
      </w:r>
      <w:r w:rsidR="00F412C9" w:rsidRPr="00CE236A">
        <w:rPr>
          <w:rFonts w:eastAsia="Arial"/>
          <w:sz w:val="24"/>
          <w:szCs w:val="24"/>
        </w:rPr>
        <w:t xml:space="preserve"> percent</w:t>
      </w:r>
      <w:r w:rsidR="005128D6" w:rsidRPr="00CE236A">
        <w:rPr>
          <w:rFonts w:eastAsia="Arial"/>
          <w:sz w:val="24"/>
          <w:szCs w:val="24"/>
        </w:rPr>
        <w:t xml:space="preserve"> minimum match requirement </w:t>
      </w:r>
      <w:r w:rsidR="00B65A2E" w:rsidRPr="00CE236A">
        <w:rPr>
          <w:rFonts w:eastAsia="Arial"/>
          <w:sz w:val="24"/>
          <w:szCs w:val="24"/>
        </w:rPr>
        <w:t>is calculated</w:t>
      </w:r>
      <w:r w:rsidR="00AC7255" w:rsidRPr="00CE236A">
        <w:rPr>
          <w:rFonts w:eastAsia="Arial"/>
          <w:sz w:val="24"/>
          <w:szCs w:val="24"/>
        </w:rPr>
        <w:t xml:space="preserve"> based on</w:t>
      </w:r>
      <w:r w:rsidR="0088277C" w:rsidRPr="00CE236A">
        <w:rPr>
          <w:rFonts w:eastAsia="Arial"/>
          <w:sz w:val="24"/>
          <w:szCs w:val="24"/>
        </w:rPr>
        <w:t xml:space="preserve"> the</w:t>
      </w:r>
      <w:r w:rsidR="00B65A2E" w:rsidRPr="00CE236A">
        <w:rPr>
          <w:rFonts w:eastAsia="Arial"/>
          <w:sz w:val="24"/>
          <w:szCs w:val="24"/>
        </w:rPr>
        <w:t xml:space="preserve"> total CEC funds requested</w:t>
      </w:r>
      <w:r w:rsidR="005128D6" w:rsidRPr="00CE236A">
        <w:rPr>
          <w:rFonts w:eastAsia="Arial"/>
          <w:sz w:val="24"/>
          <w:szCs w:val="24"/>
        </w:rPr>
        <w:t>, which includes direct and allowable indirect costs. Match funds must be clearly identified in the budget and</w:t>
      </w:r>
      <w:r w:rsidR="00BF6C79" w:rsidRPr="00CE236A">
        <w:rPr>
          <w:rFonts w:eastAsia="Arial"/>
          <w:sz w:val="24"/>
          <w:szCs w:val="24"/>
        </w:rPr>
        <w:t xml:space="preserve"> must be substantiated by a commitment letter, even if the proposed match </w:t>
      </w:r>
      <w:r w:rsidR="00F532A3" w:rsidRPr="00CE236A">
        <w:rPr>
          <w:rFonts w:eastAsia="Arial"/>
          <w:sz w:val="24"/>
          <w:szCs w:val="24"/>
        </w:rPr>
        <w:t>comes from the applicant’s institution.</w:t>
      </w:r>
      <w:r w:rsidR="005128D6" w:rsidRPr="00CE236A">
        <w:rPr>
          <w:rFonts w:eastAsia="Arial"/>
          <w:sz w:val="24"/>
          <w:szCs w:val="24"/>
        </w:rPr>
        <w:t xml:space="preserve"> Applicants should follow budget instructions in the Funding </w:t>
      </w:r>
      <w:r w:rsidR="00523134" w:rsidRPr="00CE236A">
        <w:rPr>
          <w:rFonts w:eastAsia="Arial"/>
          <w:sz w:val="24"/>
          <w:szCs w:val="24"/>
        </w:rPr>
        <w:t>S</w:t>
      </w:r>
      <w:r w:rsidR="005128D6" w:rsidRPr="00CE236A">
        <w:rPr>
          <w:rFonts w:eastAsia="Arial"/>
          <w:sz w:val="24"/>
          <w:szCs w:val="24"/>
        </w:rPr>
        <w:t>ection</w:t>
      </w:r>
      <w:r w:rsidR="00526194" w:rsidRPr="00CE236A">
        <w:rPr>
          <w:rFonts w:eastAsia="Arial"/>
          <w:sz w:val="24"/>
          <w:szCs w:val="24"/>
        </w:rPr>
        <w:t xml:space="preserve">, I.D. </w:t>
      </w:r>
      <w:r w:rsidR="00B8596F" w:rsidRPr="00CE236A">
        <w:rPr>
          <w:rFonts w:eastAsia="Arial"/>
          <w:sz w:val="24"/>
          <w:szCs w:val="24"/>
        </w:rPr>
        <w:t xml:space="preserve">Details on Match Funding can be found in </w:t>
      </w:r>
      <w:r w:rsidR="00523134" w:rsidRPr="00CE236A">
        <w:rPr>
          <w:rFonts w:eastAsia="Arial"/>
          <w:sz w:val="24"/>
          <w:szCs w:val="24"/>
        </w:rPr>
        <w:t>S</w:t>
      </w:r>
      <w:r w:rsidR="00B8596F" w:rsidRPr="00CE236A">
        <w:rPr>
          <w:rFonts w:eastAsia="Arial"/>
          <w:sz w:val="24"/>
          <w:szCs w:val="24"/>
        </w:rPr>
        <w:t xml:space="preserve">ection I.K. </w:t>
      </w:r>
    </w:p>
    <w:p w14:paraId="3D089045" w14:textId="77777777" w:rsidR="005A54C5" w:rsidRPr="00CE236A" w:rsidRDefault="005A54C5" w:rsidP="16002163">
      <w:pPr>
        <w:ind w:left="720" w:hanging="720"/>
        <w:rPr>
          <w:rFonts w:eastAsia="Arial"/>
          <w:sz w:val="24"/>
          <w:szCs w:val="24"/>
        </w:rPr>
      </w:pPr>
    </w:p>
    <w:p w14:paraId="2ABE03A7" w14:textId="377BC96E" w:rsidR="00B45383" w:rsidRPr="00CE236A" w:rsidRDefault="00E72C50" w:rsidP="16002163">
      <w:pPr>
        <w:ind w:left="720" w:hanging="720"/>
        <w:rPr>
          <w:rFonts w:eastAsia="Arial"/>
          <w:sz w:val="24"/>
          <w:szCs w:val="24"/>
        </w:rPr>
      </w:pPr>
      <w:r w:rsidRPr="00CE236A">
        <w:rPr>
          <w:rFonts w:eastAsia="Arial"/>
          <w:b/>
          <w:sz w:val="24"/>
          <w:szCs w:val="24"/>
        </w:rPr>
        <w:t>Q</w:t>
      </w:r>
      <w:r w:rsidR="00CD7314" w:rsidRPr="00CE236A">
        <w:rPr>
          <w:rFonts w:eastAsia="Arial"/>
          <w:b/>
          <w:sz w:val="24"/>
          <w:szCs w:val="24"/>
        </w:rPr>
        <w:t>11</w:t>
      </w:r>
      <w:r w:rsidRPr="00CE236A">
        <w:rPr>
          <w:rFonts w:eastAsia="Arial"/>
          <w:b/>
          <w:sz w:val="24"/>
          <w:szCs w:val="24"/>
        </w:rPr>
        <w:t>:</w:t>
      </w:r>
      <w:r>
        <w:tab/>
      </w:r>
      <w:r w:rsidR="00C14635" w:rsidRPr="00CE236A">
        <w:rPr>
          <w:rFonts w:eastAsia="Arial"/>
          <w:b/>
          <w:sz w:val="24"/>
          <w:szCs w:val="24"/>
        </w:rPr>
        <w:t>Please clarify</w:t>
      </w:r>
      <w:r w:rsidRPr="00CE236A">
        <w:rPr>
          <w:rFonts w:eastAsia="Arial"/>
          <w:b/>
          <w:sz w:val="24"/>
          <w:szCs w:val="24"/>
        </w:rPr>
        <w:t xml:space="preserve"> the treatment of indirect costs under this solicitation. Specifically, is there a maximum allowable indirect cost rate that the C</w:t>
      </w:r>
      <w:r w:rsidR="003239FC" w:rsidRPr="00CE236A">
        <w:rPr>
          <w:rFonts w:eastAsia="Arial"/>
          <w:b/>
          <w:sz w:val="24"/>
          <w:szCs w:val="24"/>
        </w:rPr>
        <w:t>EC</w:t>
      </w:r>
      <w:r w:rsidRPr="00CE236A">
        <w:rPr>
          <w:rFonts w:eastAsia="Arial"/>
          <w:b/>
          <w:sz w:val="24"/>
          <w:szCs w:val="24"/>
        </w:rPr>
        <w:t xml:space="preserve"> will accept? If so, please indicate the applicable cap or reference the relevant section of the solicitation</w:t>
      </w:r>
      <w:r w:rsidR="6EB6E9E3" w:rsidRPr="2D4D31BF">
        <w:rPr>
          <w:rFonts w:eastAsia="Arial"/>
          <w:b/>
          <w:bCs/>
          <w:sz w:val="24"/>
          <w:szCs w:val="24"/>
        </w:rPr>
        <w:t>.</w:t>
      </w:r>
      <w:r w:rsidRPr="00CE236A">
        <w:rPr>
          <w:rFonts w:eastAsia="Arial"/>
          <w:b/>
          <w:sz w:val="24"/>
          <w:szCs w:val="24"/>
        </w:rPr>
        <w:t xml:space="preserve"> In the absence of a stated maximum, may applicants apply their federally negotiated indirect cost rate agreement?</w:t>
      </w:r>
    </w:p>
    <w:p w14:paraId="644918F2" w14:textId="291EB133" w:rsidR="00F9263C" w:rsidRPr="00CE236A" w:rsidRDefault="00E72C50" w:rsidP="00FE7D6D">
      <w:pPr>
        <w:ind w:left="720" w:hanging="720"/>
        <w:rPr>
          <w:rFonts w:eastAsia="Arial"/>
          <w:sz w:val="24"/>
          <w:szCs w:val="24"/>
        </w:rPr>
      </w:pPr>
      <w:r w:rsidRPr="00CE236A">
        <w:rPr>
          <w:rFonts w:eastAsia="Arial"/>
          <w:b/>
          <w:sz w:val="24"/>
          <w:szCs w:val="24"/>
        </w:rPr>
        <w:t>A</w:t>
      </w:r>
      <w:r w:rsidR="00CD7314" w:rsidRPr="00CE236A">
        <w:rPr>
          <w:rFonts w:eastAsia="Arial"/>
          <w:b/>
          <w:sz w:val="24"/>
          <w:szCs w:val="24"/>
        </w:rPr>
        <w:t>11</w:t>
      </w:r>
      <w:r w:rsidRPr="00CE236A">
        <w:rPr>
          <w:rFonts w:eastAsia="Arial"/>
          <w:b/>
          <w:sz w:val="24"/>
          <w:szCs w:val="24"/>
        </w:rPr>
        <w:t>:</w:t>
      </w:r>
      <w:r>
        <w:tab/>
      </w:r>
      <w:r w:rsidR="00F9263C" w:rsidRPr="00CE236A">
        <w:rPr>
          <w:rFonts w:eastAsia="Arial"/>
          <w:sz w:val="24"/>
          <w:szCs w:val="24"/>
        </w:rPr>
        <w:t>The solicitation does not establish a single universal cap on indirect cost rates applicable to all applicants. Indirect costs must be proposed and calculated in accordance with the applicable Terms and Conditions (T&amp;Cs) and CEC Budget Category Guidance.</w:t>
      </w:r>
      <w:r w:rsidR="00F62A3A" w:rsidRPr="00CE236A">
        <w:rPr>
          <w:rFonts w:eastAsia="Arial"/>
          <w:sz w:val="24"/>
          <w:szCs w:val="24"/>
        </w:rPr>
        <w:t xml:space="preserve"> Applicants should refer to the relevant T&amp;Cs </w:t>
      </w:r>
      <w:r w:rsidR="005D6AB1" w:rsidRPr="00CE236A">
        <w:rPr>
          <w:rFonts w:eastAsia="Arial"/>
          <w:sz w:val="24"/>
          <w:szCs w:val="24"/>
        </w:rPr>
        <w:t xml:space="preserve">mentioned in </w:t>
      </w:r>
      <w:proofErr w:type="gramStart"/>
      <w:r w:rsidR="005D6AB1" w:rsidRPr="00CE236A">
        <w:rPr>
          <w:rFonts w:eastAsia="Arial"/>
          <w:sz w:val="24"/>
          <w:szCs w:val="24"/>
        </w:rPr>
        <w:t>the</w:t>
      </w:r>
      <w:r w:rsidR="00746C8C" w:rsidRPr="00CE236A">
        <w:rPr>
          <w:rFonts w:eastAsia="Arial"/>
          <w:sz w:val="24"/>
          <w:szCs w:val="24"/>
        </w:rPr>
        <w:t xml:space="preserve"> Section</w:t>
      </w:r>
      <w:proofErr w:type="gramEnd"/>
      <w:r w:rsidR="00746C8C" w:rsidRPr="00CE236A">
        <w:rPr>
          <w:rFonts w:eastAsia="Arial"/>
          <w:sz w:val="24"/>
          <w:szCs w:val="24"/>
        </w:rPr>
        <w:t xml:space="preserve"> II.</w:t>
      </w:r>
      <w:r w:rsidR="000916F2" w:rsidRPr="00CE236A">
        <w:rPr>
          <w:rFonts w:eastAsia="Arial"/>
          <w:sz w:val="24"/>
          <w:szCs w:val="24"/>
        </w:rPr>
        <w:t xml:space="preserve">A of </w:t>
      </w:r>
      <w:r w:rsidR="66EC450B" w:rsidRPr="2D4D31BF">
        <w:rPr>
          <w:rFonts w:eastAsia="Arial"/>
          <w:sz w:val="24"/>
          <w:szCs w:val="24"/>
        </w:rPr>
        <w:t xml:space="preserve">the </w:t>
      </w:r>
      <w:r w:rsidR="000916F2" w:rsidRPr="00CE236A">
        <w:rPr>
          <w:rFonts w:eastAsia="Arial"/>
          <w:sz w:val="24"/>
          <w:szCs w:val="24"/>
        </w:rPr>
        <w:t>solicitation manual</w:t>
      </w:r>
      <w:r w:rsidR="00F62A3A" w:rsidRPr="00CE236A">
        <w:rPr>
          <w:rFonts w:eastAsia="Arial"/>
          <w:sz w:val="24"/>
          <w:szCs w:val="24"/>
        </w:rPr>
        <w:t xml:space="preserve"> to determine how indirect costs are treated for their organization type (e.g., standard terms, University of California terms, National Laboratory/DOE terms).</w:t>
      </w:r>
    </w:p>
    <w:p w14:paraId="64ACE4CA" w14:textId="28D7255E" w:rsidR="00F9263C" w:rsidRPr="00CE236A" w:rsidRDefault="00F9263C" w:rsidP="00EC307F">
      <w:pPr>
        <w:ind w:left="720"/>
        <w:rPr>
          <w:rFonts w:eastAsia="Arial"/>
          <w:sz w:val="24"/>
          <w:szCs w:val="24"/>
        </w:rPr>
      </w:pPr>
      <w:r w:rsidRPr="00CE236A">
        <w:rPr>
          <w:rFonts w:eastAsia="Arial"/>
          <w:sz w:val="24"/>
          <w:szCs w:val="24"/>
        </w:rPr>
        <w:lastRenderedPageBreak/>
        <w:t xml:space="preserve">As described in the </w:t>
      </w:r>
      <w:hyperlink r:id="rId12">
        <w:r w:rsidRPr="00CE236A">
          <w:rPr>
            <w:rStyle w:val="Hyperlink"/>
            <w:rFonts w:eastAsia="Arial"/>
            <w:sz w:val="24"/>
            <w:szCs w:val="24"/>
          </w:rPr>
          <w:t>CEC Budget Category Guidance</w:t>
        </w:r>
      </w:hyperlink>
      <w:r w:rsidRPr="00CE236A">
        <w:rPr>
          <w:rFonts w:eastAsia="Arial"/>
          <w:sz w:val="24"/>
          <w:szCs w:val="24"/>
        </w:rPr>
        <w:t xml:space="preserve"> under “Indirect Costs &amp; Profits,” applicants may select one of three options for indirect costs:</w:t>
      </w:r>
    </w:p>
    <w:p w14:paraId="57D2026E" w14:textId="07DD05DD" w:rsidR="00F9263C" w:rsidRPr="00CE236A" w:rsidRDefault="00F9263C" w:rsidP="00EC307F">
      <w:pPr>
        <w:pStyle w:val="ListParagraph"/>
        <w:numPr>
          <w:ilvl w:val="0"/>
          <w:numId w:val="21"/>
        </w:numPr>
        <w:rPr>
          <w:rFonts w:eastAsia="Arial"/>
          <w:b/>
          <w:sz w:val="24"/>
          <w:szCs w:val="24"/>
        </w:rPr>
      </w:pPr>
      <w:r w:rsidRPr="00CE236A">
        <w:rPr>
          <w:rFonts w:eastAsia="Arial"/>
          <w:b/>
          <w:sz w:val="24"/>
          <w:szCs w:val="24"/>
        </w:rPr>
        <w:t xml:space="preserve">Federally Approved Indirect Rate (e.g., </w:t>
      </w:r>
      <w:r w:rsidRPr="00CE236A">
        <w:rPr>
          <w:rFonts w:eastAsia="Arial"/>
          <w:b/>
          <w:bCs/>
          <w:sz w:val="24"/>
          <w:szCs w:val="24"/>
        </w:rPr>
        <w:t>D</w:t>
      </w:r>
      <w:r w:rsidR="011C3A2C" w:rsidRPr="2D4D31BF">
        <w:rPr>
          <w:rFonts w:eastAsia="Arial"/>
          <w:b/>
          <w:bCs/>
          <w:sz w:val="24"/>
          <w:szCs w:val="24"/>
        </w:rPr>
        <w:t xml:space="preserve">efense </w:t>
      </w:r>
      <w:r w:rsidRPr="00CE236A">
        <w:rPr>
          <w:rFonts w:eastAsia="Arial"/>
          <w:b/>
          <w:bCs/>
          <w:sz w:val="24"/>
          <w:szCs w:val="24"/>
        </w:rPr>
        <w:t>C</w:t>
      </w:r>
      <w:r w:rsidR="7629B740" w:rsidRPr="2D4D31BF">
        <w:rPr>
          <w:rFonts w:eastAsia="Arial"/>
          <w:b/>
          <w:bCs/>
          <w:sz w:val="24"/>
          <w:szCs w:val="24"/>
        </w:rPr>
        <w:t xml:space="preserve">ontract </w:t>
      </w:r>
      <w:r w:rsidRPr="00CE236A">
        <w:rPr>
          <w:rFonts w:eastAsia="Arial"/>
          <w:b/>
          <w:bCs/>
          <w:sz w:val="24"/>
          <w:szCs w:val="24"/>
        </w:rPr>
        <w:t>A</w:t>
      </w:r>
      <w:r w:rsidR="040A7D39" w:rsidRPr="2D4D31BF">
        <w:rPr>
          <w:rFonts w:eastAsia="Arial"/>
          <w:b/>
          <w:bCs/>
          <w:sz w:val="24"/>
          <w:szCs w:val="24"/>
        </w:rPr>
        <w:t xml:space="preserve">udit </w:t>
      </w:r>
      <w:r w:rsidRPr="00CE236A">
        <w:rPr>
          <w:rFonts w:eastAsia="Arial"/>
          <w:b/>
          <w:bCs/>
          <w:sz w:val="24"/>
          <w:szCs w:val="24"/>
        </w:rPr>
        <w:t>A</w:t>
      </w:r>
      <w:r w:rsidR="6D4F936A" w:rsidRPr="2D4D31BF">
        <w:rPr>
          <w:rFonts w:eastAsia="Arial"/>
          <w:b/>
          <w:bCs/>
          <w:sz w:val="24"/>
          <w:szCs w:val="24"/>
        </w:rPr>
        <w:t>gency</w:t>
      </w:r>
      <w:r w:rsidRPr="00CE236A">
        <w:rPr>
          <w:rFonts w:eastAsia="Arial"/>
          <w:b/>
          <w:sz w:val="24"/>
          <w:szCs w:val="24"/>
        </w:rPr>
        <w:t xml:space="preserve"> or </w:t>
      </w:r>
      <w:proofErr w:type="gramStart"/>
      <w:r w:rsidRPr="00CE236A">
        <w:rPr>
          <w:rFonts w:eastAsia="Arial"/>
          <w:b/>
          <w:sz w:val="24"/>
          <w:szCs w:val="24"/>
        </w:rPr>
        <w:t>other</w:t>
      </w:r>
      <w:proofErr w:type="gramEnd"/>
      <w:r w:rsidRPr="00CE236A">
        <w:rPr>
          <w:rFonts w:eastAsia="Arial"/>
          <w:b/>
          <w:sz w:val="24"/>
          <w:szCs w:val="24"/>
        </w:rPr>
        <w:t xml:space="preserve"> federal agency):</w:t>
      </w:r>
    </w:p>
    <w:p w14:paraId="509A916F" w14:textId="2BF009BA" w:rsidR="00F9263C" w:rsidRPr="00CE236A" w:rsidRDefault="00F9263C" w:rsidP="00CE236A">
      <w:pPr>
        <w:pStyle w:val="ListParagraph"/>
        <w:numPr>
          <w:ilvl w:val="0"/>
          <w:numId w:val="27"/>
        </w:numPr>
        <w:ind w:left="1440"/>
        <w:rPr>
          <w:rFonts w:eastAsia="Arial"/>
          <w:sz w:val="24"/>
          <w:szCs w:val="24"/>
        </w:rPr>
      </w:pPr>
      <w:r w:rsidRPr="00CE236A">
        <w:rPr>
          <w:rFonts w:eastAsia="Arial"/>
          <w:sz w:val="24"/>
          <w:szCs w:val="24"/>
        </w:rPr>
        <w:t>Applicants with a federally negotiated indirect cost rate agreement</w:t>
      </w:r>
      <w:r w:rsidRPr="00CE236A" w:rsidDel="00E97449">
        <w:rPr>
          <w:rFonts w:eastAsia="Arial"/>
          <w:sz w:val="24"/>
          <w:szCs w:val="24"/>
        </w:rPr>
        <w:t xml:space="preserve"> </w:t>
      </w:r>
      <w:r w:rsidRPr="00CE236A">
        <w:rPr>
          <w:rFonts w:eastAsia="Arial"/>
          <w:sz w:val="24"/>
          <w:szCs w:val="24"/>
        </w:rPr>
        <w:t xml:space="preserve">may use their approved rate. A copy of the </w:t>
      </w:r>
      <w:proofErr w:type="gramStart"/>
      <w:r w:rsidRPr="00CE236A">
        <w:rPr>
          <w:rFonts w:eastAsia="Arial"/>
          <w:sz w:val="24"/>
          <w:szCs w:val="24"/>
        </w:rPr>
        <w:t>approval letter</w:t>
      </w:r>
      <w:proofErr w:type="gramEnd"/>
      <w:r w:rsidRPr="00CE236A">
        <w:rPr>
          <w:rFonts w:eastAsia="Arial"/>
          <w:sz w:val="24"/>
          <w:szCs w:val="24"/>
        </w:rPr>
        <w:t xml:space="preserve"> must be provided. The rate must be applied consistently with the approved methodology and applicable fiscal year.</w:t>
      </w:r>
    </w:p>
    <w:p w14:paraId="68C29723" w14:textId="7381EF13" w:rsidR="00F9263C" w:rsidRPr="00CE236A" w:rsidRDefault="00F9263C" w:rsidP="00EC307F">
      <w:pPr>
        <w:pStyle w:val="ListParagraph"/>
        <w:numPr>
          <w:ilvl w:val="0"/>
          <w:numId w:val="21"/>
        </w:numPr>
        <w:rPr>
          <w:rFonts w:eastAsia="Arial"/>
          <w:sz w:val="24"/>
          <w:szCs w:val="24"/>
        </w:rPr>
      </w:pPr>
      <w:r w:rsidRPr="00CE236A">
        <w:rPr>
          <w:rFonts w:eastAsia="Arial"/>
          <w:b/>
          <w:sz w:val="24"/>
          <w:szCs w:val="24"/>
        </w:rPr>
        <w:t>CEC De Minimis Rate</w:t>
      </w:r>
      <w:r w:rsidRPr="00CE236A">
        <w:rPr>
          <w:rFonts w:eastAsia="Arial"/>
          <w:sz w:val="24"/>
          <w:szCs w:val="24"/>
        </w:rPr>
        <w:t>:</w:t>
      </w:r>
    </w:p>
    <w:p w14:paraId="4CC07391" w14:textId="7482608F" w:rsidR="00A44A99" w:rsidRPr="00CE236A" w:rsidRDefault="00F9263C" w:rsidP="00A44A99">
      <w:pPr>
        <w:pStyle w:val="ListParagraph"/>
        <w:numPr>
          <w:ilvl w:val="0"/>
          <w:numId w:val="22"/>
        </w:numPr>
        <w:rPr>
          <w:rFonts w:eastAsia="Arial"/>
          <w:sz w:val="24"/>
          <w:szCs w:val="24"/>
        </w:rPr>
      </w:pPr>
      <w:r w:rsidRPr="00CE236A">
        <w:rPr>
          <w:rFonts w:eastAsia="Arial"/>
          <w:sz w:val="24"/>
          <w:szCs w:val="24"/>
        </w:rPr>
        <w:t>For agreements effective on or after October 1, 2024, the CEC de minimis rate is 15</w:t>
      </w:r>
      <w:r w:rsidR="00CB138F" w:rsidRPr="00CE236A">
        <w:rPr>
          <w:rFonts w:eastAsia="Arial"/>
          <w:sz w:val="24"/>
          <w:szCs w:val="24"/>
        </w:rPr>
        <w:t xml:space="preserve"> percent</w:t>
      </w:r>
      <w:r w:rsidRPr="00CE236A">
        <w:rPr>
          <w:rFonts w:eastAsia="Arial"/>
          <w:sz w:val="24"/>
          <w:szCs w:val="24"/>
        </w:rPr>
        <w:t xml:space="preserve"> of Modified Total Direct Costs (MTDC), consistent with 2 CFR Part 200.</w:t>
      </w:r>
    </w:p>
    <w:p w14:paraId="541D01F9" w14:textId="4F17D8A0" w:rsidR="00F9263C" w:rsidRPr="00CE236A" w:rsidRDefault="00F9263C" w:rsidP="00CE236A">
      <w:pPr>
        <w:pStyle w:val="ListParagraph"/>
        <w:numPr>
          <w:ilvl w:val="0"/>
          <w:numId w:val="22"/>
        </w:numPr>
        <w:rPr>
          <w:rFonts w:eastAsia="Arial"/>
          <w:sz w:val="24"/>
          <w:szCs w:val="24"/>
        </w:rPr>
      </w:pPr>
      <w:r w:rsidRPr="00CE236A">
        <w:rPr>
          <w:rFonts w:eastAsia="Arial"/>
          <w:sz w:val="24"/>
          <w:szCs w:val="24"/>
        </w:rPr>
        <w:t xml:space="preserve">MTDC excludes certain categories such as equipment and portions of subawards above the specified </w:t>
      </w:r>
      <w:proofErr w:type="spellStart"/>
      <w:proofErr w:type="gramStart"/>
      <w:r w:rsidRPr="00CE236A">
        <w:rPr>
          <w:rFonts w:eastAsia="Arial"/>
          <w:sz w:val="24"/>
          <w:szCs w:val="24"/>
        </w:rPr>
        <w:t>threshold.This</w:t>
      </w:r>
      <w:proofErr w:type="spellEnd"/>
      <w:proofErr w:type="gramEnd"/>
      <w:r w:rsidRPr="00CE236A">
        <w:rPr>
          <w:rFonts w:eastAsia="Arial"/>
          <w:sz w:val="24"/>
          <w:szCs w:val="24"/>
        </w:rPr>
        <w:t xml:space="preserve"> option does not require supporting documentation and remains fixed for the life of the agreement.</w:t>
      </w:r>
    </w:p>
    <w:p w14:paraId="6A2EBC76" w14:textId="0A906D37" w:rsidR="00F9263C" w:rsidRPr="00CE236A" w:rsidRDefault="00F9263C" w:rsidP="00EC307F">
      <w:pPr>
        <w:pStyle w:val="ListParagraph"/>
        <w:numPr>
          <w:ilvl w:val="0"/>
          <w:numId w:val="21"/>
        </w:numPr>
        <w:rPr>
          <w:rFonts w:eastAsia="Arial"/>
          <w:sz w:val="24"/>
          <w:szCs w:val="24"/>
        </w:rPr>
      </w:pPr>
      <w:r w:rsidRPr="00CE236A">
        <w:rPr>
          <w:rFonts w:eastAsia="Arial"/>
          <w:b/>
          <w:sz w:val="24"/>
          <w:szCs w:val="24"/>
        </w:rPr>
        <w:t>Recipient’s Cost Allocation Plan</w:t>
      </w:r>
      <w:r w:rsidRPr="00CE236A">
        <w:rPr>
          <w:rFonts w:eastAsia="Arial"/>
          <w:sz w:val="24"/>
          <w:szCs w:val="24"/>
        </w:rPr>
        <w:t>:</w:t>
      </w:r>
    </w:p>
    <w:p w14:paraId="22C46038" w14:textId="4449008D" w:rsidR="00F9263C" w:rsidRPr="00CE236A" w:rsidRDefault="00F9263C" w:rsidP="00CE236A">
      <w:pPr>
        <w:pStyle w:val="ListParagraph"/>
        <w:numPr>
          <w:ilvl w:val="0"/>
          <w:numId w:val="28"/>
        </w:numPr>
        <w:ind w:left="1440"/>
        <w:rPr>
          <w:rFonts w:eastAsia="Arial"/>
          <w:sz w:val="24"/>
          <w:szCs w:val="24"/>
        </w:rPr>
      </w:pPr>
      <w:r w:rsidRPr="00CE236A">
        <w:rPr>
          <w:rFonts w:eastAsia="Arial"/>
          <w:sz w:val="24"/>
          <w:szCs w:val="24"/>
        </w:rPr>
        <w:t>Applicants may establish and apply an indirect rate based on their internal cost allocation plan consistent with O</w:t>
      </w:r>
      <w:r w:rsidR="00D26453" w:rsidRPr="00CE236A">
        <w:rPr>
          <w:rFonts w:eastAsia="Arial"/>
          <w:sz w:val="24"/>
          <w:szCs w:val="24"/>
        </w:rPr>
        <w:t xml:space="preserve">ffice of </w:t>
      </w:r>
      <w:r w:rsidRPr="00CE236A">
        <w:rPr>
          <w:rFonts w:eastAsia="Arial"/>
          <w:sz w:val="24"/>
          <w:szCs w:val="24"/>
        </w:rPr>
        <w:t>M</w:t>
      </w:r>
      <w:r w:rsidR="00D26453" w:rsidRPr="00CE236A">
        <w:rPr>
          <w:rFonts w:eastAsia="Arial"/>
          <w:sz w:val="24"/>
          <w:szCs w:val="24"/>
        </w:rPr>
        <w:t xml:space="preserve">anagement and </w:t>
      </w:r>
      <w:r w:rsidRPr="00CE236A">
        <w:rPr>
          <w:rFonts w:eastAsia="Arial"/>
          <w:sz w:val="24"/>
          <w:szCs w:val="24"/>
        </w:rPr>
        <w:t>B</w:t>
      </w:r>
      <w:r w:rsidR="00D26453" w:rsidRPr="00CE236A">
        <w:rPr>
          <w:rFonts w:eastAsia="Arial"/>
          <w:sz w:val="24"/>
          <w:szCs w:val="24"/>
        </w:rPr>
        <w:t>udget</w:t>
      </w:r>
      <w:r w:rsidRPr="00CE236A">
        <w:rPr>
          <w:rFonts w:eastAsia="Arial"/>
          <w:sz w:val="24"/>
          <w:szCs w:val="24"/>
        </w:rPr>
        <w:t xml:space="preserve"> guidelines. Documentation must be available upon request and is subject to audit.</w:t>
      </w:r>
    </w:p>
    <w:p w14:paraId="7C712C63" w14:textId="7860A5DB" w:rsidR="00F9263C" w:rsidRPr="00CE236A" w:rsidRDefault="00F9263C" w:rsidP="00EC307F">
      <w:pPr>
        <w:ind w:left="720"/>
        <w:rPr>
          <w:rFonts w:eastAsia="Arial"/>
          <w:sz w:val="24"/>
          <w:szCs w:val="24"/>
        </w:rPr>
      </w:pPr>
      <w:r w:rsidRPr="00CE236A">
        <w:rPr>
          <w:rFonts w:eastAsia="Arial"/>
          <w:sz w:val="24"/>
          <w:szCs w:val="24"/>
        </w:rPr>
        <w:t xml:space="preserve">There is no stated maximum percentage rate beyond what is </w:t>
      </w:r>
      <w:proofErr w:type="gramStart"/>
      <w:r w:rsidRPr="00CE236A">
        <w:rPr>
          <w:rFonts w:eastAsia="Arial"/>
          <w:sz w:val="24"/>
          <w:szCs w:val="24"/>
        </w:rPr>
        <w:t>allowable</w:t>
      </w:r>
      <w:proofErr w:type="gramEnd"/>
      <w:r w:rsidRPr="00CE236A">
        <w:rPr>
          <w:rFonts w:eastAsia="Arial"/>
          <w:sz w:val="24"/>
          <w:szCs w:val="24"/>
        </w:rPr>
        <w:t xml:space="preserve"> under these options and the applicable T&amp;Cs. Applicants using a federally negotiated rate may </w:t>
      </w:r>
      <w:proofErr w:type="gramStart"/>
      <w:r w:rsidRPr="00CE236A">
        <w:rPr>
          <w:rFonts w:eastAsia="Arial"/>
          <w:sz w:val="24"/>
          <w:szCs w:val="24"/>
        </w:rPr>
        <w:t>apply</w:t>
      </w:r>
      <w:proofErr w:type="gramEnd"/>
      <w:r w:rsidRPr="00CE236A">
        <w:rPr>
          <w:rFonts w:eastAsia="Arial"/>
          <w:sz w:val="24"/>
          <w:szCs w:val="24"/>
        </w:rPr>
        <w:t xml:space="preserve"> that rate, provided it is curren</w:t>
      </w:r>
      <w:r w:rsidR="001677D6" w:rsidRPr="00CE236A">
        <w:rPr>
          <w:rFonts w:eastAsia="Arial"/>
          <w:sz w:val="24"/>
          <w:szCs w:val="24"/>
        </w:rPr>
        <w:t xml:space="preserve">t and </w:t>
      </w:r>
      <w:r w:rsidRPr="00CE236A">
        <w:rPr>
          <w:rFonts w:eastAsia="Arial"/>
          <w:sz w:val="24"/>
          <w:szCs w:val="24"/>
        </w:rPr>
        <w:t>properly documented</w:t>
      </w:r>
      <w:r w:rsidR="001677D6" w:rsidRPr="00CE236A">
        <w:rPr>
          <w:rFonts w:eastAsia="Arial"/>
          <w:sz w:val="24"/>
          <w:szCs w:val="24"/>
        </w:rPr>
        <w:t xml:space="preserve">. </w:t>
      </w:r>
    </w:p>
    <w:p w14:paraId="5C0E82B5" w14:textId="2B3A50C9" w:rsidR="00E72C50" w:rsidRPr="00CE236A" w:rsidRDefault="00F9263C" w:rsidP="00D7458A">
      <w:pPr>
        <w:ind w:left="720"/>
        <w:rPr>
          <w:rFonts w:eastAsia="Arial"/>
          <w:sz w:val="24"/>
          <w:szCs w:val="24"/>
        </w:rPr>
      </w:pPr>
      <w:r w:rsidRPr="00CE236A">
        <w:rPr>
          <w:rFonts w:eastAsia="Arial"/>
          <w:sz w:val="24"/>
          <w:szCs w:val="24"/>
        </w:rPr>
        <w:t>Applicants are encouraged to review the CEC Budget Category Guidance and applicable T</w:t>
      </w:r>
      <w:r w:rsidR="002D1BA1" w:rsidRPr="00CE236A">
        <w:rPr>
          <w:rFonts w:eastAsia="Arial"/>
          <w:sz w:val="24"/>
          <w:szCs w:val="24"/>
        </w:rPr>
        <w:t>&amp;Cs</w:t>
      </w:r>
      <w:r w:rsidRPr="00CE236A">
        <w:rPr>
          <w:rFonts w:eastAsia="Arial"/>
          <w:sz w:val="24"/>
          <w:szCs w:val="24"/>
        </w:rPr>
        <w:t xml:space="preserve"> carefully to ensure compliance.</w:t>
      </w:r>
    </w:p>
    <w:p w14:paraId="646C45AA" w14:textId="77777777" w:rsidR="0024584E" w:rsidRPr="00CE236A" w:rsidRDefault="0024584E" w:rsidP="00EC307F">
      <w:pPr>
        <w:ind w:left="720"/>
        <w:rPr>
          <w:rFonts w:eastAsia="Arial"/>
          <w:sz w:val="24"/>
          <w:szCs w:val="24"/>
        </w:rPr>
      </w:pPr>
    </w:p>
    <w:p w14:paraId="48F4157A" w14:textId="318E93FC" w:rsidR="00D4491C" w:rsidRPr="00CE236A" w:rsidRDefault="00CD7314" w:rsidP="16002163">
      <w:pPr>
        <w:ind w:left="720" w:hanging="720"/>
        <w:rPr>
          <w:rFonts w:eastAsia="Arial"/>
          <w:b/>
          <w:sz w:val="24"/>
          <w:szCs w:val="24"/>
        </w:rPr>
      </w:pPr>
      <w:r w:rsidRPr="00CE236A">
        <w:rPr>
          <w:rFonts w:eastAsia="Arial"/>
          <w:b/>
          <w:sz w:val="24"/>
          <w:szCs w:val="24"/>
        </w:rPr>
        <w:t>Q12</w:t>
      </w:r>
      <w:r w:rsidR="00D4491C" w:rsidRPr="00CE236A">
        <w:rPr>
          <w:rFonts w:eastAsia="Arial"/>
          <w:b/>
          <w:sz w:val="24"/>
          <w:szCs w:val="24"/>
        </w:rPr>
        <w:t>:</w:t>
      </w:r>
      <w:r w:rsidR="00D4491C">
        <w:tab/>
      </w:r>
      <w:r w:rsidR="00195759" w:rsidRPr="00CE236A">
        <w:rPr>
          <w:rFonts w:eastAsia="Arial"/>
          <w:b/>
          <w:sz w:val="24"/>
          <w:szCs w:val="24"/>
        </w:rPr>
        <w:t xml:space="preserve">Is a </w:t>
      </w:r>
      <w:r w:rsidR="00F21FDB" w:rsidRPr="00CE236A">
        <w:rPr>
          <w:rFonts w:eastAsia="Arial"/>
          <w:b/>
          <w:sz w:val="24"/>
          <w:szCs w:val="24"/>
        </w:rPr>
        <w:t>California Environmental Quality Act (</w:t>
      </w:r>
      <w:r w:rsidR="00195759" w:rsidRPr="00CE236A">
        <w:rPr>
          <w:rFonts w:eastAsia="Arial"/>
          <w:b/>
          <w:sz w:val="24"/>
          <w:szCs w:val="24"/>
        </w:rPr>
        <w:t>CEQA</w:t>
      </w:r>
      <w:r w:rsidR="00F21FDB" w:rsidRPr="00CE236A">
        <w:rPr>
          <w:rFonts w:eastAsia="Arial"/>
          <w:b/>
          <w:sz w:val="24"/>
          <w:szCs w:val="24"/>
        </w:rPr>
        <w:t>)</w:t>
      </w:r>
      <w:r w:rsidR="00195759" w:rsidRPr="00CE236A">
        <w:rPr>
          <w:rFonts w:eastAsia="Arial"/>
          <w:b/>
          <w:sz w:val="24"/>
          <w:szCs w:val="24"/>
        </w:rPr>
        <w:t xml:space="preserve"> document required at the time of application submission?</w:t>
      </w:r>
    </w:p>
    <w:p w14:paraId="22B4ED98" w14:textId="6797EE93" w:rsidR="00AB40DE" w:rsidRPr="00CE236A" w:rsidRDefault="00CD7314" w:rsidP="00AB40DE">
      <w:pPr>
        <w:ind w:left="720" w:hanging="720"/>
        <w:rPr>
          <w:rFonts w:eastAsia="Arial"/>
          <w:sz w:val="24"/>
          <w:szCs w:val="24"/>
        </w:rPr>
      </w:pPr>
      <w:r w:rsidRPr="00CE236A">
        <w:rPr>
          <w:rFonts w:eastAsia="Arial"/>
          <w:b/>
          <w:sz w:val="24"/>
          <w:szCs w:val="24"/>
        </w:rPr>
        <w:t>A12</w:t>
      </w:r>
      <w:r w:rsidR="00EB1E62" w:rsidRPr="00CE236A">
        <w:rPr>
          <w:rFonts w:eastAsia="Arial"/>
          <w:b/>
          <w:sz w:val="24"/>
          <w:szCs w:val="24"/>
        </w:rPr>
        <w:t>:</w:t>
      </w:r>
      <w:r>
        <w:tab/>
      </w:r>
      <w:r w:rsidR="00AB40DE" w:rsidRPr="00CE236A">
        <w:rPr>
          <w:rFonts w:eastAsia="Arial"/>
          <w:sz w:val="24"/>
          <w:szCs w:val="24"/>
        </w:rPr>
        <w:t xml:space="preserve">The CEQA </w:t>
      </w:r>
      <w:r w:rsidR="00E93682" w:rsidRPr="00CE236A">
        <w:rPr>
          <w:rFonts w:eastAsia="Arial"/>
          <w:sz w:val="24"/>
          <w:szCs w:val="24"/>
        </w:rPr>
        <w:t>C</w:t>
      </w:r>
      <w:r w:rsidR="00AB40DE" w:rsidRPr="00CE236A">
        <w:rPr>
          <w:rFonts w:eastAsia="Arial"/>
          <w:sz w:val="24"/>
          <w:szCs w:val="24"/>
        </w:rPr>
        <w:t xml:space="preserve">ompliance </w:t>
      </w:r>
      <w:r w:rsidR="00E93682" w:rsidRPr="00CE236A">
        <w:rPr>
          <w:rFonts w:eastAsia="Arial"/>
          <w:sz w:val="24"/>
          <w:szCs w:val="24"/>
        </w:rPr>
        <w:t>F</w:t>
      </w:r>
      <w:r w:rsidR="00AB40DE" w:rsidRPr="00CE236A">
        <w:rPr>
          <w:rFonts w:eastAsia="Arial"/>
          <w:sz w:val="24"/>
          <w:szCs w:val="24"/>
        </w:rPr>
        <w:t>orm (Attachment 7) is required at the time of application submission.</w:t>
      </w:r>
      <w:r w:rsidR="00F57EBE" w:rsidRPr="00CE236A">
        <w:rPr>
          <w:rFonts w:eastAsia="Arial"/>
          <w:sz w:val="24"/>
          <w:szCs w:val="24"/>
        </w:rPr>
        <w:t xml:space="preserve"> All applicants must complete this form, regardless of whether the proposed activity is considered a “project” as defined in Attachment 7.</w:t>
      </w:r>
      <w:r w:rsidR="00333F9B" w:rsidRPr="00CE236A">
        <w:rPr>
          <w:rFonts w:eastAsia="Arial"/>
          <w:sz w:val="24"/>
          <w:szCs w:val="24"/>
        </w:rPr>
        <w:t xml:space="preserve"> </w:t>
      </w:r>
      <w:r w:rsidR="00676CBE" w:rsidRPr="00CE236A">
        <w:rPr>
          <w:rFonts w:eastAsia="Arial"/>
          <w:sz w:val="24"/>
          <w:szCs w:val="24"/>
        </w:rPr>
        <w:t>The information provided in the CEQA Compliance Form helps the CEC determine the appropriate level of CEQA review required before an award can be approved, a</w:t>
      </w:r>
      <w:r w:rsidR="6B1F6E64" w:rsidRPr="2D4D31BF">
        <w:rPr>
          <w:rFonts w:eastAsia="Arial"/>
          <w:sz w:val="24"/>
          <w:szCs w:val="24"/>
        </w:rPr>
        <w:t>s well as</w:t>
      </w:r>
      <w:r w:rsidR="00676CBE" w:rsidRPr="00CE236A">
        <w:rPr>
          <w:rFonts w:eastAsia="Arial"/>
          <w:sz w:val="24"/>
          <w:szCs w:val="24"/>
        </w:rPr>
        <w:t xml:space="preserve"> which agency will serve as the Lead Agency for any required environmental review.</w:t>
      </w:r>
    </w:p>
    <w:p w14:paraId="14A5B8C5" w14:textId="5CB73B09" w:rsidR="00656638" w:rsidRPr="00CE236A" w:rsidRDefault="00656638" w:rsidP="00E45246">
      <w:pPr>
        <w:ind w:left="720"/>
        <w:rPr>
          <w:rFonts w:eastAsia="Arial"/>
          <w:sz w:val="24"/>
          <w:szCs w:val="24"/>
        </w:rPr>
      </w:pPr>
      <w:r w:rsidRPr="00CE236A">
        <w:rPr>
          <w:rFonts w:eastAsia="Arial"/>
          <w:sz w:val="24"/>
          <w:szCs w:val="24"/>
        </w:rPr>
        <w:t xml:space="preserve">If a project is selected for funding and is determined not to be CEQA-exempt, the CEC cannot guarantee that </w:t>
      </w:r>
      <w:r w:rsidR="55C31D30" w:rsidRPr="2D4D31BF">
        <w:rPr>
          <w:rFonts w:eastAsia="Arial"/>
          <w:sz w:val="24"/>
          <w:szCs w:val="24"/>
        </w:rPr>
        <w:t xml:space="preserve">CEC </w:t>
      </w:r>
      <w:r w:rsidRPr="00CE236A">
        <w:rPr>
          <w:rFonts w:eastAsia="Arial"/>
          <w:sz w:val="24"/>
          <w:szCs w:val="24"/>
        </w:rPr>
        <w:t xml:space="preserve">resources will be available to conduct an extensive CEQA review. The CEC may cancel </w:t>
      </w:r>
      <w:proofErr w:type="gramStart"/>
      <w:r w:rsidRPr="00CE236A">
        <w:rPr>
          <w:rFonts w:eastAsia="Arial"/>
          <w:sz w:val="24"/>
          <w:szCs w:val="24"/>
        </w:rPr>
        <w:t>a proposed</w:t>
      </w:r>
      <w:proofErr w:type="gramEnd"/>
      <w:r w:rsidRPr="00CE236A">
        <w:rPr>
          <w:rFonts w:eastAsia="Arial"/>
          <w:sz w:val="24"/>
          <w:szCs w:val="24"/>
        </w:rPr>
        <w:t xml:space="preserve"> award if the necessary CEQA review is unlikely to be completed within a reasonable timeframe.</w:t>
      </w:r>
    </w:p>
    <w:p w14:paraId="62ABE1D7" w14:textId="77777777" w:rsidR="005A54C5" w:rsidRPr="00CE236A" w:rsidRDefault="005A54C5" w:rsidP="00E45246">
      <w:pPr>
        <w:ind w:left="720"/>
        <w:rPr>
          <w:rFonts w:eastAsia="Arial"/>
          <w:b/>
          <w:sz w:val="24"/>
          <w:szCs w:val="24"/>
        </w:rPr>
      </w:pPr>
    </w:p>
    <w:p w14:paraId="5214FCF7" w14:textId="77777777" w:rsidR="007E7556" w:rsidRDefault="002D53D9" w:rsidP="007E7556">
      <w:pPr>
        <w:ind w:left="720" w:hanging="720"/>
        <w:rPr>
          <w:rFonts w:eastAsia="Arial"/>
          <w:b/>
          <w:sz w:val="24"/>
          <w:szCs w:val="24"/>
        </w:rPr>
      </w:pPr>
      <w:r w:rsidRPr="00CE236A">
        <w:rPr>
          <w:rFonts w:eastAsia="Arial"/>
          <w:b/>
          <w:sz w:val="24"/>
          <w:szCs w:val="24"/>
        </w:rPr>
        <w:t>Q1</w:t>
      </w:r>
      <w:r w:rsidR="00E07191" w:rsidRPr="00CE236A">
        <w:rPr>
          <w:rFonts w:eastAsia="Arial"/>
          <w:b/>
          <w:sz w:val="24"/>
          <w:szCs w:val="24"/>
        </w:rPr>
        <w:t>3</w:t>
      </w:r>
      <w:r w:rsidRPr="00CE236A">
        <w:rPr>
          <w:rFonts w:eastAsia="Arial"/>
          <w:b/>
          <w:sz w:val="24"/>
          <w:szCs w:val="24"/>
        </w:rPr>
        <w:t>:</w:t>
      </w:r>
      <w:r>
        <w:tab/>
      </w:r>
      <w:r w:rsidRPr="00CE236A">
        <w:rPr>
          <w:rFonts w:eastAsia="Arial"/>
          <w:b/>
          <w:sz w:val="24"/>
          <w:szCs w:val="24"/>
        </w:rPr>
        <w:t xml:space="preserve">How is the </w:t>
      </w:r>
      <w:r w:rsidR="00330E0B" w:rsidRPr="00CE236A">
        <w:rPr>
          <w:rFonts w:eastAsia="Arial"/>
          <w:b/>
          <w:sz w:val="24"/>
          <w:szCs w:val="24"/>
        </w:rPr>
        <w:t xml:space="preserve">percentage </w:t>
      </w:r>
      <w:r w:rsidRPr="00CE236A">
        <w:rPr>
          <w:rFonts w:eastAsia="Arial"/>
          <w:b/>
          <w:sz w:val="24"/>
          <w:szCs w:val="24"/>
        </w:rPr>
        <w:t>of fund</w:t>
      </w:r>
      <w:r w:rsidR="00330E0B" w:rsidRPr="00CE236A">
        <w:rPr>
          <w:rFonts w:eastAsia="Arial"/>
          <w:b/>
          <w:sz w:val="24"/>
          <w:szCs w:val="24"/>
        </w:rPr>
        <w:t>s</w:t>
      </w:r>
      <w:r w:rsidRPr="00CE236A">
        <w:rPr>
          <w:rFonts w:eastAsia="Arial"/>
          <w:b/>
          <w:sz w:val="24"/>
          <w:szCs w:val="24"/>
        </w:rPr>
        <w:t xml:space="preserve"> spent in </w:t>
      </w:r>
      <w:r w:rsidR="00182443" w:rsidRPr="00CE236A">
        <w:rPr>
          <w:rFonts w:eastAsia="Arial"/>
          <w:b/>
          <w:sz w:val="24"/>
          <w:szCs w:val="24"/>
        </w:rPr>
        <w:t xml:space="preserve">California </w:t>
      </w:r>
      <w:r w:rsidR="008231A6" w:rsidRPr="00CE236A">
        <w:rPr>
          <w:rFonts w:eastAsia="Arial"/>
          <w:b/>
          <w:sz w:val="24"/>
          <w:szCs w:val="24"/>
        </w:rPr>
        <w:t>scored</w:t>
      </w:r>
      <w:r w:rsidRPr="00CE236A">
        <w:rPr>
          <w:rFonts w:eastAsia="Arial"/>
          <w:b/>
          <w:sz w:val="24"/>
          <w:szCs w:val="24"/>
        </w:rPr>
        <w:t>?</w:t>
      </w:r>
    </w:p>
    <w:p w14:paraId="31BEAAA3" w14:textId="32506A91" w:rsidR="00014E3A" w:rsidRPr="007E7556" w:rsidRDefault="006F4F74" w:rsidP="007E7556">
      <w:pPr>
        <w:ind w:left="720" w:hanging="720"/>
        <w:rPr>
          <w:rFonts w:eastAsia="Arial"/>
          <w:b/>
          <w:sz w:val="24"/>
          <w:szCs w:val="24"/>
        </w:rPr>
      </w:pPr>
      <w:r w:rsidRPr="00CE236A">
        <w:rPr>
          <w:rFonts w:eastAsia="Arial"/>
          <w:b/>
          <w:sz w:val="24"/>
          <w:szCs w:val="24"/>
        </w:rPr>
        <w:lastRenderedPageBreak/>
        <w:t>A13:</w:t>
      </w:r>
      <w:r>
        <w:tab/>
      </w:r>
      <w:r w:rsidR="00EC5516" w:rsidRPr="00CE236A">
        <w:rPr>
          <w:rFonts w:eastAsia="Arial"/>
          <w:sz w:val="24"/>
          <w:szCs w:val="24"/>
        </w:rPr>
        <w:t xml:space="preserve">CEC Funds Spent in California </w:t>
      </w:r>
      <w:r w:rsidR="5E6467C5" w:rsidRPr="2D4D31BF">
        <w:rPr>
          <w:rFonts w:eastAsia="Arial"/>
          <w:sz w:val="24"/>
          <w:szCs w:val="24"/>
        </w:rPr>
        <w:t xml:space="preserve">scoring criterion </w:t>
      </w:r>
      <w:r w:rsidR="00EC5516" w:rsidRPr="0011712F">
        <w:rPr>
          <w:rFonts w:eastAsia="Arial"/>
          <w:sz w:val="24"/>
          <w:szCs w:val="24"/>
        </w:rPr>
        <w:t>is evaluated as a preference point criterion, with up to 5 bonus points available. Only applications</w:t>
      </w:r>
      <w:r w:rsidR="001E2720" w:rsidRPr="0011712F">
        <w:rPr>
          <w:rFonts w:eastAsia="Arial"/>
          <w:sz w:val="24"/>
          <w:szCs w:val="24"/>
        </w:rPr>
        <w:t xml:space="preserve"> </w:t>
      </w:r>
      <w:r w:rsidR="00EC5516" w:rsidRPr="0011712F">
        <w:rPr>
          <w:rFonts w:eastAsia="Arial"/>
          <w:sz w:val="24"/>
          <w:szCs w:val="24"/>
        </w:rPr>
        <w:t xml:space="preserve">meeting </w:t>
      </w:r>
      <w:r w:rsidR="00D26E2B" w:rsidRPr="0011712F">
        <w:rPr>
          <w:rFonts w:eastAsia="Arial"/>
          <w:sz w:val="24"/>
          <w:szCs w:val="24"/>
        </w:rPr>
        <w:t xml:space="preserve">the </w:t>
      </w:r>
      <w:r w:rsidR="00EC5516" w:rsidRPr="0011712F">
        <w:rPr>
          <w:rFonts w:eastAsia="Arial"/>
          <w:sz w:val="24"/>
          <w:szCs w:val="24"/>
        </w:rPr>
        <w:t>minimum passing score on required criteria are eligible for preference points.</w:t>
      </w:r>
      <w:r w:rsidR="001E2720" w:rsidRPr="0011712F">
        <w:rPr>
          <w:rFonts w:eastAsia="Arial"/>
          <w:sz w:val="24"/>
          <w:szCs w:val="24"/>
        </w:rPr>
        <w:t xml:space="preserve"> </w:t>
      </w:r>
    </w:p>
    <w:p w14:paraId="1832FD01" w14:textId="77777777" w:rsidR="00014E3A" w:rsidRPr="0011712F" w:rsidRDefault="00014E3A" w:rsidP="003B31BC">
      <w:pPr>
        <w:ind w:left="720" w:hanging="720"/>
        <w:rPr>
          <w:rFonts w:eastAsia="Arial"/>
          <w:sz w:val="24"/>
          <w:szCs w:val="24"/>
        </w:rPr>
      </w:pPr>
    </w:p>
    <w:p w14:paraId="4FA89D25" w14:textId="016F0E42" w:rsidR="00014E3A" w:rsidRPr="0011712F" w:rsidRDefault="00014E3A" w:rsidP="007E7556">
      <w:pPr>
        <w:ind w:left="720"/>
        <w:rPr>
          <w:rFonts w:eastAsia="Arial"/>
          <w:sz w:val="24"/>
          <w:szCs w:val="24"/>
        </w:rPr>
      </w:pPr>
      <w:r w:rsidRPr="0011712F">
        <w:rPr>
          <w:rFonts w:eastAsia="Arial"/>
          <w:sz w:val="24"/>
          <w:szCs w:val="24"/>
        </w:rPr>
        <w:t xml:space="preserve">The percentage of CEC funds spent in California is calculated using the </w:t>
      </w:r>
      <w:r w:rsidR="5F6879EA" w:rsidRPr="0011712F">
        <w:rPr>
          <w:rFonts w:eastAsia="Arial"/>
          <w:sz w:val="24"/>
          <w:szCs w:val="24"/>
        </w:rPr>
        <w:t xml:space="preserve">reported </w:t>
      </w:r>
      <w:r w:rsidR="009D5CF8" w:rsidRPr="2D4D31BF">
        <w:rPr>
          <w:rFonts w:eastAsia="Arial"/>
          <w:sz w:val="24"/>
          <w:szCs w:val="24"/>
        </w:rPr>
        <w:t>F</w:t>
      </w:r>
      <w:r w:rsidR="5F6879EA" w:rsidRPr="0011712F">
        <w:rPr>
          <w:rFonts w:eastAsia="Arial"/>
          <w:sz w:val="24"/>
          <w:szCs w:val="24"/>
        </w:rPr>
        <w:t xml:space="preserve">unds </w:t>
      </w:r>
      <w:r w:rsidR="009D5CF8" w:rsidRPr="2D4D31BF">
        <w:rPr>
          <w:rFonts w:eastAsia="Arial"/>
          <w:sz w:val="24"/>
          <w:szCs w:val="24"/>
        </w:rPr>
        <w:t>S</w:t>
      </w:r>
      <w:r w:rsidR="5F6879EA" w:rsidRPr="0011712F">
        <w:rPr>
          <w:rFonts w:eastAsia="Arial"/>
          <w:sz w:val="24"/>
          <w:szCs w:val="24"/>
        </w:rPr>
        <w:t xml:space="preserve">pent in California on the </w:t>
      </w:r>
      <w:r w:rsidRPr="0011712F">
        <w:rPr>
          <w:rFonts w:eastAsia="Arial"/>
          <w:sz w:val="24"/>
          <w:szCs w:val="24"/>
        </w:rPr>
        <w:t xml:space="preserve">Budget </w:t>
      </w:r>
      <w:r w:rsidR="461D3084" w:rsidRPr="0011712F">
        <w:rPr>
          <w:rFonts w:eastAsia="Arial"/>
          <w:sz w:val="24"/>
          <w:szCs w:val="24"/>
        </w:rPr>
        <w:t>Form</w:t>
      </w:r>
      <w:r w:rsidRPr="0011712F">
        <w:rPr>
          <w:rFonts w:eastAsia="Arial"/>
          <w:sz w:val="24"/>
          <w:szCs w:val="24"/>
        </w:rPr>
        <w:t xml:space="preserve"> </w:t>
      </w:r>
      <w:r w:rsidR="3200BEF0" w:rsidRPr="0011712F">
        <w:rPr>
          <w:rFonts w:eastAsia="Arial"/>
          <w:sz w:val="24"/>
          <w:szCs w:val="24"/>
        </w:rPr>
        <w:t>(</w:t>
      </w:r>
      <w:r w:rsidRPr="0011712F">
        <w:rPr>
          <w:rFonts w:eastAsia="Arial"/>
          <w:sz w:val="24"/>
          <w:szCs w:val="24"/>
        </w:rPr>
        <w:t>Attachment</w:t>
      </w:r>
      <w:r w:rsidR="73F38C3D" w:rsidRPr="0011712F">
        <w:rPr>
          <w:rFonts w:eastAsia="Arial"/>
          <w:sz w:val="24"/>
          <w:szCs w:val="24"/>
        </w:rPr>
        <w:t xml:space="preserve"> 6)</w:t>
      </w:r>
      <w:r w:rsidRPr="0011712F">
        <w:rPr>
          <w:rFonts w:eastAsia="Arial"/>
          <w:sz w:val="24"/>
          <w:szCs w:val="24"/>
        </w:rPr>
        <w:t>, by comparing the total amount of requested CEC funds that will be spent in California to the total CEC funds requested for the project.</w:t>
      </w:r>
      <w:r w:rsidR="006D711C" w:rsidRPr="0011712F">
        <w:rPr>
          <w:rFonts w:eastAsia="Arial"/>
          <w:sz w:val="24"/>
          <w:szCs w:val="24"/>
        </w:rPr>
        <w:t xml:space="preserve"> Preference points are then awarded based on the percentage of CEC funds spent in California. Higher percentages receive a greater share of the available points, with the full 5 points awarded when more than 98</w:t>
      </w:r>
      <w:r w:rsidR="19228642" w:rsidRPr="0011712F">
        <w:rPr>
          <w:rFonts w:eastAsia="Arial"/>
          <w:sz w:val="24"/>
          <w:szCs w:val="24"/>
        </w:rPr>
        <w:t xml:space="preserve"> percent</w:t>
      </w:r>
      <w:r w:rsidR="006D711C" w:rsidRPr="0011712F">
        <w:rPr>
          <w:rFonts w:eastAsia="Arial"/>
          <w:sz w:val="24"/>
          <w:szCs w:val="24"/>
        </w:rPr>
        <w:t xml:space="preserve"> of CEC funds </w:t>
      </w:r>
      <w:r w:rsidR="64540D17" w:rsidRPr="2D4D31BF">
        <w:rPr>
          <w:rFonts w:eastAsia="Arial"/>
          <w:sz w:val="24"/>
          <w:szCs w:val="24"/>
        </w:rPr>
        <w:t>will be</w:t>
      </w:r>
      <w:r w:rsidR="006D711C" w:rsidRPr="0011712F">
        <w:rPr>
          <w:rFonts w:eastAsia="Arial"/>
          <w:sz w:val="24"/>
          <w:szCs w:val="24"/>
        </w:rPr>
        <w:t xml:space="preserve"> spent in California.</w:t>
      </w:r>
      <w:r w:rsidR="37B159D1" w:rsidRPr="0011712F">
        <w:rPr>
          <w:rFonts w:eastAsia="Arial"/>
          <w:sz w:val="24"/>
          <w:szCs w:val="24"/>
        </w:rPr>
        <w:t xml:space="preserve"> </w:t>
      </w:r>
    </w:p>
    <w:p w14:paraId="5F4896A4" w14:textId="19C35380" w:rsidR="00661684" w:rsidRPr="0011712F" w:rsidRDefault="008D348C" w:rsidP="0011712F">
      <w:pPr>
        <w:ind w:left="720"/>
        <w:rPr>
          <w:rFonts w:eastAsia="Arial"/>
          <w:sz w:val="24"/>
          <w:szCs w:val="24"/>
        </w:rPr>
      </w:pPr>
      <w:r>
        <w:rPr>
          <w:rFonts w:eastAsia="Arial"/>
          <w:sz w:val="24"/>
          <w:szCs w:val="24"/>
        </w:rPr>
        <w:t>S</w:t>
      </w:r>
      <w:r w:rsidR="001E2720" w:rsidRPr="0011712F">
        <w:rPr>
          <w:rFonts w:eastAsia="Arial"/>
          <w:sz w:val="24"/>
          <w:szCs w:val="24"/>
        </w:rPr>
        <w:t xml:space="preserve">ee </w:t>
      </w:r>
      <w:r w:rsidR="00523134" w:rsidRPr="0011712F">
        <w:rPr>
          <w:rFonts w:eastAsia="Arial"/>
          <w:sz w:val="24"/>
          <w:szCs w:val="24"/>
        </w:rPr>
        <w:t>S</w:t>
      </w:r>
      <w:r w:rsidR="001E2720" w:rsidRPr="0011712F">
        <w:rPr>
          <w:rFonts w:eastAsia="Arial"/>
          <w:sz w:val="24"/>
          <w:szCs w:val="24"/>
        </w:rPr>
        <w:t xml:space="preserve">ection </w:t>
      </w:r>
      <w:r w:rsidR="00AF4F03" w:rsidRPr="0011712F">
        <w:rPr>
          <w:rFonts w:eastAsia="Arial"/>
          <w:sz w:val="24"/>
          <w:szCs w:val="24"/>
        </w:rPr>
        <w:t>I.</w:t>
      </w:r>
      <w:r w:rsidR="00DB1FAE" w:rsidRPr="0011712F">
        <w:rPr>
          <w:rFonts w:eastAsia="Arial"/>
          <w:sz w:val="24"/>
          <w:szCs w:val="24"/>
        </w:rPr>
        <w:t>L</w:t>
      </w:r>
      <w:r w:rsidR="00AF4F03" w:rsidRPr="0011712F">
        <w:rPr>
          <w:rFonts w:eastAsia="Arial"/>
          <w:sz w:val="24"/>
          <w:szCs w:val="24"/>
        </w:rPr>
        <w:t>.</w:t>
      </w:r>
      <w:r w:rsidR="001E2720" w:rsidRPr="0011712F">
        <w:rPr>
          <w:rFonts w:eastAsia="Arial"/>
          <w:sz w:val="24"/>
          <w:szCs w:val="24"/>
        </w:rPr>
        <w:t xml:space="preserve"> of the solicitation manual for details on </w:t>
      </w:r>
      <w:r w:rsidR="00467201" w:rsidRPr="0011712F">
        <w:rPr>
          <w:rFonts w:eastAsia="Arial"/>
          <w:sz w:val="24"/>
          <w:szCs w:val="24"/>
        </w:rPr>
        <w:t xml:space="preserve">how the percentage of funds spent in California is calculated and </w:t>
      </w:r>
      <w:r w:rsidR="00523134" w:rsidRPr="0011712F">
        <w:rPr>
          <w:rFonts w:eastAsia="Arial"/>
          <w:sz w:val="24"/>
          <w:szCs w:val="24"/>
        </w:rPr>
        <w:t>S</w:t>
      </w:r>
      <w:r w:rsidR="00467201" w:rsidRPr="0011712F">
        <w:rPr>
          <w:rFonts w:eastAsia="Arial"/>
          <w:sz w:val="24"/>
          <w:szCs w:val="24"/>
        </w:rPr>
        <w:t xml:space="preserve">ection </w:t>
      </w:r>
      <w:r w:rsidR="00B7353A" w:rsidRPr="0011712F">
        <w:rPr>
          <w:rFonts w:eastAsia="Arial"/>
          <w:sz w:val="24"/>
          <w:szCs w:val="24"/>
        </w:rPr>
        <w:t>IV.F.</w:t>
      </w:r>
      <w:r w:rsidR="00467201" w:rsidRPr="0011712F">
        <w:rPr>
          <w:rFonts w:eastAsia="Arial"/>
          <w:sz w:val="24"/>
          <w:szCs w:val="24"/>
        </w:rPr>
        <w:t xml:space="preserve"> for details on</w:t>
      </w:r>
      <w:r w:rsidR="00182443" w:rsidRPr="0011712F">
        <w:rPr>
          <w:rFonts w:eastAsia="Arial"/>
          <w:sz w:val="24"/>
          <w:szCs w:val="24"/>
        </w:rPr>
        <w:t xml:space="preserve"> how associated</w:t>
      </w:r>
      <w:r w:rsidR="0076273E" w:rsidRPr="0011712F">
        <w:rPr>
          <w:rFonts w:eastAsia="Arial"/>
          <w:sz w:val="24"/>
          <w:szCs w:val="24"/>
        </w:rPr>
        <w:t xml:space="preserve"> preference points</w:t>
      </w:r>
      <w:r w:rsidR="00182443" w:rsidRPr="0011712F">
        <w:rPr>
          <w:rFonts w:eastAsia="Arial"/>
          <w:sz w:val="24"/>
          <w:szCs w:val="24"/>
        </w:rPr>
        <w:t xml:space="preserve"> are calculated.</w:t>
      </w:r>
    </w:p>
    <w:p w14:paraId="3DF88332" w14:textId="77777777" w:rsidR="005A54C5" w:rsidRPr="0011712F" w:rsidRDefault="005A54C5" w:rsidP="003B31BC">
      <w:pPr>
        <w:ind w:left="720" w:hanging="720"/>
        <w:rPr>
          <w:rFonts w:eastAsia="Arial"/>
          <w:sz w:val="24"/>
          <w:szCs w:val="24"/>
        </w:rPr>
      </w:pPr>
    </w:p>
    <w:p w14:paraId="167AEC28" w14:textId="72BE4354" w:rsidR="005A54C5" w:rsidRPr="0092275D" w:rsidRDefault="0073053A" w:rsidP="005A54C5">
      <w:pPr>
        <w:ind w:left="720" w:hanging="720"/>
        <w:rPr>
          <w:rFonts w:eastAsia="Arial"/>
          <w:b/>
          <w:sz w:val="24"/>
          <w:szCs w:val="24"/>
        </w:rPr>
      </w:pPr>
      <w:r w:rsidRPr="0011712F">
        <w:rPr>
          <w:rFonts w:eastAsia="Arial"/>
          <w:b/>
          <w:sz w:val="24"/>
          <w:szCs w:val="24"/>
        </w:rPr>
        <w:t>Q1</w:t>
      </w:r>
      <w:r w:rsidR="00CD7314" w:rsidRPr="0011712F">
        <w:rPr>
          <w:rFonts w:eastAsia="Arial"/>
          <w:b/>
          <w:sz w:val="24"/>
          <w:szCs w:val="24"/>
        </w:rPr>
        <w:t>4</w:t>
      </w:r>
      <w:r w:rsidRPr="0011712F">
        <w:rPr>
          <w:rFonts w:eastAsia="Arial"/>
          <w:b/>
          <w:sz w:val="24"/>
          <w:szCs w:val="24"/>
        </w:rPr>
        <w:t>:</w:t>
      </w:r>
      <w:r>
        <w:tab/>
      </w:r>
      <w:r w:rsidR="008D2605" w:rsidRPr="0092275D">
        <w:rPr>
          <w:rFonts w:eastAsia="Arial"/>
          <w:b/>
          <w:sz w:val="24"/>
          <w:szCs w:val="24"/>
        </w:rPr>
        <w:t>Is there a minimum percentage of CEC funds that must be spent in California?</w:t>
      </w:r>
    </w:p>
    <w:p w14:paraId="27AEB5E7" w14:textId="388C8C80" w:rsidR="0073053A" w:rsidRPr="0092275D" w:rsidRDefault="0073053A" w:rsidP="003A61E8">
      <w:pPr>
        <w:ind w:left="720" w:hanging="720"/>
        <w:rPr>
          <w:rFonts w:eastAsia="Arial"/>
          <w:sz w:val="24"/>
          <w:szCs w:val="24"/>
        </w:rPr>
      </w:pPr>
      <w:r w:rsidRPr="0092275D">
        <w:rPr>
          <w:rFonts w:eastAsia="Arial"/>
          <w:b/>
          <w:sz w:val="24"/>
          <w:szCs w:val="24"/>
        </w:rPr>
        <w:t>A1</w:t>
      </w:r>
      <w:r w:rsidR="00CD7314" w:rsidRPr="0092275D">
        <w:rPr>
          <w:rFonts w:eastAsia="Arial"/>
          <w:b/>
          <w:sz w:val="24"/>
          <w:szCs w:val="24"/>
        </w:rPr>
        <w:t>4</w:t>
      </w:r>
      <w:r w:rsidRPr="0092275D">
        <w:rPr>
          <w:rFonts w:eastAsia="Arial"/>
          <w:b/>
          <w:sz w:val="24"/>
          <w:szCs w:val="24"/>
        </w:rPr>
        <w:t>:</w:t>
      </w:r>
      <w:r>
        <w:tab/>
      </w:r>
      <w:r w:rsidRPr="0092275D">
        <w:rPr>
          <w:rFonts w:eastAsia="Arial"/>
          <w:sz w:val="24"/>
          <w:szCs w:val="24"/>
        </w:rPr>
        <w:t xml:space="preserve">There is no minimum threshold requirement. However, </w:t>
      </w:r>
      <w:r w:rsidR="35503B9E" w:rsidRPr="65F55F53">
        <w:rPr>
          <w:rFonts w:eastAsia="Arial"/>
          <w:sz w:val="24"/>
          <w:szCs w:val="24"/>
        </w:rPr>
        <w:t xml:space="preserve">applications </w:t>
      </w:r>
      <w:r w:rsidR="202B5608" w:rsidRPr="65F55F53">
        <w:rPr>
          <w:rFonts w:eastAsia="Arial"/>
          <w:sz w:val="24"/>
          <w:szCs w:val="24"/>
        </w:rPr>
        <w:t>with CEC funds</w:t>
      </w:r>
      <w:r w:rsidRPr="0092275D">
        <w:rPr>
          <w:rFonts w:eastAsia="Arial"/>
          <w:sz w:val="24"/>
          <w:szCs w:val="24"/>
        </w:rPr>
        <w:t xml:space="preserve"> spent in California </w:t>
      </w:r>
      <w:r w:rsidR="72613CA9" w:rsidRPr="65F55F53">
        <w:rPr>
          <w:rFonts w:eastAsia="Arial"/>
          <w:sz w:val="24"/>
          <w:szCs w:val="24"/>
        </w:rPr>
        <w:t>are</w:t>
      </w:r>
      <w:r w:rsidRPr="0092275D">
        <w:rPr>
          <w:rFonts w:eastAsia="Arial"/>
          <w:sz w:val="24"/>
          <w:szCs w:val="24"/>
        </w:rPr>
        <w:t xml:space="preserve"> eligible for up to 5 preference points.</w:t>
      </w:r>
      <w:r w:rsidR="47988802" w:rsidRPr="65F55F53">
        <w:rPr>
          <w:rFonts w:eastAsia="Arial"/>
          <w:sz w:val="24"/>
          <w:szCs w:val="24"/>
        </w:rPr>
        <w:t xml:space="preserve"> Please see the response to Q13.</w:t>
      </w:r>
    </w:p>
    <w:p w14:paraId="56EAFCA5" w14:textId="77777777" w:rsidR="005A54C5" w:rsidRPr="0092275D" w:rsidRDefault="005A54C5" w:rsidP="003A61E8">
      <w:pPr>
        <w:ind w:left="720" w:hanging="720"/>
        <w:rPr>
          <w:rFonts w:eastAsia="Arial"/>
          <w:b/>
          <w:sz w:val="24"/>
          <w:szCs w:val="24"/>
        </w:rPr>
      </w:pPr>
    </w:p>
    <w:p w14:paraId="3B5F7227" w14:textId="32D8C381" w:rsidR="002D53D9" w:rsidRPr="0092275D" w:rsidRDefault="002D53D9" w:rsidP="16002163">
      <w:pPr>
        <w:ind w:left="720" w:hanging="720"/>
        <w:rPr>
          <w:rFonts w:eastAsia="Arial"/>
          <w:b/>
          <w:sz w:val="24"/>
          <w:szCs w:val="24"/>
        </w:rPr>
      </w:pPr>
      <w:r w:rsidRPr="0092275D">
        <w:rPr>
          <w:rFonts w:eastAsia="Arial"/>
          <w:b/>
          <w:sz w:val="24"/>
          <w:szCs w:val="24"/>
        </w:rPr>
        <w:t>Q1</w:t>
      </w:r>
      <w:r w:rsidR="00E07191" w:rsidRPr="0092275D">
        <w:rPr>
          <w:rFonts w:eastAsia="Arial"/>
          <w:b/>
          <w:sz w:val="24"/>
          <w:szCs w:val="24"/>
        </w:rPr>
        <w:t>5</w:t>
      </w:r>
      <w:r w:rsidRPr="0092275D">
        <w:rPr>
          <w:rFonts w:eastAsia="Arial"/>
          <w:b/>
          <w:sz w:val="24"/>
          <w:szCs w:val="24"/>
        </w:rPr>
        <w:t>:</w:t>
      </w:r>
      <w:r w:rsidR="00D472A3">
        <w:tab/>
      </w:r>
      <w:r w:rsidR="008D2605" w:rsidRPr="0092275D">
        <w:rPr>
          <w:rFonts w:eastAsia="Arial"/>
          <w:b/>
          <w:sz w:val="24"/>
          <w:szCs w:val="24"/>
        </w:rPr>
        <w:t>Is the indirect cost rate 25</w:t>
      </w:r>
      <w:r w:rsidR="00FD3747" w:rsidRPr="0092275D">
        <w:rPr>
          <w:rFonts w:eastAsia="Arial"/>
          <w:b/>
          <w:sz w:val="24"/>
          <w:szCs w:val="24"/>
        </w:rPr>
        <w:t xml:space="preserve"> percent</w:t>
      </w:r>
      <w:r w:rsidR="008D2605" w:rsidRPr="0092275D">
        <w:rPr>
          <w:rFonts w:eastAsia="Arial"/>
          <w:b/>
          <w:sz w:val="24"/>
          <w:szCs w:val="24"/>
        </w:rPr>
        <w:t>?</w:t>
      </w:r>
    </w:p>
    <w:p w14:paraId="260D3110" w14:textId="6400DAFA" w:rsidR="00E643E7" w:rsidRPr="0092275D" w:rsidRDefault="0089792F" w:rsidP="00E643E7">
      <w:pPr>
        <w:ind w:left="720" w:hanging="720"/>
        <w:rPr>
          <w:rFonts w:eastAsia="Arial"/>
          <w:sz w:val="24"/>
          <w:szCs w:val="24"/>
        </w:rPr>
      </w:pPr>
      <w:r w:rsidRPr="0092275D">
        <w:rPr>
          <w:rFonts w:eastAsia="Arial"/>
          <w:b/>
          <w:sz w:val="24"/>
          <w:szCs w:val="24"/>
        </w:rPr>
        <w:t>A15:</w:t>
      </w:r>
      <w:r>
        <w:tab/>
      </w:r>
      <w:r w:rsidR="00E643E7" w:rsidRPr="0092275D">
        <w:rPr>
          <w:rFonts w:eastAsia="Arial"/>
          <w:sz w:val="24"/>
          <w:szCs w:val="24"/>
        </w:rPr>
        <w:t>No</w:t>
      </w:r>
      <w:r w:rsidR="00840522" w:rsidRPr="0092275D">
        <w:rPr>
          <w:rFonts w:eastAsia="Arial"/>
          <w:sz w:val="24"/>
          <w:szCs w:val="24"/>
        </w:rPr>
        <w:t>, t</w:t>
      </w:r>
      <w:r w:rsidR="00E643E7" w:rsidRPr="0092275D">
        <w:rPr>
          <w:rFonts w:eastAsia="Arial"/>
          <w:sz w:val="24"/>
          <w:szCs w:val="24"/>
        </w:rPr>
        <w:t xml:space="preserve">here is no single fixed </w:t>
      </w:r>
      <w:r w:rsidR="00E643E7" w:rsidRPr="0092275D" w:rsidDel="007825C2">
        <w:rPr>
          <w:rFonts w:eastAsia="Arial"/>
          <w:sz w:val="24"/>
          <w:szCs w:val="24"/>
        </w:rPr>
        <w:t>indirect cost</w:t>
      </w:r>
      <w:r w:rsidR="00E643E7" w:rsidRPr="0092275D">
        <w:rPr>
          <w:rFonts w:eastAsia="Arial"/>
          <w:sz w:val="24"/>
          <w:szCs w:val="24"/>
        </w:rPr>
        <w:t xml:space="preserve"> rate (such as 25</w:t>
      </w:r>
      <w:r w:rsidR="007825C2" w:rsidRPr="0092275D">
        <w:rPr>
          <w:rFonts w:eastAsia="Arial"/>
          <w:sz w:val="24"/>
          <w:szCs w:val="24"/>
        </w:rPr>
        <w:t xml:space="preserve"> percent</w:t>
      </w:r>
      <w:r w:rsidR="00E643E7" w:rsidRPr="0092275D">
        <w:rPr>
          <w:rFonts w:eastAsia="Arial"/>
          <w:sz w:val="24"/>
          <w:szCs w:val="24"/>
        </w:rPr>
        <w:t>) that applies to all applicants under this solicitation.</w:t>
      </w:r>
    </w:p>
    <w:p w14:paraId="631FE89C" w14:textId="77777777" w:rsidR="00E643E7" w:rsidRPr="0092275D" w:rsidRDefault="00E643E7" w:rsidP="00955AB2">
      <w:pPr>
        <w:ind w:left="1440" w:hanging="720"/>
        <w:rPr>
          <w:rFonts w:eastAsia="Arial"/>
          <w:sz w:val="24"/>
          <w:szCs w:val="24"/>
        </w:rPr>
      </w:pPr>
      <w:r w:rsidRPr="0092275D">
        <w:rPr>
          <w:rFonts w:eastAsia="Arial"/>
          <w:sz w:val="24"/>
          <w:szCs w:val="24"/>
        </w:rPr>
        <w:t>How indirect costs are handled depends on:</w:t>
      </w:r>
    </w:p>
    <w:p w14:paraId="5A2B928B" w14:textId="5FCBDBA4" w:rsidR="00E643E7" w:rsidRPr="0092275D" w:rsidRDefault="00E643E7" w:rsidP="00955AB2">
      <w:pPr>
        <w:numPr>
          <w:ilvl w:val="0"/>
          <w:numId w:val="23"/>
        </w:numPr>
        <w:tabs>
          <w:tab w:val="clear" w:pos="720"/>
          <w:tab w:val="num" w:pos="1440"/>
        </w:tabs>
        <w:ind w:left="1440"/>
        <w:rPr>
          <w:rFonts w:eastAsia="Arial"/>
          <w:sz w:val="24"/>
          <w:szCs w:val="24"/>
        </w:rPr>
      </w:pPr>
      <w:r w:rsidRPr="0092275D">
        <w:rPr>
          <w:rFonts w:eastAsia="Arial"/>
          <w:sz w:val="24"/>
          <w:szCs w:val="24"/>
        </w:rPr>
        <w:t>The type of applicant (e.g., University of California</w:t>
      </w:r>
      <w:r w:rsidR="00EB34E6" w:rsidRPr="0092275D">
        <w:rPr>
          <w:rFonts w:eastAsia="Arial"/>
          <w:sz w:val="24"/>
          <w:szCs w:val="24"/>
        </w:rPr>
        <w:t xml:space="preserve"> (UC)</w:t>
      </w:r>
      <w:r w:rsidRPr="0092275D">
        <w:rPr>
          <w:rFonts w:eastAsia="Arial"/>
          <w:sz w:val="24"/>
          <w:szCs w:val="24"/>
        </w:rPr>
        <w:t>/California State University</w:t>
      </w:r>
      <w:r w:rsidR="00EB34E6" w:rsidRPr="0092275D">
        <w:rPr>
          <w:rFonts w:eastAsia="Arial"/>
          <w:sz w:val="24"/>
          <w:szCs w:val="24"/>
        </w:rPr>
        <w:t xml:space="preserve"> (CSU)</w:t>
      </w:r>
      <w:r w:rsidRPr="0092275D">
        <w:rPr>
          <w:rFonts w:eastAsia="Arial"/>
          <w:sz w:val="24"/>
          <w:szCs w:val="24"/>
        </w:rPr>
        <w:t>, private entity, nonprofit organization, national laboratory, etc.</w:t>
      </w:r>
      <w:proofErr w:type="gramStart"/>
      <w:r w:rsidRPr="0092275D">
        <w:rPr>
          <w:rFonts w:eastAsia="Arial"/>
          <w:sz w:val="24"/>
          <w:szCs w:val="24"/>
        </w:rPr>
        <w:t>);</w:t>
      </w:r>
      <w:proofErr w:type="gramEnd"/>
    </w:p>
    <w:p w14:paraId="54A1D196" w14:textId="041FE20A" w:rsidR="00E643E7" w:rsidRPr="0092275D" w:rsidRDefault="00E643E7" w:rsidP="00955AB2">
      <w:pPr>
        <w:numPr>
          <w:ilvl w:val="0"/>
          <w:numId w:val="23"/>
        </w:numPr>
        <w:tabs>
          <w:tab w:val="clear" w:pos="720"/>
          <w:tab w:val="num" w:pos="1440"/>
        </w:tabs>
        <w:ind w:left="1440"/>
        <w:rPr>
          <w:rFonts w:eastAsia="Arial"/>
          <w:sz w:val="24"/>
          <w:szCs w:val="24"/>
        </w:rPr>
      </w:pPr>
      <w:r w:rsidRPr="0092275D">
        <w:rPr>
          <w:rFonts w:eastAsia="Arial"/>
          <w:sz w:val="24"/>
          <w:szCs w:val="24"/>
        </w:rPr>
        <w:t>The applicable T&amp;Cs governing the agreement; and</w:t>
      </w:r>
    </w:p>
    <w:p w14:paraId="5EF24154" w14:textId="77777777" w:rsidR="00E643E7" w:rsidRPr="0092275D" w:rsidRDefault="00E643E7" w:rsidP="00955AB2">
      <w:pPr>
        <w:numPr>
          <w:ilvl w:val="0"/>
          <w:numId w:val="23"/>
        </w:numPr>
        <w:tabs>
          <w:tab w:val="clear" w:pos="720"/>
          <w:tab w:val="num" w:pos="1440"/>
        </w:tabs>
        <w:ind w:left="1440"/>
        <w:rPr>
          <w:rFonts w:eastAsia="Arial"/>
          <w:sz w:val="24"/>
          <w:szCs w:val="24"/>
        </w:rPr>
      </w:pPr>
      <w:r w:rsidRPr="0092275D">
        <w:rPr>
          <w:rFonts w:eastAsia="Arial"/>
          <w:sz w:val="24"/>
          <w:szCs w:val="24"/>
        </w:rPr>
        <w:t xml:space="preserve">The indirect rate option </w:t>
      </w:r>
      <w:proofErr w:type="gramStart"/>
      <w:r w:rsidRPr="0092275D">
        <w:rPr>
          <w:rFonts w:eastAsia="Arial"/>
          <w:sz w:val="24"/>
          <w:szCs w:val="24"/>
        </w:rPr>
        <w:t>selected</w:t>
      </w:r>
      <w:proofErr w:type="gramEnd"/>
      <w:r w:rsidRPr="0092275D">
        <w:rPr>
          <w:rFonts w:eastAsia="Arial"/>
          <w:sz w:val="24"/>
          <w:szCs w:val="24"/>
        </w:rPr>
        <w:t xml:space="preserve"> by the applicant in accordance with CEC Budget Category Guidance.</w:t>
      </w:r>
    </w:p>
    <w:p w14:paraId="0EC12B8E" w14:textId="7436CEBD" w:rsidR="00E643E7" w:rsidRPr="0092275D" w:rsidRDefault="00E643E7" w:rsidP="00955AB2">
      <w:pPr>
        <w:ind w:left="720"/>
        <w:rPr>
          <w:rFonts w:eastAsia="Arial"/>
          <w:sz w:val="24"/>
          <w:szCs w:val="24"/>
        </w:rPr>
      </w:pPr>
      <w:r w:rsidRPr="0092275D">
        <w:rPr>
          <w:rFonts w:eastAsia="Arial"/>
          <w:sz w:val="24"/>
          <w:szCs w:val="24"/>
        </w:rPr>
        <w:t>Different entities are subject to different T&amp;Cs (for example, UC/CSU T&amp;Cs, standard</w:t>
      </w:r>
      <w:r w:rsidR="00840522" w:rsidRPr="0092275D">
        <w:rPr>
          <w:rFonts w:eastAsia="Arial"/>
          <w:sz w:val="24"/>
          <w:szCs w:val="24"/>
        </w:rPr>
        <w:t xml:space="preserve"> </w:t>
      </w:r>
      <w:r w:rsidRPr="0092275D">
        <w:rPr>
          <w:rFonts w:eastAsia="Arial"/>
          <w:sz w:val="24"/>
          <w:szCs w:val="24"/>
        </w:rPr>
        <w:t>terms for private entities, D</w:t>
      </w:r>
      <w:r w:rsidR="00493C29" w:rsidRPr="0092275D">
        <w:rPr>
          <w:rFonts w:eastAsia="Arial"/>
          <w:sz w:val="24"/>
          <w:szCs w:val="24"/>
        </w:rPr>
        <w:t>epartment of Energy</w:t>
      </w:r>
      <w:r w:rsidR="00AD34C3" w:rsidRPr="0092275D">
        <w:rPr>
          <w:rFonts w:eastAsia="Arial"/>
          <w:sz w:val="24"/>
          <w:szCs w:val="24"/>
        </w:rPr>
        <w:t xml:space="preserve"> </w:t>
      </w:r>
      <w:r w:rsidR="007B4A3E" w:rsidRPr="0092275D">
        <w:rPr>
          <w:rFonts w:eastAsia="Arial"/>
          <w:sz w:val="24"/>
          <w:szCs w:val="24"/>
        </w:rPr>
        <w:t>(D</w:t>
      </w:r>
      <w:r w:rsidRPr="0092275D">
        <w:rPr>
          <w:rFonts w:eastAsia="Arial"/>
          <w:sz w:val="24"/>
          <w:szCs w:val="24"/>
        </w:rPr>
        <w:t>OE</w:t>
      </w:r>
      <w:r w:rsidR="00AD34C3" w:rsidRPr="0092275D">
        <w:rPr>
          <w:rFonts w:eastAsia="Arial"/>
          <w:sz w:val="24"/>
          <w:szCs w:val="24"/>
        </w:rPr>
        <w:t>)</w:t>
      </w:r>
      <w:r w:rsidRPr="0092275D">
        <w:rPr>
          <w:rFonts w:eastAsia="Arial"/>
          <w:sz w:val="24"/>
          <w:szCs w:val="24"/>
        </w:rPr>
        <w:t>/National Lab terms), and those terms may affect how indirect costs are treated.</w:t>
      </w:r>
    </w:p>
    <w:p w14:paraId="52960127" w14:textId="7BCF956C" w:rsidR="00F141C5" w:rsidRPr="0092275D" w:rsidRDefault="00E643E7" w:rsidP="00955AB2">
      <w:pPr>
        <w:ind w:left="720"/>
        <w:rPr>
          <w:rFonts w:eastAsia="Arial"/>
          <w:sz w:val="24"/>
          <w:szCs w:val="24"/>
        </w:rPr>
      </w:pPr>
      <w:r w:rsidRPr="0092275D">
        <w:rPr>
          <w:rFonts w:eastAsia="Arial"/>
          <w:sz w:val="24"/>
          <w:szCs w:val="24"/>
        </w:rPr>
        <w:t xml:space="preserve">As described in the </w:t>
      </w:r>
      <w:hyperlink r:id="rId13">
        <w:r w:rsidRPr="0092275D">
          <w:rPr>
            <w:rStyle w:val="Hyperlink"/>
            <w:rFonts w:eastAsia="Arial"/>
            <w:sz w:val="24"/>
            <w:szCs w:val="24"/>
          </w:rPr>
          <w:t>CEC Budget Category Guidance</w:t>
        </w:r>
      </w:hyperlink>
      <w:r w:rsidRPr="0092275D">
        <w:rPr>
          <w:rFonts w:eastAsia="Arial"/>
          <w:sz w:val="24"/>
          <w:szCs w:val="24"/>
        </w:rPr>
        <w:t xml:space="preserve"> under “Indirect Costs &amp; Profits,” applicants may select one of three options</w:t>
      </w:r>
      <w:r w:rsidR="001C477C" w:rsidRPr="0092275D">
        <w:rPr>
          <w:rFonts w:eastAsia="Arial"/>
          <w:sz w:val="24"/>
          <w:szCs w:val="24"/>
        </w:rPr>
        <w:t xml:space="preserve">. See </w:t>
      </w:r>
      <w:r w:rsidR="64013549" w:rsidRPr="65F55F53">
        <w:rPr>
          <w:rFonts w:eastAsia="Arial"/>
          <w:sz w:val="24"/>
          <w:szCs w:val="24"/>
        </w:rPr>
        <w:t>Q</w:t>
      </w:r>
      <w:r w:rsidR="00F141C5" w:rsidRPr="00A27775">
        <w:rPr>
          <w:rFonts w:eastAsia="Arial"/>
          <w:sz w:val="24"/>
          <w:szCs w:val="24"/>
        </w:rPr>
        <w:t>11 for detail</w:t>
      </w:r>
      <w:r w:rsidR="0059625E" w:rsidRPr="00A27775">
        <w:rPr>
          <w:rFonts w:eastAsia="Arial"/>
          <w:sz w:val="24"/>
          <w:szCs w:val="24"/>
        </w:rPr>
        <w:t>s</w:t>
      </w:r>
      <w:r w:rsidR="00F141C5" w:rsidRPr="00A27775">
        <w:rPr>
          <w:rFonts w:eastAsia="Arial"/>
          <w:sz w:val="24"/>
          <w:szCs w:val="24"/>
        </w:rPr>
        <w:t xml:space="preserve"> on </w:t>
      </w:r>
      <w:r w:rsidR="153320BF" w:rsidRPr="65F55F53">
        <w:rPr>
          <w:rFonts w:eastAsia="Arial"/>
          <w:sz w:val="24"/>
          <w:szCs w:val="24"/>
        </w:rPr>
        <w:t>indirect cost</w:t>
      </w:r>
      <w:r w:rsidR="00F141C5" w:rsidRPr="0092275D">
        <w:rPr>
          <w:rFonts w:eastAsia="Arial"/>
          <w:sz w:val="24"/>
          <w:szCs w:val="24"/>
        </w:rPr>
        <w:t xml:space="preserve"> rate options.</w:t>
      </w:r>
    </w:p>
    <w:p w14:paraId="73B9798B" w14:textId="2A913205" w:rsidR="00E643E7" w:rsidRPr="006C5478" w:rsidRDefault="00E643E7" w:rsidP="00955AB2">
      <w:pPr>
        <w:ind w:left="720"/>
        <w:rPr>
          <w:rFonts w:eastAsia="Arial"/>
          <w:sz w:val="24"/>
          <w:szCs w:val="24"/>
        </w:rPr>
      </w:pPr>
      <w:r w:rsidDel="00F141C5">
        <w:br/>
      </w:r>
      <w:r w:rsidDel="00F141C5">
        <w:br/>
      </w:r>
      <w:r w:rsidDel="00F141C5">
        <w:br/>
      </w:r>
      <w:r w:rsidRPr="006C5478">
        <w:rPr>
          <w:rFonts w:eastAsia="Arial"/>
          <w:sz w:val="24"/>
          <w:szCs w:val="24"/>
        </w:rPr>
        <w:lastRenderedPageBreak/>
        <w:t>Applicants are responsible for ensuring that their proposed indirect costs are allowable, properly documented, consistent with the applicable T&amp;Cs, and aligned with the selected rate structure. Indirect costs may be subject to audit depending on the option selected.</w:t>
      </w:r>
    </w:p>
    <w:p w14:paraId="2D78C461" w14:textId="10976CF1" w:rsidR="00E643E7" w:rsidRPr="006C5478" w:rsidRDefault="00E643E7" w:rsidP="00840522">
      <w:pPr>
        <w:ind w:left="720"/>
        <w:rPr>
          <w:rFonts w:eastAsia="Arial"/>
          <w:sz w:val="24"/>
          <w:szCs w:val="24"/>
        </w:rPr>
      </w:pPr>
      <w:r w:rsidRPr="006C5478">
        <w:rPr>
          <w:rFonts w:eastAsia="Arial"/>
          <w:sz w:val="24"/>
          <w:szCs w:val="24"/>
        </w:rPr>
        <w:t>Applicants are encouraged to carefully review the Solicitation Manual, applicable T</w:t>
      </w:r>
      <w:r w:rsidR="0059625E" w:rsidRPr="006C5478">
        <w:rPr>
          <w:rFonts w:eastAsia="Arial"/>
          <w:sz w:val="24"/>
          <w:szCs w:val="24"/>
        </w:rPr>
        <w:t>&amp;Cs</w:t>
      </w:r>
      <w:r w:rsidR="009A3DFB" w:rsidRPr="006C5478">
        <w:rPr>
          <w:rFonts w:eastAsia="Arial"/>
          <w:sz w:val="24"/>
          <w:szCs w:val="24"/>
        </w:rPr>
        <w:t xml:space="preserve"> (see </w:t>
      </w:r>
      <w:r w:rsidR="007E6D95" w:rsidRPr="006C5478">
        <w:rPr>
          <w:rFonts w:eastAsia="Arial"/>
          <w:sz w:val="24"/>
          <w:szCs w:val="24"/>
        </w:rPr>
        <w:t>S</w:t>
      </w:r>
      <w:r w:rsidR="009A3DFB" w:rsidRPr="006C5478">
        <w:rPr>
          <w:rFonts w:eastAsia="Arial"/>
          <w:sz w:val="24"/>
          <w:szCs w:val="24"/>
        </w:rPr>
        <w:t>ection II.B. of solicitation manual)</w:t>
      </w:r>
      <w:r w:rsidRPr="006C5478">
        <w:rPr>
          <w:rFonts w:eastAsia="Arial"/>
          <w:sz w:val="24"/>
          <w:szCs w:val="24"/>
        </w:rPr>
        <w:t>, and the CEC Budget Category Guidance when preparing their budgets.</w:t>
      </w:r>
    </w:p>
    <w:p w14:paraId="4C6F409D" w14:textId="77777777" w:rsidR="005A54C5" w:rsidRPr="006C5478" w:rsidRDefault="005A54C5" w:rsidP="00840522">
      <w:pPr>
        <w:ind w:left="720"/>
        <w:rPr>
          <w:rFonts w:eastAsia="Arial"/>
          <w:sz w:val="24"/>
          <w:szCs w:val="24"/>
        </w:rPr>
      </w:pPr>
    </w:p>
    <w:p w14:paraId="7446FB90" w14:textId="102944A4" w:rsidR="0042690E" w:rsidRPr="006C5478" w:rsidRDefault="00DC2AD1" w:rsidP="00DC2AD1">
      <w:pPr>
        <w:ind w:left="720" w:hanging="720"/>
        <w:rPr>
          <w:rFonts w:eastAsia="Arial"/>
          <w:b/>
          <w:sz w:val="24"/>
          <w:szCs w:val="24"/>
        </w:rPr>
      </w:pPr>
      <w:r w:rsidRPr="006C5478">
        <w:rPr>
          <w:rFonts w:eastAsia="Arial"/>
          <w:b/>
          <w:sz w:val="24"/>
          <w:szCs w:val="24"/>
        </w:rPr>
        <w:t>Q</w:t>
      </w:r>
      <w:r w:rsidR="00CD7314" w:rsidRPr="006C5478">
        <w:rPr>
          <w:rFonts w:eastAsia="Arial"/>
          <w:b/>
          <w:sz w:val="24"/>
          <w:szCs w:val="24"/>
        </w:rPr>
        <w:t>16</w:t>
      </w:r>
      <w:r w:rsidRPr="006C5478">
        <w:rPr>
          <w:rFonts w:eastAsia="Arial"/>
          <w:b/>
          <w:sz w:val="24"/>
          <w:szCs w:val="24"/>
        </w:rPr>
        <w:t xml:space="preserve">: </w:t>
      </w:r>
      <w:r>
        <w:tab/>
      </w:r>
      <w:r w:rsidR="0042690E" w:rsidRPr="006C5478">
        <w:rPr>
          <w:rFonts w:eastAsia="Arial"/>
          <w:b/>
          <w:sz w:val="24"/>
          <w:szCs w:val="24"/>
        </w:rPr>
        <w:t>Can EPIC/PIER Terms &amp; Conditions be shared?</w:t>
      </w:r>
    </w:p>
    <w:p w14:paraId="3E8B6CA7" w14:textId="694A0E5E" w:rsidR="00DC2AD1" w:rsidRPr="006C5478" w:rsidRDefault="00DC2AD1" w:rsidP="00DC2AD1">
      <w:pPr>
        <w:ind w:left="720" w:hanging="720"/>
        <w:rPr>
          <w:rFonts w:eastAsia="Arial"/>
          <w:b/>
          <w:sz w:val="24"/>
          <w:szCs w:val="24"/>
        </w:rPr>
      </w:pPr>
      <w:r w:rsidRPr="006C5478">
        <w:rPr>
          <w:rFonts w:eastAsia="Arial"/>
          <w:b/>
          <w:sz w:val="24"/>
          <w:szCs w:val="24"/>
        </w:rPr>
        <w:t>A</w:t>
      </w:r>
      <w:r w:rsidR="00CD7314" w:rsidRPr="006C5478">
        <w:rPr>
          <w:rFonts w:eastAsia="Arial"/>
          <w:b/>
          <w:sz w:val="24"/>
          <w:szCs w:val="24"/>
        </w:rPr>
        <w:t>16</w:t>
      </w:r>
      <w:r w:rsidRPr="006C5478">
        <w:rPr>
          <w:rFonts w:eastAsia="Arial"/>
          <w:b/>
          <w:sz w:val="24"/>
          <w:szCs w:val="24"/>
        </w:rPr>
        <w:t>:</w:t>
      </w:r>
      <w:r>
        <w:tab/>
      </w:r>
      <w:r w:rsidRPr="006C5478">
        <w:rPr>
          <w:rFonts w:eastAsia="Arial"/>
          <w:sz w:val="24"/>
          <w:szCs w:val="24"/>
        </w:rPr>
        <w:t>The applicable Terms &amp; Conditions are posted on the CEC website</w:t>
      </w:r>
      <w:r w:rsidR="001E09ED" w:rsidRPr="006C5478">
        <w:rPr>
          <w:rFonts w:eastAsia="Arial"/>
          <w:sz w:val="24"/>
          <w:szCs w:val="24"/>
        </w:rPr>
        <w:t xml:space="preserve"> (please see the link below)</w:t>
      </w:r>
      <w:r w:rsidRPr="006C5478">
        <w:rPr>
          <w:rFonts w:eastAsia="Arial"/>
          <w:sz w:val="24"/>
          <w:szCs w:val="24"/>
        </w:rPr>
        <w:t xml:space="preserve"> and referenced in the Solicitation Manual.</w:t>
      </w:r>
    </w:p>
    <w:p w14:paraId="05D42846" w14:textId="62A31CB5" w:rsidR="00DC2AD1" w:rsidRPr="006C5478" w:rsidRDefault="00DC2AD1" w:rsidP="00DC2AD1">
      <w:pPr>
        <w:ind w:left="720"/>
        <w:rPr>
          <w:rFonts w:eastAsia="Arial"/>
          <w:b/>
          <w:sz w:val="24"/>
          <w:szCs w:val="24"/>
        </w:rPr>
      </w:pPr>
      <w:r w:rsidRPr="006C5478">
        <w:rPr>
          <w:rFonts w:eastAsia="Arial"/>
          <w:sz w:val="24"/>
          <w:szCs w:val="24"/>
        </w:rPr>
        <w:t xml:space="preserve">Standard, UC, and DOE T&amp;Cs </w:t>
      </w:r>
      <w:r w:rsidR="61042ED0" w:rsidRPr="65F55F53">
        <w:rPr>
          <w:rFonts w:eastAsia="Arial"/>
          <w:sz w:val="24"/>
          <w:szCs w:val="24"/>
        </w:rPr>
        <w:t xml:space="preserve">are </w:t>
      </w:r>
      <w:r w:rsidRPr="006C5478">
        <w:rPr>
          <w:rFonts w:eastAsia="Arial"/>
          <w:sz w:val="24"/>
          <w:szCs w:val="24"/>
        </w:rPr>
        <w:t>available online:</w:t>
      </w:r>
      <w:r w:rsidRPr="006C5478">
        <w:rPr>
          <w:rFonts w:eastAsia="Arial"/>
          <w:b/>
          <w:bCs/>
          <w:sz w:val="24"/>
          <w:szCs w:val="24"/>
        </w:rPr>
        <w:t xml:space="preserve"> </w:t>
      </w:r>
      <w:hyperlink r:id="rId14">
        <w:r w:rsidRPr="006C5478">
          <w:rPr>
            <w:rStyle w:val="Hyperlink"/>
            <w:sz w:val="24"/>
            <w:szCs w:val="24"/>
          </w:rPr>
          <w:t>https://www.energy.ca.gov/funding-opportunities/funding-resources</w:t>
        </w:r>
      </w:hyperlink>
      <w:r w:rsidR="53A329FF" w:rsidRPr="65F55F53">
        <w:rPr>
          <w:rFonts w:eastAsia="Arial"/>
          <w:b/>
          <w:bCs/>
          <w:sz w:val="24"/>
          <w:szCs w:val="24"/>
        </w:rPr>
        <w:t>.</w:t>
      </w:r>
      <w:r w:rsidRPr="006C5478">
        <w:rPr>
          <w:rFonts w:eastAsia="Arial"/>
          <w:b/>
          <w:bCs/>
          <w:sz w:val="24"/>
          <w:szCs w:val="24"/>
        </w:rPr>
        <w:t xml:space="preserve"> </w:t>
      </w:r>
    </w:p>
    <w:p w14:paraId="269C9957" w14:textId="27952C30" w:rsidR="0089792F" w:rsidRPr="006C5478" w:rsidRDefault="0089792F" w:rsidP="001E09ED">
      <w:pPr>
        <w:rPr>
          <w:rFonts w:eastAsia="Arial"/>
          <w:sz w:val="24"/>
          <w:szCs w:val="24"/>
        </w:rPr>
      </w:pPr>
    </w:p>
    <w:p w14:paraId="2309D4E4" w14:textId="1BA5A729" w:rsidR="007E4ADB" w:rsidRPr="006C5478" w:rsidRDefault="007E4ADB" w:rsidP="16002163">
      <w:pPr>
        <w:ind w:left="720" w:hanging="720"/>
        <w:rPr>
          <w:rFonts w:eastAsia="Arial"/>
          <w:b/>
          <w:sz w:val="24"/>
          <w:szCs w:val="24"/>
        </w:rPr>
      </w:pPr>
      <w:r w:rsidRPr="006C5478">
        <w:rPr>
          <w:rFonts w:eastAsia="Arial"/>
          <w:b/>
          <w:sz w:val="24"/>
          <w:szCs w:val="24"/>
        </w:rPr>
        <w:t>Q1</w:t>
      </w:r>
      <w:r w:rsidR="00E07191" w:rsidRPr="006C5478">
        <w:rPr>
          <w:rFonts w:eastAsia="Arial"/>
          <w:b/>
          <w:sz w:val="24"/>
          <w:szCs w:val="24"/>
        </w:rPr>
        <w:t>7</w:t>
      </w:r>
      <w:r w:rsidRPr="006C5478">
        <w:rPr>
          <w:rFonts w:eastAsia="Arial"/>
          <w:b/>
          <w:sz w:val="24"/>
          <w:szCs w:val="24"/>
        </w:rPr>
        <w:t>:</w:t>
      </w:r>
      <w:r>
        <w:tab/>
      </w:r>
      <w:r w:rsidR="002C3F2C" w:rsidRPr="006C5478">
        <w:rPr>
          <w:rFonts w:eastAsia="Arial"/>
          <w:b/>
          <w:sz w:val="24"/>
          <w:szCs w:val="24"/>
        </w:rPr>
        <w:t>How is the “one manager per organization” determined for large institutions?</w:t>
      </w:r>
    </w:p>
    <w:p w14:paraId="6E1738A0" w14:textId="371B9D77" w:rsidR="0089792F" w:rsidRPr="006C5478" w:rsidRDefault="0089792F" w:rsidP="16002163">
      <w:pPr>
        <w:ind w:left="720" w:hanging="720"/>
        <w:rPr>
          <w:rFonts w:eastAsia="Arial"/>
          <w:sz w:val="24"/>
          <w:szCs w:val="24"/>
        </w:rPr>
      </w:pPr>
      <w:r w:rsidRPr="006C5478">
        <w:rPr>
          <w:rFonts w:eastAsia="Arial"/>
          <w:b/>
          <w:sz w:val="24"/>
          <w:szCs w:val="24"/>
        </w:rPr>
        <w:t>A17:</w:t>
      </w:r>
      <w:r>
        <w:tab/>
      </w:r>
      <w:r w:rsidR="003701F1" w:rsidRPr="006C5478">
        <w:rPr>
          <w:rFonts w:eastAsia="Arial"/>
          <w:sz w:val="24"/>
          <w:szCs w:val="24"/>
        </w:rPr>
        <w:t>This refers to the designated authorized organizational representative responsible for contract administration. Large institutions determine internally who fulfills that role.</w:t>
      </w:r>
    </w:p>
    <w:p w14:paraId="3D05B8C7" w14:textId="77777777" w:rsidR="005A54C5" w:rsidRPr="006C5478" w:rsidRDefault="005A54C5" w:rsidP="16002163">
      <w:pPr>
        <w:ind w:left="720" w:hanging="720"/>
        <w:rPr>
          <w:rFonts w:eastAsia="Arial"/>
          <w:b/>
          <w:sz w:val="24"/>
          <w:szCs w:val="24"/>
        </w:rPr>
      </w:pPr>
    </w:p>
    <w:p w14:paraId="64DBE8B5" w14:textId="7F90CBA0" w:rsidR="00A634F0" w:rsidRPr="006C5478" w:rsidRDefault="00A634F0" w:rsidP="006F4F74">
      <w:pPr>
        <w:ind w:left="720" w:hanging="720"/>
        <w:rPr>
          <w:rFonts w:eastAsia="Arial"/>
          <w:b/>
          <w:sz w:val="24"/>
          <w:szCs w:val="24"/>
        </w:rPr>
      </w:pPr>
      <w:r w:rsidRPr="006C5478">
        <w:rPr>
          <w:rFonts w:eastAsia="Arial"/>
          <w:b/>
          <w:sz w:val="24"/>
          <w:szCs w:val="24"/>
        </w:rPr>
        <w:t>Q1</w:t>
      </w:r>
      <w:r w:rsidR="00E07191" w:rsidRPr="006C5478">
        <w:rPr>
          <w:rFonts w:eastAsia="Arial"/>
          <w:b/>
          <w:sz w:val="24"/>
          <w:szCs w:val="24"/>
        </w:rPr>
        <w:t>8</w:t>
      </w:r>
      <w:r w:rsidRPr="006C5478">
        <w:rPr>
          <w:rFonts w:eastAsia="Arial"/>
          <w:b/>
          <w:sz w:val="24"/>
          <w:szCs w:val="24"/>
        </w:rPr>
        <w:t xml:space="preserve">: </w:t>
      </w:r>
      <w:r>
        <w:tab/>
      </w:r>
      <w:r w:rsidRPr="006C5478">
        <w:rPr>
          <w:rFonts w:eastAsia="Arial"/>
          <w:b/>
          <w:sz w:val="24"/>
          <w:szCs w:val="24"/>
        </w:rPr>
        <w:t>Given the start and end dates, is the project expected to last for 4.5 years?</w:t>
      </w:r>
    </w:p>
    <w:p w14:paraId="4CA42046" w14:textId="232E1967" w:rsidR="003701F1" w:rsidRPr="006C5478" w:rsidRDefault="003701F1" w:rsidP="006F4F74">
      <w:pPr>
        <w:ind w:left="720" w:hanging="720"/>
        <w:rPr>
          <w:rFonts w:eastAsia="Arial"/>
          <w:sz w:val="24"/>
          <w:szCs w:val="24"/>
        </w:rPr>
      </w:pPr>
      <w:r w:rsidRPr="006C5478">
        <w:rPr>
          <w:rFonts w:eastAsia="Arial"/>
          <w:b/>
          <w:sz w:val="24"/>
          <w:szCs w:val="24"/>
        </w:rPr>
        <w:t>A18:</w:t>
      </w:r>
      <w:r>
        <w:tab/>
      </w:r>
      <w:r w:rsidR="00004C5E" w:rsidRPr="006C5478">
        <w:rPr>
          <w:rFonts w:eastAsia="Arial"/>
          <w:sz w:val="24"/>
          <w:szCs w:val="24"/>
        </w:rPr>
        <w:t xml:space="preserve">The anticipated agreement period is up to five years, based on a funding liquidation date of </w:t>
      </w:r>
      <w:r w:rsidR="001C4B64" w:rsidRPr="006C5478">
        <w:rPr>
          <w:rFonts w:eastAsia="Arial"/>
          <w:sz w:val="24"/>
          <w:szCs w:val="24"/>
        </w:rPr>
        <w:t xml:space="preserve">June </w:t>
      </w:r>
      <w:r w:rsidR="003673E2" w:rsidRPr="006C5478">
        <w:rPr>
          <w:rFonts w:eastAsia="Arial"/>
          <w:sz w:val="24"/>
          <w:szCs w:val="24"/>
        </w:rPr>
        <w:t>30</w:t>
      </w:r>
      <w:r w:rsidR="001C4B64" w:rsidRPr="006C5478">
        <w:rPr>
          <w:rFonts w:eastAsia="Arial"/>
          <w:sz w:val="24"/>
          <w:szCs w:val="24"/>
        </w:rPr>
        <w:t xml:space="preserve">, </w:t>
      </w:r>
      <w:r w:rsidR="003673E2" w:rsidRPr="006C5478">
        <w:rPr>
          <w:rFonts w:eastAsia="Arial"/>
          <w:sz w:val="24"/>
          <w:szCs w:val="24"/>
        </w:rPr>
        <w:t>2031</w:t>
      </w:r>
      <w:r w:rsidR="00004C5E" w:rsidRPr="006C5478">
        <w:rPr>
          <w:rFonts w:eastAsia="Arial"/>
          <w:sz w:val="24"/>
          <w:szCs w:val="24"/>
        </w:rPr>
        <w:t xml:space="preserve">, which requires that the performance period ends by </w:t>
      </w:r>
      <w:r w:rsidR="004B55AA" w:rsidRPr="006C5478">
        <w:rPr>
          <w:rFonts w:eastAsia="Arial"/>
          <w:sz w:val="24"/>
          <w:szCs w:val="24"/>
        </w:rPr>
        <w:t xml:space="preserve">March </w:t>
      </w:r>
      <w:r w:rsidR="006E0E25" w:rsidRPr="006C5478">
        <w:rPr>
          <w:rFonts w:eastAsia="Arial"/>
          <w:sz w:val="24"/>
          <w:szCs w:val="24"/>
        </w:rPr>
        <w:t>31</w:t>
      </w:r>
      <w:r w:rsidR="004B55AA" w:rsidRPr="006C5478">
        <w:rPr>
          <w:rFonts w:eastAsia="Arial"/>
          <w:sz w:val="24"/>
          <w:szCs w:val="24"/>
        </w:rPr>
        <w:t xml:space="preserve">, </w:t>
      </w:r>
      <w:r w:rsidR="006E0E25" w:rsidRPr="006C5478">
        <w:rPr>
          <w:rFonts w:eastAsia="Arial"/>
          <w:sz w:val="24"/>
          <w:szCs w:val="24"/>
        </w:rPr>
        <w:t>2031</w:t>
      </w:r>
      <w:r w:rsidR="7BE342CD" w:rsidRPr="65F55F53">
        <w:rPr>
          <w:rFonts w:eastAsia="Arial"/>
          <w:sz w:val="24"/>
          <w:szCs w:val="24"/>
        </w:rPr>
        <w:t>,</w:t>
      </w:r>
      <w:r w:rsidR="00004C5E" w:rsidRPr="006C5478">
        <w:rPr>
          <w:rFonts w:eastAsia="Arial"/>
          <w:sz w:val="24"/>
          <w:szCs w:val="24"/>
        </w:rPr>
        <w:t xml:space="preserve"> to </w:t>
      </w:r>
      <w:r w:rsidR="6FDCC03B" w:rsidRPr="65F55F53">
        <w:rPr>
          <w:rFonts w:eastAsia="Arial"/>
          <w:sz w:val="24"/>
          <w:szCs w:val="24"/>
        </w:rPr>
        <w:t>en</w:t>
      </w:r>
      <w:r w:rsidR="00004C5E" w:rsidRPr="006C5478">
        <w:rPr>
          <w:rFonts w:eastAsia="Arial"/>
          <w:sz w:val="24"/>
          <w:szCs w:val="24"/>
        </w:rPr>
        <w:t>sure that invoices can be paid out prior to fund liquidation</w:t>
      </w:r>
      <w:r w:rsidR="000833FE" w:rsidRPr="006C5478">
        <w:rPr>
          <w:rFonts w:eastAsia="Arial"/>
          <w:sz w:val="24"/>
          <w:szCs w:val="24"/>
        </w:rPr>
        <w:t>.</w:t>
      </w:r>
    </w:p>
    <w:p w14:paraId="1521F003" w14:textId="77777777" w:rsidR="005A54C5" w:rsidRPr="006C5478" w:rsidRDefault="005A54C5" w:rsidP="006F4F74">
      <w:pPr>
        <w:ind w:left="720" w:hanging="720"/>
        <w:rPr>
          <w:rFonts w:eastAsia="Arial"/>
          <w:sz w:val="24"/>
          <w:szCs w:val="24"/>
        </w:rPr>
      </w:pPr>
    </w:p>
    <w:p w14:paraId="2E78129F" w14:textId="28784E46" w:rsidR="007D3C5A" w:rsidRPr="006C5478" w:rsidRDefault="007D3C5A" w:rsidP="16002163">
      <w:pPr>
        <w:ind w:left="720" w:hanging="720"/>
        <w:rPr>
          <w:rFonts w:eastAsia="Arial"/>
          <w:b/>
          <w:sz w:val="24"/>
          <w:szCs w:val="24"/>
        </w:rPr>
      </w:pPr>
      <w:r w:rsidRPr="006C5478">
        <w:rPr>
          <w:rFonts w:eastAsia="Arial"/>
          <w:b/>
          <w:sz w:val="24"/>
          <w:szCs w:val="24"/>
        </w:rPr>
        <w:t>Q</w:t>
      </w:r>
      <w:r w:rsidR="00CD7314" w:rsidRPr="006C5478">
        <w:rPr>
          <w:rFonts w:eastAsia="Arial"/>
          <w:b/>
          <w:sz w:val="24"/>
          <w:szCs w:val="24"/>
        </w:rPr>
        <w:t>19</w:t>
      </w:r>
      <w:r w:rsidRPr="006C5478">
        <w:rPr>
          <w:rFonts w:eastAsia="Arial"/>
          <w:b/>
          <w:sz w:val="24"/>
          <w:szCs w:val="24"/>
        </w:rPr>
        <w:t>:</w:t>
      </w:r>
      <w:r w:rsidR="00BC18FA">
        <w:tab/>
      </w:r>
      <w:r w:rsidR="00FB415C" w:rsidRPr="006C5478">
        <w:rPr>
          <w:rFonts w:eastAsia="Arial"/>
          <w:b/>
          <w:sz w:val="24"/>
          <w:szCs w:val="24"/>
        </w:rPr>
        <w:t xml:space="preserve">Are collaborative submissions allowed, or must there be one </w:t>
      </w:r>
      <w:proofErr w:type="gramStart"/>
      <w:r w:rsidR="00FB415C" w:rsidRPr="006C5478">
        <w:rPr>
          <w:rFonts w:eastAsia="Arial"/>
          <w:b/>
          <w:sz w:val="24"/>
          <w:szCs w:val="24"/>
        </w:rPr>
        <w:t>prime</w:t>
      </w:r>
      <w:proofErr w:type="gramEnd"/>
      <w:r w:rsidR="00FB415C" w:rsidRPr="006C5478">
        <w:rPr>
          <w:rFonts w:eastAsia="Arial"/>
          <w:b/>
          <w:sz w:val="24"/>
          <w:szCs w:val="24"/>
        </w:rPr>
        <w:t xml:space="preserve"> with subawards?</w:t>
      </w:r>
    </w:p>
    <w:p w14:paraId="30392618" w14:textId="4B568FD3" w:rsidR="00BB59F4" w:rsidRDefault="00CD7314" w:rsidP="00BB59F4">
      <w:pPr>
        <w:ind w:left="720" w:hanging="720"/>
        <w:rPr>
          <w:rFonts w:eastAsia="Arial"/>
          <w:color w:val="000000" w:themeColor="text1"/>
          <w:sz w:val="24"/>
          <w:szCs w:val="24"/>
        </w:rPr>
      </w:pPr>
      <w:r w:rsidRPr="006C5478">
        <w:rPr>
          <w:rFonts w:eastAsia="Arial"/>
          <w:color w:val="000000" w:themeColor="text1"/>
          <w:sz w:val="24"/>
          <w:szCs w:val="24"/>
        </w:rPr>
        <w:t>A19</w:t>
      </w:r>
      <w:r w:rsidR="0006447D" w:rsidRPr="006C5478">
        <w:rPr>
          <w:rFonts w:eastAsia="Arial"/>
          <w:color w:val="000000" w:themeColor="text1"/>
          <w:sz w:val="24"/>
          <w:szCs w:val="24"/>
        </w:rPr>
        <w:t>:</w:t>
      </w:r>
      <w:r w:rsidR="0006447D">
        <w:rPr>
          <w:rFonts w:eastAsiaTheme="minorEastAsia"/>
        </w:rPr>
        <w:tab/>
      </w:r>
      <w:r w:rsidR="0006447D" w:rsidRPr="006C5478">
        <w:rPr>
          <w:rFonts w:eastAsia="Arial"/>
          <w:color w:val="000000" w:themeColor="text1"/>
          <w:sz w:val="24"/>
          <w:szCs w:val="24"/>
        </w:rPr>
        <w:t xml:space="preserve">Applications must identify a single prime recipient. Collaborative efforts are </w:t>
      </w:r>
      <w:r w:rsidR="00885170" w:rsidRPr="006C5478">
        <w:rPr>
          <w:rFonts w:eastAsia="Arial"/>
          <w:color w:val="000000" w:themeColor="text1"/>
          <w:sz w:val="24"/>
          <w:szCs w:val="24"/>
        </w:rPr>
        <w:t>structured through</w:t>
      </w:r>
      <w:r w:rsidR="0006447D" w:rsidRPr="006C5478">
        <w:rPr>
          <w:rFonts w:eastAsia="Arial"/>
          <w:color w:val="000000" w:themeColor="text1"/>
          <w:sz w:val="24"/>
          <w:szCs w:val="24"/>
        </w:rPr>
        <w:t xml:space="preserve"> subawards</w:t>
      </w:r>
      <w:r w:rsidR="00885170" w:rsidRPr="006C5478">
        <w:rPr>
          <w:rFonts w:eastAsia="Arial"/>
          <w:color w:val="000000" w:themeColor="text1"/>
          <w:sz w:val="24"/>
          <w:szCs w:val="24"/>
        </w:rPr>
        <w:t xml:space="preserve"> that are</w:t>
      </w:r>
      <w:r w:rsidR="00770F4B" w:rsidRPr="006C5478">
        <w:rPr>
          <w:rFonts w:eastAsia="Arial"/>
          <w:color w:val="000000" w:themeColor="text1"/>
          <w:sz w:val="24"/>
          <w:szCs w:val="24"/>
        </w:rPr>
        <w:t xml:space="preserve"> administ</w:t>
      </w:r>
      <w:r w:rsidR="00A81E08" w:rsidRPr="006C5478">
        <w:rPr>
          <w:rFonts w:eastAsia="Arial"/>
          <w:color w:val="000000" w:themeColor="text1"/>
          <w:sz w:val="24"/>
          <w:szCs w:val="24"/>
        </w:rPr>
        <w:t>ered by the prime recipient. Please review the Scope of Work template (</w:t>
      </w:r>
      <w:r w:rsidR="00026B92" w:rsidRPr="006C5478">
        <w:rPr>
          <w:rFonts w:eastAsia="Arial"/>
          <w:color w:val="000000" w:themeColor="text1"/>
          <w:sz w:val="24"/>
          <w:szCs w:val="24"/>
        </w:rPr>
        <w:t>Sub</w:t>
      </w:r>
      <w:r w:rsidR="00A81E08" w:rsidRPr="006C5478">
        <w:rPr>
          <w:rFonts w:eastAsia="Arial"/>
          <w:color w:val="000000" w:themeColor="text1"/>
          <w:sz w:val="24"/>
          <w:szCs w:val="24"/>
        </w:rPr>
        <w:t>task 1.</w:t>
      </w:r>
      <w:r w:rsidR="00026B92" w:rsidRPr="006C5478">
        <w:rPr>
          <w:rFonts w:eastAsia="Arial"/>
          <w:color w:val="000000" w:themeColor="text1"/>
          <w:sz w:val="24"/>
          <w:szCs w:val="24"/>
        </w:rPr>
        <w:t>10</w:t>
      </w:r>
      <w:r w:rsidR="00633BF7" w:rsidRPr="006C5478">
        <w:rPr>
          <w:rFonts w:eastAsia="Arial"/>
          <w:color w:val="000000" w:themeColor="text1"/>
          <w:sz w:val="24"/>
          <w:szCs w:val="24"/>
        </w:rPr>
        <w:t xml:space="preserve"> “Obtain and Execute Subawards and Agreements with Site Hosts”</w:t>
      </w:r>
      <w:r w:rsidR="00A81E08" w:rsidRPr="006C5478">
        <w:rPr>
          <w:rFonts w:eastAsia="Arial"/>
          <w:color w:val="000000" w:themeColor="text1"/>
          <w:sz w:val="24"/>
          <w:szCs w:val="24"/>
        </w:rPr>
        <w:t>) for additional context regarding subawards.</w:t>
      </w:r>
    </w:p>
    <w:p w14:paraId="5E15B993" w14:textId="77777777" w:rsidR="00D364D9" w:rsidRPr="00BB59F4" w:rsidRDefault="00D364D9" w:rsidP="00BB59F4">
      <w:pPr>
        <w:ind w:left="720" w:hanging="720"/>
        <w:rPr>
          <w:rFonts w:eastAsia="Arial"/>
          <w:color w:val="000000" w:themeColor="text1"/>
          <w:sz w:val="24"/>
          <w:szCs w:val="24"/>
        </w:rPr>
      </w:pPr>
    </w:p>
    <w:p w14:paraId="611DE259" w14:textId="77777777" w:rsidR="00E431BD" w:rsidRPr="00920065" w:rsidRDefault="00E431BD" w:rsidP="00920065">
      <w:pPr>
        <w:pStyle w:val="Heading2"/>
        <w:rPr>
          <w:rFonts w:ascii="Arial" w:hAnsi="Arial" w:cs="Arial"/>
          <w:b/>
          <w:bCs/>
          <w:i/>
          <w:iCs/>
          <w:color w:val="auto"/>
          <w:sz w:val="24"/>
          <w:szCs w:val="24"/>
          <w:u w:val="single"/>
        </w:rPr>
      </w:pPr>
      <w:r w:rsidRPr="00920065">
        <w:rPr>
          <w:rFonts w:ascii="Arial" w:hAnsi="Arial" w:cs="Arial"/>
          <w:b/>
          <w:bCs/>
          <w:i/>
          <w:iCs/>
          <w:color w:val="auto"/>
          <w:sz w:val="24"/>
          <w:szCs w:val="24"/>
          <w:u w:val="single"/>
        </w:rPr>
        <w:t>Technical</w:t>
      </w:r>
    </w:p>
    <w:p w14:paraId="52814DB1" w14:textId="77777777" w:rsidR="00E431BD" w:rsidRPr="006C5478" w:rsidRDefault="00E431BD" w:rsidP="00E431BD">
      <w:pPr>
        <w:ind w:left="720" w:hanging="720"/>
        <w:rPr>
          <w:rFonts w:eastAsia="Arial"/>
          <w:b/>
          <w:color w:val="000000" w:themeColor="text1"/>
          <w:sz w:val="24"/>
          <w:szCs w:val="24"/>
        </w:rPr>
      </w:pPr>
    </w:p>
    <w:p w14:paraId="458E6594" w14:textId="24E393BA" w:rsidR="00E431BD" w:rsidRPr="006C5478" w:rsidRDefault="00CD7314" w:rsidP="470E5D75">
      <w:pPr>
        <w:ind w:left="720" w:hanging="720"/>
        <w:rPr>
          <w:rFonts w:eastAsia="Arial"/>
          <w:color w:val="000000" w:themeColor="text1"/>
          <w:sz w:val="24"/>
          <w:szCs w:val="24"/>
        </w:rPr>
      </w:pPr>
      <w:r w:rsidRPr="006C5478">
        <w:rPr>
          <w:rFonts w:eastAsia="Arial"/>
          <w:b/>
          <w:color w:val="000000" w:themeColor="text1"/>
          <w:sz w:val="24"/>
          <w:szCs w:val="24"/>
        </w:rPr>
        <w:t>Q20</w:t>
      </w:r>
      <w:r w:rsidR="00E431BD" w:rsidRPr="006C5478">
        <w:rPr>
          <w:rFonts w:eastAsia="Arial"/>
          <w:b/>
          <w:color w:val="000000" w:themeColor="text1"/>
          <w:sz w:val="24"/>
          <w:szCs w:val="24"/>
        </w:rPr>
        <w:t>:</w:t>
      </w:r>
      <w:r w:rsidR="00E431BD">
        <w:tab/>
      </w:r>
      <w:r w:rsidR="00F36833" w:rsidRPr="006C5478">
        <w:rPr>
          <w:rFonts w:eastAsia="Arial"/>
          <w:b/>
          <w:color w:val="000000" w:themeColor="text1"/>
          <w:sz w:val="24"/>
          <w:szCs w:val="24"/>
        </w:rPr>
        <w:t xml:space="preserve">For the air quality model, is it </w:t>
      </w:r>
      <w:r w:rsidR="006B1910" w:rsidRPr="006C5478">
        <w:rPr>
          <w:rFonts w:eastAsia="Arial"/>
          <w:b/>
          <w:color w:val="000000" w:themeColor="text1"/>
          <w:sz w:val="24"/>
          <w:szCs w:val="24"/>
        </w:rPr>
        <w:t xml:space="preserve">acceptable </w:t>
      </w:r>
      <w:r w:rsidR="00F36833" w:rsidRPr="006C5478">
        <w:rPr>
          <w:rFonts w:eastAsia="Arial"/>
          <w:b/>
          <w:color w:val="000000" w:themeColor="text1"/>
          <w:sz w:val="24"/>
          <w:szCs w:val="24"/>
        </w:rPr>
        <w:t xml:space="preserve">to assume that we can use </w:t>
      </w:r>
      <w:r w:rsidR="00752BEE" w:rsidRPr="006C5478">
        <w:rPr>
          <w:rFonts w:eastAsia="Arial"/>
          <w:b/>
          <w:color w:val="000000" w:themeColor="text1"/>
          <w:sz w:val="24"/>
          <w:szCs w:val="24"/>
        </w:rPr>
        <w:t>r</w:t>
      </w:r>
      <w:r w:rsidR="006B1910" w:rsidRPr="006C5478">
        <w:rPr>
          <w:rFonts w:eastAsia="Arial"/>
          <w:b/>
          <w:color w:val="000000" w:themeColor="text1"/>
          <w:sz w:val="24"/>
          <w:szCs w:val="24"/>
        </w:rPr>
        <w:t>educed</w:t>
      </w:r>
      <w:r w:rsidR="00691281" w:rsidRPr="006C5478">
        <w:rPr>
          <w:rFonts w:eastAsia="Arial"/>
          <w:b/>
          <w:color w:val="000000" w:themeColor="text1"/>
          <w:sz w:val="24"/>
          <w:szCs w:val="24"/>
        </w:rPr>
        <w:t xml:space="preserve"> </w:t>
      </w:r>
      <w:r w:rsidR="00752BEE" w:rsidRPr="006C5478">
        <w:rPr>
          <w:rFonts w:eastAsia="Arial"/>
          <w:b/>
          <w:color w:val="000000" w:themeColor="text1"/>
          <w:sz w:val="24"/>
          <w:szCs w:val="24"/>
        </w:rPr>
        <w:t>c</w:t>
      </w:r>
      <w:r w:rsidR="006B1910" w:rsidRPr="006C5478">
        <w:rPr>
          <w:rFonts w:eastAsia="Arial"/>
          <w:b/>
          <w:color w:val="000000" w:themeColor="text1"/>
          <w:sz w:val="24"/>
          <w:szCs w:val="24"/>
        </w:rPr>
        <w:t xml:space="preserve">omplexity </w:t>
      </w:r>
      <w:r w:rsidR="00752BEE" w:rsidRPr="006C5478">
        <w:rPr>
          <w:rFonts w:eastAsia="Arial"/>
          <w:b/>
          <w:color w:val="000000" w:themeColor="text1"/>
          <w:sz w:val="24"/>
          <w:szCs w:val="24"/>
        </w:rPr>
        <w:t>m</w:t>
      </w:r>
      <w:r w:rsidR="006B1910" w:rsidRPr="006C5478">
        <w:rPr>
          <w:rFonts w:eastAsia="Arial"/>
          <w:b/>
          <w:color w:val="000000" w:themeColor="text1"/>
          <w:sz w:val="24"/>
          <w:szCs w:val="24"/>
        </w:rPr>
        <w:t>odels (RCMs)</w:t>
      </w:r>
      <w:r w:rsidR="00F36833" w:rsidRPr="006C5478">
        <w:rPr>
          <w:rFonts w:eastAsia="Arial"/>
          <w:b/>
          <w:color w:val="000000" w:themeColor="text1"/>
          <w:sz w:val="24"/>
          <w:szCs w:val="24"/>
        </w:rPr>
        <w:t xml:space="preserve">, or does the CEC expect us to rely on </w:t>
      </w:r>
      <w:r w:rsidR="00A4050C" w:rsidRPr="006C5478">
        <w:rPr>
          <w:rFonts w:eastAsia="Arial"/>
          <w:b/>
          <w:color w:val="000000" w:themeColor="text1"/>
          <w:sz w:val="24"/>
          <w:szCs w:val="24"/>
        </w:rPr>
        <w:t>Chemical Transport Models (</w:t>
      </w:r>
      <w:r w:rsidR="00F36833" w:rsidRPr="006C5478">
        <w:rPr>
          <w:rFonts w:eastAsia="Arial"/>
          <w:b/>
          <w:color w:val="000000" w:themeColor="text1"/>
          <w:sz w:val="24"/>
          <w:szCs w:val="24"/>
        </w:rPr>
        <w:t>CTMs</w:t>
      </w:r>
      <w:r w:rsidR="00A4050C" w:rsidRPr="006C5478">
        <w:rPr>
          <w:rFonts w:eastAsia="Arial"/>
          <w:b/>
          <w:color w:val="000000" w:themeColor="text1"/>
          <w:sz w:val="24"/>
          <w:szCs w:val="24"/>
        </w:rPr>
        <w:t>)</w:t>
      </w:r>
      <w:r w:rsidR="00F36833" w:rsidRPr="006C5478">
        <w:rPr>
          <w:rFonts w:eastAsia="Arial"/>
          <w:b/>
          <w:color w:val="000000" w:themeColor="text1"/>
          <w:sz w:val="24"/>
          <w:szCs w:val="24"/>
        </w:rPr>
        <w:t>?</w:t>
      </w:r>
    </w:p>
    <w:p w14:paraId="3199B16F" w14:textId="6B270C42" w:rsidR="00E431BD" w:rsidRPr="006C5478" w:rsidRDefault="00CD7314" w:rsidP="00E431BD">
      <w:pPr>
        <w:ind w:left="720" w:hanging="720"/>
        <w:rPr>
          <w:rFonts w:eastAsia="Arial"/>
          <w:color w:val="000000" w:themeColor="text1"/>
          <w:sz w:val="24"/>
          <w:szCs w:val="24"/>
        </w:rPr>
      </w:pPr>
      <w:r w:rsidRPr="006C5478">
        <w:rPr>
          <w:rFonts w:eastAsia="Arial"/>
          <w:color w:val="000000" w:themeColor="text1"/>
          <w:sz w:val="24"/>
          <w:szCs w:val="24"/>
        </w:rPr>
        <w:lastRenderedPageBreak/>
        <w:t>A20</w:t>
      </w:r>
      <w:r w:rsidR="00E431BD" w:rsidRPr="006C5478">
        <w:rPr>
          <w:rFonts w:eastAsia="Arial"/>
          <w:color w:val="000000" w:themeColor="text1"/>
          <w:sz w:val="24"/>
          <w:szCs w:val="24"/>
        </w:rPr>
        <w:t>:</w:t>
      </w:r>
      <w:r w:rsidR="00E431BD">
        <w:rPr>
          <w:rFonts w:eastAsiaTheme="minorEastAsia"/>
        </w:rPr>
        <w:tab/>
      </w:r>
      <w:r w:rsidR="00991A51" w:rsidRPr="006C5478">
        <w:rPr>
          <w:rFonts w:eastAsia="Arial"/>
          <w:color w:val="000000" w:themeColor="text1"/>
          <w:sz w:val="24"/>
          <w:szCs w:val="24"/>
        </w:rPr>
        <w:t xml:space="preserve">As described in Section I.C., applicants may propose improvements to existing models or justify development of </w:t>
      </w:r>
      <w:r w:rsidR="00C73D26" w:rsidRPr="006C5478">
        <w:rPr>
          <w:rFonts w:eastAsia="Arial"/>
          <w:color w:val="000000" w:themeColor="text1"/>
          <w:sz w:val="24"/>
          <w:szCs w:val="24"/>
        </w:rPr>
        <w:t xml:space="preserve">a </w:t>
      </w:r>
      <w:r w:rsidR="00991A51" w:rsidRPr="006C5478">
        <w:rPr>
          <w:rFonts w:eastAsia="Arial"/>
          <w:color w:val="000000" w:themeColor="text1"/>
          <w:sz w:val="24"/>
          <w:szCs w:val="24"/>
        </w:rPr>
        <w:t>new model</w:t>
      </w:r>
      <w:r w:rsidR="00C73D26" w:rsidRPr="006C5478">
        <w:rPr>
          <w:rFonts w:eastAsia="Arial"/>
          <w:color w:val="000000" w:themeColor="text1"/>
          <w:sz w:val="24"/>
          <w:szCs w:val="24"/>
        </w:rPr>
        <w:t>(</w:t>
      </w:r>
      <w:r w:rsidR="00991A51" w:rsidRPr="006C5478">
        <w:rPr>
          <w:rFonts w:eastAsia="Arial"/>
          <w:color w:val="000000" w:themeColor="text1"/>
          <w:sz w:val="24"/>
          <w:szCs w:val="24"/>
        </w:rPr>
        <w:t>s</w:t>
      </w:r>
      <w:r w:rsidR="00C73D26" w:rsidRPr="006C5478">
        <w:rPr>
          <w:rFonts w:eastAsia="Arial"/>
          <w:color w:val="000000" w:themeColor="text1"/>
          <w:sz w:val="24"/>
          <w:szCs w:val="24"/>
        </w:rPr>
        <w:t>)</w:t>
      </w:r>
      <w:r w:rsidR="00991A51" w:rsidRPr="006C5478">
        <w:rPr>
          <w:rFonts w:eastAsia="Arial"/>
          <w:color w:val="000000" w:themeColor="text1"/>
          <w:sz w:val="24"/>
          <w:szCs w:val="24"/>
        </w:rPr>
        <w:t>. Both RCMs and CTMs are acceptable if justified by peer-reviewed literature and aligned with policy-relevant objectives.</w:t>
      </w:r>
    </w:p>
    <w:p w14:paraId="35ECE417" w14:textId="77777777" w:rsidR="00F44D4E" w:rsidRPr="006C5478" w:rsidRDefault="00F44D4E" w:rsidP="00E431BD">
      <w:pPr>
        <w:ind w:left="720" w:hanging="720"/>
        <w:rPr>
          <w:rFonts w:eastAsia="Arial"/>
          <w:color w:val="000000" w:themeColor="text1"/>
          <w:sz w:val="24"/>
          <w:szCs w:val="24"/>
        </w:rPr>
      </w:pPr>
    </w:p>
    <w:p w14:paraId="02DBB649" w14:textId="2D6896CC" w:rsidR="00E431BD" w:rsidRPr="006C5478" w:rsidRDefault="00CD7314" w:rsidP="00E431BD">
      <w:pPr>
        <w:ind w:left="720" w:hanging="720"/>
        <w:rPr>
          <w:rFonts w:eastAsia="Arial"/>
          <w:b/>
          <w:color w:val="000000" w:themeColor="text1"/>
          <w:sz w:val="24"/>
          <w:szCs w:val="24"/>
        </w:rPr>
      </w:pPr>
      <w:r w:rsidRPr="006C5478">
        <w:rPr>
          <w:rFonts w:eastAsia="Arial"/>
          <w:b/>
          <w:color w:val="000000" w:themeColor="text1"/>
          <w:sz w:val="24"/>
          <w:szCs w:val="24"/>
        </w:rPr>
        <w:t>Q21</w:t>
      </w:r>
      <w:r w:rsidR="00E431BD" w:rsidRPr="006C5478">
        <w:rPr>
          <w:rFonts w:eastAsia="Arial"/>
          <w:b/>
          <w:color w:val="000000" w:themeColor="text1"/>
          <w:sz w:val="24"/>
          <w:szCs w:val="24"/>
        </w:rPr>
        <w:t>:</w:t>
      </w:r>
      <w:r w:rsidR="00E431BD">
        <w:rPr>
          <w:rFonts w:eastAsiaTheme="minorEastAsia"/>
        </w:rPr>
        <w:tab/>
      </w:r>
      <w:r w:rsidR="00D702C5" w:rsidRPr="006C5478">
        <w:rPr>
          <w:rFonts w:eastAsia="Arial"/>
          <w:b/>
          <w:color w:val="000000" w:themeColor="text1"/>
          <w:sz w:val="24"/>
          <w:szCs w:val="24"/>
        </w:rPr>
        <w:t xml:space="preserve">For Group 2, must the sensor be market-ready at project completion? May funds support manufacturing lines? Do </w:t>
      </w:r>
      <w:r w:rsidR="004E3542" w:rsidRPr="006C5478">
        <w:rPr>
          <w:rFonts w:eastAsia="Arial"/>
          <w:b/>
          <w:color w:val="000000" w:themeColor="text1"/>
          <w:sz w:val="24"/>
          <w:szCs w:val="24"/>
        </w:rPr>
        <w:t xml:space="preserve">Build America, Buy America (BABA) provisions </w:t>
      </w:r>
      <w:r w:rsidR="00D702C5" w:rsidRPr="006C5478">
        <w:rPr>
          <w:rFonts w:eastAsia="Arial"/>
          <w:b/>
          <w:color w:val="000000" w:themeColor="text1"/>
          <w:sz w:val="24"/>
          <w:szCs w:val="24"/>
        </w:rPr>
        <w:t xml:space="preserve">apply </w:t>
      </w:r>
      <w:r w:rsidR="004E3542" w:rsidRPr="006C5478">
        <w:rPr>
          <w:rFonts w:eastAsia="Arial"/>
          <w:b/>
          <w:color w:val="000000" w:themeColor="text1"/>
          <w:sz w:val="24"/>
          <w:szCs w:val="24"/>
        </w:rPr>
        <w:t>under this solicitation?</w:t>
      </w:r>
    </w:p>
    <w:p w14:paraId="3E057EAC" w14:textId="290310C6" w:rsidR="00F76CAF" w:rsidRPr="000E71D6" w:rsidRDefault="00CD7314" w:rsidP="00971B78">
      <w:pPr>
        <w:ind w:left="720" w:hanging="720"/>
        <w:rPr>
          <w:rFonts w:eastAsia="Arial"/>
          <w:sz w:val="24"/>
          <w:szCs w:val="24"/>
        </w:rPr>
      </w:pPr>
      <w:r w:rsidRPr="006C5478">
        <w:rPr>
          <w:rFonts w:eastAsia="Arial"/>
          <w:color w:val="000000" w:themeColor="text1"/>
          <w:sz w:val="24"/>
          <w:szCs w:val="24"/>
        </w:rPr>
        <w:t>A21</w:t>
      </w:r>
      <w:r w:rsidR="00E431BD" w:rsidRPr="006C5478">
        <w:rPr>
          <w:rFonts w:eastAsia="Arial"/>
          <w:color w:val="000000" w:themeColor="text1"/>
          <w:sz w:val="24"/>
          <w:szCs w:val="24"/>
        </w:rPr>
        <w:t>:</w:t>
      </w:r>
      <w:r>
        <w:tab/>
      </w:r>
      <w:r w:rsidR="00EA51DF" w:rsidRPr="000E71D6">
        <w:rPr>
          <w:rFonts w:eastAsia="Arial"/>
          <w:sz w:val="24"/>
          <w:szCs w:val="24"/>
        </w:rPr>
        <w:t>Group 2 requires achieving Technology Readiness Level (TRL) 6 (validated in relevant environment)</w:t>
      </w:r>
      <w:r w:rsidR="008D1D55" w:rsidRPr="000E71D6">
        <w:rPr>
          <w:rFonts w:eastAsia="Arial"/>
          <w:sz w:val="24"/>
          <w:szCs w:val="24"/>
        </w:rPr>
        <w:t xml:space="preserve"> by the end of project</w:t>
      </w:r>
      <w:r w:rsidR="00EA51DF" w:rsidRPr="000E71D6">
        <w:rPr>
          <w:rFonts w:eastAsia="Arial"/>
          <w:sz w:val="24"/>
          <w:szCs w:val="24"/>
        </w:rPr>
        <w:t xml:space="preserve">. Market readiness is not required. CEC funds may not be used to establish commercial manufacturing lines. Build America, Buy America (BABA) provisions </w:t>
      </w:r>
      <w:r w:rsidR="00C26F78" w:rsidRPr="000E71D6">
        <w:rPr>
          <w:rFonts w:eastAsia="Arial"/>
          <w:sz w:val="24"/>
          <w:szCs w:val="24"/>
        </w:rPr>
        <w:t xml:space="preserve">do not </w:t>
      </w:r>
      <w:r w:rsidR="00EA51DF" w:rsidRPr="000E71D6">
        <w:rPr>
          <w:rFonts w:eastAsia="Arial"/>
          <w:sz w:val="24"/>
          <w:szCs w:val="24"/>
        </w:rPr>
        <w:t xml:space="preserve">apply </w:t>
      </w:r>
      <w:r w:rsidR="00C26F78" w:rsidRPr="000E71D6">
        <w:rPr>
          <w:rFonts w:eastAsia="Arial"/>
          <w:sz w:val="24"/>
          <w:szCs w:val="24"/>
        </w:rPr>
        <w:t>to th</w:t>
      </w:r>
      <w:r w:rsidR="00D05562" w:rsidRPr="000E71D6">
        <w:rPr>
          <w:rFonts w:eastAsia="Arial"/>
          <w:sz w:val="24"/>
          <w:szCs w:val="24"/>
        </w:rPr>
        <w:t xml:space="preserve">e CEC funds </w:t>
      </w:r>
      <w:r w:rsidR="00A70532" w:rsidRPr="000E71D6">
        <w:rPr>
          <w:rFonts w:eastAsia="Arial"/>
          <w:sz w:val="24"/>
          <w:szCs w:val="24"/>
        </w:rPr>
        <w:t>associated</w:t>
      </w:r>
      <w:r w:rsidR="00D05562" w:rsidRPr="000E71D6">
        <w:rPr>
          <w:rFonts w:eastAsia="Arial"/>
          <w:sz w:val="24"/>
          <w:szCs w:val="24"/>
        </w:rPr>
        <w:t xml:space="preserve"> with this</w:t>
      </w:r>
      <w:r w:rsidR="00C26F78" w:rsidRPr="000E71D6">
        <w:rPr>
          <w:rFonts w:eastAsia="Arial"/>
          <w:sz w:val="24"/>
          <w:szCs w:val="24"/>
        </w:rPr>
        <w:t xml:space="preserve"> solicitation. </w:t>
      </w:r>
    </w:p>
    <w:p w14:paraId="660F7111" w14:textId="77777777" w:rsidR="00914A9C" w:rsidRPr="000E71D6" w:rsidRDefault="00914A9C" w:rsidP="00971B78">
      <w:pPr>
        <w:ind w:left="720" w:hanging="720"/>
        <w:rPr>
          <w:rFonts w:eastAsia="Arial"/>
          <w:b/>
          <w:sz w:val="24"/>
          <w:szCs w:val="24"/>
        </w:rPr>
      </w:pPr>
    </w:p>
    <w:p w14:paraId="149D60DB" w14:textId="4DB76515" w:rsidR="00914A9C" w:rsidRPr="000E71D6" w:rsidRDefault="00CD7314" w:rsidP="00971B78">
      <w:pPr>
        <w:ind w:left="720" w:hanging="720"/>
        <w:rPr>
          <w:rFonts w:eastAsia="Arial"/>
          <w:b/>
          <w:sz w:val="24"/>
          <w:szCs w:val="24"/>
        </w:rPr>
      </w:pPr>
      <w:r w:rsidRPr="000E71D6">
        <w:rPr>
          <w:rFonts w:eastAsia="Arial"/>
          <w:b/>
          <w:sz w:val="24"/>
          <w:szCs w:val="24"/>
        </w:rPr>
        <w:t>Q22</w:t>
      </w:r>
      <w:r w:rsidR="00914A9C" w:rsidRPr="000E71D6">
        <w:rPr>
          <w:rFonts w:eastAsia="Arial"/>
          <w:b/>
          <w:sz w:val="24"/>
          <w:szCs w:val="24"/>
        </w:rPr>
        <w:t>:</w:t>
      </w:r>
      <w:r w:rsidR="00914A9C">
        <w:tab/>
      </w:r>
      <w:r w:rsidR="00FD5672" w:rsidRPr="000E71D6">
        <w:rPr>
          <w:rFonts w:eastAsia="Arial"/>
          <w:b/>
          <w:sz w:val="24"/>
          <w:szCs w:val="24"/>
        </w:rPr>
        <w:t>How does CEC envision an improved/new RCM in terms of its accuracy? Does it mean the new RCM should demonstrate higher fidelity with CTMs than existing RCMs?</w:t>
      </w:r>
    </w:p>
    <w:p w14:paraId="65ADB3E2" w14:textId="5A1A4CBF" w:rsidR="004773C2" w:rsidRPr="000E71D6" w:rsidRDefault="004773C2" w:rsidP="00971B78">
      <w:pPr>
        <w:ind w:left="720" w:hanging="720"/>
        <w:rPr>
          <w:rFonts w:eastAsia="Arial"/>
          <w:sz w:val="24"/>
          <w:szCs w:val="24"/>
        </w:rPr>
      </w:pPr>
      <w:r w:rsidRPr="000E71D6">
        <w:rPr>
          <w:rFonts w:eastAsia="Arial"/>
          <w:sz w:val="24"/>
          <w:szCs w:val="24"/>
        </w:rPr>
        <w:t>A</w:t>
      </w:r>
      <w:r w:rsidR="00E07191" w:rsidRPr="000E71D6">
        <w:rPr>
          <w:rFonts w:eastAsia="Arial"/>
          <w:sz w:val="24"/>
          <w:szCs w:val="24"/>
        </w:rPr>
        <w:t>2</w:t>
      </w:r>
      <w:r w:rsidR="00CD7314" w:rsidRPr="000E71D6">
        <w:rPr>
          <w:rFonts w:eastAsia="Arial"/>
          <w:sz w:val="24"/>
          <w:szCs w:val="24"/>
        </w:rPr>
        <w:t>2</w:t>
      </w:r>
      <w:r w:rsidRPr="000E71D6">
        <w:rPr>
          <w:rFonts w:eastAsia="Arial"/>
          <w:sz w:val="24"/>
          <w:szCs w:val="24"/>
        </w:rPr>
        <w:t>:</w:t>
      </w:r>
      <w:r>
        <w:tab/>
      </w:r>
      <w:r w:rsidR="00160614" w:rsidRPr="000E71D6">
        <w:rPr>
          <w:rFonts w:eastAsia="Arial"/>
          <w:sz w:val="24"/>
          <w:szCs w:val="24"/>
        </w:rPr>
        <w:t xml:space="preserve">Applicants should describe performance improvements relative to existing models using </w:t>
      </w:r>
      <w:r w:rsidR="00FD058B" w:rsidRPr="000E71D6">
        <w:rPr>
          <w:rFonts w:eastAsia="Arial"/>
          <w:sz w:val="24"/>
          <w:szCs w:val="24"/>
        </w:rPr>
        <w:t>credible</w:t>
      </w:r>
      <w:r w:rsidR="00160614" w:rsidRPr="000E71D6">
        <w:rPr>
          <w:rFonts w:eastAsia="Arial"/>
          <w:sz w:val="24"/>
          <w:szCs w:val="24"/>
        </w:rPr>
        <w:t xml:space="preserve"> evaluation methods. This may include comparison against observational data or benchmark modeling approaches.</w:t>
      </w:r>
    </w:p>
    <w:p w14:paraId="3186FC41" w14:textId="77777777" w:rsidR="00F44D4E" w:rsidRPr="000E71D6" w:rsidRDefault="00F44D4E" w:rsidP="00E431BD">
      <w:pPr>
        <w:ind w:left="720" w:hanging="720"/>
        <w:rPr>
          <w:rFonts w:eastAsia="Arial"/>
          <w:color w:val="000000" w:themeColor="text1"/>
          <w:sz w:val="24"/>
          <w:szCs w:val="24"/>
        </w:rPr>
      </w:pPr>
    </w:p>
    <w:p w14:paraId="1A738AEA" w14:textId="6C5E794F" w:rsidR="007333B9" w:rsidRPr="000E71D6" w:rsidRDefault="00E431BD" w:rsidP="00971B78">
      <w:pPr>
        <w:ind w:left="720" w:hanging="720"/>
        <w:rPr>
          <w:rFonts w:eastAsia="Arial"/>
          <w:b/>
          <w:color w:val="000000" w:themeColor="text1"/>
          <w:sz w:val="24"/>
          <w:szCs w:val="24"/>
        </w:rPr>
      </w:pPr>
      <w:r w:rsidRPr="000E71D6">
        <w:rPr>
          <w:rFonts w:eastAsia="Arial"/>
          <w:b/>
          <w:color w:val="000000" w:themeColor="text1"/>
          <w:sz w:val="24"/>
          <w:szCs w:val="24"/>
        </w:rPr>
        <w:t>Q</w:t>
      </w:r>
      <w:r w:rsidR="00E07191" w:rsidRPr="000E71D6">
        <w:rPr>
          <w:rFonts w:eastAsia="Arial"/>
          <w:b/>
          <w:color w:val="000000" w:themeColor="text1"/>
          <w:sz w:val="24"/>
          <w:szCs w:val="24"/>
        </w:rPr>
        <w:t>2</w:t>
      </w:r>
      <w:r w:rsidR="00CD7314" w:rsidRPr="000E71D6">
        <w:rPr>
          <w:rFonts w:eastAsia="Arial"/>
          <w:b/>
          <w:color w:val="000000" w:themeColor="text1"/>
          <w:sz w:val="24"/>
          <w:szCs w:val="24"/>
        </w:rPr>
        <w:t>3</w:t>
      </w:r>
      <w:r w:rsidRPr="000E71D6">
        <w:rPr>
          <w:rFonts w:eastAsia="Arial"/>
          <w:b/>
          <w:color w:val="000000" w:themeColor="text1"/>
          <w:sz w:val="24"/>
          <w:szCs w:val="24"/>
        </w:rPr>
        <w:t>:</w:t>
      </w:r>
      <w:r>
        <w:rPr>
          <w:rFonts w:eastAsiaTheme="minorEastAsia"/>
        </w:rPr>
        <w:tab/>
      </w:r>
      <w:r w:rsidR="00594845" w:rsidRPr="000E71D6">
        <w:rPr>
          <w:rFonts w:eastAsia="Arial"/>
          <w:b/>
          <w:sz w:val="24"/>
          <w:szCs w:val="24"/>
        </w:rPr>
        <w:t>What qualifies as “low-cost” for Group 2?</w:t>
      </w:r>
    </w:p>
    <w:p w14:paraId="57BFD91C" w14:textId="113A91A3" w:rsidR="00F44D4E" w:rsidRPr="000E71D6" w:rsidRDefault="00E431BD" w:rsidP="00E431BD">
      <w:pPr>
        <w:ind w:left="720" w:hanging="720"/>
        <w:rPr>
          <w:rFonts w:eastAsia="Arial"/>
          <w:color w:val="000000" w:themeColor="text1"/>
          <w:sz w:val="24"/>
          <w:szCs w:val="24"/>
        </w:rPr>
      </w:pPr>
      <w:r w:rsidRPr="000E71D6">
        <w:rPr>
          <w:rFonts w:eastAsia="Arial"/>
          <w:color w:val="000000" w:themeColor="text1"/>
          <w:sz w:val="24"/>
          <w:szCs w:val="24"/>
        </w:rPr>
        <w:t>A</w:t>
      </w:r>
      <w:r w:rsidR="00E07191" w:rsidRPr="000E71D6">
        <w:rPr>
          <w:rFonts w:eastAsia="Arial"/>
          <w:color w:val="000000" w:themeColor="text1"/>
          <w:sz w:val="24"/>
          <w:szCs w:val="24"/>
        </w:rPr>
        <w:t>2</w:t>
      </w:r>
      <w:r w:rsidR="00CD7314" w:rsidRPr="000E71D6">
        <w:rPr>
          <w:rFonts w:eastAsia="Arial"/>
          <w:color w:val="000000" w:themeColor="text1"/>
          <w:sz w:val="24"/>
          <w:szCs w:val="24"/>
        </w:rPr>
        <w:t>3</w:t>
      </w:r>
      <w:r w:rsidRPr="000E71D6">
        <w:rPr>
          <w:rFonts w:eastAsia="Arial"/>
          <w:color w:val="000000" w:themeColor="text1"/>
          <w:sz w:val="24"/>
          <w:szCs w:val="24"/>
        </w:rPr>
        <w:t>:</w:t>
      </w:r>
      <w:r w:rsidR="00E37B30">
        <w:rPr>
          <w:rFonts w:eastAsiaTheme="minorEastAsia"/>
        </w:rPr>
        <w:tab/>
      </w:r>
      <w:r w:rsidR="004F73A0" w:rsidRPr="000E71D6">
        <w:rPr>
          <w:rFonts w:eastAsia="Arial"/>
          <w:color w:val="000000" w:themeColor="text1"/>
          <w:sz w:val="24"/>
          <w:szCs w:val="24"/>
        </w:rPr>
        <w:t xml:space="preserve">The solicitation </w:t>
      </w:r>
      <w:r w:rsidR="008855AB" w:rsidRPr="000E71D6">
        <w:rPr>
          <w:rFonts w:eastAsia="Arial"/>
          <w:color w:val="000000" w:themeColor="text1"/>
          <w:sz w:val="24"/>
          <w:szCs w:val="24"/>
        </w:rPr>
        <w:t xml:space="preserve">manual </w:t>
      </w:r>
      <w:r w:rsidR="004F73A0" w:rsidRPr="000E71D6">
        <w:rPr>
          <w:rFonts w:eastAsia="Arial"/>
          <w:color w:val="000000" w:themeColor="text1"/>
          <w:sz w:val="24"/>
          <w:szCs w:val="24"/>
        </w:rPr>
        <w:t>does not prescribe a specific dollar threshold for “low-cost.” However, applicants may reference external sources for context</w:t>
      </w:r>
      <w:r w:rsidR="00167210" w:rsidRPr="000E71D6">
        <w:rPr>
          <w:rFonts w:eastAsia="Arial"/>
          <w:color w:val="000000" w:themeColor="text1"/>
          <w:sz w:val="24"/>
          <w:szCs w:val="24"/>
        </w:rPr>
        <w:t xml:space="preserve">. For example, a </w:t>
      </w:r>
      <w:hyperlink r:id="rId15">
        <w:r w:rsidR="00167210" w:rsidRPr="000E71D6">
          <w:rPr>
            <w:rStyle w:val="Hyperlink"/>
            <w:rFonts w:eastAsia="Arial"/>
            <w:sz w:val="24"/>
            <w:szCs w:val="24"/>
          </w:rPr>
          <w:t>white paper</w:t>
        </w:r>
      </w:hyperlink>
      <w:r w:rsidR="00167210" w:rsidRPr="000E71D6">
        <w:rPr>
          <w:rFonts w:eastAsia="Arial"/>
          <w:color w:val="000000" w:themeColor="text1"/>
          <w:sz w:val="24"/>
          <w:szCs w:val="24"/>
        </w:rPr>
        <w:t xml:space="preserve"> </w:t>
      </w:r>
      <w:r w:rsidR="00A40D3F" w:rsidRPr="000E71D6">
        <w:rPr>
          <w:rFonts w:eastAsia="Arial"/>
          <w:color w:val="000000" w:themeColor="text1"/>
          <w:sz w:val="24"/>
          <w:szCs w:val="24"/>
        </w:rPr>
        <w:t>released by the California Air Resources Board (CARB)</w:t>
      </w:r>
      <w:r w:rsidR="001B7308" w:rsidRPr="000E71D6">
        <w:rPr>
          <w:rFonts w:eastAsia="Arial"/>
          <w:color w:val="000000" w:themeColor="text1"/>
          <w:sz w:val="24"/>
          <w:szCs w:val="24"/>
        </w:rPr>
        <w:t xml:space="preserve"> in 2025</w:t>
      </w:r>
      <w:r w:rsidR="00B212AE" w:rsidRPr="000E71D6">
        <w:rPr>
          <w:rFonts w:eastAsia="Arial"/>
          <w:color w:val="000000" w:themeColor="text1"/>
          <w:sz w:val="24"/>
          <w:szCs w:val="24"/>
        </w:rPr>
        <w:t xml:space="preserve">, “Low-Cost Sensors for Healthier Indoor Air Quality in Impacted Communities,” </w:t>
      </w:r>
      <w:r w:rsidR="004F73A0" w:rsidRPr="000E71D6">
        <w:rPr>
          <w:rFonts w:eastAsia="Arial"/>
          <w:color w:val="000000" w:themeColor="text1"/>
          <w:sz w:val="24"/>
          <w:szCs w:val="24"/>
        </w:rPr>
        <w:t>defines low-cost sensors as packaged devices costing less than $500 for single-pollutant devices and less than or equal to $2,500 for multi-pollutant devices. Regardless of the reference used, proposals should clearly justify the proposed cost in relation to accessibility, scalability, and suitability for widespread household deployment.</w:t>
      </w:r>
    </w:p>
    <w:p w14:paraId="667220C1" w14:textId="77777777" w:rsidR="00654D6B" w:rsidRPr="000E71D6" w:rsidRDefault="00654D6B" w:rsidP="00E431BD">
      <w:pPr>
        <w:ind w:left="720" w:hanging="720"/>
        <w:rPr>
          <w:rFonts w:eastAsia="Arial"/>
          <w:color w:val="000000" w:themeColor="text1"/>
          <w:sz w:val="24"/>
          <w:szCs w:val="24"/>
        </w:rPr>
      </w:pPr>
    </w:p>
    <w:p w14:paraId="4FCE7B67" w14:textId="1E6D8AD9" w:rsidR="00654D6B" w:rsidRPr="002D4AF3" w:rsidRDefault="00654D6B" w:rsidP="00654D6B">
      <w:pPr>
        <w:ind w:left="720" w:hanging="720"/>
        <w:rPr>
          <w:rFonts w:eastAsia="Arial"/>
          <w:b/>
          <w:color w:val="000000" w:themeColor="text1"/>
          <w:sz w:val="24"/>
          <w:szCs w:val="24"/>
        </w:rPr>
      </w:pPr>
      <w:r w:rsidRPr="000E71D6">
        <w:rPr>
          <w:rFonts w:eastAsia="Arial"/>
          <w:b/>
          <w:color w:val="000000" w:themeColor="text1"/>
          <w:sz w:val="24"/>
          <w:szCs w:val="24"/>
        </w:rPr>
        <w:t>Q2</w:t>
      </w:r>
      <w:r w:rsidR="00CD7314" w:rsidRPr="000E71D6">
        <w:rPr>
          <w:rFonts w:eastAsia="Arial"/>
          <w:b/>
          <w:color w:val="000000" w:themeColor="text1"/>
          <w:sz w:val="24"/>
          <w:szCs w:val="24"/>
        </w:rPr>
        <w:t>4:</w:t>
      </w:r>
      <w:r>
        <w:rPr>
          <w:rFonts w:eastAsiaTheme="minorEastAsia"/>
        </w:rPr>
        <w:tab/>
      </w:r>
      <w:r w:rsidR="00825C40" w:rsidRPr="002D4AF3">
        <w:rPr>
          <w:rFonts w:eastAsia="Arial"/>
          <w:b/>
          <w:color w:val="000000" w:themeColor="text1"/>
          <w:sz w:val="24"/>
          <w:szCs w:val="24"/>
        </w:rPr>
        <w:t xml:space="preserve">For Group 2, could you clarify what “low-cost” means in this context? Are you targeting research-grade sensors at a reduced cost (e.g., approximately $1,000 per unit) to support large-scale exposure and health studies, or </w:t>
      </w:r>
      <w:proofErr w:type="gramStart"/>
      <w:r w:rsidR="00825C40" w:rsidRPr="002D4AF3">
        <w:rPr>
          <w:rFonts w:eastAsia="Arial"/>
          <w:b/>
          <w:color w:val="000000" w:themeColor="text1"/>
          <w:sz w:val="24"/>
          <w:szCs w:val="24"/>
        </w:rPr>
        <w:t>is</w:t>
      </w:r>
      <w:proofErr w:type="gramEnd"/>
      <w:r w:rsidR="00825C40" w:rsidRPr="002D4AF3">
        <w:rPr>
          <w:rFonts w:eastAsia="Arial"/>
          <w:b/>
          <w:color w:val="000000" w:themeColor="text1"/>
          <w:sz w:val="24"/>
          <w:szCs w:val="24"/>
        </w:rPr>
        <w:t xml:space="preserve"> the objective to develop a consumer-facing product (e.g., ~$100 suitable for mass-market distribution)? These represent different development pathways with different performance targets.</w:t>
      </w:r>
    </w:p>
    <w:p w14:paraId="3F610F8F" w14:textId="6CB22FB1" w:rsidR="00654D6B" w:rsidRPr="002D4AF3" w:rsidRDefault="00654D6B" w:rsidP="00654D6B">
      <w:pPr>
        <w:ind w:left="720" w:hanging="720"/>
        <w:rPr>
          <w:rFonts w:eastAsia="Arial"/>
          <w:color w:val="000000" w:themeColor="text1"/>
          <w:sz w:val="24"/>
          <w:szCs w:val="24"/>
        </w:rPr>
      </w:pPr>
      <w:r w:rsidRPr="002D4AF3">
        <w:rPr>
          <w:rFonts w:eastAsia="Arial"/>
          <w:color w:val="000000" w:themeColor="text1"/>
          <w:sz w:val="24"/>
          <w:szCs w:val="24"/>
        </w:rPr>
        <w:t>A2</w:t>
      </w:r>
      <w:r w:rsidR="00CD7314" w:rsidRPr="002D4AF3">
        <w:rPr>
          <w:rFonts w:eastAsia="Arial"/>
          <w:color w:val="000000" w:themeColor="text1"/>
          <w:sz w:val="24"/>
          <w:szCs w:val="24"/>
        </w:rPr>
        <w:t>4</w:t>
      </w:r>
      <w:r w:rsidRPr="002D4AF3">
        <w:rPr>
          <w:rFonts w:eastAsia="Arial"/>
          <w:color w:val="000000" w:themeColor="text1"/>
          <w:sz w:val="24"/>
          <w:szCs w:val="24"/>
        </w:rPr>
        <w:t>:</w:t>
      </w:r>
      <w:r>
        <w:rPr>
          <w:rFonts w:eastAsiaTheme="minorEastAsia"/>
        </w:rPr>
        <w:tab/>
      </w:r>
      <w:r w:rsidRPr="002D4AF3">
        <w:rPr>
          <w:rFonts w:eastAsia="Arial"/>
          <w:color w:val="000000" w:themeColor="text1"/>
          <w:sz w:val="24"/>
          <w:szCs w:val="24"/>
        </w:rPr>
        <w:t xml:space="preserve">For Group 2, the intent is to support development of a low-cost, consumer-facing air quality sensor suitable for household deployment, rather than a traditional high-cost, regulatory-grade instrument. The objective is to improve upon existing </w:t>
      </w:r>
      <w:r w:rsidRPr="002D4AF3">
        <w:rPr>
          <w:rFonts w:eastAsia="Arial"/>
          <w:color w:val="000000" w:themeColor="text1"/>
          <w:sz w:val="24"/>
          <w:szCs w:val="24"/>
        </w:rPr>
        <w:lastRenderedPageBreak/>
        <w:t>low-cost indoor air quality sensors in terms of performance, reliability, and validation while maintaining accessibility and scalability for residential use.</w:t>
      </w:r>
    </w:p>
    <w:p w14:paraId="51BDF71D" w14:textId="13B016D3" w:rsidR="00380F88" w:rsidRPr="002D4AF3" w:rsidRDefault="00380F88" w:rsidP="00380F88">
      <w:pPr>
        <w:ind w:left="720"/>
        <w:rPr>
          <w:rFonts w:eastAsia="Arial"/>
          <w:color w:val="000000" w:themeColor="text1"/>
          <w:sz w:val="24"/>
          <w:szCs w:val="24"/>
        </w:rPr>
      </w:pPr>
      <w:r w:rsidRPr="002D4AF3">
        <w:rPr>
          <w:rFonts w:eastAsia="Arial"/>
          <w:color w:val="000000" w:themeColor="text1"/>
          <w:sz w:val="24"/>
          <w:szCs w:val="24"/>
        </w:rPr>
        <w:t xml:space="preserve">To </w:t>
      </w:r>
      <w:r w:rsidR="008760E2" w:rsidRPr="002D4AF3">
        <w:rPr>
          <w:rFonts w:eastAsia="Arial"/>
          <w:color w:val="000000" w:themeColor="text1"/>
          <w:sz w:val="24"/>
          <w:szCs w:val="24"/>
        </w:rPr>
        <w:t xml:space="preserve">further </w:t>
      </w:r>
      <w:r w:rsidRPr="002D4AF3">
        <w:rPr>
          <w:rFonts w:eastAsia="Arial"/>
          <w:color w:val="000000" w:themeColor="text1"/>
          <w:sz w:val="24"/>
          <w:szCs w:val="24"/>
        </w:rPr>
        <w:t>clarify this intent, language has been added under the Group 2 focus section of the solicitation to state that the objective is to support development of a low-cost, consumer-facing air quality sensor suitable for household deployment</w:t>
      </w:r>
      <w:r w:rsidR="00BE7645" w:rsidRPr="002D4AF3">
        <w:rPr>
          <w:rFonts w:eastAsia="Arial"/>
          <w:color w:val="000000" w:themeColor="text1"/>
          <w:sz w:val="24"/>
          <w:szCs w:val="24"/>
        </w:rPr>
        <w:t>:</w:t>
      </w:r>
    </w:p>
    <w:p w14:paraId="60E722CE" w14:textId="06FB7494" w:rsidR="00380F88" w:rsidRPr="002D4AF3" w:rsidRDefault="00BE7645" w:rsidP="002D4AF3">
      <w:pPr>
        <w:ind w:left="720" w:firstLine="720"/>
        <w:rPr>
          <w:rFonts w:eastAsia="Arial"/>
          <w:color w:val="000000" w:themeColor="text1"/>
          <w:sz w:val="24"/>
          <w:szCs w:val="24"/>
        </w:rPr>
      </w:pPr>
      <w:r w:rsidRPr="002D4AF3">
        <w:rPr>
          <w:rFonts w:eastAsia="Arial"/>
          <w:color w:val="000000" w:themeColor="text1"/>
          <w:sz w:val="24"/>
          <w:szCs w:val="24"/>
        </w:rPr>
        <w:t xml:space="preserve">“Group 2 will support research to identify gaps and challenges in low-cost sensor technology, develop a new low-cost air quality sensor, and validate it in the indoor environment. </w:t>
      </w:r>
      <w:r w:rsidRPr="002D4AF3">
        <w:rPr>
          <w:rFonts w:eastAsia="Arial"/>
          <w:b/>
          <w:color w:val="000000" w:themeColor="text1"/>
          <w:sz w:val="24"/>
          <w:szCs w:val="24"/>
          <w:u w:val="single"/>
        </w:rPr>
        <w:t>The objective is to support development of a low-cost, consumer-facing air quality sensor suitable for household deployment, with performance improvements over currently available low-cost indoor air quality sensors</w:t>
      </w:r>
      <w:r w:rsidRPr="002D4AF3">
        <w:rPr>
          <w:rFonts w:eastAsia="Arial"/>
          <w:color w:val="000000" w:themeColor="text1"/>
          <w:sz w:val="24"/>
          <w:szCs w:val="24"/>
        </w:rPr>
        <w:t>.”</w:t>
      </w:r>
    </w:p>
    <w:p w14:paraId="099EC56F" w14:textId="77777777" w:rsidR="00654D6B" w:rsidRPr="002D4AF3" w:rsidRDefault="00654D6B" w:rsidP="00654D6B">
      <w:pPr>
        <w:ind w:left="720"/>
        <w:rPr>
          <w:rFonts w:eastAsia="Arial"/>
          <w:color w:val="000000" w:themeColor="text1"/>
          <w:sz w:val="24"/>
          <w:szCs w:val="24"/>
        </w:rPr>
      </w:pPr>
      <w:r w:rsidRPr="002D4AF3">
        <w:rPr>
          <w:rFonts w:eastAsia="Arial"/>
          <w:color w:val="000000" w:themeColor="text1"/>
          <w:sz w:val="24"/>
          <w:szCs w:val="24"/>
        </w:rPr>
        <w:t>While the solicitation does not prescribe a specific dollar threshold, the expectation is that the resulting technology be economically feasible for widespread household deployment. At the same time, applicants should aim to significantly advance sensor performance relative to currently available low-cost devices. Achieving performance levels approaching research-grade accuracy may be appropriate if it can be done within a cost structure consistent with broad residential application.</w:t>
      </w:r>
    </w:p>
    <w:p w14:paraId="2B08D6B1" w14:textId="41768EBC" w:rsidR="00654D6B" w:rsidRPr="002D4AF3" w:rsidRDefault="00654D6B" w:rsidP="00654D6B">
      <w:pPr>
        <w:ind w:left="720"/>
        <w:rPr>
          <w:rFonts w:eastAsia="Arial"/>
          <w:color w:val="000000" w:themeColor="text1"/>
          <w:sz w:val="24"/>
          <w:szCs w:val="24"/>
        </w:rPr>
      </w:pPr>
      <w:r w:rsidRPr="002D4AF3">
        <w:rPr>
          <w:rFonts w:eastAsia="Arial"/>
          <w:color w:val="000000" w:themeColor="text1"/>
          <w:sz w:val="24"/>
          <w:szCs w:val="24"/>
        </w:rPr>
        <w:t>Proposals should clearly justify their cost target, intended use case, performance metrics, and how the improved sensor advances beyond currently available low-cost technologies, consistent with the requirements in Section I.C. (Group 2: Developing a Low-cost Air Quality Sensor to Assess Household Air Pollution).</w:t>
      </w:r>
      <w:r w:rsidR="085D8E6A" w:rsidRPr="65F55F53">
        <w:rPr>
          <w:rFonts w:eastAsia="Arial"/>
          <w:color w:val="000000" w:themeColor="text1"/>
          <w:sz w:val="24"/>
          <w:szCs w:val="24"/>
        </w:rPr>
        <w:t xml:space="preserve"> Please see the response to Q23.</w:t>
      </w:r>
    </w:p>
    <w:p w14:paraId="0D03AF82" w14:textId="77777777" w:rsidR="00FE12CE" w:rsidRPr="002D4AF3" w:rsidRDefault="00FE12CE" w:rsidP="002E3A7E">
      <w:pPr>
        <w:rPr>
          <w:rFonts w:eastAsia="Arial"/>
          <w:color w:val="000000" w:themeColor="text1"/>
          <w:sz w:val="24"/>
          <w:szCs w:val="24"/>
        </w:rPr>
      </w:pPr>
    </w:p>
    <w:p w14:paraId="78613B2C" w14:textId="2354BBAE" w:rsidR="00203F2F" w:rsidRPr="002D4AF3" w:rsidRDefault="00203F2F" w:rsidP="00D51F3C">
      <w:pPr>
        <w:ind w:left="720" w:hanging="720"/>
        <w:rPr>
          <w:rFonts w:eastAsia="Arial"/>
          <w:b/>
          <w:color w:val="000000" w:themeColor="text1"/>
          <w:sz w:val="24"/>
          <w:szCs w:val="24"/>
        </w:rPr>
      </w:pPr>
      <w:r w:rsidRPr="002D4AF3">
        <w:rPr>
          <w:rFonts w:eastAsia="Arial"/>
          <w:b/>
          <w:color w:val="000000" w:themeColor="text1"/>
          <w:sz w:val="24"/>
          <w:szCs w:val="24"/>
        </w:rPr>
        <w:t>Q</w:t>
      </w:r>
      <w:r w:rsidR="00E07191" w:rsidRPr="002D4AF3">
        <w:rPr>
          <w:rFonts w:eastAsia="Arial"/>
          <w:b/>
          <w:color w:val="000000" w:themeColor="text1"/>
          <w:sz w:val="24"/>
          <w:szCs w:val="24"/>
        </w:rPr>
        <w:t>2</w:t>
      </w:r>
      <w:r w:rsidR="00BC18FA" w:rsidRPr="002D4AF3">
        <w:rPr>
          <w:rFonts w:eastAsia="Arial"/>
          <w:b/>
          <w:color w:val="000000" w:themeColor="text1"/>
          <w:sz w:val="24"/>
          <w:szCs w:val="24"/>
        </w:rPr>
        <w:t>5</w:t>
      </w:r>
      <w:r w:rsidRPr="002D4AF3">
        <w:rPr>
          <w:rFonts w:eastAsia="Arial"/>
          <w:b/>
          <w:color w:val="000000" w:themeColor="text1"/>
          <w:sz w:val="24"/>
          <w:szCs w:val="24"/>
        </w:rPr>
        <w:t>:</w:t>
      </w:r>
      <w:r>
        <w:rPr>
          <w:rFonts w:eastAsiaTheme="minorEastAsia"/>
        </w:rPr>
        <w:tab/>
      </w:r>
      <w:r w:rsidR="007F0012" w:rsidRPr="002D4AF3">
        <w:rPr>
          <w:rFonts w:eastAsia="Arial"/>
          <w:b/>
          <w:color w:val="000000" w:themeColor="text1"/>
          <w:sz w:val="24"/>
          <w:szCs w:val="24"/>
        </w:rPr>
        <w:t>May homes with air filtration be included in monitoring?</w:t>
      </w:r>
    </w:p>
    <w:p w14:paraId="5A95A196" w14:textId="5B9E02B4" w:rsidR="00D3678F" w:rsidRPr="002D4AF3" w:rsidRDefault="00E431BD" w:rsidP="00D3678F">
      <w:pPr>
        <w:ind w:left="720" w:hanging="720"/>
        <w:rPr>
          <w:rFonts w:eastAsia="Arial"/>
          <w:color w:val="000000" w:themeColor="text1"/>
          <w:sz w:val="24"/>
          <w:szCs w:val="24"/>
        </w:rPr>
      </w:pPr>
      <w:r w:rsidRPr="002D4AF3">
        <w:rPr>
          <w:rFonts w:eastAsia="Arial"/>
          <w:color w:val="000000" w:themeColor="text1"/>
          <w:sz w:val="24"/>
          <w:szCs w:val="24"/>
        </w:rPr>
        <w:t>A</w:t>
      </w:r>
      <w:r w:rsidR="00E07191" w:rsidRPr="002D4AF3">
        <w:rPr>
          <w:rFonts w:eastAsia="Arial"/>
          <w:color w:val="000000" w:themeColor="text1"/>
          <w:sz w:val="24"/>
          <w:szCs w:val="24"/>
        </w:rPr>
        <w:t>2</w:t>
      </w:r>
      <w:r w:rsidR="00BC18FA" w:rsidRPr="002D4AF3">
        <w:rPr>
          <w:rFonts w:eastAsia="Arial"/>
          <w:color w:val="000000" w:themeColor="text1"/>
          <w:sz w:val="24"/>
          <w:szCs w:val="24"/>
        </w:rPr>
        <w:t>5</w:t>
      </w:r>
      <w:r w:rsidRPr="002D4AF3">
        <w:rPr>
          <w:rFonts w:eastAsia="Arial"/>
          <w:color w:val="000000" w:themeColor="text1"/>
          <w:sz w:val="24"/>
          <w:szCs w:val="24"/>
        </w:rPr>
        <w:t>:</w:t>
      </w:r>
      <w:r w:rsidR="00506C6E" w:rsidRPr="002D4AF3">
        <w:rPr>
          <w:rFonts w:eastAsia="Arial"/>
          <w:color w:val="000000" w:themeColor="text1"/>
          <w:sz w:val="24"/>
          <w:szCs w:val="24"/>
        </w:rPr>
        <w:t xml:space="preserve"> </w:t>
      </w:r>
      <w:r w:rsidR="00105034">
        <w:rPr>
          <w:rFonts w:eastAsiaTheme="minorEastAsia"/>
        </w:rPr>
        <w:tab/>
      </w:r>
      <w:r w:rsidR="00F24636" w:rsidRPr="002D4AF3">
        <w:rPr>
          <w:rFonts w:eastAsia="Arial"/>
          <w:color w:val="000000" w:themeColor="text1"/>
          <w:sz w:val="24"/>
          <w:szCs w:val="24"/>
        </w:rPr>
        <w:t xml:space="preserve">CEC staff interpret this question as pertaining to </w:t>
      </w:r>
      <w:r w:rsidR="00D3678F" w:rsidRPr="002D4AF3">
        <w:rPr>
          <w:rFonts w:eastAsia="Arial"/>
          <w:color w:val="000000" w:themeColor="text1"/>
          <w:sz w:val="24"/>
          <w:szCs w:val="24"/>
        </w:rPr>
        <w:t>Group 2 and the validation of the improved low-cost air quality sensor</w:t>
      </w:r>
      <w:r w:rsidR="005213F0" w:rsidRPr="002D4AF3">
        <w:rPr>
          <w:rFonts w:eastAsia="Arial"/>
          <w:color w:val="000000" w:themeColor="text1"/>
          <w:sz w:val="24"/>
          <w:szCs w:val="24"/>
        </w:rPr>
        <w:t>.</w:t>
      </w:r>
      <w:r w:rsidR="00F24636" w:rsidRPr="002D4AF3">
        <w:rPr>
          <w:rFonts w:eastAsia="Arial"/>
          <w:color w:val="000000" w:themeColor="text1"/>
          <w:sz w:val="24"/>
          <w:szCs w:val="24"/>
        </w:rPr>
        <w:t xml:space="preserve"> </w:t>
      </w:r>
      <w:r w:rsidR="00F53326" w:rsidRPr="002D4AF3">
        <w:rPr>
          <w:rFonts w:eastAsia="Arial"/>
          <w:color w:val="000000" w:themeColor="text1"/>
          <w:sz w:val="24"/>
          <w:szCs w:val="24"/>
        </w:rPr>
        <w:t>T</w:t>
      </w:r>
      <w:r w:rsidR="00D3678F" w:rsidRPr="002D4AF3">
        <w:rPr>
          <w:rFonts w:eastAsia="Arial"/>
          <w:color w:val="000000" w:themeColor="text1"/>
          <w:sz w:val="24"/>
          <w:szCs w:val="24"/>
        </w:rPr>
        <w:t>he solicitation</w:t>
      </w:r>
      <w:r w:rsidR="009623F3" w:rsidRPr="002D4AF3">
        <w:rPr>
          <w:rFonts w:eastAsia="Arial"/>
          <w:color w:val="000000" w:themeColor="text1"/>
          <w:sz w:val="24"/>
          <w:szCs w:val="24"/>
        </w:rPr>
        <w:t xml:space="preserve"> manual</w:t>
      </w:r>
      <w:r w:rsidR="00D3678F" w:rsidRPr="002D4AF3">
        <w:rPr>
          <w:rFonts w:eastAsia="Arial"/>
          <w:color w:val="000000" w:themeColor="text1"/>
          <w:sz w:val="24"/>
          <w:szCs w:val="24"/>
        </w:rPr>
        <w:t xml:space="preserve"> does not prohibit testing in homes with air filtration systems. However, the primary requirement </w:t>
      </w:r>
      <w:r w:rsidR="00FF2B8D" w:rsidRPr="002D4AF3">
        <w:rPr>
          <w:rFonts w:eastAsia="Arial"/>
          <w:color w:val="000000" w:themeColor="text1"/>
          <w:sz w:val="24"/>
          <w:szCs w:val="24"/>
        </w:rPr>
        <w:t xml:space="preserve">of </w:t>
      </w:r>
      <w:r w:rsidR="00D3678F" w:rsidRPr="002D4AF3">
        <w:rPr>
          <w:rFonts w:eastAsia="Arial"/>
          <w:color w:val="000000" w:themeColor="text1"/>
          <w:sz w:val="24"/>
          <w:szCs w:val="24"/>
        </w:rPr>
        <w:t>Group 2 is to develop and validate an improved low-cost sensor at Technology Readiness Level (TRL) 6 in a relevant indoor residential environment (see Section I.C., Group 2</w:t>
      </w:r>
      <w:r w:rsidR="004831D4" w:rsidRPr="002D4AF3">
        <w:rPr>
          <w:rFonts w:eastAsia="Arial"/>
          <w:color w:val="000000" w:themeColor="text1"/>
          <w:sz w:val="24"/>
          <w:szCs w:val="24"/>
        </w:rPr>
        <w:t xml:space="preserve"> </w:t>
      </w:r>
      <w:r w:rsidR="00D3678F" w:rsidRPr="002D4AF3">
        <w:rPr>
          <w:rFonts w:eastAsia="Arial"/>
          <w:color w:val="000000" w:themeColor="text1"/>
          <w:sz w:val="24"/>
          <w:szCs w:val="24"/>
        </w:rPr>
        <w:t>requirements).</w:t>
      </w:r>
    </w:p>
    <w:p w14:paraId="0D6A5E6A" w14:textId="2EFBB100" w:rsidR="00D3678F" w:rsidRPr="002D4AF3" w:rsidRDefault="00D3678F" w:rsidP="002E3A7E">
      <w:pPr>
        <w:ind w:left="720"/>
        <w:rPr>
          <w:rFonts w:eastAsia="Arial"/>
          <w:color w:val="000000" w:themeColor="text1"/>
          <w:sz w:val="24"/>
          <w:szCs w:val="24"/>
        </w:rPr>
      </w:pPr>
      <w:r w:rsidRPr="002D4AF3">
        <w:rPr>
          <w:rFonts w:eastAsia="Arial"/>
          <w:color w:val="000000" w:themeColor="text1"/>
          <w:sz w:val="24"/>
          <w:szCs w:val="24"/>
        </w:rPr>
        <w:t xml:space="preserve">The solicitation does not specifically address integration of air filtration systems as part of the validation protocol. </w:t>
      </w:r>
      <w:r w:rsidR="00190571" w:rsidRPr="002D4AF3">
        <w:rPr>
          <w:rFonts w:eastAsia="Arial"/>
          <w:color w:val="000000" w:themeColor="text1"/>
          <w:sz w:val="24"/>
          <w:szCs w:val="24"/>
        </w:rPr>
        <w:t>Applicants must clearly justify how the proposed effort will meet all requirements of the solicitation and how the presence of filtration aligns with the articulated purpose and goals.</w:t>
      </w:r>
    </w:p>
    <w:p w14:paraId="6A6C6446" w14:textId="3D563E9C" w:rsidR="00F44D4E" w:rsidRPr="002D4AF3" w:rsidRDefault="00F44D4E" w:rsidP="002E3A7E">
      <w:pPr>
        <w:ind w:left="720"/>
        <w:rPr>
          <w:rFonts w:eastAsia="Arial"/>
          <w:color w:val="000000" w:themeColor="text1"/>
          <w:sz w:val="24"/>
          <w:szCs w:val="24"/>
        </w:rPr>
      </w:pPr>
    </w:p>
    <w:p w14:paraId="4467639E" w14:textId="630D6CD4" w:rsidR="0001200E" w:rsidRPr="00001244" w:rsidRDefault="00203F2F" w:rsidP="470E5D75">
      <w:pPr>
        <w:ind w:left="720" w:hanging="720"/>
        <w:rPr>
          <w:rFonts w:eastAsia="Arial"/>
          <w:b/>
          <w:color w:val="000000" w:themeColor="text1"/>
          <w:sz w:val="24"/>
          <w:szCs w:val="24"/>
        </w:rPr>
      </w:pPr>
      <w:r w:rsidRPr="002D4AF3">
        <w:rPr>
          <w:rFonts w:eastAsia="Arial"/>
          <w:b/>
          <w:color w:val="000000" w:themeColor="text1"/>
          <w:sz w:val="24"/>
          <w:szCs w:val="24"/>
        </w:rPr>
        <w:t>Q</w:t>
      </w:r>
      <w:r w:rsidR="001060A6" w:rsidRPr="002D4AF3">
        <w:rPr>
          <w:rFonts w:eastAsia="Arial"/>
          <w:b/>
          <w:color w:val="000000" w:themeColor="text1"/>
          <w:sz w:val="24"/>
          <w:szCs w:val="24"/>
        </w:rPr>
        <w:t>2</w:t>
      </w:r>
      <w:r w:rsidR="00BC18FA" w:rsidRPr="002D4AF3">
        <w:rPr>
          <w:rFonts w:eastAsia="Arial"/>
          <w:b/>
          <w:color w:val="000000" w:themeColor="text1"/>
          <w:sz w:val="24"/>
          <w:szCs w:val="24"/>
        </w:rPr>
        <w:t>6</w:t>
      </w:r>
      <w:r w:rsidRPr="002D4AF3">
        <w:rPr>
          <w:rFonts w:eastAsia="Arial"/>
          <w:b/>
          <w:color w:val="000000" w:themeColor="text1"/>
          <w:sz w:val="24"/>
          <w:szCs w:val="24"/>
        </w:rPr>
        <w:t>:</w:t>
      </w:r>
      <w:r>
        <w:tab/>
      </w:r>
      <w:r w:rsidR="0001200E" w:rsidRPr="00001244">
        <w:rPr>
          <w:rFonts w:eastAsia="Arial"/>
          <w:b/>
          <w:color w:val="000000" w:themeColor="text1"/>
          <w:sz w:val="24"/>
          <w:szCs w:val="24"/>
        </w:rPr>
        <w:t>Could you elaborate a bit more on what the impacts and benefits for California IOU ratepayers might look like? Could you please provide a few concrete examples?</w:t>
      </w:r>
    </w:p>
    <w:p w14:paraId="6FE7FE6E" w14:textId="6AA18C7F" w:rsidR="00EF5B86" w:rsidRPr="00001244" w:rsidRDefault="00E431BD" w:rsidP="00E27AF7">
      <w:pPr>
        <w:ind w:left="720" w:hanging="720"/>
        <w:rPr>
          <w:rFonts w:eastAsia="Arial"/>
          <w:sz w:val="24"/>
          <w:szCs w:val="24"/>
        </w:rPr>
      </w:pPr>
      <w:r w:rsidRPr="00001244">
        <w:rPr>
          <w:rFonts w:eastAsia="Arial"/>
          <w:color w:val="000000" w:themeColor="text1"/>
          <w:sz w:val="24"/>
          <w:szCs w:val="24"/>
        </w:rPr>
        <w:t>A</w:t>
      </w:r>
      <w:r w:rsidR="001060A6" w:rsidRPr="00001244">
        <w:rPr>
          <w:rFonts w:eastAsia="Arial"/>
          <w:color w:val="000000" w:themeColor="text1"/>
          <w:sz w:val="24"/>
          <w:szCs w:val="24"/>
        </w:rPr>
        <w:t>2</w:t>
      </w:r>
      <w:r w:rsidR="00BC18FA" w:rsidRPr="00001244">
        <w:rPr>
          <w:rFonts w:eastAsia="Arial"/>
          <w:color w:val="000000" w:themeColor="text1"/>
          <w:sz w:val="24"/>
          <w:szCs w:val="24"/>
        </w:rPr>
        <w:t>6</w:t>
      </w:r>
      <w:r w:rsidRPr="00001244">
        <w:rPr>
          <w:rFonts w:eastAsia="Arial"/>
          <w:color w:val="000000" w:themeColor="text1"/>
          <w:sz w:val="24"/>
          <w:szCs w:val="24"/>
        </w:rPr>
        <w:t>:</w:t>
      </w:r>
      <w:r>
        <w:tab/>
      </w:r>
      <w:r w:rsidR="00EF5B86" w:rsidRPr="00001244">
        <w:rPr>
          <w:rFonts w:eastAsia="Arial"/>
          <w:sz w:val="24"/>
          <w:szCs w:val="24"/>
        </w:rPr>
        <w:t xml:space="preserve">Under the EPIC program, funded research must provide benefits to California’s investor-owned utility (IOU) ratepayers. In the context of this solicitation, impacts and benefits include improvements to public health, environmental sustainability, </w:t>
      </w:r>
      <w:r w:rsidR="00EF5B86" w:rsidRPr="00001244">
        <w:rPr>
          <w:rFonts w:eastAsia="Arial"/>
          <w:sz w:val="24"/>
          <w:szCs w:val="24"/>
        </w:rPr>
        <w:lastRenderedPageBreak/>
        <w:t>equity, and informed decision-making related to California’s clean energy transition.</w:t>
      </w:r>
    </w:p>
    <w:p w14:paraId="3D25CC7F" w14:textId="76647CBB" w:rsidR="003A04D2" w:rsidRPr="00001244" w:rsidRDefault="0020381A" w:rsidP="00001244">
      <w:pPr>
        <w:ind w:left="720"/>
        <w:rPr>
          <w:rFonts w:eastAsia="Arial"/>
          <w:sz w:val="24"/>
          <w:szCs w:val="24"/>
        </w:rPr>
      </w:pPr>
      <w:r w:rsidRPr="00001244">
        <w:rPr>
          <w:rFonts w:eastAsia="Arial"/>
          <w:color w:val="000000" w:themeColor="text1"/>
          <w:sz w:val="24"/>
          <w:szCs w:val="24"/>
        </w:rPr>
        <w:t>Scoring Criterion 3, “Impacts and Benefits for California IOU Ratepayers,” states that</w:t>
      </w:r>
      <w:r w:rsidR="00240856" w:rsidRPr="00001244">
        <w:rPr>
          <w:rFonts w:eastAsia="Arial"/>
          <w:sz w:val="24"/>
          <w:szCs w:val="24"/>
        </w:rPr>
        <w:t>, “</w:t>
      </w:r>
      <w:r w:rsidR="00D82183" w:rsidRPr="00001244">
        <w:rPr>
          <w:rFonts w:eastAsia="Arial"/>
          <w:i/>
          <w:sz w:val="24"/>
          <w:szCs w:val="24"/>
        </w:rPr>
        <w:t>b</w:t>
      </w:r>
      <w:r w:rsidR="00240856" w:rsidRPr="00001244">
        <w:rPr>
          <w:rFonts w:eastAsia="Arial"/>
          <w:i/>
          <w:sz w:val="24"/>
          <w:szCs w:val="24"/>
        </w:rPr>
        <w:t>enefits may include use in the context of policy and/or program implementation of estimated non-energy benefits including GHG emission reductions and health-damaging air pollutant emission reductions (e.g., NO</w:t>
      </w:r>
      <w:r w:rsidR="00240856" w:rsidRPr="00001244">
        <w:rPr>
          <w:rFonts w:eastAsia="Arial"/>
          <w:i/>
          <w:sz w:val="24"/>
          <w:szCs w:val="24"/>
          <w:vertAlign w:val="subscript"/>
        </w:rPr>
        <w:t>2</w:t>
      </w:r>
      <w:r w:rsidR="00240856" w:rsidRPr="00001244">
        <w:rPr>
          <w:rFonts w:eastAsia="Arial"/>
          <w:i/>
          <w:sz w:val="24"/>
          <w:szCs w:val="24"/>
        </w:rPr>
        <w:t>)</w:t>
      </w:r>
      <w:r w:rsidR="00240856" w:rsidRPr="00001244">
        <w:rPr>
          <w:rFonts w:eastAsia="Arial"/>
          <w:sz w:val="24"/>
          <w:szCs w:val="24"/>
        </w:rPr>
        <w:t>.”</w:t>
      </w:r>
      <w:r w:rsidR="000C22BA" w:rsidRPr="00001244">
        <w:rPr>
          <w:rFonts w:eastAsia="Arial"/>
          <w:sz w:val="24"/>
          <w:szCs w:val="24"/>
        </w:rPr>
        <w:t xml:space="preserve"> </w:t>
      </w:r>
    </w:p>
    <w:p w14:paraId="240D505E" w14:textId="4F2A6B59" w:rsidR="00EF5B86" w:rsidRPr="00001244" w:rsidRDefault="00270BC4" w:rsidP="002F3A92">
      <w:pPr>
        <w:ind w:left="720"/>
        <w:rPr>
          <w:rFonts w:eastAsia="Arial"/>
          <w:sz w:val="24"/>
          <w:szCs w:val="24"/>
        </w:rPr>
      </w:pPr>
      <w:r w:rsidRPr="00001244">
        <w:rPr>
          <w:rFonts w:eastAsia="Arial"/>
          <w:sz w:val="24"/>
          <w:szCs w:val="24"/>
        </w:rPr>
        <w:t>Concrete examples of potential ratepayer benefits may include, but are not limited to</w:t>
      </w:r>
      <w:r w:rsidR="00E27AF7" w:rsidRPr="00001244">
        <w:rPr>
          <w:rFonts w:eastAsia="Arial"/>
          <w:sz w:val="24"/>
          <w:szCs w:val="24"/>
        </w:rPr>
        <w:t>:</w:t>
      </w:r>
    </w:p>
    <w:p w14:paraId="09B1F22C" w14:textId="6130CD7E" w:rsidR="0055605A" w:rsidRPr="00001244" w:rsidRDefault="0055605A" w:rsidP="002E3A7E">
      <w:pPr>
        <w:pStyle w:val="ListParagraph"/>
        <w:numPr>
          <w:ilvl w:val="0"/>
          <w:numId w:val="25"/>
        </w:numPr>
        <w:rPr>
          <w:rFonts w:eastAsia="Arial"/>
          <w:sz w:val="24"/>
          <w:szCs w:val="24"/>
        </w:rPr>
      </w:pPr>
      <w:r w:rsidRPr="00001244">
        <w:rPr>
          <w:rFonts w:eastAsia="Arial"/>
          <w:sz w:val="24"/>
          <w:szCs w:val="24"/>
        </w:rPr>
        <w:t xml:space="preserve">Quantified reductions in </w:t>
      </w:r>
      <w:r w:rsidR="001F5172" w:rsidRPr="00001244">
        <w:rPr>
          <w:rFonts w:eastAsia="Arial"/>
          <w:sz w:val="24"/>
          <w:szCs w:val="24"/>
        </w:rPr>
        <w:t>fine particulate matter</w:t>
      </w:r>
      <w:r w:rsidR="006F197D" w:rsidRPr="00001244">
        <w:rPr>
          <w:rFonts w:eastAsia="Arial"/>
          <w:sz w:val="24"/>
          <w:szCs w:val="24"/>
        </w:rPr>
        <w:t xml:space="preserve"> (PM</w:t>
      </w:r>
      <w:r w:rsidR="006F197D" w:rsidRPr="00001244">
        <w:rPr>
          <w:rFonts w:eastAsia="Arial"/>
          <w:sz w:val="24"/>
          <w:szCs w:val="24"/>
          <w:vertAlign w:val="subscript"/>
        </w:rPr>
        <w:t>2.5</w:t>
      </w:r>
      <w:r w:rsidR="006F197D" w:rsidRPr="00001244">
        <w:rPr>
          <w:rFonts w:eastAsia="Arial"/>
          <w:sz w:val="24"/>
          <w:szCs w:val="24"/>
        </w:rPr>
        <w:t>)</w:t>
      </w:r>
      <w:r w:rsidRPr="00001244">
        <w:rPr>
          <w:rFonts w:eastAsia="Arial"/>
          <w:sz w:val="24"/>
          <w:szCs w:val="24"/>
        </w:rPr>
        <w:t xml:space="preserve"> and </w:t>
      </w:r>
      <w:r w:rsidR="006F197D" w:rsidRPr="00001244">
        <w:rPr>
          <w:rFonts w:eastAsia="Arial"/>
          <w:sz w:val="24"/>
          <w:szCs w:val="24"/>
        </w:rPr>
        <w:t>O</w:t>
      </w:r>
      <w:r w:rsidR="001F5172" w:rsidRPr="00001244">
        <w:rPr>
          <w:rFonts w:eastAsia="Arial"/>
          <w:sz w:val="24"/>
          <w:szCs w:val="24"/>
        </w:rPr>
        <w:t>zone</w:t>
      </w:r>
      <w:r w:rsidR="006F197D" w:rsidRPr="00001244">
        <w:rPr>
          <w:rFonts w:eastAsia="Arial"/>
          <w:sz w:val="24"/>
          <w:szCs w:val="24"/>
        </w:rPr>
        <w:t xml:space="preserve"> (O</w:t>
      </w:r>
      <w:r w:rsidR="006F197D" w:rsidRPr="00001244">
        <w:rPr>
          <w:rFonts w:eastAsia="Arial"/>
          <w:sz w:val="24"/>
          <w:szCs w:val="24"/>
          <w:vertAlign w:val="subscript"/>
        </w:rPr>
        <w:t>3</w:t>
      </w:r>
      <w:r w:rsidR="006F197D" w:rsidRPr="00001244">
        <w:rPr>
          <w:rFonts w:eastAsia="Arial"/>
          <w:sz w:val="24"/>
          <w:szCs w:val="24"/>
        </w:rPr>
        <w:t>)</w:t>
      </w:r>
      <w:r w:rsidRPr="00001244">
        <w:rPr>
          <w:rFonts w:eastAsia="Arial"/>
          <w:sz w:val="24"/>
          <w:szCs w:val="24"/>
        </w:rPr>
        <w:t xml:space="preserve"> exposure resulting from electrification scenarios, which may translate into avoided healthcare costs, reduced hospital visits, and improved workforce </w:t>
      </w:r>
      <w:proofErr w:type="gramStart"/>
      <w:r w:rsidRPr="00001244">
        <w:rPr>
          <w:rFonts w:eastAsia="Arial"/>
          <w:sz w:val="24"/>
          <w:szCs w:val="24"/>
        </w:rPr>
        <w:t>productivity;</w:t>
      </w:r>
      <w:proofErr w:type="gramEnd"/>
    </w:p>
    <w:p w14:paraId="5A97EB09" w14:textId="05CCDA02" w:rsidR="0055605A" w:rsidRPr="00001244" w:rsidRDefault="0055605A" w:rsidP="002E3A7E">
      <w:pPr>
        <w:pStyle w:val="ListParagraph"/>
        <w:numPr>
          <w:ilvl w:val="0"/>
          <w:numId w:val="25"/>
        </w:numPr>
        <w:rPr>
          <w:rFonts w:eastAsia="Arial"/>
          <w:sz w:val="24"/>
          <w:szCs w:val="24"/>
        </w:rPr>
      </w:pPr>
      <w:r w:rsidRPr="00001244">
        <w:rPr>
          <w:rFonts w:eastAsia="Arial"/>
          <w:sz w:val="24"/>
          <w:szCs w:val="24"/>
        </w:rPr>
        <w:t xml:space="preserve">Improved targeting of clean energy investments in Disadvantaged and Vulnerable Communities, helping inform more equitable distribution of health and environmental </w:t>
      </w:r>
      <w:proofErr w:type="gramStart"/>
      <w:r w:rsidRPr="00001244">
        <w:rPr>
          <w:rFonts w:eastAsia="Arial"/>
          <w:sz w:val="24"/>
          <w:szCs w:val="24"/>
        </w:rPr>
        <w:t>benefits;</w:t>
      </w:r>
      <w:proofErr w:type="gramEnd"/>
    </w:p>
    <w:p w14:paraId="2B46FA30" w14:textId="648DBE67" w:rsidR="0055605A" w:rsidRPr="00001244" w:rsidRDefault="0055605A" w:rsidP="002E3A7E">
      <w:pPr>
        <w:pStyle w:val="ListParagraph"/>
        <w:numPr>
          <w:ilvl w:val="0"/>
          <w:numId w:val="25"/>
        </w:numPr>
        <w:rPr>
          <w:rFonts w:eastAsia="Arial"/>
          <w:sz w:val="24"/>
          <w:szCs w:val="24"/>
        </w:rPr>
      </w:pPr>
      <w:r w:rsidRPr="00001244">
        <w:rPr>
          <w:rFonts w:eastAsia="Arial"/>
          <w:sz w:val="24"/>
          <w:szCs w:val="24"/>
        </w:rPr>
        <w:t>Better-informed infrastructure planning and resource allocation decisions that help maximize public health outcomes per ratepayer dollar invested;</w:t>
      </w:r>
      <w:r w:rsidR="15EAD7FC" w:rsidRPr="65F55F53">
        <w:rPr>
          <w:rFonts w:eastAsia="Arial"/>
          <w:sz w:val="24"/>
          <w:szCs w:val="24"/>
        </w:rPr>
        <w:t xml:space="preserve"> and</w:t>
      </w:r>
    </w:p>
    <w:p w14:paraId="505994F8" w14:textId="6275EBB7" w:rsidR="0055605A" w:rsidRPr="00001244" w:rsidRDefault="0055605A" w:rsidP="002E3A7E">
      <w:pPr>
        <w:pStyle w:val="ListParagraph"/>
        <w:numPr>
          <w:ilvl w:val="0"/>
          <w:numId w:val="25"/>
        </w:numPr>
        <w:rPr>
          <w:rFonts w:eastAsia="Arial"/>
          <w:sz w:val="24"/>
          <w:szCs w:val="24"/>
        </w:rPr>
      </w:pPr>
      <w:r w:rsidRPr="00001244">
        <w:rPr>
          <w:rFonts w:eastAsia="Arial"/>
          <w:sz w:val="24"/>
          <w:szCs w:val="24"/>
        </w:rPr>
        <w:t>Development of analytical tools that enable more transparent and comprehensive cost-benefit analyses by incorporating monetized non-energy impacts.</w:t>
      </w:r>
    </w:p>
    <w:p w14:paraId="14ADE4B7" w14:textId="67B612BC" w:rsidR="00EF5B86" w:rsidRPr="00001244" w:rsidRDefault="0055605A" w:rsidP="002E3A7E">
      <w:pPr>
        <w:rPr>
          <w:rFonts w:eastAsia="Arial"/>
          <w:color w:val="000000" w:themeColor="text1"/>
          <w:sz w:val="24"/>
          <w:szCs w:val="24"/>
        </w:rPr>
      </w:pPr>
      <w:r w:rsidRPr="00001244">
        <w:rPr>
          <w:rFonts w:eastAsia="Arial"/>
          <w:sz w:val="24"/>
          <w:szCs w:val="24"/>
        </w:rPr>
        <w:t>.</w:t>
      </w:r>
    </w:p>
    <w:p w14:paraId="6E336801" w14:textId="560AF932" w:rsidR="00AC7966" w:rsidRPr="00001244" w:rsidRDefault="00AC7966" w:rsidP="470E5D75">
      <w:pPr>
        <w:ind w:left="720" w:hanging="720"/>
        <w:rPr>
          <w:rFonts w:eastAsia="Arial"/>
          <w:b/>
          <w:color w:val="000000" w:themeColor="text1"/>
          <w:sz w:val="24"/>
          <w:szCs w:val="24"/>
        </w:rPr>
      </w:pPr>
      <w:r w:rsidRPr="00001244">
        <w:rPr>
          <w:rFonts w:eastAsia="Arial"/>
          <w:b/>
          <w:color w:val="000000" w:themeColor="text1"/>
          <w:sz w:val="24"/>
          <w:szCs w:val="24"/>
        </w:rPr>
        <w:t>Q</w:t>
      </w:r>
      <w:r w:rsidR="001060A6" w:rsidRPr="00001244">
        <w:rPr>
          <w:rFonts w:eastAsia="Arial"/>
          <w:b/>
          <w:color w:val="000000" w:themeColor="text1"/>
          <w:sz w:val="24"/>
          <w:szCs w:val="24"/>
        </w:rPr>
        <w:t>2</w:t>
      </w:r>
      <w:r w:rsidR="00BC18FA" w:rsidRPr="00001244">
        <w:rPr>
          <w:rFonts w:eastAsia="Arial"/>
          <w:b/>
          <w:color w:val="000000" w:themeColor="text1"/>
          <w:sz w:val="24"/>
          <w:szCs w:val="24"/>
        </w:rPr>
        <w:t>7</w:t>
      </w:r>
      <w:r w:rsidRPr="00001244">
        <w:rPr>
          <w:rFonts w:eastAsia="Arial"/>
          <w:b/>
          <w:color w:val="000000" w:themeColor="text1"/>
          <w:sz w:val="24"/>
          <w:szCs w:val="24"/>
        </w:rPr>
        <w:t>:</w:t>
      </w:r>
      <w:r>
        <w:tab/>
      </w:r>
      <w:r w:rsidR="003A1C80" w:rsidRPr="00001244">
        <w:rPr>
          <w:rFonts w:eastAsia="Arial"/>
          <w:b/>
          <w:sz w:val="24"/>
          <w:szCs w:val="24"/>
        </w:rPr>
        <w:t>Must the Group 1 dashboard be operational during the Period of Performance (POP)? Will CEC fund post-POP maintenance?</w:t>
      </w:r>
    </w:p>
    <w:p w14:paraId="299A2BBB" w14:textId="307048AB" w:rsidR="00754206" w:rsidRPr="00001244" w:rsidRDefault="00E431BD" w:rsidP="1CF7EF60">
      <w:pPr>
        <w:ind w:left="720" w:hanging="720"/>
        <w:rPr>
          <w:rFonts w:eastAsia="Arial"/>
          <w:color w:val="000000" w:themeColor="text1"/>
          <w:sz w:val="24"/>
          <w:szCs w:val="24"/>
        </w:rPr>
      </w:pPr>
      <w:r w:rsidRPr="00001244">
        <w:rPr>
          <w:rFonts w:eastAsia="Arial"/>
          <w:color w:val="000000" w:themeColor="text1"/>
          <w:sz w:val="24"/>
          <w:szCs w:val="24"/>
        </w:rPr>
        <w:t>A</w:t>
      </w:r>
      <w:r w:rsidR="001060A6" w:rsidRPr="00001244">
        <w:rPr>
          <w:rFonts w:eastAsia="Arial"/>
          <w:color w:val="000000" w:themeColor="text1"/>
          <w:sz w:val="24"/>
          <w:szCs w:val="24"/>
        </w:rPr>
        <w:t>2</w:t>
      </w:r>
      <w:r w:rsidR="00BC18FA" w:rsidRPr="00001244">
        <w:rPr>
          <w:rFonts w:eastAsia="Arial"/>
          <w:color w:val="000000" w:themeColor="text1"/>
          <w:sz w:val="24"/>
          <w:szCs w:val="24"/>
        </w:rPr>
        <w:t>7</w:t>
      </w:r>
      <w:r w:rsidRPr="00001244">
        <w:rPr>
          <w:rFonts w:eastAsia="Arial"/>
          <w:color w:val="000000" w:themeColor="text1"/>
          <w:sz w:val="24"/>
          <w:szCs w:val="24"/>
        </w:rPr>
        <w:t>:</w:t>
      </w:r>
      <w:r>
        <w:rPr>
          <w:rFonts w:eastAsiaTheme="minorEastAsia"/>
        </w:rPr>
        <w:tab/>
      </w:r>
      <w:r w:rsidR="00DF212E" w:rsidRPr="00001244">
        <w:rPr>
          <w:rFonts w:eastAsia="Arial"/>
          <w:sz w:val="24"/>
          <w:szCs w:val="24"/>
        </w:rPr>
        <w:t>Yes</w:t>
      </w:r>
      <w:r w:rsidR="00CC5E94" w:rsidRPr="00001244">
        <w:rPr>
          <w:rFonts w:eastAsia="Arial"/>
          <w:sz w:val="24"/>
          <w:szCs w:val="24"/>
        </w:rPr>
        <w:t>, t</w:t>
      </w:r>
      <w:r w:rsidR="00DF212E" w:rsidRPr="00001244">
        <w:rPr>
          <w:rFonts w:eastAsia="Arial"/>
          <w:sz w:val="24"/>
          <w:szCs w:val="24"/>
        </w:rPr>
        <w:t xml:space="preserve">he dashboard must be delivered and operational during the </w:t>
      </w:r>
      <w:r w:rsidR="00E53C46" w:rsidRPr="00001244">
        <w:rPr>
          <w:rFonts w:eastAsia="Arial"/>
          <w:sz w:val="24"/>
          <w:szCs w:val="24"/>
        </w:rPr>
        <w:t>period of performance</w:t>
      </w:r>
      <w:r w:rsidR="00DF212E" w:rsidRPr="00001244">
        <w:rPr>
          <w:rFonts w:eastAsia="Arial"/>
          <w:sz w:val="24"/>
          <w:szCs w:val="24"/>
        </w:rPr>
        <w:t xml:space="preserve">. Ongoing maintenance beyond the agreement term </w:t>
      </w:r>
      <w:r w:rsidR="00660A22" w:rsidRPr="00001244">
        <w:rPr>
          <w:rFonts w:eastAsia="Arial"/>
          <w:sz w:val="24"/>
          <w:szCs w:val="24"/>
        </w:rPr>
        <w:t>cannot</w:t>
      </w:r>
      <w:r w:rsidR="00A84F7E" w:rsidRPr="00001244">
        <w:rPr>
          <w:rFonts w:eastAsia="Arial"/>
          <w:sz w:val="24"/>
          <w:szCs w:val="24"/>
        </w:rPr>
        <w:t xml:space="preserve"> be supported by CEC funds, because CEC’s legal agreement </w:t>
      </w:r>
      <w:r w:rsidR="00C10BDC" w:rsidRPr="00001244">
        <w:rPr>
          <w:rFonts w:eastAsia="Arial"/>
          <w:sz w:val="24"/>
          <w:szCs w:val="24"/>
        </w:rPr>
        <w:t>does not apply beyond the period of performance</w:t>
      </w:r>
      <w:r w:rsidR="00DF212E" w:rsidRPr="00001244">
        <w:rPr>
          <w:rFonts w:eastAsia="Arial"/>
          <w:sz w:val="24"/>
          <w:szCs w:val="24"/>
        </w:rPr>
        <w:t>.</w:t>
      </w:r>
    </w:p>
    <w:p w14:paraId="0EB8AFDC" w14:textId="77777777" w:rsidR="00F44D4E" w:rsidRPr="00001244" w:rsidRDefault="00F44D4E" w:rsidP="008A1A9A">
      <w:pPr>
        <w:rPr>
          <w:rFonts w:eastAsia="Arial"/>
          <w:color w:val="000000" w:themeColor="text1"/>
          <w:sz w:val="24"/>
          <w:szCs w:val="24"/>
        </w:rPr>
      </w:pPr>
    </w:p>
    <w:p w14:paraId="789C1068" w14:textId="695CB40D" w:rsidR="00347DD8" w:rsidRPr="00001244" w:rsidRDefault="00AC7966" w:rsidP="0047749D">
      <w:pPr>
        <w:ind w:left="720" w:hanging="720"/>
        <w:rPr>
          <w:rFonts w:eastAsia="Arial"/>
          <w:b/>
          <w:color w:val="000000" w:themeColor="text1"/>
          <w:sz w:val="24"/>
          <w:szCs w:val="24"/>
        </w:rPr>
      </w:pPr>
      <w:r w:rsidRPr="00001244">
        <w:rPr>
          <w:rFonts w:eastAsia="Arial"/>
          <w:b/>
          <w:color w:val="000000" w:themeColor="text1"/>
          <w:sz w:val="24"/>
          <w:szCs w:val="24"/>
        </w:rPr>
        <w:t>Q</w:t>
      </w:r>
      <w:r w:rsidR="00224E20" w:rsidRPr="00001244">
        <w:rPr>
          <w:rFonts w:eastAsia="Arial"/>
          <w:b/>
          <w:color w:val="000000" w:themeColor="text1"/>
          <w:sz w:val="24"/>
          <w:szCs w:val="24"/>
        </w:rPr>
        <w:t>2</w:t>
      </w:r>
      <w:r w:rsidR="00BC18FA" w:rsidRPr="00001244">
        <w:rPr>
          <w:rFonts w:eastAsia="Arial"/>
          <w:b/>
          <w:color w:val="000000" w:themeColor="text1"/>
          <w:sz w:val="24"/>
          <w:szCs w:val="24"/>
        </w:rPr>
        <w:t>8</w:t>
      </w:r>
      <w:r w:rsidRPr="00001244">
        <w:rPr>
          <w:rFonts w:eastAsia="Arial"/>
          <w:b/>
          <w:color w:val="000000" w:themeColor="text1"/>
          <w:sz w:val="24"/>
          <w:szCs w:val="24"/>
        </w:rPr>
        <w:t>:</w:t>
      </w:r>
      <w:r>
        <w:rPr>
          <w:rFonts w:eastAsiaTheme="minorEastAsia"/>
        </w:rPr>
        <w:tab/>
      </w:r>
      <w:r w:rsidR="00347DD8" w:rsidRPr="00001244">
        <w:rPr>
          <w:rFonts w:eastAsia="Arial"/>
          <w:b/>
          <w:color w:val="000000" w:themeColor="text1"/>
          <w:sz w:val="24"/>
          <w:szCs w:val="24"/>
        </w:rPr>
        <w:t>For Group 1</w:t>
      </w:r>
      <w:r w:rsidR="00AA49DA" w:rsidRPr="00001244">
        <w:rPr>
          <w:rFonts w:eastAsia="Arial"/>
          <w:b/>
          <w:color w:val="000000" w:themeColor="text1"/>
          <w:sz w:val="24"/>
          <w:szCs w:val="24"/>
        </w:rPr>
        <w:t>, does monetizing non-energy impacts include indoor air quality?</w:t>
      </w:r>
    </w:p>
    <w:p w14:paraId="44233295" w14:textId="6CCAAD6E" w:rsidR="00BF1CC3" w:rsidRPr="00533423" w:rsidRDefault="00E431BD" w:rsidP="00AA49DA">
      <w:pPr>
        <w:ind w:left="720" w:hanging="720"/>
        <w:rPr>
          <w:rFonts w:eastAsia="Arial"/>
          <w:color w:val="000000" w:themeColor="text1"/>
          <w:sz w:val="24"/>
          <w:szCs w:val="24"/>
        </w:rPr>
      </w:pPr>
      <w:r w:rsidRPr="00001244">
        <w:rPr>
          <w:rFonts w:eastAsia="Arial"/>
          <w:color w:val="000000" w:themeColor="text1"/>
          <w:sz w:val="24"/>
          <w:szCs w:val="24"/>
        </w:rPr>
        <w:t>A</w:t>
      </w:r>
      <w:r w:rsidR="00224E20" w:rsidRPr="00001244">
        <w:rPr>
          <w:rFonts w:eastAsia="Arial"/>
          <w:color w:val="000000" w:themeColor="text1"/>
          <w:sz w:val="24"/>
          <w:szCs w:val="24"/>
        </w:rPr>
        <w:t>2</w:t>
      </w:r>
      <w:r w:rsidR="00BC18FA" w:rsidRPr="00001244">
        <w:rPr>
          <w:rFonts w:eastAsia="Arial"/>
          <w:color w:val="000000" w:themeColor="text1"/>
          <w:sz w:val="24"/>
          <w:szCs w:val="24"/>
        </w:rPr>
        <w:t>8</w:t>
      </w:r>
      <w:r w:rsidRPr="00001244">
        <w:rPr>
          <w:rFonts w:eastAsia="Arial"/>
          <w:color w:val="000000" w:themeColor="text1"/>
          <w:sz w:val="24"/>
          <w:szCs w:val="24"/>
        </w:rPr>
        <w:t>:</w:t>
      </w:r>
      <w:r>
        <w:tab/>
      </w:r>
      <w:r w:rsidR="00DF212E" w:rsidRPr="00533423">
        <w:rPr>
          <w:rFonts w:eastAsia="Arial"/>
          <w:color w:val="000000" w:themeColor="text1"/>
          <w:sz w:val="24"/>
          <w:szCs w:val="24"/>
        </w:rPr>
        <w:t xml:space="preserve">It is </w:t>
      </w:r>
      <w:r w:rsidR="00232035" w:rsidRPr="00533423">
        <w:rPr>
          <w:rFonts w:eastAsia="Arial"/>
          <w:color w:val="000000" w:themeColor="text1"/>
          <w:sz w:val="24"/>
          <w:szCs w:val="24"/>
        </w:rPr>
        <w:t xml:space="preserve">not </w:t>
      </w:r>
      <w:r w:rsidR="00DF212E" w:rsidRPr="00533423">
        <w:rPr>
          <w:rFonts w:eastAsia="Arial"/>
          <w:color w:val="000000" w:themeColor="text1"/>
          <w:sz w:val="24"/>
          <w:szCs w:val="24"/>
        </w:rPr>
        <w:t xml:space="preserve">required </w:t>
      </w:r>
      <w:r w:rsidR="00232035" w:rsidRPr="00533423">
        <w:rPr>
          <w:rFonts w:eastAsia="Arial"/>
          <w:color w:val="000000" w:themeColor="text1"/>
          <w:sz w:val="24"/>
          <w:szCs w:val="24"/>
        </w:rPr>
        <w:t xml:space="preserve">(nor is it disallowed) </w:t>
      </w:r>
      <w:r w:rsidR="00DF212E" w:rsidRPr="00533423">
        <w:rPr>
          <w:rFonts w:eastAsia="Arial"/>
          <w:color w:val="000000" w:themeColor="text1"/>
          <w:sz w:val="24"/>
          <w:szCs w:val="24"/>
        </w:rPr>
        <w:t>to include indoor air quality in Group 1 analyses.</w:t>
      </w:r>
    </w:p>
    <w:p w14:paraId="0AF4AEF6" w14:textId="77777777" w:rsidR="007843BC" w:rsidRPr="00533423" w:rsidRDefault="007843BC" w:rsidP="005D79B0">
      <w:pPr>
        <w:rPr>
          <w:rFonts w:eastAsia="Arial"/>
          <w:color w:val="000000" w:themeColor="text1"/>
          <w:sz w:val="24"/>
          <w:szCs w:val="24"/>
        </w:rPr>
      </w:pPr>
    </w:p>
    <w:p w14:paraId="56ED222F" w14:textId="7746BF7F" w:rsidR="007843BC" w:rsidRPr="00533423" w:rsidRDefault="00CD7314" w:rsidP="00744155">
      <w:pPr>
        <w:ind w:left="720" w:hanging="720"/>
        <w:rPr>
          <w:rFonts w:eastAsia="Arial"/>
          <w:b/>
          <w:color w:val="000000" w:themeColor="text1"/>
          <w:sz w:val="24"/>
          <w:szCs w:val="24"/>
        </w:rPr>
      </w:pPr>
      <w:r w:rsidRPr="00533423">
        <w:rPr>
          <w:rFonts w:eastAsia="Arial"/>
          <w:b/>
          <w:color w:val="000000" w:themeColor="text1"/>
          <w:sz w:val="24"/>
          <w:szCs w:val="24"/>
        </w:rPr>
        <w:t>Q29</w:t>
      </w:r>
      <w:proofErr w:type="gramStart"/>
      <w:r w:rsidR="007843BC" w:rsidRPr="00533423">
        <w:rPr>
          <w:rFonts w:eastAsia="Arial"/>
          <w:b/>
          <w:color w:val="000000" w:themeColor="text1"/>
          <w:sz w:val="24"/>
          <w:szCs w:val="24"/>
        </w:rPr>
        <w:t xml:space="preserve">: </w:t>
      </w:r>
      <w:r w:rsidR="00744155">
        <w:rPr>
          <w:rFonts w:eastAsiaTheme="minorEastAsia"/>
        </w:rPr>
        <w:tab/>
      </w:r>
      <w:r w:rsidR="00026294" w:rsidRPr="00533423">
        <w:rPr>
          <w:rFonts w:eastAsia="Arial"/>
          <w:b/>
          <w:color w:val="000000" w:themeColor="text1"/>
          <w:sz w:val="24"/>
          <w:szCs w:val="24"/>
        </w:rPr>
        <w:t>For</w:t>
      </w:r>
      <w:proofErr w:type="gramEnd"/>
      <w:r w:rsidR="00026294" w:rsidRPr="00533423">
        <w:rPr>
          <w:rFonts w:eastAsia="Arial"/>
          <w:b/>
          <w:color w:val="000000" w:themeColor="text1"/>
          <w:sz w:val="24"/>
          <w:szCs w:val="24"/>
        </w:rPr>
        <w:t xml:space="preserve"> </w:t>
      </w:r>
      <w:r w:rsidR="49F6138F" w:rsidRPr="65F55F53">
        <w:rPr>
          <w:rFonts w:eastAsia="Arial"/>
          <w:b/>
          <w:bCs/>
          <w:color w:val="000000" w:themeColor="text1"/>
          <w:sz w:val="24"/>
          <w:szCs w:val="24"/>
        </w:rPr>
        <w:t>G</w:t>
      </w:r>
      <w:r w:rsidR="00026294" w:rsidRPr="00533423">
        <w:rPr>
          <w:rFonts w:eastAsia="Arial"/>
          <w:b/>
          <w:color w:val="000000" w:themeColor="text1"/>
          <w:sz w:val="24"/>
          <w:szCs w:val="24"/>
        </w:rPr>
        <w:t xml:space="preserve">roup 2, can you clarify </w:t>
      </w:r>
      <w:r w:rsidR="00AB0CA7" w:rsidRPr="00533423">
        <w:rPr>
          <w:rFonts w:eastAsia="Arial"/>
          <w:b/>
          <w:color w:val="000000" w:themeColor="text1"/>
          <w:sz w:val="24"/>
          <w:szCs w:val="24"/>
        </w:rPr>
        <w:t xml:space="preserve">whether </w:t>
      </w:r>
      <w:r w:rsidR="00026294" w:rsidRPr="00533423">
        <w:rPr>
          <w:rFonts w:eastAsia="Arial"/>
          <w:b/>
          <w:color w:val="000000" w:themeColor="text1"/>
          <w:sz w:val="24"/>
          <w:szCs w:val="24"/>
        </w:rPr>
        <w:t>TRL</w:t>
      </w:r>
      <w:r w:rsidR="00D1034F" w:rsidRPr="00533423">
        <w:rPr>
          <w:rFonts w:eastAsia="Arial"/>
          <w:b/>
          <w:color w:val="000000" w:themeColor="text1"/>
          <w:sz w:val="24"/>
          <w:szCs w:val="24"/>
        </w:rPr>
        <w:t xml:space="preserve"> </w:t>
      </w:r>
      <w:r w:rsidR="00026294" w:rsidRPr="00533423">
        <w:rPr>
          <w:rFonts w:eastAsia="Arial"/>
          <w:b/>
          <w:color w:val="000000" w:themeColor="text1"/>
          <w:sz w:val="24"/>
          <w:szCs w:val="24"/>
        </w:rPr>
        <w:t>6 is the requirement at project start or project end?</w:t>
      </w:r>
    </w:p>
    <w:p w14:paraId="281C5360" w14:textId="7B8A43EF" w:rsidR="00744155" w:rsidRPr="00533423" w:rsidRDefault="00CD7314" w:rsidP="00744155">
      <w:pPr>
        <w:ind w:left="720" w:hanging="720"/>
        <w:rPr>
          <w:rFonts w:eastAsia="Arial"/>
          <w:color w:val="000000" w:themeColor="text1"/>
          <w:sz w:val="24"/>
          <w:szCs w:val="24"/>
        </w:rPr>
      </w:pPr>
      <w:r w:rsidRPr="00533423">
        <w:rPr>
          <w:rFonts w:eastAsia="Arial"/>
          <w:color w:val="000000" w:themeColor="text1"/>
          <w:sz w:val="24"/>
          <w:szCs w:val="24"/>
        </w:rPr>
        <w:t>A29</w:t>
      </w:r>
      <w:r w:rsidR="00744155" w:rsidRPr="00533423">
        <w:rPr>
          <w:rFonts w:eastAsia="Arial"/>
          <w:color w:val="000000" w:themeColor="text1"/>
          <w:sz w:val="24"/>
          <w:szCs w:val="24"/>
        </w:rPr>
        <w:t>:</w:t>
      </w:r>
      <w:r w:rsidR="00744155">
        <w:rPr>
          <w:rFonts w:eastAsiaTheme="minorEastAsia"/>
        </w:rPr>
        <w:tab/>
      </w:r>
      <w:r w:rsidR="00D943EA" w:rsidRPr="00533423">
        <w:rPr>
          <w:rFonts w:eastAsia="Arial"/>
          <w:color w:val="000000" w:themeColor="text1"/>
          <w:sz w:val="24"/>
          <w:szCs w:val="24"/>
        </w:rPr>
        <w:t>TRL</w:t>
      </w:r>
      <w:r w:rsidR="00D1034F" w:rsidRPr="00533423">
        <w:rPr>
          <w:rFonts w:eastAsia="Arial"/>
          <w:color w:val="000000" w:themeColor="text1"/>
          <w:sz w:val="24"/>
          <w:szCs w:val="24"/>
        </w:rPr>
        <w:t xml:space="preserve"> </w:t>
      </w:r>
      <w:r w:rsidR="00D943EA" w:rsidRPr="00533423">
        <w:rPr>
          <w:rFonts w:eastAsia="Arial"/>
          <w:color w:val="000000" w:themeColor="text1"/>
          <w:sz w:val="24"/>
          <w:szCs w:val="24"/>
        </w:rPr>
        <w:t>6 (validated in relevant environment) must be achieved by the end of the project.</w:t>
      </w:r>
    </w:p>
    <w:p w14:paraId="53C00D66" w14:textId="77777777" w:rsidR="00CA373D" w:rsidRPr="00533423" w:rsidRDefault="00CA373D" w:rsidP="00744155">
      <w:pPr>
        <w:ind w:left="720" w:hanging="720"/>
        <w:rPr>
          <w:rFonts w:eastAsia="Arial"/>
          <w:color w:val="000000" w:themeColor="text1"/>
          <w:sz w:val="24"/>
          <w:szCs w:val="24"/>
        </w:rPr>
      </w:pPr>
    </w:p>
    <w:p w14:paraId="27CC2172" w14:textId="0E691573" w:rsidR="00F22633" w:rsidRPr="00533423" w:rsidRDefault="00CD7314" w:rsidP="00744155">
      <w:pPr>
        <w:ind w:left="720" w:hanging="720"/>
        <w:rPr>
          <w:rFonts w:eastAsia="Arial"/>
          <w:b/>
          <w:color w:val="000000" w:themeColor="text1"/>
          <w:sz w:val="24"/>
          <w:szCs w:val="24"/>
        </w:rPr>
      </w:pPr>
      <w:r w:rsidRPr="00533423">
        <w:rPr>
          <w:rFonts w:eastAsia="Arial"/>
          <w:b/>
          <w:color w:val="000000" w:themeColor="text1"/>
          <w:sz w:val="24"/>
          <w:szCs w:val="24"/>
        </w:rPr>
        <w:lastRenderedPageBreak/>
        <w:t>Q30</w:t>
      </w:r>
      <w:r w:rsidR="00F22633" w:rsidRPr="00533423">
        <w:rPr>
          <w:rFonts w:eastAsia="Arial"/>
          <w:b/>
          <w:color w:val="000000" w:themeColor="text1"/>
          <w:sz w:val="24"/>
          <w:szCs w:val="24"/>
        </w:rPr>
        <w:t>:</w:t>
      </w:r>
      <w:r w:rsidR="00F22633">
        <w:rPr>
          <w:rFonts w:eastAsiaTheme="minorEastAsia"/>
        </w:rPr>
        <w:tab/>
      </w:r>
      <w:r w:rsidR="00026294" w:rsidRPr="00533423">
        <w:rPr>
          <w:rFonts w:eastAsia="Arial"/>
          <w:b/>
          <w:color w:val="000000" w:themeColor="text1"/>
          <w:sz w:val="24"/>
          <w:szCs w:val="24"/>
        </w:rPr>
        <w:t xml:space="preserve">For Group 2, </w:t>
      </w:r>
      <w:r w:rsidR="00011A82" w:rsidRPr="00533423">
        <w:rPr>
          <w:rFonts w:eastAsia="Arial"/>
          <w:b/>
          <w:color w:val="000000" w:themeColor="text1"/>
          <w:sz w:val="24"/>
          <w:szCs w:val="24"/>
        </w:rPr>
        <w:t>d</w:t>
      </w:r>
      <w:r w:rsidR="00026294" w:rsidRPr="00533423">
        <w:rPr>
          <w:rFonts w:eastAsia="Arial"/>
          <w:b/>
          <w:color w:val="000000" w:themeColor="text1"/>
          <w:sz w:val="24"/>
          <w:szCs w:val="24"/>
        </w:rPr>
        <w:t>oes CEC expect more innovation at the system integration level or at the new sensor-chip level?</w:t>
      </w:r>
    </w:p>
    <w:p w14:paraId="0439564F" w14:textId="08ABD891" w:rsidR="000902AC" w:rsidRPr="0035304E" w:rsidRDefault="00CD7314" w:rsidP="00011A82">
      <w:pPr>
        <w:ind w:left="720" w:hanging="720"/>
        <w:rPr>
          <w:rFonts w:eastAsia="Arial"/>
          <w:color w:val="000000" w:themeColor="text1"/>
          <w:sz w:val="24"/>
          <w:szCs w:val="24"/>
        </w:rPr>
      </w:pPr>
      <w:r w:rsidRPr="00533423">
        <w:rPr>
          <w:rFonts w:eastAsia="Arial"/>
          <w:color w:val="000000" w:themeColor="text1"/>
          <w:sz w:val="24"/>
          <w:szCs w:val="24"/>
        </w:rPr>
        <w:t>A30</w:t>
      </w:r>
      <w:r w:rsidR="00F22633" w:rsidRPr="00533423">
        <w:rPr>
          <w:rFonts w:eastAsia="Arial"/>
          <w:color w:val="000000" w:themeColor="text1"/>
          <w:sz w:val="24"/>
          <w:szCs w:val="24"/>
        </w:rPr>
        <w:t>:</w:t>
      </w:r>
      <w:r w:rsidR="00F22633">
        <w:rPr>
          <w:rFonts w:eastAsiaTheme="minorEastAsia"/>
        </w:rPr>
        <w:tab/>
      </w:r>
      <w:r w:rsidR="00000F30" w:rsidRPr="0035304E">
        <w:rPr>
          <w:rFonts w:eastAsia="Arial"/>
          <w:color w:val="000000" w:themeColor="text1"/>
          <w:sz w:val="24"/>
          <w:szCs w:val="24"/>
        </w:rPr>
        <w:t>Applicants may propose innovation at either level. Proposals must identify existing performance gaps and demonstrate advancement consistent with TRL 6 validation.</w:t>
      </w:r>
    </w:p>
    <w:p w14:paraId="044CC911" w14:textId="77777777" w:rsidR="00A550B2" w:rsidRPr="0035304E" w:rsidRDefault="00A550B2" w:rsidP="00744155">
      <w:pPr>
        <w:ind w:left="720" w:hanging="720"/>
        <w:rPr>
          <w:rFonts w:eastAsia="Arial"/>
          <w:color w:val="000000" w:themeColor="text1"/>
          <w:sz w:val="24"/>
          <w:szCs w:val="24"/>
        </w:rPr>
      </w:pPr>
    </w:p>
    <w:p w14:paraId="4D74354E" w14:textId="68900A10" w:rsidR="00A550B2" w:rsidRPr="0035304E" w:rsidRDefault="00CD7314" w:rsidP="00744155">
      <w:pPr>
        <w:ind w:left="720" w:hanging="720"/>
        <w:rPr>
          <w:rFonts w:eastAsia="Arial"/>
          <w:b/>
          <w:color w:val="000000" w:themeColor="text1"/>
          <w:sz w:val="24"/>
          <w:szCs w:val="24"/>
        </w:rPr>
      </w:pPr>
      <w:r w:rsidRPr="0035304E">
        <w:rPr>
          <w:rFonts w:eastAsia="Arial"/>
          <w:b/>
          <w:color w:val="000000" w:themeColor="text1"/>
          <w:sz w:val="24"/>
          <w:szCs w:val="24"/>
        </w:rPr>
        <w:t>Q31</w:t>
      </w:r>
      <w:r w:rsidR="00A550B2" w:rsidRPr="0035304E">
        <w:rPr>
          <w:rFonts w:eastAsia="Arial"/>
          <w:b/>
          <w:color w:val="000000" w:themeColor="text1"/>
          <w:sz w:val="24"/>
          <w:szCs w:val="24"/>
        </w:rPr>
        <w:t xml:space="preserve">: </w:t>
      </w:r>
      <w:r w:rsidR="00A550B2">
        <w:rPr>
          <w:rFonts w:eastAsiaTheme="minorEastAsia"/>
        </w:rPr>
        <w:tab/>
      </w:r>
      <w:r w:rsidR="00A550B2" w:rsidRPr="0035304E">
        <w:rPr>
          <w:rFonts w:eastAsia="Arial"/>
          <w:b/>
          <w:color w:val="000000" w:themeColor="text1"/>
          <w:sz w:val="24"/>
          <w:szCs w:val="24"/>
        </w:rPr>
        <w:t>What is the definition of “sensor” versus “instrument/monitor”?</w:t>
      </w:r>
    </w:p>
    <w:p w14:paraId="67F44BFA" w14:textId="1303FB3E" w:rsidR="003618E2" w:rsidRPr="0035304E" w:rsidRDefault="00CD7314" w:rsidP="003618E2">
      <w:pPr>
        <w:ind w:left="720" w:hanging="720"/>
        <w:rPr>
          <w:rFonts w:eastAsia="Arial"/>
          <w:color w:val="000000" w:themeColor="text1"/>
          <w:sz w:val="24"/>
          <w:szCs w:val="24"/>
        </w:rPr>
      </w:pPr>
      <w:r w:rsidRPr="0035304E">
        <w:rPr>
          <w:rFonts w:eastAsia="Arial"/>
          <w:b/>
          <w:color w:val="000000" w:themeColor="text1"/>
          <w:sz w:val="24"/>
          <w:szCs w:val="24"/>
        </w:rPr>
        <w:t>A31</w:t>
      </w:r>
      <w:r w:rsidR="00000F30" w:rsidRPr="0035304E">
        <w:rPr>
          <w:rFonts w:eastAsia="Arial"/>
          <w:b/>
          <w:color w:val="000000" w:themeColor="text1"/>
          <w:sz w:val="24"/>
          <w:szCs w:val="24"/>
        </w:rPr>
        <w:t>:</w:t>
      </w:r>
      <w:r w:rsidR="00000F30">
        <w:rPr>
          <w:rFonts w:eastAsiaTheme="minorEastAsia"/>
        </w:rPr>
        <w:tab/>
      </w:r>
      <w:r w:rsidR="003618E2" w:rsidRPr="0035304E">
        <w:rPr>
          <w:rFonts w:eastAsia="Arial"/>
          <w:color w:val="000000" w:themeColor="text1"/>
          <w:sz w:val="24"/>
          <w:szCs w:val="24"/>
        </w:rPr>
        <w:t>For purposes of this solicitation, a sensor refers to the core sensing element or sensing system that detects and measures the concentration of a specific pollutant (e.g., PM</w:t>
      </w:r>
      <w:proofErr w:type="gramStart"/>
      <w:r w:rsidR="003618E2" w:rsidRPr="0035304E">
        <w:rPr>
          <w:rFonts w:eastAsia="Arial"/>
          <w:color w:val="000000" w:themeColor="text1"/>
          <w:sz w:val="24"/>
          <w:szCs w:val="24"/>
        </w:rPr>
        <w:t>₂.₅</w:t>
      </w:r>
      <w:proofErr w:type="gramEnd"/>
      <w:r w:rsidR="003618E2" w:rsidRPr="0035304E">
        <w:rPr>
          <w:rFonts w:eastAsia="Arial"/>
          <w:color w:val="000000" w:themeColor="text1"/>
          <w:sz w:val="24"/>
          <w:szCs w:val="24"/>
        </w:rPr>
        <w:t xml:space="preserve">, </w:t>
      </w:r>
      <w:r w:rsidR="3732B260" w:rsidRPr="65F55F53">
        <w:rPr>
          <w:rFonts w:eastAsia="Arial"/>
          <w:color w:val="000000" w:themeColor="text1"/>
          <w:sz w:val="24"/>
          <w:szCs w:val="24"/>
        </w:rPr>
        <w:t>Nitrogen Dioxide (</w:t>
      </w:r>
      <w:r w:rsidR="003618E2" w:rsidRPr="0035304E">
        <w:rPr>
          <w:rFonts w:eastAsia="Arial"/>
          <w:color w:val="000000" w:themeColor="text1"/>
          <w:sz w:val="24"/>
          <w:szCs w:val="24"/>
        </w:rPr>
        <w:t>NO₂</w:t>
      </w:r>
      <w:r w:rsidR="619D590B" w:rsidRPr="65F55F53">
        <w:rPr>
          <w:rFonts w:eastAsia="Arial"/>
          <w:color w:val="000000" w:themeColor="text1"/>
          <w:sz w:val="24"/>
          <w:szCs w:val="24"/>
        </w:rPr>
        <w:t>)</w:t>
      </w:r>
      <w:r w:rsidR="003618E2" w:rsidRPr="0035304E">
        <w:rPr>
          <w:rFonts w:eastAsia="Arial"/>
          <w:color w:val="000000" w:themeColor="text1"/>
          <w:sz w:val="24"/>
          <w:szCs w:val="24"/>
        </w:rPr>
        <w:t>) and generates a signal corresponding to that concentration. A sensor may include supporting electronics and basic signal processing, but it is fundamentally the pollutant detection component.</w:t>
      </w:r>
    </w:p>
    <w:p w14:paraId="677D49E5" w14:textId="193D88F0" w:rsidR="003618E2" w:rsidRPr="0035304E" w:rsidRDefault="003618E2" w:rsidP="003618E2">
      <w:pPr>
        <w:ind w:left="720"/>
        <w:rPr>
          <w:rFonts w:eastAsia="Arial"/>
          <w:color w:val="000000" w:themeColor="text1"/>
          <w:sz w:val="24"/>
          <w:szCs w:val="24"/>
        </w:rPr>
      </w:pPr>
      <w:r w:rsidRPr="0035304E">
        <w:rPr>
          <w:rFonts w:eastAsia="Arial"/>
          <w:color w:val="000000" w:themeColor="text1"/>
          <w:sz w:val="24"/>
          <w:szCs w:val="24"/>
        </w:rPr>
        <w:t>An instrument or monitor, by contrast, typically refers to a more comprehensive device that houses one or more sensors and includes additional components such as calibration systems, data logging, processing algorithms, user interfaces, communications capabilities, and often regulatory-grade performance features. Monitors are generally higher-cost and designed for more formalized data collection, regulatory, or research applications.</w:t>
      </w:r>
    </w:p>
    <w:p w14:paraId="1247B202" w14:textId="1D39580A" w:rsidR="00000F30" w:rsidRPr="0035304E" w:rsidRDefault="003618E2" w:rsidP="003618E2">
      <w:pPr>
        <w:ind w:left="720"/>
        <w:rPr>
          <w:rFonts w:eastAsia="Arial"/>
          <w:color w:val="000000" w:themeColor="text1"/>
          <w:sz w:val="24"/>
          <w:szCs w:val="24"/>
        </w:rPr>
      </w:pPr>
      <w:r w:rsidRPr="0035304E">
        <w:rPr>
          <w:rFonts w:eastAsia="Arial"/>
          <w:color w:val="000000" w:themeColor="text1"/>
          <w:sz w:val="24"/>
          <w:szCs w:val="24"/>
        </w:rPr>
        <w:t>Group 2 focuses on the development and validation of low-cost air quality sensors suitable for household deployment and validated in a relevant indoor environment</w:t>
      </w:r>
      <w:r w:rsidR="37A67607" w:rsidRPr="65F55F53">
        <w:rPr>
          <w:rFonts w:eastAsia="Arial"/>
          <w:color w:val="000000" w:themeColor="text1"/>
          <w:sz w:val="24"/>
          <w:szCs w:val="24"/>
        </w:rPr>
        <w:t>, to reach</w:t>
      </w:r>
      <w:r w:rsidRPr="0035304E">
        <w:rPr>
          <w:rFonts w:eastAsia="Arial"/>
          <w:color w:val="000000" w:themeColor="text1"/>
          <w:sz w:val="24"/>
          <w:szCs w:val="24"/>
        </w:rPr>
        <w:t xml:space="preserve"> TRL 6</w:t>
      </w:r>
      <w:r w:rsidR="5DBD7D3A" w:rsidRPr="65F55F53">
        <w:rPr>
          <w:rFonts w:eastAsia="Arial"/>
          <w:color w:val="000000" w:themeColor="text1"/>
          <w:sz w:val="24"/>
          <w:szCs w:val="24"/>
        </w:rPr>
        <w:t xml:space="preserve"> by the end of the agreement</w:t>
      </w:r>
      <w:r w:rsidRPr="0035304E">
        <w:rPr>
          <w:rFonts w:eastAsia="Arial"/>
          <w:color w:val="000000" w:themeColor="text1"/>
          <w:sz w:val="24"/>
          <w:szCs w:val="24"/>
        </w:rPr>
        <w:t xml:space="preserve">. While system integration and packaging may be included as necessary to validate performance, the primary emphasis is on advancing sensing capability and performance in a cost-accessible </w:t>
      </w:r>
      <w:r w:rsidR="00DF6DBD" w:rsidRPr="0035304E">
        <w:rPr>
          <w:rFonts w:eastAsia="Arial"/>
          <w:color w:val="000000" w:themeColor="text1"/>
          <w:sz w:val="24"/>
          <w:szCs w:val="24"/>
        </w:rPr>
        <w:t xml:space="preserve">way </w:t>
      </w:r>
      <w:r w:rsidRPr="0035304E">
        <w:rPr>
          <w:rFonts w:eastAsia="Arial"/>
          <w:color w:val="000000" w:themeColor="text1"/>
          <w:sz w:val="24"/>
          <w:szCs w:val="24"/>
        </w:rPr>
        <w:t>rather than developing regulatory-grade monitoring instruments.</w:t>
      </w:r>
    </w:p>
    <w:p w14:paraId="6EBEB349" w14:textId="77777777" w:rsidR="003618E2" w:rsidRPr="0035304E" w:rsidRDefault="003618E2" w:rsidP="003618E2">
      <w:pPr>
        <w:ind w:left="720"/>
        <w:rPr>
          <w:rFonts w:eastAsia="Arial"/>
          <w:b/>
          <w:color w:val="000000" w:themeColor="text1"/>
          <w:sz w:val="24"/>
          <w:szCs w:val="24"/>
        </w:rPr>
      </w:pPr>
    </w:p>
    <w:p w14:paraId="51057D9E" w14:textId="12576E0C" w:rsidR="008D5539" w:rsidRPr="0035304E" w:rsidRDefault="00CD7314" w:rsidP="008D5539">
      <w:pPr>
        <w:ind w:left="720" w:hanging="720"/>
        <w:rPr>
          <w:rFonts w:eastAsia="Arial"/>
          <w:b/>
          <w:color w:val="000000" w:themeColor="text1"/>
          <w:sz w:val="24"/>
          <w:szCs w:val="24"/>
        </w:rPr>
      </w:pPr>
      <w:r w:rsidRPr="0035304E">
        <w:rPr>
          <w:rFonts w:eastAsia="Arial"/>
          <w:b/>
          <w:color w:val="000000" w:themeColor="text1"/>
          <w:sz w:val="24"/>
          <w:szCs w:val="24"/>
        </w:rPr>
        <w:t>Q32</w:t>
      </w:r>
      <w:r w:rsidR="008D5539" w:rsidRPr="0035304E">
        <w:rPr>
          <w:rFonts w:eastAsia="Arial"/>
          <w:b/>
          <w:color w:val="000000" w:themeColor="text1"/>
          <w:sz w:val="24"/>
          <w:szCs w:val="24"/>
        </w:rPr>
        <w:t xml:space="preserve">:   </w:t>
      </w:r>
      <w:r w:rsidR="00AD66D9" w:rsidRPr="0035304E">
        <w:rPr>
          <w:rFonts w:eastAsia="Arial"/>
          <w:b/>
          <w:color w:val="000000" w:themeColor="text1"/>
          <w:sz w:val="24"/>
          <w:szCs w:val="24"/>
        </w:rPr>
        <w:t xml:space="preserve">In Group 1, </w:t>
      </w:r>
      <w:r w:rsidR="001A7A23" w:rsidRPr="0035304E">
        <w:rPr>
          <w:rFonts w:eastAsia="Arial"/>
          <w:b/>
          <w:color w:val="000000" w:themeColor="text1"/>
          <w:sz w:val="24"/>
          <w:szCs w:val="24"/>
        </w:rPr>
        <w:t xml:space="preserve">for </w:t>
      </w:r>
      <w:r w:rsidR="00AD66D9" w:rsidRPr="0035304E">
        <w:rPr>
          <w:rFonts w:eastAsia="Arial"/>
          <w:b/>
          <w:color w:val="000000" w:themeColor="text1"/>
          <w:sz w:val="24"/>
          <w:szCs w:val="24"/>
        </w:rPr>
        <w:t>the third requirement</w:t>
      </w:r>
      <w:r w:rsidR="001A7A23" w:rsidRPr="0035304E">
        <w:rPr>
          <w:rFonts w:eastAsia="Arial"/>
          <w:b/>
          <w:color w:val="000000" w:themeColor="text1"/>
          <w:sz w:val="24"/>
          <w:szCs w:val="24"/>
        </w:rPr>
        <w:t xml:space="preserve">, </w:t>
      </w:r>
      <w:r w:rsidR="00AA6914" w:rsidRPr="0035304E">
        <w:rPr>
          <w:rFonts w:eastAsia="Arial"/>
          <w:b/>
          <w:color w:val="000000" w:themeColor="text1"/>
          <w:sz w:val="24"/>
          <w:szCs w:val="24"/>
        </w:rPr>
        <w:t xml:space="preserve">is the intent of the energy transition scenario component to apply the new or improved air quality model to outputs of existing CEC energy transition scenarios, or to produce novel scenarios of the identified clean energy transitions as part of the analysis? If developing new scenarios, is coupling with other models or tools within the anticipated scope of </w:t>
      </w:r>
      <w:r w:rsidR="00D064D1" w:rsidRPr="0035304E">
        <w:rPr>
          <w:rFonts w:eastAsia="Arial"/>
          <w:b/>
          <w:color w:val="000000" w:themeColor="text1"/>
          <w:sz w:val="24"/>
          <w:szCs w:val="24"/>
        </w:rPr>
        <w:t xml:space="preserve">the </w:t>
      </w:r>
      <w:r w:rsidR="00567D72" w:rsidRPr="0035304E">
        <w:rPr>
          <w:rFonts w:eastAsia="Arial"/>
          <w:b/>
          <w:color w:val="000000" w:themeColor="text1"/>
          <w:sz w:val="24"/>
          <w:szCs w:val="24"/>
        </w:rPr>
        <w:t>third requirement</w:t>
      </w:r>
      <w:r w:rsidR="00AA6914" w:rsidRPr="0035304E">
        <w:rPr>
          <w:rFonts w:eastAsia="Arial"/>
          <w:b/>
          <w:color w:val="000000" w:themeColor="text1"/>
          <w:sz w:val="24"/>
          <w:szCs w:val="24"/>
        </w:rPr>
        <w:t>?</w:t>
      </w:r>
    </w:p>
    <w:p w14:paraId="220A9A5E" w14:textId="3C5DFA11" w:rsidR="002D36DA" w:rsidRPr="0035304E" w:rsidRDefault="00CD7314" w:rsidP="002D36DA">
      <w:pPr>
        <w:ind w:left="720" w:hanging="720"/>
        <w:rPr>
          <w:rFonts w:eastAsia="Arial"/>
          <w:color w:val="000000" w:themeColor="text1"/>
          <w:sz w:val="24"/>
          <w:szCs w:val="24"/>
        </w:rPr>
      </w:pPr>
      <w:r w:rsidRPr="0035304E">
        <w:rPr>
          <w:rFonts w:eastAsia="Arial"/>
          <w:b/>
          <w:color w:val="000000" w:themeColor="text1"/>
          <w:sz w:val="24"/>
          <w:szCs w:val="24"/>
        </w:rPr>
        <w:t>A32</w:t>
      </w:r>
      <w:r w:rsidR="0082211C" w:rsidRPr="0035304E">
        <w:rPr>
          <w:rFonts w:eastAsia="Arial"/>
          <w:b/>
          <w:color w:val="000000" w:themeColor="text1"/>
          <w:sz w:val="24"/>
          <w:szCs w:val="24"/>
        </w:rPr>
        <w:t>:</w:t>
      </w:r>
      <w:r w:rsidR="0082211C">
        <w:rPr>
          <w:rFonts w:eastAsiaTheme="minorEastAsia"/>
        </w:rPr>
        <w:tab/>
      </w:r>
      <w:r w:rsidR="002D36DA" w:rsidRPr="0035304E">
        <w:rPr>
          <w:rFonts w:eastAsia="Arial"/>
          <w:color w:val="000000" w:themeColor="text1"/>
          <w:sz w:val="24"/>
          <w:szCs w:val="24"/>
        </w:rPr>
        <w:t>As stated in Section I.C., Group 1 requirements, applicants must “quantify air quality and health impacts of clean energy transitions in California.” Therefore, regardless of the scenario source, all analyses must be focused on California-specific conditions, policies, and energy system characteristics.</w:t>
      </w:r>
    </w:p>
    <w:p w14:paraId="0FA73FDF" w14:textId="4BDF8014" w:rsidR="002D36DA" w:rsidRPr="0035304E" w:rsidRDefault="002D36DA" w:rsidP="002D36DA">
      <w:pPr>
        <w:ind w:left="720"/>
        <w:rPr>
          <w:rFonts w:eastAsia="Arial"/>
          <w:color w:val="000000" w:themeColor="text1"/>
          <w:sz w:val="24"/>
          <w:szCs w:val="24"/>
        </w:rPr>
      </w:pPr>
      <w:r w:rsidRPr="0035304E">
        <w:rPr>
          <w:rFonts w:eastAsia="Arial"/>
          <w:color w:val="000000" w:themeColor="text1"/>
          <w:sz w:val="24"/>
          <w:szCs w:val="24"/>
        </w:rPr>
        <w:t xml:space="preserve">Applicants may use outputs from existing energy transition scenarios—whether developed by the CEC or other entities—or may propose development of new or modified scenarios. Scenario sources may vary; however, the scenarios must be clearly justified, policy-relevant, and directly applicable to California. The proposal should explain underlying assumptions, data sources, and how the </w:t>
      </w:r>
      <w:r w:rsidRPr="0035304E">
        <w:rPr>
          <w:rFonts w:eastAsia="Arial"/>
          <w:color w:val="000000" w:themeColor="text1"/>
          <w:sz w:val="24"/>
          <w:szCs w:val="24"/>
        </w:rPr>
        <w:lastRenderedPageBreak/>
        <w:t>scenarios align with the required policy-relevant analyses (e.g., S</w:t>
      </w:r>
      <w:r w:rsidR="00F917CC" w:rsidRPr="0035304E">
        <w:rPr>
          <w:rFonts w:eastAsia="Arial"/>
          <w:color w:val="000000" w:themeColor="text1"/>
          <w:sz w:val="24"/>
          <w:szCs w:val="24"/>
        </w:rPr>
        <w:t xml:space="preserve">enate </w:t>
      </w:r>
      <w:r w:rsidRPr="0035304E">
        <w:rPr>
          <w:rFonts w:eastAsia="Arial"/>
          <w:color w:val="000000" w:themeColor="text1"/>
          <w:sz w:val="24"/>
          <w:szCs w:val="24"/>
        </w:rPr>
        <w:t>B</w:t>
      </w:r>
      <w:r w:rsidR="00F917CC" w:rsidRPr="0035304E">
        <w:rPr>
          <w:rFonts w:eastAsia="Arial"/>
          <w:color w:val="000000" w:themeColor="text1"/>
          <w:sz w:val="24"/>
          <w:szCs w:val="24"/>
        </w:rPr>
        <w:t>ill</w:t>
      </w:r>
      <w:r w:rsidRPr="0035304E">
        <w:rPr>
          <w:rFonts w:eastAsia="Arial"/>
          <w:color w:val="000000" w:themeColor="text1"/>
          <w:sz w:val="24"/>
          <w:szCs w:val="24"/>
        </w:rPr>
        <w:t xml:space="preserve"> 100 implementation, building electrification, transportation electrification). </w:t>
      </w:r>
    </w:p>
    <w:p w14:paraId="5AFE7D81" w14:textId="4186561B" w:rsidR="004C2A27" w:rsidRPr="0035304E" w:rsidRDefault="004C2A27" w:rsidP="002D36DA">
      <w:pPr>
        <w:ind w:left="720"/>
        <w:rPr>
          <w:rFonts w:eastAsia="Arial"/>
          <w:color w:val="000000" w:themeColor="text1"/>
          <w:sz w:val="24"/>
          <w:szCs w:val="24"/>
        </w:rPr>
      </w:pPr>
      <w:r w:rsidRPr="0035304E">
        <w:rPr>
          <w:rFonts w:eastAsia="Arial"/>
          <w:color w:val="000000" w:themeColor="text1"/>
          <w:sz w:val="24"/>
          <w:szCs w:val="24"/>
        </w:rPr>
        <w:t>Coupling with other models or analytical tools is permissible within</w:t>
      </w:r>
      <w:r w:rsidR="00DF295C" w:rsidRPr="0035304E">
        <w:rPr>
          <w:rFonts w:eastAsia="Arial"/>
          <w:color w:val="000000" w:themeColor="text1"/>
          <w:sz w:val="24"/>
          <w:szCs w:val="24"/>
        </w:rPr>
        <w:t xml:space="preserve"> the</w:t>
      </w:r>
      <w:r w:rsidRPr="0035304E">
        <w:rPr>
          <w:rFonts w:eastAsia="Arial"/>
          <w:color w:val="000000" w:themeColor="text1"/>
          <w:sz w:val="24"/>
          <w:szCs w:val="24"/>
        </w:rPr>
        <w:t xml:space="preserve"> </w:t>
      </w:r>
      <w:r w:rsidR="002C471B" w:rsidRPr="0035304E">
        <w:rPr>
          <w:rFonts w:eastAsia="Arial"/>
          <w:color w:val="000000" w:themeColor="text1"/>
          <w:sz w:val="24"/>
          <w:szCs w:val="24"/>
        </w:rPr>
        <w:t xml:space="preserve">third </w:t>
      </w:r>
      <w:r w:rsidR="00585496" w:rsidRPr="0035304E">
        <w:rPr>
          <w:rFonts w:eastAsia="Arial"/>
          <w:color w:val="000000" w:themeColor="text1"/>
          <w:sz w:val="24"/>
          <w:szCs w:val="24"/>
        </w:rPr>
        <w:t>r</w:t>
      </w:r>
      <w:r w:rsidR="002C471B" w:rsidRPr="0035304E">
        <w:rPr>
          <w:rFonts w:eastAsia="Arial"/>
          <w:color w:val="000000" w:themeColor="text1"/>
          <w:sz w:val="24"/>
          <w:szCs w:val="24"/>
        </w:rPr>
        <w:t>equirement</w:t>
      </w:r>
      <w:r w:rsidRPr="0035304E">
        <w:rPr>
          <w:rFonts w:eastAsia="Arial"/>
          <w:color w:val="000000" w:themeColor="text1"/>
          <w:sz w:val="24"/>
          <w:szCs w:val="24"/>
        </w:rPr>
        <w:t xml:space="preserve"> if it supports the required analyses and remains within the overall project scope and budget. Examples may include:</w:t>
      </w:r>
    </w:p>
    <w:p w14:paraId="3C1DE5AB" w14:textId="77777777" w:rsidR="004C2A27" w:rsidRPr="0035304E" w:rsidRDefault="004C2A27" w:rsidP="004C2A27">
      <w:pPr>
        <w:pStyle w:val="ListParagraph"/>
        <w:numPr>
          <w:ilvl w:val="0"/>
          <w:numId w:val="14"/>
        </w:numPr>
        <w:rPr>
          <w:rFonts w:eastAsia="Arial"/>
          <w:color w:val="000000" w:themeColor="text1"/>
          <w:sz w:val="24"/>
          <w:szCs w:val="24"/>
        </w:rPr>
      </w:pPr>
      <w:r w:rsidRPr="0035304E">
        <w:rPr>
          <w:rFonts w:eastAsia="Arial"/>
          <w:color w:val="000000" w:themeColor="text1"/>
          <w:sz w:val="24"/>
          <w:szCs w:val="24"/>
        </w:rPr>
        <w:t xml:space="preserve">Using outputs from energy system models to generate emissions inputs for air quality </w:t>
      </w:r>
      <w:proofErr w:type="gramStart"/>
      <w:r w:rsidRPr="0035304E">
        <w:rPr>
          <w:rFonts w:eastAsia="Arial"/>
          <w:color w:val="000000" w:themeColor="text1"/>
          <w:sz w:val="24"/>
          <w:szCs w:val="24"/>
        </w:rPr>
        <w:t>modeling;</w:t>
      </w:r>
      <w:proofErr w:type="gramEnd"/>
    </w:p>
    <w:p w14:paraId="5786AC65" w14:textId="77777777" w:rsidR="004C2A27" w:rsidRPr="0035304E" w:rsidRDefault="004C2A27" w:rsidP="004C2A27">
      <w:pPr>
        <w:pStyle w:val="ListParagraph"/>
        <w:numPr>
          <w:ilvl w:val="0"/>
          <w:numId w:val="14"/>
        </w:numPr>
        <w:rPr>
          <w:rFonts w:eastAsia="Arial"/>
          <w:color w:val="000000" w:themeColor="text1"/>
          <w:sz w:val="24"/>
          <w:szCs w:val="24"/>
        </w:rPr>
      </w:pPr>
      <w:r w:rsidRPr="0035304E">
        <w:rPr>
          <w:rFonts w:eastAsia="Arial"/>
          <w:color w:val="000000" w:themeColor="text1"/>
          <w:sz w:val="24"/>
          <w:szCs w:val="24"/>
        </w:rPr>
        <w:t xml:space="preserve">Conducting sensitivity analyses to evaluate different electrification adoption rates or infrastructure deployment </w:t>
      </w:r>
      <w:proofErr w:type="gramStart"/>
      <w:r w:rsidRPr="0035304E">
        <w:rPr>
          <w:rFonts w:eastAsia="Arial"/>
          <w:color w:val="000000" w:themeColor="text1"/>
          <w:sz w:val="24"/>
          <w:szCs w:val="24"/>
        </w:rPr>
        <w:t>pathways;</w:t>
      </w:r>
      <w:proofErr w:type="gramEnd"/>
    </w:p>
    <w:p w14:paraId="19FA5BBD" w14:textId="6453DC87" w:rsidR="004C2A27" w:rsidRPr="0035304E" w:rsidRDefault="004C2A27" w:rsidP="004C2A27">
      <w:pPr>
        <w:pStyle w:val="ListParagraph"/>
        <w:numPr>
          <w:ilvl w:val="0"/>
          <w:numId w:val="14"/>
        </w:numPr>
        <w:rPr>
          <w:rFonts w:eastAsia="Arial"/>
          <w:color w:val="000000" w:themeColor="text1"/>
          <w:sz w:val="24"/>
          <w:szCs w:val="24"/>
        </w:rPr>
      </w:pPr>
      <w:r w:rsidRPr="0035304E">
        <w:rPr>
          <w:rFonts w:eastAsia="Arial"/>
          <w:color w:val="000000" w:themeColor="text1"/>
          <w:sz w:val="24"/>
          <w:szCs w:val="24"/>
        </w:rPr>
        <w:t>Comparing or validating model outputs against other established models;</w:t>
      </w:r>
      <w:r w:rsidR="6A33066E" w:rsidRPr="65F55F53">
        <w:rPr>
          <w:rFonts w:eastAsia="Arial"/>
          <w:color w:val="000000" w:themeColor="text1"/>
          <w:sz w:val="24"/>
          <w:szCs w:val="24"/>
        </w:rPr>
        <w:t xml:space="preserve"> and</w:t>
      </w:r>
    </w:p>
    <w:p w14:paraId="60F67ADC" w14:textId="77777777" w:rsidR="004C2A27" w:rsidRPr="0035304E" w:rsidRDefault="004C2A27" w:rsidP="004C2A27">
      <w:pPr>
        <w:pStyle w:val="ListParagraph"/>
        <w:numPr>
          <w:ilvl w:val="0"/>
          <w:numId w:val="14"/>
        </w:numPr>
        <w:rPr>
          <w:rFonts w:eastAsia="Arial"/>
          <w:color w:val="000000" w:themeColor="text1"/>
          <w:sz w:val="24"/>
          <w:szCs w:val="24"/>
        </w:rPr>
      </w:pPr>
      <w:r w:rsidRPr="0035304E">
        <w:rPr>
          <w:rFonts w:eastAsia="Arial"/>
          <w:color w:val="000000" w:themeColor="text1"/>
          <w:sz w:val="24"/>
          <w:szCs w:val="24"/>
        </w:rPr>
        <w:t>Linking to health impact assessment tools for monetization analyses.</w:t>
      </w:r>
    </w:p>
    <w:p w14:paraId="51D1DC43" w14:textId="226D0AAF" w:rsidR="008D5539" w:rsidRPr="0035304E" w:rsidRDefault="00D87AB5" w:rsidP="00D87AB5">
      <w:pPr>
        <w:ind w:left="720"/>
        <w:rPr>
          <w:rFonts w:eastAsia="Arial"/>
          <w:color w:val="000000" w:themeColor="text1"/>
          <w:sz w:val="24"/>
          <w:szCs w:val="24"/>
        </w:rPr>
      </w:pPr>
      <w:r w:rsidRPr="0035304E">
        <w:rPr>
          <w:rFonts w:eastAsia="Arial"/>
          <w:color w:val="000000" w:themeColor="text1"/>
          <w:sz w:val="24"/>
          <w:szCs w:val="24"/>
        </w:rPr>
        <w:t>Applicants must clearly describe any proposed model integration and demonstrate feasibility within the proposed budget and timeline.</w:t>
      </w:r>
    </w:p>
    <w:p w14:paraId="424DAA1F" w14:textId="77777777" w:rsidR="00D87AB5" w:rsidRPr="0035304E" w:rsidRDefault="00D87AB5" w:rsidP="00D87AB5">
      <w:pPr>
        <w:ind w:left="720"/>
        <w:rPr>
          <w:rFonts w:eastAsia="Arial"/>
          <w:b/>
          <w:color w:val="000000" w:themeColor="text1"/>
          <w:sz w:val="24"/>
          <w:szCs w:val="24"/>
        </w:rPr>
      </w:pPr>
    </w:p>
    <w:p w14:paraId="780AE874" w14:textId="5B3420D2" w:rsidR="008D5539" w:rsidRPr="0035304E" w:rsidRDefault="00CD7314" w:rsidP="008D5539">
      <w:pPr>
        <w:ind w:left="720" w:hanging="720"/>
        <w:rPr>
          <w:rFonts w:eastAsia="Arial"/>
          <w:b/>
          <w:color w:val="000000" w:themeColor="text1"/>
          <w:sz w:val="24"/>
          <w:szCs w:val="24"/>
        </w:rPr>
      </w:pPr>
      <w:r w:rsidRPr="0035304E">
        <w:rPr>
          <w:rFonts w:eastAsia="Arial"/>
          <w:b/>
          <w:color w:val="000000" w:themeColor="text1"/>
          <w:sz w:val="24"/>
          <w:szCs w:val="24"/>
        </w:rPr>
        <w:t>Q33</w:t>
      </w:r>
      <w:r w:rsidR="008D5539" w:rsidRPr="0035304E">
        <w:rPr>
          <w:rFonts w:eastAsia="Arial"/>
          <w:b/>
          <w:color w:val="000000" w:themeColor="text1"/>
          <w:sz w:val="24"/>
          <w:szCs w:val="24"/>
        </w:rPr>
        <w:t>:</w:t>
      </w:r>
      <w:r w:rsidR="008D5539">
        <w:rPr>
          <w:rFonts w:eastAsiaTheme="minorEastAsia"/>
        </w:rPr>
        <w:tab/>
      </w:r>
      <w:r w:rsidR="00090AC1" w:rsidRPr="0035304E">
        <w:rPr>
          <w:rFonts w:eastAsia="Arial"/>
          <w:b/>
          <w:color w:val="000000" w:themeColor="text1"/>
          <w:sz w:val="24"/>
          <w:szCs w:val="24"/>
        </w:rPr>
        <w:t xml:space="preserve">Are the monetized impacts included in the spatial tool expected to be only the “monetized health impacts or benefits” directly listed in </w:t>
      </w:r>
      <w:r w:rsidR="00AB1D45" w:rsidRPr="0035304E">
        <w:rPr>
          <w:rFonts w:eastAsia="Arial"/>
          <w:b/>
          <w:color w:val="000000" w:themeColor="text1"/>
          <w:sz w:val="24"/>
          <w:szCs w:val="24"/>
        </w:rPr>
        <w:t xml:space="preserve">the </w:t>
      </w:r>
      <w:r w:rsidR="00090AC1" w:rsidRPr="0035304E">
        <w:rPr>
          <w:rFonts w:eastAsia="Arial"/>
          <w:b/>
          <w:color w:val="000000" w:themeColor="text1"/>
          <w:sz w:val="24"/>
          <w:szCs w:val="24"/>
        </w:rPr>
        <w:t xml:space="preserve">fourth requirement of Group 1, or should they also include the monetized net costs of home electrification described in </w:t>
      </w:r>
      <w:r w:rsidR="00F31B46" w:rsidRPr="0035304E">
        <w:rPr>
          <w:rFonts w:eastAsia="Arial"/>
          <w:b/>
          <w:color w:val="000000" w:themeColor="text1"/>
          <w:sz w:val="24"/>
          <w:szCs w:val="24"/>
        </w:rPr>
        <w:t>requirement 3.f.</w:t>
      </w:r>
      <w:r w:rsidR="00090AC1" w:rsidRPr="0035304E">
        <w:rPr>
          <w:rFonts w:eastAsia="Arial"/>
          <w:b/>
          <w:color w:val="000000" w:themeColor="text1"/>
          <w:sz w:val="24"/>
          <w:szCs w:val="24"/>
        </w:rPr>
        <w:t>?</w:t>
      </w:r>
    </w:p>
    <w:p w14:paraId="546E2856" w14:textId="786A96BB" w:rsidR="00593417" w:rsidRPr="0035304E" w:rsidRDefault="00CD7314" w:rsidP="00593417">
      <w:pPr>
        <w:ind w:left="720" w:hanging="720"/>
        <w:rPr>
          <w:rFonts w:eastAsia="Arial"/>
          <w:color w:val="000000" w:themeColor="text1"/>
          <w:sz w:val="24"/>
          <w:szCs w:val="24"/>
        </w:rPr>
      </w:pPr>
      <w:r w:rsidRPr="0035304E">
        <w:rPr>
          <w:rFonts w:eastAsia="Arial"/>
          <w:b/>
          <w:color w:val="000000" w:themeColor="text1"/>
          <w:sz w:val="24"/>
          <w:szCs w:val="24"/>
        </w:rPr>
        <w:t>A33</w:t>
      </w:r>
      <w:r w:rsidR="002707ED" w:rsidRPr="0035304E">
        <w:rPr>
          <w:rFonts w:eastAsia="Arial"/>
          <w:b/>
          <w:color w:val="000000" w:themeColor="text1"/>
          <w:sz w:val="24"/>
          <w:szCs w:val="24"/>
        </w:rPr>
        <w:t>:</w:t>
      </w:r>
      <w:r w:rsidR="002707ED">
        <w:rPr>
          <w:rFonts w:eastAsiaTheme="minorEastAsia"/>
        </w:rPr>
        <w:tab/>
      </w:r>
      <w:r w:rsidR="00593417" w:rsidRPr="0035304E">
        <w:rPr>
          <w:rFonts w:eastAsia="Arial"/>
          <w:color w:val="000000" w:themeColor="text1"/>
          <w:sz w:val="24"/>
          <w:szCs w:val="24"/>
        </w:rPr>
        <w:t xml:space="preserve">At a minimum, </w:t>
      </w:r>
      <w:r w:rsidR="001C2E31" w:rsidRPr="0035304E">
        <w:rPr>
          <w:rFonts w:eastAsia="Arial"/>
          <w:color w:val="000000" w:themeColor="text1"/>
          <w:sz w:val="24"/>
          <w:szCs w:val="24"/>
        </w:rPr>
        <w:t xml:space="preserve">the </w:t>
      </w:r>
      <w:r w:rsidR="002A4CA1" w:rsidRPr="0035304E">
        <w:rPr>
          <w:rFonts w:eastAsia="Arial"/>
          <w:color w:val="000000" w:themeColor="text1"/>
          <w:sz w:val="24"/>
          <w:szCs w:val="24"/>
        </w:rPr>
        <w:t>fourth requirement</w:t>
      </w:r>
      <w:r w:rsidR="00593417" w:rsidRPr="0035304E">
        <w:rPr>
          <w:rFonts w:eastAsia="Arial"/>
          <w:color w:val="000000" w:themeColor="text1"/>
          <w:sz w:val="24"/>
          <w:szCs w:val="24"/>
        </w:rPr>
        <w:t xml:space="preserve"> </w:t>
      </w:r>
      <w:r w:rsidR="003A3595" w:rsidRPr="0035304E">
        <w:rPr>
          <w:rFonts w:eastAsia="Arial"/>
          <w:color w:val="000000" w:themeColor="text1"/>
          <w:sz w:val="24"/>
          <w:szCs w:val="24"/>
        </w:rPr>
        <w:t xml:space="preserve">of Group 1 </w:t>
      </w:r>
      <w:r w:rsidR="00593417" w:rsidRPr="0035304E">
        <w:rPr>
          <w:rFonts w:eastAsia="Arial"/>
          <w:color w:val="000000" w:themeColor="text1"/>
          <w:sz w:val="24"/>
          <w:szCs w:val="24"/>
        </w:rPr>
        <w:t>requires that the high-resolution spatial tool include estimates of air-quality-related health endpoints and monetized health impacts or benefits, as explicitly described in</w:t>
      </w:r>
      <w:r w:rsidR="003749F6" w:rsidRPr="0035304E">
        <w:rPr>
          <w:rFonts w:eastAsia="Arial"/>
          <w:color w:val="000000" w:themeColor="text1"/>
          <w:sz w:val="24"/>
          <w:szCs w:val="24"/>
        </w:rPr>
        <w:t xml:space="preserve"> the</w:t>
      </w:r>
      <w:r w:rsidR="00593417" w:rsidRPr="0035304E">
        <w:rPr>
          <w:rFonts w:eastAsia="Arial"/>
          <w:color w:val="000000" w:themeColor="text1"/>
          <w:sz w:val="24"/>
          <w:szCs w:val="24"/>
        </w:rPr>
        <w:t xml:space="preserve"> </w:t>
      </w:r>
      <w:r w:rsidR="00F56FDD" w:rsidRPr="0035304E">
        <w:rPr>
          <w:rFonts w:eastAsia="Arial"/>
          <w:color w:val="000000" w:themeColor="text1"/>
          <w:sz w:val="24"/>
          <w:szCs w:val="24"/>
        </w:rPr>
        <w:t xml:space="preserve">fourth requirement in </w:t>
      </w:r>
      <w:proofErr w:type="gramStart"/>
      <w:r w:rsidR="00F56FDD" w:rsidRPr="0035304E">
        <w:rPr>
          <w:rFonts w:eastAsia="Arial"/>
          <w:color w:val="000000" w:themeColor="text1"/>
          <w:sz w:val="24"/>
          <w:szCs w:val="24"/>
        </w:rPr>
        <w:t xml:space="preserve">the </w:t>
      </w:r>
      <w:r w:rsidR="00593417" w:rsidRPr="0035304E">
        <w:rPr>
          <w:rFonts w:eastAsia="Arial"/>
          <w:color w:val="000000" w:themeColor="text1"/>
          <w:sz w:val="24"/>
          <w:szCs w:val="24"/>
        </w:rPr>
        <w:t>Section</w:t>
      </w:r>
      <w:proofErr w:type="gramEnd"/>
      <w:r w:rsidR="00593417" w:rsidRPr="0035304E">
        <w:rPr>
          <w:rFonts w:eastAsia="Arial"/>
          <w:color w:val="000000" w:themeColor="text1"/>
          <w:sz w:val="24"/>
          <w:szCs w:val="24"/>
        </w:rPr>
        <w:t xml:space="preserve"> I.C., Group 1</w:t>
      </w:r>
      <w:r w:rsidR="00F56FDD" w:rsidRPr="0035304E">
        <w:rPr>
          <w:rFonts w:eastAsia="Arial"/>
          <w:color w:val="000000" w:themeColor="text1"/>
          <w:sz w:val="24"/>
          <w:szCs w:val="24"/>
        </w:rPr>
        <w:t xml:space="preserve">. </w:t>
      </w:r>
    </w:p>
    <w:p w14:paraId="3C885C46" w14:textId="7B95F0E4" w:rsidR="00593417" w:rsidRPr="0035304E" w:rsidRDefault="00F21B39" w:rsidP="00593417">
      <w:pPr>
        <w:ind w:left="720"/>
        <w:rPr>
          <w:rFonts w:eastAsia="Arial"/>
          <w:color w:val="000000" w:themeColor="text1"/>
          <w:sz w:val="24"/>
          <w:szCs w:val="24"/>
        </w:rPr>
      </w:pPr>
      <w:r w:rsidRPr="0035304E">
        <w:rPr>
          <w:rFonts w:eastAsia="Arial"/>
          <w:color w:val="000000" w:themeColor="text1"/>
          <w:sz w:val="24"/>
          <w:szCs w:val="24"/>
        </w:rPr>
        <w:t xml:space="preserve">Requirement </w:t>
      </w:r>
      <w:r w:rsidR="00593417" w:rsidRPr="0035304E">
        <w:rPr>
          <w:rFonts w:eastAsia="Arial"/>
          <w:color w:val="000000" w:themeColor="text1"/>
          <w:sz w:val="24"/>
          <w:szCs w:val="24"/>
        </w:rPr>
        <w:t>3.f separately requires applicants to develop preliminary estimates that monetize the net costs of home electrification, including non-energy impacts. While monetized net costs of home electrification are not explicitly required to be incorporated into the spatial tool under</w:t>
      </w:r>
      <w:r w:rsidR="001B5D33" w:rsidRPr="0035304E">
        <w:rPr>
          <w:rFonts w:eastAsia="Arial"/>
          <w:color w:val="000000" w:themeColor="text1"/>
          <w:sz w:val="24"/>
          <w:szCs w:val="24"/>
        </w:rPr>
        <w:t xml:space="preserve"> the</w:t>
      </w:r>
      <w:r w:rsidR="00593417" w:rsidRPr="0035304E">
        <w:rPr>
          <w:rFonts w:eastAsia="Arial"/>
          <w:color w:val="000000" w:themeColor="text1"/>
          <w:sz w:val="24"/>
          <w:szCs w:val="24"/>
        </w:rPr>
        <w:t xml:space="preserve"> </w:t>
      </w:r>
      <w:r w:rsidRPr="0035304E">
        <w:rPr>
          <w:rFonts w:eastAsia="Arial"/>
          <w:color w:val="000000" w:themeColor="text1"/>
          <w:sz w:val="24"/>
          <w:szCs w:val="24"/>
        </w:rPr>
        <w:t>fourth requirement</w:t>
      </w:r>
      <w:r w:rsidR="00593417" w:rsidRPr="0035304E">
        <w:rPr>
          <w:rFonts w:eastAsia="Arial"/>
          <w:color w:val="000000" w:themeColor="text1"/>
          <w:sz w:val="24"/>
          <w:szCs w:val="24"/>
        </w:rPr>
        <w:t>, applicants may propose to integrate these analyses into the tool if consistent with their overall project design.</w:t>
      </w:r>
    </w:p>
    <w:p w14:paraId="0CD4022A" w14:textId="7716D78A" w:rsidR="002707ED" w:rsidRPr="0035304E" w:rsidRDefault="00593417" w:rsidP="00593417">
      <w:pPr>
        <w:ind w:left="720"/>
        <w:rPr>
          <w:rFonts w:eastAsia="Arial"/>
          <w:b/>
          <w:color w:val="000000" w:themeColor="text1"/>
          <w:sz w:val="24"/>
          <w:szCs w:val="24"/>
        </w:rPr>
      </w:pPr>
      <w:r w:rsidRPr="0035304E">
        <w:rPr>
          <w:rFonts w:eastAsia="Arial"/>
          <w:color w:val="000000" w:themeColor="text1"/>
          <w:sz w:val="24"/>
          <w:szCs w:val="24"/>
        </w:rPr>
        <w:t xml:space="preserve">In summary, the spatial tool must, at a minimum, present monetized air-quality-related health impacts or benefits. Inclusion of monetized net electrification costs described in </w:t>
      </w:r>
      <w:r w:rsidR="00F56FDD" w:rsidRPr="0035304E">
        <w:rPr>
          <w:rFonts w:eastAsia="Arial"/>
          <w:color w:val="000000" w:themeColor="text1"/>
          <w:sz w:val="24"/>
          <w:szCs w:val="24"/>
        </w:rPr>
        <w:t xml:space="preserve">Requirement </w:t>
      </w:r>
      <w:r w:rsidRPr="0035304E">
        <w:rPr>
          <w:rFonts w:eastAsia="Arial"/>
          <w:color w:val="000000" w:themeColor="text1"/>
          <w:sz w:val="24"/>
          <w:szCs w:val="24"/>
        </w:rPr>
        <w:t xml:space="preserve">3.f is permissible and may strengthen integration across tasks, but </w:t>
      </w:r>
      <w:r w:rsidR="00D03CF7" w:rsidRPr="0035304E">
        <w:rPr>
          <w:rFonts w:eastAsia="Arial"/>
          <w:color w:val="000000" w:themeColor="text1"/>
          <w:sz w:val="24"/>
          <w:szCs w:val="24"/>
        </w:rPr>
        <w:t>it is not required. All proposal elements must be</w:t>
      </w:r>
      <w:r w:rsidRPr="0035304E">
        <w:rPr>
          <w:rFonts w:eastAsia="Arial"/>
          <w:color w:val="000000" w:themeColor="text1"/>
          <w:sz w:val="24"/>
          <w:szCs w:val="24"/>
        </w:rPr>
        <w:t xml:space="preserve"> clearly justified within the scope and budget.</w:t>
      </w:r>
    </w:p>
    <w:p w14:paraId="35E45EEF" w14:textId="77777777" w:rsidR="00305296" w:rsidRPr="0035304E" w:rsidRDefault="00305296" w:rsidP="008D5539">
      <w:pPr>
        <w:ind w:left="720" w:hanging="720"/>
        <w:rPr>
          <w:rFonts w:eastAsia="Arial"/>
          <w:b/>
          <w:color w:val="000000" w:themeColor="text1"/>
          <w:sz w:val="24"/>
          <w:szCs w:val="24"/>
        </w:rPr>
      </w:pPr>
    </w:p>
    <w:p w14:paraId="414DD539" w14:textId="53DE0EA2" w:rsidR="00305296" w:rsidRPr="0035304E" w:rsidRDefault="00CD7314" w:rsidP="008D5539">
      <w:pPr>
        <w:ind w:left="720" w:hanging="720"/>
        <w:rPr>
          <w:rFonts w:eastAsia="Arial"/>
          <w:b/>
          <w:color w:val="000000" w:themeColor="text1"/>
          <w:sz w:val="24"/>
          <w:szCs w:val="24"/>
        </w:rPr>
      </w:pPr>
      <w:r w:rsidRPr="0035304E">
        <w:rPr>
          <w:rFonts w:eastAsia="Arial"/>
          <w:b/>
          <w:color w:val="000000" w:themeColor="text1"/>
          <w:sz w:val="24"/>
          <w:szCs w:val="24"/>
        </w:rPr>
        <w:t>Q34</w:t>
      </w:r>
      <w:r w:rsidR="00305296" w:rsidRPr="0035304E">
        <w:rPr>
          <w:rFonts w:eastAsia="Arial"/>
          <w:b/>
          <w:color w:val="000000" w:themeColor="text1"/>
          <w:sz w:val="24"/>
          <w:szCs w:val="24"/>
        </w:rPr>
        <w:t>:</w:t>
      </w:r>
      <w:r w:rsidR="00305296" w:rsidRPr="0035304E">
        <w:rPr>
          <w:rFonts w:eastAsia="Arial"/>
          <w:sz w:val="24"/>
          <w:szCs w:val="24"/>
        </w:rPr>
        <w:t xml:space="preserve"> </w:t>
      </w:r>
      <w:r w:rsidR="00305296">
        <w:tab/>
      </w:r>
      <w:r w:rsidR="00D07755" w:rsidRPr="0035304E">
        <w:rPr>
          <w:rFonts w:eastAsia="Arial"/>
          <w:b/>
          <w:color w:val="000000" w:themeColor="text1"/>
          <w:sz w:val="24"/>
          <w:szCs w:val="24"/>
        </w:rPr>
        <w:t>Where can applicants find publicly available examples of previously funded project proposals?</w:t>
      </w:r>
    </w:p>
    <w:p w14:paraId="65C1B95F" w14:textId="71B0B086" w:rsidR="00934AF8" w:rsidRPr="00543D6F" w:rsidRDefault="00CD7314" w:rsidP="00934AF8">
      <w:pPr>
        <w:ind w:left="720" w:hanging="720"/>
        <w:rPr>
          <w:rFonts w:eastAsia="Arial"/>
          <w:color w:val="000000" w:themeColor="text1"/>
          <w:sz w:val="24"/>
          <w:szCs w:val="24"/>
        </w:rPr>
      </w:pPr>
      <w:r w:rsidRPr="0035304E">
        <w:rPr>
          <w:rFonts w:eastAsia="Arial"/>
          <w:b/>
          <w:color w:val="000000" w:themeColor="text1"/>
          <w:sz w:val="24"/>
          <w:szCs w:val="24"/>
        </w:rPr>
        <w:t>A34</w:t>
      </w:r>
      <w:r w:rsidR="00522AA0" w:rsidRPr="0035304E">
        <w:rPr>
          <w:rFonts w:eastAsia="Arial"/>
          <w:b/>
          <w:color w:val="000000" w:themeColor="text1"/>
          <w:sz w:val="24"/>
          <w:szCs w:val="24"/>
        </w:rPr>
        <w:t>:</w:t>
      </w:r>
      <w:r w:rsidR="00522AA0">
        <w:rPr>
          <w:rFonts w:eastAsiaTheme="minorEastAsia"/>
        </w:rPr>
        <w:tab/>
      </w:r>
      <w:r w:rsidR="00934AF8" w:rsidRPr="00543D6F">
        <w:rPr>
          <w:rFonts w:eastAsia="Arial"/>
          <w:color w:val="000000" w:themeColor="text1"/>
          <w:sz w:val="24"/>
          <w:szCs w:val="24"/>
        </w:rPr>
        <w:t>Proposals submitted in response to competitive solicitations are confidential during the review process and are not posted publicly.</w:t>
      </w:r>
    </w:p>
    <w:p w14:paraId="6CCD3761" w14:textId="14342DDC" w:rsidR="00934AF8" w:rsidRPr="00543D6F" w:rsidRDefault="00934AF8" w:rsidP="00934AF8">
      <w:pPr>
        <w:ind w:left="720"/>
        <w:rPr>
          <w:rFonts w:eastAsia="Arial"/>
          <w:color w:val="000000" w:themeColor="text1"/>
          <w:sz w:val="24"/>
          <w:szCs w:val="24"/>
        </w:rPr>
      </w:pPr>
      <w:r w:rsidRPr="00543D6F">
        <w:rPr>
          <w:rFonts w:eastAsia="Arial"/>
          <w:color w:val="000000" w:themeColor="text1"/>
          <w:sz w:val="24"/>
          <w:szCs w:val="24"/>
        </w:rPr>
        <w:t xml:space="preserve">However, once projects are selected for funding and agreements are developed, those agreements are brought before the CEC at publicly noticed Business </w:t>
      </w:r>
      <w:r w:rsidRPr="00543D6F">
        <w:rPr>
          <w:rFonts w:eastAsia="Arial"/>
          <w:color w:val="000000" w:themeColor="text1"/>
          <w:sz w:val="24"/>
          <w:szCs w:val="24"/>
        </w:rPr>
        <w:lastRenderedPageBreak/>
        <w:t>Meetings for approval. The meeting agendas include “back-up” materials, which typically contain the approved Scope of Work and budget summary for each agreement.</w:t>
      </w:r>
    </w:p>
    <w:p w14:paraId="75D712A7" w14:textId="63E0CEEA" w:rsidR="00934AF8" w:rsidRPr="00543D6F" w:rsidRDefault="00934AF8" w:rsidP="00934AF8">
      <w:pPr>
        <w:ind w:left="720"/>
        <w:rPr>
          <w:rFonts w:eastAsia="Arial"/>
          <w:color w:val="000000" w:themeColor="text1"/>
          <w:sz w:val="24"/>
          <w:szCs w:val="24"/>
        </w:rPr>
      </w:pPr>
      <w:r w:rsidRPr="00543D6F">
        <w:rPr>
          <w:rFonts w:eastAsia="Arial"/>
          <w:color w:val="000000" w:themeColor="text1"/>
          <w:sz w:val="24"/>
          <w:szCs w:val="24"/>
        </w:rPr>
        <w:t xml:space="preserve">For example, four agreements developed from </w:t>
      </w:r>
      <w:r w:rsidR="00044639" w:rsidRPr="00543D6F">
        <w:rPr>
          <w:rFonts w:eastAsia="Arial"/>
          <w:color w:val="000000" w:themeColor="text1"/>
          <w:sz w:val="24"/>
          <w:szCs w:val="24"/>
        </w:rPr>
        <w:t xml:space="preserve">a </w:t>
      </w:r>
      <w:r w:rsidRPr="00543D6F">
        <w:rPr>
          <w:rFonts w:eastAsia="Arial"/>
          <w:color w:val="000000" w:themeColor="text1"/>
          <w:sz w:val="24"/>
          <w:szCs w:val="24"/>
        </w:rPr>
        <w:t>competitive</w:t>
      </w:r>
      <w:r w:rsidR="00044639" w:rsidRPr="00543D6F">
        <w:rPr>
          <w:rFonts w:eastAsia="Arial"/>
          <w:color w:val="000000" w:themeColor="text1"/>
          <w:sz w:val="24"/>
          <w:szCs w:val="24"/>
        </w:rPr>
        <w:t xml:space="preserve"> Grant Funding Opportunity </w:t>
      </w:r>
      <w:r w:rsidR="007B38C9" w:rsidRPr="00543D6F">
        <w:rPr>
          <w:rFonts w:eastAsia="Arial"/>
          <w:color w:val="000000" w:themeColor="text1"/>
          <w:sz w:val="24"/>
          <w:szCs w:val="24"/>
        </w:rPr>
        <w:t>(GFO) out of the same unit that leads this GFO</w:t>
      </w:r>
      <w:r w:rsidRPr="00543D6F">
        <w:rPr>
          <w:rFonts w:eastAsia="Arial"/>
          <w:color w:val="000000" w:themeColor="text1"/>
          <w:sz w:val="24"/>
          <w:szCs w:val="24"/>
        </w:rPr>
        <w:t xml:space="preserve"> were taken to the </w:t>
      </w:r>
      <w:hyperlink r:id="rId16">
        <w:r w:rsidRPr="00543D6F">
          <w:rPr>
            <w:rStyle w:val="Hyperlink"/>
            <w:rFonts w:eastAsia="Arial"/>
            <w:sz w:val="24"/>
            <w:szCs w:val="24"/>
          </w:rPr>
          <w:t>October 2025 CEC Business Meeting</w:t>
        </w:r>
      </w:hyperlink>
      <w:r w:rsidRPr="00543D6F">
        <w:rPr>
          <w:rFonts w:eastAsia="Arial"/>
          <w:color w:val="000000" w:themeColor="text1"/>
          <w:sz w:val="24"/>
          <w:szCs w:val="24"/>
        </w:rPr>
        <w:t xml:space="preserve"> for approval under Item 13. The Scopes of Work for those agreements are available in the posted </w:t>
      </w:r>
      <w:hyperlink r:id="rId17">
        <w:r w:rsidRPr="00543D6F">
          <w:rPr>
            <w:rStyle w:val="Hyperlink"/>
            <w:rFonts w:eastAsia="Arial"/>
            <w:sz w:val="24"/>
            <w:szCs w:val="24"/>
          </w:rPr>
          <w:t>back-up materials</w:t>
        </w:r>
      </w:hyperlink>
      <w:r w:rsidRPr="00543D6F">
        <w:rPr>
          <w:rFonts w:eastAsia="Arial"/>
          <w:color w:val="000000" w:themeColor="text1"/>
          <w:sz w:val="24"/>
          <w:szCs w:val="24"/>
        </w:rPr>
        <w:t xml:space="preserve"> for that meeting. This is one example; similar materials are available for other Business Meetings where agreements have been approved.</w:t>
      </w:r>
    </w:p>
    <w:p w14:paraId="656501D2" w14:textId="23010907" w:rsidR="006568E1" w:rsidRPr="00543D6F" w:rsidRDefault="00934AF8" w:rsidP="005E35FB">
      <w:pPr>
        <w:ind w:left="720"/>
        <w:rPr>
          <w:rFonts w:eastAsia="Arial"/>
          <w:color w:val="000000" w:themeColor="text1"/>
          <w:sz w:val="24"/>
          <w:szCs w:val="24"/>
        </w:rPr>
      </w:pPr>
      <w:r w:rsidRPr="00543D6F">
        <w:rPr>
          <w:rFonts w:eastAsia="Arial"/>
          <w:color w:val="000000" w:themeColor="text1"/>
          <w:sz w:val="24"/>
          <w:szCs w:val="24"/>
        </w:rPr>
        <w:t>While these materials do not include the original proposal narratives, they can provide helpful insight into the structure, level of detail, and scope of funded projects.</w:t>
      </w:r>
      <w:r w:rsidR="005E35FB" w:rsidRPr="00543D6F">
        <w:rPr>
          <w:rFonts w:eastAsia="Arial"/>
          <w:color w:val="000000" w:themeColor="text1"/>
          <w:sz w:val="24"/>
          <w:szCs w:val="24"/>
        </w:rPr>
        <w:t xml:space="preserve"> Additionally</w:t>
      </w:r>
      <w:r w:rsidR="006568E1" w:rsidRPr="00543D6F">
        <w:rPr>
          <w:rFonts w:eastAsia="Arial"/>
          <w:color w:val="000000" w:themeColor="text1"/>
          <w:sz w:val="24"/>
          <w:szCs w:val="24"/>
        </w:rPr>
        <w:t xml:space="preserve">, </w:t>
      </w:r>
      <w:r w:rsidR="001C750E" w:rsidRPr="00543D6F">
        <w:rPr>
          <w:rFonts w:eastAsia="Arial"/>
          <w:color w:val="000000" w:themeColor="text1"/>
          <w:sz w:val="24"/>
          <w:szCs w:val="24"/>
        </w:rPr>
        <w:t>once the Notice of Proposed Award is posted</w:t>
      </w:r>
      <w:r w:rsidR="006568E1" w:rsidRPr="00543D6F">
        <w:rPr>
          <w:rFonts w:eastAsia="Arial"/>
          <w:color w:val="000000" w:themeColor="text1"/>
          <w:sz w:val="24"/>
          <w:szCs w:val="24"/>
        </w:rPr>
        <w:t xml:space="preserve">, all application materials are subject to </w:t>
      </w:r>
      <w:r w:rsidR="001C750E" w:rsidRPr="00543D6F">
        <w:rPr>
          <w:rFonts w:eastAsia="Arial"/>
          <w:color w:val="000000" w:themeColor="text1"/>
          <w:sz w:val="24"/>
          <w:szCs w:val="24"/>
        </w:rPr>
        <w:t xml:space="preserve">requests under the </w:t>
      </w:r>
      <w:r w:rsidR="007170E3" w:rsidRPr="00543D6F">
        <w:rPr>
          <w:rFonts w:eastAsia="Arial"/>
          <w:color w:val="000000" w:themeColor="text1"/>
          <w:sz w:val="24"/>
          <w:szCs w:val="24"/>
        </w:rPr>
        <w:t>California Public Records Act</w:t>
      </w:r>
      <w:r w:rsidR="006568E1" w:rsidRPr="00543D6F">
        <w:rPr>
          <w:rFonts w:eastAsia="Arial"/>
          <w:color w:val="000000" w:themeColor="text1"/>
          <w:sz w:val="24"/>
          <w:szCs w:val="24"/>
        </w:rPr>
        <w:t>.</w:t>
      </w:r>
    </w:p>
    <w:p w14:paraId="55B0F34C" w14:textId="19871126" w:rsidR="00934AF8" w:rsidRPr="00543D6F" w:rsidRDefault="00934AF8" w:rsidP="00934AF8">
      <w:pPr>
        <w:ind w:left="720"/>
        <w:rPr>
          <w:rFonts w:eastAsia="Arial"/>
          <w:color w:val="000000" w:themeColor="text1"/>
          <w:sz w:val="24"/>
          <w:szCs w:val="24"/>
        </w:rPr>
      </w:pPr>
      <w:r w:rsidRPr="00543D6F">
        <w:rPr>
          <w:rFonts w:eastAsia="Arial"/>
          <w:color w:val="000000" w:themeColor="text1"/>
          <w:sz w:val="24"/>
          <w:szCs w:val="24"/>
        </w:rPr>
        <w:t>Applicants are strongly encouraged to carefully review the Solicitation Manual for application formatting requirements and evaluation criteria.</w:t>
      </w:r>
    </w:p>
    <w:p w14:paraId="455B556C" w14:textId="77777777" w:rsidR="00934AF8" w:rsidRPr="00543D6F" w:rsidRDefault="00934AF8" w:rsidP="00934AF8">
      <w:pPr>
        <w:ind w:left="720" w:hanging="720"/>
        <w:rPr>
          <w:rFonts w:eastAsia="Arial"/>
          <w:color w:val="000000" w:themeColor="text1"/>
          <w:sz w:val="24"/>
          <w:szCs w:val="24"/>
        </w:rPr>
      </w:pPr>
    </w:p>
    <w:p w14:paraId="31AE1DA3" w14:textId="616AC4B3" w:rsidR="001576E6" w:rsidRPr="001576E6" w:rsidRDefault="00CD7314" w:rsidP="008F4FEB">
      <w:pPr>
        <w:ind w:left="720" w:hanging="720"/>
        <w:rPr>
          <w:rFonts w:eastAsiaTheme="minorEastAsia"/>
          <w:b/>
          <w:bCs/>
          <w:color w:val="000000" w:themeColor="text1"/>
          <w:sz w:val="24"/>
          <w:szCs w:val="24"/>
        </w:rPr>
      </w:pPr>
      <w:r w:rsidRPr="00543D6F">
        <w:rPr>
          <w:rFonts w:eastAsia="Arial"/>
          <w:b/>
          <w:color w:val="000000" w:themeColor="text1"/>
          <w:sz w:val="24"/>
          <w:szCs w:val="24"/>
        </w:rPr>
        <w:t>Q35</w:t>
      </w:r>
      <w:r w:rsidR="00305296" w:rsidRPr="00543D6F">
        <w:rPr>
          <w:rFonts w:eastAsia="Arial"/>
          <w:b/>
          <w:color w:val="000000" w:themeColor="text1"/>
          <w:sz w:val="24"/>
          <w:szCs w:val="24"/>
        </w:rPr>
        <w:t>:</w:t>
      </w:r>
      <w:r w:rsidR="00CA3785">
        <w:rPr>
          <w:rFonts w:eastAsiaTheme="minorEastAsia"/>
        </w:rPr>
        <w:tab/>
      </w:r>
      <w:r w:rsidR="001576E6" w:rsidRPr="00543D6F">
        <w:rPr>
          <w:rFonts w:eastAsia="Arial"/>
          <w:b/>
          <w:color w:val="000000" w:themeColor="text1"/>
          <w:sz w:val="24"/>
          <w:szCs w:val="24"/>
        </w:rPr>
        <w:t xml:space="preserve">Would a </w:t>
      </w:r>
      <w:r w:rsidR="001576E6" w:rsidRPr="001576E6">
        <w:rPr>
          <w:rFonts w:eastAsiaTheme="minorEastAsia"/>
          <w:b/>
          <w:bCs/>
          <w:color w:val="000000" w:themeColor="text1"/>
          <w:sz w:val="24"/>
          <w:szCs w:val="24"/>
        </w:rPr>
        <w:t>proposal that integrates existing validated low-cost sensing technologies into energy-consuming household systems (e.g., kitchen range hoods), rather than focusing exclusively on development of entirely new standalone sensor hardware</w:t>
      </w:r>
      <w:r w:rsidR="3F06AA43" w:rsidRPr="65F55F53">
        <w:rPr>
          <w:rFonts w:eastAsiaTheme="minorEastAsia"/>
          <w:b/>
          <w:bCs/>
          <w:color w:val="000000" w:themeColor="text1"/>
          <w:sz w:val="24"/>
          <w:szCs w:val="24"/>
        </w:rPr>
        <w:t>,</w:t>
      </w:r>
      <w:r w:rsidR="001576E6" w:rsidRPr="001576E6">
        <w:rPr>
          <w:rFonts w:eastAsiaTheme="minorEastAsia"/>
          <w:b/>
          <w:bCs/>
          <w:color w:val="000000" w:themeColor="text1"/>
          <w:sz w:val="24"/>
          <w:szCs w:val="24"/>
        </w:rPr>
        <w:t xml:space="preserve"> be considered responsive under Group 2?</w:t>
      </w:r>
    </w:p>
    <w:p w14:paraId="1A369194" w14:textId="02715EF7" w:rsidR="00FB626C" w:rsidRPr="00EA352A" w:rsidRDefault="00522AA0" w:rsidP="008F4FEB">
      <w:pPr>
        <w:ind w:left="720" w:hanging="720"/>
        <w:rPr>
          <w:sz w:val="24"/>
          <w:szCs w:val="24"/>
        </w:rPr>
      </w:pPr>
      <w:r>
        <w:rPr>
          <w:b/>
          <w:bCs/>
          <w:sz w:val="24"/>
          <w:szCs w:val="24"/>
        </w:rPr>
        <w:t>A3</w:t>
      </w:r>
      <w:r w:rsidR="00CD7314">
        <w:rPr>
          <w:b/>
          <w:bCs/>
          <w:sz w:val="24"/>
          <w:szCs w:val="24"/>
        </w:rPr>
        <w:t>5</w:t>
      </w:r>
      <w:r>
        <w:rPr>
          <w:b/>
          <w:bCs/>
          <w:sz w:val="24"/>
          <w:szCs w:val="24"/>
        </w:rPr>
        <w:t>:</w:t>
      </w:r>
      <w:r w:rsidR="001B283F">
        <w:tab/>
      </w:r>
      <w:r w:rsidR="00FB626C" w:rsidRPr="00FB626C">
        <w:rPr>
          <w:sz w:val="24"/>
          <w:szCs w:val="24"/>
        </w:rPr>
        <w:t>Group 2, as described in Section I.C. of the Solicitation Manual, requires applicants to develop an improved low-cost air quality sensor and validate it in a relevant indoor residential environment (TRL 6). The emphasis of this group is on advancing low-cost sensor technology in response to documented performance limitations</w:t>
      </w:r>
      <w:r w:rsidR="0067753E">
        <w:rPr>
          <w:sz w:val="24"/>
          <w:szCs w:val="24"/>
        </w:rPr>
        <w:t>, such as those</w:t>
      </w:r>
      <w:r w:rsidR="00FB626C" w:rsidRPr="00FB626C">
        <w:rPr>
          <w:sz w:val="24"/>
          <w:szCs w:val="24"/>
        </w:rPr>
        <w:t xml:space="preserve"> identified in the literature and in the CARB white paper, “Low-Cost Sensors for Healthier Indoor Air Quality in Impacted Communities.” That report highlights the need for continuous validation </w:t>
      </w:r>
      <w:r w:rsidR="00FB626C" w:rsidRPr="00EA352A">
        <w:rPr>
          <w:sz w:val="24"/>
          <w:szCs w:val="24"/>
        </w:rPr>
        <w:t>and further research and development, particularly for gaseous pollutants such as NO</w:t>
      </w:r>
      <w:r w:rsidR="00FB626C" w:rsidRPr="00EA352A">
        <w:rPr>
          <w:rFonts w:ascii="Cambria Math" w:hAnsi="Cambria Math" w:cs="Cambria Math"/>
          <w:sz w:val="24"/>
          <w:szCs w:val="24"/>
        </w:rPr>
        <w:t>₂</w:t>
      </w:r>
      <w:r w:rsidR="00FB626C" w:rsidRPr="00EA352A">
        <w:rPr>
          <w:sz w:val="24"/>
          <w:szCs w:val="24"/>
        </w:rPr>
        <w:t>, O</w:t>
      </w:r>
      <w:r w:rsidR="00FB626C" w:rsidRPr="00EA352A">
        <w:rPr>
          <w:rFonts w:ascii="Cambria Math" w:hAnsi="Cambria Math" w:cs="Cambria Math"/>
          <w:sz w:val="24"/>
          <w:szCs w:val="24"/>
        </w:rPr>
        <w:t>₃</w:t>
      </w:r>
      <w:r w:rsidR="00FB626C" w:rsidRPr="00EA352A">
        <w:rPr>
          <w:sz w:val="24"/>
          <w:szCs w:val="24"/>
        </w:rPr>
        <w:t xml:space="preserve">, and </w:t>
      </w:r>
      <w:r w:rsidR="001C750E">
        <w:rPr>
          <w:sz w:val="24"/>
          <w:szCs w:val="24"/>
        </w:rPr>
        <w:t>Volatile Organic Compounds</w:t>
      </w:r>
      <w:r w:rsidR="00FB626C" w:rsidRPr="00EA352A">
        <w:rPr>
          <w:sz w:val="24"/>
          <w:szCs w:val="24"/>
        </w:rPr>
        <w:t>, where performance challenges remain significant.</w:t>
      </w:r>
    </w:p>
    <w:p w14:paraId="31E168A0" w14:textId="61A2C0A6" w:rsidR="00FB626C" w:rsidRPr="00FB626C" w:rsidRDefault="00FB581F" w:rsidP="008F4FEB">
      <w:pPr>
        <w:ind w:left="720"/>
        <w:rPr>
          <w:sz w:val="24"/>
          <w:szCs w:val="24"/>
        </w:rPr>
      </w:pPr>
      <w:r>
        <w:rPr>
          <w:sz w:val="24"/>
          <w:szCs w:val="24"/>
        </w:rPr>
        <w:t>I</w:t>
      </w:r>
      <w:r w:rsidR="00FB626C" w:rsidRPr="00FB626C">
        <w:rPr>
          <w:sz w:val="24"/>
          <w:szCs w:val="24"/>
        </w:rPr>
        <w:t xml:space="preserve">t is true that </w:t>
      </w:r>
      <w:proofErr w:type="gramStart"/>
      <w:r w:rsidR="00FB626C" w:rsidRPr="00FB626C">
        <w:rPr>
          <w:sz w:val="24"/>
          <w:szCs w:val="24"/>
        </w:rPr>
        <w:t>a number of</w:t>
      </w:r>
      <w:proofErr w:type="gramEnd"/>
      <w:r w:rsidR="00FB626C" w:rsidRPr="00FB626C">
        <w:rPr>
          <w:sz w:val="24"/>
          <w:szCs w:val="24"/>
        </w:rPr>
        <w:t xml:space="preserve"> commercially available low-cost PM</w:t>
      </w:r>
      <w:proofErr w:type="gramStart"/>
      <w:r w:rsidR="00FB626C" w:rsidRPr="00FB626C">
        <w:rPr>
          <w:rFonts w:ascii="Cambria Math" w:hAnsi="Cambria Math" w:cs="Cambria Math"/>
          <w:sz w:val="24"/>
          <w:szCs w:val="24"/>
        </w:rPr>
        <w:t>₂</w:t>
      </w:r>
      <w:r w:rsidR="00FB626C" w:rsidRPr="00FB626C">
        <w:rPr>
          <w:sz w:val="24"/>
          <w:szCs w:val="24"/>
        </w:rPr>
        <w:t>.</w:t>
      </w:r>
      <w:r w:rsidR="00FB626C" w:rsidRPr="00FB626C">
        <w:rPr>
          <w:rFonts w:ascii="Cambria Math" w:hAnsi="Cambria Math" w:cs="Cambria Math"/>
          <w:sz w:val="24"/>
          <w:szCs w:val="24"/>
        </w:rPr>
        <w:t>₅</w:t>
      </w:r>
      <w:proofErr w:type="gramEnd"/>
      <w:r w:rsidR="00FB626C" w:rsidRPr="00FB626C">
        <w:rPr>
          <w:sz w:val="24"/>
          <w:szCs w:val="24"/>
        </w:rPr>
        <w:t xml:space="preserve"> sensors demonstrate trend detection capability</w:t>
      </w:r>
      <w:r>
        <w:rPr>
          <w:sz w:val="24"/>
          <w:szCs w:val="24"/>
        </w:rPr>
        <w:t xml:space="preserve">. However, </w:t>
      </w:r>
      <w:r w:rsidR="007320AD">
        <w:rPr>
          <w:sz w:val="24"/>
          <w:szCs w:val="24"/>
        </w:rPr>
        <w:t>substantial</w:t>
      </w:r>
      <w:r w:rsidR="00FB626C" w:rsidRPr="00FB626C">
        <w:rPr>
          <w:sz w:val="24"/>
          <w:szCs w:val="24"/>
        </w:rPr>
        <w:t xml:space="preserve"> performance gaps</w:t>
      </w:r>
      <w:r w:rsidR="007320AD">
        <w:rPr>
          <w:sz w:val="24"/>
          <w:szCs w:val="24"/>
        </w:rPr>
        <w:t xml:space="preserve"> </w:t>
      </w:r>
      <w:r w:rsidR="007320AD" w:rsidRPr="00FB626C">
        <w:rPr>
          <w:sz w:val="24"/>
          <w:szCs w:val="24"/>
        </w:rPr>
        <w:t xml:space="preserve">remain </w:t>
      </w:r>
      <w:r w:rsidR="007320AD">
        <w:rPr>
          <w:sz w:val="24"/>
          <w:szCs w:val="24"/>
        </w:rPr>
        <w:t>to be addressed,</w:t>
      </w:r>
      <w:r w:rsidR="002D6CC0">
        <w:rPr>
          <w:sz w:val="24"/>
          <w:szCs w:val="24"/>
        </w:rPr>
        <w:t xml:space="preserve"> </w:t>
      </w:r>
      <w:r w:rsidR="00FB626C" w:rsidRPr="00FB626C">
        <w:rPr>
          <w:sz w:val="24"/>
          <w:szCs w:val="24"/>
        </w:rPr>
        <w:t>especially for gas-phase pollutants and long-term accuracy under variable indoor conditions. Therefore, under th</w:t>
      </w:r>
      <w:r w:rsidR="007E0FAC">
        <w:rPr>
          <w:sz w:val="24"/>
          <w:szCs w:val="24"/>
        </w:rPr>
        <w:t>is solicitation</w:t>
      </w:r>
      <w:r w:rsidR="00FB626C" w:rsidRPr="00FB626C">
        <w:rPr>
          <w:sz w:val="24"/>
          <w:szCs w:val="24"/>
        </w:rPr>
        <w:t>, proposals must clearly demonstrate how the proposed work improves upon existing low-cost sensing technologies, rather than solely deploying commercially available devices without technological advancement.</w:t>
      </w:r>
    </w:p>
    <w:p w14:paraId="1AE0A1D2" w14:textId="4B888102" w:rsidR="00FB626C" w:rsidRPr="00FB626C" w:rsidRDefault="00FB626C" w:rsidP="008F4FEB">
      <w:pPr>
        <w:ind w:left="720"/>
        <w:rPr>
          <w:sz w:val="24"/>
          <w:szCs w:val="24"/>
        </w:rPr>
      </w:pPr>
      <w:r w:rsidRPr="00FB626C">
        <w:rPr>
          <w:sz w:val="24"/>
          <w:szCs w:val="24"/>
        </w:rPr>
        <w:t xml:space="preserve">That said, integration of sensing technologies into household energy-consuming systems (e.g., kitchen range hoods) is not prohibited and could strengthen a proposal if </w:t>
      </w:r>
      <w:r w:rsidR="007F1A1E">
        <w:rPr>
          <w:sz w:val="24"/>
          <w:szCs w:val="24"/>
        </w:rPr>
        <w:t>the proposed effort</w:t>
      </w:r>
      <w:r w:rsidR="007F1A1E" w:rsidRPr="00FB626C">
        <w:rPr>
          <w:sz w:val="24"/>
          <w:szCs w:val="24"/>
        </w:rPr>
        <w:t xml:space="preserve"> </w:t>
      </w:r>
      <w:r w:rsidRPr="00FB626C">
        <w:rPr>
          <w:sz w:val="24"/>
          <w:szCs w:val="24"/>
        </w:rPr>
        <w:t>meaningfully advances the sensor itself and supports robust validation at TRL 6. For example, integration that</w:t>
      </w:r>
      <w:r w:rsidR="007F1A1E">
        <w:rPr>
          <w:sz w:val="24"/>
          <w:szCs w:val="24"/>
        </w:rPr>
        <w:t xml:space="preserve"> accomplishes some or </w:t>
      </w:r>
      <w:proofErr w:type="gramStart"/>
      <w:r w:rsidR="007F1A1E">
        <w:rPr>
          <w:sz w:val="24"/>
          <w:szCs w:val="24"/>
        </w:rPr>
        <w:t>all of</w:t>
      </w:r>
      <w:proofErr w:type="gramEnd"/>
      <w:r w:rsidR="007F1A1E">
        <w:rPr>
          <w:sz w:val="24"/>
          <w:szCs w:val="24"/>
        </w:rPr>
        <w:t xml:space="preserve"> the following may be considered responsive</w:t>
      </w:r>
      <w:r w:rsidRPr="00FB626C">
        <w:rPr>
          <w:sz w:val="24"/>
          <w:szCs w:val="24"/>
        </w:rPr>
        <w:t>:</w:t>
      </w:r>
    </w:p>
    <w:p w14:paraId="17E7837C" w14:textId="521D9269" w:rsidR="00FB626C" w:rsidRPr="00FB626C" w:rsidRDefault="00FB626C" w:rsidP="008F4FEB">
      <w:pPr>
        <w:pStyle w:val="ListParagraph"/>
        <w:numPr>
          <w:ilvl w:val="1"/>
          <w:numId w:val="26"/>
        </w:numPr>
        <w:rPr>
          <w:sz w:val="24"/>
          <w:szCs w:val="24"/>
        </w:rPr>
      </w:pPr>
      <w:r w:rsidRPr="00FB626C">
        <w:rPr>
          <w:sz w:val="24"/>
          <w:szCs w:val="24"/>
        </w:rPr>
        <w:lastRenderedPageBreak/>
        <w:t xml:space="preserve">Improves sensor accuracy, durability, calibration stability, or pollutant </w:t>
      </w:r>
      <w:proofErr w:type="gramStart"/>
      <w:r w:rsidRPr="00FB626C">
        <w:rPr>
          <w:sz w:val="24"/>
          <w:szCs w:val="24"/>
        </w:rPr>
        <w:t>specificity</w:t>
      </w:r>
      <w:r w:rsidR="7A3D5814" w:rsidRPr="65F55F53">
        <w:rPr>
          <w:sz w:val="24"/>
          <w:szCs w:val="24"/>
        </w:rPr>
        <w:t>;</w:t>
      </w:r>
      <w:proofErr w:type="gramEnd"/>
    </w:p>
    <w:p w14:paraId="067FF6CE" w14:textId="6A4C5CDD" w:rsidR="00FB626C" w:rsidRPr="00FB626C" w:rsidRDefault="00FB626C" w:rsidP="008F4FEB">
      <w:pPr>
        <w:pStyle w:val="ListParagraph"/>
        <w:numPr>
          <w:ilvl w:val="1"/>
          <w:numId w:val="26"/>
        </w:numPr>
        <w:rPr>
          <w:sz w:val="24"/>
          <w:szCs w:val="24"/>
        </w:rPr>
      </w:pPr>
      <w:r w:rsidRPr="00FB626C">
        <w:rPr>
          <w:sz w:val="24"/>
          <w:szCs w:val="24"/>
        </w:rPr>
        <w:t>Enhances real-time responsiveness to pollutant spikes (e.g., cooking-related NO</w:t>
      </w:r>
      <w:r w:rsidRPr="00FB626C">
        <w:rPr>
          <w:rFonts w:ascii="Cambria Math" w:hAnsi="Cambria Math" w:cs="Cambria Math"/>
          <w:sz w:val="24"/>
          <w:szCs w:val="24"/>
        </w:rPr>
        <w:t>₂</w:t>
      </w:r>
      <w:r w:rsidRPr="00FB626C">
        <w:rPr>
          <w:sz w:val="24"/>
          <w:szCs w:val="24"/>
        </w:rPr>
        <w:t xml:space="preserve"> events</w:t>
      </w:r>
      <w:proofErr w:type="gramStart"/>
      <w:r w:rsidRPr="65F55F53">
        <w:rPr>
          <w:sz w:val="24"/>
          <w:szCs w:val="24"/>
        </w:rPr>
        <w:t>)</w:t>
      </w:r>
      <w:r w:rsidR="4CB5C8EF" w:rsidRPr="65F55F53">
        <w:rPr>
          <w:sz w:val="24"/>
          <w:szCs w:val="24"/>
        </w:rPr>
        <w:t>;</w:t>
      </w:r>
      <w:proofErr w:type="gramEnd"/>
    </w:p>
    <w:p w14:paraId="0F9AB422" w14:textId="434E828F" w:rsidR="00FB626C" w:rsidRPr="00FB626C" w:rsidRDefault="00FB626C" w:rsidP="008F4FEB">
      <w:pPr>
        <w:pStyle w:val="ListParagraph"/>
        <w:numPr>
          <w:ilvl w:val="1"/>
          <w:numId w:val="26"/>
        </w:numPr>
        <w:rPr>
          <w:sz w:val="24"/>
          <w:szCs w:val="24"/>
        </w:rPr>
      </w:pPr>
      <w:r w:rsidRPr="00FB626C">
        <w:rPr>
          <w:sz w:val="24"/>
          <w:szCs w:val="24"/>
        </w:rPr>
        <w:t>Addresses documented performance gaps in gaseous pollutant measurement</w:t>
      </w:r>
      <w:r w:rsidR="1112B420" w:rsidRPr="65F55F53">
        <w:rPr>
          <w:sz w:val="24"/>
          <w:szCs w:val="24"/>
        </w:rPr>
        <w:t>;</w:t>
      </w:r>
      <w:r w:rsidRPr="00FB626C">
        <w:rPr>
          <w:sz w:val="24"/>
          <w:szCs w:val="24"/>
        </w:rPr>
        <w:t xml:space="preserve"> and</w:t>
      </w:r>
    </w:p>
    <w:p w14:paraId="59291DCA" w14:textId="10977346" w:rsidR="00FB626C" w:rsidRPr="00FB626C" w:rsidRDefault="00FB626C" w:rsidP="008F4FEB">
      <w:pPr>
        <w:pStyle w:val="ListParagraph"/>
        <w:numPr>
          <w:ilvl w:val="1"/>
          <w:numId w:val="26"/>
        </w:numPr>
        <w:rPr>
          <w:sz w:val="24"/>
          <w:szCs w:val="24"/>
        </w:rPr>
      </w:pPr>
      <w:r w:rsidRPr="00FB626C">
        <w:rPr>
          <w:sz w:val="24"/>
          <w:szCs w:val="24"/>
        </w:rPr>
        <w:t>Demonstrates validated performance in a relevant residential environment</w:t>
      </w:r>
      <w:r w:rsidR="000747B4">
        <w:rPr>
          <w:sz w:val="24"/>
          <w:szCs w:val="24"/>
        </w:rPr>
        <w:t>.</w:t>
      </w:r>
    </w:p>
    <w:p w14:paraId="1DB8F7AA" w14:textId="108F0068" w:rsidR="00FB626C" w:rsidRPr="00FB626C" w:rsidRDefault="00FB626C" w:rsidP="008F4FEB">
      <w:pPr>
        <w:ind w:left="720"/>
        <w:rPr>
          <w:sz w:val="24"/>
          <w:szCs w:val="24"/>
        </w:rPr>
      </w:pPr>
      <w:r w:rsidRPr="00FB626C">
        <w:rPr>
          <w:sz w:val="24"/>
          <w:szCs w:val="24"/>
        </w:rPr>
        <w:t xml:space="preserve">However, proposals </w:t>
      </w:r>
      <w:r w:rsidR="00414527">
        <w:rPr>
          <w:sz w:val="24"/>
          <w:szCs w:val="24"/>
        </w:rPr>
        <w:t xml:space="preserve">that </w:t>
      </w:r>
      <w:r w:rsidRPr="00FB626C">
        <w:rPr>
          <w:sz w:val="24"/>
          <w:szCs w:val="24"/>
        </w:rPr>
        <w:t xml:space="preserve">focus on system integration, ventilation control optimization, or energy-health co-optimization </w:t>
      </w:r>
      <w:r w:rsidRPr="009F4D83">
        <w:rPr>
          <w:i/>
          <w:iCs/>
          <w:sz w:val="24"/>
          <w:szCs w:val="24"/>
        </w:rPr>
        <w:t>without</w:t>
      </w:r>
      <w:r w:rsidRPr="00FB626C">
        <w:rPr>
          <w:sz w:val="24"/>
          <w:szCs w:val="24"/>
        </w:rPr>
        <w:t xml:space="preserve"> advancing the sensor technology itself may not fully meet the core requirement of Group 2, which is sensor development and validation.</w:t>
      </w:r>
    </w:p>
    <w:p w14:paraId="0E8B3B22" w14:textId="052FCCE0" w:rsidR="000059FA" w:rsidRDefault="00AA550C" w:rsidP="008F4FEB">
      <w:pPr>
        <w:ind w:left="720"/>
        <w:rPr>
          <w:sz w:val="24"/>
          <w:szCs w:val="24"/>
        </w:rPr>
      </w:pPr>
      <w:r>
        <w:rPr>
          <w:sz w:val="24"/>
          <w:szCs w:val="24"/>
        </w:rPr>
        <w:t>Please see Addendum 1</w:t>
      </w:r>
      <w:r w:rsidR="00951CF2">
        <w:rPr>
          <w:sz w:val="24"/>
          <w:szCs w:val="24"/>
        </w:rPr>
        <w:t xml:space="preserve">, in which we have </w:t>
      </w:r>
      <w:r w:rsidR="009C2448">
        <w:rPr>
          <w:sz w:val="24"/>
          <w:szCs w:val="24"/>
        </w:rPr>
        <w:t xml:space="preserve">added additional </w:t>
      </w:r>
      <w:r w:rsidR="001343F8">
        <w:rPr>
          <w:sz w:val="24"/>
          <w:szCs w:val="24"/>
        </w:rPr>
        <w:t>language to</w:t>
      </w:r>
      <w:r w:rsidR="00951CF2">
        <w:rPr>
          <w:sz w:val="24"/>
          <w:szCs w:val="24"/>
        </w:rPr>
        <w:t xml:space="preserve"> clarify that:</w:t>
      </w:r>
    </w:p>
    <w:p w14:paraId="7DC205E0" w14:textId="2AD7AB3C" w:rsidR="00D02DF8" w:rsidRDefault="00D02DF8" w:rsidP="008F4FEB">
      <w:pPr>
        <w:ind w:firstLine="720"/>
        <w:rPr>
          <w:rFonts w:eastAsiaTheme="minorEastAsia"/>
          <w:sz w:val="24"/>
          <w:szCs w:val="24"/>
        </w:rPr>
      </w:pPr>
      <w:r w:rsidRPr="00D02DF8">
        <w:rPr>
          <w:rFonts w:eastAsiaTheme="minorEastAsia"/>
          <w:sz w:val="24"/>
          <w:szCs w:val="24"/>
        </w:rPr>
        <w:t xml:space="preserve">It is </w:t>
      </w:r>
      <w:r w:rsidRPr="008F4FEB">
        <w:rPr>
          <w:rFonts w:eastAsiaTheme="minorEastAsia"/>
          <w:b/>
          <w:bCs/>
          <w:sz w:val="24"/>
          <w:szCs w:val="24"/>
          <w:u w:val="single"/>
        </w:rPr>
        <w:t>desirable</w:t>
      </w:r>
      <w:r w:rsidRPr="00D02DF8">
        <w:rPr>
          <w:rFonts w:eastAsiaTheme="minorEastAsia"/>
          <w:sz w:val="24"/>
          <w:szCs w:val="24"/>
        </w:rPr>
        <w:t xml:space="preserve"> that funded research </w:t>
      </w:r>
      <w:proofErr w:type="gramStart"/>
      <w:r w:rsidRPr="00D02DF8">
        <w:rPr>
          <w:rFonts w:eastAsiaTheme="minorEastAsia"/>
          <w:sz w:val="24"/>
          <w:szCs w:val="24"/>
        </w:rPr>
        <w:t>include</w:t>
      </w:r>
      <w:proofErr w:type="gramEnd"/>
      <w:r w:rsidRPr="00D02DF8">
        <w:rPr>
          <w:rFonts w:eastAsiaTheme="minorEastAsia"/>
          <w:sz w:val="24"/>
          <w:szCs w:val="24"/>
        </w:rPr>
        <w:t xml:space="preserve"> development of:</w:t>
      </w:r>
    </w:p>
    <w:p w14:paraId="3B28AE0A" w14:textId="5BD61B7E" w:rsidR="002D53D9" w:rsidRPr="005C5256" w:rsidRDefault="0082244D" w:rsidP="002C6DCB">
      <w:pPr>
        <w:pStyle w:val="ListParagraph"/>
        <w:numPr>
          <w:ilvl w:val="0"/>
          <w:numId w:val="20"/>
        </w:numPr>
        <w:rPr>
          <w:rFonts w:eastAsiaTheme="minorEastAsia"/>
          <w:b/>
          <w:bCs/>
          <w:color w:val="000000" w:themeColor="text1"/>
          <w:sz w:val="24"/>
          <w:szCs w:val="24"/>
          <w:u w:val="single"/>
        </w:rPr>
      </w:pPr>
      <w:r w:rsidRPr="005C5256">
        <w:rPr>
          <w:rFonts w:eastAsiaTheme="minorEastAsia"/>
          <w:b/>
          <w:bCs/>
          <w:sz w:val="24"/>
          <w:szCs w:val="24"/>
          <w:u w:val="single"/>
        </w:rPr>
        <w:t>Validation approaches that demonstrate integration of the improved low-cost air quality sensor into energy-consuming household systems (e.g., kitchen range hoods or other building infrastructure) in a relevant indoor residential environment. The applicant must clearly describe the methodology for system integration, performance evaluation under real-world operating conditions, and how the integration supports effective household deployment and validation.</w:t>
      </w:r>
    </w:p>
    <w:p w14:paraId="6F1448FF" w14:textId="0B335AC8" w:rsidR="00D377EA" w:rsidRPr="00227CE1" w:rsidRDefault="00D377EA" w:rsidP="00FB6DEF">
      <w:pPr>
        <w:ind w:left="720" w:hanging="720"/>
        <w:rPr>
          <w:b/>
          <w:bCs/>
        </w:rPr>
      </w:pPr>
    </w:p>
    <w:sectPr w:rsidR="00D377EA" w:rsidRPr="00227CE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0A11" w14:textId="77777777" w:rsidR="00B00E72" w:rsidRDefault="00B00E72" w:rsidP="00D07669">
      <w:pPr>
        <w:spacing w:after="0"/>
      </w:pPr>
      <w:r>
        <w:separator/>
      </w:r>
    </w:p>
  </w:endnote>
  <w:endnote w:type="continuationSeparator" w:id="0">
    <w:p w14:paraId="12D9F4C1" w14:textId="77777777" w:rsidR="00B00E72" w:rsidRDefault="00B00E72" w:rsidP="00D07669">
      <w:pPr>
        <w:spacing w:after="0"/>
      </w:pPr>
      <w:r>
        <w:continuationSeparator/>
      </w:r>
    </w:p>
  </w:endnote>
  <w:endnote w:type="continuationNotice" w:id="1">
    <w:p w14:paraId="68A80EF5" w14:textId="77777777" w:rsidR="00B00E72" w:rsidRDefault="00B00E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882583"/>
      <w:docPartObj>
        <w:docPartGallery w:val="Page Numbers (Bottom of Page)"/>
        <w:docPartUnique/>
      </w:docPartObj>
    </w:sdtPr>
    <w:sdtEndPr/>
    <w:sdtContent>
      <w:sdt>
        <w:sdtPr>
          <w:id w:val="1728636285"/>
          <w:docPartObj>
            <w:docPartGallery w:val="Page Numbers (Top of Page)"/>
            <w:docPartUnique/>
          </w:docPartObj>
        </w:sdtPr>
        <w:sdtEndPr/>
        <w:sdtContent>
          <w:p w14:paraId="4AEF320A" w14:textId="36EE0597" w:rsidR="00D07669" w:rsidRDefault="00D076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389B07" w14:textId="77777777" w:rsidR="00D07669" w:rsidRDefault="00D07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F76E" w14:textId="77777777" w:rsidR="00B00E72" w:rsidRDefault="00B00E72" w:rsidP="00D07669">
      <w:pPr>
        <w:spacing w:after="0"/>
      </w:pPr>
      <w:r>
        <w:separator/>
      </w:r>
    </w:p>
  </w:footnote>
  <w:footnote w:type="continuationSeparator" w:id="0">
    <w:p w14:paraId="12FD9E9A" w14:textId="77777777" w:rsidR="00B00E72" w:rsidRDefault="00B00E72" w:rsidP="00D07669">
      <w:pPr>
        <w:spacing w:after="0"/>
      </w:pPr>
      <w:r>
        <w:continuationSeparator/>
      </w:r>
    </w:p>
  </w:footnote>
  <w:footnote w:type="continuationNotice" w:id="1">
    <w:p w14:paraId="500E52AA" w14:textId="77777777" w:rsidR="00B00E72" w:rsidRDefault="00B00E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393"/>
    <w:multiLevelType w:val="hybridMultilevel"/>
    <w:tmpl w:val="5C5A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F68A2"/>
    <w:multiLevelType w:val="hybridMultilevel"/>
    <w:tmpl w:val="CBA05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880F29"/>
    <w:multiLevelType w:val="hybridMultilevel"/>
    <w:tmpl w:val="A0F44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D41464"/>
    <w:multiLevelType w:val="multilevel"/>
    <w:tmpl w:val="F5F6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A1F93"/>
    <w:multiLevelType w:val="hybridMultilevel"/>
    <w:tmpl w:val="CE3A2A6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6167ED6"/>
    <w:multiLevelType w:val="hybridMultilevel"/>
    <w:tmpl w:val="6ACEEF18"/>
    <w:lvl w:ilvl="0" w:tplc="68D64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EA49FD"/>
    <w:multiLevelType w:val="hybridMultilevel"/>
    <w:tmpl w:val="3348DD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223849"/>
    <w:multiLevelType w:val="hybridMultilevel"/>
    <w:tmpl w:val="F098A0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D933D1"/>
    <w:multiLevelType w:val="hybridMultilevel"/>
    <w:tmpl w:val="47C6D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387746"/>
    <w:multiLevelType w:val="hybridMultilevel"/>
    <w:tmpl w:val="16865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6F4104"/>
    <w:multiLevelType w:val="hybridMultilevel"/>
    <w:tmpl w:val="013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C3163"/>
    <w:multiLevelType w:val="hybridMultilevel"/>
    <w:tmpl w:val="18A6F508"/>
    <w:lvl w:ilvl="0" w:tplc="04EAD39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525414"/>
    <w:multiLevelType w:val="hybridMultilevel"/>
    <w:tmpl w:val="B69285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1D218A"/>
    <w:multiLevelType w:val="hybridMultilevel"/>
    <w:tmpl w:val="0B7C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E0E4A"/>
    <w:multiLevelType w:val="hybridMultilevel"/>
    <w:tmpl w:val="9EF211AA"/>
    <w:lvl w:ilvl="0" w:tplc="04EAD390">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572AC3"/>
    <w:multiLevelType w:val="hybridMultilevel"/>
    <w:tmpl w:val="92BE0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014ACD"/>
    <w:multiLevelType w:val="hybridMultilevel"/>
    <w:tmpl w:val="A4143B66"/>
    <w:lvl w:ilvl="0" w:tplc="04EAD390">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324425"/>
    <w:multiLevelType w:val="hybridMultilevel"/>
    <w:tmpl w:val="1FB85660"/>
    <w:lvl w:ilvl="0" w:tplc="04EAD390">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91325A"/>
    <w:multiLevelType w:val="hybridMultilevel"/>
    <w:tmpl w:val="E50C7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3D659FA"/>
    <w:multiLevelType w:val="hybridMultilevel"/>
    <w:tmpl w:val="34481622"/>
    <w:lvl w:ilvl="0" w:tplc="04EAD39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364E9"/>
    <w:multiLevelType w:val="hybridMultilevel"/>
    <w:tmpl w:val="21865AFC"/>
    <w:lvl w:ilvl="0" w:tplc="04EAD390">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C376BC"/>
    <w:multiLevelType w:val="hybridMultilevel"/>
    <w:tmpl w:val="B24C8F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00D0088"/>
    <w:multiLevelType w:val="multilevel"/>
    <w:tmpl w:val="40AC92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7656243D"/>
    <w:multiLevelType w:val="hybridMultilevel"/>
    <w:tmpl w:val="EC5E7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257AF3"/>
    <w:multiLevelType w:val="hybridMultilevel"/>
    <w:tmpl w:val="176A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336FA"/>
    <w:multiLevelType w:val="hybridMultilevel"/>
    <w:tmpl w:val="E864E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AC2D42"/>
    <w:multiLevelType w:val="hybridMultilevel"/>
    <w:tmpl w:val="FCF62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8D544B"/>
    <w:multiLevelType w:val="hybridMultilevel"/>
    <w:tmpl w:val="E05003AE"/>
    <w:lvl w:ilvl="0" w:tplc="405EB402">
      <w:start w:val="4"/>
      <w:numFmt w:val="decimal"/>
      <w:lvlText w:val="%1."/>
      <w:lvlJc w:val="left"/>
      <w:pPr>
        <w:ind w:left="144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516113886">
    <w:abstractNumId w:val="23"/>
  </w:num>
  <w:num w:numId="2" w16cid:durableId="560485348">
    <w:abstractNumId w:val="4"/>
  </w:num>
  <w:num w:numId="3" w16cid:durableId="1895852840">
    <w:abstractNumId w:val="10"/>
  </w:num>
  <w:num w:numId="4" w16cid:durableId="34696149">
    <w:abstractNumId w:val="1"/>
  </w:num>
  <w:num w:numId="5" w16cid:durableId="1858807629">
    <w:abstractNumId w:val="25"/>
  </w:num>
  <w:num w:numId="6" w16cid:durableId="81609750">
    <w:abstractNumId w:val="15"/>
  </w:num>
  <w:num w:numId="7" w16cid:durableId="955135820">
    <w:abstractNumId w:val="2"/>
  </w:num>
  <w:num w:numId="8" w16cid:durableId="1792746348">
    <w:abstractNumId w:val="9"/>
  </w:num>
  <w:num w:numId="9" w16cid:durableId="1376268544">
    <w:abstractNumId w:val="11"/>
  </w:num>
  <w:num w:numId="10" w16cid:durableId="1904483996">
    <w:abstractNumId w:val="13"/>
  </w:num>
  <w:num w:numId="11" w16cid:durableId="1521580573">
    <w:abstractNumId w:val="20"/>
  </w:num>
  <w:num w:numId="12" w16cid:durableId="587155792">
    <w:abstractNumId w:val="16"/>
  </w:num>
  <w:num w:numId="13" w16cid:durableId="719355540">
    <w:abstractNumId w:val="14"/>
  </w:num>
  <w:num w:numId="14" w16cid:durableId="1056051930">
    <w:abstractNumId w:val="17"/>
  </w:num>
  <w:num w:numId="15" w16cid:durableId="765005950">
    <w:abstractNumId w:val="19"/>
  </w:num>
  <w:num w:numId="16" w16cid:durableId="896742149">
    <w:abstractNumId w:val="0"/>
  </w:num>
  <w:num w:numId="17" w16cid:durableId="175265700">
    <w:abstractNumId w:val="24"/>
  </w:num>
  <w:num w:numId="18" w16cid:durableId="974870547">
    <w:abstractNumId w:val="6"/>
  </w:num>
  <w:num w:numId="19" w16cid:durableId="1072967311">
    <w:abstractNumId w:val="21"/>
  </w:num>
  <w:num w:numId="20" w16cid:durableId="301470819">
    <w:abstractNumId w:val="27"/>
  </w:num>
  <w:num w:numId="21" w16cid:durableId="1472557074">
    <w:abstractNumId w:val="5"/>
  </w:num>
  <w:num w:numId="22" w16cid:durableId="1705907751">
    <w:abstractNumId w:val="26"/>
  </w:num>
  <w:num w:numId="23" w16cid:durableId="423376525">
    <w:abstractNumId w:val="3"/>
  </w:num>
  <w:num w:numId="24" w16cid:durableId="272172601">
    <w:abstractNumId w:val="22"/>
  </w:num>
  <w:num w:numId="25" w16cid:durableId="175771929">
    <w:abstractNumId w:val="8"/>
  </w:num>
  <w:num w:numId="26" w16cid:durableId="374738660">
    <w:abstractNumId w:val="7"/>
  </w:num>
  <w:num w:numId="27" w16cid:durableId="603999319">
    <w:abstractNumId w:val="18"/>
  </w:num>
  <w:num w:numId="28" w16cid:durableId="133841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B0"/>
    <w:rsid w:val="00000A63"/>
    <w:rsid w:val="00000F30"/>
    <w:rsid w:val="00001244"/>
    <w:rsid w:val="00003F4D"/>
    <w:rsid w:val="00004C5E"/>
    <w:rsid w:val="000056DD"/>
    <w:rsid w:val="000059FA"/>
    <w:rsid w:val="00011A82"/>
    <w:rsid w:val="00011C5A"/>
    <w:rsid w:val="0001200E"/>
    <w:rsid w:val="00013E20"/>
    <w:rsid w:val="000146C5"/>
    <w:rsid w:val="00014E3A"/>
    <w:rsid w:val="00015AB1"/>
    <w:rsid w:val="00016B40"/>
    <w:rsid w:val="0001749B"/>
    <w:rsid w:val="00020306"/>
    <w:rsid w:val="00024415"/>
    <w:rsid w:val="00026294"/>
    <w:rsid w:val="00026B92"/>
    <w:rsid w:val="00027592"/>
    <w:rsid w:val="00027E23"/>
    <w:rsid w:val="00030597"/>
    <w:rsid w:val="00030B45"/>
    <w:rsid w:val="00031DB9"/>
    <w:rsid w:val="000337CC"/>
    <w:rsid w:val="0003432A"/>
    <w:rsid w:val="00036729"/>
    <w:rsid w:val="00036796"/>
    <w:rsid w:val="00044639"/>
    <w:rsid w:val="00047260"/>
    <w:rsid w:val="00052B9D"/>
    <w:rsid w:val="00053001"/>
    <w:rsid w:val="000530A7"/>
    <w:rsid w:val="00057A46"/>
    <w:rsid w:val="0006447D"/>
    <w:rsid w:val="0006624A"/>
    <w:rsid w:val="00070111"/>
    <w:rsid w:val="0007116A"/>
    <w:rsid w:val="0007324D"/>
    <w:rsid w:val="000747B4"/>
    <w:rsid w:val="00075A8E"/>
    <w:rsid w:val="0007691F"/>
    <w:rsid w:val="00077118"/>
    <w:rsid w:val="0007733A"/>
    <w:rsid w:val="00080A2B"/>
    <w:rsid w:val="000833FE"/>
    <w:rsid w:val="00083D33"/>
    <w:rsid w:val="00085363"/>
    <w:rsid w:val="00086563"/>
    <w:rsid w:val="00090054"/>
    <w:rsid w:val="000902AC"/>
    <w:rsid w:val="00090AC1"/>
    <w:rsid w:val="00090F45"/>
    <w:rsid w:val="000916F2"/>
    <w:rsid w:val="00091936"/>
    <w:rsid w:val="0009404C"/>
    <w:rsid w:val="00094CF7"/>
    <w:rsid w:val="00096EBA"/>
    <w:rsid w:val="000977E7"/>
    <w:rsid w:val="000A0875"/>
    <w:rsid w:val="000B2E0D"/>
    <w:rsid w:val="000B77F1"/>
    <w:rsid w:val="000B7844"/>
    <w:rsid w:val="000B7DD5"/>
    <w:rsid w:val="000C1294"/>
    <w:rsid w:val="000C1B85"/>
    <w:rsid w:val="000C22BA"/>
    <w:rsid w:val="000D3D77"/>
    <w:rsid w:val="000D3E98"/>
    <w:rsid w:val="000D53EA"/>
    <w:rsid w:val="000D6053"/>
    <w:rsid w:val="000D6167"/>
    <w:rsid w:val="000E31F3"/>
    <w:rsid w:val="000E3672"/>
    <w:rsid w:val="000E4734"/>
    <w:rsid w:val="000E71D6"/>
    <w:rsid w:val="000E74C9"/>
    <w:rsid w:val="000F0057"/>
    <w:rsid w:val="000F291D"/>
    <w:rsid w:val="000F6227"/>
    <w:rsid w:val="000F687C"/>
    <w:rsid w:val="00100CD7"/>
    <w:rsid w:val="00103B44"/>
    <w:rsid w:val="00103FA4"/>
    <w:rsid w:val="00105034"/>
    <w:rsid w:val="00105276"/>
    <w:rsid w:val="001060A6"/>
    <w:rsid w:val="001061F9"/>
    <w:rsid w:val="001065BF"/>
    <w:rsid w:val="00107266"/>
    <w:rsid w:val="001108E4"/>
    <w:rsid w:val="00110E31"/>
    <w:rsid w:val="0011157F"/>
    <w:rsid w:val="0011712F"/>
    <w:rsid w:val="0011725D"/>
    <w:rsid w:val="001208BB"/>
    <w:rsid w:val="001208BE"/>
    <w:rsid w:val="00124416"/>
    <w:rsid w:val="00124AD7"/>
    <w:rsid w:val="00124E33"/>
    <w:rsid w:val="0012683C"/>
    <w:rsid w:val="00130377"/>
    <w:rsid w:val="00130A38"/>
    <w:rsid w:val="001326C9"/>
    <w:rsid w:val="001343F8"/>
    <w:rsid w:val="00134B2A"/>
    <w:rsid w:val="00134C84"/>
    <w:rsid w:val="001363F6"/>
    <w:rsid w:val="001371AB"/>
    <w:rsid w:val="001375AD"/>
    <w:rsid w:val="00140433"/>
    <w:rsid w:val="00142655"/>
    <w:rsid w:val="00142FCA"/>
    <w:rsid w:val="00144BDC"/>
    <w:rsid w:val="00146A10"/>
    <w:rsid w:val="00146B43"/>
    <w:rsid w:val="00153499"/>
    <w:rsid w:val="00155AE5"/>
    <w:rsid w:val="0015756B"/>
    <w:rsid w:val="001576E6"/>
    <w:rsid w:val="00160614"/>
    <w:rsid w:val="001616C7"/>
    <w:rsid w:val="00161F0F"/>
    <w:rsid w:val="001642C2"/>
    <w:rsid w:val="001666B7"/>
    <w:rsid w:val="00167210"/>
    <w:rsid w:val="001677D6"/>
    <w:rsid w:val="00170543"/>
    <w:rsid w:val="00173392"/>
    <w:rsid w:val="00180410"/>
    <w:rsid w:val="0018144D"/>
    <w:rsid w:val="00182443"/>
    <w:rsid w:val="001843C3"/>
    <w:rsid w:val="00190571"/>
    <w:rsid w:val="00190E5B"/>
    <w:rsid w:val="001947FD"/>
    <w:rsid w:val="001950D8"/>
    <w:rsid w:val="00195759"/>
    <w:rsid w:val="00196EC6"/>
    <w:rsid w:val="0019788D"/>
    <w:rsid w:val="001A0E6E"/>
    <w:rsid w:val="001A147D"/>
    <w:rsid w:val="001A6FFE"/>
    <w:rsid w:val="001A7A23"/>
    <w:rsid w:val="001B03A8"/>
    <w:rsid w:val="001B283F"/>
    <w:rsid w:val="001B3373"/>
    <w:rsid w:val="001B5D33"/>
    <w:rsid w:val="001B7308"/>
    <w:rsid w:val="001B7FB1"/>
    <w:rsid w:val="001C1A09"/>
    <w:rsid w:val="001C2161"/>
    <w:rsid w:val="001C2E31"/>
    <w:rsid w:val="001C40A1"/>
    <w:rsid w:val="001C477C"/>
    <w:rsid w:val="001C4B64"/>
    <w:rsid w:val="001C63F1"/>
    <w:rsid w:val="001C750E"/>
    <w:rsid w:val="001D02AE"/>
    <w:rsid w:val="001D27C2"/>
    <w:rsid w:val="001D27E3"/>
    <w:rsid w:val="001D3423"/>
    <w:rsid w:val="001D6615"/>
    <w:rsid w:val="001E09ED"/>
    <w:rsid w:val="001E2720"/>
    <w:rsid w:val="001E32D4"/>
    <w:rsid w:val="001E35ED"/>
    <w:rsid w:val="001E4902"/>
    <w:rsid w:val="001E5A59"/>
    <w:rsid w:val="001E7E6E"/>
    <w:rsid w:val="001F1D4A"/>
    <w:rsid w:val="001F2997"/>
    <w:rsid w:val="001F2EC0"/>
    <w:rsid w:val="001F3669"/>
    <w:rsid w:val="001F36D0"/>
    <w:rsid w:val="001F4E5F"/>
    <w:rsid w:val="001F5172"/>
    <w:rsid w:val="001F616F"/>
    <w:rsid w:val="001F7D30"/>
    <w:rsid w:val="00200312"/>
    <w:rsid w:val="0020381A"/>
    <w:rsid w:val="00203A5E"/>
    <w:rsid w:val="00203F2F"/>
    <w:rsid w:val="00205B6E"/>
    <w:rsid w:val="00205FC3"/>
    <w:rsid w:val="00207B2B"/>
    <w:rsid w:val="00210735"/>
    <w:rsid w:val="0021740F"/>
    <w:rsid w:val="0021AA9F"/>
    <w:rsid w:val="002222DC"/>
    <w:rsid w:val="002224B5"/>
    <w:rsid w:val="00222A87"/>
    <w:rsid w:val="00222E8B"/>
    <w:rsid w:val="00222FCE"/>
    <w:rsid w:val="00224C55"/>
    <w:rsid w:val="00224E20"/>
    <w:rsid w:val="00226A05"/>
    <w:rsid w:val="00227CE1"/>
    <w:rsid w:val="00232035"/>
    <w:rsid w:val="0023262C"/>
    <w:rsid w:val="00232E28"/>
    <w:rsid w:val="00233631"/>
    <w:rsid w:val="0023599C"/>
    <w:rsid w:val="00235F1B"/>
    <w:rsid w:val="00237180"/>
    <w:rsid w:val="00237F88"/>
    <w:rsid w:val="00240856"/>
    <w:rsid w:val="0024200C"/>
    <w:rsid w:val="00242AAC"/>
    <w:rsid w:val="002433D4"/>
    <w:rsid w:val="00243AD8"/>
    <w:rsid w:val="00243CC0"/>
    <w:rsid w:val="0024584E"/>
    <w:rsid w:val="00247B31"/>
    <w:rsid w:val="00250CF8"/>
    <w:rsid w:val="00254071"/>
    <w:rsid w:val="00254277"/>
    <w:rsid w:val="00254D46"/>
    <w:rsid w:val="0025684A"/>
    <w:rsid w:val="0025755E"/>
    <w:rsid w:val="002602E7"/>
    <w:rsid w:val="0026183C"/>
    <w:rsid w:val="002628E3"/>
    <w:rsid w:val="00263B33"/>
    <w:rsid w:val="00264685"/>
    <w:rsid w:val="0026786E"/>
    <w:rsid w:val="002707ED"/>
    <w:rsid w:val="00270BC4"/>
    <w:rsid w:val="00270F6A"/>
    <w:rsid w:val="0027176B"/>
    <w:rsid w:val="002749A7"/>
    <w:rsid w:val="002807EA"/>
    <w:rsid w:val="00281ADF"/>
    <w:rsid w:val="00282482"/>
    <w:rsid w:val="002873B7"/>
    <w:rsid w:val="00287F4C"/>
    <w:rsid w:val="0029016E"/>
    <w:rsid w:val="002946D3"/>
    <w:rsid w:val="002A0068"/>
    <w:rsid w:val="002A255F"/>
    <w:rsid w:val="002A4CA1"/>
    <w:rsid w:val="002A6792"/>
    <w:rsid w:val="002B3907"/>
    <w:rsid w:val="002B55CF"/>
    <w:rsid w:val="002B74AE"/>
    <w:rsid w:val="002C06D2"/>
    <w:rsid w:val="002C258D"/>
    <w:rsid w:val="002C3952"/>
    <w:rsid w:val="002C3F2C"/>
    <w:rsid w:val="002C471B"/>
    <w:rsid w:val="002C643D"/>
    <w:rsid w:val="002C67D5"/>
    <w:rsid w:val="002C6DCB"/>
    <w:rsid w:val="002C737A"/>
    <w:rsid w:val="002D1BA1"/>
    <w:rsid w:val="002D33E6"/>
    <w:rsid w:val="002D350E"/>
    <w:rsid w:val="002D36DA"/>
    <w:rsid w:val="002D3F34"/>
    <w:rsid w:val="002D4AF3"/>
    <w:rsid w:val="002D53D9"/>
    <w:rsid w:val="002D63DF"/>
    <w:rsid w:val="002D6CC0"/>
    <w:rsid w:val="002D7784"/>
    <w:rsid w:val="002E0D24"/>
    <w:rsid w:val="002E3A7E"/>
    <w:rsid w:val="002E5709"/>
    <w:rsid w:val="002E71CD"/>
    <w:rsid w:val="002F2311"/>
    <w:rsid w:val="002F3A92"/>
    <w:rsid w:val="002F3B54"/>
    <w:rsid w:val="002F4124"/>
    <w:rsid w:val="002F57FA"/>
    <w:rsid w:val="002F7219"/>
    <w:rsid w:val="002F79C7"/>
    <w:rsid w:val="00301468"/>
    <w:rsid w:val="00305296"/>
    <w:rsid w:val="0030751B"/>
    <w:rsid w:val="003118D3"/>
    <w:rsid w:val="00312503"/>
    <w:rsid w:val="003159D2"/>
    <w:rsid w:val="00317072"/>
    <w:rsid w:val="00320121"/>
    <w:rsid w:val="003228F4"/>
    <w:rsid w:val="00322C1D"/>
    <w:rsid w:val="003239FC"/>
    <w:rsid w:val="0032503F"/>
    <w:rsid w:val="0032762C"/>
    <w:rsid w:val="00330E0B"/>
    <w:rsid w:val="00332006"/>
    <w:rsid w:val="00332E1D"/>
    <w:rsid w:val="00333F9B"/>
    <w:rsid w:val="00341CF5"/>
    <w:rsid w:val="00343E92"/>
    <w:rsid w:val="00343EE5"/>
    <w:rsid w:val="00345192"/>
    <w:rsid w:val="00347DD8"/>
    <w:rsid w:val="0035076E"/>
    <w:rsid w:val="003523C4"/>
    <w:rsid w:val="0035304E"/>
    <w:rsid w:val="00354158"/>
    <w:rsid w:val="00356CD3"/>
    <w:rsid w:val="00356F5B"/>
    <w:rsid w:val="00357850"/>
    <w:rsid w:val="003618E2"/>
    <w:rsid w:val="003629E5"/>
    <w:rsid w:val="00363D0C"/>
    <w:rsid w:val="00364D5E"/>
    <w:rsid w:val="0036588E"/>
    <w:rsid w:val="003673E2"/>
    <w:rsid w:val="003701F1"/>
    <w:rsid w:val="00371138"/>
    <w:rsid w:val="003737DE"/>
    <w:rsid w:val="00373930"/>
    <w:rsid w:val="00373A85"/>
    <w:rsid w:val="003742F2"/>
    <w:rsid w:val="003749F6"/>
    <w:rsid w:val="00375129"/>
    <w:rsid w:val="00376257"/>
    <w:rsid w:val="00376CA9"/>
    <w:rsid w:val="0037763E"/>
    <w:rsid w:val="00380F88"/>
    <w:rsid w:val="003814B3"/>
    <w:rsid w:val="00382F05"/>
    <w:rsid w:val="003846B0"/>
    <w:rsid w:val="0039002C"/>
    <w:rsid w:val="0039085E"/>
    <w:rsid w:val="00391674"/>
    <w:rsid w:val="00391742"/>
    <w:rsid w:val="00397042"/>
    <w:rsid w:val="00397EEE"/>
    <w:rsid w:val="003A04D2"/>
    <w:rsid w:val="003A0E6E"/>
    <w:rsid w:val="003A1C80"/>
    <w:rsid w:val="003A3595"/>
    <w:rsid w:val="003A47CC"/>
    <w:rsid w:val="003A61E8"/>
    <w:rsid w:val="003A6DBD"/>
    <w:rsid w:val="003A7BDC"/>
    <w:rsid w:val="003B264A"/>
    <w:rsid w:val="003B2DC9"/>
    <w:rsid w:val="003B31BC"/>
    <w:rsid w:val="003B32E3"/>
    <w:rsid w:val="003B5BA9"/>
    <w:rsid w:val="003B7239"/>
    <w:rsid w:val="003B7FBD"/>
    <w:rsid w:val="003C02FE"/>
    <w:rsid w:val="003C0EFF"/>
    <w:rsid w:val="003C1F11"/>
    <w:rsid w:val="003C25D4"/>
    <w:rsid w:val="003C26A3"/>
    <w:rsid w:val="003C3039"/>
    <w:rsid w:val="003C3CD4"/>
    <w:rsid w:val="003D210D"/>
    <w:rsid w:val="003D385F"/>
    <w:rsid w:val="003D46DE"/>
    <w:rsid w:val="003D662A"/>
    <w:rsid w:val="003D71A9"/>
    <w:rsid w:val="003E03C2"/>
    <w:rsid w:val="003E2ABA"/>
    <w:rsid w:val="003E3D8D"/>
    <w:rsid w:val="003E52A3"/>
    <w:rsid w:val="003E7BC8"/>
    <w:rsid w:val="003F2858"/>
    <w:rsid w:val="003F2B2C"/>
    <w:rsid w:val="003F37F8"/>
    <w:rsid w:val="003F40F9"/>
    <w:rsid w:val="003F494A"/>
    <w:rsid w:val="003F4A2B"/>
    <w:rsid w:val="003F4DC6"/>
    <w:rsid w:val="00400AAA"/>
    <w:rsid w:val="0040228D"/>
    <w:rsid w:val="004076D3"/>
    <w:rsid w:val="00407D92"/>
    <w:rsid w:val="00410289"/>
    <w:rsid w:val="004108D6"/>
    <w:rsid w:val="00410A75"/>
    <w:rsid w:val="00412471"/>
    <w:rsid w:val="00414527"/>
    <w:rsid w:val="00415C7C"/>
    <w:rsid w:val="004164D0"/>
    <w:rsid w:val="004207E9"/>
    <w:rsid w:val="0042159A"/>
    <w:rsid w:val="004222C4"/>
    <w:rsid w:val="0042690E"/>
    <w:rsid w:val="00426C11"/>
    <w:rsid w:val="00430839"/>
    <w:rsid w:val="00430F5D"/>
    <w:rsid w:val="0043421A"/>
    <w:rsid w:val="00434DBD"/>
    <w:rsid w:val="00435C01"/>
    <w:rsid w:val="00435F4E"/>
    <w:rsid w:val="00437F93"/>
    <w:rsid w:val="00440EF4"/>
    <w:rsid w:val="00441E8D"/>
    <w:rsid w:val="00443E56"/>
    <w:rsid w:val="00445AC2"/>
    <w:rsid w:val="004460FF"/>
    <w:rsid w:val="004461FB"/>
    <w:rsid w:val="00447C54"/>
    <w:rsid w:val="00450444"/>
    <w:rsid w:val="004508EE"/>
    <w:rsid w:val="004520DE"/>
    <w:rsid w:val="00452FBB"/>
    <w:rsid w:val="00454733"/>
    <w:rsid w:val="0045485E"/>
    <w:rsid w:val="0046159D"/>
    <w:rsid w:val="004617CB"/>
    <w:rsid w:val="00461872"/>
    <w:rsid w:val="004633AD"/>
    <w:rsid w:val="004661B3"/>
    <w:rsid w:val="00466DB6"/>
    <w:rsid w:val="00467201"/>
    <w:rsid w:val="00470204"/>
    <w:rsid w:val="0047023F"/>
    <w:rsid w:val="00471D01"/>
    <w:rsid w:val="00476A7D"/>
    <w:rsid w:val="004773C2"/>
    <w:rsid w:val="0047749D"/>
    <w:rsid w:val="0047758D"/>
    <w:rsid w:val="00477A8E"/>
    <w:rsid w:val="004819A3"/>
    <w:rsid w:val="00481EF9"/>
    <w:rsid w:val="00482121"/>
    <w:rsid w:val="00482793"/>
    <w:rsid w:val="004831D4"/>
    <w:rsid w:val="00484CDE"/>
    <w:rsid w:val="00486682"/>
    <w:rsid w:val="00490900"/>
    <w:rsid w:val="00491166"/>
    <w:rsid w:val="00491C5E"/>
    <w:rsid w:val="004925F5"/>
    <w:rsid w:val="00493858"/>
    <w:rsid w:val="00493C29"/>
    <w:rsid w:val="00495EDB"/>
    <w:rsid w:val="00495EE5"/>
    <w:rsid w:val="00496F8C"/>
    <w:rsid w:val="004A0F0A"/>
    <w:rsid w:val="004A1739"/>
    <w:rsid w:val="004A2A51"/>
    <w:rsid w:val="004A2F73"/>
    <w:rsid w:val="004A47C8"/>
    <w:rsid w:val="004A4E5C"/>
    <w:rsid w:val="004A599E"/>
    <w:rsid w:val="004A7C73"/>
    <w:rsid w:val="004B29BB"/>
    <w:rsid w:val="004B3189"/>
    <w:rsid w:val="004B55AA"/>
    <w:rsid w:val="004B5EC2"/>
    <w:rsid w:val="004B736E"/>
    <w:rsid w:val="004C0C34"/>
    <w:rsid w:val="004C10FB"/>
    <w:rsid w:val="004C2A27"/>
    <w:rsid w:val="004C44F6"/>
    <w:rsid w:val="004C6164"/>
    <w:rsid w:val="004D035B"/>
    <w:rsid w:val="004D08D6"/>
    <w:rsid w:val="004D3430"/>
    <w:rsid w:val="004D3991"/>
    <w:rsid w:val="004D3B63"/>
    <w:rsid w:val="004D401A"/>
    <w:rsid w:val="004D6FDA"/>
    <w:rsid w:val="004D7C93"/>
    <w:rsid w:val="004E28DD"/>
    <w:rsid w:val="004E3542"/>
    <w:rsid w:val="004E5A06"/>
    <w:rsid w:val="004F02F0"/>
    <w:rsid w:val="004F1763"/>
    <w:rsid w:val="004F396F"/>
    <w:rsid w:val="004F56DA"/>
    <w:rsid w:val="004F6F8C"/>
    <w:rsid w:val="004F73A0"/>
    <w:rsid w:val="004F7BC4"/>
    <w:rsid w:val="00502F0B"/>
    <w:rsid w:val="00505150"/>
    <w:rsid w:val="00505C56"/>
    <w:rsid w:val="00506C6E"/>
    <w:rsid w:val="00506D92"/>
    <w:rsid w:val="00512019"/>
    <w:rsid w:val="00512040"/>
    <w:rsid w:val="005128D6"/>
    <w:rsid w:val="005139CF"/>
    <w:rsid w:val="00515941"/>
    <w:rsid w:val="005160B3"/>
    <w:rsid w:val="005163CB"/>
    <w:rsid w:val="00520BB8"/>
    <w:rsid w:val="00520DAF"/>
    <w:rsid w:val="005210FD"/>
    <w:rsid w:val="005213F0"/>
    <w:rsid w:val="00522AA0"/>
    <w:rsid w:val="00523134"/>
    <w:rsid w:val="00526194"/>
    <w:rsid w:val="005272EB"/>
    <w:rsid w:val="0053023C"/>
    <w:rsid w:val="00533423"/>
    <w:rsid w:val="00535309"/>
    <w:rsid w:val="00537880"/>
    <w:rsid w:val="0054273E"/>
    <w:rsid w:val="00543D6F"/>
    <w:rsid w:val="00545E7F"/>
    <w:rsid w:val="00546D23"/>
    <w:rsid w:val="00546D75"/>
    <w:rsid w:val="00550041"/>
    <w:rsid w:val="005511B8"/>
    <w:rsid w:val="0055605A"/>
    <w:rsid w:val="00556509"/>
    <w:rsid w:val="0055766D"/>
    <w:rsid w:val="00557760"/>
    <w:rsid w:val="00560936"/>
    <w:rsid w:val="00563EA0"/>
    <w:rsid w:val="0056456B"/>
    <w:rsid w:val="005645DA"/>
    <w:rsid w:val="00566E9D"/>
    <w:rsid w:val="00567D72"/>
    <w:rsid w:val="0057060A"/>
    <w:rsid w:val="00572727"/>
    <w:rsid w:val="00575FB3"/>
    <w:rsid w:val="00576015"/>
    <w:rsid w:val="005809FA"/>
    <w:rsid w:val="00582395"/>
    <w:rsid w:val="0058441B"/>
    <w:rsid w:val="005853C7"/>
    <w:rsid w:val="00585496"/>
    <w:rsid w:val="005868CC"/>
    <w:rsid w:val="00587017"/>
    <w:rsid w:val="00587710"/>
    <w:rsid w:val="00590A9E"/>
    <w:rsid w:val="00590CE9"/>
    <w:rsid w:val="005913B0"/>
    <w:rsid w:val="00593417"/>
    <w:rsid w:val="00594253"/>
    <w:rsid w:val="005943F6"/>
    <w:rsid w:val="00594845"/>
    <w:rsid w:val="0059625E"/>
    <w:rsid w:val="005A0F66"/>
    <w:rsid w:val="005A5453"/>
    <w:rsid w:val="005A54C5"/>
    <w:rsid w:val="005A708B"/>
    <w:rsid w:val="005B0205"/>
    <w:rsid w:val="005B1A02"/>
    <w:rsid w:val="005B1EB7"/>
    <w:rsid w:val="005B668F"/>
    <w:rsid w:val="005B722A"/>
    <w:rsid w:val="005C0C62"/>
    <w:rsid w:val="005C0CCE"/>
    <w:rsid w:val="005C0D4E"/>
    <w:rsid w:val="005C295A"/>
    <w:rsid w:val="005C2CAA"/>
    <w:rsid w:val="005C5256"/>
    <w:rsid w:val="005C5416"/>
    <w:rsid w:val="005C5F9D"/>
    <w:rsid w:val="005C6BF2"/>
    <w:rsid w:val="005C72E6"/>
    <w:rsid w:val="005C7D7D"/>
    <w:rsid w:val="005D064E"/>
    <w:rsid w:val="005D0873"/>
    <w:rsid w:val="005D1540"/>
    <w:rsid w:val="005D3C6E"/>
    <w:rsid w:val="005D6AB1"/>
    <w:rsid w:val="005D6CA6"/>
    <w:rsid w:val="005D70D1"/>
    <w:rsid w:val="005D71B9"/>
    <w:rsid w:val="005D79B0"/>
    <w:rsid w:val="005E0499"/>
    <w:rsid w:val="005E1288"/>
    <w:rsid w:val="005E2343"/>
    <w:rsid w:val="005E2483"/>
    <w:rsid w:val="005E2596"/>
    <w:rsid w:val="005E35FB"/>
    <w:rsid w:val="005E3AD8"/>
    <w:rsid w:val="005E4077"/>
    <w:rsid w:val="005E489F"/>
    <w:rsid w:val="005E676D"/>
    <w:rsid w:val="005F0C6D"/>
    <w:rsid w:val="005F3853"/>
    <w:rsid w:val="005F67A5"/>
    <w:rsid w:val="005F6E78"/>
    <w:rsid w:val="005F6E95"/>
    <w:rsid w:val="005F78B0"/>
    <w:rsid w:val="0060008F"/>
    <w:rsid w:val="0060110F"/>
    <w:rsid w:val="00604B32"/>
    <w:rsid w:val="00605EEE"/>
    <w:rsid w:val="00607405"/>
    <w:rsid w:val="00607D73"/>
    <w:rsid w:val="00614CA9"/>
    <w:rsid w:val="00623154"/>
    <w:rsid w:val="00624FCE"/>
    <w:rsid w:val="00630352"/>
    <w:rsid w:val="00630AB5"/>
    <w:rsid w:val="00632123"/>
    <w:rsid w:val="00632539"/>
    <w:rsid w:val="00633BF7"/>
    <w:rsid w:val="006352D1"/>
    <w:rsid w:val="00636BFE"/>
    <w:rsid w:val="0063793E"/>
    <w:rsid w:val="00640EC5"/>
    <w:rsid w:val="00643B8A"/>
    <w:rsid w:val="00644BAD"/>
    <w:rsid w:val="00645300"/>
    <w:rsid w:val="0064559C"/>
    <w:rsid w:val="00652542"/>
    <w:rsid w:val="00652771"/>
    <w:rsid w:val="0065313B"/>
    <w:rsid w:val="00654D6B"/>
    <w:rsid w:val="00655730"/>
    <w:rsid w:val="00656638"/>
    <w:rsid w:val="006568E1"/>
    <w:rsid w:val="00660A22"/>
    <w:rsid w:val="00661684"/>
    <w:rsid w:val="00661989"/>
    <w:rsid w:val="006619C6"/>
    <w:rsid w:val="00661C30"/>
    <w:rsid w:val="0066459F"/>
    <w:rsid w:val="00667A38"/>
    <w:rsid w:val="006702FA"/>
    <w:rsid w:val="00670C79"/>
    <w:rsid w:val="006711A0"/>
    <w:rsid w:val="0067129E"/>
    <w:rsid w:val="00676CBE"/>
    <w:rsid w:val="0067753E"/>
    <w:rsid w:val="0067795F"/>
    <w:rsid w:val="006813E6"/>
    <w:rsid w:val="00685BD9"/>
    <w:rsid w:val="00686118"/>
    <w:rsid w:val="00686FC5"/>
    <w:rsid w:val="00691281"/>
    <w:rsid w:val="00693917"/>
    <w:rsid w:val="006969E1"/>
    <w:rsid w:val="006A1F03"/>
    <w:rsid w:val="006A3B7A"/>
    <w:rsid w:val="006A6550"/>
    <w:rsid w:val="006A67E5"/>
    <w:rsid w:val="006A7E4B"/>
    <w:rsid w:val="006B011D"/>
    <w:rsid w:val="006B1910"/>
    <w:rsid w:val="006B2721"/>
    <w:rsid w:val="006B4709"/>
    <w:rsid w:val="006C06EB"/>
    <w:rsid w:val="006C2D39"/>
    <w:rsid w:val="006C4818"/>
    <w:rsid w:val="006C5478"/>
    <w:rsid w:val="006C7A85"/>
    <w:rsid w:val="006D06D8"/>
    <w:rsid w:val="006D5350"/>
    <w:rsid w:val="006D5BCA"/>
    <w:rsid w:val="006D65FF"/>
    <w:rsid w:val="006D711C"/>
    <w:rsid w:val="006E08E3"/>
    <w:rsid w:val="006E0E25"/>
    <w:rsid w:val="006E1758"/>
    <w:rsid w:val="006E39A2"/>
    <w:rsid w:val="006E6FE1"/>
    <w:rsid w:val="006F197D"/>
    <w:rsid w:val="006F46B6"/>
    <w:rsid w:val="006F4F74"/>
    <w:rsid w:val="007001CF"/>
    <w:rsid w:val="00700D45"/>
    <w:rsid w:val="00701832"/>
    <w:rsid w:val="0070673E"/>
    <w:rsid w:val="00707790"/>
    <w:rsid w:val="00711526"/>
    <w:rsid w:val="00712E4C"/>
    <w:rsid w:val="007170E3"/>
    <w:rsid w:val="00721672"/>
    <w:rsid w:val="007231D5"/>
    <w:rsid w:val="0072430F"/>
    <w:rsid w:val="00724C08"/>
    <w:rsid w:val="0073053A"/>
    <w:rsid w:val="007305C4"/>
    <w:rsid w:val="007320AD"/>
    <w:rsid w:val="00732239"/>
    <w:rsid w:val="00732BB3"/>
    <w:rsid w:val="0073331B"/>
    <w:rsid w:val="007333B9"/>
    <w:rsid w:val="00734A1F"/>
    <w:rsid w:val="00737B35"/>
    <w:rsid w:val="00740446"/>
    <w:rsid w:val="00740473"/>
    <w:rsid w:val="00740488"/>
    <w:rsid w:val="00740499"/>
    <w:rsid w:val="00741C8F"/>
    <w:rsid w:val="0074335A"/>
    <w:rsid w:val="00743A45"/>
    <w:rsid w:val="00743FDB"/>
    <w:rsid w:val="00744155"/>
    <w:rsid w:val="00745D7B"/>
    <w:rsid w:val="00746C8C"/>
    <w:rsid w:val="00750814"/>
    <w:rsid w:val="00752BEE"/>
    <w:rsid w:val="007537B0"/>
    <w:rsid w:val="00754206"/>
    <w:rsid w:val="007545BA"/>
    <w:rsid w:val="0076096C"/>
    <w:rsid w:val="007609F1"/>
    <w:rsid w:val="007611E4"/>
    <w:rsid w:val="0076273E"/>
    <w:rsid w:val="007627DC"/>
    <w:rsid w:val="00762BE0"/>
    <w:rsid w:val="00764E12"/>
    <w:rsid w:val="00767A78"/>
    <w:rsid w:val="00770F4B"/>
    <w:rsid w:val="00771165"/>
    <w:rsid w:val="00773587"/>
    <w:rsid w:val="00777957"/>
    <w:rsid w:val="00777C0C"/>
    <w:rsid w:val="00780007"/>
    <w:rsid w:val="00780379"/>
    <w:rsid w:val="007825C2"/>
    <w:rsid w:val="007843BC"/>
    <w:rsid w:val="00786DA9"/>
    <w:rsid w:val="0079035A"/>
    <w:rsid w:val="00795F50"/>
    <w:rsid w:val="00796324"/>
    <w:rsid w:val="007A2C2F"/>
    <w:rsid w:val="007A3E33"/>
    <w:rsid w:val="007B00FD"/>
    <w:rsid w:val="007B38C9"/>
    <w:rsid w:val="007B4A3E"/>
    <w:rsid w:val="007B7381"/>
    <w:rsid w:val="007B78FE"/>
    <w:rsid w:val="007C028D"/>
    <w:rsid w:val="007C133C"/>
    <w:rsid w:val="007C1695"/>
    <w:rsid w:val="007C1FBB"/>
    <w:rsid w:val="007C46A3"/>
    <w:rsid w:val="007C5594"/>
    <w:rsid w:val="007C6ABA"/>
    <w:rsid w:val="007C70E5"/>
    <w:rsid w:val="007C7D7C"/>
    <w:rsid w:val="007D3C5A"/>
    <w:rsid w:val="007E0FAC"/>
    <w:rsid w:val="007E1C21"/>
    <w:rsid w:val="007E31C5"/>
    <w:rsid w:val="007E4ADB"/>
    <w:rsid w:val="007E62A1"/>
    <w:rsid w:val="007E67F0"/>
    <w:rsid w:val="007E6D95"/>
    <w:rsid w:val="007E7092"/>
    <w:rsid w:val="007E7556"/>
    <w:rsid w:val="007E7F9C"/>
    <w:rsid w:val="007F0012"/>
    <w:rsid w:val="007F016C"/>
    <w:rsid w:val="007F0DB4"/>
    <w:rsid w:val="007F1A1E"/>
    <w:rsid w:val="007F2707"/>
    <w:rsid w:val="007F2880"/>
    <w:rsid w:val="007F2C92"/>
    <w:rsid w:val="007F4317"/>
    <w:rsid w:val="007F6F26"/>
    <w:rsid w:val="00803A59"/>
    <w:rsid w:val="00807724"/>
    <w:rsid w:val="00807E91"/>
    <w:rsid w:val="0081152B"/>
    <w:rsid w:val="00811CBD"/>
    <w:rsid w:val="00811FB1"/>
    <w:rsid w:val="00812C90"/>
    <w:rsid w:val="00813B4C"/>
    <w:rsid w:val="00814676"/>
    <w:rsid w:val="0082211C"/>
    <w:rsid w:val="0082244D"/>
    <w:rsid w:val="00822931"/>
    <w:rsid w:val="008231A6"/>
    <w:rsid w:val="0082341D"/>
    <w:rsid w:val="00823717"/>
    <w:rsid w:val="00825BC2"/>
    <w:rsid w:val="00825C40"/>
    <w:rsid w:val="00826266"/>
    <w:rsid w:val="0083587C"/>
    <w:rsid w:val="00840522"/>
    <w:rsid w:val="00842E7C"/>
    <w:rsid w:val="008447E6"/>
    <w:rsid w:val="0084704C"/>
    <w:rsid w:val="008533AE"/>
    <w:rsid w:val="00854509"/>
    <w:rsid w:val="008567D3"/>
    <w:rsid w:val="008569CA"/>
    <w:rsid w:val="008626D6"/>
    <w:rsid w:val="00866F59"/>
    <w:rsid w:val="00866FF5"/>
    <w:rsid w:val="00867DFD"/>
    <w:rsid w:val="00872341"/>
    <w:rsid w:val="008760E2"/>
    <w:rsid w:val="00876BA8"/>
    <w:rsid w:val="00880819"/>
    <w:rsid w:val="0088277C"/>
    <w:rsid w:val="00884B6A"/>
    <w:rsid w:val="00885170"/>
    <w:rsid w:val="008855AB"/>
    <w:rsid w:val="00890314"/>
    <w:rsid w:val="00895887"/>
    <w:rsid w:val="00896D86"/>
    <w:rsid w:val="0089792F"/>
    <w:rsid w:val="008A0C4E"/>
    <w:rsid w:val="008A0D6B"/>
    <w:rsid w:val="008A1A9A"/>
    <w:rsid w:val="008A1FBF"/>
    <w:rsid w:val="008A2422"/>
    <w:rsid w:val="008A5281"/>
    <w:rsid w:val="008A5C04"/>
    <w:rsid w:val="008A63C4"/>
    <w:rsid w:val="008A6A06"/>
    <w:rsid w:val="008A7191"/>
    <w:rsid w:val="008B1357"/>
    <w:rsid w:val="008B25E8"/>
    <w:rsid w:val="008B6435"/>
    <w:rsid w:val="008B6F0F"/>
    <w:rsid w:val="008C0718"/>
    <w:rsid w:val="008C0A8B"/>
    <w:rsid w:val="008C2500"/>
    <w:rsid w:val="008C5C33"/>
    <w:rsid w:val="008C6679"/>
    <w:rsid w:val="008D1081"/>
    <w:rsid w:val="008D1D55"/>
    <w:rsid w:val="008D24C2"/>
    <w:rsid w:val="008D2605"/>
    <w:rsid w:val="008D2D71"/>
    <w:rsid w:val="008D348C"/>
    <w:rsid w:val="008D41C5"/>
    <w:rsid w:val="008D5539"/>
    <w:rsid w:val="008E03F1"/>
    <w:rsid w:val="008E056F"/>
    <w:rsid w:val="008E64B4"/>
    <w:rsid w:val="008E6722"/>
    <w:rsid w:val="008E7576"/>
    <w:rsid w:val="008F4FEB"/>
    <w:rsid w:val="008F7936"/>
    <w:rsid w:val="009008B4"/>
    <w:rsid w:val="0090213D"/>
    <w:rsid w:val="009026A4"/>
    <w:rsid w:val="00902976"/>
    <w:rsid w:val="00904010"/>
    <w:rsid w:val="009117B2"/>
    <w:rsid w:val="00913191"/>
    <w:rsid w:val="00914A9C"/>
    <w:rsid w:val="00915192"/>
    <w:rsid w:val="00915AD0"/>
    <w:rsid w:val="00920065"/>
    <w:rsid w:val="0092015A"/>
    <w:rsid w:val="009215A6"/>
    <w:rsid w:val="00921AFC"/>
    <w:rsid w:val="0092275D"/>
    <w:rsid w:val="00927363"/>
    <w:rsid w:val="00934AF8"/>
    <w:rsid w:val="00934D54"/>
    <w:rsid w:val="009354EB"/>
    <w:rsid w:val="00936935"/>
    <w:rsid w:val="0093710E"/>
    <w:rsid w:val="0093743E"/>
    <w:rsid w:val="00940F62"/>
    <w:rsid w:val="009443E1"/>
    <w:rsid w:val="00944DCF"/>
    <w:rsid w:val="00945A8A"/>
    <w:rsid w:val="00946A39"/>
    <w:rsid w:val="00946F0C"/>
    <w:rsid w:val="00946F4E"/>
    <w:rsid w:val="00951B5A"/>
    <w:rsid w:val="00951CF2"/>
    <w:rsid w:val="00955AB2"/>
    <w:rsid w:val="00960E6D"/>
    <w:rsid w:val="009623F3"/>
    <w:rsid w:val="00962BD2"/>
    <w:rsid w:val="0096331C"/>
    <w:rsid w:val="00963727"/>
    <w:rsid w:val="009648DB"/>
    <w:rsid w:val="00970C74"/>
    <w:rsid w:val="00971B78"/>
    <w:rsid w:val="009720D6"/>
    <w:rsid w:val="00973354"/>
    <w:rsid w:val="009744DA"/>
    <w:rsid w:val="00980296"/>
    <w:rsid w:val="009808CD"/>
    <w:rsid w:val="00987FC5"/>
    <w:rsid w:val="0098BBDC"/>
    <w:rsid w:val="00991A51"/>
    <w:rsid w:val="00992F82"/>
    <w:rsid w:val="009948E8"/>
    <w:rsid w:val="00995D5F"/>
    <w:rsid w:val="00995DFE"/>
    <w:rsid w:val="009A2076"/>
    <w:rsid w:val="009A3DFB"/>
    <w:rsid w:val="009A5D8D"/>
    <w:rsid w:val="009A5E91"/>
    <w:rsid w:val="009A6756"/>
    <w:rsid w:val="009A7C9B"/>
    <w:rsid w:val="009B2613"/>
    <w:rsid w:val="009B3301"/>
    <w:rsid w:val="009B5302"/>
    <w:rsid w:val="009B6DFD"/>
    <w:rsid w:val="009C02D2"/>
    <w:rsid w:val="009C2448"/>
    <w:rsid w:val="009C6633"/>
    <w:rsid w:val="009D04CA"/>
    <w:rsid w:val="009D179F"/>
    <w:rsid w:val="009D397E"/>
    <w:rsid w:val="009D4C28"/>
    <w:rsid w:val="009D513F"/>
    <w:rsid w:val="009D5CF8"/>
    <w:rsid w:val="009D5F69"/>
    <w:rsid w:val="009D670E"/>
    <w:rsid w:val="009D7710"/>
    <w:rsid w:val="009D77B7"/>
    <w:rsid w:val="009E0DA8"/>
    <w:rsid w:val="009F02E8"/>
    <w:rsid w:val="009F208A"/>
    <w:rsid w:val="009F3E40"/>
    <w:rsid w:val="009F426D"/>
    <w:rsid w:val="009F4D83"/>
    <w:rsid w:val="00A006DC"/>
    <w:rsid w:val="00A07FED"/>
    <w:rsid w:val="00A12825"/>
    <w:rsid w:val="00A13233"/>
    <w:rsid w:val="00A14CEC"/>
    <w:rsid w:val="00A24447"/>
    <w:rsid w:val="00A2617D"/>
    <w:rsid w:val="00A269C7"/>
    <w:rsid w:val="00A27775"/>
    <w:rsid w:val="00A27808"/>
    <w:rsid w:val="00A30BD1"/>
    <w:rsid w:val="00A32353"/>
    <w:rsid w:val="00A33DCD"/>
    <w:rsid w:val="00A354ED"/>
    <w:rsid w:val="00A37437"/>
    <w:rsid w:val="00A37CA5"/>
    <w:rsid w:val="00A37DF9"/>
    <w:rsid w:val="00A37F0B"/>
    <w:rsid w:val="00A4050C"/>
    <w:rsid w:val="00A40D3F"/>
    <w:rsid w:val="00A44A99"/>
    <w:rsid w:val="00A461C2"/>
    <w:rsid w:val="00A5067E"/>
    <w:rsid w:val="00A50A52"/>
    <w:rsid w:val="00A50D3F"/>
    <w:rsid w:val="00A51B0D"/>
    <w:rsid w:val="00A52EF6"/>
    <w:rsid w:val="00A550B2"/>
    <w:rsid w:val="00A60155"/>
    <w:rsid w:val="00A60776"/>
    <w:rsid w:val="00A634F0"/>
    <w:rsid w:val="00A65253"/>
    <w:rsid w:val="00A65FAA"/>
    <w:rsid w:val="00A67970"/>
    <w:rsid w:val="00A70532"/>
    <w:rsid w:val="00A75EDF"/>
    <w:rsid w:val="00A814FC"/>
    <w:rsid w:val="00A81E08"/>
    <w:rsid w:val="00A84F7E"/>
    <w:rsid w:val="00A850C6"/>
    <w:rsid w:val="00A85421"/>
    <w:rsid w:val="00A95497"/>
    <w:rsid w:val="00A9617D"/>
    <w:rsid w:val="00AA49DA"/>
    <w:rsid w:val="00AA550C"/>
    <w:rsid w:val="00AA6914"/>
    <w:rsid w:val="00AA6AF0"/>
    <w:rsid w:val="00AA7139"/>
    <w:rsid w:val="00AA782E"/>
    <w:rsid w:val="00AB0CA7"/>
    <w:rsid w:val="00AB1D45"/>
    <w:rsid w:val="00AB3618"/>
    <w:rsid w:val="00AB40DE"/>
    <w:rsid w:val="00AB618D"/>
    <w:rsid w:val="00AC0BCD"/>
    <w:rsid w:val="00AC3E04"/>
    <w:rsid w:val="00AC7255"/>
    <w:rsid w:val="00AC7966"/>
    <w:rsid w:val="00AC7ED1"/>
    <w:rsid w:val="00AD3066"/>
    <w:rsid w:val="00AD343E"/>
    <w:rsid w:val="00AD34C3"/>
    <w:rsid w:val="00AD66D9"/>
    <w:rsid w:val="00AD699B"/>
    <w:rsid w:val="00AD71FA"/>
    <w:rsid w:val="00AE1125"/>
    <w:rsid w:val="00AE2126"/>
    <w:rsid w:val="00AE37BA"/>
    <w:rsid w:val="00AF01BD"/>
    <w:rsid w:val="00AF17CE"/>
    <w:rsid w:val="00AF46BA"/>
    <w:rsid w:val="00AF4F03"/>
    <w:rsid w:val="00B00E72"/>
    <w:rsid w:val="00B01D70"/>
    <w:rsid w:val="00B03C4F"/>
    <w:rsid w:val="00B04D01"/>
    <w:rsid w:val="00B04E45"/>
    <w:rsid w:val="00B10DC2"/>
    <w:rsid w:val="00B11E55"/>
    <w:rsid w:val="00B13345"/>
    <w:rsid w:val="00B210B2"/>
    <w:rsid w:val="00B212AE"/>
    <w:rsid w:val="00B22A5B"/>
    <w:rsid w:val="00B22BB6"/>
    <w:rsid w:val="00B24269"/>
    <w:rsid w:val="00B25568"/>
    <w:rsid w:val="00B27275"/>
    <w:rsid w:val="00B27F1A"/>
    <w:rsid w:val="00B312DE"/>
    <w:rsid w:val="00B32783"/>
    <w:rsid w:val="00B3284F"/>
    <w:rsid w:val="00B424FC"/>
    <w:rsid w:val="00B442E6"/>
    <w:rsid w:val="00B447C2"/>
    <w:rsid w:val="00B44994"/>
    <w:rsid w:val="00B44F13"/>
    <w:rsid w:val="00B45383"/>
    <w:rsid w:val="00B506BC"/>
    <w:rsid w:val="00B50CF6"/>
    <w:rsid w:val="00B517C2"/>
    <w:rsid w:val="00B51A17"/>
    <w:rsid w:val="00B57239"/>
    <w:rsid w:val="00B57DD3"/>
    <w:rsid w:val="00B61F70"/>
    <w:rsid w:val="00B62A7B"/>
    <w:rsid w:val="00B644C7"/>
    <w:rsid w:val="00B64912"/>
    <w:rsid w:val="00B64B56"/>
    <w:rsid w:val="00B65A2E"/>
    <w:rsid w:val="00B67B15"/>
    <w:rsid w:val="00B7353A"/>
    <w:rsid w:val="00B74D1B"/>
    <w:rsid w:val="00B8454B"/>
    <w:rsid w:val="00B8596F"/>
    <w:rsid w:val="00B86B78"/>
    <w:rsid w:val="00B87E48"/>
    <w:rsid w:val="00B9699E"/>
    <w:rsid w:val="00BA018A"/>
    <w:rsid w:val="00BA1A6B"/>
    <w:rsid w:val="00BA2DE8"/>
    <w:rsid w:val="00BA4B23"/>
    <w:rsid w:val="00BA55A6"/>
    <w:rsid w:val="00BA7493"/>
    <w:rsid w:val="00BB1AFB"/>
    <w:rsid w:val="00BB1D16"/>
    <w:rsid w:val="00BB29F4"/>
    <w:rsid w:val="00BB3EF2"/>
    <w:rsid w:val="00BB4B4B"/>
    <w:rsid w:val="00BB59F4"/>
    <w:rsid w:val="00BC18FA"/>
    <w:rsid w:val="00BC25E8"/>
    <w:rsid w:val="00BC326E"/>
    <w:rsid w:val="00BC59FF"/>
    <w:rsid w:val="00BC71DE"/>
    <w:rsid w:val="00BD080E"/>
    <w:rsid w:val="00BD10D9"/>
    <w:rsid w:val="00BD208C"/>
    <w:rsid w:val="00BD4BBB"/>
    <w:rsid w:val="00BD6F58"/>
    <w:rsid w:val="00BD7FBE"/>
    <w:rsid w:val="00BE0081"/>
    <w:rsid w:val="00BE00C8"/>
    <w:rsid w:val="00BE21F7"/>
    <w:rsid w:val="00BE3487"/>
    <w:rsid w:val="00BE7645"/>
    <w:rsid w:val="00BE7944"/>
    <w:rsid w:val="00BF1CC3"/>
    <w:rsid w:val="00BF3028"/>
    <w:rsid w:val="00BF6C79"/>
    <w:rsid w:val="00BF7BE9"/>
    <w:rsid w:val="00C00F3E"/>
    <w:rsid w:val="00C0455F"/>
    <w:rsid w:val="00C0607A"/>
    <w:rsid w:val="00C07243"/>
    <w:rsid w:val="00C106D4"/>
    <w:rsid w:val="00C10BDC"/>
    <w:rsid w:val="00C11179"/>
    <w:rsid w:val="00C116E3"/>
    <w:rsid w:val="00C11CBA"/>
    <w:rsid w:val="00C14635"/>
    <w:rsid w:val="00C15169"/>
    <w:rsid w:val="00C16B11"/>
    <w:rsid w:val="00C17E14"/>
    <w:rsid w:val="00C217CF"/>
    <w:rsid w:val="00C259A6"/>
    <w:rsid w:val="00C26C9D"/>
    <w:rsid w:val="00C26F78"/>
    <w:rsid w:val="00C31014"/>
    <w:rsid w:val="00C32235"/>
    <w:rsid w:val="00C342EE"/>
    <w:rsid w:val="00C377C3"/>
    <w:rsid w:val="00C42171"/>
    <w:rsid w:val="00C42C28"/>
    <w:rsid w:val="00C43B71"/>
    <w:rsid w:val="00C45BDE"/>
    <w:rsid w:val="00C54967"/>
    <w:rsid w:val="00C60835"/>
    <w:rsid w:val="00C61860"/>
    <w:rsid w:val="00C63F0F"/>
    <w:rsid w:val="00C63F7D"/>
    <w:rsid w:val="00C654AA"/>
    <w:rsid w:val="00C717E1"/>
    <w:rsid w:val="00C717FC"/>
    <w:rsid w:val="00C71C61"/>
    <w:rsid w:val="00C72B69"/>
    <w:rsid w:val="00C72E47"/>
    <w:rsid w:val="00C73D26"/>
    <w:rsid w:val="00C749F7"/>
    <w:rsid w:val="00C7650F"/>
    <w:rsid w:val="00C81814"/>
    <w:rsid w:val="00C829BE"/>
    <w:rsid w:val="00C82CC6"/>
    <w:rsid w:val="00C83BA0"/>
    <w:rsid w:val="00C85706"/>
    <w:rsid w:val="00C863D6"/>
    <w:rsid w:val="00C866BD"/>
    <w:rsid w:val="00C91283"/>
    <w:rsid w:val="00C920FA"/>
    <w:rsid w:val="00C927CB"/>
    <w:rsid w:val="00C92922"/>
    <w:rsid w:val="00C931FA"/>
    <w:rsid w:val="00CA00D7"/>
    <w:rsid w:val="00CA0A2A"/>
    <w:rsid w:val="00CA119B"/>
    <w:rsid w:val="00CA2F21"/>
    <w:rsid w:val="00CA3188"/>
    <w:rsid w:val="00CA373D"/>
    <w:rsid w:val="00CA3785"/>
    <w:rsid w:val="00CA3B91"/>
    <w:rsid w:val="00CA3DD0"/>
    <w:rsid w:val="00CA7601"/>
    <w:rsid w:val="00CB138F"/>
    <w:rsid w:val="00CB166D"/>
    <w:rsid w:val="00CB1F8F"/>
    <w:rsid w:val="00CB2D47"/>
    <w:rsid w:val="00CB3438"/>
    <w:rsid w:val="00CB4244"/>
    <w:rsid w:val="00CB5FC3"/>
    <w:rsid w:val="00CC22B0"/>
    <w:rsid w:val="00CC341E"/>
    <w:rsid w:val="00CC5E94"/>
    <w:rsid w:val="00CC76D7"/>
    <w:rsid w:val="00CD22DE"/>
    <w:rsid w:val="00CD253A"/>
    <w:rsid w:val="00CD27E9"/>
    <w:rsid w:val="00CD6876"/>
    <w:rsid w:val="00CD7314"/>
    <w:rsid w:val="00CE18DF"/>
    <w:rsid w:val="00CE236A"/>
    <w:rsid w:val="00CE2FCE"/>
    <w:rsid w:val="00CE3230"/>
    <w:rsid w:val="00CE3B7B"/>
    <w:rsid w:val="00CE50E6"/>
    <w:rsid w:val="00CE57EC"/>
    <w:rsid w:val="00CE5A13"/>
    <w:rsid w:val="00CE609F"/>
    <w:rsid w:val="00CE63C2"/>
    <w:rsid w:val="00CE7AA9"/>
    <w:rsid w:val="00CF184F"/>
    <w:rsid w:val="00CF2996"/>
    <w:rsid w:val="00CF32FC"/>
    <w:rsid w:val="00CF6D7C"/>
    <w:rsid w:val="00D02DF8"/>
    <w:rsid w:val="00D03CF7"/>
    <w:rsid w:val="00D04271"/>
    <w:rsid w:val="00D04CF3"/>
    <w:rsid w:val="00D05562"/>
    <w:rsid w:val="00D0576F"/>
    <w:rsid w:val="00D064D1"/>
    <w:rsid w:val="00D07669"/>
    <w:rsid w:val="00D07755"/>
    <w:rsid w:val="00D07A61"/>
    <w:rsid w:val="00D1034F"/>
    <w:rsid w:val="00D12BFA"/>
    <w:rsid w:val="00D17259"/>
    <w:rsid w:val="00D20737"/>
    <w:rsid w:val="00D26453"/>
    <w:rsid w:val="00D2682F"/>
    <w:rsid w:val="00D26E2B"/>
    <w:rsid w:val="00D270A8"/>
    <w:rsid w:val="00D27B82"/>
    <w:rsid w:val="00D335C8"/>
    <w:rsid w:val="00D35CC8"/>
    <w:rsid w:val="00D364D9"/>
    <w:rsid w:val="00D3678F"/>
    <w:rsid w:val="00D36C8C"/>
    <w:rsid w:val="00D374D7"/>
    <w:rsid w:val="00D377EA"/>
    <w:rsid w:val="00D37873"/>
    <w:rsid w:val="00D4237C"/>
    <w:rsid w:val="00D4491C"/>
    <w:rsid w:val="00D46C73"/>
    <w:rsid w:val="00D472A3"/>
    <w:rsid w:val="00D51627"/>
    <w:rsid w:val="00D5184C"/>
    <w:rsid w:val="00D51F3C"/>
    <w:rsid w:val="00D51FF6"/>
    <w:rsid w:val="00D57B59"/>
    <w:rsid w:val="00D607BC"/>
    <w:rsid w:val="00D62522"/>
    <w:rsid w:val="00D645B9"/>
    <w:rsid w:val="00D64A38"/>
    <w:rsid w:val="00D654E3"/>
    <w:rsid w:val="00D65DC3"/>
    <w:rsid w:val="00D66BF1"/>
    <w:rsid w:val="00D702C5"/>
    <w:rsid w:val="00D726D3"/>
    <w:rsid w:val="00D7458A"/>
    <w:rsid w:val="00D751FE"/>
    <w:rsid w:val="00D771CD"/>
    <w:rsid w:val="00D80EB5"/>
    <w:rsid w:val="00D82183"/>
    <w:rsid w:val="00D82E97"/>
    <w:rsid w:val="00D8419D"/>
    <w:rsid w:val="00D87AB5"/>
    <w:rsid w:val="00D912BC"/>
    <w:rsid w:val="00D91465"/>
    <w:rsid w:val="00D93AED"/>
    <w:rsid w:val="00D943EA"/>
    <w:rsid w:val="00D96989"/>
    <w:rsid w:val="00D96D7F"/>
    <w:rsid w:val="00DA065F"/>
    <w:rsid w:val="00DA3AFC"/>
    <w:rsid w:val="00DA3E62"/>
    <w:rsid w:val="00DA6399"/>
    <w:rsid w:val="00DA700C"/>
    <w:rsid w:val="00DB1FAE"/>
    <w:rsid w:val="00DB2409"/>
    <w:rsid w:val="00DB2A94"/>
    <w:rsid w:val="00DC0662"/>
    <w:rsid w:val="00DC0D02"/>
    <w:rsid w:val="00DC264D"/>
    <w:rsid w:val="00DC2AD1"/>
    <w:rsid w:val="00DC37CA"/>
    <w:rsid w:val="00DD50EF"/>
    <w:rsid w:val="00DD5BFF"/>
    <w:rsid w:val="00DE4D9A"/>
    <w:rsid w:val="00DE5B69"/>
    <w:rsid w:val="00DE6F10"/>
    <w:rsid w:val="00DF212E"/>
    <w:rsid w:val="00DF295C"/>
    <w:rsid w:val="00DF2F1C"/>
    <w:rsid w:val="00DF37AB"/>
    <w:rsid w:val="00DF5E1D"/>
    <w:rsid w:val="00DF60E7"/>
    <w:rsid w:val="00DF6B73"/>
    <w:rsid w:val="00DF6DBD"/>
    <w:rsid w:val="00DF71B4"/>
    <w:rsid w:val="00E01DD8"/>
    <w:rsid w:val="00E0421A"/>
    <w:rsid w:val="00E05B2F"/>
    <w:rsid w:val="00E07191"/>
    <w:rsid w:val="00E112C6"/>
    <w:rsid w:val="00E179A2"/>
    <w:rsid w:val="00E27AF7"/>
    <w:rsid w:val="00E303F5"/>
    <w:rsid w:val="00E34B01"/>
    <w:rsid w:val="00E37B30"/>
    <w:rsid w:val="00E409DB"/>
    <w:rsid w:val="00E4149E"/>
    <w:rsid w:val="00E431BD"/>
    <w:rsid w:val="00E45063"/>
    <w:rsid w:val="00E45246"/>
    <w:rsid w:val="00E51A3A"/>
    <w:rsid w:val="00E51CF6"/>
    <w:rsid w:val="00E5320A"/>
    <w:rsid w:val="00E53C46"/>
    <w:rsid w:val="00E5428D"/>
    <w:rsid w:val="00E54F0E"/>
    <w:rsid w:val="00E5701C"/>
    <w:rsid w:val="00E57F35"/>
    <w:rsid w:val="00E63FC5"/>
    <w:rsid w:val="00E643E7"/>
    <w:rsid w:val="00E670AF"/>
    <w:rsid w:val="00E70046"/>
    <w:rsid w:val="00E7232E"/>
    <w:rsid w:val="00E72C50"/>
    <w:rsid w:val="00E73225"/>
    <w:rsid w:val="00E73D25"/>
    <w:rsid w:val="00E7786A"/>
    <w:rsid w:val="00E80B5B"/>
    <w:rsid w:val="00E80F27"/>
    <w:rsid w:val="00E842FE"/>
    <w:rsid w:val="00E84813"/>
    <w:rsid w:val="00E87EFA"/>
    <w:rsid w:val="00E90576"/>
    <w:rsid w:val="00E9338A"/>
    <w:rsid w:val="00E93682"/>
    <w:rsid w:val="00E95C9A"/>
    <w:rsid w:val="00E97449"/>
    <w:rsid w:val="00E974B2"/>
    <w:rsid w:val="00EA0AD5"/>
    <w:rsid w:val="00EA0CD8"/>
    <w:rsid w:val="00EA352A"/>
    <w:rsid w:val="00EA3861"/>
    <w:rsid w:val="00EA51DF"/>
    <w:rsid w:val="00EB1E62"/>
    <w:rsid w:val="00EB34E6"/>
    <w:rsid w:val="00EB4674"/>
    <w:rsid w:val="00EB4C1B"/>
    <w:rsid w:val="00EC29D8"/>
    <w:rsid w:val="00EC307F"/>
    <w:rsid w:val="00EC311B"/>
    <w:rsid w:val="00EC5516"/>
    <w:rsid w:val="00EC7848"/>
    <w:rsid w:val="00ED0A54"/>
    <w:rsid w:val="00ED1C4F"/>
    <w:rsid w:val="00ED2BED"/>
    <w:rsid w:val="00ED31ED"/>
    <w:rsid w:val="00ED4673"/>
    <w:rsid w:val="00ED4AFB"/>
    <w:rsid w:val="00ED640C"/>
    <w:rsid w:val="00EE3026"/>
    <w:rsid w:val="00EE7F38"/>
    <w:rsid w:val="00EF0763"/>
    <w:rsid w:val="00EF0F3B"/>
    <w:rsid w:val="00EF15B7"/>
    <w:rsid w:val="00EF2948"/>
    <w:rsid w:val="00EF5B86"/>
    <w:rsid w:val="00F00E69"/>
    <w:rsid w:val="00F01181"/>
    <w:rsid w:val="00F040D7"/>
    <w:rsid w:val="00F05FF4"/>
    <w:rsid w:val="00F06A43"/>
    <w:rsid w:val="00F10033"/>
    <w:rsid w:val="00F103BA"/>
    <w:rsid w:val="00F10BDE"/>
    <w:rsid w:val="00F141C5"/>
    <w:rsid w:val="00F15223"/>
    <w:rsid w:val="00F16281"/>
    <w:rsid w:val="00F17B82"/>
    <w:rsid w:val="00F200BA"/>
    <w:rsid w:val="00F21B39"/>
    <w:rsid w:val="00F21FDB"/>
    <w:rsid w:val="00F22633"/>
    <w:rsid w:val="00F24636"/>
    <w:rsid w:val="00F2555D"/>
    <w:rsid w:val="00F25DDC"/>
    <w:rsid w:val="00F30E7B"/>
    <w:rsid w:val="00F31B46"/>
    <w:rsid w:val="00F32A93"/>
    <w:rsid w:val="00F35722"/>
    <w:rsid w:val="00F36833"/>
    <w:rsid w:val="00F401BE"/>
    <w:rsid w:val="00F412C9"/>
    <w:rsid w:val="00F445CA"/>
    <w:rsid w:val="00F44D4E"/>
    <w:rsid w:val="00F4794E"/>
    <w:rsid w:val="00F532A3"/>
    <w:rsid w:val="00F53326"/>
    <w:rsid w:val="00F56538"/>
    <w:rsid w:val="00F56FDD"/>
    <w:rsid w:val="00F57EBE"/>
    <w:rsid w:val="00F60D43"/>
    <w:rsid w:val="00F62A3A"/>
    <w:rsid w:val="00F645BD"/>
    <w:rsid w:val="00F64999"/>
    <w:rsid w:val="00F668FA"/>
    <w:rsid w:val="00F704D7"/>
    <w:rsid w:val="00F70A7D"/>
    <w:rsid w:val="00F718BB"/>
    <w:rsid w:val="00F733BB"/>
    <w:rsid w:val="00F764CE"/>
    <w:rsid w:val="00F76CAF"/>
    <w:rsid w:val="00F8295E"/>
    <w:rsid w:val="00F83E8A"/>
    <w:rsid w:val="00F848B4"/>
    <w:rsid w:val="00F852A6"/>
    <w:rsid w:val="00F86936"/>
    <w:rsid w:val="00F877EC"/>
    <w:rsid w:val="00F917CC"/>
    <w:rsid w:val="00F9263C"/>
    <w:rsid w:val="00F9659C"/>
    <w:rsid w:val="00F96721"/>
    <w:rsid w:val="00F9677D"/>
    <w:rsid w:val="00F967D4"/>
    <w:rsid w:val="00F96F41"/>
    <w:rsid w:val="00FA0C7F"/>
    <w:rsid w:val="00FA367D"/>
    <w:rsid w:val="00FB0F74"/>
    <w:rsid w:val="00FB1B1A"/>
    <w:rsid w:val="00FB23E2"/>
    <w:rsid w:val="00FB3FA1"/>
    <w:rsid w:val="00FB415C"/>
    <w:rsid w:val="00FB529B"/>
    <w:rsid w:val="00FB581F"/>
    <w:rsid w:val="00FB5B05"/>
    <w:rsid w:val="00FB626C"/>
    <w:rsid w:val="00FB6DEF"/>
    <w:rsid w:val="00FC3BF0"/>
    <w:rsid w:val="00FD058B"/>
    <w:rsid w:val="00FD0E75"/>
    <w:rsid w:val="00FD1B8B"/>
    <w:rsid w:val="00FD1D3A"/>
    <w:rsid w:val="00FD3747"/>
    <w:rsid w:val="00FD5672"/>
    <w:rsid w:val="00FE12CE"/>
    <w:rsid w:val="00FE1841"/>
    <w:rsid w:val="00FE2660"/>
    <w:rsid w:val="00FE7D6D"/>
    <w:rsid w:val="00FF090D"/>
    <w:rsid w:val="00FF1420"/>
    <w:rsid w:val="00FF19A1"/>
    <w:rsid w:val="00FF2B8D"/>
    <w:rsid w:val="00FF3553"/>
    <w:rsid w:val="00FF3DAA"/>
    <w:rsid w:val="00FF6216"/>
    <w:rsid w:val="00FF70C1"/>
    <w:rsid w:val="00FF7F88"/>
    <w:rsid w:val="011ACE2A"/>
    <w:rsid w:val="011C3A2C"/>
    <w:rsid w:val="020A63B1"/>
    <w:rsid w:val="034EF179"/>
    <w:rsid w:val="0361D381"/>
    <w:rsid w:val="036CA967"/>
    <w:rsid w:val="040A7D39"/>
    <w:rsid w:val="0445D586"/>
    <w:rsid w:val="0447435F"/>
    <w:rsid w:val="0463781E"/>
    <w:rsid w:val="04675595"/>
    <w:rsid w:val="0510D4FD"/>
    <w:rsid w:val="05A9F8B9"/>
    <w:rsid w:val="061552E9"/>
    <w:rsid w:val="06D20002"/>
    <w:rsid w:val="06F227A4"/>
    <w:rsid w:val="07C8FC7E"/>
    <w:rsid w:val="07DB162E"/>
    <w:rsid w:val="07DB9A0D"/>
    <w:rsid w:val="07FC2EAE"/>
    <w:rsid w:val="08388A69"/>
    <w:rsid w:val="085D8E6A"/>
    <w:rsid w:val="08892E5F"/>
    <w:rsid w:val="08A28AC6"/>
    <w:rsid w:val="0A08AAB2"/>
    <w:rsid w:val="0AAA0B51"/>
    <w:rsid w:val="0ABBDA8B"/>
    <w:rsid w:val="0ABD6634"/>
    <w:rsid w:val="0AD6CE02"/>
    <w:rsid w:val="0B2DE228"/>
    <w:rsid w:val="0B2F0E65"/>
    <w:rsid w:val="0B4FB816"/>
    <w:rsid w:val="0B6DC944"/>
    <w:rsid w:val="0BFD91D5"/>
    <w:rsid w:val="0CAFE59D"/>
    <w:rsid w:val="0D5BE7F0"/>
    <w:rsid w:val="0D5F0624"/>
    <w:rsid w:val="0D996236"/>
    <w:rsid w:val="0DB983EE"/>
    <w:rsid w:val="0DD306F4"/>
    <w:rsid w:val="0DF50F7E"/>
    <w:rsid w:val="0E0609F1"/>
    <w:rsid w:val="0E2AED1A"/>
    <w:rsid w:val="0ED66D0F"/>
    <w:rsid w:val="1083F51A"/>
    <w:rsid w:val="10F3E3EC"/>
    <w:rsid w:val="1112B420"/>
    <w:rsid w:val="12414CCE"/>
    <w:rsid w:val="126CF603"/>
    <w:rsid w:val="129546D4"/>
    <w:rsid w:val="12B342A9"/>
    <w:rsid w:val="13114FDF"/>
    <w:rsid w:val="1359D6A7"/>
    <w:rsid w:val="13B7EE3B"/>
    <w:rsid w:val="13E63B11"/>
    <w:rsid w:val="14C8C159"/>
    <w:rsid w:val="151B4118"/>
    <w:rsid w:val="153320BF"/>
    <w:rsid w:val="15EAD7FC"/>
    <w:rsid w:val="16002163"/>
    <w:rsid w:val="1760C0DD"/>
    <w:rsid w:val="17A3DF4A"/>
    <w:rsid w:val="188FB4B7"/>
    <w:rsid w:val="19228642"/>
    <w:rsid w:val="1A2B8518"/>
    <w:rsid w:val="1A434CF0"/>
    <w:rsid w:val="1A50DE14"/>
    <w:rsid w:val="1ABCDB1E"/>
    <w:rsid w:val="1ABDC65F"/>
    <w:rsid w:val="1C5AA476"/>
    <w:rsid w:val="1CA0EE96"/>
    <w:rsid w:val="1CF7EF60"/>
    <w:rsid w:val="1DF0A4A0"/>
    <w:rsid w:val="1E1EF42A"/>
    <w:rsid w:val="1E34B406"/>
    <w:rsid w:val="1E738EA4"/>
    <w:rsid w:val="1ECF3AD8"/>
    <w:rsid w:val="1EF304B3"/>
    <w:rsid w:val="1F78CCC1"/>
    <w:rsid w:val="202B5608"/>
    <w:rsid w:val="20A9EA8D"/>
    <w:rsid w:val="20C56D0A"/>
    <w:rsid w:val="20CB92D1"/>
    <w:rsid w:val="21438CB5"/>
    <w:rsid w:val="2161A6E2"/>
    <w:rsid w:val="216304B1"/>
    <w:rsid w:val="21BA03A2"/>
    <w:rsid w:val="21C24FCA"/>
    <w:rsid w:val="22FB4AFA"/>
    <w:rsid w:val="2381AD3C"/>
    <w:rsid w:val="23ED8168"/>
    <w:rsid w:val="2449B8A4"/>
    <w:rsid w:val="2492361C"/>
    <w:rsid w:val="2492F9AD"/>
    <w:rsid w:val="24ABD304"/>
    <w:rsid w:val="24FBE225"/>
    <w:rsid w:val="2516BBFD"/>
    <w:rsid w:val="259B9597"/>
    <w:rsid w:val="25C522BE"/>
    <w:rsid w:val="25E41FBD"/>
    <w:rsid w:val="25FF8DC5"/>
    <w:rsid w:val="260CA66A"/>
    <w:rsid w:val="2666C50A"/>
    <w:rsid w:val="269F6BBC"/>
    <w:rsid w:val="283382E7"/>
    <w:rsid w:val="2847709E"/>
    <w:rsid w:val="2955D375"/>
    <w:rsid w:val="29D6C149"/>
    <w:rsid w:val="29D85D26"/>
    <w:rsid w:val="2B6B23A9"/>
    <w:rsid w:val="2B9171A9"/>
    <w:rsid w:val="2C5F0E74"/>
    <w:rsid w:val="2CDDA61D"/>
    <w:rsid w:val="2CFA0C53"/>
    <w:rsid w:val="2D4D31BF"/>
    <w:rsid w:val="2D8D3120"/>
    <w:rsid w:val="2DC2E748"/>
    <w:rsid w:val="2E43B23A"/>
    <w:rsid w:val="2E80972A"/>
    <w:rsid w:val="2E9D6830"/>
    <w:rsid w:val="2EDC8338"/>
    <w:rsid w:val="2F206EF0"/>
    <w:rsid w:val="2F6DF7EB"/>
    <w:rsid w:val="2F7C3107"/>
    <w:rsid w:val="2FF9868E"/>
    <w:rsid w:val="309757DD"/>
    <w:rsid w:val="30FC8881"/>
    <w:rsid w:val="31059DA6"/>
    <w:rsid w:val="31BA5A32"/>
    <w:rsid w:val="31C0F151"/>
    <w:rsid w:val="31F4AF0B"/>
    <w:rsid w:val="31FA7B3D"/>
    <w:rsid w:val="3200BEF0"/>
    <w:rsid w:val="32075D0A"/>
    <w:rsid w:val="323B7FF0"/>
    <w:rsid w:val="326CD96C"/>
    <w:rsid w:val="339D9933"/>
    <w:rsid w:val="33D75051"/>
    <w:rsid w:val="3431BA9D"/>
    <w:rsid w:val="3469F881"/>
    <w:rsid w:val="3481CEB4"/>
    <w:rsid w:val="35503B9E"/>
    <w:rsid w:val="35556295"/>
    <w:rsid w:val="3562202B"/>
    <w:rsid w:val="357320B2"/>
    <w:rsid w:val="35A50FD2"/>
    <w:rsid w:val="35E2433C"/>
    <w:rsid w:val="36660F06"/>
    <w:rsid w:val="366E1A10"/>
    <w:rsid w:val="3676EF87"/>
    <w:rsid w:val="36F01BDA"/>
    <w:rsid w:val="36F04C25"/>
    <w:rsid w:val="3732B260"/>
    <w:rsid w:val="37362C24"/>
    <w:rsid w:val="3794333D"/>
    <w:rsid w:val="37A67607"/>
    <w:rsid w:val="37B159D1"/>
    <w:rsid w:val="386111A1"/>
    <w:rsid w:val="38D68A81"/>
    <w:rsid w:val="38FD6A5E"/>
    <w:rsid w:val="395EC437"/>
    <w:rsid w:val="39B500D8"/>
    <w:rsid w:val="3A1B83B8"/>
    <w:rsid w:val="3AD70B78"/>
    <w:rsid w:val="3AE49CA6"/>
    <w:rsid w:val="3BC13F75"/>
    <w:rsid w:val="3BC3BD48"/>
    <w:rsid w:val="3C6456D9"/>
    <w:rsid w:val="3CDD5B94"/>
    <w:rsid w:val="3D0549AE"/>
    <w:rsid w:val="3D5F8DA9"/>
    <w:rsid w:val="3D741258"/>
    <w:rsid w:val="3D831A3D"/>
    <w:rsid w:val="3DAA638A"/>
    <w:rsid w:val="3DF803ED"/>
    <w:rsid w:val="3E6980B2"/>
    <w:rsid w:val="3F06AA43"/>
    <w:rsid w:val="3F081683"/>
    <w:rsid w:val="3FA0BC5E"/>
    <w:rsid w:val="3FF8878C"/>
    <w:rsid w:val="407D0CD5"/>
    <w:rsid w:val="40B5D359"/>
    <w:rsid w:val="40C26E88"/>
    <w:rsid w:val="40F4EDFF"/>
    <w:rsid w:val="41876185"/>
    <w:rsid w:val="41CB2E97"/>
    <w:rsid w:val="4254A785"/>
    <w:rsid w:val="42A6C7F3"/>
    <w:rsid w:val="44BCF478"/>
    <w:rsid w:val="44E420AB"/>
    <w:rsid w:val="45C28B7E"/>
    <w:rsid w:val="45C89024"/>
    <w:rsid w:val="461D3084"/>
    <w:rsid w:val="4673D1C1"/>
    <w:rsid w:val="4692DCE7"/>
    <w:rsid w:val="46C58DB4"/>
    <w:rsid w:val="470E5D75"/>
    <w:rsid w:val="47988802"/>
    <w:rsid w:val="485E6FF5"/>
    <w:rsid w:val="4885B457"/>
    <w:rsid w:val="4913D12E"/>
    <w:rsid w:val="49F6138F"/>
    <w:rsid w:val="4A45FE37"/>
    <w:rsid w:val="4A953515"/>
    <w:rsid w:val="4B8DC206"/>
    <w:rsid w:val="4C10211D"/>
    <w:rsid w:val="4C134A41"/>
    <w:rsid w:val="4C2ED281"/>
    <w:rsid w:val="4CB5C8EF"/>
    <w:rsid w:val="4CB7354B"/>
    <w:rsid w:val="4CBAFABC"/>
    <w:rsid w:val="4D6A4E57"/>
    <w:rsid w:val="4F571A28"/>
    <w:rsid w:val="4F83B8B9"/>
    <w:rsid w:val="4FB52F87"/>
    <w:rsid w:val="4FB5E17B"/>
    <w:rsid w:val="50F1DC34"/>
    <w:rsid w:val="512FC7CF"/>
    <w:rsid w:val="51E0F680"/>
    <w:rsid w:val="521771C2"/>
    <w:rsid w:val="521B6307"/>
    <w:rsid w:val="5318357A"/>
    <w:rsid w:val="53296C94"/>
    <w:rsid w:val="53A233CE"/>
    <w:rsid w:val="53A329FF"/>
    <w:rsid w:val="54EE1E4A"/>
    <w:rsid w:val="55C31D30"/>
    <w:rsid w:val="55CE6B17"/>
    <w:rsid w:val="564FE1C0"/>
    <w:rsid w:val="5777E771"/>
    <w:rsid w:val="57AC7841"/>
    <w:rsid w:val="57DB874E"/>
    <w:rsid w:val="58E6BDF5"/>
    <w:rsid w:val="5AF446C2"/>
    <w:rsid w:val="5B124318"/>
    <w:rsid w:val="5C43A6EC"/>
    <w:rsid w:val="5C82E710"/>
    <w:rsid w:val="5CAE1379"/>
    <w:rsid w:val="5D59B981"/>
    <w:rsid w:val="5DBD7D3A"/>
    <w:rsid w:val="5E4CAD76"/>
    <w:rsid w:val="5E6467C5"/>
    <w:rsid w:val="5F6879EA"/>
    <w:rsid w:val="60FB7FB8"/>
    <w:rsid w:val="61042ED0"/>
    <w:rsid w:val="619D590B"/>
    <w:rsid w:val="6342002D"/>
    <w:rsid w:val="64013549"/>
    <w:rsid w:val="64540D17"/>
    <w:rsid w:val="65E0A55C"/>
    <w:rsid w:val="65F55F53"/>
    <w:rsid w:val="66575415"/>
    <w:rsid w:val="6666B075"/>
    <w:rsid w:val="6683DD7D"/>
    <w:rsid w:val="66B644C2"/>
    <w:rsid w:val="66EC450B"/>
    <w:rsid w:val="6706CF33"/>
    <w:rsid w:val="6746A2E1"/>
    <w:rsid w:val="6748450E"/>
    <w:rsid w:val="67490EBD"/>
    <w:rsid w:val="67B60A4E"/>
    <w:rsid w:val="67F88769"/>
    <w:rsid w:val="6800FA5D"/>
    <w:rsid w:val="686E0036"/>
    <w:rsid w:val="6899B4BA"/>
    <w:rsid w:val="6940172A"/>
    <w:rsid w:val="69F228C9"/>
    <w:rsid w:val="69F2C4DE"/>
    <w:rsid w:val="6A043E6C"/>
    <w:rsid w:val="6A137E13"/>
    <w:rsid w:val="6A33066E"/>
    <w:rsid w:val="6A361989"/>
    <w:rsid w:val="6B1F6E64"/>
    <w:rsid w:val="6CAD1467"/>
    <w:rsid w:val="6D28BBF2"/>
    <w:rsid w:val="6D290723"/>
    <w:rsid w:val="6D4F936A"/>
    <w:rsid w:val="6DDC789A"/>
    <w:rsid w:val="6E74C255"/>
    <w:rsid w:val="6EB6E9E3"/>
    <w:rsid w:val="6ECEEB64"/>
    <w:rsid w:val="6EF5E743"/>
    <w:rsid w:val="6F2B96A5"/>
    <w:rsid w:val="6F8923D7"/>
    <w:rsid w:val="6F9AE3C2"/>
    <w:rsid w:val="6FCB0F5E"/>
    <w:rsid w:val="6FD3DF96"/>
    <w:rsid w:val="6FDCC03B"/>
    <w:rsid w:val="707B9A28"/>
    <w:rsid w:val="709F606E"/>
    <w:rsid w:val="71457506"/>
    <w:rsid w:val="71952476"/>
    <w:rsid w:val="72471948"/>
    <w:rsid w:val="72613CA9"/>
    <w:rsid w:val="72DFCF94"/>
    <w:rsid w:val="731BE4FC"/>
    <w:rsid w:val="73F38C3D"/>
    <w:rsid w:val="75A0DC1B"/>
    <w:rsid w:val="76079EBE"/>
    <w:rsid w:val="7629B740"/>
    <w:rsid w:val="7645D324"/>
    <w:rsid w:val="769C74E8"/>
    <w:rsid w:val="76E0DD62"/>
    <w:rsid w:val="7704F877"/>
    <w:rsid w:val="77FD7513"/>
    <w:rsid w:val="780C0444"/>
    <w:rsid w:val="7830DFFA"/>
    <w:rsid w:val="7879AF38"/>
    <w:rsid w:val="78852DA6"/>
    <w:rsid w:val="7928C745"/>
    <w:rsid w:val="797366D3"/>
    <w:rsid w:val="79ADA6B3"/>
    <w:rsid w:val="79BF3CBB"/>
    <w:rsid w:val="7A3D5814"/>
    <w:rsid w:val="7A50A805"/>
    <w:rsid w:val="7AA6167C"/>
    <w:rsid w:val="7B399411"/>
    <w:rsid w:val="7BE342CD"/>
    <w:rsid w:val="7BED17A1"/>
    <w:rsid w:val="7DF81410"/>
    <w:rsid w:val="7E39C42E"/>
    <w:rsid w:val="7EF30D6E"/>
    <w:rsid w:val="7F0140CB"/>
    <w:rsid w:val="7F5A60CA"/>
    <w:rsid w:val="7F9561D8"/>
    <w:rsid w:val="7FC67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103C"/>
  <w15:chartTrackingRefBased/>
  <w15:docId w15:val="{9A606688-53D9-43AC-97BA-DF53166D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33"/>
    <w:pPr>
      <w:spacing w:after="120" w:line="240" w:lineRule="auto"/>
    </w:pPr>
    <w:rPr>
      <w:rFonts w:ascii="Arial" w:eastAsia="Times New Roman" w:hAnsi="Arial" w:cs="Arial"/>
      <w:kern w:val="0"/>
      <w:szCs w:val="20"/>
      <w14:ligatures w14:val="none"/>
    </w:rPr>
  </w:style>
  <w:style w:type="paragraph" w:styleId="Heading1">
    <w:name w:val="heading 1"/>
    <w:basedOn w:val="Normal"/>
    <w:next w:val="Normal"/>
    <w:link w:val="Heading1Char"/>
    <w:uiPriority w:val="9"/>
    <w:qFormat/>
    <w:rsid w:val="00FA36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0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9016E"/>
  </w:style>
  <w:style w:type="paragraph" w:styleId="NoSpacing">
    <w:name w:val="No Spacing"/>
    <w:uiPriority w:val="1"/>
    <w:qFormat/>
    <w:rsid w:val="0029016E"/>
    <w:pPr>
      <w:spacing w:after="0" w:line="240" w:lineRule="auto"/>
    </w:pPr>
    <w:rPr>
      <w:kern w:val="0"/>
      <w14:ligatures w14:val="none"/>
    </w:rPr>
  </w:style>
  <w:style w:type="paragraph" w:styleId="ListParagraph">
    <w:name w:val="List Paragraph"/>
    <w:basedOn w:val="Normal"/>
    <w:uiPriority w:val="34"/>
    <w:qFormat/>
    <w:rsid w:val="00D377EA"/>
    <w:pPr>
      <w:ind w:left="720"/>
      <w:contextualSpacing/>
    </w:pPr>
  </w:style>
  <w:style w:type="paragraph" w:styleId="Header">
    <w:name w:val="header"/>
    <w:basedOn w:val="Normal"/>
    <w:link w:val="HeaderChar"/>
    <w:uiPriority w:val="99"/>
    <w:unhideWhenUsed/>
    <w:rsid w:val="00D07669"/>
    <w:pPr>
      <w:tabs>
        <w:tab w:val="center" w:pos="4680"/>
        <w:tab w:val="right" w:pos="9360"/>
      </w:tabs>
      <w:spacing w:after="0"/>
    </w:pPr>
  </w:style>
  <w:style w:type="character" w:customStyle="1" w:styleId="HeaderChar">
    <w:name w:val="Header Char"/>
    <w:basedOn w:val="DefaultParagraphFont"/>
    <w:link w:val="Header"/>
    <w:uiPriority w:val="99"/>
    <w:rsid w:val="00D07669"/>
    <w:rPr>
      <w:rFonts w:ascii="Arial" w:eastAsia="Times New Roman" w:hAnsi="Arial" w:cs="Arial"/>
      <w:kern w:val="0"/>
      <w:szCs w:val="20"/>
      <w14:ligatures w14:val="none"/>
    </w:rPr>
  </w:style>
  <w:style w:type="paragraph" w:styleId="Footer">
    <w:name w:val="footer"/>
    <w:basedOn w:val="Normal"/>
    <w:link w:val="FooterChar"/>
    <w:uiPriority w:val="99"/>
    <w:unhideWhenUsed/>
    <w:rsid w:val="00D07669"/>
    <w:pPr>
      <w:tabs>
        <w:tab w:val="center" w:pos="4680"/>
        <w:tab w:val="right" w:pos="9360"/>
      </w:tabs>
      <w:spacing w:after="0"/>
    </w:pPr>
  </w:style>
  <w:style w:type="character" w:customStyle="1" w:styleId="FooterChar">
    <w:name w:val="Footer Char"/>
    <w:basedOn w:val="DefaultParagraphFont"/>
    <w:link w:val="Footer"/>
    <w:uiPriority w:val="99"/>
    <w:rsid w:val="00D07669"/>
    <w:rPr>
      <w:rFonts w:ascii="Arial" w:eastAsia="Times New Roman" w:hAnsi="Arial" w:cs="Arial"/>
      <w:kern w:val="0"/>
      <w:szCs w:val="20"/>
      <w14:ligatures w14:val="none"/>
    </w:rPr>
  </w:style>
  <w:style w:type="character" w:styleId="Hyperlink">
    <w:name w:val="Hyperlink"/>
    <w:basedOn w:val="DefaultParagraphFont"/>
    <w:uiPriority w:val="99"/>
    <w:unhideWhenUsed/>
    <w:rsid w:val="00EF0F3B"/>
    <w:rPr>
      <w:color w:val="0563C1" w:themeColor="hyperlink"/>
      <w:u w:val="single"/>
    </w:rPr>
  </w:style>
  <w:style w:type="character" w:styleId="UnresolvedMention">
    <w:name w:val="Unresolved Mention"/>
    <w:basedOn w:val="DefaultParagraphFont"/>
    <w:uiPriority w:val="99"/>
    <w:semiHidden/>
    <w:unhideWhenUsed/>
    <w:rsid w:val="00EF0F3B"/>
    <w:rPr>
      <w:color w:val="605E5C"/>
      <w:shd w:val="clear" w:color="auto" w:fill="E1DFDD"/>
    </w:rPr>
  </w:style>
  <w:style w:type="paragraph" w:styleId="Revision">
    <w:name w:val="Revision"/>
    <w:hidden/>
    <w:uiPriority w:val="99"/>
    <w:semiHidden/>
    <w:rsid w:val="00E9338A"/>
    <w:pPr>
      <w:spacing w:after="0" w:line="240" w:lineRule="auto"/>
    </w:pPr>
    <w:rPr>
      <w:rFonts w:ascii="Arial" w:eastAsia="Times New Roman" w:hAnsi="Arial" w:cs="Arial"/>
      <w:kern w:val="0"/>
      <w:szCs w:val="20"/>
      <w14:ligatures w14:val="none"/>
    </w:rPr>
  </w:style>
  <w:style w:type="character" w:styleId="CommentReference">
    <w:name w:val="annotation reference"/>
    <w:basedOn w:val="DefaultParagraphFont"/>
    <w:uiPriority w:val="99"/>
    <w:semiHidden/>
    <w:unhideWhenUsed/>
    <w:rsid w:val="007F0DB4"/>
    <w:rPr>
      <w:sz w:val="16"/>
      <w:szCs w:val="16"/>
    </w:rPr>
  </w:style>
  <w:style w:type="paragraph" w:styleId="CommentText">
    <w:name w:val="annotation text"/>
    <w:basedOn w:val="Normal"/>
    <w:link w:val="CommentTextChar"/>
    <w:uiPriority w:val="99"/>
    <w:unhideWhenUsed/>
    <w:rsid w:val="007F0DB4"/>
    <w:rPr>
      <w:sz w:val="20"/>
    </w:rPr>
  </w:style>
  <w:style w:type="character" w:customStyle="1" w:styleId="CommentTextChar">
    <w:name w:val="Comment Text Char"/>
    <w:basedOn w:val="DefaultParagraphFont"/>
    <w:link w:val="CommentText"/>
    <w:uiPriority w:val="99"/>
    <w:rsid w:val="007F0DB4"/>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0DB4"/>
    <w:rPr>
      <w:b/>
      <w:bCs/>
    </w:rPr>
  </w:style>
  <w:style w:type="character" w:customStyle="1" w:styleId="CommentSubjectChar">
    <w:name w:val="Comment Subject Char"/>
    <w:basedOn w:val="CommentTextChar"/>
    <w:link w:val="CommentSubject"/>
    <w:uiPriority w:val="99"/>
    <w:semiHidden/>
    <w:rsid w:val="007F0DB4"/>
    <w:rPr>
      <w:rFonts w:ascii="Arial" w:eastAsia="Times New Roman" w:hAnsi="Arial" w:cs="Arial"/>
      <w:b/>
      <w:bCs/>
      <w:kern w:val="0"/>
      <w:sz w:val="20"/>
      <w:szCs w:val="20"/>
      <w14:ligatures w14:val="none"/>
    </w:rPr>
  </w:style>
  <w:style w:type="character" w:styleId="Mention">
    <w:name w:val="Mention"/>
    <w:basedOn w:val="DefaultParagraphFont"/>
    <w:uiPriority w:val="99"/>
    <w:unhideWhenUsed/>
    <w:rsid w:val="00CD22DE"/>
    <w:rPr>
      <w:color w:val="2B579A"/>
      <w:shd w:val="clear" w:color="auto" w:fill="E1DFDD"/>
    </w:rPr>
  </w:style>
  <w:style w:type="character" w:styleId="FollowedHyperlink">
    <w:name w:val="FollowedHyperlink"/>
    <w:basedOn w:val="DefaultParagraphFont"/>
    <w:uiPriority w:val="99"/>
    <w:semiHidden/>
    <w:unhideWhenUsed/>
    <w:rsid w:val="008D1D55"/>
    <w:rPr>
      <w:color w:val="954F72" w:themeColor="followedHyperlink"/>
      <w:u w:val="single"/>
    </w:rPr>
  </w:style>
  <w:style w:type="paragraph" w:styleId="NormalWeb">
    <w:name w:val="Normal (Web)"/>
    <w:basedOn w:val="Normal"/>
    <w:uiPriority w:val="99"/>
    <w:semiHidden/>
    <w:unhideWhenUsed/>
    <w:rsid w:val="00E643E7"/>
    <w:rPr>
      <w:rFonts w:ascii="Times New Roman" w:hAnsi="Times New Roman" w:cs="Times New Roman"/>
      <w:sz w:val="24"/>
      <w:szCs w:val="24"/>
    </w:rPr>
  </w:style>
  <w:style w:type="character" w:customStyle="1" w:styleId="Heading1Char">
    <w:name w:val="Heading 1 Char"/>
    <w:basedOn w:val="DefaultParagraphFont"/>
    <w:link w:val="Heading1"/>
    <w:uiPriority w:val="9"/>
    <w:rsid w:val="00FA367D"/>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F70A7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7D"/>
    <w:rPr>
      <w:rFonts w:asciiTheme="majorHAnsi" w:eastAsiaTheme="majorEastAsia" w:hAnsiTheme="majorHAnsi" w:cstheme="majorBidi"/>
      <w:spacing w:val="-10"/>
      <w:kern w:val="28"/>
      <w:sz w:val="56"/>
      <w:szCs w:val="56"/>
      <w14:ligatures w14:val="none"/>
    </w:rPr>
  </w:style>
  <w:style w:type="character" w:customStyle="1" w:styleId="Heading2Char">
    <w:name w:val="Heading 2 Char"/>
    <w:basedOn w:val="DefaultParagraphFont"/>
    <w:link w:val="Heading2"/>
    <w:uiPriority w:val="9"/>
    <w:rsid w:val="00920065"/>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funding-opportunities/funding-resources/ecams-resources/budget-category-guidance?auHash=cEItgat6JNbO9BFGeVqe4E5T6koCOgTaqliFX6bmwt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ca.gov/funding-opportunities/funding-resources/ecams-resources/budget-category-guidance?auHash=cEItgat6JNbO9BFGeVqe4E5T6koCOgTaqliFX6bmwtg" TargetMode="External"/><Relationship Id="rId17" Type="http://schemas.openxmlformats.org/officeDocument/2006/relationships/hyperlink" Target="https://gcc02.safelinks.protection.outlook.com/?url=https%3A%2F%2Fwww.energy.ca.gov%2Ffiles%2Foctober-8-2025-business-meeting-backup-materials&amp;data=05%7C02%7C%7C7ca414447b484329b03708de6b662161%7Cac3a124413f44ef68d1bbaa27148194e%7C0%7C0%7C639066283541717715%7CUnknown%7CTWFpbGZsb3d8eyJFbXB0eU1hcGkiOnRydWUsIlYiOiIwLjAuMDAwMCIsIlAiOiJXaW4zMiIsIkFOIjoiTWFpbCIsIldUIjoyfQ%3D%3D%7C0%7C%7C%7C&amp;sdata=FkQ2bAN1dZ%2B9lSZ0WLt6rxZLyWV4SvIaKUh7c5nq6uo%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www.energy.ca.gov%2Fevent%2Fmeeting%2F2025-10%2Fenergy-commission-business-meeting&amp;data=05%7C02%7C%7C7ca414447b484329b03708de6b662161%7Cac3a124413f44ef68d1bbaa27148194e%7C0%7C0%7C639066283541693536%7CUnknown%7CTWFpbGZsb3d8eyJFbXB0eU1hcGkiOnRydWUsIlYiOiIwLjAuMDAwMCIsIlAiOiJXaW4zMiIsIkFOIjoiTWFpbCIsIldUIjoyfQ%3D%3D%7C0%7C%7C%7C&amp;sdata=mm7m0FlEasqpR5V8Dmj34wnLQGePU0q7wFtE6wCMcPA%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event/workshop/2024-01/staff-workshop-funding-support-modeling-and-monitoring-air-quality-and-co" TargetMode="External"/><Relationship Id="rId5" Type="http://schemas.openxmlformats.org/officeDocument/2006/relationships/numbering" Target="numbering.xml"/><Relationship Id="rId15" Type="http://schemas.openxmlformats.org/officeDocument/2006/relationships/hyperlink" Target="https://ww2.arb.ca.gov/low-cost-sensors-healthier-indoor-air-quality-impacted-communit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ca.gov/funding-opportunities/fundin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94</AccountId>
        <AccountType/>
      </UserInfo>
    </SharedWithUsers>
    <TaxCatchAll xmlns="5067c814-4b34-462c-a21d-c185ff6548d2" xsi:nil="true"/>
    <lcf76f155ced4ddcb4097134ff3c332f xmlns="92ecc987-d12b-42b1-abee-10b37485a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E0E14B354F4845B9218E49F7E0D878" ma:contentTypeVersion="16" ma:contentTypeDescription="Create a new document." ma:contentTypeScope="" ma:versionID="c1ab15c5b73f3d613a480ec37e3a335c">
  <xsd:schema xmlns:xsd="http://www.w3.org/2001/XMLSchema" xmlns:xs="http://www.w3.org/2001/XMLSchema" xmlns:p="http://schemas.microsoft.com/office/2006/metadata/properties" xmlns:ns2="92ecc987-d12b-42b1-abee-10b37485ad0a" xmlns:ns3="5067c814-4b34-462c-a21d-c185ff6548d2" targetNamespace="http://schemas.microsoft.com/office/2006/metadata/properties" ma:root="true" ma:fieldsID="931eda0f6f6dcdb7dadd3382cfa277a8" ns2:_="" ns3:_="">
    <xsd:import namespace="92ecc987-d12b-42b1-abee-10b37485ad0a"/>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c987-d12b-42b1-abee-10b37485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52bcb9-f337-4c4d-ab40-c128a420f593}"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ASH23</b:Tag>
    <b:SourceType>InternetSite</b:SourceType>
    <b:Guid>{BD6B4C7D-8D60-4947-B37F-7329318DD5EB}</b:Guid>
    <b:Author>
      <b:Author>
        <b:Corporate>ASHRAE</b:Corporate>
      </b:Author>
    </b:Author>
    <b:Title>ASHRAE Standards 62.1 and 62.2</b:Title>
    <b:Year>2023</b:Year>
    <b:YearAccessed>2023</b:YearAccessed>
    <b:MonthAccessed>June</b:MonthAccessed>
    <b:DayAccessed>29</b:DayAccessed>
    <b:URL>https://www.ashrae.org/technical-resources/bookstore/standards-62-1-62-2</b:URL>
    <b:RefOrder>10</b:RefOrder>
  </b:Source>
</b:Sources>
</file>

<file path=customXml/itemProps1.xml><?xml version="1.0" encoding="utf-8"?>
<ds:datastoreItem xmlns:ds="http://schemas.openxmlformats.org/officeDocument/2006/customXml" ds:itemID="{8952FC7C-B494-4F6B-8E83-FCA5A188E698}">
  <ds:schemaRefs>
    <ds:schemaRef ds:uri="http://schemas.microsoft.com/sharepoint/v3/contenttype/forms"/>
  </ds:schemaRefs>
</ds:datastoreItem>
</file>

<file path=customXml/itemProps2.xml><?xml version="1.0" encoding="utf-8"?>
<ds:datastoreItem xmlns:ds="http://schemas.openxmlformats.org/officeDocument/2006/customXml" ds:itemID="{BF27DEFC-0D24-456B-AA30-734AE95941A9}">
  <ds:schemaRefs>
    <ds:schemaRef ds:uri="http://schemas.microsoft.com/office/2006/metadata/properties"/>
    <ds:schemaRef ds:uri="http://schemas.microsoft.com/office/infopath/2007/PartnerControls"/>
    <ds:schemaRef ds:uri="5067c814-4b34-462c-a21d-c185ff6548d2"/>
    <ds:schemaRef ds:uri="92ecc987-d12b-42b1-abee-10b37485ad0a"/>
  </ds:schemaRefs>
</ds:datastoreItem>
</file>

<file path=customXml/itemProps3.xml><?xml version="1.0" encoding="utf-8"?>
<ds:datastoreItem xmlns:ds="http://schemas.openxmlformats.org/officeDocument/2006/customXml" ds:itemID="{780C0BEB-1FF4-49E9-AA77-C4FF6724F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c987-d12b-42b1-abee-10b37485ad0a"/>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6EE2C-2784-417B-815F-70BE901B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13</Pages>
  <Words>4410</Words>
  <Characters>27963</Characters>
  <Application>Microsoft Office Word</Application>
  <DocSecurity>0</DocSecurity>
  <Lines>490</Lines>
  <Paragraphs>137</Paragraphs>
  <ScaleCrop>false</ScaleCrop>
  <Company/>
  <LinksUpToDate>false</LinksUpToDate>
  <CharactersWithSpaces>32236</CharactersWithSpaces>
  <SharedDoc>false</SharedDoc>
  <HLinks>
    <vt:vector size="72" baseType="variant">
      <vt:variant>
        <vt:i4>7078006</vt:i4>
      </vt:variant>
      <vt:variant>
        <vt:i4>18</vt:i4>
      </vt:variant>
      <vt:variant>
        <vt:i4>0</vt:i4>
      </vt:variant>
      <vt:variant>
        <vt:i4>5</vt:i4>
      </vt:variant>
      <vt:variant>
        <vt:lpwstr>https://gcc02.safelinks.protection.outlook.com/?url=https%3A%2F%2Fwww.energy.ca.gov%2Ffiles%2Foctober-8-2025-business-meeting-backup-materials&amp;data=05%7C02%7C%7C7ca414447b484329b03708de6b662161%7Cac3a124413f44ef68d1bbaa27148194e%7C0%7C0%7C639066283541717715%7CUnknown%7CTWFpbGZsb3d8eyJFbXB0eU1hcGkiOnRydWUsIlYiOiIwLjAuMDAwMCIsIlAiOiJXaW4zMiIsIkFOIjoiTWFpbCIsIldUIjoyfQ%3D%3D%7C0%7C%7C%7C&amp;sdata=FkQ2bAN1dZ%2B9lSZ0WLt6rxZLyWV4SvIaKUh7c5nq6uo%3D&amp;reserved=0</vt:lpwstr>
      </vt:variant>
      <vt:variant>
        <vt:lpwstr/>
      </vt:variant>
      <vt:variant>
        <vt:i4>2359421</vt:i4>
      </vt:variant>
      <vt:variant>
        <vt:i4>15</vt:i4>
      </vt:variant>
      <vt:variant>
        <vt:i4>0</vt:i4>
      </vt:variant>
      <vt:variant>
        <vt:i4>5</vt:i4>
      </vt:variant>
      <vt:variant>
        <vt:lpwstr>https://gcc02.safelinks.protection.outlook.com/?url=https%3A%2F%2Fwww.energy.ca.gov%2Fevent%2Fmeeting%2F2025-10%2Fenergy-commission-business-meeting&amp;data=05%7C02%7C%7C7ca414447b484329b03708de6b662161%7Cac3a124413f44ef68d1bbaa27148194e%7C0%7C0%7C639066283541693536%7CUnknown%7CTWFpbGZsb3d8eyJFbXB0eU1hcGkiOnRydWUsIlYiOiIwLjAuMDAwMCIsIlAiOiJXaW4zMiIsIkFOIjoiTWFpbCIsIldUIjoyfQ%3D%3D%7C0%7C%7C%7C&amp;sdata=mm7m0FlEasqpR5V8Dmj34wnLQGePU0q7wFtE6wCMcPA%3D&amp;reserved=0</vt:lpwstr>
      </vt:variant>
      <vt:variant>
        <vt:lpwstr/>
      </vt:variant>
      <vt:variant>
        <vt:i4>851993</vt:i4>
      </vt:variant>
      <vt:variant>
        <vt:i4>12</vt:i4>
      </vt:variant>
      <vt:variant>
        <vt:i4>0</vt:i4>
      </vt:variant>
      <vt:variant>
        <vt:i4>5</vt:i4>
      </vt:variant>
      <vt:variant>
        <vt:lpwstr>https://ww2.arb.ca.gov/low-cost-sensors-healthier-indoor-air-quality-impacted-communities</vt:lpwstr>
      </vt:variant>
      <vt:variant>
        <vt:lpwstr/>
      </vt:variant>
      <vt:variant>
        <vt:i4>393221</vt:i4>
      </vt:variant>
      <vt:variant>
        <vt:i4>9</vt:i4>
      </vt:variant>
      <vt:variant>
        <vt:i4>0</vt:i4>
      </vt:variant>
      <vt:variant>
        <vt:i4>5</vt:i4>
      </vt:variant>
      <vt:variant>
        <vt:lpwstr>https://www.energy.ca.gov/funding-opportunities/funding-resources</vt:lpwstr>
      </vt:variant>
      <vt:variant>
        <vt:lpwstr/>
      </vt:variant>
      <vt:variant>
        <vt:i4>4653082</vt:i4>
      </vt:variant>
      <vt:variant>
        <vt:i4>6</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4653082</vt:i4>
      </vt:variant>
      <vt:variant>
        <vt:i4>3</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3145834</vt:i4>
      </vt:variant>
      <vt:variant>
        <vt:i4>0</vt:i4>
      </vt:variant>
      <vt:variant>
        <vt:i4>0</vt:i4>
      </vt:variant>
      <vt:variant>
        <vt:i4>5</vt:i4>
      </vt:variant>
      <vt:variant>
        <vt:lpwstr>https://www.energy.ca.gov/event/workshop/2024-01/staff-workshop-funding-support-modeling-and-monitoring-air-quality-and-co</vt:lpwstr>
      </vt:variant>
      <vt:variant>
        <vt:lpwstr/>
      </vt:variant>
      <vt:variant>
        <vt:i4>2228249</vt:i4>
      </vt:variant>
      <vt:variant>
        <vt:i4>12</vt:i4>
      </vt:variant>
      <vt:variant>
        <vt:i4>0</vt:i4>
      </vt:variant>
      <vt:variant>
        <vt:i4>5</vt:i4>
      </vt:variant>
      <vt:variant>
        <vt:lpwstr>mailto:Angela.Gould@energy.ca.gov</vt:lpwstr>
      </vt:variant>
      <vt:variant>
        <vt:lpwstr/>
      </vt:variant>
      <vt:variant>
        <vt:i4>2228249</vt:i4>
      </vt:variant>
      <vt:variant>
        <vt:i4>9</vt:i4>
      </vt:variant>
      <vt:variant>
        <vt:i4>0</vt:i4>
      </vt:variant>
      <vt:variant>
        <vt:i4>5</vt:i4>
      </vt:variant>
      <vt:variant>
        <vt:lpwstr>mailto:Angela.Gould@energy.ca.gov</vt:lpwstr>
      </vt:variant>
      <vt:variant>
        <vt:lpwstr/>
      </vt:variant>
      <vt:variant>
        <vt:i4>4522082</vt:i4>
      </vt:variant>
      <vt:variant>
        <vt:i4>6</vt:i4>
      </vt:variant>
      <vt:variant>
        <vt:i4>0</vt:i4>
      </vt:variant>
      <vt:variant>
        <vt:i4>5</vt:i4>
      </vt:variant>
      <vt:variant>
        <vt:lpwstr>mailto:Maninder.Thind@energy.ca.gov</vt:lpwstr>
      </vt:variant>
      <vt:variant>
        <vt:lpwstr/>
      </vt:variant>
      <vt:variant>
        <vt:i4>4522082</vt:i4>
      </vt:variant>
      <vt:variant>
        <vt:i4>3</vt:i4>
      </vt:variant>
      <vt:variant>
        <vt:i4>0</vt:i4>
      </vt:variant>
      <vt:variant>
        <vt:i4>5</vt:i4>
      </vt:variant>
      <vt:variant>
        <vt:lpwstr>mailto:Maninder.Thind@energy.ca.gov</vt:lpwstr>
      </vt:variant>
      <vt:variant>
        <vt:lpwstr/>
      </vt:variant>
      <vt:variant>
        <vt:i4>4522082</vt:i4>
      </vt:variant>
      <vt:variant>
        <vt:i4>0</vt:i4>
      </vt:variant>
      <vt:variant>
        <vt:i4>0</vt:i4>
      </vt:variant>
      <vt:variant>
        <vt:i4>5</vt:i4>
      </vt:variant>
      <vt:variant>
        <vt:lpwstr>mailto:Maninder.Thind@energy.ca.gov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Thind, Maninder@Energy</dc:creator>
  <cp:keywords/>
  <dc:description/>
  <cp:lastModifiedBy>Thind, Maninder@Energy</cp:lastModifiedBy>
  <cp:revision>993</cp:revision>
  <dcterms:created xsi:type="dcterms:W3CDTF">2023-12-23T08:07:00Z</dcterms:created>
  <dcterms:modified xsi:type="dcterms:W3CDTF">2026-03-24T16:40:00Z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0x01010061E0E14B354F4845B9218E49F7E0D878</vt:lpwstr>
  </property>
  <property fmtid="{D5CDD505-2E9C-101B-9397-08002B2CF9AE}" pid="3" name="MediaServiceImageTags">
    <vt:lpwstr/>
  </property>
</Properties>
</file>