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2D7DC975" w14:textId="171FFA7B" w:rsidR="009E349B" w:rsidRPr="009E349B" w:rsidRDefault="009E349B" w:rsidP="009E349B">
      <w:pPr>
        <w:spacing w:after="0"/>
        <w:jc w:val="center"/>
        <w:rPr>
          <w:b/>
          <w:sz w:val="36"/>
          <w:szCs w:val="36"/>
        </w:rPr>
      </w:pPr>
      <w:r w:rsidRPr="00F539CC">
        <w:rPr>
          <w:b/>
          <w:sz w:val="36"/>
          <w:szCs w:val="36"/>
        </w:rPr>
        <w:t>California’s National Electric Vehicle Infrastructure Formula Program</w:t>
      </w:r>
      <w:r w:rsidR="2709A7B0" w:rsidRPr="0BA79B45">
        <w:rPr>
          <w:b/>
          <w:bCs/>
          <w:sz w:val="36"/>
          <w:szCs w:val="36"/>
        </w:rPr>
        <w:t xml:space="preserve"> </w:t>
      </w:r>
      <w:r w:rsidR="2709A7B0" w:rsidRPr="16C685E9">
        <w:rPr>
          <w:b/>
          <w:bCs/>
          <w:sz w:val="36"/>
          <w:szCs w:val="36"/>
        </w:rPr>
        <w:t xml:space="preserve">- </w:t>
      </w:r>
      <w:r w:rsidRPr="00F539CC">
        <w:rPr>
          <w:b/>
          <w:sz w:val="36"/>
          <w:szCs w:val="36"/>
        </w:rPr>
        <w:t xml:space="preserve">Solicitation </w:t>
      </w:r>
      <w:r w:rsidR="00C40DE2">
        <w:rPr>
          <w:b/>
          <w:sz w:val="36"/>
          <w:szCs w:val="36"/>
        </w:rPr>
        <w:t xml:space="preserve">4 </w:t>
      </w:r>
      <w:r w:rsidR="00CE1889">
        <w:rPr>
          <w:b/>
          <w:sz w:val="36"/>
          <w:szCs w:val="36"/>
        </w:rPr>
        <w:t>(North / Central)</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11218151" w:rsidR="00FD590E" w:rsidRPr="00050087" w:rsidRDefault="00761BB7" w:rsidP="00E04486">
      <w:pPr>
        <w:spacing w:after="0"/>
        <w:jc w:val="center"/>
      </w:pPr>
      <w:r w:rsidRPr="00761BB7">
        <w:t xml:space="preserve"> </w:t>
      </w:r>
      <w:r>
        <w:rPr>
          <w:noProof/>
        </w:rPr>
        <w:drawing>
          <wp:inline distT="0" distB="0" distL="0" distR="0" wp14:anchorId="150FAE6D" wp14:editId="65D3AB88">
            <wp:extent cx="2743200" cy="2743200"/>
            <wp:effectExtent l="0" t="0" r="0" b="0"/>
            <wp:docPr id="212057583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5834"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1DE1A59D" w14:textId="419B9677" w:rsidR="00A223F5" w:rsidRPr="006367B6" w:rsidRDefault="00A223F5" w:rsidP="00A223F5">
      <w:pPr>
        <w:jc w:val="center"/>
        <w:rPr>
          <w:b/>
          <w:bCs/>
          <w:sz w:val="32"/>
          <w:u w:val="single"/>
        </w:rPr>
      </w:pPr>
      <w:r w:rsidRPr="006367B6">
        <w:rPr>
          <w:b/>
          <w:bCs/>
          <w:sz w:val="32"/>
          <w:u w:val="single"/>
        </w:rPr>
        <w:t xml:space="preserve">Addendum </w:t>
      </w:r>
      <w:r w:rsidR="006367B6" w:rsidRPr="006367B6">
        <w:rPr>
          <w:b/>
          <w:bCs/>
          <w:sz w:val="32"/>
          <w:u w:val="single"/>
        </w:rPr>
        <w:t>0</w:t>
      </w:r>
      <w:r w:rsidRPr="006367B6">
        <w:rPr>
          <w:b/>
          <w:bCs/>
          <w:sz w:val="32"/>
          <w:u w:val="single"/>
        </w:rPr>
        <w:t>1</w:t>
      </w:r>
    </w:p>
    <w:p w14:paraId="749B371F" w14:textId="77777777" w:rsidR="00A223F5" w:rsidRPr="00DA3547" w:rsidRDefault="00A223F5" w:rsidP="00A223F5">
      <w:pPr>
        <w:jc w:val="center"/>
        <w:rPr>
          <w:b/>
          <w:bCs/>
          <w:sz w:val="36"/>
          <w:szCs w:val="22"/>
          <w:u w:val="single"/>
        </w:rPr>
      </w:pPr>
    </w:p>
    <w:p w14:paraId="019E9E38" w14:textId="4E887AD7" w:rsidR="00A223F5" w:rsidRPr="006367B6" w:rsidRDefault="006367B6" w:rsidP="00A223F5">
      <w:pPr>
        <w:jc w:val="center"/>
        <w:rPr>
          <w:rFonts w:eastAsia="Tahoma"/>
          <w:color w:val="000000" w:themeColor="text1"/>
          <w:szCs w:val="24"/>
        </w:rPr>
      </w:pPr>
      <w:r w:rsidRPr="006367B6">
        <w:rPr>
          <w:rFonts w:eastAsia="Tahoma"/>
          <w:color w:val="000000" w:themeColor="text1"/>
          <w:szCs w:val="24"/>
        </w:rPr>
        <w:t xml:space="preserve">Disclaimer: </w:t>
      </w:r>
      <w:r w:rsidR="00A223F5" w:rsidRPr="006367B6">
        <w:rPr>
          <w:rFonts w:eastAsia="Tahoma"/>
          <w:color w:val="000000" w:themeColor="text1"/>
          <w:szCs w:val="24"/>
        </w:rPr>
        <w:t xml:space="preserve">Added language appears in </w:t>
      </w:r>
      <w:r w:rsidR="00A223F5" w:rsidRPr="006367B6">
        <w:rPr>
          <w:rFonts w:eastAsia="Tahoma"/>
          <w:b/>
          <w:bCs/>
          <w:color w:val="000000" w:themeColor="text1"/>
          <w:szCs w:val="24"/>
          <w:u w:val="single"/>
        </w:rPr>
        <w:t>bold underline</w:t>
      </w:r>
      <w:r w:rsidR="00A223F5" w:rsidRPr="006367B6">
        <w:rPr>
          <w:rFonts w:eastAsia="Tahoma"/>
          <w:color w:val="000000" w:themeColor="text1"/>
          <w:szCs w:val="24"/>
        </w:rPr>
        <w:t>,</w:t>
      </w:r>
      <w:r w:rsidR="00A223F5" w:rsidRPr="006367B6">
        <w:rPr>
          <w:rFonts w:eastAsia="Tahoma"/>
          <w:b/>
          <w:bCs/>
          <w:color w:val="000000" w:themeColor="text1"/>
          <w:szCs w:val="24"/>
        </w:rPr>
        <w:t xml:space="preserve"> </w:t>
      </w:r>
      <w:r w:rsidR="00A223F5" w:rsidRPr="006367B6">
        <w:rPr>
          <w:rFonts w:eastAsia="Tahoma"/>
          <w:color w:val="000000" w:themeColor="text1"/>
          <w:szCs w:val="24"/>
        </w:rPr>
        <w:t>and deleted language appears in [</w:t>
      </w:r>
      <w:r w:rsidR="00A223F5" w:rsidRPr="006367B6">
        <w:rPr>
          <w:rFonts w:eastAsia="Tahoma"/>
          <w:strike/>
          <w:color w:val="000000" w:themeColor="text1"/>
          <w:szCs w:val="24"/>
        </w:rPr>
        <w:t>strikethrough</w:t>
      </w:r>
      <w:r w:rsidR="00A223F5" w:rsidRPr="006367B6">
        <w:rPr>
          <w:rFonts w:eastAsia="Tahoma"/>
          <w:color w:val="000000" w:themeColor="text1"/>
          <w:szCs w:val="24"/>
        </w:rPr>
        <w:t>] and within square brackets.</w:t>
      </w: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667DBD27" w:rsidR="00FD590E" w:rsidRPr="00C83361" w:rsidRDefault="004D6F3F" w:rsidP="00E04486">
      <w:pPr>
        <w:spacing w:after="0"/>
        <w:jc w:val="center"/>
      </w:pPr>
      <w:r>
        <w:t>GFO-</w:t>
      </w:r>
      <w:r w:rsidR="009E349B">
        <w:t>2</w:t>
      </w:r>
      <w:r w:rsidR="0F720A14">
        <w:t>5</w:t>
      </w:r>
      <w:r w:rsidR="00CE4EBB">
        <w:t>-</w:t>
      </w:r>
      <w:r w:rsidR="33F3FF61">
        <w:t>604</w:t>
      </w:r>
    </w:p>
    <w:p w14:paraId="2C7E1A1F" w14:textId="77777777" w:rsidR="008564B8" w:rsidRDefault="00C83361" w:rsidP="00E04486">
      <w:pPr>
        <w:spacing w:after="0"/>
        <w:jc w:val="center"/>
        <w:rPr>
          <w:rStyle w:val="Hyperlink"/>
          <w:szCs w:val="24"/>
        </w:rPr>
      </w:pPr>
      <w:hyperlink r:id="rId12" w:tooltip="California Energy Commission solicitation website" w:history="1">
        <w:r>
          <w:rPr>
            <w:rStyle w:val="Hyperlink"/>
            <w:szCs w:val="24"/>
          </w:rPr>
          <w:t>Solicitation Information</w:t>
        </w:r>
      </w:hyperlink>
    </w:p>
    <w:p w14:paraId="56334534" w14:textId="6010E3E0" w:rsidR="0038242B" w:rsidRDefault="00B029D8" w:rsidP="00E04486">
      <w:pPr>
        <w:spacing w:after="0"/>
        <w:jc w:val="center"/>
        <w:rPr>
          <w:rStyle w:val="Hyperlink"/>
        </w:rPr>
      </w:pPr>
      <w:hyperlink r:id="rId13" w:history="1">
        <w:r w:rsidRPr="007B2D08">
          <w:rPr>
            <w:rStyle w:val="Hyperlink"/>
          </w:rPr>
          <w:t>https://www.energy.ca.gov/funding-opportunities/solicitations</w:t>
        </w:r>
      </w:hyperlink>
      <w:r>
        <w:t xml:space="preserve"> </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6B53E678" w14:textId="77777777" w:rsidR="006367B6" w:rsidRDefault="00D41E21" w:rsidP="006367B6">
      <w:pPr>
        <w:tabs>
          <w:tab w:val="left" w:pos="1440"/>
        </w:tabs>
        <w:spacing w:after="0"/>
        <w:jc w:val="center"/>
        <w:rPr>
          <w:szCs w:val="22"/>
        </w:rPr>
      </w:pPr>
      <w:r>
        <w:t xml:space="preserve"> </w:t>
      </w:r>
      <w:r w:rsidR="001A6261">
        <w:t>[</w:t>
      </w:r>
      <w:r w:rsidR="00B824EA" w:rsidRPr="008D7E9E">
        <w:rPr>
          <w:strike/>
        </w:rPr>
        <w:t>January 2026</w:t>
      </w:r>
      <w:r w:rsidR="001A6261">
        <w:t>]</w:t>
      </w:r>
      <w:r w:rsidR="006367B6">
        <w:rPr>
          <w:szCs w:val="22"/>
        </w:rPr>
        <w:t xml:space="preserve"> </w:t>
      </w:r>
    </w:p>
    <w:p w14:paraId="17AE69CF" w14:textId="7CD0A4EC" w:rsidR="006367B6" w:rsidRPr="00050087" w:rsidRDefault="006367B6" w:rsidP="006367B6">
      <w:pPr>
        <w:tabs>
          <w:tab w:val="left" w:pos="1440"/>
        </w:tabs>
        <w:spacing w:after="0"/>
        <w:jc w:val="center"/>
        <w:rPr>
          <w:szCs w:val="22"/>
        </w:rPr>
        <w:sectPr w:rsidR="006367B6" w:rsidRPr="00050087"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r>
        <w:rPr>
          <w:b/>
          <w:bCs/>
          <w:u w:val="single"/>
        </w:rPr>
        <w:t>April</w:t>
      </w:r>
      <w:r w:rsidRPr="5FC65061">
        <w:rPr>
          <w:b/>
          <w:u w:val="single"/>
        </w:rPr>
        <w:t xml:space="preserve"> 2026</w:t>
      </w: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786E0556" w14:textId="552F21EC" w:rsidR="006662F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3338615" w:history="1">
        <w:r w:rsidR="006662F0" w:rsidRPr="009B3F27">
          <w:rPr>
            <w:rStyle w:val="Hyperlink"/>
            <w:noProof/>
          </w:rPr>
          <w:t>I.</w:t>
        </w:r>
        <w:r w:rsidR="006662F0">
          <w:rPr>
            <w:rFonts w:asciiTheme="minorHAnsi" w:eastAsiaTheme="minorEastAsia" w:hAnsiTheme="minorHAnsi" w:cstheme="minorBidi"/>
            <w:b w:val="0"/>
            <w:bCs w:val="0"/>
            <w:caps w:val="0"/>
            <w:noProof/>
            <w:kern w:val="2"/>
            <w:szCs w:val="24"/>
            <w14:ligatures w14:val="standardContextual"/>
          </w:rPr>
          <w:tab/>
        </w:r>
        <w:r w:rsidR="006662F0" w:rsidRPr="009B3F27">
          <w:rPr>
            <w:rStyle w:val="Hyperlink"/>
            <w:noProof/>
          </w:rPr>
          <w:t>Introduction</w:t>
        </w:r>
        <w:r w:rsidR="006662F0">
          <w:rPr>
            <w:noProof/>
            <w:webHidden/>
          </w:rPr>
          <w:tab/>
        </w:r>
        <w:r w:rsidR="006662F0">
          <w:rPr>
            <w:noProof/>
            <w:webHidden/>
          </w:rPr>
          <w:fldChar w:fldCharType="begin"/>
        </w:r>
        <w:r w:rsidR="006662F0">
          <w:rPr>
            <w:noProof/>
            <w:webHidden/>
          </w:rPr>
          <w:instrText xml:space="preserve"> PAGEREF _Toc213338615 \h </w:instrText>
        </w:r>
        <w:r w:rsidR="006662F0">
          <w:rPr>
            <w:noProof/>
            <w:webHidden/>
          </w:rPr>
        </w:r>
        <w:r w:rsidR="006662F0">
          <w:rPr>
            <w:noProof/>
            <w:webHidden/>
          </w:rPr>
          <w:fldChar w:fldCharType="separate"/>
        </w:r>
        <w:r w:rsidR="00D86234">
          <w:rPr>
            <w:noProof/>
            <w:webHidden/>
          </w:rPr>
          <w:t>5</w:t>
        </w:r>
        <w:r w:rsidR="006662F0">
          <w:rPr>
            <w:noProof/>
            <w:webHidden/>
          </w:rPr>
          <w:fldChar w:fldCharType="end"/>
        </w:r>
      </w:hyperlink>
    </w:p>
    <w:p w14:paraId="2FCFAE01" w14:textId="280DDF7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Purpose of Solicitation</w:t>
        </w:r>
        <w:r>
          <w:rPr>
            <w:noProof/>
            <w:webHidden/>
          </w:rPr>
          <w:tab/>
        </w:r>
        <w:r>
          <w:rPr>
            <w:noProof/>
            <w:webHidden/>
          </w:rPr>
          <w:fldChar w:fldCharType="begin"/>
        </w:r>
        <w:r>
          <w:rPr>
            <w:noProof/>
            <w:webHidden/>
          </w:rPr>
          <w:instrText xml:space="preserve"> PAGEREF _Toc213338616 \h </w:instrText>
        </w:r>
        <w:r>
          <w:rPr>
            <w:noProof/>
            <w:webHidden/>
          </w:rPr>
        </w:r>
        <w:r>
          <w:rPr>
            <w:noProof/>
            <w:webHidden/>
          </w:rPr>
          <w:fldChar w:fldCharType="separate"/>
        </w:r>
        <w:r w:rsidR="00D86234">
          <w:rPr>
            <w:noProof/>
            <w:webHidden/>
          </w:rPr>
          <w:t>5</w:t>
        </w:r>
        <w:r>
          <w:rPr>
            <w:noProof/>
            <w:webHidden/>
          </w:rPr>
          <w:fldChar w:fldCharType="end"/>
        </w:r>
      </w:hyperlink>
    </w:p>
    <w:p w14:paraId="4D531648" w14:textId="06EA626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Background</w:t>
        </w:r>
        <w:r>
          <w:rPr>
            <w:noProof/>
            <w:webHidden/>
          </w:rPr>
          <w:tab/>
        </w:r>
        <w:r>
          <w:rPr>
            <w:noProof/>
            <w:webHidden/>
          </w:rPr>
          <w:fldChar w:fldCharType="begin"/>
        </w:r>
        <w:r>
          <w:rPr>
            <w:noProof/>
            <w:webHidden/>
          </w:rPr>
          <w:instrText xml:space="preserve"> PAGEREF _Toc213338617 \h </w:instrText>
        </w:r>
        <w:r>
          <w:rPr>
            <w:noProof/>
            <w:webHidden/>
          </w:rPr>
        </w:r>
        <w:r>
          <w:rPr>
            <w:noProof/>
            <w:webHidden/>
          </w:rPr>
          <w:fldChar w:fldCharType="separate"/>
        </w:r>
        <w:r w:rsidR="00D86234">
          <w:rPr>
            <w:noProof/>
            <w:webHidden/>
          </w:rPr>
          <w:t>5</w:t>
        </w:r>
        <w:r>
          <w:rPr>
            <w:noProof/>
            <w:webHidden/>
          </w:rPr>
          <w:fldChar w:fldCharType="end"/>
        </w:r>
      </w:hyperlink>
    </w:p>
    <w:p w14:paraId="078AB1A9" w14:textId="401EB8B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Key Activities and Dates</w:t>
        </w:r>
        <w:r>
          <w:rPr>
            <w:noProof/>
            <w:webHidden/>
          </w:rPr>
          <w:tab/>
        </w:r>
        <w:r>
          <w:rPr>
            <w:noProof/>
            <w:webHidden/>
          </w:rPr>
          <w:fldChar w:fldCharType="begin"/>
        </w:r>
        <w:r>
          <w:rPr>
            <w:noProof/>
            <w:webHidden/>
          </w:rPr>
          <w:instrText xml:space="preserve"> PAGEREF _Toc213338618 \h </w:instrText>
        </w:r>
        <w:r>
          <w:rPr>
            <w:noProof/>
            <w:webHidden/>
          </w:rPr>
        </w:r>
        <w:r>
          <w:rPr>
            <w:noProof/>
            <w:webHidden/>
          </w:rPr>
          <w:fldChar w:fldCharType="separate"/>
        </w:r>
        <w:r w:rsidR="00D86234">
          <w:rPr>
            <w:noProof/>
            <w:webHidden/>
          </w:rPr>
          <w:t>6</w:t>
        </w:r>
        <w:r>
          <w:rPr>
            <w:noProof/>
            <w:webHidden/>
          </w:rPr>
          <w:fldChar w:fldCharType="end"/>
        </w:r>
      </w:hyperlink>
    </w:p>
    <w:p w14:paraId="6ECE4A47" w14:textId="53C6569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How Award Is Determined</w:t>
        </w:r>
        <w:r>
          <w:rPr>
            <w:noProof/>
            <w:webHidden/>
          </w:rPr>
          <w:tab/>
        </w:r>
        <w:r>
          <w:rPr>
            <w:noProof/>
            <w:webHidden/>
          </w:rPr>
          <w:fldChar w:fldCharType="begin"/>
        </w:r>
        <w:r>
          <w:rPr>
            <w:noProof/>
            <w:webHidden/>
          </w:rPr>
          <w:instrText xml:space="preserve"> PAGEREF _Toc213338619 \h </w:instrText>
        </w:r>
        <w:r>
          <w:rPr>
            <w:noProof/>
            <w:webHidden/>
          </w:rPr>
        </w:r>
        <w:r>
          <w:rPr>
            <w:noProof/>
            <w:webHidden/>
          </w:rPr>
          <w:fldChar w:fldCharType="separate"/>
        </w:r>
        <w:r w:rsidR="00D86234">
          <w:rPr>
            <w:noProof/>
            <w:webHidden/>
          </w:rPr>
          <w:t>6</w:t>
        </w:r>
        <w:r>
          <w:rPr>
            <w:noProof/>
            <w:webHidden/>
          </w:rPr>
          <w:fldChar w:fldCharType="end"/>
        </w:r>
      </w:hyperlink>
    </w:p>
    <w:p w14:paraId="7B04743C" w14:textId="203F756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0"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Availability of Funds</w:t>
        </w:r>
        <w:r>
          <w:rPr>
            <w:noProof/>
            <w:webHidden/>
          </w:rPr>
          <w:tab/>
        </w:r>
        <w:r>
          <w:rPr>
            <w:noProof/>
            <w:webHidden/>
          </w:rPr>
          <w:fldChar w:fldCharType="begin"/>
        </w:r>
        <w:r>
          <w:rPr>
            <w:noProof/>
            <w:webHidden/>
          </w:rPr>
          <w:instrText xml:space="preserve"> PAGEREF _Toc213338620 \h </w:instrText>
        </w:r>
        <w:r>
          <w:rPr>
            <w:noProof/>
            <w:webHidden/>
          </w:rPr>
        </w:r>
        <w:r>
          <w:rPr>
            <w:noProof/>
            <w:webHidden/>
          </w:rPr>
          <w:fldChar w:fldCharType="separate"/>
        </w:r>
        <w:r w:rsidR="00D86234">
          <w:rPr>
            <w:noProof/>
            <w:webHidden/>
          </w:rPr>
          <w:t>7</w:t>
        </w:r>
        <w:r>
          <w:rPr>
            <w:noProof/>
            <w:webHidden/>
          </w:rPr>
          <w:fldChar w:fldCharType="end"/>
        </w:r>
      </w:hyperlink>
    </w:p>
    <w:p w14:paraId="74EC181B" w14:textId="57E588F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1"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Minimum and Maximum Award Amounts</w:t>
        </w:r>
        <w:r>
          <w:rPr>
            <w:noProof/>
            <w:webHidden/>
          </w:rPr>
          <w:tab/>
        </w:r>
        <w:r>
          <w:rPr>
            <w:noProof/>
            <w:webHidden/>
          </w:rPr>
          <w:fldChar w:fldCharType="begin"/>
        </w:r>
        <w:r>
          <w:rPr>
            <w:noProof/>
            <w:webHidden/>
          </w:rPr>
          <w:instrText xml:space="preserve"> PAGEREF _Toc213338621 \h </w:instrText>
        </w:r>
        <w:r>
          <w:rPr>
            <w:noProof/>
            <w:webHidden/>
          </w:rPr>
        </w:r>
        <w:r>
          <w:rPr>
            <w:noProof/>
            <w:webHidden/>
          </w:rPr>
          <w:fldChar w:fldCharType="separate"/>
        </w:r>
        <w:r w:rsidR="00D86234">
          <w:rPr>
            <w:noProof/>
            <w:webHidden/>
          </w:rPr>
          <w:t>8</w:t>
        </w:r>
        <w:r>
          <w:rPr>
            <w:noProof/>
            <w:webHidden/>
          </w:rPr>
          <w:fldChar w:fldCharType="end"/>
        </w:r>
      </w:hyperlink>
    </w:p>
    <w:p w14:paraId="2065BCD2" w14:textId="5AAABAD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2"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Maximum Number of Applications</w:t>
        </w:r>
        <w:r>
          <w:rPr>
            <w:noProof/>
            <w:webHidden/>
          </w:rPr>
          <w:tab/>
        </w:r>
        <w:r>
          <w:rPr>
            <w:noProof/>
            <w:webHidden/>
          </w:rPr>
          <w:fldChar w:fldCharType="begin"/>
        </w:r>
        <w:r>
          <w:rPr>
            <w:noProof/>
            <w:webHidden/>
          </w:rPr>
          <w:instrText xml:space="preserve"> PAGEREF _Toc213338622 \h </w:instrText>
        </w:r>
        <w:r>
          <w:rPr>
            <w:noProof/>
            <w:webHidden/>
          </w:rPr>
        </w:r>
        <w:r>
          <w:rPr>
            <w:noProof/>
            <w:webHidden/>
          </w:rPr>
          <w:fldChar w:fldCharType="separate"/>
        </w:r>
        <w:r w:rsidR="00D86234">
          <w:rPr>
            <w:noProof/>
            <w:webHidden/>
          </w:rPr>
          <w:t>8</w:t>
        </w:r>
        <w:r>
          <w:rPr>
            <w:noProof/>
            <w:webHidden/>
          </w:rPr>
          <w:fldChar w:fldCharType="end"/>
        </w:r>
      </w:hyperlink>
    </w:p>
    <w:p w14:paraId="7A098540" w14:textId="0492BD6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3"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Single Applicant Cap</w:t>
        </w:r>
        <w:r>
          <w:rPr>
            <w:noProof/>
            <w:webHidden/>
          </w:rPr>
          <w:tab/>
        </w:r>
        <w:r>
          <w:rPr>
            <w:noProof/>
            <w:webHidden/>
          </w:rPr>
          <w:fldChar w:fldCharType="begin"/>
        </w:r>
        <w:r>
          <w:rPr>
            <w:noProof/>
            <w:webHidden/>
          </w:rPr>
          <w:instrText xml:space="preserve"> PAGEREF _Toc213338623 \h </w:instrText>
        </w:r>
        <w:r>
          <w:rPr>
            <w:noProof/>
            <w:webHidden/>
          </w:rPr>
        </w:r>
        <w:r>
          <w:rPr>
            <w:noProof/>
            <w:webHidden/>
          </w:rPr>
          <w:fldChar w:fldCharType="separate"/>
        </w:r>
        <w:r w:rsidR="00D86234">
          <w:rPr>
            <w:noProof/>
            <w:webHidden/>
          </w:rPr>
          <w:t>8</w:t>
        </w:r>
        <w:r>
          <w:rPr>
            <w:noProof/>
            <w:webHidden/>
          </w:rPr>
          <w:fldChar w:fldCharType="end"/>
        </w:r>
      </w:hyperlink>
    </w:p>
    <w:p w14:paraId="5A49D498" w14:textId="03315D1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4"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Agreements Contingent on Funding Availability</w:t>
        </w:r>
        <w:r>
          <w:rPr>
            <w:noProof/>
            <w:webHidden/>
          </w:rPr>
          <w:tab/>
        </w:r>
        <w:r>
          <w:rPr>
            <w:noProof/>
            <w:webHidden/>
          </w:rPr>
          <w:fldChar w:fldCharType="begin"/>
        </w:r>
        <w:r>
          <w:rPr>
            <w:noProof/>
            <w:webHidden/>
          </w:rPr>
          <w:instrText xml:space="preserve"> PAGEREF _Toc213338624 \h </w:instrText>
        </w:r>
        <w:r>
          <w:rPr>
            <w:noProof/>
            <w:webHidden/>
          </w:rPr>
        </w:r>
        <w:r>
          <w:rPr>
            <w:noProof/>
            <w:webHidden/>
          </w:rPr>
          <w:fldChar w:fldCharType="separate"/>
        </w:r>
        <w:r w:rsidR="00D86234">
          <w:rPr>
            <w:noProof/>
            <w:webHidden/>
          </w:rPr>
          <w:t>9</w:t>
        </w:r>
        <w:r>
          <w:rPr>
            <w:noProof/>
            <w:webHidden/>
          </w:rPr>
          <w:fldChar w:fldCharType="end"/>
        </w:r>
      </w:hyperlink>
    </w:p>
    <w:p w14:paraId="5D6DBE3B" w14:textId="3113A59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5"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Pre-Application Workshop</w:t>
        </w:r>
        <w:r>
          <w:rPr>
            <w:noProof/>
            <w:webHidden/>
          </w:rPr>
          <w:tab/>
        </w:r>
        <w:r>
          <w:rPr>
            <w:noProof/>
            <w:webHidden/>
          </w:rPr>
          <w:fldChar w:fldCharType="begin"/>
        </w:r>
        <w:r>
          <w:rPr>
            <w:noProof/>
            <w:webHidden/>
          </w:rPr>
          <w:instrText xml:space="preserve"> PAGEREF _Toc213338625 \h </w:instrText>
        </w:r>
        <w:r>
          <w:rPr>
            <w:noProof/>
            <w:webHidden/>
          </w:rPr>
        </w:r>
        <w:r>
          <w:rPr>
            <w:noProof/>
            <w:webHidden/>
          </w:rPr>
          <w:fldChar w:fldCharType="separate"/>
        </w:r>
        <w:r w:rsidR="00D86234">
          <w:rPr>
            <w:noProof/>
            <w:webHidden/>
          </w:rPr>
          <w:t>9</w:t>
        </w:r>
        <w:r>
          <w:rPr>
            <w:noProof/>
            <w:webHidden/>
          </w:rPr>
          <w:fldChar w:fldCharType="end"/>
        </w:r>
      </w:hyperlink>
    </w:p>
    <w:p w14:paraId="5627D6AB" w14:textId="7BC9A87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6"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Participation Through Zoom</w:t>
        </w:r>
        <w:r>
          <w:rPr>
            <w:noProof/>
            <w:webHidden/>
          </w:rPr>
          <w:tab/>
        </w:r>
        <w:r>
          <w:rPr>
            <w:noProof/>
            <w:webHidden/>
          </w:rPr>
          <w:fldChar w:fldCharType="begin"/>
        </w:r>
        <w:r>
          <w:rPr>
            <w:noProof/>
            <w:webHidden/>
          </w:rPr>
          <w:instrText xml:space="preserve"> PAGEREF _Toc213338626 \h </w:instrText>
        </w:r>
        <w:r>
          <w:rPr>
            <w:noProof/>
            <w:webHidden/>
          </w:rPr>
        </w:r>
        <w:r>
          <w:rPr>
            <w:noProof/>
            <w:webHidden/>
          </w:rPr>
          <w:fldChar w:fldCharType="separate"/>
        </w:r>
        <w:r w:rsidR="00D86234">
          <w:rPr>
            <w:noProof/>
            <w:webHidden/>
          </w:rPr>
          <w:t>9</w:t>
        </w:r>
        <w:r>
          <w:rPr>
            <w:noProof/>
            <w:webHidden/>
          </w:rPr>
          <w:fldChar w:fldCharType="end"/>
        </w:r>
      </w:hyperlink>
    </w:p>
    <w:p w14:paraId="516333EA" w14:textId="17A8251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7"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Questions</w:t>
        </w:r>
        <w:r>
          <w:rPr>
            <w:noProof/>
            <w:webHidden/>
          </w:rPr>
          <w:tab/>
        </w:r>
        <w:r>
          <w:rPr>
            <w:noProof/>
            <w:webHidden/>
          </w:rPr>
          <w:fldChar w:fldCharType="begin"/>
        </w:r>
        <w:r>
          <w:rPr>
            <w:noProof/>
            <w:webHidden/>
          </w:rPr>
          <w:instrText xml:space="preserve"> PAGEREF _Toc213338627 \h </w:instrText>
        </w:r>
        <w:r>
          <w:rPr>
            <w:noProof/>
            <w:webHidden/>
          </w:rPr>
        </w:r>
        <w:r>
          <w:rPr>
            <w:noProof/>
            <w:webHidden/>
          </w:rPr>
          <w:fldChar w:fldCharType="separate"/>
        </w:r>
        <w:r w:rsidR="00D86234">
          <w:rPr>
            <w:noProof/>
            <w:webHidden/>
          </w:rPr>
          <w:t>10</w:t>
        </w:r>
        <w:r>
          <w:rPr>
            <w:noProof/>
            <w:webHidden/>
          </w:rPr>
          <w:fldChar w:fldCharType="end"/>
        </w:r>
      </w:hyperlink>
    </w:p>
    <w:p w14:paraId="65CB7105" w14:textId="5B3765D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8"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Contact Information</w:t>
        </w:r>
        <w:r>
          <w:rPr>
            <w:noProof/>
            <w:webHidden/>
          </w:rPr>
          <w:tab/>
        </w:r>
        <w:r>
          <w:rPr>
            <w:noProof/>
            <w:webHidden/>
          </w:rPr>
          <w:fldChar w:fldCharType="begin"/>
        </w:r>
        <w:r>
          <w:rPr>
            <w:noProof/>
            <w:webHidden/>
          </w:rPr>
          <w:instrText xml:space="preserve"> PAGEREF _Toc213338628 \h </w:instrText>
        </w:r>
        <w:r>
          <w:rPr>
            <w:noProof/>
            <w:webHidden/>
          </w:rPr>
        </w:r>
        <w:r>
          <w:rPr>
            <w:noProof/>
            <w:webHidden/>
          </w:rPr>
          <w:fldChar w:fldCharType="separate"/>
        </w:r>
        <w:r w:rsidR="00D86234">
          <w:rPr>
            <w:noProof/>
            <w:webHidden/>
          </w:rPr>
          <w:t>11</w:t>
        </w:r>
        <w:r>
          <w:rPr>
            <w:noProof/>
            <w:webHidden/>
          </w:rPr>
          <w:fldChar w:fldCharType="end"/>
        </w:r>
      </w:hyperlink>
    </w:p>
    <w:p w14:paraId="48BBC4ED" w14:textId="5D396F1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9" w:history="1">
        <w:r w:rsidRPr="009B3F27">
          <w:rPr>
            <w:rStyle w:val="Hyperlink"/>
            <w:noProof/>
          </w:rPr>
          <w:t>N.</w:t>
        </w:r>
        <w:r>
          <w:rPr>
            <w:rFonts w:asciiTheme="minorHAnsi" w:eastAsiaTheme="minorEastAsia" w:hAnsiTheme="minorHAnsi" w:cstheme="minorBidi"/>
            <w:smallCaps w:val="0"/>
            <w:noProof/>
            <w:kern w:val="2"/>
            <w:szCs w:val="24"/>
            <w14:ligatures w14:val="standardContextual"/>
          </w:rPr>
          <w:tab/>
        </w:r>
        <w:r w:rsidRPr="009B3F27">
          <w:rPr>
            <w:rStyle w:val="Hyperlink"/>
            <w:noProof/>
          </w:rPr>
          <w:t>Reference Documents</w:t>
        </w:r>
        <w:r>
          <w:rPr>
            <w:noProof/>
            <w:webHidden/>
          </w:rPr>
          <w:tab/>
        </w:r>
        <w:r>
          <w:rPr>
            <w:noProof/>
            <w:webHidden/>
          </w:rPr>
          <w:fldChar w:fldCharType="begin"/>
        </w:r>
        <w:r>
          <w:rPr>
            <w:noProof/>
            <w:webHidden/>
          </w:rPr>
          <w:instrText xml:space="preserve"> PAGEREF _Toc213338629 \h </w:instrText>
        </w:r>
        <w:r>
          <w:rPr>
            <w:noProof/>
            <w:webHidden/>
          </w:rPr>
        </w:r>
        <w:r>
          <w:rPr>
            <w:noProof/>
            <w:webHidden/>
          </w:rPr>
          <w:fldChar w:fldCharType="separate"/>
        </w:r>
        <w:r w:rsidR="00D86234">
          <w:rPr>
            <w:noProof/>
            <w:webHidden/>
          </w:rPr>
          <w:t>11</w:t>
        </w:r>
        <w:r>
          <w:rPr>
            <w:noProof/>
            <w:webHidden/>
          </w:rPr>
          <w:fldChar w:fldCharType="end"/>
        </w:r>
      </w:hyperlink>
    </w:p>
    <w:p w14:paraId="667E9874" w14:textId="580C2B5F"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0" w:history="1">
        <w:r w:rsidRPr="009B3F2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Eligibility Requirements</w:t>
        </w:r>
        <w:r>
          <w:rPr>
            <w:noProof/>
            <w:webHidden/>
          </w:rPr>
          <w:tab/>
        </w:r>
        <w:r>
          <w:rPr>
            <w:noProof/>
            <w:webHidden/>
          </w:rPr>
          <w:fldChar w:fldCharType="begin"/>
        </w:r>
        <w:r>
          <w:rPr>
            <w:noProof/>
            <w:webHidden/>
          </w:rPr>
          <w:instrText xml:space="preserve"> PAGEREF _Toc213338630 \h </w:instrText>
        </w:r>
        <w:r>
          <w:rPr>
            <w:noProof/>
            <w:webHidden/>
          </w:rPr>
        </w:r>
        <w:r>
          <w:rPr>
            <w:noProof/>
            <w:webHidden/>
          </w:rPr>
          <w:fldChar w:fldCharType="separate"/>
        </w:r>
        <w:r w:rsidR="00D86234">
          <w:rPr>
            <w:noProof/>
            <w:webHidden/>
          </w:rPr>
          <w:t>13</w:t>
        </w:r>
        <w:r>
          <w:rPr>
            <w:noProof/>
            <w:webHidden/>
          </w:rPr>
          <w:fldChar w:fldCharType="end"/>
        </w:r>
      </w:hyperlink>
    </w:p>
    <w:p w14:paraId="21AB8A9C" w14:textId="7611180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 Requirements</w:t>
        </w:r>
        <w:r>
          <w:rPr>
            <w:noProof/>
            <w:webHidden/>
          </w:rPr>
          <w:tab/>
        </w:r>
        <w:r>
          <w:rPr>
            <w:noProof/>
            <w:webHidden/>
          </w:rPr>
          <w:fldChar w:fldCharType="begin"/>
        </w:r>
        <w:r>
          <w:rPr>
            <w:noProof/>
            <w:webHidden/>
          </w:rPr>
          <w:instrText xml:space="preserve"> PAGEREF _Toc213338631 \h </w:instrText>
        </w:r>
        <w:r>
          <w:rPr>
            <w:noProof/>
            <w:webHidden/>
          </w:rPr>
        </w:r>
        <w:r>
          <w:rPr>
            <w:noProof/>
            <w:webHidden/>
          </w:rPr>
          <w:fldChar w:fldCharType="separate"/>
        </w:r>
        <w:r w:rsidR="00D86234">
          <w:rPr>
            <w:noProof/>
            <w:webHidden/>
          </w:rPr>
          <w:t>13</w:t>
        </w:r>
        <w:r>
          <w:rPr>
            <w:noProof/>
            <w:webHidden/>
          </w:rPr>
          <w:fldChar w:fldCharType="end"/>
        </w:r>
      </w:hyperlink>
    </w:p>
    <w:p w14:paraId="4CF14ECC" w14:textId="376E5EE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Project Requirements</w:t>
        </w:r>
        <w:r>
          <w:rPr>
            <w:noProof/>
            <w:webHidden/>
          </w:rPr>
          <w:tab/>
        </w:r>
        <w:r>
          <w:rPr>
            <w:noProof/>
            <w:webHidden/>
          </w:rPr>
          <w:fldChar w:fldCharType="begin"/>
        </w:r>
        <w:r>
          <w:rPr>
            <w:noProof/>
            <w:webHidden/>
          </w:rPr>
          <w:instrText xml:space="preserve"> PAGEREF _Toc213338632 \h </w:instrText>
        </w:r>
        <w:r>
          <w:rPr>
            <w:noProof/>
            <w:webHidden/>
          </w:rPr>
        </w:r>
        <w:r>
          <w:rPr>
            <w:noProof/>
            <w:webHidden/>
          </w:rPr>
          <w:fldChar w:fldCharType="separate"/>
        </w:r>
        <w:r w:rsidR="00D86234">
          <w:rPr>
            <w:noProof/>
            <w:webHidden/>
          </w:rPr>
          <w:t>15</w:t>
        </w:r>
        <w:r>
          <w:rPr>
            <w:noProof/>
            <w:webHidden/>
          </w:rPr>
          <w:fldChar w:fldCharType="end"/>
        </w:r>
      </w:hyperlink>
    </w:p>
    <w:p w14:paraId="6068D6ED" w14:textId="1EDE626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Match Funding Requirements</w:t>
        </w:r>
        <w:r>
          <w:rPr>
            <w:noProof/>
            <w:webHidden/>
          </w:rPr>
          <w:tab/>
        </w:r>
        <w:r>
          <w:rPr>
            <w:noProof/>
            <w:webHidden/>
          </w:rPr>
          <w:fldChar w:fldCharType="begin"/>
        </w:r>
        <w:r>
          <w:rPr>
            <w:noProof/>
            <w:webHidden/>
          </w:rPr>
          <w:instrText xml:space="preserve"> PAGEREF _Toc213338633 \h </w:instrText>
        </w:r>
        <w:r>
          <w:rPr>
            <w:noProof/>
            <w:webHidden/>
          </w:rPr>
        </w:r>
        <w:r>
          <w:rPr>
            <w:noProof/>
            <w:webHidden/>
          </w:rPr>
          <w:fldChar w:fldCharType="separate"/>
        </w:r>
        <w:r w:rsidR="00D86234">
          <w:rPr>
            <w:noProof/>
            <w:webHidden/>
          </w:rPr>
          <w:t>32</w:t>
        </w:r>
        <w:r>
          <w:rPr>
            <w:noProof/>
            <w:webHidden/>
          </w:rPr>
          <w:fldChar w:fldCharType="end"/>
        </w:r>
      </w:hyperlink>
    </w:p>
    <w:p w14:paraId="310A34BD" w14:textId="74BFA63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Unallowable Costs (Reimbursable or Match Share)</w:t>
        </w:r>
        <w:r>
          <w:rPr>
            <w:noProof/>
            <w:webHidden/>
          </w:rPr>
          <w:tab/>
        </w:r>
        <w:r>
          <w:rPr>
            <w:noProof/>
            <w:webHidden/>
          </w:rPr>
          <w:fldChar w:fldCharType="begin"/>
        </w:r>
        <w:r>
          <w:rPr>
            <w:noProof/>
            <w:webHidden/>
          </w:rPr>
          <w:instrText xml:space="preserve"> PAGEREF _Toc213338634 \h </w:instrText>
        </w:r>
        <w:r>
          <w:rPr>
            <w:noProof/>
            <w:webHidden/>
          </w:rPr>
        </w:r>
        <w:r>
          <w:rPr>
            <w:noProof/>
            <w:webHidden/>
          </w:rPr>
          <w:fldChar w:fldCharType="separate"/>
        </w:r>
        <w:r w:rsidR="00D86234">
          <w:rPr>
            <w:noProof/>
            <w:webHidden/>
          </w:rPr>
          <w:t>35</w:t>
        </w:r>
        <w:r>
          <w:rPr>
            <w:noProof/>
            <w:webHidden/>
          </w:rPr>
          <w:fldChar w:fldCharType="end"/>
        </w:r>
      </w:hyperlink>
    </w:p>
    <w:p w14:paraId="6F960D0D" w14:textId="54889BF9"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5" w:history="1">
        <w:r w:rsidRPr="009B3F2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Application Format, Required Documents, and Delivery</w:t>
        </w:r>
        <w:r>
          <w:rPr>
            <w:noProof/>
            <w:webHidden/>
          </w:rPr>
          <w:tab/>
        </w:r>
        <w:r>
          <w:rPr>
            <w:noProof/>
            <w:webHidden/>
          </w:rPr>
          <w:fldChar w:fldCharType="begin"/>
        </w:r>
        <w:r>
          <w:rPr>
            <w:noProof/>
            <w:webHidden/>
          </w:rPr>
          <w:instrText xml:space="preserve"> PAGEREF _Toc213338635 \h </w:instrText>
        </w:r>
        <w:r>
          <w:rPr>
            <w:noProof/>
            <w:webHidden/>
          </w:rPr>
        </w:r>
        <w:r>
          <w:rPr>
            <w:noProof/>
            <w:webHidden/>
          </w:rPr>
          <w:fldChar w:fldCharType="separate"/>
        </w:r>
        <w:r w:rsidR="00D86234">
          <w:rPr>
            <w:noProof/>
            <w:webHidden/>
          </w:rPr>
          <w:t>37</w:t>
        </w:r>
        <w:r>
          <w:rPr>
            <w:noProof/>
            <w:webHidden/>
          </w:rPr>
          <w:fldChar w:fldCharType="end"/>
        </w:r>
      </w:hyperlink>
    </w:p>
    <w:p w14:paraId="6A7F961E" w14:textId="56FB69E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Required Format for an Application</w:t>
        </w:r>
        <w:r>
          <w:rPr>
            <w:noProof/>
            <w:webHidden/>
          </w:rPr>
          <w:tab/>
        </w:r>
        <w:r>
          <w:rPr>
            <w:noProof/>
            <w:webHidden/>
          </w:rPr>
          <w:fldChar w:fldCharType="begin"/>
        </w:r>
        <w:r>
          <w:rPr>
            <w:noProof/>
            <w:webHidden/>
          </w:rPr>
          <w:instrText xml:space="preserve"> PAGEREF _Toc213338636 \h </w:instrText>
        </w:r>
        <w:r>
          <w:rPr>
            <w:noProof/>
            <w:webHidden/>
          </w:rPr>
        </w:r>
        <w:r>
          <w:rPr>
            <w:noProof/>
            <w:webHidden/>
          </w:rPr>
          <w:fldChar w:fldCharType="separate"/>
        </w:r>
        <w:r w:rsidR="00D86234">
          <w:rPr>
            <w:noProof/>
            <w:webHidden/>
          </w:rPr>
          <w:t>37</w:t>
        </w:r>
        <w:r>
          <w:rPr>
            <w:noProof/>
            <w:webHidden/>
          </w:rPr>
          <w:fldChar w:fldCharType="end"/>
        </w:r>
      </w:hyperlink>
    </w:p>
    <w:p w14:paraId="3BAEFA67" w14:textId="172BE50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Method for Delivery</w:t>
        </w:r>
        <w:r>
          <w:rPr>
            <w:noProof/>
            <w:webHidden/>
          </w:rPr>
          <w:tab/>
        </w:r>
        <w:r>
          <w:rPr>
            <w:noProof/>
            <w:webHidden/>
          </w:rPr>
          <w:fldChar w:fldCharType="begin"/>
        </w:r>
        <w:r>
          <w:rPr>
            <w:noProof/>
            <w:webHidden/>
          </w:rPr>
          <w:instrText xml:space="preserve"> PAGEREF _Toc213338637 \h </w:instrText>
        </w:r>
        <w:r>
          <w:rPr>
            <w:noProof/>
            <w:webHidden/>
          </w:rPr>
        </w:r>
        <w:r>
          <w:rPr>
            <w:noProof/>
            <w:webHidden/>
          </w:rPr>
          <w:fldChar w:fldCharType="separate"/>
        </w:r>
        <w:r w:rsidR="00D86234">
          <w:rPr>
            <w:noProof/>
            <w:webHidden/>
          </w:rPr>
          <w:t>37</w:t>
        </w:r>
        <w:r>
          <w:rPr>
            <w:noProof/>
            <w:webHidden/>
          </w:rPr>
          <w:fldChar w:fldCharType="end"/>
        </w:r>
      </w:hyperlink>
    </w:p>
    <w:p w14:paraId="42C924C6" w14:textId="6F15DFE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Informational Documents</w:t>
        </w:r>
        <w:r>
          <w:rPr>
            <w:noProof/>
            <w:webHidden/>
          </w:rPr>
          <w:tab/>
        </w:r>
        <w:r>
          <w:rPr>
            <w:noProof/>
            <w:webHidden/>
          </w:rPr>
          <w:fldChar w:fldCharType="begin"/>
        </w:r>
        <w:r>
          <w:rPr>
            <w:noProof/>
            <w:webHidden/>
          </w:rPr>
          <w:instrText xml:space="preserve"> PAGEREF _Toc213338638 \h </w:instrText>
        </w:r>
        <w:r>
          <w:rPr>
            <w:noProof/>
            <w:webHidden/>
          </w:rPr>
        </w:r>
        <w:r>
          <w:rPr>
            <w:noProof/>
            <w:webHidden/>
          </w:rPr>
          <w:fldChar w:fldCharType="separate"/>
        </w:r>
        <w:r w:rsidR="00D86234">
          <w:rPr>
            <w:noProof/>
            <w:webHidden/>
          </w:rPr>
          <w:t>38</w:t>
        </w:r>
        <w:r>
          <w:rPr>
            <w:noProof/>
            <w:webHidden/>
          </w:rPr>
          <w:fldChar w:fldCharType="end"/>
        </w:r>
      </w:hyperlink>
    </w:p>
    <w:p w14:paraId="3994943A" w14:textId="32600A6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Content</w:t>
        </w:r>
        <w:r>
          <w:rPr>
            <w:noProof/>
            <w:webHidden/>
          </w:rPr>
          <w:tab/>
        </w:r>
        <w:r>
          <w:rPr>
            <w:noProof/>
            <w:webHidden/>
          </w:rPr>
          <w:fldChar w:fldCharType="begin"/>
        </w:r>
        <w:r>
          <w:rPr>
            <w:noProof/>
            <w:webHidden/>
          </w:rPr>
          <w:instrText xml:space="preserve"> PAGEREF _Toc213338639 \h </w:instrText>
        </w:r>
        <w:r>
          <w:rPr>
            <w:noProof/>
            <w:webHidden/>
          </w:rPr>
        </w:r>
        <w:r>
          <w:rPr>
            <w:noProof/>
            <w:webHidden/>
          </w:rPr>
          <w:fldChar w:fldCharType="separate"/>
        </w:r>
        <w:r w:rsidR="00D86234">
          <w:rPr>
            <w:noProof/>
            <w:webHidden/>
          </w:rPr>
          <w:t>38</w:t>
        </w:r>
        <w:r>
          <w:rPr>
            <w:noProof/>
            <w:webHidden/>
          </w:rPr>
          <w:fldChar w:fldCharType="end"/>
        </w:r>
      </w:hyperlink>
    </w:p>
    <w:p w14:paraId="140735D0" w14:textId="717E13AF"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0" w:history="1">
        <w:r w:rsidRPr="009B3F2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Evaluation Process and Criteria</w:t>
        </w:r>
        <w:r>
          <w:rPr>
            <w:noProof/>
            <w:webHidden/>
          </w:rPr>
          <w:tab/>
        </w:r>
        <w:r>
          <w:rPr>
            <w:noProof/>
            <w:webHidden/>
          </w:rPr>
          <w:fldChar w:fldCharType="begin"/>
        </w:r>
        <w:r>
          <w:rPr>
            <w:noProof/>
            <w:webHidden/>
          </w:rPr>
          <w:instrText xml:space="preserve"> PAGEREF _Toc213338640 \h </w:instrText>
        </w:r>
        <w:r>
          <w:rPr>
            <w:noProof/>
            <w:webHidden/>
          </w:rPr>
        </w:r>
        <w:r>
          <w:rPr>
            <w:noProof/>
            <w:webHidden/>
          </w:rPr>
          <w:fldChar w:fldCharType="separate"/>
        </w:r>
        <w:r w:rsidR="00D86234">
          <w:rPr>
            <w:noProof/>
            <w:webHidden/>
          </w:rPr>
          <w:t>50</w:t>
        </w:r>
        <w:r>
          <w:rPr>
            <w:noProof/>
            <w:webHidden/>
          </w:rPr>
          <w:fldChar w:fldCharType="end"/>
        </w:r>
      </w:hyperlink>
    </w:p>
    <w:p w14:paraId="73A81DA3" w14:textId="4330FEA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Evaluation</w:t>
        </w:r>
        <w:r>
          <w:rPr>
            <w:noProof/>
            <w:webHidden/>
          </w:rPr>
          <w:tab/>
        </w:r>
        <w:r>
          <w:rPr>
            <w:noProof/>
            <w:webHidden/>
          </w:rPr>
          <w:fldChar w:fldCharType="begin"/>
        </w:r>
        <w:r>
          <w:rPr>
            <w:noProof/>
            <w:webHidden/>
          </w:rPr>
          <w:instrText xml:space="preserve"> PAGEREF _Toc213338641 \h </w:instrText>
        </w:r>
        <w:r>
          <w:rPr>
            <w:noProof/>
            <w:webHidden/>
          </w:rPr>
        </w:r>
        <w:r>
          <w:rPr>
            <w:noProof/>
            <w:webHidden/>
          </w:rPr>
          <w:fldChar w:fldCharType="separate"/>
        </w:r>
        <w:r w:rsidR="00D86234">
          <w:rPr>
            <w:noProof/>
            <w:webHidden/>
          </w:rPr>
          <w:t>50</w:t>
        </w:r>
        <w:r>
          <w:rPr>
            <w:noProof/>
            <w:webHidden/>
          </w:rPr>
          <w:fldChar w:fldCharType="end"/>
        </w:r>
      </w:hyperlink>
    </w:p>
    <w:p w14:paraId="1385F572" w14:textId="6B5588E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Notice of Proposed Awards</w:t>
        </w:r>
        <w:r>
          <w:rPr>
            <w:noProof/>
            <w:webHidden/>
          </w:rPr>
          <w:tab/>
        </w:r>
        <w:r>
          <w:rPr>
            <w:noProof/>
            <w:webHidden/>
          </w:rPr>
          <w:fldChar w:fldCharType="begin"/>
        </w:r>
        <w:r>
          <w:rPr>
            <w:noProof/>
            <w:webHidden/>
          </w:rPr>
          <w:instrText xml:space="preserve"> PAGEREF _Toc213338642 \h </w:instrText>
        </w:r>
        <w:r>
          <w:rPr>
            <w:noProof/>
            <w:webHidden/>
          </w:rPr>
        </w:r>
        <w:r>
          <w:rPr>
            <w:noProof/>
            <w:webHidden/>
          </w:rPr>
          <w:fldChar w:fldCharType="separate"/>
        </w:r>
        <w:r w:rsidR="00D86234">
          <w:rPr>
            <w:noProof/>
            <w:webHidden/>
          </w:rPr>
          <w:t>53</w:t>
        </w:r>
        <w:r>
          <w:rPr>
            <w:noProof/>
            <w:webHidden/>
          </w:rPr>
          <w:fldChar w:fldCharType="end"/>
        </w:r>
      </w:hyperlink>
    </w:p>
    <w:p w14:paraId="1525DA61" w14:textId="673B8D6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Debriefings</w:t>
        </w:r>
        <w:r>
          <w:rPr>
            <w:noProof/>
            <w:webHidden/>
          </w:rPr>
          <w:tab/>
        </w:r>
        <w:r>
          <w:rPr>
            <w:noProof/>
            <w:webHidden/>
          </w:rPr>
          <w:fldChar w:fldCharType="begin"/>
        </w:r>
        <w:r>
          <w:rPr>
            <w:noProof/>
            <w:webHidden/>
          </w:rPr>
          <w:instrText xml:space="preserve"> PAGEREF _Toc213338643 \h </w:instrText>
        </w:r>
        <w:r>
          <w:rPr>
            <w:noProof/>
            <w:webHidden/>
          </w:rPr>
        </w:r>
        <w:r>
          <w:rPr>
            <w:noProof/>
            <w:webHidden/>
          </w:rPr>
          <w:fldChar w:fldCharType="separate"/>
        </w:r>
        <w:r w:rsidR="00D86234">
          <w:rPr>
            <w:noProof/>
            <w:webHidden/>
          </w:rPr>
          <w:t>53</w:t>
        </w:r>
        <w:r>
          <w:rPr>
            <w:noProof/>
            <w:webHidden/>
          </w:rPr>
          <w:fldChar w:fldCharType="end"/>
        </w:r>
      </w:hyperlink>
    </w:p>
    <w:p w14:paraId="6837650C" w14:textId="3022BA6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Scoring Scale</w:t>
        </w:r>
        <w:r>
          <w:rPr>
            <w:noProof/>
            <w:webHidden/>
          </w:rPr>
          <w:tab/>
        </w:r>
        <w:r>
          <w:rPr>
            <w:noProof/>
            <w:webHidden/>
          </w:rPr>
          <w:fldChar w:fldCharType="begin"/>
        </w:r>
        <w:r>
          <w:rPr>
            <w:noProof/>
            <w:webHidden/>
          </w:rPr>
          <w:instrText xml:space="preserve"> PAGEREF _Toc213338644 \h </w:instrText>
        </w:r>
        <w:r>
          <w:rPr>
            <w:noProof/>
            <w:webHidden/>
          </w:rPr>
        </w:r>
        <w:r>
          <w:rPr>
            <w:noProof/>
            <w:webHidden/>
          </w:rPr>
          <w:fldChar w:fldCharType="separate"/>
        </w:r>
        <w:r w:rsidR="00D86234">
          <w:rPr>
            <w:noProof/>
            <w:webHidden/>
          </w:rPr>
          <w:t>53</w:t>
        </w:r>
        <w:r>
          <w:rPr>
            <w:noProof/>
            <w:webHidden/>
          </w:rPr>
          <w:fldChar w:fldCharType="end"/>
        </w:r>
      </w:hyperlink>
    </w:p>
    <w:p w14:paraId="302C64D6" w14:textId="685360D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5"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Technical Evaluation Criteria</w:t>
        </w:r>
        <w:r>
          <w:rPr>
            <w:noProof/>
            <w:webHidden/>
          </w:rPr>
          <w:tab/>
        </w:r>
        <w:r>
          <w:rPr>
            <w:noProof/>
            <w:webHidden/>
          </w:rPr>
          <w:fldChar w:fldCharType="begin"/>
        </w:r>
        <w:r>
          <w:rPr>
            <w:noProof/>
            <w:webHidden/>
          </w:rPr>
          <w:instrText xml:space="preserve"> PAGEREF _Toc213338645 \h </w:instrText>
        </w:r>
        <w:r>
          <w:rPr>
            <w:noProof/>
            <w:webHidden/>
          </w:rPr>
        </w:r>
        <w:r>
          <w:rPr>
            <w:noProof/>
            <w:webHidden/>
          </w:rPr>
          <w:fldChar w:fldCharType="separate"/>
        </w:r>
        <w:r w:rsidR="00D86234">
          <w:rPr>
            <w:noProof/>
            <w:webHidden/>
          </w:rPr>
          <w:t>55</w:t>
        </w:r>
        <w:r>
          <w:rPr>
            <w:noProof/>
            <w:webHidden/>
          </w:rPr>
          <w:fldChar w:fldCharType="end"/>
        </w:r>
      </w:hyperlink>
    </w:p>
    <w:p w14:paraId="322539AA" w14:textId="11C3B1B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6"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Evaluation</w:t>
        </w:r>
        <w:r>
          <w:rPr>
            <w:noProof/>
            <w:webHidden/>
          </w:rPr>
          <w:tab/>
        </w:r>
        <w:r>
          <w:rPr>
            <w:noProof/>
            <w:webHidden/>
          </w:rPr>
          <w:fldChar w:fldCharType="begin"/>
        </w:r>
        <w:r>
          <w:rPr>
            <w:noProof/>
            <w:webHidden/>
          </w:rPr>
          <w:instrText xml:space="preserve"> PAGEREF _Toc213338646 \h </w:instrText>
        </w:r>
        <w:r>
          <w:rPr>
            <w:noProof/>
            <w:webHidden/>
          </w:rPr>
        </w:r>
        <w:r>
          <w:rPr>
            <w:noProof/>
            <w:webHidden/>
          </w:rPr>
          <w:fldChar w:fldCharType="separate"/>
        </w:r>
        <w:r w:rsidR="00D86234">
          <w:rPr>
            <w:noProof/>
            <w:webHidden/>
          </w:rPr>
          <w:t>58</w:t>
        </w:r>
        <w:r>
          <w:rPr>
            <w:noProof/>
            <w:webHidden/>
          </w:rPr>
          <w:fldChar w:fldCharType="end"/>
        </w:r>
      </w:hyperlink>
    </w:p>
    <w:p w14:paraId="5921F304" w14:textId="42DE512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7"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Tie Breakers</w:t>
        </w:r>
        <w:r>
          <w:rPr>
            <w:noProof/>
            <w:webHidden/>
          </w:rPr>
          <w:tab/>
        </w:r>
        <w:r>
          <w:rPr>
            <w:noProof/>
            <w:webHidden/>
          </w:rPr>
          <w:fldChar w:fldCharType="begin"/>
        </w:r>
        <w:r>
          <w:rPr>
            <w:noProof/>
            <w:webHidden/>
          </w:rPr>
          <w:instrText xml:space="preserve"> PAGEREF _Toc213338647 \h </w:instrText>
        </w:r>
        <w:r>
          <w:rPr>
            <w:noProof/>
            <w:webHidden/>
          </w:rPr>
        </w:r>
        <w:r>
          <w:rPr>
            <w:noProof/>
            <w:webHidden/>
          </w:rPr>
          <w:fldChar w:fldCharType="separate"/>
        </w:r>
        <w:r w:rsidR="00D86234">
          <w:rPr>
            <w:noProof/>
            <w:webHidden/>
          </w:rPr>
          <w:t>59</w:t>
        </w:r>
        <w:r>
          <w:rPr>
            <w:noProof/>
            <w:webHidden/>
          </w:rPr>
          <w:fldChar w:fldCharType="end"/>
        </w:r>
      </w:hyperlink>
    </w:p>
    <w:p w14:paraId="0674CC81" w14:textId="7C503A6B"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8" w:history="1">
        <w:r w:rsidRPr="009B3F2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Administration</w:t>
        </w:r>
        <w:r>
          <w:rPr>
            <w:noProof/>
            <w:webHidden/>
          </w:rPr>
          <w:tab/>
        </w:r>
        <w:r>
          <w:rPr>
            <w:noProof/>
            <w:webHidden/>
          </w:rPr>
          <w:fldChar w:fldCharType="begin"/>
        </w:r>
        <w:r>
          <w:rPr>
            <w:noProof/>
            <w:webHidden/>
          </w:rPr>
          <w:instrText xml:space="preserve"> PAGEREF _Toc213338648 \h </w:instrText>
        </w:r>
        <w:r>
          <w:rPr>
            <w:noProof/>
            <w:webHidden/>
          </w:rPr>
        </w:r>
        <w:r>
          <w:rPr>
            <w:noProof/>
            <w:webHidden/>
          </w:rPr>
          <w:fldChar w:fldCharType="separate"/>
        </w:r>
        <w:r w:rsidR="00D86234">
          <w:rPr>
            <w:noProof/>
            <w:webHidden/>
          </w:rPr>
          <w:t>60</w:t>
        </w:r>
        <w:r>
          <w:rPr>
            <w:noProof/>
            <w:webHidden/>
          </w:rPr>
          <w:fldChar w:fldCharType="end"/>
        </w:r>
      </w:hyperlink>
    </w:p>
    <w:p w14:paraId="49D6217E" w14:textId="3F3A2EB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9"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Definition of Key Words</w:t>
        </w:r>
        <w:r>
          <w:rPr>
            <w:noProof/>
            <w:webHidden/>
          </w:rPr>
          <w:tab/>
        </w:r>
        <w:r>
          <w:rPr>
            <w:noProof/>
            <w:webHidden/>
          </w:rPr>
          <w:fldChar w:fldCharType="begin"/>
        </w:r>
        <w:r>
          <w:rPr>
            <w:noProof/>
            <w:webHidden/>
          </w:rPr>
          <w:instrText xml:space="preserve"> PAGEREF _Toc213338649 \h </w:instrText>
        </w:r>
        <w:r>
          <w:rPr>
            <w:noProof/>
            <w:webHidden/>
          </w:rPr>
        </w:r>
        <w:r>
          <w:rPr>
            <w:noProof/>
            <w:webHidden/>
          </w:rPr>
          <w:fldChar w:fldCharType="separate"/>
        </w:r>
        <w:r w:rsidR="00D86234">
          <w:rPr>
            <w:noProof/>
            <w:webHidden/>
          </w:rPr>
          <w:t>60</w:t>
        </w:r>
        <w:r>
          <w:rPr>
            <w:noProof/>
            <w:webHidden/>
          </w:rPr>
          <w:fldChar w:fldCharType="end"/>
        </w:r>
      </w:hyperlink>
    </w:p>
    <w:p w14:paraId="36CFB431" w14:textId="1FA9AC8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0"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of Developing Application</w:t>
        </w:r>
        <w:r>
          <w:rPr>
            <w:noProof/>
            <w:webHidden/>
          </w:rPr>
          <w:tab/>
        </w:r>
        <w:r>
          <w:rPr>
            <w:noProof/>
            <w:webHidden/>
          </w:rPr>
          <w:fldChar w:fldCharType="begin"/>
        </w:r>
        <w:r>
          <w:rPr>
            <w:noProof/>
            <w:webHidden/>
          </w:rPr>
          <w:instrText xml:space="preserve"> PAGEREF _Toc213338650 \h </w:instrText>
        </w:r>
        <w:r>
          <w:rPr>
            <w:noProof/>
            <w:webHidden/>
          </w:rPr>
        </w:r>
        <w:r>
          <w:rPr>
            <w:noProof/>
            <w:webHidden/>
          </w:rPr>
          <w:fldChar w:fldCharType="separate"/>
        </w:r>
        <w:r w:rsidR="00D86234">
          <w:rPr>
            <w:noProof/>
            <w:webHidden/>
          </w:rPr>
          <w:t>66</w:t>
        </w:r>
        <w:r>
          <w:rPr>
            <w:noProof/>
            <w:webHidden/>
          </w:rPr>
          <w:fldChar w:fldCharType="end"/>
        </w:r>
      </w:hyperlink>
    </w:p>
    <w:p w14:paraId="59409856" w14:textId="50631FE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1"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Confidential Information</w:t>
        </w:r>
        <w:r>
          <w:rPr>
            <w:noProof/>
            <w:webHidden/>
          </w:rPr>
          <w:tab/>
        </w:r>
        <w:r>
          <w:rPr>
            <w:noProof/>
            <w:webHidden/>
          </w:rPr>
          <w:fldChar w:fldCharType="begin"/>
        </w:r>
        <w:r>
          <w:rPr>
            <w:noProof/>
            <w:webHidden/>
          </w:rPr>
          <w:instrText xml:space="preserve"> PAGEREF _Toc213338651 \h </w:instrText>
        </w:r>
        <w:r>
          <w:rPr>
            <w:noProof/>
            <w:webHidden/>
          </w:rPr>
        </w:r>
        <w:r>
          <w:rPr>
            <w:noProof/>
            <w:webHidden/>
          </w:rPr>
          <w:fldChar w:fldCharType="separate"/>
        </w:r>
        <w:r w:rsidR="00D86234">
          <w:rPr>
            <w:noProof/>
            <w:webHidden/>
          </w:rPr>
          <w:t>66</w:t>
        </w:r>
        <w:r>
          <w:rPr>
            <w:noProof/>
            <w:webHidden/>
          </w:rPr>
          <w:fldChar w:fldCharType="end"/>
        </w:r>
      </w:hyperlink>
    </w:p>
    <w:p w14:paraId="1E210199" w14:textId="7524B84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2"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Cancellation and Amendments</w:t>
        </w:r>
        <w:r>
          <w:rPr>
            <w:noProof/>
            <w:webHidden/>
          </w:rPr>
          <w:tab/>
        </w:r>
        <w:r>
          <w:rPr>
            <w:noProof/>
            <w:webHidden/>
          </w:rPr>
          <w:fldChar w:fldCharType="begin"/>
        </w:r>
        <w:r>
          <w:rPr>
            <w:noProof/>
            <w:webHidden/>
          </w:rPr>
          <w:instrText xml:space="preserve"> PAGEREF _Toc213338652 \h </w:instrText>
        </w:r>
        <w:r>
          <w:rPr>
            <w:noProof/>
            <w:webHidden/>
          </w:rPr>
        </w:r>
        <w:r>
          <w:rPr>
            <w:noProof/>
            <w:webHidden/>
          </w:rPr>
          <w:fldChar w:fldCharType="separate"/>
        </w:r>
        <w:r w:rsidR="00D86234">
          <w:rPr>
            <w:noProof/>
            <w:webHidden/>
          </w:rPr>
          <w:t>66</w:t>
        </w:r>
        <w:r>
          <w:rPr>
            <w:noProof/>
            <w:webHidden/>
          </w:rPr>
          <w:fldChar w:fldCharType="end"/>
        </w:r>
      </w:hyperlink>
    </w:p>
    <w:p w14:paraId="734702B3" w14:textId="4980544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3"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Errors</w:t>
        </w:r>
        <w:r>
          <w:rPr>
            <w:noProof/>
            <w:webHidden/>
          </w:rPr>
          <w:tab/>
        </w:r>
        <w:r>
          <w:rPr>
            <w:noProof/>
            <w:webHidden/>
          </w:rPr>
          <w:fldChar w:fldCharType="begin"/>
        </w:r>
        <w:r>
          <w:rPr>
            <w:noProof/>
            <w:webHidden/>
          </w:rPr>
          <w:instrText xml:space="preserve"> PAGEREF _Toc213338653 \h </w:instrText>
        </w:r>
        <w:r>
          <w:rPr>
            <w:noProof/>
            <w:webHidden/>
          </w:rPr>
        </w:r>
        <w:r>
          <w:rPr>
            <w:noProof/>
            <w:webHidden/>
          </w:rPr>
          <w:fldChar w:fldCharType="separate"/>
        </w:r>
        <w:r w:rsidR="00D86234">
          <w:rPr>
            <w:noProof/>
            <w:webHidden/>
          </w:rPr>
          <w:t>66</w:t>
        </w:r>
        <w:r>
          <w:rPr>
            <w:noProof/>
            <w:webHidden/>
          </w:rPr>
          <w:fldChar w:fldCharType="end"/>
        </w:r>
      </w:hyperlink>
    </w:p>
    <w:p w14:paraId="063F8F1B" w14:textId="299159C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4"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Modifying or Recalling an Application</w:t>
        </w:r>
        <w:r>
          <w:rPr>
            <w:noProof/>
            <w:webHidden/>
          </w:rPr>
          <w:tab/>
        </w:r>
        <w:r>
          <w:rPr>
            <w:noProof/>
            <w:webHidden/>
          </w:rPr>
          <w:fldChar w:fldCharType="begin"/>
        </w:r>
        <w:r>
          <w:rPr>
            <w:noProof/>
            <w:webHidden/>
          </w:rPr>
          <w:instrText xml:space="preserve"> PAGEREF _Toc213338654 \h </w:instrText>
        </w:r>
        <w:r>
          <w:rPr>
            <w:noProof/>
            <w:webHidden/>
          </w:rPr>
        </w:r>
        <w:r>
          <w:rPr>
            <w:noProof/>
            <w:webHidden/>
          </w:rPr>
          <w:fldChar w:fldCharType="separate"/>
        </w:r>
        <w:r w:rsidR="00D86234">
          <w:rPr>
            <w:noProof/>
            <w:webHidden/>
          </w:rPr>
          <w:t>66</w:t>
        </w:r>
        <w:r>
          <w:rPr>
            <w:noProof/>
            <w:webHidden/>
          </w:rPr>
          <w:fldChar w:fldCharType="end"/>
        </w:r>
      </w:hyperlink>
    </w:p>
    <w:p w14:paraId="4F61BEDF" w14:textId="472A634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5"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Immaterial Defect</w:t>
        </w:r>
        <w:r>
          <w:rPr>
            <w:noProof/>
            <w:webHidden/>
          </w:rPr>
          <w:tab/>
        </w:r>
        <w:r>
          <w:rPr>
            <w:noProof/>
            <w:webHidden/>
          </w:rPr>
          <w:fldChar w:fldCharType="begin"/>
        </w:r>
        <w:r>
          <w:rPr>
            <w:noProof/>
            <w:webHidden/>
          </w:rPr>
          <w:instrText xml:space="preserve"> PAGEREF _Toc213338655 \h </w:instrText>
        </w:r>
        <w:r>
          <w:rPr>
            <w:noProof/>
            <w:webHidden/>
          </w:rPr>
        </w:r>
        <w:r>
          <w:rPr>
            <w:noProof/>
            <w:webHidden/>
          </w:rPr>
          <w:fldChar w:fldCharType="separate"/>
        </w:r>
        <w:r w:rsidR="00D86234">
          <w:rPr>
            <w:noProof/>
            <w:webHidden/>
          </w:rPr>
          <w:t>67</w:t>
        </w:r>
        <w:r>
          <w:rPr>
            <w:noProof/>
            <w:webHidden/>
          </w:rPr>
          <w:fldChar w:fldCharType="end"/>
        </w:r>
      </w:hyperlink>
    </w:p>
    <w:p w14:paraId="73E45676" w14:textId="3C6333B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6"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Opportunity to Cure Administrative Errors</w:t>
        </w:r>
        <w:r>
          <w:rPr>
            <w:noProof/>
            <w:webHidden/>
          </w:rPr>
          <w:tab/>
        </w:r>
        <w:r>
          <w:rPr>
            <w:noProof/>
            <w:webHidden/>
          </w:rPr>
          <w:fldChar w:fldCharType="begin"/>
        </w:r>
        <w:r>
          <w:rPr>
            <w:noProof/>
            <w:webHidden/>
          </w:rPr>
          <w:instrText xml:space="preserve"> PAGEREF _Toc213338656 \h </w:instrText>
        </w:r>
        <w:r>
          <w:rPr>
            <w:noProof/>
            <w:webHidden/>
          </w:rPr>
        </w:r>
        <w:r>
          <w:rPr>
            <w:noProof/>
            <w:webHidden/>
          </w:rPr>
          <w:fldChar w:fldCharType="separate"/>
        </w:r>
        <w:r w:rsidR="00D86234">
          <w:rPr>
            <w:noProof/>
            <w:webHidden/>
          </w:rPr>
          <w:t>67</w:t>
        </w:r>
        <w:r>
          <w:rPr>
            <w:noProof/>
            <w:webHidden/>
          </w:rPr>
          <w:fldChar w:fldCharType="end"/>
        </w:r>
      </w:hyperlink>
    </w:p>
    <w:p w14:paraId="19D5EAD3" w14:textId="284E123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7"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Disposition of Applicant’s Documents</w:t>
        </w:r>
        <w:r>
          <w:rPr>
            <w:noProof/>
            <w:webHidden/>
          </w:rPr>
          <w:tab/>
        </w:r>
        <w:r>
          <w:rPr>
            <w:noProof/>
            <w:webHidden/>
          </w:rPr>
          <w:fldChar w:fldCharType="begin"/>
        </w:r>
        <w:r>
          <w:rPr>
            <w:noProof/>
            <w:webHidden/>
          </w:rPr>
          <w:instrText xml:space="preserve"> PAGEREF _Toc213338657 \h </w:instrText>
        </w:r>
        <w:r>
          <w:rPr>
            <w:noProof/>
            <w:webHidden/>
          </w:rPr>
        </w:r>
        <w:r>
          <w:rPr>
            <w:noProof/>
            <w:webHidden/>
          </w:rPr>
          <w:fldChar w:fldCharType="separate"/>
        </w:r>
        <w:r w:rsidR="00D86234">
          <w:rPr>
            <w:noProof/>
            <w:webHidden/>
          </w:rPr>
          <w:t>68</w:t>
        </w:r>
        <w:r>
          <w:rPr>
            <w:noProof/>
            <w:webHidden/>
          </w:rPr>
          <w:fldChar w:fldCharType="end"/>
        </w:r>
      </w:hyperlink>
    </w:p>
    <w:p w14:paraId="3E9E612B" w14:textId="19AC03D6"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8"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Applicants’ Admonishment</w:t>
        </w:r>
        <w:r>
          <w:rPr>
            <w:noProof/>
            <w:webHidden/>
          </w:rPr>
          <w:tab/>
        </w:r>
        <w:r>
          <w:rPr>
            <w:noProof/>
            <w:webHidden/>
          </w:rPr>
          <w:fldChar w:fldCharType="begin"/>
        </w:r>
        <w:r>
          <w:rPr>
            <w:noProof/>
            <w:webHidden/>
          </w:rPr>
          <w:instrText xml:space="preserve"> PAGEREF _Toc213338658 \h </w:instrText>
        </w:r>
        <w:r>
          <w:rPr>
            <w:noProof/>
            <w:webHidden/>
          </w:rPr>
        </w:r>
        <w:r>
          <w:rPr>
            <w:noProof/>
            <w:webHidden/>
          </w:rPr>
          <w:fldChar w:fldCharType="separate"/>
        </w:r>
        <w:r w:rsidR="00D86234">
          <w:rPr>
            <w:noProof/>
            <w:webHidden/>
          </w:rPr>
          <w:t>68</w:t>
        </w:r>
        <w:r>
          <w:rPr>
            <w:noProof/>
            <w:webHidden/>
          </w:rPr>
          <w:fldChar w:fldCharType="end"/>
        </w:r>
      </w:hyperlink>
    </w:p>
    <w:p w14:paraId="5D027128" w14:textId="72B835D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9"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 Requirements</w:t>
        </w:r>
        <w:r>
          <w:rPr>
            <w:noProof/>
            <w:webHidden/>
          </w:rPr>
          <w:tab/>
        </w:r>
        <w:r>
          <w:rPr>
            <w:noProof/>
            <w:webHidden/>
          </w:rPr>
          <w:fldChar w:fldCharType="begin"/>
        </w:r>
        <w:r>
          <w:rPr>
            <w:noProof/>
            <w:webHidden/>
          </w:rPr>
          <w:instrText xml:space="preserve"> PAGEREF _Toc213338659 \h </w:instrText>
        </w:r>
        <w:r>
          <w:rPr>
            <w:noProof/>
            <w:webHidden/>
          </w:rPr>
        </w:r>
        <w:r>
          <w:rPr>
            <w:noProof/>
            <w:webHidden/>
          </w:rPr>
          <w:fldChar w:fldCharType="separate"/>
        </w:r>
        <w:r w:rsidR="00D86234">
          <w:rPr>
            <w:noProof/>
            <w:webHidden/>
          </w:rPr>
          <w:t>69</w:t>
        </w:r>
        <w:r>
          <w:rPr>
            <w:noProof/>
            <w:webHidden/>
          </w:rPr>
          <w:fldChar w:fldCharType="end"/>
        </w:r>
      </w:hyperlink>
    </w:p>
    <w:p w14:paraId="41BBF0C2" w14:textId="78F8C47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0"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No Agreement Until Signed and Approved</w:t>
        </w:r>
        <w:r>
          <w:rPr>
            <w:noProof/>
            <w:webHidden/>
          </w:rPr>
          <w:tab/>
        </w:r>
        <w:r>
          <w:rPr>
            <w:noProof/>
            <w:webHidden/>
          </w:rPr>
          <w:fldChar w:fldCharType="begin"/>
        </w:r>
        <w:r>
          <w:rPr>
            <w:noProof/>
            <w:webHidden/>
          </w:rPr>
          <w:instrText xml:space="preserve"> PAGEREF _Toc213338660 \h </w:instrText>
        </w:r>
        <w:r>
          <w:rPr>
            <w:noProof/>
            <w:webHidden/>
          </w:rPr>
        </w:r>
        <w:r>
          <w:rPr>
            <w:noProof/>
            <w:webHidden/>
          </w:rPr>
          <w:fldChar w:fldCharType="separate"/>
        </w:r>
        <w:r w:rsidR="00D86234">
          <w:rPr>
            <w:noProof/>
            <w:webHidden/>
          </w:rPr>
          <w:t>69</w:t>
        </w:r>
        <w:r>
          <w:rPr>
            <w:noProof/>
            <w:webHidden/>
          </w:rPr>
          <w:fldChar w:fldCharType="end"/>
        </w:r>
      </w:hyperlink>
    </w:p>
    <w:p w14:paraId="62102B86" w14:textId="5A41835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1"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Executive Order N-6-22 – Russia Sanctions</w:t>
        </w:r>
        <w:r>
          <w:rPr>
            <w:noProof/>
            <w:webHidden/>
          </w:rPr>
          <w:tab/>
        </w:r>
        <w:r>
          <w:rPr>
            <w:noProof/>
            <w:webHidden/>
          </w:rPr>
          <w:fldChar w:fldCharType="begin"/>
        </w:r>
        <w:r>
          <w:rPr>
            <w:noProof/>
            <w:webHidden/>
          </w:rPr>
          <w:instrText xml:space="preserve"> PAGEREF _Toc213338661 \h </w:instrText>
        </w:r>
        <w:r>
          <w:rPr>
            <w:noProof/>
            <w:webHidden/>
          </w:rPr>
        </w:r>
        <w:r>
          <w:rPr>
            <w:noProof/>
            <w:webHidden/>
          </w:rPr>
          <w:fldChar w:fldCharType="separate"/>
        </w:r>
        <w:r w:rsidR="00D86234">
          <w:rPr>
            <w:noProof/>
            <w:webHidden/>
          </w:rPr>
          <w:t>69</w:t>
        </w:r>
        <w:r>
          <w:rPr>
            <w:noProof/>
            <w:webHidden/>
          </w:rPr>
          <w:fldChar w:fldCharType="end"/>
        </w:r>
      </w:hyperlink>
    </w:p>
    <w:p w14:paraId="2023893C" w14:textId="2162A6D9"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4943D1C4" w14:textId="77777777" w:rsidR="00C172B2" w:rsidRPr="00317D1A" w:rsidRDefault="00C172B2" w:rsidP="101EB4DA">
      <w:pPr>
        <w:spacing w:after="0"/>
        <w:rPr>
          <w:szCs w:val="24"/>
        </w:rPr>
      </w:pPr>
    </w:p>
    <w:p w14:paraId="20E72F2A" w14:textId="24052408" w:rsidR="7A6F68A2" w:rsidRDefault="7A6F68A2" w:rsidP="101EB4DA">
      <w:pPr>
        <w:spacing w:after="0"/>
        <w:rPr>
          <w:szCs w:val="24"/>
          <w:highlight w:val="yellow"/>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3338615"/>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13338616"/>
      <w:r>
        <w:t>Purpose of Solicitation</w:t>
      </w:r>
      <w:bookmarkEnd w:id="5"/>
    </w:p>
    <w:p w14:paraId="0B587D0A" w14:textId="64D8988C" w:rsidR="00356D38" w:rsidRDefault="00256250" w:rsidP="0058503E">
      <w:pPr>
        <w:pStyle w:val="NormalIndent"/>
      </w:pPr>
      <w:r>
        <w:t>This is a competitive grant solicitation. The California Energy Commission (CEC) announces the availability of up to $</w:t>
      </w:r>
      <w:r w:rsidR="004F1872">
        <w:t>69</w:t>
      </w:r>
      <w:r w:rsidR="00EC22E0">
        <w:t>,</w:t>
      </w:r>
      <w:r w:rsidR="007756DC">
        <w:t>500</w:t>
      </w:r>
      <w:r w:rsidR="00EC22E0">
        <w:t>,000</w:t>
      </w:r>
      <w:r>
        <w:t xml:space="preserve"> in grant funds for projects that 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northern and central parts of California</w:t>
      </w:r>
      <w:r>
        <w:t>. The purpose of this solicitation is to significantly expand the</w:t>
      </w:r>
      <w:r w:rsidR="00863E97">
        <w:t xml:space="preserve"> </w:t>
      </w:r>
      <w:r w:rsidR="00784F77">
        <w:t>MDHD</w:t>
      </w:r>
      <w:r>
        <w:t xml:space="preserve"> EV charging infrastructure along these corridors per National Electric Vehicle Infrastructure (NEVI) formula program requirements, contributing to the national charging network being built under this program.</w:t>
      </w:r>
    </w:p>
    <w:p w14:paraId="3B7A46E3" w14:textId="1D451E7E" w:rsidR="007406B8" w:rsidRPr="00C83361" w:rsidRDefault="007406B8" w:rsidP="007406B8">
      <w:pPr>
        <w:ind w:left="720"/>
      </w:pPr>
      <w:r w:rsidRPr="00D821E5">
        <w:t>Submitted</w:t>
      </w:r>
      <w:r>
        <w:t xml:space="preserve"> projects should be for installation and operation of DC</w:t>
      </w:r>
      <w:r w:rsidR="009A3FF0">
        <w:t xml:space="preserve"> fast charger</w:t>
      </w:r>
      <w:r>
        <w:t>s, using commercially available technology, within a previously disturbed or developed area such that the projects will qualify for the National Environmental Policy Act (NEPA) categorical exclusion for electric vehicle charging stations codified in the Code of Federal Regulations, Title 10, Chapter X, Part 1021, Appendix B, Categorical Exclusion B5.23</w:t>
      </w:r>
      <w:r w:rsidRPr="00D821E5">
        <w:t xml:space="preserve">, as explained in </w:t>
      </w:r>
      <w:r w:rsidRPr="006D2B9F">
        <w:t xml:space="preserve">the </w:t>
      </w:r>
      <w:hyperlink r:id="rId16" w:history="1">
        <w:r w:rsidRPr="7BFB54E4">
          <w:rPr>
            <w:rStyle w:val="Hyperlink"/>
          </w:rPr>
          <w:t>Federal Register</w:t>
        </w:r>
      </w:hyperlink>
      <w:r>
        <w:t xml:space="preserve"> notice of the U.S. Department of Transportation’s adoption of the electric vehicle charging stations categorical exclusion (see https://www.federalregister.gov/documents/2023/09/20/2023-20238/notice-of-adoption-of-electric-vehicle-charging-stations-categorical-exclusion-under-the-national).</w:t>
      </w:r>
      <w:r w:rsidRPr="00D821E5">
        <w:t xml:space="preserve"> </w:t>
      </w: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13338617"/>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proofErr w:type="gramStart"/>
      <w:r w:rsidR="00A216E7" w:rsidRPr="00AA6354">
        <w:rPr>
          <w:rStyle w:val="normaltextrun"/>
        </w:rPr>
        <w:t>authorize</w:t>
      </w:r>
      <w:r w:rsidR="00A216E7">
        <w:rPr>
          <w:rStyle w:val="normaltextrun"/>
        </w:rPr>
        <w:t>s</w:t>
      </w:r>
      <w:proofErr w:type="gramEnd"/>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 xml:space="preserve">NEVI is an initiative to create a coast-to-coast network of EV chargers focused on major highways that support </w:t>
      </w:r>
      <w:proofErr w:type="gramStart"/>
      <w:r w:rsidRPr="00AA6354">
        <w:rPr>
          <w:rStyle w:val="normaltextrun"/>
        </w:rPr>
        <w:t>the majority of</w:t>
      </w:r>
      <w:proofErr w:type="gramEnd"/>
      <w:r w:rsidRPr="00AA6354">
        <w:rPr>
          <w:rStyle w:val="normaltextrun"/>
        </w:rPr>
        <w:t xml:space="preserve">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17">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18">
        <w:r w:rsidR="00AE561D" w:rsidRPr="495AEA66">
          <w:rPr>
            <w:rStyle w:val="Hyperlink"/>
          </w:rPr>
          <w:t xml:space="preserve">implementation of </w:t>
        </w:r>
        <w:r w:rsidR="00AE561D" w:rsidRPr="495AEA66">
          <w:rPr>
            <w:rStyle w:val="Hyperlink"/>
          </w:rPr>
          <w:lastRenderedPageBreak/>
          <w:t>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13338618"/>
      <w:bookmarkEnd w:id="7"/>
      <w:bookmarkEnd w:id="8"/>
      <w:r w:rsidRPr="00677FAD">
        <w:t>Key Activities and Dates</w:t>
      </w:r>
      <w:bookmarkEnd w:id="9"/>
      <w:bookmarkEnd w:id="10"/>
      <w:bookmarkEnd w:id="11"/>
    </w:p>
    <w:p w14:paraId="752FAE6C" w14:textId="3C0F823B" w:rsidR="00356D38" w:rsidRPr="009A5E3E" w:rsidRDefault="00732657" w:rsidP="009A5E3E">
      <w:pPr>
        <w:pStyle w:val="NormalIndent"/>
      </w:pPr>
      <w:r>
        <w:t xml:space="preserve">Key activities including dates and times for this </w:t>
      </w:r>
      <w:r w:rsidR="00F66DFA">
        <w:t>solicitation</w:t>
      </w:r>
      <w:r>
        <w:t xml:space="preserve"> are presented below.  An addendum will be released if the dates change for the asterisked (*) activities.</w:t>
      </w:r>
      <w:r w:rsidR="002A976D">
        <w:t xml:space="preserve"> </w:t>
      </w:r>
      <w:r w:rsidR="007D7FE5">
        <w:t>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665"/>
        <w:gridCol w:w="3510"/>
      </w:tblGrid>
      <w:tr w:rsidR="00217AAC" w:rsidRPr="00C83361" w14:paraId="5F52F680" w14:textId="77777777" w:rsidTr="003869B6">
        <w:trPr>
          <w:cnfStyle w:val="100000000000" w:firstRow="1" w:lastRow="0" w:firstColumn="0" w:lastColumn="0" w:oddVBand="0" w:evenVBand="0" w:oddHBand="0" w:evenHBand="0" w:firstRowFirstColumn="0" w:firstRowLastColumn="0" w:lastRowFirstColumn="0" w:lastRowLastColumn="0"/>
          <w:trHeight w:hRule="exact" w:val="288"/>
        </w:trPr>
        <w:tc>
          <w:tcPr>
            <w:tcW w:w="566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510" w:type="dxa"/>
            <w:shd w:val="clear" w:color="auto" w:fill="E7E6E6" w:themeFill="background2"/>
          </w:tcPr>
          <w:p w14:paraId="1AFFB86D" w14:textId="77777777" w:rsidR="00740BE9" w:rsidRPr="00C951B3" w:rsidRDefault="00740BE9" w:rsidP="00E04486">
            <w:pPr>
              <w:spacing w:after="0"/>
              <w:jc w:val="center"/>
              <w:rPr>
                <w:bCs w:val="0"/>
                <w:szCs w:val="22"/>
              </w:rPr>
            </w:pPr>
            <w:r w:rsidRPr="00C951B3">
              <w:rPr>
                <w:bCs w:val="0"/>
                <w:szCs w:val="22"/>
              </w:rPr>
              <w:t>ACTION DATE</w:t>
            </w:r>
          </w:p>
        </w:tc>
      </w:tr>
      <w:tr w:rsidR="00BF562E" w:rsidRPr="00C83361" w14:paraId="088D12F7" w14:textId="77777777" w:rsidTr="00E52EDD">
        <w:trPr>
          <w:trHeight w:val="432"/>
        </w:trPr>
        <w:tc>
          <w:tcPr>
            <w:tcW w:w="5665" w:type="dxa"/>
            <w:vAlign w:val="center"/>
          </w:tcPr>
          <w:p w14:paraId="0CC78297" w14:textId="77777777" w:rsidR="00740BE9" w:rsidRPr="00C83361" w:rsidRDefault="00740BE9" w:rsidP="00E04486">
            <w:pPr>
              <w:spacing w:after="0"/>
              <w:rPr>
                <w:szCs w:val="22"/>
              </w:rPr>
            </w:pPr>
            <w:r w:rsidRPr="00C83361">
              <w:rPr>
                <w:szCs w:val="22"/>
              </w:rPr>
              <w:t>Solicitation Release</w:t>
            </w:r>
          </w:p>
        </w:tc>
        <w:tc>
          <w:tcPr>
            <w:tcW w:w="3510" w:type="dxa"/>
            <w:vAlign w:val="center"/>
          </w:tcPr>
          <w:p w14:paraId="5CE99885" w14:textId="7FA2C943" w:rsidR="00740BE9" w:rsidRPr="00571B3E" w:rsidRDefault="002B0F22" w:rsidP="00E04486">
            <w:pPr>
              <w:spacing w:after="0"/>
            </w:pPr>
            <w:r>
              <w:t>January</w:t>
            </w:r>
            <w:r w:rsidRPr="00746E15">
              <w:t xml:space="preserve"> </w:t>
            </w:r>
            <w:r>
              <w:t>21</w:t>
            </w:r>
            <w:r w:rsidR="00746E15" w:rsidRPr="00746E15">
              <w:t>, 202</w:t>
            </w:r>
            <w:r w:rsidR="00DB5630">
              <w:t>6</w:t>
            </w:r>
          </w:p>
        </w:tc>
      </w:tr>
      <w:tr w:rsidR="00BF562E" w:rsidRPr="00C83361" w14:paraId="65D81F46" w14:textId="77777777" w:rsidTr="00E52EDD">
        <w:trPr>
          <w:trHeight w:val="432"/>
        </w:trPr>
        <w:tc>
          <w:tcPr>
            <w:tcW w:w="5665" w:type="dxa"/>
            <w:vAlign w:val="center"/>
          </w:tcPr>
          <w:p w14:paraId="271D4FBF" w14:textId="0586EE5E" w:rsidR="00834622" w:rsidRPr="00C83361" w:rsidRDefault="00834622" w:rsidP="00E04486">
            <w:pPr>
              <w:spacing w:after="0"/>
            </w:pPr>
            <w:r>
              <w:t>Pre-Application Workshop*</w:t>
            </w:r>
            <w:r w:rsidR="00467A1A">
              <w:t xml:space="preserve"> </w:t>
            </w:r>
          </w:p>
        </w:tc>
        <w:tc>
          <w:tcPr>
            <w:tcW w:w="3510" w:type="dxa"/>
            <w:vAlign w:val="center"/>
          </w:tcPr>
          <w:p w14:paraId="2A8906D7" w14:textId="23100ECC" w:rsidR="00834622" w:rsidRPr="00C83361" w:rsidRDefault="00DB5630" w:rsidP="00E04486">
            <w:pPr>
              <w:spacing w:after="0"/>
              <w:rPr>
                <w:szCs w:val="22"/>
              </w:rPr>
            </w:pPr>
            <w:r w:rsidRPr="00DB5630">
              <w:rPr>
                <w:szCs w:val="22"/>
              </w:rPr>
              <w:t xml:space="preserve">February </w:t>
            </w:r>
            <w:r w:rsidR="000D479A">
              <w:rPr>
                <w:szCs w:val="22"/>
              </w:rPr>
              <w:t>4</w:t>
            </w:r>
            <w:r w:rsidRPr="00DB5630">
              <w:rPr>
                <w:szCs w:val="22"/>
              </w:rPr>
              <w:t>, 2026</w:t>
            </w:r>
          </w:p>
        </w:tc>
      </w:tr>
      <w:tr w:rsidR="00BF562E" w:rsidRPr="00C83361" w14:paraId="33D8F2EC" w14:textId="77777777" w:rsidTr="00E52EDD">
        <w:trPr>
          <w:trHeight w:val="432"/>
        </w:trPr>
        <w:tc>
          <w:tcPr>
            <w:tcW w:w="5665" w:type="dxa"/>
            <w:vAlign w:val="center"/>
          </w:tcPr>
          <w:p w14:paraId="2F34B0F9" w14:textId="77777777" w:rsidR="00834622" w:rsidRPr="00C83361" w:rsidRDefault="00834622" w:rsidP="00E04486">
            <w:pPr>
              <w:spacing w:after="0"/>
              <w:rPr>
                <w:szCs w:val="22"/>
              </w:rPr>
            </w:pPr>
            <w:r w:rsidRPr="00C83361">
              <w:rPr>
                <w:szCs w:val="22"/>
              </w:rPr>
              <w:t>Deadline for Written Questions*</w:t>
            </w:r>
          </w:p>
        </w:tc>
        <w:tc>
          <w:tcPr>
            <w:tcW w:w="3510" w:type="dxa"/>
            <w:vAlign w:val="center"/>
          </w:tcPr>
          <w:p w14:paraId="1376138E" w14:textId="4CFCB9D6" w:rsidR="00834622" w:rsidRPr="00571B3E" w:rsidRDefault="00745BBF" w:rsidP="0E0917D8">
            <w:pPr>
              <w:spacing w:after="0"/>
            </w:pPr>
            <w:r>
              <w:t>February</w:t>
            </w:r>
            <w:r w:rsidRPr="009E52BC">
              <w:t xml:space="preserve"> </w:t>
            </w:r>
            <w:r>
              <w:t>12</w:t>
            </w:r>
            <w:r w:rsidR="009E52BC" w:rsidRPr="009E52BC">
              <w:t>, 2026</w:t>
            </w:r>
          </w:p>
        </w:tc>
      </w:tr>
      <w:tr w:rsidR="00BF562E" w:rsidRPr="00C83361" w14:paraId="4348A389" w14:textId="77777777" w:rsidTr="00E52EDD">
        <w:trPr>
          <w:trHeight w:val="432"/>
        </w:trPr>
        <w:tc>
          <w:tcPr>
            <w:tcW w:w="5665" w:type="dxa"/>
            <w:vAlign w:val="center"/>
          </w:tcPr>
          <w:p w14:paraId="24EC1463" w14:textId="276816CB" w:rsidR="00834622" w:rsidRPr="00C83361" w:rsidRDefault="00834622" w:rsidP="00187B45">
            <w:pPr>
              <w:spacing w:after="0"/>
              <w:rPr>
                <w:szCs w:val="22"/>
              </w:rPr>
            </w:pPr>
            <w:r w:rsidRPr="00C83361">
              <w:rPr>
                <w:szCs w:val="22"/>
              </w:rPr>
              <w:t>Anticipated Distribution of Questions/Answers</w:t>
            </w:r>
          </w:p>
        </w:tc>
        <w:tc>
          <w:tcPr>
            <w:tcW w:w="3510" w:type="dxa"/>
            <w:vAlign w:val="center"/>
          </w:tcPr>
          <w:p w14:paraId="0FD6ECD7" w14:textId="6114AAEB" w:rsidR="00834622" w:rsidRPr="00571B3E" w:rsidRDefault="00E33475" w:rsidP="00E04486">
            <w:pPr>
              <w:spacing w:after="0"/>
            </w:pPr>
            <w:r>
              <w:t xml:space="preserve">Week of </w:t>
            </w:r>
            <w:r w:rsidR="0797B384" w:rsidRPr="5FC65061">
              <w:rPr>
                <w:b/>
                <w:bCs/>
                <w:u w:val="single"/>
              </w:rPr>
              <w:t>April 6</w:t>
            </w:r>
            <w:r w:rsidR="00B31B23">
              <w:t xml:space="preserve"> </w:t>
            </w:r>
            <w:r w:rsidR="71134A3C">
              <w:t>[</w:t>
            </w:r>
            <w:r w:rsidRPr="43D2CE05">
              <w:rPr>
                <w:strike/>
              </w:rPr>
              <w:t xml:space="preserve">March </w:t>
            </w:r>
            <w:r w:rsidR="004A4C91" w:rsidRPr="43D2CE05">
              <w:rPr>
                <w:strike/>
              </w:rPr>
              <w:t>2</w:t>
            </w:r>
            <w:r w:rsidR="1F07191C">
              <w:t>]</w:t>
            </w:r>
            <w:r>
              <w:t>, 2026</w:t>
            </w:r>
          </w:p>
        </w:tc>
      </w:tr>
      <w:tr w:rsidR="00BF562E" w:rsidRPr="00C83361" w14:paraId="66461844" w14:textId="77777777" w:rsidTr="00E52EDD">
        <w:trPr>
          <w:trHeight w:val="432"/>
        </w:trPr>
        <w:tc>
          <w:tcPr>
            <w:tcW w:w="5665" w:type="dxa"/>
            <w:vAlign w:val="center"/>
          </w:tcPr>
          <w:p w14:paraId="35D18C33" w14:textId="01716BAE" w:rsidR="00513B3D" w:rsidRPr="00B177D8" w:rsidRDefault="00004F7C" w:rsidP="00E04486">
            <w:pPr>
              <w:spacing w:after="0"/>
              <w:rPr>
                <w:bCs/>
                <w:szCs w:val="22"/>
              </w:rPr>
            </w:pPr>
            <w:r w:rsidRPr="00B177D8">
              <w:rPr>
                <w:bCs/>
                <w:szCs w:val="22"/>
              </w:rPr>
              <w:t xml:space="preserve">Support for Application Submission in </w:t>
            </w:r>
            <w:r w:rsidR="00F657B1">
              <w:rPr>
                <w:bCs/>
                <w:szCs w:val="22"/>
              </w:rPr>
              <w:t>the Energy Commission Agreement Management System (</w:t>
            </w:r>
            <w:r w:rsidRPr="00B177D8">
              <w:rPr>
                <w:bCs/>
                <w:szCs w:val="22"/>
              </w:rPr>
              <w:t>ECAMS</w:t>
            </w:r>
            <w:r w:rsidR="00F657B1">
              <w:rPr>
                <w:bCs/>
                <w:szCs w:val="22"/>
              </w:rPr>
              <w:t>)</w:t>
            </w:r>
            <w:r w:rsidRPr="00B177D8">
              <w:rPr>
                <w:bCs/>
                <w:szCs w:val="22"/>
              </w:rPr>
              <w:t xml:space="preserve"> until 5:00 p.m.</w:t>
            </w:r>
          </w:p>
        </w:tc>
        <w:tc>
          <w:tcPr>
            <w:tcW w:w="3510" w:type="dxa"/>
            <w:vAlign w:val="center"/>
          </w:tcPr>
          <w:p w14:paraId="42FC5B44" w14:textId="3ACD5E33" w:rsidR="00513B3D" w:rsidRPr="00571B3E" w:rsidRDefault="00DB0CA0" w:rsidP="00E04486">
            <w:pPr>
              <w:spacing w:after="0"/>
            </w:pPr>
            <w:r>
              <w:t xml:space="preserve">Ongoing until </w:t>
            </w:r>
            <w:r w:rsidR="5AC4EBE9" w:rsidRPr="0A382B76">
              <w:rPr>
                <w:b/>
                <w:bCs/>
                <w:u w:val="single"/>
              </w:rPr>
              <w:t>May</w:t>
            </w:r>
            <w:r w:rsidR="547BDE01" w:rsidRPr="0A382B76">
              <w:rPr>
                <w:b/>
                <w:bCs/>
                <w:u w:val="single"/>
              </w:rPr>
              <w:t xml:space="preserve"> 13</w:t>
            </w:r>
            <w:r w:rsidR="5AC4EBE9">
              <w:t xml:space="preserve"> [</w:t>
            </w:r>
            <w:r w:rsidR="00D97AB6" w:rsidRPr="0A382B76">
              <w:rPr>
                <w:strike/>
              </w:rPr>
              <w:t>April 22</w:t>
            </w:r>
            <w:r w:rsidR="10F9633B">
              <w:t>]</w:t>
            </w:r>
            <w:r w:rsidR="00926333">
              <w:t>, 2026</w:t>
            </w:r>
          </w:p>
        </w:tc>
      </w:tr>
      <w:tr w:rsidR="00BF562E" w:rsidRPr="00C83361" w14:paraId="533AFE8F" w14:textId="77777777" w:rsidTr="00E52EDD">
        <w:trPr>
          <w:trHeight w:val="432"/>
        </w:trPr>
        <w:tc>
          <w:tcPr>
            <w:tcW w:w="5665" w:type="dxa"/>
            <w:vAlign w:val="center"/>
          </w:tcPr>
          <w:p w14:paraId="54B697C9" w14:textId="77777777" w:rsidR="00834622" w:rsidRPr="00C83361" w:rsidRDefault="00834622" w:rsidP="00E04486">
            <w:pPr>
              <w:spacing w:after="0"/>
              <w:rPr>
                <w:b/>
                <w:szCs w:val="22"/>
              </w:rPr>
            </w:pPr>
            <w:r w:rsidRPr="00C83361">
              <w:rPr>
                <w:b/>
                <w:szCs w:val="22"/>
              </w:rPr>
              <w:t xml:space="preserve">Deadline to Submit Applications by </w:t>
            </w:r>
            <w:r w:rsidR="004270CC">
              <w:rPr>
                <w:b/>
                <w:szCs w:val="22"/>
              </w:rPr>
              <w:t>11:59</w:t>
            </w:r>
            <w:r w:rsidRPr="00C83361">
              <w:rPr>
                <w:b/>
                <w:szCs w:val="22"/>
              </w:rPr>
              <w:t xml:space="preserve"> p.m.*</w:t>
            </w:r>
          </w:p>
        </w:tc>
        <w:tc>
          <w:tcPr>
            <w:tcW w:w="3510" w:type="dxa"/>
            <w:vAlign w:val="center"/>
          </w:tcPr>
          <w:p w14:paraId="7BE9CBC3" w14:textId="60FB7504" w:rsidR="00834622" w:rsidRPr="00571B3E" w:rsidRDefault="414A95F0" w:rsidP="00E04486">
            <w:pPr>
              <w:spacing w:after="0"/>
            </w:pPr>
            <w:r w:rsidRPr="51B767A1">
              <w:rPr>
                <w:b/>
                <w:bCs/>
                <w:u w:val="single"/>
              </w:rPr>
              <w:t>May 13</w:t>
            </w:r>
            <w:r>
              <w:t xml:space="preserve"> [</w:t>
            </w:r>
            <w:r w:rsidR="009F78B0" w:rsidRPr="51B767A1">
              <w:rPr>
                <w:strike/>
              </w:rPr>
              <w:t>April 22</w:t>
            </w:r>
            <w:r w:rsidR="60C73EFA">
              <w:t>]</w:t>
            </w:r>
            <w:r w:rsidR="00D6283A">
              <w:t>, 2026</w:t>
            </w:r>
          </w:p>
        </w:tc>
      </w:tr>
      <w:tr w:rsidR="00BF562E" w:rsidRPr="00C83361" w14:paraId="78A9C13C" w14:textId="77777777" w:rsidTr="00E52EDD">
        <w:trPr>
          <w:trHeight w:val="432"/>
        </w:trPr>
        <w:tc>
          <w:tcPr>
            <w:tcW w:w="5665" w:type="dxa"/>
            <w:vAlign w:val="center"/>
          </w:tcPr>
          <w:p w14:paraId="1944A492" w14:textId="77777777" w:rsidR="00834622" w:rsidRPr="00C83361" w:rsidRDefault="00834622" w:rsidP="00E04486">
            <w:pPr>
              <w:spacing w:after="0"/>
              <w:rPr>
                <w:szCs w:val="22"/>
              </w:rPr>
            </w:pPr>
            <w:r w:rsidRPr="00C83361">
              <w:rPr>
                <w:szCs w:val="22"/>
              </w:rPr>
              <w:t xml:space="preserve">Anticipated Notice of Proposed Awards Posting </w:t>
            </w:r>
          </w:p>
        </w:tc>
        <w:tc>
          <w:tcPr>
            <w:tcW w:w="3510" w:type="dxa"/>
            <w:vAlign w:val="center"/>
          </w:tcPr>
          <w:p w14:paraId="796A28BD" w14:textId="2411EBDF" w:rsidR="00834622" w:rsidRPr="00571B3E" w:rsidRDefault="00293804" w:rsidP="00E04486">
            <w:pPr>
              <w:spacing w:after="0"/>
              <w:rPr>
                <w:szCs w:val="22"/>
              </w:rPr>
            </w:pPr>
            <w:r w:rsidRPr="00571B3E">
              <w:rPr>
                <w:szCs w:val="22"/>
              </w:rPr>
              <w:t xml:space="preserve">Week of </w:t>
            </w:r>
            <w:r w:rsidR="0918AE9C" w:rsidRPr="3E074BFA">
              <w:rPr>
                <w:b/>
                <w:bCs/>
                <w:u w:val="single"/>
              </w:rPr>
              <w:t>July 27</w:t>
            </w:r>
            <w:r w:rsidR="0918AE9C">
              <w:t xml:space="preserve"> [</w:t>
            </w:r>
            <w:r w:rsidR="00282B7F" w:rsidRPr="3E074BFA">
              <w:rPr>
                <w:strike/>
              </w:rPr>
              <w:t xml:space="preserve">June </w:t>
            </w:r>
            <w:r w:rsidR="00670441" w:rsidRPr="3E074BFA">
              <w:rPr>
                <w:strike/>
              </w:rPr>
              <w:t>29</w:t>
            </w:r>
            <w:r w:rsidR="621892BE">
              <w:t>]</w:t>
            </w:r>
            <w:r w:rsidR="009D4BD0">
              <w:t>,</w:t>
            </w:r>
            <w:r w:rsidR="009D4BD0" w:rsidRPr="009D4BD0">
              <w:rPr>
                <w:szCs w:val="22"/>
              </w:rPr>
              <w:t xml:space="preserve"> 2026</w:t>
            </w:r>
          </w:p>
        </w:tc>
      </w:tr>
      <w:tr w:rsidR="00BF562E" w:rsidRPr="00C83361" w14:paraId="2AF84E55" w14:textId="77777777" w:rsidTr="00E52EDD">
        <w:trPr>
          <w:trHeight w:val="432"/>
        </w:trPr>
        <w:tc>
          <w:tcPr>
            <w:tcW w:w="5665" w:type="dxa"/>
            <w:vAlign w:val="center"/>
          </w:tcPr>
          <w:p w14:paraId="23670E43" w14:textId="77777777" w:rsidR="00834622" w:rsidRPr="00C83361" w:rsidRDefault="00834622" w:rsidP="005A220D">
            <w:pPr>
              <w:spacing w:after="0"/>
              <w:rPr>
                <w:szCs w:val="22"/>
              </w:rPr>
            </w:pPr>
            <w:r w:rsidRPr="00C83361">
              <w:rPr>
                <w:szCs w:val="22"/>
              </w:rPr>
              <w:t xml:space="preserve">Anticipated </w:t>
            </w:r>
            <w:r w:rsidR="005A220D" w:rsidRPr="00C83361">
              <w:rPr>
                <w:szCs w:val="22"/>
              </w:rPr>
              <w:t>CEC</w:t>
            </w:r>
            <w:r w:rsidRPr="00C83361">
              <w:rPr>
                <w:szCs w:val="22"/>
              </w:rPr>
              <w:t xml:space="preserve"> Business Meeting </w:t>
            </w:r>
          </w:p>
        </w:tc>
        <w:tc>
          <w:tcPr>
            <w:tcW w:w="3510" w:type="dxa"/>
            <w:vAlign w:val="center"/>
          </w:tcPr>
          <w:p w14:paraId="439AF6BB" w14:textId="4E04652C" w:rsidR="00834622" w:rsidRPr="00571B3E" w:rsidRDefault="69CA0FC1" w:rsidP="00E04486">
            <w:pPr>
              <w:spacing w:after="0"/>
              <w:rPr>
                <w:szCs w:val="22"/>
              </w:rPr>
            </w:pPr>
            <w:r w:rsidRPr="622212A5">
              <w:rPr>
                <w:b/>
                <w:bCs/>
                <w:u w:val="single"/>
              </w:rPr>
              <w:t>October</w:t>
            </w:r>
            <w:r>
              <w:t xml:space="preserve"> [</w:t>
            </w:r>
            <w:r w:rsidR="00282B7F" w:rsidRPr="622212A5">
              <w:rPr>
                <w:strike/>
              </w:rPr>
              <w:t>September</w:t>
            </w:r>
            <w:r w:rsidR="136E2BF5">
              <w:t>]</w:t>
            </w:r>
            <w:r w:rsidR="00282B7F" w:rsidRPr="00B272EA">
              <w:rPr>
                <w:szCs w:val="22"/>
              </w:rPr>
              <w:t xml:space="preserve"> </w:t>
            </w:r>
            <w:r w:rsidR="00B272EA" w:rsidRPr="00B272EA">
              <w:rPr>
                <w:szCs w:val="22"/>
              </w:rPr>
              <w:t>2026</w:t>
            </w:r>
          </w:p>
        </w:tc>
      </w:tr>
    </w:tbl>
    <w:p w14:paraId="12E1EA06" w14:textId="77777777" w:rsidR="00E4536E" w:rsidRPr="00677FAD" w:rsidRDefault="00E4536E" w:rsidP="00E04486">
      <w:pPr>
        <w:spacing w:after="0"/>
        <w:rPr>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13338619"/>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3F8664CC" w14:textId="078BD393" w:rsidR="00174984" w:rsidRPr="00212A69" w:rsidRDefault="007B5DC4" w:rsidP="00212A69">
      <w:pPr>
        <w:pStyle w:val="ListParagraph"/>
        <w:numPr>
          <w:ilvl w:val="0"/>
          <w:numId w:val="99"/>
        </w:numPr>
        <w:spacing w:before="0" w:after="120"/>
        <w:rPr>
          <w:b/>
          <w:bCs/>
        </w:rPr>
      </w:pPr>
      <w:r>
        <w:rPr>
          <w:b/>
          <w:bCs/>
        </w:rPr>
        <w:lastRenderedPageBreak/>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B79AF79" w:rsidR="00AA3ED0" w:rsidRDefault="00132548" w:rsidP="00212A69">
      <w:pPr>
        <w:pStyle w:val="ListParagraph"/>
        <w:spacing w:before="0" w:after="120"/>
        <w:ind w:left="1440"/>
      </w:pPr>
      <w:r>
        <w:t>Applications</w:t>
      </w:r>
      <w:r w:rsidR="00336E8E">
        <w:t xml:space="preserve"> </w:t>
      </w:r>
      <w:r w:rsidR="3B5D5A40">
        <w:t xml:space="preserve">that </w:t>
      </w:r>
      <w:r w:rsidR="00D861BB">
        <w:t>pass Administrative and Technical</w:t>
      </w:r>
      <w:r w:rsidR="00336E8E">
        <w:t xml:space="preserve"> screening and scor</w:t>
      </w:r>
      <w:r w:rsidR="30677792">
        <w:t>e</w:t>
      </w:r>
      <w:r w:rsidR="00336E8E">
        <w:t xml:space="preserve"> </w:t>
      </w:r>
      <w:r w:rsidR="00C125EF">
        <w:t>at least</w:t>
      </w:r>
      <w:r w:rsidR="00336E8E">
        <w:t xml:space="preserve"> 70 percent </w:t>
      </w:r>
      <w:r w:rsidR="00C125EF">
        <w:t>in</w:t>
      </w:r>
      <w:r w:rsidR="00336E8E">
        <w:t xml:space="preserve"> Technical Evaluation (</w:t>
      </w:r>
      <w:r w:rsidR="002F05AC">
        <w:t>as described in i.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10396941" w:rsidR="00FF2138" w:rsidRDefault="001C5519" w:rsidP="00212A69">
      <w:pPr>
        <w:pStyle w:val="ListParagraph"/>
        <w:spacing w:before="0" w:after="120"/>
        <w:ind w:left="1440"/>
      </w:pPr>
      <w:r>
        <w:t xml:space="preserve">Each metric is scored out of </w:t>
      </w:r>
      <w:r w:rsidRPr="00732A85">
        <w:t>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 xml:space="preserve">Applications within each </w:t>
      </w:r>
      <w:r w:rsidR="00ED3E9A">
        <w:t>Project Region</w:t>
      </w:r>
      <w:r w:rsidR="00C35CE5">
        <w:t xml:space="preserve"> will be </w:t>
      </w:r>
      <w:r w:rsidR="0008758D">
        <w:t xml:space="preserve">recommended for funding in order of highest to lowest combined score.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2572BC4F"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proofErr w:type="gramStart"/>
      <w:r>
        <w:t xml:space="preserve">discretion, </w:t>
      </w:r>
      <w:r w:rsidR="397EDC20">
        <w:t xml:space="preserve"> </w:t>
      </w:r>
      <w:r w:rsidR="055874F7">
        <w:t>select</w:t>
      </w:r>
      <w:proofErr w:type="gramEnd"/>
      <w:r w:rsidR="469141EA">
        <w:t xml:space="preserve"> </w:t>
      </w:r>
      <w:r w:rsidR="397EDC20">
        <w:t xml:space="preserve"> the next ranked application</w:t>
      </w:r>
      <w:r>
        <w:t xml:space="preserve"> for award to ensure adequate geographic distribution of funded stations.</w:t>
      </w:r>
    </w:p>
    <w:p w14:paraId="5FE02F8F" w14:textId="3DAEF50C"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 xml:space="preserve">proposed for </w:t>
      </w:r>
      <w:proofErr w:type="gramStart"/>
      <w:r w:rsidR="00867A5A">
        <w:t>award</w:t>
      </w:r>
      <w:r w:rsidR="00487FB7">
        <w:t xml:space="preserve">, </w:t>
      </w:r>
      <w:r w:rsidR="046D96AC">
        <w:t xml:space="preserve"> </w:t>
      </w:r>
      <w:r w:rsidR="5CE7F554">
        <w:t>or</w:t>
      </w:r>
      <w:proofErr w:type="gramEnd"/>
      <w:r w:rsidR="2EAC95A0">
        <w:t xml:space="preserve"> </w:t>
      </w:r>
      <w:r w:rsidR="40348B21">
        <w:t xml:space="preserve">the geographic distribution of proposed awards is not </w:t>
      </w:r>
      <w:r w:rsidR="3BBE44DB">
        <w:t>adequate</w:t>
      </w:r>
      <w:r w:rsidR="40348B21">
        <w:t xml:space="preserve"> as described </w:t>
      </w:r>
      <w:r w:rsidR="74ED8C48">
        <w:t xml:space="preserve">in the paragraph </w:t>
      </w:r>
      <w:r w:rsidR="40348B21">
        <w:t>above</w:t>
      </w:r>
      <w:r w:rsidR="00867A5A">
        <w:t xml:space="preserve">, 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t xml:space="preserve">If the funds available under this solicitation </w:t>
      </w:r>
      <w:r w:rsidR="00FF2601">
        <w:t>(or within a given Project Region)</w:t>
      </w:r>
      <w:r>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6431F0DB" w14:textId="77777777" w:rsidR="00DD5F50" w:rsidRPr="00677FAD" w:rsidRDefault="00FF4E8A" w:rsidP="00B60FC7">
      <w:pPr>
        <w:pStyle w:val="Heading2"/>
        <w:keepNext w:val="0"/>
        <w:numPr>
          <w:ilvl w:val="0"/>
          <w:numId w:val="13"/>
        </w:numPr>
        <w:spacing w:before="0" w:after="0"/>
        <w:ind w:hanging="720"/>
      </w:pPr>
      <w:bookmarkStart w:id="19" w:name="_Toc352232771"/>
      <w:bookmarkStart w:id="20" w:name="_Toc213338620"/>
      <w:r w:rsidRPr="00677FAD">
        <w:t>Availability of Funds</w:t>
      </w:r>
      <w:bookmarkEnd w:id="19"/>
      <w:bookmarkEnd w:id="20"/>
    </w:p>
    <w:p w14:paraId="6AF1E6A2" w14:textId="5C721A27" w:rsidR="00360B39" w:rsidRDefault="00FF4E8A" w:rsidP="009A5E3E">
      <w:pPr>
        <w:pStyle w:val="NormalIndent"/>
      </w:pPr>
      <w:r w:rsidRPr="00C83361">
        <w:t xml:space="preserve">A </w:t>
      </w:r>
      <w:r w:rsidRPr="00732748">
        <w:t xml:space="preserve">total </w:t>
      </w:r>
      <w:r w:rsidRPr="00B24728">
        <w:t xml:space="preserve">of </w:t>
      </w:r>
      <w:r w:rsidR="005349E0" w:rsidRPr="00212A69">
        <w:t>$</w:t>
      </w:r>
      <w:r w:rsidR="00E90BE7" w:rsidRPr="00212A69">
        <w:t>69</w:t>
      </w:r>
      <w:r w:rsidR="00F244C9" w:rsidRPr="00212A69">
        <w:t>,</w:t>
      </w:r>
      <w:r w:rsidR="008D6F76" w:rsidRPr="00212A69">
        <w:t>500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316350">
      <w:pPr>
        <w:pStyle w:val="Heading2"/>
        <w:numPr>
          <w:ilvl w:val="0"/>
          <w:numId w:val="13"/>
        </w:numPr>
        <w:spacing w:before="0" w:after="0"/>
        <w:ind w:hanging="720"/>
      </w:pPr>
      <w:bookmarkStart w:id="21" w:name="_Toc213338621"/>
      <w:r>
        <w:rPr>
          <w:lang w:val="en-US"/>
        </w:rPr>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61FF9CA7" w:rsidR="00C17718" w:rsidRDefault="00D51ECB" w:rsidP="007267AA">
      <w:pPr>
        <w:pStyle w:val="NormalIndent"/>
      </w:pPr>
      <w:r>
        <w:t xml:space="preserve">Projects will be evaluated </w:t>
      </w:r>
      <w:proofErr w:type="gramStart"/>
      <w:r>
        <w:t>on</w:t>
      </w:r>
      <w:proofErr w:type="gramEnd"/>
      <w:r>
        <w:t xml:space="preserve"> the degree to which the proposed infrastructure demonstrates a highly cost-effective use of CEC funds, with a low </w:t>
      </w:r>
      <w:r w:rsidR="00A3597F">
        <w:t>Cost-per-New-CCS-Port</w:t>
      </w:r>
      <w:r>
        <w:t xml:space="preserve"> relative to the power level. Projects will be evaluated on both the </w:t>
      </w:r>
      <w:r w:rsidR="00D41D8C">
        <w:t>C</w:t>
      </w:r>
      <w:r w:rsidR="00CF064C">
        <w:t>ost</w:t>
      </w:r>
      <w:r>
        <w:t>-per-</w:t>
      </w:r>
      <w:r w:rsidR="00A3597F">
        <w:t>new-</w:t>
      </w:r>
      <w:r w:rsidR="00460449">
        <w:t>CCS</w:t>
      </w:r>
      <w:r w:rsidR="001D1F37">
        <w:t>-</w:t>
      </w:r>
      <w:r w:rsidR="00A3597F">
        <w:t>P</w:t>
      </w:r>
      <w:r>
        <w:t xml:space="preserve">ort and the </w:t>
      </w:r>
      <w:r w:rsidR="00A3597F">
        <w:t xml:space="preserve">Cost-per-kW of </w:t>
      </w:r>
      <w:r w:rsidR="653C4E99">
        <w:t>n</w:t>
      </w:r>
      <w:r w:rsidR="00A3597F">
        <w:t xml:space="preserve">ew </w:t>
      </w:r>
      <w:r w:rsidR="5A21FD80">
        <w:t>c</w:t>
      </w:r>
      <w:r w:rsidR="00A3597F">
        <w:t>apacity</w:t>
      </w:r>
      <w:r>
        <w:t>.</w:t>
      </w:r>
    </w:p>
    <w:p w14:paraId="418A9B70" w14:textId="7EB1F8FE" w:rsidR="00A4718B" w:rsidRDefault="273B6416">
      <w:pPr>
        <w:pStyle w:val="NormalIndent"/>
      </w:pPr>
      <w:r>
        <w:t xml:space="preserve">On-site </w:t>
      </w:r>
      <w:r w:rsidR="7194938E">
        <w:t xml:space="preserve">renewable distributed energy resources </w:t>
      </w:r>
      <w:r w:rsidR="11E3EF75">
        <w:t xml:space="preserve">and stationary battery energy storage systems related to the charging of EVs are </w:t>
      </w:r>
      <w:r>
        <w:t xml:space="preserve">eligible for CEC reimbursement; however, </w:t>
      </w:r>
      <w:r w:rsidR="11E3EF75">
        <w:t xml:space="preserve">such costs </w:t>
      </w:r>
      <w:r>
        <w:t xml:space="preserve">may not exceed 50 </w:t>
      </w:r>
      <w:r w:rsidR="11E3EF75">
        <w:t>percent</w:t>
      </w:r>
      <w:r>
        <w:t xml:space="preserve"> of </w:t>
      </w:r>
      <w:r w:rsidR="649C9D6F">
        <w:t>CEC grant funds</w:t>
      </w:r>
      <w:r w:rsidR="612E7EB6">
        <w:t>.</w:t>
      </w:r>
      <w:r>
        <w:t xml:space="preserve"> </w:t>
      </w:r>
      <w:r w:rsidR="1DC10BFB">
        <w:t>Additionally, t</w:t>
      </w:r>
      <w:r>
        <w:t xml:space="preserve">hese costs will be included in the calculation of </w:t>
      </w:r>
      <w:r w:rsidR="034B537E">
        <w:t>Cost-per-New-CCS-Port</w:t>
      </w:r>
      <w:r>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13338622"/>
      <w:r w:rsidRPr="00050087">
        <w:rPr>
          <w:lang w:val="en-US"/>
        </w:rPr>
        <w:t>Maximum Number of Applications</w:t>
      </w:r>
      <w:bookmarkEnd w:id="22"/>
    </w:p>
    <w:p w14:paraId="1E469D46" w14:textId="0AA7D518" w:rsidR="00905FD8" w:rsidRPr="00B24728" w:rsidRDefault="008507AA" w:rsidP="009A5E3E">
      <w:pPr>
        <w:pStyle w:val="NormalIndent"/>
      </w:pPr>
      <w:r w:rsidRPr="008507AA">
        <w:t xml:space="preserve">Applicants may submit </w:t>
      </w:r>
      <w:r w:rsidR="00D21FA1">
        <w:t>up to</w:t>
      </w:r>
      <w:r w:rsidR="00F57894">
        <w:t xml:space="preserve"> </w:t>
      </w:r>
      <w:r w:rsidR="003D61A0">
        <w:t xml:space="preserve">five </w:t>
      </w:r>
      <w:r w:rsidR="00F57894">
        <w:t>(</w:t>
      </w:r>
      <w:r w:rsidR="003D61A0">
        <w:t>5</w:t>
      </w:r>
      <w:r w:rsidR="00F57894">
        <w:t xml:space="preserve">) </w:t>
      </w:r>
      <w:r w:rsidR="002373DB">
        <w:t xml:space="preserve">applications </w:t>
      </w:r>
      <w:r w:rsidR="00F57894">
        <w:t>per Project Region as defined in Section II.B.</w:t>
      </w:r>
      <w:r w:rsidR="002373DB">
        <w:t>3</w:t>
      </w:r>
      <w:r w:rsidRPr="008507AA">
        <w:t xml:space="preserve">. Each </w:t>
      </w:r>
      <w:r w:rsidR="001D77AC">
        <w:t>application</w:t>
      </w:r>
      <w:r w:rsidRPr="008507AA">
        <w:t xml:space="preserve"> must be </w:t>
      </w:r>
      <w:r w:rsidR="00474122">
        <w:t xml:space="preserve">for </w:t>
      </w:r>
      <w:r w:rsidR="00647001">
        <w:t xml:space="preserve">a different </w:t>
      </w:r>
      <w:r w:rsidR="00647001" w:rsidRPr="00B24728">
        <w:t>project site, be</w:t>
      </w:r>
      <w:r w:rsidR="00474122" w:rsidRPr="00B24728">
        <w:t xml:space="preserve"> </w:t>
      </w:r>
      <w:r w:rsidRPr="00B24728">
        <w:t>separate and distinct</w:t>
      </w:r>
      <w:r w:rsidR="00647001" w:rsidRPr="00B24728">
        <w:t>,</w:t>
      </w:r>
      <w:r w:rsidRPr="00B24728">
        <w:t xml:space="preserve"> and adhere to all requirements contained in this solicitation.</w:t>
      </w:r>
      <w:r w:rsidR="00B508EB" w:rsidRPr="00B24728">
        <w:t xml:space="preserve"> Each application must propose one project that must consist of one EV charging station (in other words, one site)</w:t>
      </w:r>
      <w:r w:rsidR="7D0FF71C" w:rsidRPr="00B24728">
        <w:t xml:space="preserve"> and install a minimum combined EV charging nameplate capacity of three (3) megawatts (MW) and </w:t>
      </w:r>
      <w:r w:rsidR="00B37BF7" w:rsidRPr="00212A69">
        <w:t>eight (</w:t>
      </w:r>
      <w:r w:rsidR="3519D3FC" w:rsidRPr="00212A69">
        <w:t>8</w:t>
      </w:r>
      <w:r w:rsidR="00B37BF7" w:rsidRPr="00212A69">
        <w:t>)</w:t>
      </w:r>
      <w:r w:rsidR="7D0FF71C" w:rsidRPr="00B2472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13338623"/>
      <w:r>
        <w:t xml:space="preserve">Applicant </w:t>
      </w:r>
      <w:r w:rsidR="00F35B94">
        <w:t xml:space="preserve">Award </w:t>
      </w:r>
      <w:r>
        <w:t>Cap</w:t>
      </w:r>
      <w:bookmarkEnd w:id="23"/>
    </w:p>
    <w:p w14:paraId="1D5951DF" w14:textId="55189789" w:rsidR="007F47DE" w:rsidRDefault="00BF6CA8" w:rsidP="007F47DE">
      <w:pPr>
        <w:ind w:left="720"/>
      </w:pPr>
      <w:r>
        <w:t>Applicants submitting multiple applications are eligible for no more than 20</w:t>
      </w:r>
      <w:r w:rsidR="508AB171">
        <w:t xml:space="preserve"> percent</w:t>
      </w:r>
      <w:r>
        <w:t xml:space="preserve"> of the total funding </w:t>
      </w:r>
      <w:r w:rsidR="009A5E3E">
        <w:t>available under this solicitation.</w:t>
      </w:r>
      <w:r w:rsidR="00FE1FCC">
        <w:t xml:space="preserve"> </w:t>
      </w:r>
      <w:r w:rsidR="007F47DE">
        <w:t xml:space="preserve">If an Applicant requests and is proposed to be awarded more than 20 percent of the funds </w:t>
      </w:r>
      <w:r w:rsidR="007F47DE">
        <w:lastRenderedPageBreak/>
        <w:t>available, the CEC intends to propose awards to the Applicant using the</w:t>
      </w:r>
      <w:r w:rsidR="00D5140B">
        <w:t xml:space="preserve"> Cost Evaluation</w:t>
      </w:r>
      <w:r w:rsidR="007F47DE">
        <w:t xml:space="preserve"> score</w:t>
      </w:r>
      <w:r w:rsidR="00EC6271">
        <w:t xml:space="preserve"> for each </w:t>
      </w:r>
      <w:r w:rsidR="004B31DB">
        <w:t>application</w:t>
      </w:r>
      <w:r w:rsidR="007F47DE">
        <w:t xml:space="preserve">. If some of the Applicant’s </w:t>
      </w:r>
      <w:r w:rsidR="004B31DB">
        <w:t xml:space="preserve">applications </w:t>
      </w:r>
      <w:r w:rsidR="007F47DE">
        <w:t>received the same score, the tie breaker criteria listed in Section IV</w:t>
      </w:r>
      <w:r w:rsidR="00663821">
        <w:t>.</w:t>
      </w:r>
      <w:r w:rsidR="004B4EC7">
        <w:t>G.</w:t>
      </w:r>
      <w:r w:rsidR="007F47DE">
        <w:t xml:space="preserve"> will be used to determine which </w:t>
      </w:r>
      <w:r w:rsidR="004B31DB">
        <w:t>applications</w:t>
      </w:r>
      <w:r w:rsidR="007F47DE">
        <w:t xml:space="preserve"> are proposed for award. </w:t>
      </w:r>
    </w:p>
    <w:p w14:paraId="056E9769" w14:textId="133AC069" w:rsidR="007F47DE" w:rsidRPr="00E23247" w:rsidRDefault="007F47DE" w:rsidP="00212A69">
      <w:pPr>
        <w:ind w:left="720"/>
      </w:pPr>
      <w:r>
        <w:t xml:space="preserve">If the highest-scoring </w:t>
      </w:r>
      <w:r w:rsidR="005745E0">
        <w:t>application</w:t>
      </w:r>
      <w:r>
        <w:t xml:space="preserve"> within a </w:t>
      </w:r>
      <w:r w:rsidR="00FA7C66">
        <w:t xml:space="preserve">Project Region </w:t>
      </w:r>
      <w:r>
        <w:t xml:space="preserve">is not eligible because the Applicant has exceeded the applicant </w:t>
      </w:r>
      <w:r w:rsidR="005745E0">
        <w:t xml:space="preserve">award </w:t>
      </w:r>
      <w:r>
        <w:t xml:space="preserve">cap, the CEC </w:t>
      </w:r>
      <w:r w:rsidR="1279E2DA">
        <w:t>may</w:t>
      </w:r>
      <w:r>
        <w:t xml:space="preserve"> award the next-highest-scoring </w:t>
      </w:r>
      <w:r w:rsidR="005745E0">
        <w:t>application</w:t>
      </w:r>
      <w:r>
        <w:t xml:space="preserve"> for that </w:t>
      </w:r>
      <w:r w:rsidR="000721D0">
        <w:t>Project Region</w:t>
      </w:r>
      <w:r>
        <w:t xml:space="preserve">. </w:t>
      </w:r>
    </w:p>
    <w:p w14:paraId="20AD8089" w14:textId="0DFABF60" w:rsidR="00BF6CA8" w:rsidRDefault="472D60C7" w:rsidP="00BF6CA8">
      <w:pPr>
        <w:pStyle w:val="NormalIndent"/>
      </w:pPr>
      <w:r>
        <w:t xml:space="preserve">The </w:t>
      </w:r>
      <w:r w:rsidR="00FE1FCC">
        <w:t>CEC reserves the right</w:t>
      </w:r>
      <w:r w:rsidR="00D51BA0">
        <w:t>,</w:t>
      </w:r>
      <w:r w:rsidR="00FE1FCC">
        <w:t xml:space="preserve"> </w:t>
      </w:r>
      <w:r w:rsidR="00D51BA0">
        <w:t>at</w:t>
      </w:r>
      <w:r w:rsidR="00FE1FCC">
        <w:t xml:space="preserve"> its sole discretion, </w:t>
      </w:r>
      <w:r w:rsidR="00D51BA0">
        <w:t xml:space="preserve">to </w:t>
      </w:r>
      <w:r w:rsidR="006F7A28">
        <w:t>modify</w:t>
      </w:r>
      <w:r w:rsidR="00FE1FCC">
        <w:t xml:space="preserve"> </w:t>
      </w:r>
      <w:r w:rsidR="0DFCD891">
        <w:t xml:space="preserve">or eliminate </w:t>
      </w:r>
      <w:r w:rsidR="00FE1FCC">
        <w:t xml:space="preserve">the applicant </w:t>
      </w:r>
      <w:r w:rsidR="00E44D2A">
        <w:t>award</w:t>
      </w:r>
      <w:r w:rsidR="00FE1FCC">
        <w:t xml:space="preserve"> cap</w:t>
      </w:r>
      <w:r w:rsidR="001D2962">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13338624"/>
      <w:r w:rsidRPr="004302BF">
        <w:t>Agreement</w:t>
      </w:r>
      <w:r w:rsidR="00645D05">
        <w:t>s</w:t>
      </w:r>
      <w:r w:rsidRPr="004302BF">
        <w:t xml:space="preserve"> Contingent on Funding Availability</w:t>
      </w:r>
      <w:bookmarkEnd w:id="24"/>
      <w:bookmarkEnd w:id="25"/>
    </w:p>
    <w:p w14:paraId="637617E1" w14:textId="47427A02"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unavailable; are reduced; or are deleted, for any reason including but not limited to FHWA’s failure to </w:t>
      </w:r>
      <w:r w:rsidR="006C009A">
        <w:t>obligate funds, de-obligation of previously obligated funds, or failure to</w:t>
      </w:r>
      <w:r w:rsidRPr="004302BF">
        <w:t xml:space="preserve"> 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w:t>
      </w:r>
      <w:proofErr w:type="gramStart"/>
      <w:r w:rsidRPr="004302BF">
        <w:t>perform</w:t>
      </w:r>
      <w:proofErr w:type="gramEnd"/>
      <w:r w:rsidRPr="004302BF">
        <w:t xml:space="preserve">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13338625"/>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7E761CE9" w14:textId="77777777" w:rsidR="00D1089F" w:rsidRDefault="00D1089F" w:rsidP="00E04486">
      <w:pPr>
        <w:spacing w:after="0"/>
        <w:jc w:val="center"/>
        <w:rPr>
          <w:b/>
          <w:szCs w:val="24"/>
        </w:rPr>
      </w:pPr>
    </w:p>
    <w:p w14:paraId="2DAAA89A" w14:textId="0D15DAB3" w:rsidR="00052A64" w:rsidRPr="00212A69" w:rsidRDefault="000D4C37" w:rsidP="00E04486">
      <w:pPr>
        <w:spacing w:after="0"/>
        <w:jc w:val="center"/>
        <w:rPr>
          <w:b/>
          <w:szCs w:val="24"/>
        </w:rPr>
      </w:pPr>
      <w:r>
        <w:rPr>
          <w:b/>
          <w:szCs w:val="24"/>
        </w:rPr>
        <w:t>February</w:t>
      </w:r>
      <w:r w:rsidR="00E23247" w:rsidRPr="00212A69">
        <w:rPr>
          <w:b/>
          <w:szCs w:val="24"/>
        </w:rPr>
        <w:t xml:space="preserve"> </w:t>
      </w:r>
      <w:r w:rsidR="003D5BD4">
        <w:rPr>
          <w:b/>
          <w:szCs w:val="24"/>
        </w:rPr>
        <w:t>4</w:t>
      </w:r>
      <w:r w:rsidR="00632F2E" w:rsidRPr="00212A69">
        <w:rPr>
          <w:b/>
          <w:szCs w:val="24"/>
        </w:rPr>
        <w:t>, 202</w:t>
      </w:r>
      <w:r w:rsidR="00E57C44">
        <w:rPr>
          <w:b/>
          <w:szCs w:val="24"/>
        </w:rPr>
        <w:t>6</w:t>
      </w:r>
    </w:p>
    <w:p w14:paraId="0712D5F2" w14:textId="02DFECA0" w:rsidR="00052A64" w:rsidRPr="00C83361" w:rsidRDefault="00632F2E" w:rsidP="00E04486">
      <w:pPr>
        <w:spacing w:after="0"/>
        <w:jc w:val="center"/>
        <w:rPr>
          <w:szCs w:val="24"/>
        </w:rPr>
      </w:pPr>
      <w:r w:rsidRPr="00212A69">
        <w:rPr>
          <w:szCs w:val="24"/>
        </w:rPr>
        <w:t>9:30 a.m.</w:t>
      </w:r>
      <w:r w:rsidR="009313AF">
        <w:rPr>
          <w:szCs w:val="24"/>
        </w:rPr>
        <w:t xml:space="preserve"> to 12:00 p.m.</w:t>
      </w:r>
    </w:p>
    <w:p w14:paraId="1E40A909" w14:textId="348BE30C" w:rsidR="1903CFCA" w:rsidRDefault="1903CFCA" w:rsidP="6E426E1A">
      <w:pPr>
        <w:spacing w:after="0"/>
        <w:jc w:val="center"/>
        <w:rPr>
          <w:szCs w:val="24"/>
        </w:rPr>
      </w:pPr>
      <w:r w:rsidRPr="6E426E1A">
        <w:rPr>
          <w:szCs w:val="24"/>
        </w:rPr>
        <w:t>Via Zoom</w:t>
      </w:r>
    </w:p>
    <w:p w14:paraId="3C4208DA" w14:textId="77777777" w:rsidR="000F72DA" w:rsidRPr="00050087" w:rsidRDefault="000F72DA"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13338626"/>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lastRenderedPageBreak/>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5371F909" w14:textId="3C7A1EE5" w:rsidR="0045255C" w:rsidRPr="00C83361" w:rsidRDefault="0045255C" w:rsidP="0045255C">
      <w:pPr>
        <w:pStyle w:val="ListParagraph"/>
        <w:spacing w:after="0"/>
        <w:rPr>
          <w:szCs w:val="24"/>
        </w:rPr>
      </w:pPr>
      <w:r w:rsidRPr="005B3A8D">
        <w:rPr>
          <w:szCs w:val="24"/>
        </w:rPr>
        <w:t xml:space="preserve">To join this workshop, go to Zoom </w:t>
      </w:r>
      <w:r w:rsidR="00E47E20" w:rsidRPr="005B3A8D">
        <w:rPr>
          <w:szCs w:val="24"/>
        </w:rPr>
        <w:t>at:</w:t>
      </w:r>
      <w:r w:rsidRPr="005B3A8D">
        <w:rPr>
          <w:szCs w:val="24"/>
        </w:rPr>
        <w:t xml:space="preserve"> </w:t>
      </w:r>
      <w:hyperlink r:id="rId20" w:tgtFrame="_blank" w:tooltip="https://energy.zoom.us/j/87945249916?pwd=mwptyxfjhqlqnzx2sfzyov52w2ro0y.1" w:history="1">
        <w:r w:rsidR="009959A2" w:rsidRPr="009959A2">
          <w:rPr>
            <w:rStyle w:val="Hyperlink"/>
            <w:szCs w:val="24"/>
          </w:rPr>
          <w:t>https://energy.zoom.us/j/87945249916?pwd=MWpTyXfJHqLQnZX2sFzYOV52w2rO0Y.1</w:t>
        </w:r>
      </w:hyperlink>
      <w:r w:rsidR="009959A2" w:rsidRPr="009959A2">
        <w:rPr>
          <w:szCs w:val="24"/>
        </w:rPr>
        <w:t>.</w:t>
      </w:r>
      <w:r w:rsidR="009959A2">
        <w:rPr>
          <w:szCs w:val="24"/>
        </w:rPr>
        <w:t xml:space="preserve"> </w:t>
      </w:r>
      <w:r w:rsidRPr="005B3A8D">
        <w:rPr>
          <w:szCs w:val="24"/>
        </w:rPr>
        <w:t xml:space="preserve">You may also access the workshop by going to the </w:t>
      </w:r>
      <w:hyperlink r:id="rId21" w:history="1">
        <w:r w:rsidR="00C51BC3" w:rsidRPr="005B3A8D">
          <w:rPr>
            <w:rStyle w:val="Hyperlink"/>
            <w:rFonts w:eastAsia="Tahoma"/>
            <w:szCs w:val="24"/>
          </w:rPr>
          <w:t>Zoom webpage</w:t>
        </w:r>
      </w:hyperlink>
      <w:r w:rsidRPr="005B3A8D">
        <w:rPr>
          <w:szCs w:val="24"/>
        </w:rP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D6A5154" w14:textId="3EB481D8" w:rsidR="0045255C" w:rsidRPr="00B952E3" w:rsidRDefault="0045255C" w:rsidP="005D5963">
      <w:pPr>
        <w:spacing w:after="0"/>
        <w:ind w:left="720" w:firstLine="720"/>
        <w:jc w:val="center"/>
        <w:rPr>
          <w:b/>
          <w:bCs/>
          <w:szCs w:val="24"/>
          <w:highlight w:val="yellow"/>
        </w:rPr>
      </w:pPr>
      <w:r w:rsidRPr="00662A7E">
        <w:rPr>
          <w:b/>
          <w:szCs w:val="24"/>
        </w:rPr>
        <w:t>Meeting ID:</w:t>
      </w:r>
      <w:r w:rsidRPr="00662A7E">
        <w:rPr>
          <w:szCs w:val="24"/>
        </w:rPr>
        <w:t xml:space="preserve"> </w:t>
      </w:r>
      <w:r w:rsidR="00B211CA" w:rsidRPr="00B211CA">
        <w:rPr>
          <w:szCs w:val="24"/>
        </w:rPr>
        <w:t>879 4524 9916</w:t>
      </w:r>
    </w:p>
    <w:p w14:paraId="72BF0271" w14:textId="3E792F98" w:rsidR="0045255C" w:rsidRPr="00B952E3" w:rsidRDefault="0045255C" w:rsidP="005D5963">
      <w:pPr>
        <w:spacing w:after="0"/>
        <w:ind w:left="720" w:firstLine="720"/>
        <w:jc w:val="center"/>
        <w:rPr>
          <w:szCs w:val="24"/>
          <w:highlight w:val="yellow"/>
        </w:rPr>
      </w:pPr>
      <w:r w:rsidRPr="00662A7E">
        <w:rPr>
          <w:b/>
          <w:szCs w:val="24"/>
        </w:rPr>
        <w:t xml:space="preserve">Meeting Password: </w:t>
      </w:r>
      <w:r w:rsidR="00934113" w:rsidRPr="00934113">
        <w:rPr>
          <w:szCs w:val="24"/>
        </w:rPr>
        <w:t>693600</w:t>
      </w:r>
    </w:p>
    <w:p w14:paraId="24CD9DDE" w14:textId="44EC37E6" w:rsidR="0045255C" w:rsidRPr="00925F5D" w:rsidRDefault="0045255C" w:rsidP="005D5963">
      <w:pPr>
        <w:spacing w:after="0"/>
        <w:ind w:left="720" w:firstLine="720"/>
        <w:jc w:val="center"/>
        <w:rPr>
          <w:szCs w:val="24"/>
        </w:rPr>
      </w:pPr>
      <w:r w:rsidRPr="00662A7E">
        <w:rPr>
          <w:b/>
          <w:szCs w:val="24"/>
        </w:rPr>
        <w:t>Topic:</w:t>
      </w:r>
      <w:r w:rsidRPr="00662A7E">
        <w:rPr>
          <w:color w:val="0070C0"/>
          <w:szCs w:val="24"/>
        </w:rPr>
        <w:t xml:space="preserve"> </w:t>
      </w:r>
      <w:r w:rsidR="00925F5D" w:rsidRPr="00662A7E">
        <w:rPr>
          <w:szCs w:val="24"/>
        </w:rPr>
        <w:t>Pre-Application Workshop for GFO-</w:t>
      </w:r>
      <w:r w:rsidR="00550F5A" w:rsidRPr="00662A7E">
        <w:rPr>
          <w:szCs w:val="24"/>
        </w:rPr>
        <w:t>25</w:t>
      </w:r>
      <w:r w:rsidR="00925F5D" w:rsidRPr="00662A7E">
        <w:rPr>
          <w:szCs w:val="24"/>
        </w:rPr>
        <w:t>-</w:t>
      </w:r>
      <w:r w:rsidR="00550F5A" w:rsidRPr="00662A7E">
        <w:rPr>
          <w:szCs w:val="24"/>
        </w:rPr>
        <w:t>604</w:t>
      </w:r>
      <w:r w:rsidR="00925F5D" w:rsidRPr="00662A7E">
        <w:rPr>
          <w:szCs w:val="24"/>
        </w:rPr>
        <w:t xml:space="preserve"> California’s NEVI Solicitation </w:t>
      </w:r>
      <w:r w:rsidR="00145BBE" w:rsidRPr="00662A7E">
        <w:rPr>
          <w:szCs w:val="24"/>
        </w:rPr>
        <w:t>4</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4"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6ED58540" w14:textId="77777777" w:rsidR="00D10859" w:rsidRPr="00316350" w:rsidRDefault="00D10859" w:rsidP="00316350">
      <w:pPr>
        <w:pStyle w:val="NormalIndent"/>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13338627"/>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 xml:space="preserve">By contacting this email address, Applicants will be able to access a team of technical assistants who can answer </w:t>
      </w:r>
      <w:r w:rsidR="006150FE" w:rsidRPr="04991C40">
        <w:rPr>
          <w:szCs w:val="24"/>
        </w:rPr>
        <w:lastRenderedPageBreak/>
        <w:t>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26"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27">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13338628"/>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9B1157A" w:rsidR="00052A64" w:rsidRPr="002C2AB0" w:rsidRDefault="00764A49" w:rsidP="00E04486">
      <w:pPr>
        <w:spacing w:after="0"/>
        <w:jc w:val="center"/>
        <w:rPr>
          <w:szCs w:val="24"/>
        </w:rPr>
      </w:pPr>
      <w:r>
        <w:rPr>
          <w:szCs w:val="24"/>
        </w:rPr>
        <w:t>Laura Williams,</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991AABD"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764A49">
        <w:rPr>
          <w:szCs w:val="24"/>
        </w:rPr>
        <w:t>8</w:t>
      </w:r>
    </w:p>
    <w:p w14:paraId="7C4FA753" w14:textId="3FFED46E" w:rsidR="00052A64" w:rsidRPr="002C2AB0" w:rsidRDefault="00052A64" w:rsidP="00E04486">
      <w:pPr>
        <w:spacing w:after="0"/>
        <w:jc w:val="center"/>
      </w:pPr>
      <w:r>
        <w:t>Sacramento, California 95814</w:t>
      </w:r>
    </w:p>
    <w:p w14:paraId="16D30D92" w14:textId="75CE674A" w:rsidR="00F60AC4" w:rsidRPr="002C2AB0" w:rsidRDefault="000C6B71" w:rsidP="00E04486">
      <w:pPr>
        <w:spacing w:after="0"/>
        <w:jc w:val="center"/>
        <w:rPr>
          <w:szCs w:val="24"/>
        </w:rPr>
      </w:pPr>
      <w:r w:rsidRPr="002C2AB0">
        <w:rPr>
          <w:szCs w:val="24"/>
        </w:rPr>
        <w:t xml:space="preserve">Telephone: </w:t>
      </w:r>
      <w:r w:rsidR="004D6F3F" w:rsidRPr="002C2AB0">
        <w:rPr>
          <w:szCs w:val="24"/>
        </w:rPr>
        <w:t xml:space="preserve">(916) </w:t>
      </w:r>
      <w:r w:rsidR="00764A49">
        <w:rPr>
          <w:szCs w:val="24"/>
        </w:rPr>
        <w:t>879-1383</w:t>
      </w:r>
    </w:p>
    <w:p w14:paraId="39BC5B9A" w14:textId="41990F00" w:rsidR="00052A64" w:rsidRPr="002C2AB0" w:rsidRDefault="00052A64" w:rsidP="00E04486">
      <w:pPr>
        <w:spacing w:after="0"/>
        <w:jc w:val="center"/>
        <w:rPr>
          <w:szCs w:val="24"/>
          <w:lang w:val="de-DE"/>
        </w:rPr>
      </w:pPr>
      <w:r w:rsidRPr="002C2AB0">
        <w:rPr>
          <w:szCs w:val="24"/>
          <w:lang w:val="de-DE"/>
        </w:rPr>
        <w:t xml:space="preserve">E-mail: </w:t>
      </w:r>
      <w:hyperlink r:id="rId28" w:history="1">
        <w:r w:rsidR="00764A49" w:rsidRPr="008A01C0">
          <w:rPr>
            <w:rStyle w:val="Hyperlink"/>
            <w:szCs w:val="24"/>
            <w:lang w:val="de-DE"/>
          </w:rPr>
          <w:t>laura.williams@energy.ca.gov</w:t>
        </w:r>
      </w:hyperlink>
      <w:r w:rsidR="00764A49">
        <w:rPr>
          <w:szCs w:val="24"/>
          <w:lang w:val="de-DE"/>
        </w:rPr>
        <w:t xml:space="preserve"> </w:t>
      </w:r>
    </w:p>
    <w:p w14:paraId="0A12FA51" w14:textId="77777777" w:rsidR="00D10859" w:rsidRDefault="00D10859" w:rsidP="00E04486">
      <w:pPr>
        <w:spacing w:after="0"/>
        <w:rPr>
          <w:szCs w:val="22"/>
          <w:lang w:val="de-DE"/>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13338629"/>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29"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30"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lastRenderedPageBreak/>
        <w:t xml:space="preserve">California Energy Commission. </w:t>
      </w:r>
      <w:hyperlink r:id="rId31"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2"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3"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4"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35"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36"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9C67A89"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37"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proofErr w:type="gramStart"/>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roofErr w:type="gramEnd"/>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38"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39"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40"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1"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lastRenderedPageBreak/>
        <w:t xml:space="preserve">California Energy Commission. </w:t>
      </w:r>
      <w:hyperlink r:id="rId42"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3"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t xml:space="preserve">California Air Resources Board. </w:t>
      </w:r>
      <w:hyperlink r:id="rId44"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Standards. </w:t>
      </w:r>
      <w:hyperlink r:id="rId45"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77777777" w:rsidR="00D43069" w:rsidRPr="002C2AB0" w:rsidRDefault="00D43069" w:rsidP="00B8017B">
      <w:pPr>
        <w:spacing w:after="0"/>
        <w:ind w:left="1440"/>
        <w:rPr>
          <w:szCs w:val="22"/>
        </w:rPr>
      </w:pPr>
    </w:p>
    <w:p w14:paraId="43BD0251" w14:textId="77777777" w:rsidR="00D1451B" w:rsidRPr="00050087" w:rsidRDefault="00D1451B" w:rsidP="00E04486">
      <w:pPr>
        <w:pStyle w:val="Heading1"/>
        <w:keepNext w:val="0"/>
        <w:keepLines w:val="0"/>
        <w:spacing w:before="0" w:after="0"/>
      </w:pPr>
      <w:bookmarkStart w:id="40" w:name="_Toc213338630"/>
      <w:bookmarkStart w:id="41" w:name="_Toc310513471"/>
      <w:r w:rsidRPr="00050087">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13338631"/>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5125938A" w:rsidR="006F5D53" w:rsidRPr="00DE3589" w:rsidRDefault="00C90A22" w:rsidP="003A0DDC">
      <w:pPr>
        <w:spacing w:after="0"/>
        <w:ind w:left="1440"/>
        <w:rPr>
          <w:color w:val="000000"/>
          <w:shd w:val="clear" w:color="auto" w:fill="FFFFFF"/>
        </w:rPr>
      </w:pPr>
      <w:r>
        <w:t>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w:t>
      </w:r>
      <w:r w:rsidR="5005FFF2">
        <w:t xml:space="preserve">, the </w:t>
      </w:r>
      <w:hyperlink r:id="rId46">
        <w:r w:rsidR="5005FFF2" w:rsidRPr="2A752466">
          <w:rPr>
            <w:rStyle w:val="Hyperlink"/>
          </w:rPr>
          <w:t>NEVI Standard Terms and Conditions</w:t>
        </w:r>
      </w:hyperlink>
      <w:r w:rsidR="1E515D77">
        <w:t>,</w:t>
      </w:r>
      <w:r w:rsidR="5005FFF2">
        <w:t xml:space="preserve"> found at </w:t>
      </w:r>
      <w:r w:rsidR="003741BD" w:rsidRPr="2A752466">
        <w:rPr>
          <w:rFonts w:eastAsia="Arial"/>
        </w:rPr>
        <w:t>https://www.energy.ca.gov/media/11964</w:t>
      </w:r>
      <w:r w:rsidR="64237F27" w:rsidRPr="2A752466">
        <w:rPr>
          <w:rFonts w:eastAsia="Arial"/>
        </w:rPr>
        <w:t>,</w:t>
      </w:r>
      <w:r w:rsidR="003741BD" w:rsidRPr="2A752466">
        <w:rPr>
          <w:rFonts w:eastAsia="Arial"/>
        </w:rPr>
        <w:t xml:space="preserve"> </w:t>
      </w:r>
      <w:r w:rsidR="64237F27">
        <w:t xml:space="preserve">the </w:t>
      </w:r>
      <w:hyperlink r:id="rId47">
        <w:r w:rsidR="64237F27" w:rsidRPr="2A752466">
          <w:rPr>
            <w:rStyle w:val="Hyperlink"/>
          </w:rPr>
          <w:t>NEVI Special Terms and Conditions</w:t>
        </w:r>
      </w:hyperlink>
      <w:r w:rsidR="64237F27">
        <w:t>, found at</w:t>
      </w:r>
      <w:r w:rsidR="64237F27" w:rsidRPr="2A752466">
        <w:rPr>
          <w:rFonts w:eastAsia="Arial"/>
        </w:rPr>
        <w:t xml:space="preserve"> </w:t>
      </w:r>
      <w:r w:rsidR="003741BD" w:rsidRPr="2A752466">
        <w:rPr>
          <w:rFonts w:eastAsia="Arial"/>
        </w:rPr>
        <w:t>https://www.energy.ca.gov/media/11963</w:t>
      </w:r>
      <w:r w:rsidR="64237F27" w:rsidRPr="2A752466">
        <w:rPr>
          <w:rFonts w:eastAsia="Arial"/>
        </w:rPr>
        <w:t>,</w:t>
      </w:r>
      <w:r w:rsidR="64237F27">
        <w:t xml:space="preserve"> </w:t>
      </w:r>
      <w:r w:rsidR="00C56697" w:rsidRPr="2A752466">
        <w:rPr>
          <w:rFonts w:eastAsia="Arial"/>
        </w:rPr>
        <w:t>and</w:t>
      </w:r>
      <w:r w:rsidR="0F3926B3" w:rsidRPr="2A752466">
        <w:rPr>
          <w:rFonts w:eastAsia="Arial"/>
        </w:rPr>
        <w:t>,</w:t>
      </w:r>
      <w:r w:rsidR="00C56697" w:rsidRPr="2A752466">
        <w:rPr>
          <w:rFonts w:eastAsia="Arial"/>
        </w:rPr>
        <w:t xml:space="preserve"> if applicable</w:t>
      </w:r>
      <w:r w:rsidR="00DE3589" w:rsidRPr="2A752466">
        <w:rPr>
          <w:rFonts w:eastAsia="Arial"/>
        </w:rPr>
        <w:t xml:space="preserve">, the </w:t>
      </w:r>
      <w:hyperlink r:id="rId48">
        <w:r w:rsidR="006F5D53" w:rsidRPr="2A752466">
          <w:rPr>
            <w:rStyle w:val="Hyperlink"/>
          </w:rPr>
          <w:t xml:space="preserve">Special Terms and Conditions for California Tribal </w:t>
        </w:r>
        <w:r w:rsidR="006F5D53" w:rsidRPr="2A752466">
          <w:rPr>
            <w:rStyle w:val="Hyperlink"/>
          </w:rPr>
          <w:lastRenderedPageBreak/>
          <w:t>Organizations serving California Native American Tribes with Sovereign Immunity</w:t>
        </w:r>
      </w:hyperlink>
      <w:r w:rsidR="003C2F5B" w:rsidRPr="2A752466">
        <w:rPr>
          <w:rStyle w:val="normaltextrun"/>
          <w:color w:val="000000" w:themeColor="text1"/>
        </w:rPr>
        <w:t xml:space="preserve">, found at </w:t>
      </w:r>
      <w:r w:rsidR="001A22BE" w:rsidRPr="2A752466">
        <w:rPr>
          <w:color w:val="000000" w:themeColor="text1"/>
        </w:rPr>
        <w:t>https://www.energy.ca.gov/media/12259</w:t>
      </w:r>
      <w:r w:rsidR="00E91EE0" w:rsidRPr="2A752466">
        <w:rPr>
          <w:rStyle w:val="normaltextrun"/>
          <w:color w:val="000000" w:themeColor="text1"/>
        </w:rPr>
        <w:t>, without negotiation</w:t>
      </w:r>
      <w:r w:rsidR="003C2F5B" w:rsidRPr="2A752466">
        <w:rPr>
          <w:rStyle w:val="normaltextrun"/>
          <w:color w:val="000000" w:themeColor="text1"/>
        </w:rPr>
        <w:t>.</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793D38FB" w:rsidR="00C808FA" w:rsidRPr="00C808FA" w:rsidRDefault="00C808FA" w:rsidP="00A6512C">
      <w:pPr>
        <w:spacing w:after="0"/>
        <w:ind w:left="1440"/>
      </w:pPr>
      <w:r>
        <w:t xml:space="preserve">If a California Tribal Organization </w:t>
      </w:r>
      <w:r w:rsidR="000865D1">
        <w:t xml:space="preserve">(Tribal Organization) </w:t>
      </w:r>
      <w:r w:rsidR="43590E32">
        <w:t xml:space="preserve">with </w:t>
      </w:r>
      <w:r w:rsidR="3A6E6844">
        <w:t>sovereign</w:t>
      </w:r>
      <w:r w:rsidR="43590E32">
        <w:t xml:space="preserve"> immunity </w:t>
      </w:r>
      <w:r>
        <w:t>serving a California Native American Tribe (</w:t>
      </w:r>
      <w:r w:rsidR="000865D1">
        <w:t>Tribe</w:t>
      </w:r>
      <w:r>
        <w:t xml:space="preserve">) with sovereign immunity is listed as a proposed awardee in the Notice of Proposed Awards (NOPA), before bringing the proposed award to a Business Meeting, CEC staff must receive (a) resolution(s) or other authorizing document(s) by the governing body of the Tribe </w:t>
      </w:r>
      <w:r w:rsidR="6AC43861">
        <w:t>and/</w:t>
      </w:r>
      <w:r>
        <w:t>or Tribal Organization</w:t>
      </w:r>
      <w:r w:rsidR="7E5149A5">
        <w:t xml:space="preserve"> (as applicable)</w:t>
      </w:r>
      <w:r>
        <w:t xml:space="preserve"> which:</w:t>
      </w:r>
    </w:p>
    <w:p w14:paraId="54F8F483" w14:textId="77777777" w:rsidR="00C808FA" w:rsidRPr="00C808FA" w:rsidRDefault="00C808FA" w:rsidP="00C808FA">
      <w:pPr>
        <w:spacing w:after="0"/>
        <w:ind w:left="1440"/>
        <w:rPr>
          <w:szCs w:val="24"/>
        </w:rPr>
      </w:pPr>
    </w:p>
    <w:p w14:paraId="6DC93515" w14:textId="2999E8D4" w:rsidR="00C808FA" w:rsidRPr="00C808FA" w:rsidRDefault="00C808FA" w:rsidP="00F01E7E">
      <w:pPr>
        <w:spacing w:after="0"/>
        <w:ind w:left="2160" w:hanging="720"/>
      </w:pPr>
      <w:r>
        <w:t>i.</w:t>
      </w:r>
      <w:r>
        <w:tab/>
        <w:t xml:space="preserve">Authorizes the Tribal Organization to enter into the proposed agreement, including accepting the </w:t>
      </w:r>
      <w:r w:rsidR="00B6502A">
        <w:t>Special Terms and Conditions for California Tribal Organizations</w:t>
      </w:r>
      <w:r w:rsidR="2D07818F">
        <w:t xml:space="preserve"> with </w:t>
      </w:r>
      <w:r w:rsidR="772DDE6F">
        <w:t>Sovereign</w:t>
      </w:r>
      <w:r w:rsidR="2D07818F">
        <w:t xml:space="preserve"> Immunity</w:t>
      </w:r>
      <w:r w:rsidR="00B6502A">
        <w:t xml:space="preserve"> Serving California Native American Tribes with Sovereign Immunity,</w:t>
      </w:r>
      <w:r w:rsidR="00877263">
        <w:t xml:space="preserve"> </w:t>
      </w:r>
      <w: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1085E2BD" w:rsidR="00C808FA" w:rsidRPr="00C808FA" w:rsidRDefault="00C808FA" w:rsidP="00F01E7E">
      <w:pPr>
        <w:spacing w:after="0"/>
        <w:ind w:left="2160" w:hanging="720"/>
      </w:pPr>
      <w:r>
        <w:t>ii.</w:t>
      </w:r>
      <w:r>
        <w:tab/>
        <w:t xml:space="preserve">Approves a limited waiver of </w:t>
      </w:r>
      <w:r w:rsidR="4AA36B54">
        <w:t xml:space="preserve">the Tribal Organization’s </w:t>
      </w:r>
      <w:r>
        <w:t xml:space="preserve">sovereign immunity, to the extent that any such sovereign immunity exists, for </w:t>
      </w:r>
      <w:proofErr w:type="gramStart"/>
      <w:r>
        <w:t>any and all</w:t>
      </w:r>
      <w:proofErr w:type="gramEnd"/>
      <w:r>
        <w:t xml:space="preserve"> claims by the </w:t>
      </w:r>
      <w:r w:rsidR="00712A00">
        <w:t>CEC</w:t>
      </w:r>
      <w: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DAABDD5" w:rsidR="00C808FA" w:rsidRPr="00C808FA" w:rsidRDefault="00C808FA" w:rsidP="00F01E7E">
      <w:pPr>
        <w:spacing w:after="0"/>
        <w:ind w:left="2160" w:hanging="720"/>
      </w:pPr>
      <w:r>
        <w:t>iii.</w:t>
      </w:r>
      <w: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lastRenderedPageBreak/>
        <w:t xml:space="preserve">The above requirements may be provided in one or more documents. The document(s) will be included as an exhibit </w:t>
      </w:r>
      <w:proofErr w:type="gramStart"/>
      <w:r w:rsidRPr="00C808FA">
        <w:rPr>
          <w:szCs w:val="24"/>
        </w:rPr>
        <w:t>to</w:t>
      </w:r>
      <w:proofErr w:type="gramEnd"/>
      <w:r w:rsidRPr="00C808FA">
        <w:rPr>
          <w:szCs w:val="24"/>
        </w:rPr>
        <w:t xml:space="preserve">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(i)-(iv) above may result in </w:t>
      </w:r>
      <w:r w:rsidR="0088409B">
        <w:rPr>
          <w:szCs w:val="24"/>
        </w:rPr>
        <w:t xml:space="preserve">a </w:t>
      </w:r>
      <w:r w:rsidRPr="00C808FA">
        <w:rPr>
          <w:szCs w:val="24"/>
        </w:rPr>
        <w:t xml:space="preserve">delayed </w:t>
      </w:r>
      <w:proofErr w:type="gramStart"/>
      <w:r w:rsidRPr="00C808FA">
        <w:rPr>
          <w:szCs w:val="24"/>
        </w:rPr>
        <w:t>award</w:t>
      </w:r>
      <w:proofErr w:type="gramEnd"/>
      <w:r w:rsidRPr="00C808FA">
        <w:rPr>
          <w:szCs w:val="24"/>
        </w:rPr>
        <w:t xml:space="preserve">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w:t>
      </w:r>
      <w:proofErr w:type="gramStart"/>
      <w:r w:rsidRPr="00C808FA">
        <w:rPr>
          <w:szCs w:val="24"/>
        </w:rPr>
        <w:t>in order to</w:t>
      </w:r>
      <w:proofErr w:type="gramEnd"/>
      <w:r w:rsidRPr="00C808FA">
        <w:rPr>
          <w:szCs w:val="24"/>
        </w:rPr>
        <w:t xml:space="preserve">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1B2D7B">
      <w:pPr>
        <w:keepNext/>
        <w:numPr>
          <w:ilvl w:val="0"/>
          <w:numId w:val="18"/>
        </w:numPr>
        <w:spacing w:after="0"/>
        <w:ind w:left="1440" w:hanging="720"/>
        <w:jc w:val="both"/>
        <w:rPr>
          <w:b/>
          <w:szCs w:val="24"/>
        </w:rPr>
      </w:pPr>
      <w:r w:rsidRPr="009B5B23">
        <w:rPr>
          <w:b/>
          <w:szCs w:val="24"/>
        </w:rPr>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49"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13338632"/>
      <w:r w:rsidRPr="004865B8">
        <w:rPr>
          <w:lang w:val="en-US"/>
        </w:rPr>
        <w:t>Project Requirements</w:t>
      </w:r>
      <w:bookmarkEnd w:id="47"/>
    </w:p>
    <w:p w14:paraId="2F4409C4" w14:textId="3AABA1A4" w:rsidR="00A34D44" w:rsidRDefault="00DE1446" w:rsidP="00D51E31">
      <w:pPr>
        <w:pStyle w:val="ListParagraph"/>
      </w:pPr>
      <w:r>
        <w:t>Each application</w:t>
      </w:r>
      <w:r w:rsidR="000B6C32">
        <w:t xml:space="preserve"> is considered one project and</w:t>
      </w:r>
      <w:r>
        <w:t xml:space="preserve"> must propose </w:t>
      </w:r>
      <w:proofErr w:type="gramStart"/>
      <w:r>
        <w:t>to install</w:t>
      </w:r>
      <w:proofErr w:type="gramEnd"/>
      <w:r>
        <w:t xml:space="preserve">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lastRenderedPageBreak/>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For purposes of this solicitation, an EV charging station refers to the area in the immediate vicinity of a group of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w:t>
      </w:r>
      <w:proofErr w:type="gramStart"/>
      <w:r w:rsidR="00FD5A62">
        <w:t>are</w:t>
      </w:r>
      <w:proofErr w:type="gramEnd"/>
      <w:r w:rsidR="00FD5A62">
        <w:t xml:space="preserve"> those </w:t>
      </w:r>
      <w:r w:rsidR="00F75CF6">
        <w:t>wi</w:t>
      </w:r>
      <w:r w:rsidR="00ED1C3F">
        <w:t>th</w:t>
      </w:r>
      <w:r w:rsidR="00F75CF6">
        <w:t xml:space="preserve"> GVWR of 10,000 pounds or less</w:t>
      </w:r>
      <w:r>
        <w:t>.</w:t>
      </w:r>
    </w:p>
    <w:p w14:paraId="37147686" w14:textId="3378C1CA" w:rsidR="00DE1446" w:rsidRDefault="00DE1446" w:rsidP="00212A69">
      <w:pPr>
        <w:pStyle w:val="ListParagraph"/>
        <w:spacing w:before="0" w:after="0"/>
      </w:pPr>
      <w:r>
        <w:t>The</w:t>
      </w:r>
      <w:r w:rsidR="003B2259">
        <w:t xml:space="preserve"> state’s Alternative Fuel Corridors are </w:t>
      </w:r>
      <w:r w:rsidR="00791C8E">
        <w:t xml:space="preserve">shown in </w:t>
      </w:r>
      <w:bookmarkStart w:id="48" w:name="_Hlk192056718"/>
      <w:r>
        <w:fldChar w:fldCharType="begin"/>
      </w:r>
      <w:r>
        <w:instrText xml:space="preserve">HYPERLINK "https://www.energy.ca.gov/programs-and-topics/programs/national-electric-vehicle-infrastructure-nevi-formula-program-0" \h </w:instrText>
      </w:r>
      <w:r>
        <w:fldChar w:fldCharType="separate"/>
      </w:r>
      <w:r w:rsidRPr="6C7BEF3C">
        <w:rPr>
          <w:rStyle w:val="Hyperlink"/>
        </w:rPr>
        <w:t>California’s National Electric Vehicle Infrastructure Funding Pr</w:t>
      </w:r>
      <w:bookmarkStart w:id="49" w:name="_Hlt211176454"/>
      <w:r w:rsidRPr="6C7BEF3C">
        <w:rPr>
          <w:rStyle w:val="Hyperlink"/>
        </w:rPr>
        <w:t>o</w:t>
      </w:r>
      <w:bookmarkEnd w:id="49"/>
      <w:r w:rsidRPr="6C7BEF3C">
        <w:rPr>
          <w:rStyle w:val="Hyperlink"/>
        </w:rPr>
        <w:t>gram Map</w:t>
      </w:r>
      <w:r>
        <w:fldChar w:fldCharType="end"/>
      </w:r>
      <w:r>
        <w:t xml:space="preserve"> at </w:t>
      </w:r>
      <w:r w:rsidR="67D43C2A">
        <w:t>https://www.energy.ca.gov/programs-and-topics/programs/national-electric-vehicle-infrastructure-nevi-formula-program-0</w:t>
      </w:r>
      <w:r>
        <w:t>.</w:t>
      </w:r>
      <w:r w:rsidR="00C56E1D">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w:t>
      </w:r>
      <w:r w:rsidRPr="7A698729">
        <w:rPr>
          <w:rFonts w:eastAsia="Tahoma"/>
        </w:rPr>
        <w:lastRenderedPageBreak/>
        <w:t xml:space="preserve">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w:t>
      </w:r>
      <w:proofErr w:type="gramStart"/>
      <w:r w:rsidRPr="001725EA">
        <w:rPr>
          <w:rFonts w:eastAsia="Tahoma"/>
        </w:rPr>
        <w:t>aid,</w:t>
      </w:r>
      <w:proofErr w:type="gramEnd"/>
      <w:r w:rsidRPr="001725EA">
        <w:rPr>
          <w:rFonts w:eastAsia="Tahoma"/>
        </w:rPr>
        <w:t xml:space="preserve">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6512C">
      <w:pPr>
        <w:pStyle w:val="ListParagraph"/>
        <w:numPr>
          <w:ilvl w:val="0"/>
          <w:numId w:val="50"/>
        </w:numPr>
        <w:spacing w:after="0"/>
        <w:ind w:hanging="720"/>
        <w:rPr>
          <w:b/>
          <w:bCs/>
        </w:rPr>
      </w:pPr>
      <w:r w:rsidRPr="00A6512C">
        <w:rPr>
          <w:b/>
          <w:bCs/>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of the state’s</w:t>
      </w:r>
      <w:r w:rsidR="00D26961">
        <w:rPr>
          <w:szCs w:val="24"/>
        </w:rPr>
        <w:t xml:space="preserve"> Alternative Fuel Corridor</w:t>
      </w:r>
      <w:r w:rsidR="00A843E1">
        <w:rPr>
          <w:szCs w:val="24"/>
        </w:rPr>
        <w:t>s, which are</w:t>
      </w:r>
      <w:r w:rsidR="007F2F4A">
        <w:rPr>
          <w:szCs w:val="24"/>
        </w:rPr>
        <w:t xml:space="preserve"> shown in </w:t>
      </w:r>
      <w:hyperlink r:id="rId50"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https://www.energy.ca.gov/programs-and-topics/programs/national-electric-vehicle-infrastructure-nevi-formula-program-0.</w:t>
      </w:r>
    </w:p>
    <w:p w14:paraId="7C36EA81" w14:textId="03118509"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via a route that can safely and conveniently accommodate </w:t>
      </w:r>
      <w:r w:rsidR="0053429A">
        <w:t>the</w:t>
      </w:r>
      <w:r>
        <w:t xml:space="preserve"> </w:t>
      </w:r>
      <w:r w:rsidR="0016604F">
        <w:t>expected</w:t>
      </w:r>
      <w:r w:rsidR="00E86EB9">
        <w:t xml:space="preserve"> </w:t>
      </w:r>
      <w:r w:rsidR="0076565C">
        <w:t>MDHD</w:t>
      </w:r>
      <w:r>
        <w:t xml:space="preserve"> EVs traveling to the facility, entering and leaving the facility, returning to the highway, and continuing in the original direction of travel.</w:t>
      </w:r>
    </w:p>
    <w:p w14:paraId="7D155D36" w14:textId="77777777" w:rsidR="00A665AC" w:rsidRPr="00A665AC" w:rsidRDefault="00A665AC" w:rsidP="00262495">
      <w:pPr>
        <w:pStyle w:val="ListParagraph"/>
        <w:numPr>
          <w:ilvl w:val="0"/>
          <w:numId w:val="37"/>
        </w:numPr>
        <w:ind w:left="2160" w:hanging="720"/>
        <w:rPr>
          <w:szCs w:val="24"/>
        </w:rPr>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1" w:history="1">
        <w:r w:rsidRPr="00A665AC">
          <w:rPr>
            <w:rStyle w:val="Hyperlink"/>
          </w:rPr>
          <w:t>10 CFR 1021.102(g)(1)</w:t>
        </w:r>
      </w:hyperlink>
      <w:r w:rsidRPr="00A665AC">
        <w:t>, found at https://www.ecfr.gov/current/title-10/chapter-X/part-1021/section-1021.102#p-1021.102(g)(1)). </w:t>
      </w:r>
    </w:p>
    <w:p w14:paraId="410946A6" w14:textId="77777777" w:rsidR="00105612" w:rsidRPr="00752BAE" w:rsidRDefault="00105612" w:rsidP="00262495">
      <w:pPr>
        <w:pStyle w:val="ListParagraph"/>
        <w:numPr>
          <w:ilvl w:val="0"/>
          <w:numId w:val="37"/>
        </w:numPr>
        <w:ind w:left="2160" w:hanging="720"/>
        <w:rPr>
          <w:szCs w:val="24"/>
        </w:rPr>
      </w:pPr>
      <w:r w:rsidRPr="00262495">
        <w:t>Access and parking must be in accordance with applicable requirements (such as local land use and zoning requirements) in the proposed project</w:t>
      </w:r>
      <w:r w:rsidRPr="009B3214">
        <w:rPr>
          <w:szCs w:val="24"/>
        </w:rPr>
        <w:t xml:space="preserve"> area and incorporate appropriate control technologies and best management practices as further described in the </w:t>
      </w:r>
      <w:hyperlink r:id="rId52" w:history="1">
        <w:r w:rsidRPr="002C76F2">
          <w:rPr>
            <w:rStyle w:val="Hyperlink"/>
            <w:szCs w:val="24"/>
          </w:rPr>
          <w:t>Federal Register</w:t>
        </w:r>
      </w:hyperlink>
      <w:r w:rsidRPr="00A10FAB">
        <w:rPr>
          <w:szCs w:val="24"/>
        </w:rPr>
        <w:t xml:space="preserve"> notice of the Department of Transportation’s </w:t>
      </w:r>
      <w:r w:rsidRPr="00A10FAB">
        <w:rPr>
          <w:szCs w:val="24"/>
        </w:rPr>
        <w:lastRenderedPageBreak/>
        <w:t xml:space="preserve">adoption of the </w:t>
      </w:r>
      <w:r>
        <w:rPr>
          <w:szCs w:val="24"/>
        </w:rPr>
        <w:t>EV</w:t>
      </w:r>
      <w:r w:rsidRPr="00A10FAB">
        <w:rPr>
          <w:szCs w:val="24"/>
        </w:rPr>
        <w:t xml:space="preserve"> charging station</w:t>
      </w:r>
      <w:r>
        <w:rPr>
          <w:szCs w:val="24"/>
        </w:rPr>
        <w:t xml:space="preserve">s </w:t>
      </w:r>
      <w:r w:rsidRPr="00A10FAB">
        <w:rPr>
          <w:szCs w:val="24"/>
        </w:rPr>
        <w:t>categorical exclusion under NEPA</w:t>
      </w:r>
      <w:r w:rsidRPr="009B3214">
        <w:rPr>
          <w:szCs w:val="24"/>
        </w:rPr>
        <w:t xml:space="preserve"> </w:t>
      </w:r>
      <w:r>
        <w:rPr>
          <w:szCs w:val="24"/>
        </w:rPr>
        <w:t>(see</w:t>
      </w:r>
      <w:r w:rsidRPr="009B3214">
        <w:rPr>
          <w:szCs w:val="24"/>
        </w:rPr>
        <w:t xml:space="preserve"> </w:t>
      </w:r>
      <w:r w:rsidRPr="00C030DF">
        <w:rPr>
          <w:szCs w:val="24"/>
        </w:rPr>
        <w:t>https://www.federalregister.gov/documents/2023/09/20/2023-20238/notice-of-adoption-of-electric-vehicle-charging-stations-categorical-exclusion-under-the-national</w:t>
      </w:r>
      <w:r>
        <w:rPr>
          <w:szCs w:val="24"/>
        </w:rPr>
        <w:t>)</w:t>
      </w:r>
      <w:r w:rsidRPr="009B3214">
        <w:rPr>
          <w:szCs w:val="24"/>
        </w:rPr>
        <w:t>.</w:t>
      </w:r>
    </w:p>
    <w:p w14:paraId="66EA9D36" w14:textId="53EE6E96" w:rsidR="00E70E71" w:rsidRDefault="006B25B0" w:rsidP="00212A69">
      <w:pPr>
        <w:pStyle w:val="ListParagraph"/>
        <w:numPr>
          <w:ilvl w:val="0"/>
          <w:numId w:val="37"/>
        </w:numPr>
        <w:spacing w:before="0" w:after="0"/>
        <w:ind w:left="2160" w:hanging="720"/>
        <w:rPr>
          <w:szCs w:val="24"/>
        </w:rPr>
      </w:pPr>
      <w:r>
        <w:rPr>
          <w:szCs w:val="24"/>
        </w:rPr>
        <w:t>The p</w:t>
      </w:r>
      <w:r w:rsidR="00492FC7" w:rsidRPr="001725EA">
        <w:rPr>
          <w:szCs w:val="24"/>
        </w:rPr>
        <w:t>roposed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4CF98F6D" w:rsidR="002A186C" w:rsidRDefault="007E0EB8" w:rsidP="008B7C80">
      <w:pPr>
        <w:pStyle w:val="NormalIndent"/>
        <w:ind w:left="1440"/>
      </w:pPr>
      <w:r>
        <w:t xml:space="preserve">This solicitation </w:t>
      </w:r>
      <w:r w:rsidR="00AB5456">
        <w:t>identifies</w:t>
      </w:r>
      <w:r w:rsidR="005E3E2F">
        <w:t xml:space="preserve"> three </w:t>
      </w:r>
      <w:r w:rsidR="000A3F80">
        <w:t xml:space="preserve">project </w:t>
      </w:r>
      <w:r w:rsidR="004F530D">
        <w:t>regions</w:t>
      </w:r>
      <w:r w:rsidR="0003083F">
        <w:t xml:space="preserve"> covering counties in central and northern California as listed below in Table 1</w:t>
      </w:r>
      <w:r w:rsidR="00711C2E">
        <w:t xml:space="preserve"> with </w:t>
      </w:r>
      <w:r w:rsidR="000F3117">
        <w:t xml:space="preserve">funding allocated to 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61DF5F03" w:rsidR="00185896" w:rsidRDefault="00185896" w:rsidP="00C73682">
      <w:pPr>
        <w:pStyle w:val="NormalIndent"/>
        <w:ind w:left="1440"/>
      </w:pPr>
      <w:r>
        <w:t>Projects will be scored and ranked by Project Region</w:t>
      </w:r>
      <w:r w:rsidR="3D8E696D">
        <w:t>,</w:t>
      </w:r>
      <w:r>
        <w:t xml:space="preserve"> </w:t>
      </w:r>
      <w:r w:rsidR="6255C3DE">
        <w:t xml:space="preserve">designated by </w:t>
      </w:r>
      <w:r>
        <w:t xml:space="preserve">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 xml:space="preserve">Regions, as discussed in Section I. </w:t>
      </w:r>
      <w:r w:rsidR="00F52123">
        <w:t>D.,</w:t>
      </w:r>
      <w:r>
        <w:t xml:space="preserve"> until the funding allocation has been reached for that Project Region, or until all passing projects in that Project Region are proposed for award, whichever is first. </w:t>
      </w:r>
    </w:p>
    <w:p w14:paraId="0D1B5C39" w14:textId="77D98A8A" w:rsidR="007959C3" w:rsidRPr="00966990" w:rsidRDefault="007959C3" w:rsidP="007959C3">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proofErr w:type="gramStart"/>
      <w:r>
        <w:t xml:space="preserve">discretion, </w:t>
      </w:r>
      <w:r w:rsidR="6CFE6136">
        <w:t xml:space="preserve"> </w:t>
      </w:r>
      <w:r w:rsidR="70722EBB">
        <w:t>select</w:t>
      </w:r>
      <w:proofErr w:type="gramEnd"/>
      <w:r w:rsidR="060DA81A">
        <w:t xml:space="preserve"> </w:t>
      </w:r>
      <w:r w:rsidR="6CFE6136">
        <w:t xml:space="preserve"> the next ranked application</w:t>
      </w:r>
      <w:r>
        <w:t xml:space="preserve"> to ensure adequate geographic distribution of funded stations.</w:t>
      </w:r>
    </w:p>
    <w:p w14:paraId="32C80562" w14:textId="25B557FF" w:rsidR="0047154B" w:rsidRDefault="0047154B" w:rsidP="0047154B">
      <w:pPr>
        <w:pStyle w:val="ListParagraph"/>
        <w:spacing w:before="0" w:after="120"/>
        <w:ind w:left="1440"/>
      </w:pPr>
      <w:r>
        <w:t>The CEC reserves the right to modify the funding allocated to each Project Region. For example, i</w:t>
      </w:r>
      <w:r w:rsidRPr="00966990">
        <w:t xml:space="preserve">f all eligible projects within a given Project Region have been proposed for </w:t>
      </w:r>
      <w:proofErr w:type="gramStart"/>
      <w:r w:rsidRPr="00966990">
        <w:t>award, or</w:t>
      </w:r>
      <w:proofErr w:type="gramEnd"/>
      <w:r w:rsidRPr="00966990">
        <w:t xml:space="preserve"> have been skipped over due to geographic</w:t>
      </w:r>
      <w:r>
        <w:t xml:space="preserve"> proximity to a higher-ranked project as described in the paragraph above, the CEC may opt to shift the remaining funds dedicated to that Project Region into a different Project Region(s).</w:t>
      </w:r>
    </w:p>
    <w:p w14:paraId="48D3C6BF" w14:textId="77777777" w:rsidR="007959C3" w:rsidRDefault="007959C3"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476A4B"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609B6AF" w:rsidR="00F73480" w:rsidRPr="005F2697" w:rsidRDefault="00F73480" w:rsidP="005F2697">
            <w:pPr>
              <w:spacing w:after="0"/>
              <w:jc w:val="center"/>
              <w:textAlignment w:val="baseline"/>
              <w:rPr>
                <w:szCs w:val="24"/>
              </w:rPr>
            </w:pPr>
            <w:r w:rsidRPr="005F2697">
              <w:rPr>
                <w:color w:val="000000"/>
                <w:szCs w:val="24"/>
              </w:rPr>
              <w:t>1</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51AE90F2" w:rsidR="00F73480" w:rsidRPr="005F2697" w:rsidRDefault="003634E4" w:rsidP="005F2697">
            <w:pPr>
              <w:spacing w:after="0"/>
              <w:textAlignment w:val="baseline"/>
              <w:rPr>
                <w:szCs w:val="24"/>
              </w:rPr>
            </w:pPr>
            <w:r w:rsidRPr="005F2697">
              <w:rPr>
                <w:color w:val="000000"/>
                <w:szCs w:val="24"/>
              </w:rPr>
              <w:t xml:space="preserve">Butte, Colusa, </w:t>
            </w:r>
            <w:r w:rsidR="00F73480" w:rsidRPr="005F2697">
              <w:rPr>
                <w:color w:val="000000"/>
                <w:szCs w:val="24"/>
              </w:rPr>
              <w:t xml:space="preserve">Del Norte, </w:t>
            </w:r>
            <w:r w:rsidRPr="005F2697">
              <w:rPr>
                <w:color w:val="000000"/>
                <w:szCs w:val="24"/>
              </w:rPr>
              <w:t xml:space="preserve">El Dorado, Glenn, </w:t>
            </w:r>
            <w:r w:rsidR="00946E6E" w:rsidRPr="005F2697">
              <w:rPr>
                <w:color w:val="000000"/>
                <w:szCs w:val="24"/>
              </w:rPr>
              <w:t>Humboldt</w:t>
            </w:r>
            <w:r w:rsidR="00946E6E">
              <w:rPr>
                <w:color w:val="000000"/>
                <w:szCs w:val="24"/>
              </w:rPr>
              <w:t xml:space="preserve">, </w:t>
            </w:r>
            <w:r w:rsidRPr="005F2697">
              <w:rPr>
                <w:color w:val="000000"/>
                <w:szCs w:val="24"/>
              </w:rPr>
              <w:t xml:space="preserve">Lake, </w:t>
            </w:r>
            <w:r w:rsidR="00394698" w:rsidRPr="005F2697">
              <w:rPr>
                <w:color w:val="000000"/>
                <w:szCs w:val="24"/>
              </w:rPr>
              <w:t xml:space="preserve">Lassen, Mendocino, </w:t>
            </w:r>
            <w:r w:rsidR="00946E6E" w:rsidRPr="005F2697">
              <w:rPr>
                <w:color w:val="000000"/>
                <w:szCs w:val="24"/>
              </w:rPr>
              <w:t>Modoc</w:t>
            </w:r>
            <w:r w:rsidR="00946E6E">
              <w:rPr>
                <w:color w:val="000000"/>
                <w:szCs w:val="24"/>
              </w:rPr>
              <w:t>,</w:t>
            </w:r>
            <w:r w:rsidR="00946E6E" w:rsidRPr="005F2697">
              <w:rPr>
                <w:color w:val="000000"/>
                <w:szCs w:val="24"/>
              </w:rPr>
              <w:t xml:space="preserve"> </w:t>
            </w:r>
            <w:r w:rsidRPr="005F2697">
              <w:rPr>
                <w:color w:val="000000"/>
                <w:szCs w:val="24"/>
              </w:rPr>
              <w:t xml:space="preserve">Nevada, Placer, </w:t>
            </w:r>
            <w:r w:rsidR="00394698" w:rsidRPr="005F2697">
              <w:rPr>
                <w:color w:val="000000"/>
                <w:szCs w:val="24"/>
              </w:rPr>
              <w:t xml:space="preserve">Plumas, </w:t>
            </w:r>
            <w:r w:rsidR="00C92FCF" w:rsidRPr="005F2697">
              <w:rPr>
                <w:color w:val="000000"/>
                <w:szCs w:val="24"/>
              </w:rPr>
              <w:t xml:space="preserve">Shasta, </w:t>
            </w:r>
            <w:r w:rsidRPr="005F2697">
              <w:rPr>
                <w:color w:val="000000"/>
                <w:szCs w:val="24"/>
              </w:rPr>
              <w:t xml:space="preserve">Sierra, </w:t>
            </w:r>
            <w:r w:rsidR="00F73480" w:rsidRPr="005F2697">
              <w:rPr>
                <w:color w:val="000000"/>
                <w:szCs w:val="24"/>
              </w:rPr>
              <w:t xml:space="preserve">Siskiyou, </w:t>
            </w:r>
            <w:r w:rsidRPr="005F2697">
              <w:rPr>
                <w:color w:val="000000"/>
                <w:szCs w:val="24"/>
              </w:rPr>
              <w:t xml:space="preserve">Sutter, </w:t>
            </w:r>
            <w:r w:rsidR="00394698" w:rsidRPr="005F2697">
              <w:rPr>
                <w:color w:val="000000"/>
                <w:szCs w:val="24"/>
              </w:rPr>
              <w:t>Tehama,</w:t>
            </w:r>
            <w:r w:rsidR="00F73480" w:rsidRPr="005F2697">
              <w:rPr>
                <w:color w:val="000000"/>
                <w:szCs w:val="24"/>
              </w:rPr>
              <w:t xml:space="preserve"> Trinity, </w:t>
            </w:r>
            <w:r w:rsidR="00495E4E" w:rsidRPr="005F2697">
              <w:rPr>
                <w:color w:val="000000"/>
                <w:szCs w:val="24"/>
              </w:rPr>
              <w:t>Yolo</w:t>
            </w:r>
            <w:r w:rsidR="00495E4E">
              <w:rPr>
                <w:color w:val="000000"/>
                <w:szCs w:val="24"/>
              </w:rPr>
              <w:t>,</w:t>
            </w:r>
            <w:r w:rsidR="00495E4E" w:rsidRPr="005F2697">
              <w:rPr>
                <w:color w:val="000000"/>
                <w:szCs w:val="24"/>
              </w:rPr>
              <w:t xml:space="preserve"> </w:t>
            </w:r>
            <w:r w:rsidR="00F73480" w:rsidRPr="005F2697">
              <w:rPr>
                <w:color w:val="000000"/>
                <w:szCs w:val="24"/>
              </w:rPr>
              <w:t>Yuba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4DF5DEFD" w:rsidR="00F73480" w:rsidRPr="00D60CCF" w:rsidRDefault="00F73480" w:rsidP="00212A69">
            <w:pPr>
              <w:pStyle w:val="ListParagraph"/>
              <w:spacing w:after="0"/>
              <w:textAlignment w:val="baseline"/>
              <w:rPr>
                <w:szCs w:val="24"/>
              </w:rPr>
            </w:pPr>
            <w:r w:rsidRPr="00D60CCF">
              <w:rPr>
                <w:color w:val="000000"/>
                <w:szCs w:val="24"/>
              </w:rPr>
              <w:t>$</w:t>
            </w:r>
            <w:r w:rsidR="00DC14B4" w:rsidRPr="00212A69">
              <w:rPr>
                <w:color w:val="000000"/>
                <w:szCs w:val="24"/>
              </w:rPr>
              <w:t>9</w:t>
            </w:r>
            <w:r w:rsidR="004218C2" w:rsidRPr="00212A69">
              <w:rPr>
                <w:color w:val="000000"/>
                <w:szCs w:val="24"/>
              </w:rPr>
              <w:t>,</w:t>
            </w:r>
            <w:r w:rsidR="00DC14B4" w:rsidRPr="00212A69">
              <w:rPr>
                <w:color w:val="000000"/>
                <w:szCs w:val="24"/>
              </w:rPr>
              <w:t>84</w:t>
            </w:r>
            <w:r w:rsidR="00302176" w:rsidRPr="00212A69">
              <w:rPr>
                <w:color w:val="000000"/>
                <w:szCs w:val="24"/>
              </w:rPr>
              <w:t>5</w:t>
            </w:r>
            <w:r w:rsidR="004218C2" w:rsidRPr="00212A69">
              <w:rPr>
                <w:color w:val="000000"/>
                <w:szCs w:val="24"/>
              </w:rPr>
              <w:t>,000</w:t>
            </w:r>
          </w:p>
        </w:tc>
      </w:tr>
      <w:tr w:rsidR="00476A4B"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2DB22B6C" w:rsidR="00F73480" w:rsidRPr="005F2697" w:rsidRDefault="00F73480" w:rsidP="005F2697">
            <w:pPr>
              <w:spacing w:after="0"/>
              <w:jc w:val="center"/>
              <w:textAlignment w:val="baseline"/>
              <w:rPr>
                <w:szCs w:val="24"/>
              </w:rPr>
            </w:pPr>
            <w:r w:rsidRPr="005F2697">
              <w:rPr>
                <w:color w:val="000000"/>
                <w:szCs w:val="24"/>
              </w:rPr>
              <w:lastRenderedPageBreak/>
              <w:t>2</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1D8DA83C" w:rsidR="00F73480" w:rsidRPr="005F2697" w:rsidRDefault="00495E4E" w:rsidP="005F2697">
            <w:pPr>
              <w:spacing w:after="0"/>
              <w:textAlignment w:val="baseline"/>
              <w:rPr>
                <w:szCs w:val="24"/>
              </w:rPr>
            </w:pPr>
            <w:r w:rsidRPr="005F2697">
              <w:rPr>
                <w:color w:val="000000"/>
                <w:szCs w:val="24"/>
              </w:rPr>
              <w:t xml:space="preserve">Alameda, </w:t>
            </w:r>
            <w:r w:rsidR="00D37D3B" w:rsidRPr="005F2697">
              <w:rPr>
                <w:color w:val="000000"/>
                <w:szCs w:val="24"/>
              </w:rPr>
              <w:t xml:space="preserve">Contra Costa, </w:t>
            </w:r>
            <w:r w:rsidR="005474D4" w:rsidRPr="005F2697">
              <w:rPr>
                <w:color w:val="000000"/>
                <w:szCs w:val="24"/>
              </w:rPr>
              <w:t xml:space="preserve">Marin, Napa, </w:t>
            </w:r>
            <w:r w:rsidR="00F73480" w:rsidRPr="005F2697">
              <w:rPr>
                <w:color w:val="000000"/>
                <w:szCs w:val="24"/>
              </w:rPr>
              <w:t xml:space="preserve">San Francisco, </w:t>
            </w:r>
            <w:r w:rsidR="00946AD2" w:rsidRPr="005F2697">
              <w:rPr>
                <w:color w:val="000000"/>
                <w:szCs w:val="24"/>
              </w:rPr>
              <w:t>San Mateo</w:t>
            </w:r>
            <w:r w:rsidR="00946AD2">
              <w:rPr>
                <w:color w:val="000000"/>
                <w:szCs w:val="24"/>
              </w:rPr>
              <w:t>,</w:t>
            </w:r>
            <w:r w:rsidR="00946AD2" w:rsidRPr="005F2697">
              <w:rPr>
                <w:color w:val="000000"/>
                <w:szCs w:val="24"/>
              </w:rPr>
              <w:t xml:space="preserve"> Santa Clara, Solano, </w:t>
            </w:r>
            <w:r w:rsidR="00F73480" w:rsidRPr="005F2697">
              <w:rPr>
                <w:color w:val="000000"/>
                <w:szCs w:val="24"/>
              </w:rPr>
              <w:t>Sonoma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2BDB6C34" w:rsidR="00F73480" w:rsidRPr="00D60CCF" w:rsidRDefault="00F73480" w:rsidP="005F2697">
            <w:pPr>
              <w:spacing w:after="0"/>
              <w:jc w:val="center"/>
              <w:textAlignment w:val="baseline"/>
              <w:rPr>
                <w:szCs w:val="24"/>
              </w:rPr>
            </w:pPr>
            <w:r w:rsidRPr="00D60CCF">
              <w:rPr>
                <w:color w:val="000000"/>
                <w:szCs w:val="24"/>
              </w:rPr>
              <w:t>$</w:t>
            </w:r>
            <w:r w:rsidR="002A6692" w:rsidRPr="00212A69">
              <w:rPr>
                <w:color w:val="000000"/>
                <w:szCs w:val="24"/>
              </w:rPr>
              <w:t>2</w:t>
            </w:r>
            <w:r w:rsidR="00C36DF8" w:rsidRPr="00212A69">
              <w:rPr>
                <w:color w:val="000000"/>
                <w:szCs w:val="24"/>
              </w:rPr>
              <w:t>8</w:t>
            </w:r>
            <w:r w:rsidR="004218C2" w:rsidRPr="00212A69">
              <w:rPr>
                <w:color w:val="000000"/>
                <w:szCs w:val="24"/>
              </w:rPr>
              <w:t>,</w:t>
            </w:r>
            <w:r w:rsidR="00C36DF8" w:rsidRPr="00212A69">
              <w:rPr>
                <w:color w:val="000000"/>
                <w:szCs w:val="24"/>
              </w:rPr>
              <w:t>29</w:t>
            </w:r>
            <w:r w:rsidR="004218C2" w:rsidRPr="00212A69">
              <w:rPr>
                <w:color w:val="000000"/>
                <w:szCs w:val="24"/>
              </w:rPr>
              <w:t>0,000</w:t>
            </w:r>
          </w:p>
        </w:tc>
      </w:tr>
      <w:tr w:rsidR="00476A4B" w:rsidRPr="005F2697" w14:paraId="5BA3235D"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DAD347" w14:textId="27388B87" w:rsidR="00F73480" w:rsidRPr="005F2697" w:rsidRDefault="00F73480" w:rsidP="005F2697">
            <w:pPr>
              <w:spacing w:after="0"/>
              <w:jc w:val="center"/>
              <w:textAlignment w:val="baseline"/>
              <w:rPr>
                <w:szCs w:val="24"/>
              </w:rPr>
            </w:pPr>
            <w:r w:rsidRPr="005F2697">
              <w:rPr>
                <w:color w:val="000000"/>
                <w:szCs w:val="24"/>
              </w:rPr>
              <w:t>3</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80F80" w14:textId="5709ECB5" w:rsidR="00F73480" w:rsidRPr="005F2697" w:rsidRDefault="00D37D3B" w:rsidP="005F2697">
            <w:pPr>
              <w:spacing w:after="0"/>
              <w:textAlignment w:val="baseline"/>
              <w:rPr>
                <w:szCs w:val="24"/>
              </w:rPr>
            </w:pPr>
            <w:r w:rsidRPr="005F2697">
              <w:rPr>
                <w:color w:val="000000"/>
                <w:szCs w:val="24"/>
              </w:rPr>
              <w:t xml:space="preserve">Alpine, </w:t>
            </w:r>
            <w:r w:rsidR="00F73480" w:rsidRPr="005F2697">
              <w:rPr>
                <w:color w:val="000000"/>
                <w:szCs w:val="24"/>
              </w:rPr>
              <w:t xml:space="preserve">Amador, </w:t>
            </w:r>
            <w:r w:rsidR="00946AD2" w:rsidRPr="005F2697">
              <w:rPr>
                <w:color w:val="000000"/>
                <w:szCs w:val="24"/>
              </w:rPr>
              <w:t>Calaveras,</w:t>
            </w:r>
            <w:r w:rsidR="00946AD2">
              <w:rPr>
                <w:color w:val="000000"/>
                <w:szCs w:val="24"/>
              </w:rPr>
              <w:t xml:space="preserve"> </w:t>
            </w:r>
            <w:r w:rsidR="006C006A" w:rsidRPr="005F2697">
              <w:rPr>
                <w:color w:val="000000"/>
                <w:szCs w:val="24"/>
              </w:rPr>
              <w:t xml:space="preserve">Fresno, Inyo, Kern, Kings, </w:t>
            </w:r>
            <w:r w:rsidR="00382DBA" w:rsidRPr="005F2697">
              <w:rPr>
                <w:color w:val="000000"/>
                <w:szCs w:val="24"/>
              </w:rPr>
              <w:t xml:space="preserve">Madera, </w:t>
            </w:r>
            <w:r w:rsidR="006C006A" w:rsidRPr="005F2697">
              <w:rPr>
                <w:color w:val="000000"/>
                <w:szCs w:val="24"/>
              </w:rPr>
              <w:t xml:space="preserve">Mariposa, </w:t>
            </w:r>
            <w:r w:rsidR="00382DBA" w:rsidRPr="005F2697">
              <w:rPr>
                <w:color w:val="000000"/>
                <w:szCs w:val="24"/>
              </w:rPr>
              <w:t xml:space="preserve">Merced, Mono, Monterey, </w:t>
            </w:r>
            <w:r w:rsidR="00F973B0" w:rsidRPr="00F973B0">
              <w:rPr>
                <w:color w:val="000000"/>
                <w:szCs w:val="24"/>
              </w:rPr>
              <w:t xml:space="preserve">Sacramento, </w:t>
            </w:r>
            <w:r w:rsidR="00382DBA" w:rsidRPr="005F2697">
              <w:rPr>
                <w:color w:val="000000"/>
                <w:szCs w:val="24"/>
              </w:rPr>
              <w:t xml:space="preserve">San Benito, </w:t>
            </w:r>
            <w:r w:rsidR="00F73480" w:rsidRPr="005F2697">
              <w:rPr>
                <w:color w:val="000000"/>
                <w:szCs w:val="24"/>
              </w:rPr>
              <w:t xml:space="preserve">San Joaquin, San Luis Obispo, Santa Barbara, </w:t>
            </w:r>
            <w:r w:rsidR="000B0330" w:rsidRPr="000B0330">
              <w:rPr>
                <w:color w:val="000000"/>
                <w:szCs w:val="24"/>
              </w:rPr>
              <w:t xml:space="preserve">Santa Cruz, </w:t>
            </w:r>
            <w:r w:rsidR="00E54863" w:rsidRPr="005F2697">
              <w:rPr>
                <w:color w:val="000000"/>
                <w:szCs w:val="24"/>
              </w:rPr>
              <w:t xml:space="preserve">Stanislaus, </w:t>
            </w:r>
            <w:r w:rsidR="00382DBA" w:rsidRPr="005F2697">
              <w:rPr>
                <w:color w:val="000000"/>
                <w:szCs w:val="24"/>
              </w:rPr>
              <w:t xml:space="preserve">Tulare, Tuolumne, </w:t>
            </w:r>
            <w:r w:rsidR="00F73480" w:rsidRPr="005F2697">
              <w:rPr>
                <w:color w:val="000000"/>
                <w:szCs w:val="24"/>
              </w:rPr>
              <w:t>Ventura</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A790FF" w14:textId="1BD2D831" w:rsidR="00F73480" w:rsidRPr="00D60CCF" w:rsidRDefault="009B4F86" w:rsidP="005F2697">
            <w:pPr>
              <w:spacing w:after="0"/>
              <w:jc w:val="center"/>
              <w:textAlignment w:val="baseline"/>
              <w:rPr>
                <w:szCs w:val="24"/>
              </w:rPr>
            </w:pPr>
            <w:r w:rsidRPr="00D60CCF">
              <w:rPr>
                <w:color w:val="000000"/>
                <w:szCs w:val="24"/>
              </w:rPr>
              <w:t>$</w:t>
            </w:r>
            <w:r w:rsidR="00B810F1" w:rsidRPr="00212A69">
              <w:rPr>
                <w:color w:val="000000"/>
                <w:szCs w:val="24"/>
              </w:rPr>
              <w:t>31</w:t>
            </w:r>
            <w:r w:rsidR="004218C2" w:rsidRPr="00212A69">
              <w:rPr>
                <w:color w:val="000000"/>
                <w:szCs w:val="24"/>
              </w:rPr>
              <w:t>,</w:t>
            </w:r>
            <w:r w:rsidR="00B810F1" w:rsidRPr="00212A69">
              <w:rPr>
                <w:color w:val="000000"/>
                <w:szCs w:val="24"/>
              </w:rPr>
              <w:t>365</w:t>
            </w:r>
            <w:r w:rsidR="004218C2" w:rsidRPr="00212A69">
              <w:rPr>
                <w:color w:val="000000"/>
                <w:szCs w:val="24"/>
              </w:rPr>
              <w:t>,000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7563209C" w:rsidR="00F73480" w:rsidRPr="00D60CCF" w:rsidRDefault="00F73480" w:rsidP="005F2697">
            <w:pPr>
              <w:spacing w:after="0"/>
              <w:jc w:val="center"/>
              <w:textAlignment w:val="baseline"/>
              <w:rPr>
                <w:szCs w:val="24"/>
              </w:rPr>
            </w:pPr>
            <w:r w:rsidRPr="00D60CCF">
              <w:rPr>
                <w:b/>
                <w:color w:val="000000"/>
                <w:szCs w:val="24"/>
              </w:rPr>
              <w:t>$</w:t>
            </w:r>
            <w:r w:rsidR="00C72FC6" w:rsidRPr="00212A69">
              <w:rPr>
                <w:b/>
                <w:color w:val="000000"/>
                <w:szCs w:val="24"/>
              </w:rPr>
              <w:t>69</w:t>
            </w:r>
            <w:r w:rsidRPr="00D60CCF">
              <w:rPr>
                <w:b/>
                <w:color w:val="000000"/>
                <w:szCs w:val="24"/>
              </w:rPr>
              <w:t>,</w:t>
            </w:r>
            <w:r w:rsidR="00F70390" w:rsidRPr="00212A69">
              <w:rPr>
                <w:b/>
                <w:color w:val="000000"/>
                <w:szCs w:val="24"/>
              </w:rPr>
              <w:t>5</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Pr="002A186C" w:rsidRDefault="002A186C" w:rsidP="003C5F54">
      <w:pPr>
        <w:spacing w:after="0"/>
        <w:ind w:left="1440"/>
        <w:rPr>
          <w:szCs w:val="24"/>
        </w:rPr>
      </w:pPr>
    </w:p>
    <w:p w14:paraId="6E38DE8B" w14:textId="2408423F" w:rsidR="00D64599" w:rsidRPr="001345CD" w:rsidRDefault="00961CB0" w:rsidP="00AE79C5">
      <w:pPr>
        <w:pStyle w:val="ListParagraph"/>
        <w:numPr>
          <w:ilvl w:val="0"/>
          <w:numId w:val="50"/>
        </w:numPr>
        <w:spacing w:after="0"/>
        <w:ind w:hanging="720"/>
        <w:rPr>
          <w:b/>
        </w:rPr>
      </w:pPr>
      <w:r w:rsidRPr="4E060648">
        <w:rPr>
          <w:b/>
        </w:rPr>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38BEEF24" w14:textId="39C1E63C" w:rsidR="004F6BD5" w:rsidRDefault="00446058" w:rsidP="00AE79C5">
      <w:pPr>
        <w:pStyle w:val="NormalIndent"/>
        <w:numPr>
          <w:ilvl w:val="0"/>
          <w:numId w:val="51"/>
        </w:numPr>
        <w:ind w:hanging="720"/>
      </w:pPr>
      <w:r>
        <w:t xml:space="preserve">Each proposed EV charging station must </w:t>
      </w:r>
      <w:r w:rsidR="00A503CB">
        <w:t>install</w:t>
      </w:r>
      <w:r>
        <w:t xml:space="preserve"> a </w:t>
      </w:r>
      <w:r w:rsidRPr="2A752466">
        <w:rPr>
          <w:i/>
          <w:iCs/>
        </w:rPr>
        <w:t>minimum</w:t>
      </w:r>
      <w:r>
        <w:t xml:space="preserve"> </w:t>
      </w:r>
      <w:r w:rsidR="00C92952">
        <w:t xml:space="preserve">of </w:t>
      </w:r>
      <w:r>
        <w:t>3 MW</w:t>
      </w:r>
      <w:r w:rsidR="00C92952">
        <w:t xml:space="preserve"> nameplate </w:t>
      </w:r>
      <w:proofErr w:type="gramStart"/>
      <w:r w:rsidR="00C92952">
        <w:t>of new</w:t>
      </w:r>
      <w:proofErr w:type="gramEnd"/>
      <w:r w:rsidR="00C92952">
        <w:t xml:space="preserve"> charging capacity</w:t>
      </w:r>
      <w:r>
        <w:t xml:space="preserve">. </w:t>
      </w:r>
      <w:r w:rsidR="0039061C">
        <w:t xml:space="preserve">If the proposed </w:t>
      </w:r>
      <w:r w:rsidR="00884B69">
        <w:t>project</w:t>
      </w:r>
      <w:r w:rsidR="0039061C">
        <w:t xml:space="preserve"> is an </w:t>
      </w:r>
      <w:r w:rsidR="00965931">
        <w:t xml:space="preserve">expansion of an existing </w:t>
      </w:r>
      <w:r w:rsidR="00884B69">
        <w:t xml:space="preserve">EV charging </w:t>
      </w:r>
      <w:r w:rsidR="00965931">
        <w:t xml:space="preserve">station, the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1D91EAC1"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install the conduit, switchgear, and pad to enable the future installation of at least</w:t>
      </w:r>
      <w:r w:rsidR="00497F87">
        <w:t>, one</w:t>
      </w:r>
      <w:r w:rsidR="004C782B">
        <w:t xml:space="preserve"> </w:t>
      </w:r>
      <w:r w:rsidR="000D4DA3">
        <w:t>1</w:t>
      </w:r>
      <w:r w:rsidR="433D46B3">
        <w:t>-</w:t>
      </w:r>
      <w:r w:rsidR="00C41BED">
        <w:t xml:space="preserve">MW </w:t>
      </w:r>
      <w:r w:rsidR="004C782B">
        <w:t>charger</w:t>
      </w:r>
      <w:r w:rsidR="001C2F04">
        <w:t xml:space="preserve"> (the charger itself is not required)</w:t>
      </w:r>
      <w:r w:rsidR="004C782B">
        <w:t>.</w:t>
      </w:r>
    </w:p>
    <w:p w14:paraId="197C2453" w14:textId="3A57D38D" w:rsidR="00705C4F" w:rsidRDefault="00705C4F" w:rsidP="00AE79C5">
      <w:pPr>
        <w:pStyle w:val="NormalIndent"/>
        <w:numPr>
          <w:ilvl w:val="0"/>
          <w:numId w:val="51"/>
        </w:numPr>
        <w:ind w:hanging="720"/>
      </w:pPr>
      <w:r w:rsidRPr="001654FE">
        <w:t xml:space="preserve">Each </w:t>
      </w:r>
      <w:r w:rsidR="005762A8">
        <w:t>direct current (</w:t>
      </w:r>
      <w:r>
        <w:t>DC</w:t>
      </w:r>
      <w:r w:rsidR="005762A8">
        <w:t>)</w:t>
      </w:r>
      <w:r>
        <w:t xml:space="preserve"> fast charging </w:t>
      </w:r>
      <w:r w:rsidRPr="001654FE">
        <w:t xml:space="preserve">port must </w:t>
      </w:r>
      <w:r w:rsidR="00F1754B">
        <w:t xml:space="preserve">meet applicable industry standards and must </w:t>
      </w:r>
      <w:r w:rsidRPr="001654FE">
        <w:t xml:space="preserve">be capable of charging any </w:t>
      </w:r>
      <w:r>
        <w:t>CCS</w:t>
      </w:r>
      <w:r w:rsidRPr="001654FE">
        <w:t>-compliant 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t xml:space="preserve">Each </w:t>
      </w:r>
      <w:proofErr w:type="gramStart"/>
      <w:r>
        <w:t>port may</w:t>
      </w:r>
      <w:proofErr w:type="gramEnd"/>
      <w:r>
        <w:t xml:space="preserve">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lastRenderedPageBreak/>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03F877B1" w:rsidR="00AF25F7" w:rsidRPr="00D60CCF" w:rsidRDefault="00AF25F7" w:rsidP="00AE79C5">
      <w:pPr>
        <w:pStyle w:val="ListParagraph"/>
        <w:numPr>
          <w:ilvl w:val="0"/>
          <w:numId w:val="50"/>
        </w:numPr>
        <w:spacing w:after="0"/>
        <w:ind w:hanging="720"/>
        <w:rPr>
          <w:b/>
        </w:rPr>
      </w:pPr>
      <w:r w:rsidRPr="00D60CCF">
        <w:rPr>
          <w:b/>
        </w:rPr>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 xml:space="preserve">pen to the </w:t>
      </w:r>
      <w:proofErr w:type="gramStart"/>
      <w:r w:rsidR="007D1D19">
        <w:t>general public</w:t>
      </w:r>
      <w:proofErr w:type="gramEnd"/>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 xml:space="preserve">some EV charging infrastructure is open to the </w:t>
      </w:r>
      <w:proofErr w:type="gramStart"/>
      <w:r>
        <w:t>general public</w:t>
      </w:r>
      <w:proofErr w:type="gramEnd"/>
      <w:r>
        <w:t>, and some EV charging infrastructure is limited to authorized commercial motor 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8D601B" w:rsidRDefault="00AB5DBB" w:rsidP="00F07E4A">
      <w:pPr>
        <w:pStyle w:val="ListParagraph"/>
        <w:ind w:left="1440"/>
        <w:rPr>
          <w:rFonts w:eastAsia="Arial"/>
          <w:color w:val="000000" w:themeColor="text1"/>
        </w:rPr>
      </w:pPr>
      <w:r>
        <w:rPr>
          <w:rFonts w:eastAsia="Arial"/>
          <w:color w:val="000000" w:themeColor="text1"/>
        </w:rPr>
        <w:t xml:space="preserve">For Restricted Access stations, as well as the Restricted Access portions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vehicle operator, attesting to their </w:t>
      </w:r>
      <w:r w:rsidR="008827AC">
        <w:rPr>
          <w:rFonts w:eastAsia="Arial"/>
          <w:color w:val="000000" w:themeColor="text1"/>
        </w:rPr>
        <w:t>intended use of the station</w:t>
      </w:r>
      <w:r w:rsidR="009873D9">
        <w:rPr>
          <w:rFonts w:eastAsia="Arial"/>
          <w:color w:val="000000" w:themeColor="text1"/>
        </w:rPr>
        <w:t xml:space="preserve"> (Attachment 14)</w:t>
      </w:r>
      <w:r w:rsidR="008827AC">
        <w:rPr>
          <w:rFonts w:eastAsia="Arial"/>
          <w:color w:val="000000" w:themeColor="text1"/>
        </w:rPr>
        <w:t>.</w:t>
      </w:r>
    </w:p>
    <w:p w14:paraId="3458E0F8" w14:textId="6CB5A4C4" w:rsidR="00AF25F7" w:rsidRDefault="00AF25F7" w:rsidP="007123EA">
      <w:pPr>
        <w:pStyle w:val="NormalIndent"/>
        <w:ind w:left="1440"/>
      </w:pPr>
      <w:r w:rsidRPr="00AF25F7">
        <w:lastRenderedPageBreak/>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01E7B646" w:rsidR="00FE1FA6" w:rsidRPr="00AF25F7" w:rsidRDefault="00FE1FA6" w:rsidP="007123EA">
      <w:pPr>
        <w:pStyle w:val="NormalIndent"/>
        <w:ind w:left="1440"/>
      </w:pPr>
      <w:r>
        <w:t>Proposed EV charging stations may utilize a reservation system, allowing customers the option to reserve</w:t>
      </w:r>
      <w:r w:rsidR="00374643">
        <w:t xml:space="preserve"> chargers</w:t>
      </w:r>
      <w:r>
        <w:t xml:space="preserve"> in advance of charging</w:t>
      </w:r>
      <w:r w:rsidR="004F4244">
        <w:t xml:space="preserve">. </w:t>
      </w:r>
      <w:proofErr w:type="spellStart"/>
      <w:r w:rsidR="004F4244">
        <w:t>If</w:t>
      </w:r>
      <w:r>
        <w:t>utilizing</w:t>
      </w:r>
      <w:proofErr w:type="spellEnd"/>
      <w:r>
        <w:t xml:space="preserve"> a reservation system, </w:t>
      </w:r>
      <w:r w:rsidR="004F4244">
        <w:t xml:space="preserve">the reservation system must be available to all </w:t>
      </w:r>
      <w:r w:rsidR="00A12324">
        <w:t xml:space="preserve">intended </w:t>
      </w:r>
      <w:r w:rsidR="00CF5251">
        <w:t>customers</w:t>
      </w:r>
      <w:r w:rsidR="00A12324">
        <w:t xml:space="preserve"> (either the </w:t>
      </w:r>
      <w:proofErr w:type="gramStart"/>
      <w:r w:rsidR="00A12324">
        <w:t>general public</w:t>
      </w:r>
      <w:proofErr w:type="gramEnd"/>
      <w:r w:rsidR="00A12324">
        <w:t xml:space="preserve"> or restricted-access users</w:t>
      </w:r>
      <w:r w:rsidR="00B20E42">
        <w:t>, depending on if the proposed station will be Public Access, Restricted Access, or Hybrid Access, as defined earlier in this section</w:t>
      </w:r>
      <w:r w:rsidR="00A12324">
        <w:t>)</w:t>
      </w:r>
      <w:r>
        <w:t>.</w:t>
      </w:r>
    </w:p>
    <w:p w14:paraId="0197C2CA" w14:textId="23CD8F5A" w:rsidR="00E70E71" w:rsidRDefault="008919C4" w:rsidP="00212A69">
      <w:pPr>
        <w:pStyle w:val="NormalIndent"/>
        <w:spacing w:after="0"/>
        <w:ind w:left="1440"/>
      </w:pPr>
      <w:r>
        <w:t xml:space="preserve">For EV charging stations that will be open to the </w:t>
      </w:r>
      <w:proofErr w:type="gramStart"/>
      <w:r>
        <w:t>general public</w:t>
      </w:r>
      <w:proofErr w:type="gramEnd"/>
      <w:r w:rsidR="00AF25F7" w:rsidRPr="00AF25F7">
        <w:t xml:space="preserve">, accessibility to all EV drivers is required. Applicants should familiarize themselves with the Division of the State Architect’s requirements </w:t>
      </w:r>
      <w:proofErr w:type="gramStart"/>
      <w:r w:rsidR="00AF25F7" w:rsidRPr="00AF25F7">
        <w:t>on</w:t>
      </w:r>
      <w:proofErr w:type="gramEnd"/>
      <w:r w:rsidR="00AF25F7" w:rsidRPr="00AF25F7">
        <w:t xml:space="preserve">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t>The project team must include a charging network provider that has demonstrated experience or has the capability to provide networking 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lastRenderedPageBreak/>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 xml:space="preserve">The charger’s networking software must connect to a central management system using OCPP 2.0.1 for the purposes of </w:t>
      </w:r>
      <w:proofErr w:type="gramStart"/>
      <w:r w:rsidRPr="1F52FCFF">
        <w:rPr>
          <w:szCs w:val="24"/>
        </w:rPr>
        <w:t>charger</w:t>
      </w:r>
      <w:proofErr w:type="gramEnd"/>
      <w:r w:rsidRPr="1F52FCFF">
        <w:rPr>
          <w:szCs w:val="24"/>
        </w:rPr>
        <w:t xml:space="preserve">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The chargers and charging software must meet all the NEVI cybersecurity requirements listed in the federal NEVI 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lastRenderedPageBreak/>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 xml:space="preserve">Internet Protocol (IP)-based </w:t>
      </w:r>
      <w:proofErr w:type="gramStart"/>
      <w:r w:rsidRPr="1F52FCFF">
        <w:rPr>
          <w:szCs w:val="24"/>
        </w:rPr>
        <w:t>processor</w:t>
      </w:r>
      <w:proofErr w:type="gramEnd"/>
      <w:r w:rsidRPr="1F52FCFF">
        <w:rPr>
          <w:szCs w:val="24"/>
        </w:rPr>
        <w:t xml:space="preserve">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 xml:space="preserve">The charging equipment must be able to withstand extreme weather conditions, including </w:t>
      </w:r>
      <w:proofErr w:type="gramStart"/>
      <w:r w:rsidRPr="1F52FCFF">
        <w:rPr>
          <w:szCs w:val="24"/>
        </w:rPr>
        <w:t>temperature extremes</w:t>
      </w:r>
      <w:proofErr w:type="gramEnd"/>
      <w:r w:rsidRPr="1F52FCFF">
        <w:rPr>
          <w:szCs w:val="24"/>
        </w:rPr>
        <w:t>,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2BB73B71" w:rsidR="009444E4"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p>
    <w:p w14:paraId="39BE9F09" w14:textId="0DE1EE69" w:rsidR="00D13BA7" w:rsidRDefault="00D13BA7" w:rsidP="00D13BA7">
      <w:pPr>
        <w:pStyle w:val="Caption"/>
      </w:pPr>
      <w:r>
        <w:lastRenderedPageBreak/>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6493"/>
      </w:tblGrid>
      <w:tr w:rsidR="00270103" w:rsidRPr="00270103" w14:paraId="07638C9F"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5FDC5643" w:rsidR="00270103" w:rsidRPr="00270103" w:rsidRDefault="00270103" w:rsidP="00270103">
            <w:pPr>
              <w:spacing w:before="60" w:after="60"/>
            </w:pPr>
            <w:r w:rsidRPr="00270103">
              <w:t>Flexible Service 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15270E4D" w:rsidR="00270103" w:rsidRPr="00270103" w:rsidRDefault="00270103" w:rsidP="00270103">
            <w:pPr>
              <w:spacing w:before="60" w:after="60"/>
            </w:pPr>
            <w:r w:rsidRPr="00270103">
              <w:t xml:space="preserve">If offered by the serving electric utility, the station operator may secure a flexible service agreement to receive a predefined capacity for specific times. The applicant must describe the station's expected peak operational times and associated electrical demand, and how the site will meet these needs. At </w:t>
            </w:r>
            <w:r w:rsidR="00A35F47">
              <w:t xml:space="preserve">the </w:t>
            </w:r>
            <w:r w:rsidRPr="00270103">
              <w:t>time of station commissioning</w:t>
            </w:r>
            <w:r w:rsidR="00A35F47">
              <w:t>,</w:t>
            </w:r>
            <w:r w:rsidRPr="00270103">
              <w:t xml:space="preserve"> the site shall be able to meet the following minimums: be able to power each charger at a minimum of 25</w:t>
            </w:r>
            <w:r w:rsidR="6271B092">
              <w:t xml:space="preserve"> percent</w:t>
            </w:r>
            <w:r w:rsidRPr="00270103">
              <w:t xml:space="preserve"> of the rated nameplate capacity if all chargers operating concurrently at all hours of the day; be able to power each charger at a minimum of 50</w:t>
            </w:r>
            <w:r w:rsidR="15CD4358">
              <w:t xml:space="preserve"> percent</w:t>
            </w:r>
            <w:r w:rsidRPr="00270103">
              <w:t xml:space="preserve"> of the rated nameplate capacity during the station's peak operational times. Power may also be supplemented by DERs or BESS. Within five (5) years of </w:t>
            </w:r>
            <w:r w:rsidR="003E6738">
              <w:t>agreement</w:t>
            </w:r>
            <w:r w:rsidRPr="00270103">
              <w:t xml:space="preserve"> execution with the CEC, each charger must be capable of delivering a minimum of 80</w:t>
            </w:r>
            <w:r w:rsidR="54DA3F6C">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lastRenderedPageBreak/>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w:t>
      </w:r>
      <w:proofErr w:type="gramStart"/>
      <w:r w:rsidRPr="00625A67">
        <w:t>transfer</w:t>
      </w:r>
      <w:proofErr w:type="gramEnd"/>
      <w:r w:rsidRPr="00625A67">
        <w:t xml:space="preserve">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3">
        <w:r w:rsidRPr="007355BD">
          <w:rPr>
            <w:rStyle w:val="Hyperlink"/>
            <w:szCs w:val="24"/>
          </w:rPr>
          <w:t>23 U.S.C. 313</w:t>
        </w:r>
      </w:hyperlink>
      <w:r w:rsidRPr="007355BD">
        <w:rPr>
          <w:rStyle w:val="Hyperlink"/>
          <w:color w:val="auto"/>
          <w:szCs w:val="24"/>
          <w:u w:val="none"/>
        </w:rPr>
        <w:t xml:space="preserve"> at </w:t>
      </w:r>
      <w:r w:rsidRPr="007355BD">
        <w:rPr>
          <w:szCs w:val="24"/>
        </w:rP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4">
        <w:r w:rsidRPr="00EB3E75">
          <w:rPr>
            <w:rStyle w:val="Hyperlink"/>
            <w:szCs w:val="24"/>
          </w:rPr>
          <w:t>National Electric Vehicle Infrastructure Standards and Requirements</w:t>
        </w:r>
      </w:hyperlink>
      <w:r w:rsidRPr="00EB3E75">
        <w:rPr>
          <w:szCs w:val="24"/>
        </w:rPr>
        <w:t xml:space="preserve"> found at https://www.federalregister.gov/documents/2023/02/28/2023-03500/national-electric-vehicle-infrastructure-standards-and-requirements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w:t>
      </w:r>
      <w:proofErr w:type="gramStart"/>
      <w:r w:rsidRPr="004262EA">
        <w:rPr>
          <w:rStyle w:val="normaltextrun"/>
          <w:szCs w:val="24"/>
        </w:rPr>
        <w:t>is considered to be</w:t>
      </w:r>
      <w:proofErr w:type="gramEnd"/>
      <w:r w:rsidRPr="004262EA">
        <w:rPr>
          <w:rStyle w:val="normaltextrun"/>
          <w:szCs w:val="24"/>
        </w:rPr>
        <w:t xml:space="preserv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 xml:space="preserve">(see 23 CFR 680.106(d)). Charging port uptime must be calculated </w:t>
      </w:r>
      <w:proofErr w:type="gramStart"/>
      <w:r w:rsidR="007114EA" w:rsidRPr="67E0CE57">
        <w:rPr>
          <w:rStyle w:val="normaltextrun"/>
        </w:rPr>
        <w:t>on a monthly basis</w:t>
      </w:r>
      <w:proofErr w:type="gramEnd"/>
      <w:r w:rsidR="007114EA" w:rsidRPr="67E0CE57">
        <w:rPr>
          <w:rStyle w:val="normaltextrun"/>
        </w:rPr>
        <w:t xml:space="preserve">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µ = ((525,600−(</w:t>
      </w:r>
      <w:proofErr w:type="spellStart"/>
      <w:r w:rsidRPr="00450695">
        <w:rPr>
          <w:szCs w:val="24"/>
        </w:rPr>
        <w:t>T_outage−T_excluded</w:t>
      </w:r>
      <w:proofErr w:type="spellEnd"/>
      <w:r w:rsidRPr="00450695">
        <w:rPr>
          <w:szCs w:val="24"/>
        </w:rPr>
        <w:t xml:space="preserve">))/525,600)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proofErr w:type="spellStart"/>
      <w:r w:rsidRPr="00450695">
        <w:rPr>
          <w:szCs w:val="24"/>
        </w:rPr>
        <w:t>T_outage</w:t>
      </w:r>
      <w:proofErr w:type="spellEnd"/>
      <w:r w:rsidRPr="00450695">
        <w:rPr>
          <w:szCs w:val="24"/>
        </w:rPr>
        <w:t xml:space="preserve"> = total minutes of outage in previous year, and </w:t>
      </w:r>
    </w:p>
    <w:p w14:paraId="2503EA26" w14:textId="77777777" w:rsidR="007114EA" w:rsidRPr="00450695" w:rsidRDefault="007114EA" w:rsidP="007114EA">
      <w:pPr>
        <w:ind w:left="2160"/>
        <w:rPr>
          <w:szCs w:val="24"/>
        </w:rPr>
      </w:pPr>
      <w:proofErr w:type="spellStart"/>
      <w:r w:rsidRPr="00450695">
        <w:rPr>
          <w:szCs w:val="24"/>
        </w:rPr>
        <w:t>T_excluded</w:t>
      </w:r>
      <w:proofErr w:type="spellEnd"/>
      <w:r w:rsidRPr="00450695">
        <w:rPr>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 xml:space="preserve">It will be the Recipient’s responsibility to demonstrate that this </w:t>
      </w:r>
      <w:proofErr w:type="gramStart"/>
      <w:r w:rsidRPr="004262EA">
        <w:rPr>
          <w:rStyle w:val="normaltextrun"/>
          <w:szCs w:val="24"/>
        </w:rPr>
        <w:t>uptime</w:t>
      </w:r>
      <w:proofErr w:type="gramEnd"/>
      <w:r w:rsidRPr="004262EA">
        <w:rPr>
          <w:rStyle w:val="normaltextrun"/>
          <w:szCs w:val="24"/>
        </w:rPr>
        <w:t xml:space="preserv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2F98A9FE" w14:textId="77777777" w:rsidR="002568B7" w:rsidRDefault="002568B7"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914D5E">
      <w:pPr>
        <w:pStyle w:val="ListParagraph"/>
        <w:ind w:left="1440"/>
        <w:rPr>
          <w:szCs w:val="24"/>
        </w:rPr>
      </w:pPr>
      <w:proofErr w:type="gramStart"/>
      <w:r w:rsidRPr="00AA023E">
        <w:rPr>
          <w:szCs w:val="24"/>
        </w:rPr>
        <w:t>All of</w:t>
      </w:r>
      <w:proofErr w:type="gramEnd"/>
      <w:r w:rsidRPr="00AA023E">
        <w:rPr>
          <w:szCs w:val="24"/>
        </w:rPr>
        <w:t xml:space="preserve"> the following requirements must be met:</w:t>
      </w:r>
    </w:p>
    <w:p w14:paraId="2D0D3F43" w14:textId="78CA1536" w:rsidR="00C024DD" w:rsidRPr="00AA023E" w:rsidRDefault="00E87AA0" w:rsidP="00AE79C5">
      <w:pPr>
        <w:pStyle w:val="ListParagraph"/>
        <w:keepNext/>
        <w:numPr>
          <w:ilvl w:val="0"/>
          <w:numId w:val="42"/>
        </w:numPr>
        <w:ind w:hanging="720"/>
      </w:pPr>
      <w:r>
        <w:lastRenderedPageBreak/>
        <w:t>All EV charging stations funded under this solicitation</w:t>
      </w:r>
      <w:r w:rsidR="00C024DD">
        <w:t xml:space="preserve"> must provide secure payment methods, be accessible to </w:t>
      </w:r>
      <w:proofErr w:type="gramStart"/>
      <w:r w:rsidR="00C024DD">
        <w:t>persons</w:t>
      </w:r>
      <w:proofErr w:type="gramEnd"/>
      <w:r w:rsidR="00C024DD">
        <w:t xml:space="preserve">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 xml:space="preserve">must not require </w:t>
      </w:r>
      <w:proofErr w:type="gramStart"/>
      <w:r w:rsidR="00C024DD" w:rsidRPr="00197144">
        <w:t>a membership</w:t>
      </w:r>
      <w:proofErr w:type="gramEnd"/>
      <w:r w:rsidR="00C024DD" w:rsidRPr="00197144">
        <w:t xml:space="preserve">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 xml:space="preserve">harging stations must not delay, limit, or curtail power flow to vehicles </w:t>
      </w:r>
      <w:proofErr w:type="gramStart"/>
      <w:r w:rsidR="00C024DD" w:rsidRPr="00AA023E">
        <w:rPr>
          <w:szCs w:val="24"/>
        </w:rPr>
        <w:t>on the basis of</w:t>
      </w:r>
      <w:proofErr w:type="gramEnd"/>
      <w:r w:rsidR="00C024DD" w:rsidRPr="00AA023E">
        <w:rPr>
          <w:szCs w:val="24"/>
        </w:rPr>
        <w:t xml:space="preserve">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AE79C5">
      <w:pPr>
        <w:pStyle w:val="ListParagraph"/>
        <w:numPr>
          <w:ilvl w:val="0"/>
          <w:numId w:val="50"/>
        </w:numPr>
        <w:spacing w:after="0"/>
        <w:ind w:hanging="720"/>
        <w:rPr>
          <w:bCs/>
          <w:szCs w:val="24"/>
        </w:rPr>
      </w:pPr>
      <w:r w:rsidRPr="00E75424">
        <w:rPr>
          <w:b/>
          <w:szCs w:val="24"/>
        </w:rPr>
        <w:t>Customer Service</w:t>
      </w:r>
    </w:p>
    <w:p w14:paraId="6F1FA671" w14:textId="196DFB8D" w:rsidR="002568B7" w:rsidRPr="00E75424" w:rsidRDefault="002C2CF5" w:rsidP="002C2CF5">
      <w:pPr>
        <w:pStyle w:val="ListParagraph"/>
        <w:ind w:left="1440"/>
        <w:rPr>
          <w:szCs w:val="24"/>
        </w:rPr>
      </w:pPr>
      <w:r w:rsidRPr="00E7542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lastRenderedPageBreak/>
        <w:t>The project must coordinate with appropriate local agencies and Caltrans for directional signage on and along the highway and local roads, if it is not already installed. The signs must meet the California Manual on 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 xml:space="preserve">This award may cover funding for </w:t>
      </w:r>
      <w:proofErr w:type="gramStart"/>
      <w:r w:rsidR="00C57C72" w:rsidRPr="00C57C72">
        <w:rPr>
          <w:szCs w:val="24"/>
        </w:rPr>
        <w:t>trailblazer</w:t>
      </w:r>
      <w:proofErr w:type="gramEnd"/>
      <w:r w:rsidR="00C57C72" w:rsidRPr="00C57C72">
        <w:rPr>
          <w:szCs w:val="24"/>
        </w:rPr>
        <w:t xml:space="preserve"> and on-site signage as required to comply with the federal NEVI standards.</w:t>
      </w:r>
    </w:p>
    <w:p w14:paraId="0BFB036C" w14:textId="091A77F6" w:rsidR="002568B7" w:rsidRDefault="00E75424" w:rsidP="00E75424">
      <w:pPr>
        <w:pStyle w:val="ListParagraph"/>
        <w:ind w:left="1440"/>
      </w:pPr>
      <w:r>
        <w:t xml:space="preserve">Recipients may contact </w:t>
      </w:r>
      <w:hyperlink r:id="rId55">
        <w:r w:rsidRPr="00A6512C">
          <w:rPr>
            <w:rStyle w:val="Hyperlink"/>
          </w:rPr>
          <w:t>Caltrans sign coordinators</w:t>
        </w:r>
      </w:hyperlink>
      <w:r>
        <w:t xml:space="preserve"> and ask for sign installation on the State Highway System at </w:t>
      </w:r>
      <w:hyperlink r:id="rId56">
        <w:r w:rsidR="004E20F6" w:rsidRPr="00A6512C">
          <w:rPr>
            <w:rStyle w:val="Hyperlink"/>
          </w:rPr>
          <w:t>https://dot.ca.gov/programs/safety-programs/sign-specs/district-sign-coordinators</w:t>
        </w:r>
      </w:hyperlink>
      <w:r w:rsidR="004E20F6">
        <w:t xml:space="preserve">. </w:t>
      </w:r>
    </w:p>
    <w:p w14:paraId="64E2B25C" w14:textId="7CD57187" w:rsidR="00A6512C" w:rsidRDefault="00A6512C" w:rsidP="00A6512C">
      <w:pPr>
        <w:pStyle w:val="ListParagraph"/>
        <w:ind w:left="1440"/>
      </w:pP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proofErr w:type="gramStart"/>
      <w:r w:rsidRPr="00B361A6">
        <w:rPr>
          <w:rFonts w:eastAsia="Tahoma"/>
          <w:szCs w:val="24"/>
        </w:rPr>
        <w:t>Conduit</w:t>
      </w:r>
      <w:proofErr w:type="gramEnd"/>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0F7EEAD6"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 xml:space="preserve">BESS that are directly related to the charging of EVs. These costs should only be considered if they will lead to lower costs </w:t>
      </w:r>
      <w:proofErr w:type="gramStart"/>
      <w:r w:rsidR="00120B5C" w:rsidRPr="00B361A6">
        <w:rPr>
          <w:rFonts w:eastAsia="Tahoma"/>
          <w:color w:val="000000" w:themeColor="text1"/>
          <w:szCs w:val="24"/>
        </w:rPr>
        <w:t>to</w:t>
      </w:r>
      <w:proofErr w:type="gramEnd"/>
      <w:r w:rsidR="00120B5C" w:rsidRPr="00B361A6">
        <w:rPr>
          <w:rFonts w:eastAsia="Tahoma"/>
          <w:color w:val="000000" w:themeColor="text1"/>
          <w:szCs w:val="24"/>
        </w:rPr>
        <w:t xml:space="preserve"> consumers, greater EV charging station reliability, and if 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w:t>
      </w:r>
      <w:r w:rsidR="004245B7">
        <w:rPr>
          <w:rFonts w:eastAsia="Tahoma"/>
          <w:color w:val="000000" w:themeColor="text1"/>
          <w:szCs w:val="24"/>
        </w:rPr>
        <w:lastRenderedPageBreak/>
        <w:t xml:space="preserve">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lastRenderedPageBreak/>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 xml:space="preserve">Paper studies or research projects (e.g., a study which </w:t>
      </w:r>
      <w:proofErr w:type="gramStart"/>
      <w:r w:rsidRPr="00B361A6">
        <w:rPr>
          <w:rFonts w:eastAsia="Tahoma"/>
          <w:szCs w:val="24"/>
        </w:rPr>
        <w:t>assess</w:t>
      </w:r>
      <w:proofErr w:type="gramEnd"/>
      <w:r w:rsidRPr="00B361A6">
        <w:rPr>
          <w:rFonts w:eastAsia="Tahoma"/>
          <w:szCs w:val="24"/>
        </w:rPr>
        <w:t xml:space="preserve">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w:t>
      </w:r>
      <w:proofErr w:type="gramStart"/>
      <w:r w:rsidRPr="00DC5519">
        <w:rPr>
          <w:rStyle w:val="normaltextrun"/>
          <w:rFonts w:ascii="Arial" w:hAnsi="Arial" w:cs="Arial"/>
        </w:rPr>
        <w:t>moneys</w:t>
      </w:r>
      <w:proofErr w:type="gramEnd"/>
      <w:r w:rsidRPr="00DC5519">
        <w:rPr>
          <w:rStyle w:val="normaltextrun"/>
          <w:rFonts w:ascii="Arial" w:hAnsi="Arial" w:cs="Arial"/>
        </w:rPr>
        <w:t xml:space="preserve"> derived from credits generated from the Low Carbon Fuel Standard Program (</w:t>
      </w:r>
      <w:proofErr w:type="spellStart"/>
      <w:r w:rsidRPr="00DC5519">
        <w:rPr>
          <w:rStyle w:val="spellingerror"/>
          <w:rFonts w:ascii="Arial" w:hAnsi="Arial" w:cs="Arial"/>
        </w:rPr>
        <w:t>Subarticle</w:t>
      </w:r>
      <w:proofErr w:type="spellEnd"/>
      <w:r w:rsidRPr="00DC5519">
        <w:rPr>
          <w:rStyle w:val="normaltextrun"/>
          <w:rFonts w:ascii="Arial" w:hAnsi="Arial" w:cs="Arial"/>
        </w:rPr>
        <w:t xml:space="preserve"> </w:t>
      </w:r>
      <w:r w:rsidRPr="00DC5519">
        <w:rPr>
          <w:rStyle w:val="normaltextrun"/>
          <w:rFonts w:ascii="Arial" w:hAnsi="Arial" w:cs="Arial"/>
        </w:rPr>
        <w:lastRenderedPageBreak/>
        <w:t>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xml:space="preserve">), must include the Recipient’s data security policies, procedures, and remediation plan. The plan should include, at </w:t>
      </w:r>
      <w:proofErr w:type="gramStart"/>
      <w:r>
        <w:rPr>
          <w:rStyle w:val="normaltextrun"/>
          <w:rFonts w:ascii="Arial" w:hAnsi="Arial" w:cs="Arial"/>
        </w:rPr>
        <w:t>minimum</w:t>
      </w:r>
      <w:proofErr w:type="gramEnd"/>
      <w:r>
        <w:rPr>
          <w:rStyle w:val="normaltextrun"/>
          <w:rFonts w:ascii="Arial" w:hAnsi="Arial" w:cs="Arial"/>
        </w:rPr>
        <w:t>,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lastRenderedPageBreak/>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57"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58"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w:t>
      </w:r>
      <w:proofErr w:type="gramStart"/>
      <w:r w:rsidR="00A13E36">
        <w:rPr>
          <w:rFonts w:ascii="Arial" w:hAnsi="Arial" w:cs="Arial"/>
        </w:rPr>
        <w:t>Application</w:t>
      </w:r>
      <w:proofErr w:type="gramEnd"/>
      <w:r w:rsidR="00A13E36">
        <w:rPr>
          <w:rFonts w:ascii="Arial" w:hAnsi="Arial" w:cs="Arial"/>
        </w:rPr>
        <w:t xml:space="preserve">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AE79C5">
      <w:pPr>
        <w:pStyle w:val="ListParagraph"/>
        <w:numPr>
          <w:ilvl w:val="0"/>
          <w:numId w:val="50"/>
        </w:numPr>
        <w:spacing w:after="0"/>
        <w:ind w:hanging="720"/>
        <w:rPr>
          <w:rStyle w:val="normaltextrun"/>
          <w:b/>
          <w:bCs/>
        </w:rPr>
      </w:pPr>
      <w:r w:rsidRPr="00963F45">
        <w:rPr>
          <w:rStyle w:val="normaltextrun"/>
          <w:b/>
          <w:bCs/>
        </w:rPr>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w:t>
      </w:r>
      <w:r w:rsidRPr="00D4286D">
        <w:rPr>
          <w:rFonts w:ascii="Arial" w:hAnsi="Arial" w:cs="Arial"/>
        </w:rPr>
        <w:lastRenderedPageBreak/>
        <w:t>during the session. Price structure including any other fees in addition to the price for electricity to charge must be clearly displayed and explained.</w:t>
      </w:r>
    </w:p>
    <w:p w14:paraId="229FD191" w14:textId="77777777" w:rsidR="009072F7" w:rsidRDefault="009072F7"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59">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proofErr w:type="gramStart"/>
      <w:r w:rsidR="00727E20">
        <w:rPr>
          <w:rStyle w:val="normaltextrun"/>
        </w:rPr>
        <w:t>In particular, Recipients</w:t>
      </w:r>
      <w:proofErr w:type="gramEnd"/>
      <w:r w:rsidR="00727E20">
        <w:rPr>
          <w:rStyle w:val="normaltextrun"/>
        </w:rPr>
        <w:t xml:space="preserve">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13338633"/>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w:t>
      </w:r>
      <w:proofErr w:type="gramStart"/>
      <w:r>
        <w:t>total match</w:t>
      </w:r>
      <w:proofErr w:type="gramEnd"/>
      <w:r>
        <w:t xml:space="preserve">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with a 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 xml:space="preserve">Equipment may count as match funds </w:t>
      </w:r>
      <w:proofErr w:type="gramStart"/>
      <w:r w:rsidRPr="00037199">
        <w:rPr>
          <w:szCs w:val="22"/>
        </w:rPr>
        <w:t>as long as</w:t>
      </w:r>
      <w:proofErr w:type="gramEnd"/>
      <w:r w:rsidRPr="00037199">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60"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lastRenderedPageBreak/>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w:t>
      </w:r>
      <w:proofErr w:type="gramStart"/>
      <w:r>
        <w:t>minimum</w:t>
      </w:r>
      <w:proofErr w:type="gramEnd"/>
      <w:r>
        <w:t xml:space="preserve">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w:t>
      </w:r>
      <w:proofErr w:type="gramStart"/>
      <w:r w:rsidRPr="04ACA070">
        <w:rPr>
          <w:szCs w:val="24"/>
        </w:rPr>
        <w:t>actually expended</w:t>
      </w:r>
      <w:proofErr w:type="gramEnd"/>
      <w:r w:rsidRPr="04ACA070">
        <w:rPr>
          <w:szCs w:val="24"/>
        </w:rPr>
        <w:t xml:space="preserve">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7A7FF7CA" w14:textId="77777777" w:rsidR="0073644E" w:rsidRPr="00037199" w:rsidRDefault="0073644E" w:rsidP="00223C3C">
      <w:pPr>
        <w:spacing w:after="0"/>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037199" w:rsidRDefault="0073644E" w:rsidP="00223C3C">
      <w:pPr>
        <w:spacing w:after="0"/>
        <w:ind w:left="1440"/>
        <w:rPr>
          <w:sz w:val="28"/>
          <w:szCs w:val="28"/>
        </w:rPr>
      </w:pP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1"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In-kind match share must be included in the agreement budget and supported with appropriate documentation. Cost allocations must be reasonable and allocable to the proposed project.</w:t>
      </w:r>
    </w:p>
    <w:p w14:paraId="0E5826BE" w14:textId="77777777" w:rsidR="00223C3C" w:rsidRPr="00037199" w:rsidRDefault="00223C3C"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lastRenderedPageBreak/>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13338634"/>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w:t>
      </w:r>
      <w:proofErr w:type="gramStart"/>
      <w:r w:rsidR="00D244C4" w:rsidRPr="00037199">
        <w:rPr>
          <w:szCs w:val="22"/>
        </w:rPr>
        <w:t>actually pays</w:t>
      </w:r>
      <w:proofErr w:type="gramEnd"/>
      <w:r w:rsidR="00D244C4" w:rsidRPr="00037199">
        <w:rPr>
          <w:szCs w:val="22"/>
        </w:rPr>
        <w:t xml:space="preserve">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lastRenderedPageBreak/>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is an allowable match share 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986796" w14:textId="77777777" w:rsidR="009D5B54" w:rsidRPr="00230B69" w:rsidRDefault="009D5B54" w:rsidP="009D5B54">
      <w:pPr>
        <w:spacing w:after="0"/>
        <w:ind w:left="1440"/>
        <w:rPr>
          <w:szCs w:val="24"/>
        </w:rPr>
      </w:pPr>
    </w:p>
    <w:p w14:paraId="06515959" w14:textId="77777777" w:rsidR="006A3023" w:rsidRDefault="006A3023" w:rsidP="006A3023">
      <w:pPr>
        <w:spacing w:after="0"/>
        <w:rPr>
          <w:szCs w:val="22"/>
          <w:highlight w:val="yellow"/>
        </w:rPr>
      </w:pPr>
    </w:p>
    <w:p w14:paraId="051BCF36" w14:textId="77777777" w:rsidR="006C6191" w:rsidRPr="00050087" w:rsidRDefault="0092066B" w:rsidP="00E04486">
      <w:pPr>
        <w:pStyle w:val="Heading1"/>
        <w:keepNext w:val="0"/>
        <w:keepLines w:val="0"/>
        <w:spacing w:before="0" w:after="0"/>
      </w:pPr>
      <w:bookmarkStart w:id="56" w:name="_Toc12770892"/>
      <w:bookmarkStart w:id="57" w:name="_Toc219275109"/>
      <w:bookmarkStart w:id="58" w:name="_Toc219275098"/>
      <w:r>
        <w:br w:type="page"/>
      </w:r>
      <w:bookmarkStart w:id="59" w:name="_Toc213338635"/>
      <w:r w:rsidR="006C6191" w:rsidRPr="00050087">
        <w:lastRenderedPageBreak/>
        <w:t>I</w:t>
      </w:r>
      <w:r w:rsidR="00D11F0F" w:rsidRPr="00050087">
        <w:t>I</w:t>
      </w:r>
      <w:r w:rsidR="00D1451B" w:rsidRPr="00050087">
        <w:t>I</w:t>
      </w:r>
      <w:r w:rsidR="006C6191" w:rsidRPr="00050087">
        <w:t>.</w:t>
      </w:r>
      <w:r w:rsidR="006C6191" w:rsidRPr="00050087">
        <w:tab/>
      </w:r>
      <w:bookmarkEnd w:id="56"/>
      <w:r w:rsidR="001661BE" w:rsidRPr="00050087">
        <w:t>Application</w:t>
      </w:r>
      <w:r w:rsidR="006C6191"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13338636"/>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w:t>
      </w:r>
      <w:proofErr w:type="gramStart"/>
      <w:r w:rsidRPr="00CE37F1">
        <w:rPr>
          <w:szCs w:val="24"/>
        </w:rPr>
        <w:t xml:space="preserve">submit an </w:t>
      </w:r>
      <w:r w:rsidR="00403F6F" w:rsidRPr="00CE37F1">
        <w:rPr>
          <w:szCs w:val="24"/>
        </w:rPr>
        <w:t>application</w:t>
      </w:r>
      <w:proofErr w:type="gramEnd"/>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13338637"/>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2"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3">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4">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t>
      </w:r>
      <w:proofErr w:type="gramStart"/>
      <w:r w:rsidR="004A30ED" w:rsidRPr="101EB4DA">
        <w:rPr>
          <w:szCs w:val="24"/>
        </w:rPr>
        <w:t>Word (.</w:t>
      </w:r>
      <w:proofErr w:type="gramEnd"/>
      <w:r w:rsidR="004A30ED" w:rsidRPr="101EB4DA">
        <w:rPr>
          <w:szCs w:val="24"/>
        </w:rPr>
        <w:t xml:space="preserve">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w:t>
      </w:r>
      <w:r w:rsidRPr="004C5595">
        <w:rPr>
          <w:szCs w:val="24"/>
        </w:rPr>
        <w:lastRenderedPageBreak/>
        <w:t>unexpected issues on their end, causing long delays that prevented timely 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77777777" w:rsidR="001C23B2" w:rsidRPr="00B506A0" w:rsidRDefault="001C23B2" w:rsidP="001C23B2">
      <w:pPr>
        <w:ind w:left="720"/>
        <w:rPr>
          <w:szCs w:val="24"/>
        </w:rPr>
      </w:pPr>
      <w:r w:rsidRPr="00B506A0">
        <w:rPr>
          <w:szCs w:val="24"/>
        </w:rPr>
        <w:t xml:space="preserve">Applicants will be required to upload all attachments marked “required” in the system </w:t>
      </w:r>
      <w:proofErr w:type="gramStart"/>
      <w:r w:rsidRPr="00B506A0">
        <w:rPr>
          <w:szCs w:val="24"/>
        </w:rPr>
        <w:t>in order for</w:t>
      </w:r>
      <w:proofErr w:type="gramEnd"/>
      <w:r w:rsidRPr="00B506A0">
        <w:rPr>
          <w:szCs w:val="24"/>
        </w:rPr>
        <w:t xml:space="preserve"> the application to be submitted.</w:t>
      </w:r>
    </w:p>
    <w:p w14:paraId="08DA089A" w14:textId="77777777" w:rsidR="00D47CD0" w:rsidRDefault="00D47CD0"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13338638"/>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13338639"/>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571108C3" w14:textId="77777777" w:rsidR="000C5650" w:rsidRPr="00050087" w:rsidRDefault="000C5650" w:rsidP="00E04486">
      <w:pPr>
        <w:spacing w:after="0"/>
        <w:rPr>
          <w:szCs w:val="22"/>
        </w:rPr>
      </w:pPr>
    </w:p>
    <w:p w14:paraId="6DF43BA8" w14:textId="1BF50406" w:rsidR="00642F84" w:rsidRDefault="00642F84" w:rsidP="00E04486">
      <w:pPr>
        <w:spacing w:after="0"/>
        <w:rPr>
          <w:b/>
          <w:szCs w:val="22"/>
        </w:rPr>
      </w:pPr>
      <w:bookmarkStart w:id="70" w:name="_Toc507398622"/>
    </w:p>
    <w:p w14:paraId="751EF64D" w14:textId="77777777" w:rsidR="00EB2D38" w:rsidRDefault="00642F84">
      <w:pPr>
        <w:spacing w:after="0"/>
        <w:rPr>
          <w:b/>
          <w:szCs w:val="22"/>
        </w:rPr>
      </w:pPr>
      <w:r>
        <w:rPr>
          <w:b/>
          <w:szCs w:val="22"/>
        </w:rPr>
        <w:br w:type="page"/>
      </w: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r w:rsidRPr="00CE37F1">
              <w:rPr>
                <w:b/>
                <w:szCs w:val="24"/>
              </w:rPr>
              <w:lastRenderedPageBreak/>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w:t>
            </w:r>
            <w:proofErr w:type="gramStart"/>
            <w:r w:rsidR="007978EA">
              <w:rPr>
                <w:szCs w:val="24"/>
              </w:rPr>
              <w:t>Required</w:t>
            </w:r>
            <w:proofErr w:type="gramEnd"/>
            <w:r w:rsidR="007978EA">
              <w:rPr>
                <w:szCs w:val="24"/>
              </w:rPr>
              <w:t>)</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lastRenderedPageBreak/>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t>I am authorized to agree to the above certifications on behalf of the Applicant.</w:t>
      </w:r>
    </w:p>
    <w:bookmarkEnd w:id="71"/>
    <w:p w14:paraId="4CC0E47A" w14:textId="77777777" w:rsidR="000C5650" w:rsidRPr="00050087" w:rsidRDefault="000C5650" w:rsidP="00E04486">
      <w:pPr>
        <w:spacing w:after="0"/>
        <w:ind w:left="720"/>
        <w:rPr>
          <w:szCs w:val="22"/>
        </w:rPr>
      </w:pPr>
    </w:p>
    <w:p w14:paraId="4EB39E37" w14:textId="2DE5F980" w:rsidR="00D603A8" w:rsidRPr="00D603A8" w:rsidRDefault="00E353FD" w:rsidP="00B60FC7">
      <w:pPr>
        <w:numPr>
          <w:ilvl w:val="0"/>
          <w:numId w:val="7"/>
        </w:numPr>
        <w:spacing w:after="0"/>
        <w:ind w:left="1440" w:hanging="720"/>
        <w:rPr>
          <w:b/>
        </w:rPr>
      </w:pPr>
      <w:r w:rsidRPr="40E0936E">
        <w:rPr>
          <w:b/>
        </w:rPr>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w:t>
      </w:r>
      <w:proofErr w:type="gramStart"/>
      <w:r>
        <w:t>detail</w:t>
      </w:r>
      <w:proofErr w:type="gramEnd"/>
      <w:r>
        <w:t xml:space="preserve">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46D307B9" w14:textId="1F0DD589" w:rsidR="00FD0C9E" w:rsidRPr="00E91F37" w:rsidRDefault="00FD0C9E"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w:t>
      </w:r>
      <w:r w:rsidRPr="003366FA">
        <w:rPr>
          <w:szCs w:val="24"/>
        </w:rPr>
        <w:lastRenderedPageBreak/>
        <w:t xml:space="preserve">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5">
        <w:r w:rsidRPr="003366FA">
          <w:rPr>
            <w:rStyle w:val="Hyperlink"/>
            <w:szCs w:val="24"/>
          </w:rPr>
          <w:t>ECAMS Resources webpage</w:t>
        </w:r>
      </w:hyperlink>
      <w:r w:rsidRPr="003366FA">
        <w:rPr>
          <w:szCs w:val="24"/>
        </w:rPr>
        <w:t xml:space="preserve"> under </w:t>
      </w:r>
      <w:hyperlink r:id="rId66"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w:t>
      </w:r>
      <w:proofErr w:type="gramStart"/>
      <w:r w:rsidRPr="003366FA">
        <w:rPr>
          <w:szCs w:val="24"/>
        </w:rPr>
        <w:t>as long as</w:t>
      </w:r>
      <w:proofErr w:type="gramEnd"/>
      <w:r w:rsidRPr="003366FA">
        <w:rPr>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 xml:space="preserve">Expenditures may be counted as reimbursable or match </w:t>
      </w:r>
      <w:proofErr w:type="gramStart"/>
      <w:r w:rsidR="008A2A8E" w:rsidRPr="008A2A8E">
        <w:rPr>
          <w:szCs w:val="24"/>
        </w:rPr>
        <w:t>share</w:t>
      </w:r>
      <w:proofErr w:type="gramEnd"/>
      <w:r w:rsidR="008A2A8E" w:rsidRPr="008A2A8E">
        <w:rPr>
          <w:szCs w:val="24"/>
        </w:rPr>
        <w:t xml:space="preserv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w:t>
      </w:r>
      <w:proofErr w:type="gramStart"/>
      <w:r w:rsidRPr="003366FA">
        <w:rPr>
          <w:szCs w:val="24"/>
        </w:rPr>
        <w:t>Final</w:t>
      </w:r>
      <w:proofErr w:type="gramEnd"/>
      <w:r w:rsidRPr="003366FA">
        <w:rPr>
          <w:szCs w:val="24"/>
        </w:rPr>
        <w:t xml:space="preserve">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 xml:space="preserve">The purchase of equipment (defined as items with a unit cost greater than $5,000 and a useful life of </w:t>
      </w:r>
      <w:proofErr w:type="gramStart"/>
      <w:r w:rsidRPr="003366FA">
        <w:rPr>
          <w:szCs w:val="24"/>
        </w:rPr>
        <w:t>greater</w:t>
      </w:r>
      <w:proofErr w:type="gramEnd"/>
      <w:r w:rsidRPr="003366FA">
        <w:rPr>
          <w:szCs w:val="24"/>
        </w:rPr>
        <w:t xml:space="preserve"> than one year) with CEC funds will require disposition of purchased equipment at the end of the project. Typically, grant recipients may continue to utilize equipment purchased with CEC funds </w:t>
      </w:r>
      <w:proofErr w:type="gramStart"/>
      <w:r w:rsidRPr="003366FA">
        <w:rPr>
          <w:szCs w:val="24"/>
        </w:rPr>
        <w:t>as long as</w:t>
      </w:r>
      <w:proofErr w:type="gramEnd"/>
      <w:r w:rsidRPr="003366FA">
        <w:rPr>
          <w:szCs w:val="24"/>
        </w:rPr>
        <w:t xml:space="preserve"> the use is consistent with the intent of the original agreement. There </w:t>
      </w:r>
      <w:proofErr w:type="gramStart"/>
      <w:r w:rsidRPr="003366FA">
        <w:rPr>
          <w:szCs w:val="24"/>
        </w:rPr>
        <w:t>are</w:t>
      </w:r>
      <w:proofErr w:type="gramEnd"/>
      <w:r w:rsidRPr="003366FA">
        <w:rPr>
          <w:szCs w:val="24"/>
        </w:rPr>
        <w:t xml:space="preserv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t xml:space="preserve">Current policy dictates that </w:t>
      </w:r>
      <w:r w:rsidR="00752A4E" w:rsidRPr="003366FA">
        <w:rPr>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 xml:space="preserve">te control documentation must be submitted </w:t>
      </w:r>
      <w:proofErr w:type="gramStart"/>
      <w:r w:rsidR="00D14B5E">
        <w:rPr>
          <w:szCs w:val="24"/>
        </w:rPr>
        <w:t>for</w:t>
      </w:r>
      <w:proofErr w:type="gramEnd"/>
      <w:r w:rsidR="00D14B5E">
        <w:rPr>
          <w:szCs w:val="24"/>
        </w:rPr>
        <w:t xml:space="preserve">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 xml:space="preserve">Documentation may include but not be limited </w:t>
      </w:r>
      <w:proofErr w:type="gramStart"/>
      <w:r w:rsidR="002F5E2A">
        <w:rPr>
          <w:szCs w:val="24"/>
        </w:rPr>
        <w:t>to:</w:t>
      </w:r>
      <w:proofErr w:type="gramEnd"/>
      <w:r w:rsidR="002F5E2A">
        <w:rPr>
          <w:szCs w:val="24"/>
        </w:rPr>
        <w:t xml:space="preserve"> a lease, site host </w:t>
      </w:r>
      <w:r w:rsidR="002F5E2A">
        <w:rPr>
          <w:szCs w:val="24"/>
        </w:rPr>
        <w:lastRenderedPageBreak/>
        <w:t>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77777777" w:rsidR="00A50AD8" w:rsidRPr="00A50AD8" w:rsidRDefault="00A50AD8" w:rsidP="000A266D">
      <w:pPr>
        <w:keepNext/>
        <w:numPr>
          <w:ilvl w:val="0"/>
          <w:numId w:val="7"/>
        </w:numPr>
        <w:spacing w:after="0"/>
        <w:ind w:left="1440" w:hanging="720"/>
        <w:rPr>
          <w:szCs w:val="24"/>
        </w:rPr>
      </w:pPr>
      <w:r w:rsidRPr="00A50AD8">
        <w:rPr>
          <w:b/>
          <w:bCs/>
          <w:szCs w:val="24"/>
        </w:rPr>
        <w:t>Preliminary Site Plan (Attachment 5)</w:t>
      </w:r>
      <w:r w:rsidRPr="00A50AD8">
        <w:rPr>
          <w:szCs w:val="24"/>
        </w:rPr>
        <w:t> </w:t>
      </w:r>
    </w:p>
    <w:p w14:paraId="199F397C" w14:textId="6781430F"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 </w:t>
      </w:r>
    </w:p>
    <w:p w14:paraId="0C6D1534" w14:textId="77777777" w:rsidR="00A50AD8" w:rsidRPr="00A50AD8" w:rsidRDefault="00A50AD8" w:rsidP="00212A69">
      <w:pPr>
        <w:spacing w:after="0"/>
        <w:ind w:left="864"/>
        <w:rPr>
          <w:szCs w:val="24"/>
        </w:rPr>
      </w:pPr>
      <w:r w:rsidRPr="00A50AD8">
        <w:rPr>
          <w:szCs w:val="24"/>
        </w:rPr>
        <w:t> </w:t>
      </w:r>
    </w:p>
    <w:p w14:paraId="4FD3267C" w14:textId="493CC24B" w:rsidR="00A50AD8" w:rsidRPr="00A50AD8" w:rsidRDefault="00A50AD8" w:rsidP="00212A69">
      <w:pPr>
        <w:spacing w:after="0"/>
        <w:ind w:left="864" w:firstLine="576"/>
        <w:rPr>
          <w:szCs w:val="24"/>
        </w:rPr>
      </w:pPr>
      <w:r w:rsidRPr="00A50AD8">
        <w:rPr>
          <w:szCs w:val="24"/>
        </w:rPr>
        <w:t>The preliminary site plan must include the following at a minimum:</w:t>
      </w:r>
    </w:p>
    <w:p w14:paraId="72783E88" w14:textId="653C7193" w:rsidR="00A50AD8" w:rsidRPr="00D745BD" w:rsidRDefault="00A50AD8" w:rsidP="00212A69">
      <w:pPr>
        <w:pStyle w:val="ListParagraph"/>
        <w:numPr>
          <w:ilvl w:val="0"/>
          <w:numId w:val="84"/>
        </w:numPr>
        <w:spacing w:after="0"/>
        <w:rPr>
          <w:szCs w:val="24"/>
        </w:rPr>
      </w:pPr>
      <w:r w:rsidRPr="00D745BD">
        <w:rPr>
          <w:szCs w:val="24"/>
        </w:rPr>
        <w:t>Address of the EV charging station</w:t>
      </w:r>
    </w:p>
    <w:p w14:paraId="0A03DF4C" w14:textId="128BC672" w:rsidR="00A50AD8" w:rsidRPr="00D745BD" w:rsidRDefault="00A50AD8" w:rsidP="00212A69">
      <w:pPr>
        <w:pStyle w:val="ListParagraph"/>
        <w:numPr>
          <w:ilvl w:val="0"/>
          <w:numId w:val="84"/>
        </w:numPr>
        <w:spacing w:after="0"/>
        <w:rPr>
          <w:szCs w:val="24"/>
        </w:rPr>
      </w:pPr>
      <w:r w:rsidRPr="00D745BD">
        <w:rPr>
          <w:szCs w:val="24"/>
        </w:rPr>
        <w:t>Map of the charging station showing the following:</w:t>
      </w:r>
    </w:p>
    <w:p w14:paraId="519A0BB3" w14:textId="5313E769"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w:t>
      </w:r>
    </w:p>
    <w:p w14:paraId="1DBFA87F" w14:textId="714CDC47"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w:t>
      </w:r>
    </w:p>
    <w:p w14:paraId="5CAFDB23" w14:textId="5ABD4043" w:rsidR="00A50AD8" w:rsidRPr="00D745BD" w:rsidRDefault="00A50AD8" w:rsidP="00212A69">
      <w:pPr>
        <w:pStyle w:val="ListParagraph"/>
        <w:numPr>
          <w:ilvl w:val="1"/>
          <w:numId w:val="84"/>
        </w:numPr>
        <w:spacing w:after="0"/>
        <w:rPr>
          <w:szCs w:val="24"/>
        </w:rPr>
      </w:pPr>
      <w:r w:rsidRPr="00D745BD">
        <w:rPr>
          <w:szCs w:val="24"/>
        </w:rPr>
        <w:t>Location of ADA accessible ports.</w:t>
      </w:r>
    </w:p>
    <w:p w14:paraId="6176C719" w14:textId="2528CCC3" w:rsidR="00A50AD8" w:rsidRPr="00D745BD" w:rsidRDefault="00A50AD8" w:rsidP="00212A69">
      <w:pPr>
        <w:pStyle w:val="ListParagraph"/>
        <w:numPr>
          <w:ilvl w:val="1"/>
          <w:numId w:val="84"/>
        </w:numPr>
        <w:spacing w:after="0"/>
        <w:rPr>
          <w:szCs w:val="24"/>
        </w:rPr>
      </w:pPr>
      <w:r w:rsidRPr="00D745BD">
        <w:rPr>
          <w:szCs w:val="24"/>
        </w:rPr>
        <w:t>Location of lighting and shelter (if applicable).</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3B326A3A" w14:textId="39F1681E" w:rsidR="00E353FD" w:rsidRPr="006B6C19" w:rsidRDefault="00E353FD" w:rsidP="003A0DDC">
      <w:pPr>
        <w:spacing w:after="0"/>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18220D83" w14:textId="77777777" w:rsidR="001A73B9" w:rsidRPr="006B6C19" w:rsidRDefault="001A73B9" w:rsidP="003A0DDC">
      <w:pPr>
        <w:spacing w:after="0"/>
        <w:ind w:left="1440"/>
        <w:rPr>
          <w:szCs w:val="24"/>
        </w:rPr>
      </w:pPr>
    </w:p>
    <w:p w14:paraId="6D6D1748" w14:textId="66B54A5B" w:rsidR="000B5635" w:rsidRPr="00C57CCC" w:rsidRDefault="00C57CCC" w:rsidP="00494A4F">
      <w:pPr>
        <w:ind w:left="1440"/>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0D2303F2" w14:textId="77777777" w:rsidR="001A73B9" w:rsidRPr="006B6C19" w:rsidRDefault="001A73B9" w:rsidP="003A0DDC">
      <w:pPr>
        <w:spacing w:after="0"/>
        <w:ind w:left="1440"/>
        <w:rPr>
          <w:szCs w:val="24"/>
        </w:rPr>
      </w:pP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t>
      </w:r>
      <w:proofErr w:type="gramStart"/>
      <w:r w:rsidRPr="006B6C19">
        <w:rPr>
          <w:szCs w:val="24"/>
        </w:rPr>
        <w:t>would be</w:t>
      </w:r>
      <w:proofErr w:type="gramEnd"/>
      <w:r w:rsidRPr="006B6C19">
        <w:rPr>
          <w:szCs w:val="24"/>
        </w:rPr>
        <w:t xml:space="preserv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lastRenderedPageBreak/>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To comply with CEQA, 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the release date of </w:t>
      </w:r>
      <w:proofErr w:type="gramStart"/>
      <w:r>
        <w:rPr>
          <w:rFonts w:eastAsia="Arial"/>
          <w:color w:val="000000" w:themeColor="text1"/>
        </w:rPr>
        <w:t>the NOPA</w:t>
      </w:r>
      <w:proofErr w:type="gramEnd"/>
      <w:r>
        <w:rPr>
          <w:rFonts w:eastAsia="Arial"/>
          <w:color w:val="000000" w:themeColor="text1"/>
        </w:rPr>
        <w:t>.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6DAD45FF">
        <w:rPr>
          <w:rFonts w:eastAsia="Arial"/>
          <w:color w:val="000000" w:themeColor="text1"/>
          <w:szCs w:val="22"/>
        </w:rPr>
        <w:t>as a result of</w:t>
      </w:r>
      <w:proofErr w:type="gramEnd"/>
      <w:r w:rsidRPr="6DAD45FF">
        <w:rPr>
          <w:rFonts w:eastAsia="Arial"/>
          <w:color w:val="000000" w:themeColor="text1"/>
          <w:szCs w:val="22"/>
        </w:rPr>
        <w:t xml:space="preserve">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lastRenderedPageBreak/>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w:t>
      </w:r>
      <w:proofErr w:type="gramStart"/>
      <w:r w:rsidRPr="6DAD45FF">
        <w:rPr>
          <w:rFonts w:eastAsia="Arial"/>
          <w:color w:val="000000" w:themeColor="text1"/>
          <w:szCs w:val="22"/>
        </w:rPr>
        <w:t>review,</w:t>
      </w:r>
      <w:proofErr w:type="gramEnd"/>
      <w:r w:rsidRPr="6DAD45FF">
        <w:rPr>
          <w:rFonts w:eastAsia="Arial"/>
          <w:color w:val="000000" w:themeColor="text1"/>
          <w:szCs w:val="22"/>
        </w:rPr>
        <w:t xml:space="preserve">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77777777" w:rsidR="00C746B1" w:rsidRDefault="00C746B1" w:rsidP="00C746B1">
      <w:pPr>
        <w:numPr>
          <w:ilvl w:val="0"/>
          <w:numId w:val="7"/>
        </w:numPr>
        <w:spacing w:after="0"/>
        <w:ind w:left="1440" w:hanging="720"/>
        <w:rPr>
          <w:b/>
          <w:bCs/>
          <w:szCs w:val="24"/>
        </w:rPr>
      </w:pPr>
      <w:r w:rsidRPr="0038136A">
        <w:rPr>
          <w:b/>
          <w:bCs/>
          <w:szCs w:val="24"/>
        </w:rPr>
        <w:t xml:space="preserve">National Environmental Policy Act </w:t>
      </w:r>
      <w:r>
        <w:rPr>
          <w:b/>
          <w:bCs/>
          <w:szCs w:val="24"/>
        </w:rPr>
        <w:t xml:space="preserve">(NEPA) </w:t>
      </w:r>
      <w:r w:rsidRPr="0038136A">
        <w:rPr>
          <w:b/>
          <w:bCs/>
          <w:szCs w:val="24"/>
        </w:rPr>
        <w:t>Preliminary Environmental Study</w:t>
      </w:r>
      <w:r>
        <w:rPr>
          <w:b/>
          <w:bCs/>
          <w:szCs w:val="24"/>
        </w:rPr>
        <w:t xml:space="preserve"> (PES) </w:t>
      </w:r>
      <w:r w:rsidRPr="0038136A">
        <w:rPr>
          <w:b/>
          <w:bCs/>
          <w:szCs w:val="24"/>
        </w:rPr>
        <w:t>Form</w:t>
      </w:r>
      <w:r>
        <w:rPr>
          <w:b/>
          <w:bCs/>
          <w:szCs w:val="24"/>
        </w:rPr>
        <w:t xml:space="preserve"> </w:t>
      </w:r>
      <w:r w:rsidRPr="0038136A">
        <w:rPr>
          <w:b/>
          <w:bCs/>
          <w:szCs w:val="24"/>
        </w:rPr>
        <w:t xml:space="preserve">(Attachment </w:t>
      </w:r>
      <w:r>
        <w:rPr>
          <w:b/>
          <w:bCs/>
          <w:szCs w:val="24"/>
        </w:rPr>
        <w:t>7</w:t>
      </w:r>
      <w:r w:rsidRPr="0038136A">
        <w:rPr>
          <w:b/>
          <w:bCs/>
          <w:szCs w:val="24"/>
        </w:rPr>
        <w:t>)</w:t>
      </w:r>
    </w:p>
    <w:p w14:paraId="516C4EE6" w14:textId="3F1B1F16" w:rsidR="005E2EF4" w:rsidRPr="009316D9" w:rsidRDefault="7B872A6B" w:rsidP="005E2EF4">
      <w:pPr>
        <w:ind w:left="1440"/>
        <w:rPr>
          <w:b/>
          <w:bCs/>
          <w:u w:val="single"/>
        </w:rPr>
      </w:pPr>
      <w:r>
        <w:t xml:space="preserve">Applicants must </w:t>
      </w:r>
      <w:r w:rsidR="168993FB" w:rsidRPr="008D7E9E">
        <w:rPr>
          <w:b/>
          <w:bCs/>
          <w:u w:val="single"/>
        </w:rPr>
        <w:t>fully</w:t>
      </w:r>
      <w:r w:rsidR="168993FB">
        <w:t xml:space="preserve"> </w:t>
      </w:r>
      <w:r>
        <w:t xml:space="preserve">complete to the best of their ability the </w:t>
      </w:r>
      <w:r w:rsidR="14B03B6C">
        <w:t>[</w:t>
      </w:r>
      <w:r w:rsidRPr="008D7E9E">
        <w:rPr>
          <w:strike/>
        </w:rPr>
        <w:t>NEPA PES form</w:t>
      </w:r>
      <w:r w:rsidR="1F02D61A">
        <w:t xml:space="preserve">] </w:t>
      </w:r>
      <w:hyperlink r:id="rId67" w:history="1">
        <w:r w:rsidR="1F02D61A" w:rsidRPr="008D7E9E">
          <w:rPr>
            <w:rStyle w:val="Hyperlink"/>
            <w:b/>
            <w:bCs/>
          </w:rPr>
          <w:t>Pilot National Environmental Policy Act (NEPA) Preliminary Environmental Study (PES) Form</w:t>
        </w:r>
      </w:hyperlink>
      <w:r w:rsidR="1F02D61A" w:rsidRPr="008D7E9E">
        <w:rPr>
          <w:u w:val="single"/>
        </w:rPr>
        <w:t xml:space="preserve"> </w:t>
      </w:r>
      <w:r w:rsidR="1F02D61A" w:rsidRPr="008D7E9E">
        <w:rPr>
          <w:b/>
          <w:bCs/>
          <w:u w:val="single"/>
        </w:rPr>
        <w:t xml:space="preserve">found at </w:t>
      </w:r>
      <w:r w:rsidR="1F02D61A" w:rsidRPr="008D7E9E">
        <w:rPr>
          <w:b/>
          <w:bCs/>
        </w:rPr>
        <w:t>https://dot.ca.gov/-/media/dot-media/programs/local-assistance/documents/lapm/c06/lapm6a.pdf</w:t>
      </w:r>
      <w:r>
        <w:t>.</w:t>
      </w:r>
      <w:r w:rsidR="38C6F802">
        <w:t xml:space="preserve"> This form will help Applicants, the CEC, and Caltrans determine NEPA compliance obligations</w:t>
      </w:r>
      <w:r w:rsidR="3BD992A7">
        <w:t xml:space="preserve"> </w:t>
      </w:r>
      <w:r w:rsidR="3BD992A7" w:rsidRPr="0D4D7297">
        <w:rPr>
          <w:rFonts w:eastAsia="Arial"/>
        </w:rPr>
        <w:t>by identifying which projects may require additional environmental study (e.g., biological or cultural) to finalize NEPA compliance</w:t>
      </w:r>
      <w:r w:rsidR="38C6F802">
        <w:t>.</w:t>
      </w:r>
      <w:r w:rsidR="027C1C9D">
        <w:t xml:space="preserve"> </w:t>
      </w:r>
      <w:r w:rsidR="78B17F35" w:rsidRPr="0D4D7297">
        <w:rPr>
          <w:b/>
          <w:bCs/>
          <w:u w:val="single"/>
        </w:rPr>
        <w:t xml:space="preserve">Please note: You may get a “please wait” message when trying to open this form in some web browsers. Ignore that message and proceed to </w:t>
      </w:r>
      <w:proofErr w:type="gramStart"/>
      <w:r w:rsidR="78B17F35" w:rsidRPr="0D4D7297">
        <w:rPr>
          <w:b/>
          <w:bCs/>
          <w:u w:val="single"/>
        </w:rPr>
        <w:t>downloading</w:t>
      </w:r>
      <w:proofErr w:type="gramEnd"/>
      <w:r w:rsidR="78B17F35" w:rsidRPr="0D4D7297">
        <w:rPr>
          <w:b/>
          <w:bCs/>
          <w:u w:val="single"/>
        </w:rPr>
        <w:t xml:space="preserve"> the file by clicking on the download icon.</w:t>
      </w:r>
    </w:p>
    <w:p w14:paraId="57858247" w14:textId="018D291E" w:rsidR="00C746B1" w:rsidRPr="008B3649" w:rsidRDefault="00C746B1" w:rsidP="00494A4F">
      <w:pPr>
        <w:pStyle w:val="ListParagraph"/>
        <w:spacing w:before="0" w:after="120"/>
        <w:ind w:left="1440"/>
        <w:rPr>
          <w:szCs w:val="24"/>
        </w:rPr>
      </w:pPr>
      <w:r w:rsidRPr="000A41A6">
        <w:rPr>
          <w:szCs w:val="24"/>
        </w:rPr>
        <w:lastRenderedPageBreak/>
        <w:t>If awarded under this solicitation, Applicants will have the opportunity to review and update this form before official submission to Caltrans for NEPA review.</w:t>
      </w:r>
    </w:p>
    <w:p w14:paraId="35F7544D" w14:textId="0CC6346D" w:rsidR="00C746B1" w:rsidRPr="008B3649" w:rsidRDefault="7B872A6B" w:rsidP="00494A4F">
      <w:pPr>
        <w:pStyle w:val="ListParagraph"/>
        <w:spacing w:before="0" w:after="120"/>
        <w:ind w:left="1440"/>
      </w:pPr>
      <w:r w:rsidRPr="0D4D7297">
        <w:t xml:space="preserve">Applicants should review </w:t>
      </w:r>
      <w:hyperlink r:id="rId68" w:history="1">
        <w:r w:rsidRPr="0D4D7297">
          <w:rPr>
            <w:rStyle w:val="Hyperlink"/>
          </w:rPr>
          <w:t>Exhibit 6-B: Instructions for Completing the Preliminary Environmental Study (PES) Form</w:t>
        </w:r>
      </w:hyperlink>
      <w:r w:rsidRPr="0D4D7297">
        <w:t xml:space="preserve"> found at https://dot.ca.gov/-/media/dot-media/programs/local-assistance/documents/lapm/c06/06b.pdf</w:t>
      </w:r>
      <w:r w:rsidR="44ED736A" w:rsidRPr="008D7E9E">
        <w:rPr>
          <w:b/>
          <w:bCs/>
          <w:u w:val="single"/>
        </w:rPr>
        <w:t>.</w:t>
      </w:r>
      <w:r w:rsidRPr="0D4D7297">
        <w:t xml:space="preserve"> </w:t>
      </w:r>
      <w:r w:rsidR="11D644B5" w:rsidRPr="0D4D7297">
        <w:t>[</w:t>
      </w:r>
      <w:r w:rsidRPr="008D7E9E">
        <w:rPr>
          <w:strike/>
        </w:rPr>
        <w:t>to complete the designated sections.</w:t>
      </w:r>
      <w:r w:rsidR="50F9EBA3" w:rsidRPr="0D4D7297">
        <w:t>]</w:t>
      </w:r>
      <w:r w:rsidR="584CD7B2">
        <w:t xml:space="preserve"> </w:t>
      </w:r>
      <w:r w:rsidR="584CD7B2" w:rsidRPr="008D7E9E">
        <w:rPr>
          <w:b/>
          <w:bCs/>
          <w:u w:val="single"/>
        </w:rPr>
        <w:t xml:space="preserve">Applicants may also review the </w:t>
      </w:r>
      <w:hyperlink r:id="rId69" w:history="1">
        <w:r w:rsidR="05C4F75B" w:rsidRPr="008D7E9E">
          <w:rPr>
            <w:rStyle w:val="Hyperlink"/>
            <w:b/>
            <w:bCs/>
          </w:rPr>
          <w:t xml:space="preserve">Example Pilot </w:t>
        </w:r>
        <w:r w:rsidR="05C4F75B" w:rsidRPr="0D4D7297">
          <w:rPr>
            <w:rStyle w:val="Hyperlink"/>
            <w:b/>
            <w:bCs/>
          </w:rPr>
          <w:t xml:space="preserve">NEPA </w:t>
        </w:r>
        <w:r w:rsidR="05C4F75B" w:rsidRPr="008D7E9E">
          <w:rPr>
            <w:rStyle w:val="Hyperlink"/>
            <w:b/>
            <w:bCs/>
          </w:rPr>
          <w:t>PES Form</w:t>
        </w:r>
      </w:hyperlink>
      <w:r w:rsidR="584CD7B2" w:rsidRPr="008D7E9E">
        <w:rPr>
          <w:b/>
          <w:bCs/>
          <w:u w:val="single"/>
        </w:rPr>
        <w:t xml:space="preserve"> found at </w:t>
      </w:r>
      <w:r w:rsidR="034EF6F4" w:rsidRPr="008D7E9E">
        <w:rPr>
          <w:b/>
          <w:bCs/>
        </w:rPr>
        <w:t>https://dot.ca.gov/-/media/dot-media/programs/local-assistance/documents/env/lapm6a-example.pdf</w:t>
      </w:r>
      <w:r w:rsidR="584CD7B2" w:rsidRPr="008D7E9E">
        <w:rPr>
          <w:b/>
          <w:bCs/>
          <w:u w:val="single"/>
        </w:rPr>
        <w:t xml:space="preserve"> for an example of a fully completed form.</w:t>
      </w:r>
    </w:p>
    <w:p w14:paraId="09714E5A" w14:textId="21678EB7" w:rsidR="00A53190" w:rsidRPr="00BA2530" w:rsidRDefault="005010C7" w:rsidP="00494A4F">
      <w:pPr>
        <w:pStyle w:val="ListParagraph"/>
        <w:spacing w:before="0" w:after="120"/>
        <w:ind w:left="1440"/>
        <w:rPr>
          <w:szCs w:val="24"/>
        </w:rPr>
      </w:pPr>
      <w:r>
        <w:rPr>
          <w:szCs w:val="24"/>
        </w:rPr>
        <w:t>[</w:t>
      </w:r>
      <w:r w:rsidR="00C746B1" w:rsidRPr="008D7E9E">
        <w:rPr>
          <w:strike/>
          <w:szCs w:val="24"/>
        </w:rPr>
        <w:t>Applicants can ignore and leave blank the top of the first page that asks for the federal project number, “to” and “from” information, and FSTIP information. Begin completing the form at the “Detailed Project Description” section a little over halfway down the first page.</w:t>
      </w:r>
      <w:r w:rsidRPr="005010C7">
        <w:rPr>
          <w:szCs w:val="24"/>
        </w:rPr>
        <w:t>]</w:t>
      </w:r>
    </w:p>
    <w:p w14:paraId="40296D99" w14:textId="77777777" w:rsidR="003725BC" w:rsidRDefault="00483AA9" w:rsidP="00BA2530">
      <w:pPr>
        <w:ind w:left="1440"/>
        <w:rPr>
          <w:szCs w:val="24"/>
        </w:rPr>
      </w:pPr>
      <w:r>
        <w:rPr>
          <w:szCs w:val="24"/>
        </w:rPr>
        <w:t>[</w:t>
      </w:r>
      <w:r w:rsidR="00C746B1" w:rsidRPr="008D7E9E">
        <w:rPr>
          <w:strike/>
          <w:szCs w:val="24"/>
        </w:rPr>
        <w:t>Applicants should prepare the required attachments listed on page 2 of the NEPA PES form.</w:t>
      </w:r>
      <w:r>
        <w:rPr>
          <w:szCs w:val="24"/>
        </w:rPr>
        <w:t>]</w:t>
      </w:r>
    </w:p>
    <w:p w14:paraId="2AB0C534" w14:textId="59452AA8" w:rsidR="007B0BD3" w:rsidRDefault="007B0BD3" w:rsidP="00BA2530">
      <w:pPr>
        <w:ind w:left="1440"/>
        <w:rPr>
          <w:szCs w:val="24"/>
        </w:rPr>
      </w:pPr>
      <w:r w:rsidRPr="008D7E9E">
        <w:rPr>
          <w:b/>
          <w:bCs/>
          <w:szCs w:val="24"/>
          <w:u w:val="single"/>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p>
    <w:p w14:paraId="019E65D4" w14:textId="15CFF3B6" w:rsidR="0077216A" w:rsidRDefault="00772969" w:rsidP="00BA2530">
      <w:pPr>
        <w:ind w:left="1440"/>
      </w:pPr>
      <w:r w:rsidRPr="008D7E9E">
        <w:rPr>
          <w:b/>
          <w:u w:val="single"/>
        </w:rPr>
        <w:t>Applicants should prepare the required attachments listed in Section 5 of the</w:t>
      </w:r>
      <w:r w:rsidRPr="69DCD27D">
        <w:rPr>
          <w:b/>
          <w:u w:val="single"/>
        </w:rPr>
        <w:t xml:space="preserve"> </w:t>
      </w:r>
      <w:r w:rsidR="208D2632" w:rsidRPr="69DCD27D">
        <w:rPr>
          <w:b/>
          <w:bCs/>
          <w:u w:val="single"/>
        </w:rPr>
        <w:t>Pilot</w:t>
      </w:r>
      <w:r w:rsidRPr="008D7E9E">
        <w:rPr>
          <w:b/>
          <w:bCs/>
          <w:u w:val="single"/>
        </w:rPr>
        <w:t xml:space="preserve"> </w:t>
      </w:r>
      <w:r w:rsidRPr="008D7E9E">
        <w:rPr>
          <w:b/>
          <w:u w:val="single"/>
        </w:rPr>
        <w:t>NEPA PES form.</w:t>
      </w:r>
      <w:r w:rsidRPr="008D7E9E">
        <w:rPr>
          <w:b/>
        </w:rPr>
        <w:t xml:space="preserve"> </w:t>
      </w:r>
      <w:proofErr w:type="gramStart"/>
      <w:r w:rsidR="00C746B1">
        <w:t>In particular, two</w:t>
      </w:r>
      <w:proofErr w:type="gramEnd"/>
      <w:r w:rsidR="00C746B1">
        <w:t xml:space="preserve"> attachments will be used to help evaluate the Project Readiness evaluation criteria in this solicitation (see Section IV.E.</w:t>
      </w:r>
      <w:r w:rsidR="00FA721A">
        <w:t>2</w:t>
      </w:r>
      <w:r w:rsidR="00C746B1">
        <w:t>):</w:t>
      </w:r>
    </w:p>
    <w:p w14:paraId="3C5A5D8D" w14:textId="0E07A1FD" w:rsidR="00010574" w:rsidRPr="00A45650" w:rsidRDefault="00010574" w:rsidP="00AE79C5">
      <w:pPr>
        <w:pStyle w:val="ListParagraph"/>
        <w:numPr>
          <w:ilvl w:val="0"/>
          <w:numId w:val="56"/>
        </w:numPr>
        <w:spacing w:before="0" w:after="120"/>
        <w:ind w:hanging="720"/>
      </w:pPr>
      <w:proofErr w:type="spellStart"/>
      <w:r w:rsidRPr="4893B2DB">
        <w:rPr>
          <w:b/>
        </w:rPr>
        <w:t>GeoTracker</w:t>
      </w:r>
      <w:proofErr w:type="spellEnd"/>
      <w:r w:rsidRPr="4893B2DB">
        <w:rPr>
          <w:b/>
        </w:rPr>
        <w:t xml:space="preserve"> Printout for Hazardous Materials</w:t>
      </w:r>
      <w:r>
        <w:t xml:space="preserve">. For this attachment, use the </w:t>
      </w:r>
      <w:hyperlink r:id="rId70">
        <w:r w:rsidR="3D221D0F" w:rsidRPr="4893B2DB">
          <w:rPr>
            <w:rStyle w:val="Hyperlink"/>
          </w:rPr>
          <w:t>State Water Resources Control Board Geo Tracker</w:t>
        </w:r>
      </w:hyperlink>
      <w:r>
        <w:t xml:space="preserve"> found at https://geotracker.waterboards.ca.gov/ to determine if any of the proposed EV charging station addresses are located within a </w:t>
      </w:r>
      <w:r w:rsidR="3D221D0F">
        <w:t>1</w:t>
      </w:r>
      <w:r w:rsidR="7A05DD19">
        <w:t>,</w:t>
      </w:r>
      <w:r w:rsidR="3D221D0F">
        <w:t>000</w:t>
      </w:r>
      <w:r w:rsidR="67DC65ED">
        <w:t>-foot</w:t>
      </w:r>
      <w: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8D3947" w:rsidR="00010574" w:rsidRPr="00D16039" w:rsidRDefault="00010574" w:rsidP="00AE79C5">
      <w:pPr>
        <w:pStyle w:val="ListParagraph"/>
        <w:numPr>
          <w:ilvl w:val="0"/>
          <w:numId w:val="57"/>
        </w:numPr>
        <w:spacing w:before="0" w:after="120"/>
        <w:ind w:left="2880" w:hanging="720"/>
      </w:pPr>
      <w:r>
        <w:lastRenderedPageBreak/>
        <w:t xml:space="preserve">The first screenshot </w:t>
      </w:r>
      <w:proofErr w:type="gramStart"/>
      <w:r>
        <w:t>showing</w:t>
      </w:r>
      <w:proofErr w:type="gramEnd"/>
      <w:r>
        <w:t xml:space="preserve"> the address of the site with the </w:t>
      </w:r>
      <w:r w:rsidR="3D221D0F">
        <w:t>1</w:t>
      </w:r>
      <w:r w:rsidR="3DC2AB71">
        <w:t>,</w:t>
      </w:r>
      <w:r w:rsidR="3D221D0F">
        <w:t>000</w:t>
      </w:r>
      <w:r>
        <w:t xml:space="preserve">-foot radius. After searching for the site address, the site will load with a box showing the address of the site and an option to create a radius. Enter </w:t>
      </w:r>
      <w:r w:rsidR="3D221D0F">
        <w:t>1</w:t>
      </w:r>
      <w:r w:rsidR="2F7AC5E9">
        <w:t>,</w:t>
      </w:r>
      <w:r w:rsidR="3D221D0F">
        <w:t>000</w:t>
      </w:r>
      <w:r>
        <w:t xml:space="preserve">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2F7C6210" w14:textId="77777777"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71"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Default="00010574" w:rsidP="00010574">
      <w:pPr>
        <w:pStyle w:val="ListParagraph"/>
        <w:spacing w:after="120"/>
        <w:ind w:left="2160"/>
        <w:rPr>
          <w:szCs w:val="24"/>
        </w:rPr>
      </w:pPr>
      <w:r w:rsidRPr="007C0B4B">
        <w:rPr>
          <w:szCs w:val="24"/>
        </w:rPr>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B552DB">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regardless of 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xml:space="preserve">. Applicants may need assistance from the utility company serving the area where the proposed charging station is located to complete the form. If this is required, Applicants should contact the utility </w:t>
      </w:r>
      <w:r w:rsidRPr="006B6C19">
        <w:rPr>
          <w:bCs/>
          <w:szCs w:val="24"/>
        </w:rPr>
        <w:lastRenderedPageBreak/>
        <w:t>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0A266D">
      <w:pPr>
        <w:keepNext/>
        <w:numPr>
          <w:ilvl w:val="0"/>
          <w:numId w:val="7"/>
        </w:numPr>
        <w:spacing w:after="0"/>
        <w:ind w:left="1440" w:hanging="720"/>
        <w:rPr>
          <w:szCs w:val="24"/>
        </w:rPr>
      </w:pPr>
      <w:r w:rsidRPr="006B6C19">
        <w:rPr>
          <w:b/>
          <w:bCs/>
          <w:szCs w:val="24"/>
        </w:rPr>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w:t>
      </w:r>
      <w:proofErr w:type="gramStart"/>
      <w:r w:rsidRPr="006B6C19">
        <w:rPr>
          <w:szCs w:val="24"/>
        </w:rPr>
        <w:t>to:</w:t>
      </w:r>
      <w:proofErr w:type="gramEnd"/>
      <w:r w:rsidRPr="006B6C19">
        <w:rPr>
          <w:szCs w:val="24"/>
        </w:rPr>
        <w:t xml:space="preserve">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 xml:space="preserve">and any other relevant organizations. Letters are limited to </w:t>
      </w:r>
      <w:proofErr w:type="gramStart"/>
      <w:r w:rsidRPr="006B6C19">
        <w:rPr>
          <w:szCs w:val="24"/>
        </w:rPr>
        <w:t>two-pages</w:t>
      </w:r>
      <w:proofErr w:type="gramEnd"/>
      <w:r w:rsidRPr="006B6C19">
        <w:rPr>
          <w:szCs w:val="24"/>
        </w:rPr>
        <w:t xml:space="preserve">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lastRenderedPageBreak/>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0B09F565" w14:textId="77777777" w:rsidR="00F955ED" w:rsidRPr="006B6C19" w:rsidRDefault="00F955ED" w:rsidP="006125D8">
      <w:pPr>
        <w:spacing w:after="0"/>
        <w:ind w:left="1440"/>
        <w:rPr>
          <w:szCs w:val="24"/>
        </w:rPr>
      </w:pPr>
    </w:p>
    <w:p w14:paraId="5DB7E436" w14:textId="77777777" w:rsidR="007C1C5D" w:rsidRDefault="007C1C5D" w:rsidP="007C1C5D">
      <w:pPr>
        <w:pStyle w:val="ListParagraph"/>
        <w:spacing w:after="0"/>
        <w:ind w:left="806"/>
        <w:rPr>
          <w:b/>
          <w:bCs/>
          <w:szCs w:val="24"/>
        </w:rPr>
      </w:pPr>
    </w:p>
    <w:p w14:paraId="12474D38" w14:textId="19A09C03" w:rsidR="00A20A35" w:rsidRPr="00A20A35" w:rsidRDefault="00A20A35" w:rsidP="00D568A8">
      <w:pPr>
        <w:spacing w:after="0"/>
        <w:rPr>
          <w:szCs w:val="24"/>
        </w:rPr>
      </w:pPr>
    </w:p>
    <w:p w14:paraId="41278023" w14:textId="5CAC1E7C" w:rsidR="006F4BED" w:rsidRDefault="006F4BED">
      <w:pPr>
        <w:spacing w:after="0"/>
        <w:rPr>
          <w:b/>
          <w:kern w:val="28"/>
          <w:sz w:val="32"/>
          <w:szCs w:val="24"/>
        </w:rPr>
      </w:pPr>
      <w:r>
        <w:rPr>
          <w:szCs w:val="24"/>
        </w:rPr>
        <w:br w:type="page"/>
      </w:r>
    </w:p>
    <w:p w14:paraId="7177D4E0" w14:textId="4E7D20C9" w:rsidR="00D74E10" w:rsidRPr="00050087" w:rsidRDefault="006C6191" w:rsidP="000709AE">
      <w:pPr>
        <w:pStyle w:val="Heading1"/>
        <w:keepNext w:val="0"/>
        <w:keepLines w:val="0"/>
        <w:spacing w:before="0" w:after="0"/>
      </w:pPr>
      <w:bookmarkStart w:id="74" w:name="_Toc213338640"/>
      <w:r w:rsidRPr="00050087">
        <w:lastRenderedPageBreak/>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13338641"/>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and on any other information available 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lastRenderedPageBreak/>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4B7EA5A6" w:rsidR="00A031A0" w:rsidRPr="00A031A0" w:rsidRDefault="00583DAC" w:rsidP="00A031A0">
            <w:pPr>
              <w:numPr>
                <w:ilvl w:val="0"/>
                <w:numId w:val="33"/>
              </w:numPr>
              <w:spacing w:after="0"/>
              <w:ind w:hanging="660"/>
            </w:pPr>
            <w:r>
              <w:t>The project meets the match share requirement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w:t>
      </w:r>
      <w:proofErr w:type="gramStart"/>
      <w:r w:rsidRPr="00E91F37">
        <w:rPr>
          <w:szCs w:val="24"/>
        </w:rPr>
        <w:t>an</w:t>
      </w:r>
      <w:proofErr w:type="gramEnd"/>
      <w:r w:rsidRPr="00E91F37">
        <w:rPr>
          <w:szCs w:val="24"/>
        </w:rPr>
        <w:t xml:space="preserve">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w:t>
      </w:r>
      <w:proofErr w:type="gramStart"/>
      <w:r w:rsidRPr="00E91F37">
        <w:rPr>
          <w:iCs/>
          <w:szCs w:val="24"/>
        </w:rPr>
        <w:t>to:</w:t>
      </w:r>
      <w:proofErr w:type="gramEnd"/>
      <w:r w:rsidRPr="00E91F37">
        <w:rPr>
          <w:iCs/>
          <w:szCs w:val="24"/>
        </w:rPr>
        <w:t xml:space="preserve">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w:t>
      </w:r>
      <w:r w:rsidR="00C31B4A" w:rsidRPr="00E91F37">
        <w:rPr>
          <w:iCs/>
          <w:szCs w:val="24"/>
        </w:rPr>
        <w:lastRenderedPageBreak/>
        <w:t>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t xml:space="preserve">Grounds to Reject an </w:t>
      </w:r>
      <w:proofErr w:type="gramStart"/>
      <w:r w:rsidR="001661BE" w:rsidRPr="00E91F37">
        <w:rPr>
          <w:b/>
          <w:szCs w:val="24"/>
        </w:rPr>
        <w:t>Application</w:t>
      </w:r>
      <w:proofErr w:type="gramEnd"/>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does not comply or contains caveats that conflict with the solicitation and the variation or deviation is </w:t>
      </w:r>
      <w:proofErr w:type="gramStart"/>
      <w:r w:rsidR="00347954" w:rsidRPr="00E91F37">
        <w:rPr>
          <w:szCs w:val="24"/>
        </w:rPr>
        <w:t>material</w:t>
      </w:r>
      <w:proofErr w:type="gramEnd"/>
      <w:r w:rsidR="00347954" w:rsidRPr="00E91F37">
        <w:rPr>
          <w:szCs w:val="24"/>
        </w:rPr>
        <w:t xml:space="preserve">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 xml:space="preserve">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w:t>
      </w:r>
      <w:proofErr w:type="gramStart"/>
      <w:r w:rsidRPr="60D49439">
        <w:rPr>
          <w:szCs w:val="24"/>
        </w:rPr>
        <w:t>answering</w:t>
      </w:r>
      <w:proofErr w:type="gramEnd"/>
      <w:r w:rsidRPr="60D49439">
        <w:rPr>
          <w:szCs w:val="24"/>
        </w:rPr>
        <w:t xml:space="preserve">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 xml:space="preserve">Technical </w:t>
      </w:r>
      <w:r w:rsidR="002E1771">
        <w:rPr>
          <w:szCs w:val="24"/>
        </w:rPr>
        <w:lastRenderedPageBreak/>
        <w:t>Evaluation Criterion 4,</w:t>
      </w:r>
      <w:r w:rsidR="00641794">
        <w:rPr>
          <w:szCs w:val="24"/>
        </w:rPr>
        <w:t xml:space="preserve"> </w:t>
      </w:r>
      <w:r w:rsidR="00FB6EDA">
        <w:rPr>
          <w:szCs w:val="24"/>
        </w:rPr>
        <w:t>Project Budget and Finances</w:t>
      </w:r>
      <w:r w:rsidR="002E1771">
        <w:rPr>
          <w:szCs w:val="24"/>
        </w:rPr>
        <w:t xml:space="preserve">, to </w:t>
      </w:r>
      <w:proofErr w:type="gramStart"/>
      <w:r w:rsidR="002E1771">
        <w:rPr>
          <w:szCs w:val="24"/>
        </w:rPr>
        <w:t>advance to</w:t>
      </w:r>
      <w:proofErr w:type="gramEnd"/>
      <w:r w:rsidR="002E1771">
        <w:rPr>
          <w:szCs w:val="24"/>
        </w:rPr>
        <w:t xml:space="preserve">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ation Criterion 2 and 4 individually) as described in previous sections will advance to Cost Evaluation.</w:t>
      </w:r>
      <w:r w:rsidRPr="00212A69">
        <w:t xml:space="preserve"> Advancement to Cost Evaluation signifies that the project meets the minimum threshold for 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13338642"/>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13338643"/>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w:t>
      </w:r>
      <w:r w:rsidR="00E13922" w:rsidRPr="00E91F37">
        <w:rPr>
          <w:szCs w:val="24"/>
        </w:rPr>
        <w:lastRenderedPageBreak/>
        <w:t xml:space="preserve">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13338644"/>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0A266D">
            <w:pPr>
              <w:keepNext/>
              <w:spacing w:after="0"/>
              <w:jc w:val="center"/>
              <w:rPr>
                <w:b/>
                <w:szCs w:val="24"/>
              </w:rPr>
            </w:pPr>
            <w:r w:rsidRPr="0010599B">
              <w:rPr>
                <w:b/>
                <w:szCs w:val="24"/>
              </w:rPr>
              <w:t>% of Possible Points</w:t>
            </w:r>
          </w:p>
        </w:tc>
        <w:tc>
          <w:tcPr>
            <w:tcW w:w="1980" w:type="dxa"/>
            <w:shd w:val="clear" w:color="auto" w:fill="D9D9D9" w:themeFill="background1" w:themeFillShade="D9"/>
          </w:tcPr>
          <w:p w14:paraId="06184610" w14:textId="77777777" w:rsidR="009E79ED" w:rsidRPr="0010599B" w:rsidRDefault="009E79ED" w:rsidP="000A266D">
            <w:pPr>
              <w:keepNext/>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0A266D">
            <w:pPr>
              <w:keepNext/>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proofErr w:type="gramStart"/>
            <w:r w:rsidR="00D11F0F" w:rsidRPr="60D49439">
              <w:rPr>
                <w:szCs w:val="24"/>
              </w:rPr>
              <w:t>Applicant</w:t>
            </w:r>
            <w:r w:rsidRPr="60D49439">
              <w:rPr>
                <w:szCs w:val="24"/>
              </w:rPr>
              <w:t xml:space="preserve"> offers</w:t>
            </w:r>
            <w:proofErr w:type="gramEnd"/>
            <w:r w:rsidRPr="60D49439">
              <w:rPr>
                <w:szCs w:val="24"/>
              </w:rPr>
              <w:t xml:space="preserve">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lastRenderedPageBreak/>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 xml:space="preserve">pplicant’s response or proposed solution. </w:t>
            </w:r>
            <w:proofErr w:type="gramStart"/>
            <w:r w:rsidRPr="00E91F37">
              <w:rPr>
                <w:szCs w:val="24"/>
              </w:rPr>
              <w:t>Applicant offers</w:t>
            </w:r>
            <w:proofErr w:type="gramEnd"/>
            <w:r w:rsidRPr="00E91F37">
              <w:rPr>
                <w:szCs w:val="24"/>
              </w:rPr>
              <w:t xml:space="preserve">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E04486">
            <w:pPr>
              <w:spacing w:after="0"/>
              <w:jc w:val="center"/>
              <w:rPr>
                <w:szCs w:val="24"/>
              </w:rPr>
            </w:pPr>
            <w:r w:rsidRPr="00E91F37">
              <w:rPr>
                <w:szCs w:val="24"/>
              </w:rPr>
              <w:t>100%</w:t>
            </w:r>
          </w:p>
        </w:tc>
        <w:tc>
          <w:tcPr>
            <w:tcW w:w="1980" w:type="dxa"/>
          </w:tcPr>
          <w:p w14:paraId="6BF6A99D" w14:textId="77777777" w:rsidR="009E79ED" w:rsidRPr="00E91F37" w:rsidRDefault="009E79ED" w:rsidP="00E04486">
            <w:pPr>
              <w:spacing w:after="0"/>
              <w:jc w:val="center"/>
              <w:rPr>
                <w:szCs w:val="24"/>
              </w:rPr>
            </w:pPr>
            <w:r w:rsidRPr="00E91F37">
              <w:rPr>
                <w:szCs w:val="24"/>
              </w:rPr>
              <w:t>Exceptional</w:t>
            </w:r>
          </w:p>
        </w:tc>
        <w:tc>
          <w:tcPr>
            <w:tcW w:w="5850" w:type="dxa"/>
          </w:tcPr>
          <w:p w14:paraId="70D5D801" w14:textId="77777777" w:rsidR="009E79ED" w:rsidRPr="00E91F37" w:rsidRDefault="009E79ED" w:rsidP="00E04486">
            <w:pPr>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’s response or proposed solution. The response exceeds the requirements in providing multiple enhancing features, a creative approach, or an exceptional solution.</w:t>
            </w:r>
          </w:p>
        </w:tc>
      </w:tr>
      <w:bookmarkEnd w:id="86"/>
    </w:tbl>
    <w:p w14:paraId="1CD37DF6" w14:textId="55D28CE4" w:rsidR="007D60E9" w:rsidRPr="00050087" w:rsidRDefault="007D60E9"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13338645"/>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2"/>
          <w:headerReference w:type="default" r:id="rId73"/>
          <w:footerReference w:type="default" r:id="rId74"/>
          <w:headerReference w:type="first" r:id="rId75"/>
          <w:footerReference w:type="first" r:id="rId76"/>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proofErr w:type="gramStart"/>
            <w:r w:rsidRPr="78720A74">
              <w:rPr>
                <w:rFonts w:ascii="Arial" w:eastAsia="Arial" w:hAnsi="Arial" w:cs="Arial"/>
                <w:b/>
                <w:bCs/>
              </w:rPr>
              <w:t>EV Charging</w:t>
            </w:r>
            <w:proofErr w:type="gramEnd"/>
            <w:r w:rsidRPr="78720A74">
              <w:rPr>
                <w:rFonts w:ascii="Arial" w:eastAsia="Arial" w:hAnsi="Arial" w:cs="Arial"/>
                <w:b/>
                <w:bCs/>
              </w:rPr>
              <w:t xml:space="preserve">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w:t>
            </w:r>
            <w:r w:rsidRPr="78720A74">
              <w:rPr>
                <w:rFonts w:ascii="Arial" w:eastAsia="Arial" w:hAnsi="Arial" w:cs="Arial"/>
              </w:rPr>
              <w:lastRenderedPageBreak/>
              <w:t>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w:t>
            </w:r>
            <w:proofErr w:type="gramStart"/>
            <w:r>
              <w:rPr>
                <w:rFonts w:ascii="Arial" w:eastAsia="Arial" w:hAnsi="Arial" w:cs="Arial"/>
              </w:rPr>
              <w:t>is</w:t>
            </w:r>
            <w:proofErr w:type="gramEnd"/>
            <w:r>
              <w:rPr>
                <w:rFonts w:ascii="Arial" w:eastAsia="Arial" w:hAnsi="Arial" w:cs="Arial"/>
              </w:rPr>
              <w:t xml:space="preserve">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w:t>
            </w:r>
            <w:proofErr w:type="gramStart"/>
            <w:r w:rsidRPr="78720A74">
              <w:rPr>
                <w:rFonts w:ascii="Arial" w:eastAsia="Arial" w:hAnsi="Arial" w:cs="Arial"/>
              </w:rPr>
              <w:t>or</w:t>
            </w:r>
            <w:proofErr w:type="gramEnd"/>
            <w:r w:rsidRPr="78720A74">
              <w:rPr>
                <w:rFonts w:ascii="Arial" w:eastAsia="Arial" w:hAnsi="Arial" w:cs="Arial"/>
              </w:rPr>
              <w:t xml:space="preserve">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w:t>
            </w:r>
            <w:proofErr w:type="gramStart"/>
            <w:r w:rsidRPr="001A046A">
              <w:rPr>
                <w:rFonts w:ascii="Arial" w:hAnsi="Arial" w:cs="Arial"/>
                <w:b/>
              </w:rPr>
              <w:t>criterion</w:t>
            </w:r>
            <w:proofErr w:type="gramEnd"/>
            <w:r w:rsidRPr="001A046A">
              <w:rPr>
                <w:rFonts w:ascii="Arial" w:hAnsi="Arial" w:cs="Arial"/>
                <w:b/>
              </w:rPr>
              <w:t xml:space="preserve">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lastRenderedPageBreak/>
              <w:t xml:space="preserve">Community outreach has been </w:t>
            </w:r>
            <w:proofErr w:type="gramStart"/>
            <w:r w:rsidRPr="78720A74">
              <w:rPr>
                <w:rFonts w:ascii="Arial" w:eastAsia="Arial" w:hAnsi="Arial" w:cs="Arial"/>
              </w:rPr>
              <w:t>conducted</w:t>
            </w:r>
            <w:proofErr w:type="gramEnd"/>
            <w:r w:rsidRPr="78720A74">
              <w:rPr>
                <w:rFonts w:ascii="Arial" w:eastAsia="Arial" w:hAnsi="Arial" w:cs="Arial"/>
              </w:rPr>
              <w:t xml:space="preserve"> and the surrounding local community will benefit from the installation or expansion of MDHD charging infrastructure.</w:t>
            </w:r>
          </w:p>
          <w:p w14:paraId="0A1F0E4D" w14:textId="1B70EB55" w:rsidR="003016AC" w:rsidRDefault="008F3D4A" w:rsidP="00AE79C5">
            <w:pPr>
              <w:pStyle w:val="ListParagraph"/>
              <w:numPr>
                <w:ilvl w:val="0"/>
                <w:numId w:val="63"/>
              </w:numPr>
              <w:spacing w:before="0" w:after="0"/>
              <w:contextualSpacing/>
              <w:rPr>
                <w:rFonts w:ascii="Arial" w:eastAsia="Arial" w:hAnsi="Arial" w:cs="Arial"/>
              </w:rPr>
            </w:pPr>
            <w:r>
              <w:rPr>
                <w:rFonts w:ascii="Arial" w:eastAsia="Arial" w:hAnsi="Arial" w:cs="Arial"/>
              </w:rPr>
              <w:t xml:space="preserve">The </w:t>
            </w:r>
            <w:r w:rsidR="034DCBB5" w:rsidRPr="7C49FB39">
              <w:rPr>
                <w:rFonts w:ascii="Arial" w:eastAsia="Arial" w:hAnsi="Arial" w:cs="Arial"/>
              </w:rPr>
              <w:t xml:space="preserve">proposed </w:t>
            </w:r>
            <w:r>
              <w:rPr>
                <w:rFonts w:ascii="Arial" w:eastAsia="Arial" w:hAnsi="Arial" w:cs="Arial"/>
              </w:rPr>
              <w:t>project incorporates workforce development and economic benefits to the local communities surrounding the proposed project site.</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426D1034"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w:t>
            </w:r>
            <w:proofErr w:type="gramStart"/>
            <w:r w:rsidRPr="00C22215">
              <w:rPr>
                <w:rFonts w:ascii="Arial" w:hAnsi="Arial" w:cs="Arial"/>
                <w:b/>
              </w:rPr>
              <w:t>criterion</w:t>
            </w:r>
            <w:proofErr w:type="gramEnd"/>
            <w:r w:rsidRPr="00C22215">
              <w:rPr>
                <w:rFonts w:ascii="Arial" w:hAnsi="Arial" w:cs="Arial"/>
                <w:b/>
              </w:rPr>
              <w:t xml:space="preserve">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w:t>
            </w:r>
            <w:proofErr w:type="gramStart"/>
            <w:r w:rsidRPr="78720A74">
              <w:rPr>
                <w:rFonts w:ascii="Arial" w:eastAsia="Arial" w:hAnsi="Arial" w:cs="Arial"/>
              </w:rPr>
              <w:t>demonstrates</w:t>
            </w:r>
            <w:proofErr w:type="gramEnd"/>
            <w:r w:rsidRPr="78720A74">
              <w:rPr>
                <w:rFonts w:ascii="Arial" w:eastAsia="Arial" w:hAnsi="Arial" w:cs="Arial"/>
              </w:rPr>
              <w:t xml:space="preserve">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lastRenderedPageBreak/>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 xml:space="preserve">Applications will be evaluated </w:t>
            </w:r>
            <w:proofErr w:type="gramStart"/>
            <w:r w:rsidRPr="78720A74">
              <w:rPr>
                <w:rFonts w:ascii="Arial" w:eastAsia="Arial" w:hAnsi="Arial" w:cs="Arial"/>
              </w:rPr>
              <w:t>on</w:t>
            </w:r>
            <w:proofErr w:type="gramEnd"/>
            <w:r w:rsidRPr="78720A74">
              <w:rPr>
                <w:rFonts w:ascii="Arial" w:eastAsia="Arial" w:hAnsi="Arial" w:cs="Arial"/>
              </w:rPr>
              <w:t xml:space="preserve">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lastRenderedPageBreak/>
              <w:t>Effective coordination with project partners, subrecipients, vendors, and other stakeholders.</w:t>
            </w:r>
          </w:p>
          <w:p w14:paraId="3205A9C9" w14:textId="77777777" w:rsidR="008E650C" w:rsidRPr="00C22215" w:rsidRDefault="00B57DDE">
            <w:pPr>
              <w:numPr>
                <w:ilvl w:val="1"/>
                <w:numId w:val="59"/>
              </w:numPr>
              <w:spacing w:after="0"/>
              <w:contextualSpacing/>
              <w:textAlignment w:val="baseline"/>
              <w:rPr>
                <w:rFonts w:ascii="Arial" w:eastAsia="Arial" w:hAnsi="Arial" w:cs="Arial"/>
              </w:rPr>
            </w:pPr>
            <w:r w:rsidRPr="00273A75">
              <w:rPr>
                <w:rFonts w:ascii="Arial" w:hAnsi="Arial" w:cs="Arial"/>
              </w:rPr>
              <w:t xml:space="preserve">Timely and accurate </w:t>
            </w:r>
            <w:proofErr w:type="gramStart"/>
            <w:r w:rsidRPr="00273A75">
              <w:rPr>
                <w:rFonts w:ascii="Arial" w:hAnsi="Arial" w:cs="Arial"/>
              </w:rPr>
              <w:t>invoicing</w:t>
            </w:r>
            <w:proofErr w:type="gramEnd"/>
            <w:r w:rsidRPr="00273A75">
              <w:rPr>
                <w:rFonts w:ascii="Arial" w:hAnsi="Arial" w:cs="Arial"/>
              </w:rPr>
              <w:t>.</w:t>
            </w:r>
          </w:p>
          <w:p w14:paraId="4D2E3F2E" w14:textId="705F08C8" w:rsidR="00A47C17" w:rsidRDefault="00A47C17" w:rsidP="00C22215">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13338646"/>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306265C3"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3E3018C7" w:rsidRPr="3B44E540">
        <w:rPr>
          <w:rFonts w:eastAsia="Arial"/>
          <w:szCs w:val="24"/>
        </w:rPr>
        <w:t>select the next ranked application</w:t>
      </w:r>
      <w:r w:rsidRPr="000D1560">
        <w:t xml:space="preserve"> 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B60FC7">
      <w:pPr>
        <w:pStyle w:val="Heading2"/>
        <w:keepNext w:val="0"/>
        <w:numPr>
          <w:ilvl w:val="2"/>
          <w:numId w:val="12"/>
        </w:numPr>
        <w:spacing w:before="0" w:after="0"/>
        <w:ind w:left="720" w:hanging="720"/>
      </w:pPr>
      <w:bookmarkStart w:id="90" w:name="_Toc213338647"/>
      <w:r w:rsidRPr="00050087">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13338648"/>
      <w:r w:rsidRPr="00050087">
        <w:lastRenderedPageBreak/>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13338649"/>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lastRenderedPageBreak/>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 xml:space="preserve">The system </w:t>
            </w:r>
            <w:proofErr w:type="gramStart"/>
            <w:r w:rsidRPr="00162B26">
              <w:t>within</w:t>
            </w:r>
            <w:proofErr w:type="gramEnd"/>
            <w:r w:rsidRPr="00162B26">
              <w:t xml:space="preserve">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 xml:space="preserve">The entity that owns the chargers and </w:t>
            </w:r>
            <w:proofErr w:type="gramStart"/>
            <w:r w:rsidRPr="007430A5">
              <w:t>supporting</w:t>
            </w:r>
            <w:proofErr w:type="gramEnd"/>
            <w:r w:rsidRPr="007430A5">
              <w:t xml:space="preserve">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lastRenderedPageBreak/>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 xml:space="preserve">E-76 is the federal-aid authorization to </w:t>
            </w:r>
            <w:proofErr w:type="gramStart"/>
            <w:r w:rsidRPr="000D60F7">
              <w:t>proceed</w:t>
            </w:r>
            <w:proofErr w:type="gramEnd"/>
            <w:r w:rsidRPr="000D60F7">
              <w:t xml:space="preserve"> process. A Project Authorization/Adjustment Request Form (</w:t>
            </w:r>
            <w:hyperlink r:id="rId77"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 xml:space="preserve">A motor vehicle that is either partially or fully powered </w:t>
            </w:r>
            <w:proofErr w:type="gramStart"/>
            <w:r w:rsidR="00CF53BF" w:rsidRPr="00162B26">
              <w:t>on</w:t>
            </w:r>
            <w:proofErr w:type="gramEnd"/>
            <w:r w:rsidR="00CF53BF" w:rsidRPr="00162B26">
              <w:t xml:space="preserve">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lastRenderedPageBreak/>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 xml:space="preserve">Attached or placed at a location and available for use for a charging session. The date </w:t>
            </w:r>
            <w:proofErr w:type="gramStart"/>
            <w:r w:rsidRPr="00162B26">
              <w:t>a charger</w:t>
            </w:r>
            <w:proofErr w:type="gramEnd"/>
            <w:r w:rsidRPr="00162B26">
              <w:t xml:space="preserve">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Medium</w:t>
            </w:r>
            <w:r w:rsidR="00AF366A" w:rsidRPr="00212A69">
              <w:t>-</w:t>
            </w:r>
            <w:r w:rsidR="008C3253" w:rsidRPr="00212A69">
              <w:t>duty</w:t>
            </w:r>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lastRenderedPageBreak/>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t>OCPI</w:t>
            </w:r>
          </w:p>
        </w:tc>
        <w:tc>
          <w:tcPr>
            <w:tcW w:w="6930" w:type="dxa"/>
          </w:tcPr>
          <w:p w14:paraId="69433550" w14:textId="781BECC1" w:rsidR="00CF53BF" w:rsidRPr="00162B26" w:rsidRDefault="00403503" w:rsidP="007E1D44">
            <w:pPr>
              <w:spacing w:before="40" w:after="40"/>
            </w:pPr>
            <w:r>
              <w:t xml:space="preserve">Open Charge Point Interface. </w:t>
            </w:r>
            <w:r w:rsidR="00CF53BF">
              <w:t xml:space="preserve">An open-source communication protocol that governs </w:t>
            </w:r>
            <w:proofErr w:type="gramStart"/>
            <w:r w:rsidR="00CF53BF">
              <w:t>the communication</w:t>
            </w:r>
            <w:proofErr w:type="gramEnd"/>
            <w:r w:rsidR="00CF53BF">
              <w:t xml:space="preserve">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 xml:space="preserve">An open-source communication protocol that governs </w:t>
            </w:r>
            <w:proofErr w:type="gramStart"/>
            <w:r w:rsidR="00CF53BF" w:rsidRPr="00162B26">
              <w:t>the communication</w:t>
            </w:r>
            <w:proofErr w:type="gramEnd"/>
            <w:r w:rsidR="00CF53BF" w:rsidRPr="00162B26">
              <w:t xml:space="preserve">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 xml:space="preserve">An applicant </w:t>
            </w:r>
            <w:proofErr w:type="gramStart"/>
            <w:r w:rsidRPr="00162B26">
              <w:t>awarded</w:t>
            </w:r>
            <w:proofErr w:type="gramEnd"/>
            <w:r w:rsidRPr="00162B26">
              <w:t xml:space="preserve">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lastRenderedPageBreak/>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lastRenderedPageBreak/>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13338650"/>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13338651"/>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13338652"/>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xml:space="preserve">, in addition to any other </w:t>
      </w:r>
      <w:proofErr w:type="gramStart"/>
      <w:r w:rsidR="006C3B60">
        <w:rPr>
          <w:szCs w:val="24"/>
        </w:rPr>
        <w:t>rights</w:t>
      </w:r>
      <w:proofErr w:type="gramEnd"/>
      <w:r w:rsidR="006C3B60">
        <w:rPr>
          <w:szCs w:val="24"/>
        </w:rPr>
        <w:t xml:space="preserve">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proofErr w:type="gramStart"/>
      <w:r w:rsidR="00F66DFA" w:rsidRPr="00013AAD">
        <w:rPr>
          <w:szCs w:val="24"/>
        </w:rPr>
        <w:t>solicitation</w:t>
      </w:r>
      <w:r w:rsidR="006C3B60">
        <w:rPr>
          <w:szCs w:val="24"/>
        </w:rPr>
        <w:t>;</w:t>
      </w:r>
      <w:proofErr w:type="gramEnd"/>
    </w:p>
    <w:p w14:paraId="13A73807" w14:textId="1CECCC97" w:rsidR="00127CBB" w:rsidRPr="00013AAD" w:rsidRDefault="00127CBB" w:rsidP="00B60FC7">
      <w:pPr>
        <w:numPr>
          <w:ilvl w:val="0"/>
          <w:numId w:val="6"/>
        </w:numPr>
        <w:spacing w:after="0"/>
        <w:ind w:left="1440" w:hanging="720"/>
        <w:rPr>
          <w:szCs w:val="24"/>
        </w:rPr>
      </w:pPr>
      <w:r w:rsidRPr="00013AAD">
        <w:rPr>
          <w:szCs w:val="24"/>
        </w:rPr>
        <w:t xml:space="preserve">Revise the amount of funds available under this </w:t>
      </w:r>
      <w:proofErr w:type="gramStart"/>
      <w:r w:rsidR="00F66DFA" w:rsidRPr="00013AAD">
        <w:rPr>
          <w:szCs w:val="24"/>
        </w:rPr>
        <w:t>solicitation</w:t>
      </w:r>
      <w:r w:rsidR="006C3B60">
        <w:rPr>
          <w:szCs w:val="24"/>
        </w:rPr>
        <w:t>;</w:t>
      </w:r>
      <w:proofErr w:type="gramEnd"/>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8"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13338653"/>
      <w:r w:rsidRPr="004865B8">
        <w:t>Errors</w:t>
      </w:r>
      <w:bookmarkEnd w:id="106"/>
      <w:bookmarkEnd w:id="108"/>
    </w:p>
    <w:p w14:paraId="403432C2" w14:textId="20F2B5C9"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B60FC7">
      <w:pPr>
        <w:pStyle w:val="Heading2"/>
        <w:keepNext w:val="0"/>
        <w:numPr>
          <w:ilvl w:val="0"/>
          <w:numId w:val="16"/>
        </w:numPr>
        <w:spacing w:before="0" w:after="0"/>
        <w:ind w:hanging="720"/>
      </w:pPr>
      <w:bookmarkStart w:id="109" w:name="_Toc217726138"/>
      <w:bookmarkStart w:id="110" w:name="_Toc219275131"/>
      <w:bookmarkStart w:id="111" w:name="_Toc213338654"/>
      <w:r w:rsidRPr="00050087">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lastRenderedPageBreak/>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13338655"/>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13338656"/>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2175C8">
        <w:rPr>
          <w:szCs w:val="24"/>
        </w:rPr>
        <w:t>receiving</w:t>
      </w:r>
      <w:proofErr w:type="gramEnd"/>
      <w:r w:rsidRPr="002175C8">
        <w:rPr>
          <w:szCs w:val="24"/>
        </w:rPr>
        <w:t xml:space="preserve"> a significantly reduced score for administrative errors while maintaining </w:t>
      </w:r>
      <w:proofErr w:type="gramStart"/>
      <w:r w:rsidRPr="002175C8">
        <w:rPr>
          <w:szCs w:val="24"/>
        </w:rPr>
        <w:t>a fair</w:t>
      </w:r>
      <w:proofErr w:type="gramEnd"/>
      <w:r w:rsidRPr="002175C8">
        <w:rPr>
          <w:szCs w:val="24"/>
        </w:rPr>
        <w:t xml:space="preserve">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required to, allow the </w:t>
      </w:r>
      <w:proofErr w:type="gramStart"/>
      <w:r w:rsidRPr="002175C8">
        <w:rPr>
          <w:szCs w:val="24"/>
        </w:rPr>
        <w:t>Applicant</w:t>
      </w:r>
      <w:proofErr w:type="gramEnd"/>
      <w:r w:rsidRPr="002175C8">
        <w:rPr>
          <w:szCs w:val="24"/>
        </w:rPr>
        <w:t xml:space="preserve"> </w:t>
      </w:r>
      <w:proofErr w:type="gramStart"/>
      <w:r w:rsidRPr="002175C8">
        <w:rPr>
          <w:szCs w:val="24"/>
        </w:rPr>
        <w:t>a period of time</w:t>
      </w:r>
      <w:proofErr w:type="gramEnd"/>
      <w:r w:rsidRPr="002175C8">
        <w:rPr>
          <w:szCs w:val="24"/>
        </w:rPr>
        <w:t xml:space="preserv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lastRenderedPageBreak/>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t>The Applicant brings the error to the CEC’s attention too late in the solicitation process (e.g., after awards have been approved at a Business Meeting).</w:t>
      </w:r>
    </w:p>
    <w:p w14:paraId="3725C0AD" w14:textId="0479FB12"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 xml:space="preserve">Reasonable efforts will be made to confirm receipt of the notice, but actual notice cannot be </w:t>
      </w:r>
      <w:proofErr w:type="gramStart"/>
      <w:r w:rsidRPr="60D49439">
        <w:rPr>
          <w:szCs w:val="24"/>
        </w:rPr>
        <w:t>guaranteed</w:t>
      </w:r>
      <w:proofErr w:type="gramEnd"/>
      <w:r w:rsidRPr="60D49439">
        <w:rPr>
          <w:szCs w:val="24"/>
        </w:rPr>
        <w:t xml:space="preserve"> and the obligation is </w:t>
      </w:r>
      <w:proofErr w:type="gramStart"/>
      <w:r w:rsidRPr="60D49439">
        <w:rPr>
          <w:szCs w:val="24"/>
        </w:rPr>
        <w:t>on</w:t>
      </w:r>
      <w:proofErr w:type="gramEnd"/>
      <w:r w:rsidRPr="60D49439">
        <w:rPr>
          <w:szCs w:val="24"/>
        </w:rPr>
        <w:t xml:space="preserve">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13338657"/>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13338658"/>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w:t>
      </w:r>
      <w:r w:rsidRPr="00013AAD">
        <w:rPr>
          <w:szCs w:val="24"/>
        </w:rPr>
        <w:lastRenderedPageBreak/>
        <w:t xml:space="preserve">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13338659"/>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705E5754" w:rsidR="002C0B8E" w:rsidRPr="00050087" w:rsidRDefault="002C0B8E" w:rsidP="00A6512C">
      <w:pPr>
        <w:spacing w:after="0"/>
        <w:ind w:left="720"/>
        <w:rPr>
          <w:rFonts w:eastAsia="Arial"/>
          <w:strike/>
          <w:color w:val="D13438"/>
          <w:szCs w:val="24"/>
        </w:rPr>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w:t>
      </w:r>
      <w:r w:rsidR="29163B10">
        <w:t xml:space="preserve">with Sovereign Immunity </w:t>
      </w:r>
      <w:r>
        <w:t xml:space="preserve">serving a California Native American Tribe shall also have the </w:t>
      </w:r>
      <w:hyperlink r:id="rId79" w:history="1">
        <w:r w:rsidRPr="00174309">
          <w:rPr>
            <w:rStyle w:val="Hyperlink"/>
          </w:rPr>
          <w:t>Special Terms and Conditions for California Tribal Organizations serving California Native American Tribes with Sovereign Immunity</w:t>
        </w:r>
      </w:hyperlink>
      <w:r w:rsidR="396A6A55">
        <w:t xml:space="preserve">, found at </w:t>
      </w:r>
      <w:hyperlink r:id="rId80" w:history="1">
        <w:r w:rsidR="007A52E5" w:rsidRPr="00DE31A5">
          <w:rPr>
            <w:rStyle w:val="Hyperlink"/>
            <w:rFonts w:eastAsia="Arial"/>
            <w:szCs w:val="24"/>
          </w:rPr>
          <w:t>https://www.energy.ca.gov/media/12259</w:t>
        </w:r>
      </w:hyperlink>
      <w:r w:rsidR="007A52E5">
        <w:rPr>
          <w:rFonts w:eastAsia="Arial"/>
          <w:szCs w:val="24"/>
          <w:u w:val="single"/>
        </w:rPr>
        <w:t>.</w:t>
      </w:r>
    </w:p>
    <w:p w14:paraId="62E0EDE2" w14:textId="77777777" w:rsidR="002C0B8E" w:rsidRPr="00013AAD" w:rsidRDefault="002C0B8E" w:rsidP="00212A69">
      <w:pPr>
        <w:spacing w:after="0"/>
        <w:ind w:left="720"/>
        <w:rPr>
          <w:szCs w:val="24"/>
        </w:rPr>
      </w:pPr>
    </w:p>
    <w:p w14:paraId="6A12E432" w14:textId="456F6EC1"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w:t>
      </w:r>
      <w:proofErr w:type="gramStart"/>
      <w:r w:rsidR="002C0B8E" w:rsidRPr="00013AAD">
        <w:rPr>
          <w:szCs w:val="24"/>
        </w:rPr>
        <w:t xml:space="preserve">project </w:t>
      </w:r>
      <w:r w:rsidR="007A52E5">
        <w:rPr>
          <w:rFonts w:eastAsia="Arial"/>
          <w:szCs w:val="24"/>
          <w:u w:val="single"/>
        </w:rPr>
        <w:t>.</w:t>
      </w:r>
      <w:r w:rsidR="002C0B8E" w:rsidRPr="00013AAD">
        <w:rPr>
          <w:szCs w:val="24"/>
        </w:rPr>
        <w:t>scope</w:t>
      </w:r>
      <w:proofErr w:type="gramEnd"/>
      <w:r w:rsidR="002C0B8E" w:rsidRPr="00013AAD">
        <w:rPr>
          <w:szCs w:val="24"/>
        </w:rPr>
        <w:t xml:space="preserv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8" w:name="_Toc213338660"/>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8"/>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29" w:name="_Toc213338661"/>
      <w:r>
        <w:rPr>
          <w:lang w:val="en-US"/>
        </w:rPr>
        <w:t>Executive Order N-6-22 – Russia Sanctions</w:t>
      </w:r>
      <w:bookmarkEnd w:id="129"/>
    </w:p>
    <w:p w14:paraId="0C980A88" w14:textId="04226989" w:rsidR="00202941" w:rsidRPr="00202941" w:rsidRDefault="00202941" w:rsidP="00202941">
      <w:pPr>
        <w:spacing w:after="0"/>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C813" w14:textId="77777777" w:rsidR="008906EC" w:rsidRDefault="008906EC">
      <w:r>
        <w:separator/>
      </w:r>
    </w:p>
  </w:endnote>
  <w:endnote w:type="continuationSeparator" w:id="0">
    <w:p w14:paraId="22324865" w14:textId="77777777" w:rsidR="008906EC" w:rsidRDefault="008906EC">
      <w:r>
        <w:continuationSeparator/>
      </w:r>
    </w:p>
  </w:endnote>
  <w:endnote w:type="continuationNotice" w:id="1">
    <w:p w14:paraId="474BA125" w14:textId="77777777" w:rsidR="008906EC" w:rsidRDefault="008906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60AE" w14:textId="77777777" w:rsidR="008B75EE" w:rsidRDefault="008B75EE" w:rsidP="2A752466">
    <w:pPr>
      <w:pStyle w:val="Footer"/>
      <w:tabs>
        <w:tab w:val="clear" w:pos="8640"/>
        <w:tab w:val="right" w:pos="9360"/>
      </w:tabs>
      <w:spacing w:after="0"/>
      <w:rPr>
        <w:b/>
        <w:bCs/>
        <w:sz w:val="22"/>
        <w:szCs w:val="22"/>
        <w:u w:val="single"/>
      </w:rPr>
    </w:pPr>
  </w:p>
  <w:p w14:paraId="716D7CE9" w14:textId="77777777" w:rsidR="006367B6" w:rsidRDefault="00310BB2" w:rsidP="2A752466">
    <w:pPr>
      <w:pStyle w:val="Footer"/>
      <w:tabs>
        <w:tab w:val="clear" w:pos="8640"/>
        <w:tab w:val="right" w:pos="9360"/>
      </w:tabs>
      <w:spacing w:after="0"/>
      <w:rPr>
        <w:sz w:val="22"/>
        <w:szCs w:val="22"/>
      </w:rPr>
    </w:pPr>
    <w:r w:rsidRPr="008B75EE">
      <w:rPr>
        <w:sz w:val="22"/>
        <w:szCs w:val="22"/>
      </w:rPr>
      <w:t>[</w:t>
    </w:r>
    <w:r w:rsidR="006D4076" w:rsidRPr="008D7E9E">
      <w:rPr>
        <w:strike/>
        <w:sz w:val="22"/>
        <w:szCs w:val="22"/>
      </w:rPr>
      <w:t>Ja</w:t>
    </w:r>
    <w:r w:rsidR="00796DC4" w:rsidRPr="008D7E9E">
      <w:rPr>
        <w:strike/>
        <w:sz w:val="22"/>
        <w:szCs w:val="22"/>
      </w:rPr>
      <w:t>nuary 2026</w:t>
    </w:r>
    <w:r w:rsidR="00AF16D1" w:rsidRPr="008B75EE">
      <w:rPr>
        <w:sz w:val="22"/>
        <w:szCs w:val="22"/>
      </w:rPr>
      <w:t>]</w:t>
    </w:r>
  </w:p>
  <w:p w14:paraId="60283C94" w14:textId="105DF6ED" w:rsidR="0045255C" w:rsidRPr="00796DC4" w:rsidRDefault="006367B6" w:rsidP="2A752466">
    <w:pPr>
      <w:pStyle w:val="Footer"/>
      <w:tabs>
        <w:tab w:val="clear" w:pos="8640"/>
        <w:tab w:val="right" w:pos="9360"/>
      </w:tabs>
      <w:spacing w:after="0"/>
      <w:rPr>
        <w:sz w:val="22"/>
        <w:szCs w:val="22"/>
      </w:rPr>
    </w:pPr>
    <w:r>
      <w:rPr>
        <w:b/>
        <w:bCs/>
        <w:sz w:val="22"/>
        <w:szCs w:val="22"/>
        <w:u w:val="single"/>
      </w:rPr>
      <w:t>April</w:t>
    </w:r>
    <w:r w:rsidRPr="008D7E9E">
      <w:rPr>
        <w:b/>
        <w:bCs/>
        <w:sz w:val="22"/>
        <w:szCs w:val="22"/>
        <w:u w:val="single"/>
      </w:rPr>
      <w:t xml:space="preserve"> 2026</w:t>
    </w:r>
    <w:r>
      <w:rPr>
        <w:sz w:val="22"/>
        <w:szCs w:val="22"/>
      </w:rPr>
      <w:t xml:space="preserve"> </w:t>
    </w:r>
    <w:r w:rsidR="00B66D46" w:rsidRPr="00796DC4">
      <w:rPr>
        <w:sz w:val="22"/>
        <w:szCs w:val="22"/>
      </w:rPr>
      <w:tab/>
    </w:r>
    <w:r w:rsidR="006D4076" w:rsidRPr="00796DC4">
      <w:rPr>
        <w:sz w:val="22"/>
        <w:szCs w:val="22"/>
      </w:rPr>
      <w:t xml:space="preserve">Page </w:t>
    </w:r>
    <w:r w:rsidR="006D4076" w:rsidRPr="00796DC4">
      <w:rPr>
        <w:bCs/>
        <w:sz w:val="22"/>
        <w:szCs w:val="22"/>
      </w:rPr>
      <w:fldChar w:fldCharType="begin"/>
    </w:r>
    <w:r w:rsidR="006D4076" w:rsidRPr="00796DC4">
      <w:rPr>
        <w:bCs/>
        <w:sz w:val="22"/>
        <w:szCs w:val="22"/>
      </w:rPr>
      <w:instrText xml:space="preserve"> PAGE  \* Arabic  \* MERGEFORMAT </w:instrText>
    </w:r>
    <w:r w:rsidR="006D4076" w:rsidRPr="00796DC4">
      <w:rPr>
        <w:bCs/>
        <w:sz w:val="22"/>
        <w:szCs w:val="22"/>
      </w:rPr>
      <w:fldChar w:fldCharType="separate"/>
    </w:r>
    <w:r w:rsidR="006D4076" w:rsidRPr="00796DC4">
      <w:rPr>
        <w:bCs/>
        <w:sz w:val="22"/>
        <w:szCs w:val="22"/>
      </w:rPr>
      <w:t>2</w:t>
    </w:r>
    <w:r w:rsidR="006D4076" w:rsidRPr="00796DC4">
      <w:rPr>
        <w:bCs/>
        <w:sz w:val="22"/>
        <w:szCs w:val="22"/>
      </w:rPr>
      <w:fldChar w:fldCharType="end"/>
    </w:r>
    <w:r w:rsidR="006D4076" w:rsidRPr="00796DC4">
      <w:rPr>
        <w:sz w:val="22"/>
        <w:szCs w:val="22"/>
      </w:rPr>
      <w:t xml:space="preserve"> of</w:t>
    </w:r>
    <w:r w:rsidR="006D4076" w:rsidRPr="00796DC4">
      <w:rPr>
        <w:bCs/>
        <w:sz w:val="22"/>
        <w:szCs w:val="22"/>
      </w:rPr>
      <w:t xml:space="preserve"> </w:t>
    </w:r>
    <w:r w:rsidR="006D4076" w:rsidRPr="00796DC4">
      <w:rPr>
        <w:bCs/>
        <w:sz w:val="22"/>
        <w:szCs w:val="22"/>
      </w:rPr>
      <w:fldChar w:fldCharType="begin"/>
    </w:r>
    <w:r w:rsidR="006D4076" w:rsidRPr="00796DC4">
      <w:rPr>
        <w:bCs/>
        <w:sz w:val="22"/>
        <w:szCs w:val="22"/>
      </w:rPr>
      <w:instrText xml:space="preserve"> NUMPAGES  \* Arabic  \* MERGEFORMAT </w:instrText>
    </w:r>
    <w:r w:rsidR="006D4076" w:rsidRPr="00796DC4">
      <w:rPr>
        <w:bCs/>
        <w:sz w:val="22"/>
        <w:szCs w:val="22"/>
      </w:rPr>
      <w:fldChar w:fldCharType="separate"/>
    </w:r>
    <w:r w:rsidR="006D4076" w:rsidRPr="00796DC4">
      <w:rPr>
        <w:bCs/>
        <w:sz w:val="22"/>
        <w:szCs w:val="22"/>
      </w:rPr>
      <w:t>70</w:t>
    </w:r>
    <w:r w:rsidR="006D4076" w:rsidRPr="00796DC4">
      <w:rPr>
        <w:bCs/>
        <w:sz w:val="22"/>
        <w:szCs w:val="22"/>
      </w:rPr>
      <w:fldChar w:fldCharType="end"/>
    </w:r>
    <w:r w:rsidR="006D4076" w:rsidRPr="00796DC4">
      <w:rPr>
        <w:sz w:val="22"/>
        <w:szCs w:val="22"/>
      </w:rPr>
      <w:tab/>
    </w:r>
    <w:r w:rsidR="2A752466" w:rsidRPr="00796DC4">
      <w:rPr>
        <w:sz w:val="22"/>
        <w:szCs w:val="22"/>
      </w:rPr>
      <w:t>GFO-25-604</w:t>
    </w:r>
    <w:r w:rsidR="008B75EE" w:rsidRPr="008D7E9E">
      <w:rPr>
        <w:b/>
        <w:bCs/>
        <w:sz w:val="22"/>
        <w:szCs w:val="22"/>
        <w:u w:val="single"/>
      </w:rPr>
      <w:t>-01</w:t>
    </w:r>
  </w:p>
  <w:p w14:paraId="02A8E0B9" w14:textId="39287A79" w:rsidR="0045255C" w:rsidRPr="00796DC4" w:rsidRDefault="0045255C" w:rsidP="00167811">
    <w:pPr>
      <w:pStyle w:val="Footer"/>
      <w:tabs>
        <w:tab w:val="clear" w:pos="4320"/>
        <w:tab w:val="clear" w:pos="8640"/>
        <w:tab w:val="center" w:pos="4680"/>
        <w:tab w:val="right" w:pos="9360"/>
      </w:tabs>
      <w:spacing w:after="0"/>
      <w:rPr>
        <w:bCs/>
        <w:noProof/>
        <w:sz w:val="22"/>
        <w:szCs w:val="22"/>
      </w:rPr>
    </w:pPr>
    <w:r w:rsidRPr="00796DC4">
      <w:rPr>
        <w:sz w:val="22"/>
        <w:szCs w:val="22"/>
      </w:rPr>
      <w:tab/>
    </w:r>
    <w:r w:rsidRPr="00796DC4">
      <w:rPr>
        <w:sz w:val="22"/>
        <w:szCs w:val="22"/>
      </w:rPr>
      <w:tab/>
    </w:r>
    <w:r w:rsidR="006A75B7" w:rsidRPr="00796DC4">
      <w:rPr>
        <w:bCs/>
        <w:sz w:val="22"/>
        <w:szCs w:val="22"/>
      </w:rPr>
      <w:t xml:space="preserve">California’s NEVI Solicitation </w:t>
    </w:r>
    <w:r w:rsidR="008D6133" w:rsidRPr="00796DC4">
      <w:rPr>
        <w:bCs/>
        <w:sz w:val="22"/>
        <w:szCs w:val="22"/>
      </w:rPr>
      <w:t>4</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2D99" w14:textId="77777777" w:rsidR="008906EC" w:rsidRDefault="008906EC">
      <w:r>
        <w:separator/>
      </w:r>
    </w:p>
  </w:footnote>
  <w:footnote w:type="continuationSeparator" w:id="0">
    <w:p w14:paraId="72ECF0BD" w14:textId="77777777" w:rsidR="008906EC" w:rsidRDefault="008906EC">
      <w:r>
        <w:continuationSeparator/>
      </w:r>
    </w:p>
  </w:footnote>
  <w:footnote w:type="continuationNotice" w:id="1">
    <w:p w14:paraId="520E6734" w14:textId="77777777" w:rsidR="008906EC" w:rsidRDefault="008906EC">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F9"/>
    <w:rsid w:val="00000A55"/>
    <w:rsid w:val="00000E0F"/>
    <w:rsid w:val="00001937"/>
    <w:rsid w:val="000019A4"/>
    <w:rsid w:val="00001C60"/>
    <w:rsid w:val="00001E88"/>
    <w:rsid w:val="000026DD"/>
    <w:rsid w:val="00002ABD"/>
    <w:rsid w:val="00002AC2"/>
    <w:rsid w:val="00003432"/>
    <w:rsid w:val="00003485"/>
    <w:rsid w:val="000036A9"/>
    <w:rsid w:val="0000383D"/>
    <w:rsid w:val="00003BC0"/>
    <w:rsid w:val="00003BDB"/>
    <w:rsid w:val="00003CAE"/>
    <w:rsid w:val="00004079"/>
    <w:rsid w:val="00004497"/>
    <w:rsid w:val="000044B8"/>
    <w:rsid w:val="00004818"/>
    <w:rsid w:val="0000486C"/>
    <w:rsid w:val="0000492A"/>
    <w:rsid w:val="00004AE8"/>
    <w:rsid w:val="00004B8C"/>
    <w:rsid w:val="00004CB7"/>
    <w:rsid w:val="00004F7C"/>
    <w:rsid w:val="0000582C"/>
    <w:rsid w:val="000058BE"/>
    <w:rsid w:val="0000594C"/>
    <w:rsid w:val="00005A8F"/>
    <w:rsid w:val="00005B8A"/>
    <w:rsid w:val="00005BDF"/>
    <w:rsid w:val="00005E4F"/>
    <w:rsid w:val="00005E7A"/>
    <w:rsid w:val="0000635B"/>
    <w:rsid w:val="00006488"/>
    <w:rsid w:val="000064CD"/>
    <w:rsid w:val="000070D0"/>
    <w:rsid w:val="00007714"/>
    <w:rsid w:val="00007798"/>
    <w:rsid w:val="0000779E"/>
    <w:rsid w:val="00007B63"/>
    <w:rsid w:val="00007D5D"/>
    <w:rsid w:val="00007E7C"/>
    <w:rsid w:val="00007FE6"/>
    <w:rsid w:val="00010355"/>
    <w:rsid w:val="00010574"/>
    <w:rsid w:val="00010759"/>
    <w:rsid w:val="00010C31"/>
    <w:rsid w:val="00010F21"/>
    <w:rsid w:val="00010F37"/>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A07"/>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BF5"/>
    <w:rsid w:val="00017C2B"/>
    <w:rsid w:val="00020361"/>
    <w:rsid w:val="00020476"/>
    <w:rsid w:val="000206E4"/>
    <w:rsid w:val="000208E7"/>
    <w:rsid w:val="00020CCA"/>
    <w:rsid w:val="00020DA2"/>
    <w:rsid w:val="0002106C"/>
    <w:rsid w:val="0002172A"/>
    <w:rsid w:val="0002177D"/>
    <w:rsid w:val="00021A01"/>
    <w:rsid w:val="00021DF5"/>
    <w:rsid w:val="00021F6B"/>
    <w:rsid w:val="00022686"/>
    <w:rsid w:val="000228CC"/>
    <w:rsid w:val="00022914"/>
    <w:rsid w:val="00023156"/>
    <w:rsid w:val="0002334D"/>
    <w:rsid w:val="0002352F"/>
    <w:rsid w:val="00023535"/>
    <w:rsid w:val="0002354C"/>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A"/>
    <w:rsid w:val="0002736B"/>
    <w:rsid w:val="000274F3"/>
    <w:rsid w:val="000275E8"/>
    <w:rsid w:val="00027874"/>
    <w:rsid w:val="00027F5C"/>
    <w:rsid w:val="00030213"/>
    <w:rsid w:val="0003037E"/>
    <w:rsid w:val="000305B0"/>
    <w:rsid w:val="00030617"/>
    <w:rsid w:val="0003083F"/>
    <w:rsid w:val="000309F9"/>
    <w:rsid w:val="00030C6D"/>
    <w:rsid w:val="0003155F"/>
    <w:rsid w:val="0003180D"/>
    <w:rsid w:val="0003254A"/>
    <w:rsid w:val="0003286E"/>
    <w:rsid w:val="00032AE9"/>
    <w:rsid w:val="00032E66"/>
    <w:rsid w:val="00032F16"/>
    <w:rsid w:val="00032F46"/>
    <w:rsid w:val="00033027"/>
    <w:rsid w:val="0003304E"/>
    <w:rsid w:val="000331FF"/>
    <w:rsid w:val="000337FA"/>
    <w:rsid w:val="00033819"/>
    <w:rsid w:val="00033B34"/>
    <w:rsid w:val="000346E3"/>
    <w:rsid w:val="000347EC"/>
    <w:rsid w:val="00035824"/>
    <w:rsid w:val="00035843"/>
    <w:rsid w:val="000359EB"/>
    <w:rsid w:val="00035C2D"/>
    <w:rsid w:val="00036186"/>
    <w:rsid w:val="000361ED"/>
    <w:rsid w:val="000362AB"/>
    <w:rsid w:val="0003648A"/>
    <w:rsid w:val="00036645"/>
    <w:rsid w:val="000369B0"/>
    <w:rsid w:val="00036BCC"/>
    <w:rsid w:val="00036F39"/>
    <w:rsid w:val="00037199"/>
    <w:rsid w:val="000371B3"/>
    <w:rsid w:val="0003776D"/>
    <w:rsid w:val="0003791D"/>
    <w:rsid w:val="00040126"/>
    <w:rsid w:val="00040129"/>
    <w:rsid w:val="0004055B"/>
    <w:rsid w:val="00040B75"/>
    <w:rsid w:val="00040BC6"/>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3B9"/>
    <w:rsid w:val="00047416"/>
    <w:rsid w:val="000478B1"/>
    <w:rsid w:val="00047A8C"/>
    <w:rsid w:val="00047C15"/>
    <w:rsid w:val="00047E93"/>
    <w:rsid w:val="00050087"/>
    <w:rsid w:val="00050437"/>
    <w:rsid w:val="00050819"/>
    <w:rsid w:val="00050A62"/>
    <w:rsid w:val="00050DCF"/>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46C9"/>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35"/>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9A4"/>
    <w:rsid w:val="00060A41"/>
    <w:rsid w:val="00060D94"/>
    <w:rsid w:val="00060E2C"/>
    <w:rsid w:val="00061375"/>
    <w:rsid w:val="0006156C"/>
    <w:rsid w:val="0006256F"/>
    <w:rsid w:val="00062675"/>
    <w:rsid w:val="00062BB7"/>
    <w:rsid w:val="0006391A"/>
    <w:rsid w:val="000644C1"/>
    <w:rsid w:val="00064A34"/>
    <w:rsid w:val="00064EA0"/>
    <w:rsid w:val="00064FB0"/>
    <w:rsid w:val="00065108"/>
    <w:rsid w:val="000653A5"/>
    <w:rsid w:val="00065492"/>
    <w:rsid w:val="000654AE"/>
    <w:rsid w:val="00065581"/>
    <w:rsid w:val="00065678"/>
    <w:rsid w:val="000659A4"/>
    <w:rsid w:val="00065A2C"/>
    <w:rsid w:val="00065B4B"/>
    <w:rsid w:val="0006647E"/>
    <w:rsid w:val="000666FE"/>
    <w:rsid w:val="000669BF"/>
    <w:rsid w:val="00066B05"/>
    <w:rsid w:val="00066B36"/>
    <w:rsid w:val="00066C28"/>
    <w:rsid w:val="00066FDB"/>
    <w:rsid w:val="00067092"/>
    <w:rsid w:val="0006774F"/>
    <w:rsid w:val="00067838"/>
    <w:rsid w:val="000679D9"/>
    <w:rsid w:val="00067B4E"/>
    <w:rsid w:val="00067F7F"/>
    <w:rsid w:val="000709AE"/>
    <w:rsid w:val="00070B36"/>
    <w:rsid w:val="00070D19"/>
    <w:rsid w:val="00070D3B"/>
    <w:rsid w:val="00070D84"/>
    <w:rsid w:val="00070EEF"/>
    <w:rsid w:val="00070FEE"/>
    <w:rsid w:val="00071617"/>
    <w:rsid w:val="0007164C"/>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A26"/>
    <w:rsid w:val="00076F4C"/>
    <w:rsid w:val="0007735C"/>
    <w:rsid w:val="00077418"/>
    <w:rsid w:val="000777D0"/>
    <w:rsid w:val="00077F16"/>
    <w:rsid w:val="00080422"/>
    <w:rsid w:val="00080918"/>
    <w:rsid w:val="00080984"/>
    <w:rsid w:val="00080AB6"/>
    <w:rsid w:val="00080C2E"/>
    <w:rsid w:val="0008104B"/>
    <w:rsid w:val="00081177"/>
    <w:rsid w:val="0008122A"/>
    <w:rsid w:val="000812F7"/>
    <w:rsid w:val="0008142C"/>
    <w:rsid w:val="00081451"/>
    <w:rsid w:val="00081906"/>
    <w:rsid w:val="00081D29"/>
    <w:rsid w:val="00081E1E"/>
    <w:rsid w:val="00082155"/>
    <w:rsid w:val="00082467"/>
    <w:rsid w:val="00082707"/>
    <w:rsid w:val="00082B8F"/>
    <w:rsid w:val="00082E4C"/>
    <w:rsid w:val="0008315C"/>
    <w:rsid w:val="0008315E"/>
    <w:rsid w:val="00083382"/>
    <w:rsid w:val="00083522"/>
    <w:rsid w:val="000836F2"/>
    <w:rsid w:val="00083741"/>
    <w:rsid w:val="00083BA7"/>
    <w:rsid w:val="00083D0F"/>
    <w:rsid w:val="0008427D"/>
    <w:rsid w:val="000844B5"/>
    <w:rsid w:val="00084CAD"/>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C50"/>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5C0"/>
    <w:rsid w:val="0009660F"/>
    <w:rsid w:val="000968F9"/>
    <w:rsid w:val="00096E27"/>
    <w:rsid w:val="00096F25"/>
    <w:rsid w:val="0009715B"/>
    <w:rsid w:val="00097207"/>
    <w:rsid w:val="00097239"/>
    <w:rsid w:val="000974E7"/>
    <w:rsid w:val="00097673"/>
    <w:rsid w:val="000979F8"/>
    <w:rsid w:val="00097CB1"/>
    <w:rsid w:val="00097D49"/>
    <w:rsid w:val="000A01DB"/>
    <w:rsid w:val="000A0A20"/>
    <w:rsid w:val="000A1085"/>
    <w:rsid w:val="000A116D"/>
    <w:rsid w:val="000A134F"/>
    <w:rsid w:val="000A1509"/>
    <w:rsid w:val="000A159A"/>
    <w:rsid w:val="000A174B"/>
    <w:rsid w:val="000A1C98"/>
    <w:rsid w:val="000A2128"/>
    <w:rsid w:val="000A266D"/>
    <w:rsid w:val="000A274B"/>
    <w:rsid w:val="000A2DDF"/>
    <w:rsid w:val="000A32B4"/>
    <w:rsid w:val="000A348D"/>
    <w:rsid w:val="000A381A"/>
    <w:rsid w:val="000A3A25"/>
    <w:rsid w:val="000A3C59"/>
    <w:rsid w:val="000A3D78"/>
    <w:rsid w:val="000A3F80"/>
    <w:rsid w:val="000A411F"/>
    <w:rsid w:val="000A446E"/>
    <w:rsid w:val="000A44AA"/>
    <w:rsid w:val="000A5586"/>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AA6"/>
    <w:rsid w:val="000B0B27"/>
    <w:rsid w:val="000B0D17"/>
    <w:rsid w:val="000B0D73"/>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03"/>
    <w:rsid w:val="000B390F"/>
    <w:rsid w:val="000B3E3F"/>
    <w:rsid w:val="000B4062"/>
    <w:rsid w:val="000B4664"/>
    <w:rsid w:val="000B491E"/>
    <w:rsid w:val="000B4E24"/>
    <w:rsid w:val="000B4F0A"/>
    <w:rsid w:val="000B54EA"/>
    <w:rsid w:val="000B5614"/>
    <w:rsid w:val="000B5635"/>
    <w:rsid w:val="000B564C"/>
    <w:rsid w:val="000B58C1"/>
    <w:rsid w:val="000B5A69"/>
    <w:rsid w:val="000B5AEF"/>
    <w:rsid w:val="000B5BE4"/>
    <w:rsid w:val="000B611B"/>
    <w:rsid w:val="000B621C"/>
    <w:rsid w:val="000B6296"/>
    <w:rsid w:val="000B65C3"/>
    <w:rsid w:val="000B694F"/>
    <w:rsid w:val="000B6C32"/>
    <w:rsid w:val="000B6F5F"/>
    <w:rsid w:val="000B76D8"/>
    <w:rsid w:val="000B7B13"/>
    <w:rsid w:val="000B7C30"/>
    <w:rsid w:val="000B7F5B"/>
    <w:rsid w:val="000B7F86"/>
    <w:rsid w:val="000C0080"/>
    <w:rsid w:val="000C0269"/>
    <w:rsid w:val="000C0301"/>
    <w:rsid w:val="000C03D4"/>
    <w:rsid w:val="000C062F"/>
    <w:rsid w:val="000C0641"/>
    <w:rsid w:val="000C0F67"/>
    <w:rsid w:val="000C110A"/>
    <w:rsid w:val="000C189B"/>
    <w:rsid w:val="000C1902"/>
    <w:rsid w:val="000C1911"/>
    <w:rsid w:val="000C1C43"/>
    <w:rsid w:val="000C1C69"/>
    <w:rsid w:val="000C1C9D"/>
    <w:rsid w:val="000C1F4C"/>
    <w:rsid w:val="000C22ED"/>
    <w:rsid w:val="000C2790"/>
    <w:rsid w:val="000C27B6"/>
    <w:rsid w:val="000C29A7"/>
    <w:rsid w:val="000C30D0"/>
    <w:rsid w:val="000C3DA8"/>
    <w:rsid w:val="000C3FE4"/>
    <w:rsid w:val="000C42DF"/>
    <w:rsid w:val="000C4392"/>
    <w:rsid w:val="000C444B"/>
    <w:rsid w:val="000C45E2"/>
    <w:rsid w:val="000C4B31"/>
    <w:rsid w:val="000C4D8C"/>
    <w:rsid w:val="000C4F10"/>
    <w:rsid w:val="000C4F14"/>
    <w:rsid w:val="000C4F71"/>
    <w:rsid w:val="000C4FDD"/>
    <w:rsid w:val="000C505A"/>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D90"/>
    <w:rsid w:val="000C7F98"/>
    <w:rsid w:val="000D02DE"/>
    <w:rsid w:val="000D057E"/>
    <w:rsid w:val="000D0767"/>
    <w:rsid w:val="000D0BAF"/>
    <w:rsid w:val="000D0EA9"/>
    <w:rsid w:val="000D0F51"/>
    <w:rsid w:val="000D1060"/>
    <w:rsid w:val="000D1430"/>
    <w:rsid w:val="000D1560"/>
    <w:rsid w:val="000D15E6"/>
    <w:rsid w:val="000D16BB"/>
    <w:rsid w:val="000D1740"/>
    <w:rsid w:val="000D18EC"/>
    <w:rsid w:val="000D1E63"/>
    <w:rsid w:val="000D22CA"/>
    <w:rsid w:val="000D233B"/>
    <w:rsid w:val="000D26C8"/>
    <w:rsid w:val="000D2A65"/>
    <w:rsid w:val="000D2B02"/>
    <w:rsid w:val="000D2E7E"/>
    <w:rsid w:val="000D3823"/>
    <w:rsid w:val="000D38C0"/>
    <w:rsid w:val="000D39AB"/>
    <w:rsid w:val="000D459F"/>
    <w:rsid w:val="000D45AB"/>
    <w:rsid w:val="000D479A"/>
    <w:rsid w:val="000D4ABE"/>
    <w:rsid w:val="000D4C37"/>
    <w:rsid w:val="000D4C74"/>
    <w:rsid w:val="000D4DA3"/>
    <w:rsid w:val="000D5163"/>
    <w:rsid w:val="000D5739"/>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90A"/>
    <w:rsid w:val="000F0AB5"/>
    <w:rsid w:val="000F0C7E"/>
    <w:rsid w:val="000F0F1F"/>
    <w:rsid w:val="000F12D6"/>
    <w:rsid w:val="000F194E"/>
    <w:rsid w:val="000F1B05"/>
    <w:rsid w:val="000F1F7F"/>
    <w:rsid w:val="000F2301"/>
    <w:rsid w:val="000F2437"/>
    <w:rsid w:val="000F24BD"/>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9B1"/>
    <w:rsid w:val="000F6AA0"/>
    <w:rsid w:val="000F6CF2"/>
    <w:rsid w:val="000F6F76"/>
    <w:rsid w:val="000F72DA"/>
    <w:rsid w:val="000F767D"/>
    <w:rsid w:val="000F7A7C"/>
    <w:rsid w:val="000F7B0C"/>
    <w:rsid w:val="000F7C3F"/>
    <w:rsid w:val="00100018"/>
    <w:rsid w:val="0010018C"/>
    <w:rsid w:val="001008BD"/>
    <w:rsid w:val="00100A3C"/>
    <w:rsid w:val="00101459"/>
    <w:rsid w:val="00101489"/>
    <w:rsid w:val="001018F3"/>
    <w:rsid w:val="00101E44"/>
    <w:rsid w:val="00102297"/>
    <w:rsid w:val="00102ECA"/>
    <w:rsid w:val="0010345D"/>
    <w:rsid w:val="00103736"/>
    <w:rsid w:val="00103BDC"/>
    <w:rsid w:val="00103D26"/>
    <w:rsid w:val="001041BE"/>
    <w:rsid w:val="0010442B"/>
    <w:rsid w:val="0010453C"/>
    <w:rsid w:val="00104CFB"/>
    <w:rsid w:val="00104F88"/>
    <w:rsid w:val="00105612"/>
    <w:rsid w:val="0010599B"/>
    <w:rsid w:val="00105A4A"/>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21C"/>
    <w:rsid w:val="0011230C"/>
    <w:rsid w:val="0011315C"/>
    <w:rsid w:val="001132E3"/>
    <w:rsid w:val="001133D6"/>
    <w:rsid w:val="00113C42"/>
    <w:rsid w:val="00114316"/>
    <w:rsid w:val="00114408"/>
    <w:rsid w:val="00114530"/>
    <w:rsid w:val="00114607"/>
    <w:rsid w:val="00114635"/>
    <w:rsid w:val="00114851"/>
    <w:rsid w:val="00114C74"/>
    <w:rsid w:val="00114F11"/>
    <w:rsid w:val="00115A7D"/>
    <w:rsid w:val="00115B34"/>
    <w:rsid w:val="001164EA"/>
    <w:rsid w:val="001166BB"/>
    <w:rsid w:val="00116778"/>
    <w:rsid w:val="00116AB9"/>
    <w:rsid w:val="00116AEE"/>
    <w:rsid w:val="00116F7E"/>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DA3"/>
    <w:rsid w:val="001243BE"/>
    <w:rsid w:val="00124480"/>
    <w:rsid w:val="00124A38"/>
    <w:rsid w:val="00124DCF"/>
    <w:rsid w:val="00124E5D"/>
    <w:rsid w:val="00124F79"/>
    <w:rsid w:val="00125091"/>
    <w:rsid w:val="001253E2"/>
    <w:rsid w:val="0012646F"/>
    <w:rsid w:val="001268B8"/>
    <w:rsid w:val="00126D04"/>
    <w:rsid w:val="00127299"/>
    <w:rsid w:val="00127AB4"/>
    <w:rsid w:val="00127B0C"/>
    <w:rsid w:val="00127CBB"/>
    <w:rsid w:val="00127E33"/>
    <w:rsid w:val="001300E1"/>
    <w:rsid w:val="0013016F"/>
    <w:rsid w:val="00130247"/>
    <w:rsid w:val="0013044D"/>
    <w:rsid w:val="0013049C"/>
    <w:rsid w:val="00130D2C"/>
    <w:rsid w:val="001311AC"/>
    <w:rsid w:val="001319C1"/>
    <w:rsid w:val="00131AB7"/>
    <w:rsid w:val="00131CA0"/>
    <w:rsid w:val="00131CF4"/>
    <w:rsid w:val="00132154"/>
    <w:rsid w:val="0013247E"/>
    <w:rsid w:val="00132548"/>
    <w:rsid w:val="00132588"/>
    <w:rsid w:val="00132E8E"/>
    <w:rsid w:val="00132EDF"/>
    <w:rsid w:val="001335E4"/>
    <w:rsid w:val="0013396B"/>
    <w:rsid w:val="001339E3"/>
    <w:rsid w:val="00133D6E"/>
    <w:rsid w:val="00133ECA"/>
    <w:rsid w:val="0013400A"/>
    <w:rsid w:val="001345C0"/>
    <w:rsid w:val="001345CD"/>
    <w:rsid w:val="00134A0C"/>
    <w:rsid w:val="00134B94"/>
    <w:rsid w:val="00134BFA"/>
    <w:rsid w:val="00134E81"/>
    <w:rsid w:val="00135055"/>
    <w:rsid w:val="00135524"/>
    <w:rsid w:val="00135588"/>
    <w:rsid w:val="00135DFF"/>
    <w:rsid w:val="00135E89"/>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3241"/>
    <w:rsid w:val="001436EF"/>
    <w:rsid w:val="00143719"/>
    <w:rsid w:val="00143953"/>
    <w:rsid w:val="00143C98"/>
    <w:rsid w:val="00143D79"/>
    <w:rsid w:val="00143F33"/>
    <w:rsid w:val="00144186"/>
    <w:rsid w:val="0014482F"/>
    <w:rsid w:val="00144BF4"/>
    <w:rsid w:val="00144F38"/>
    <w:rsid w:val="0014539D"/>
    <w:rsid w:val="001456F3"/>
    <w:rsid w:val="00145BBE"/>
    <w:rsid w:val="00145DE7"/>
    <w:rsid w:val="00146638"/>
    <w:rsid w:val="00146A04"/>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FD3"/>
    <w:rsid w:val="00152092"/>
    <w:rsid w:val="00152449"/>
    <w:rsid w:val="001524BB"/>
    <w:rsid w:val="001524FF"/>
    <w:rsid w:val="00152739"/>
    <w:rsid w:val="00152907"/>
    <w:rsid w:val="0015290A"/>
    <w:rsid w:val="00152C3C"/>
    <w:rsid w:val="00152FFB"/>
    <w:rsid w:val="001532B8"/>
    <w:rsid w:val="001536EF"/>
    <w:rsid w:val="00153BD5"/>
    <w:rsid w:val="001545BC"/>
    <w:rsid w:val="001547F9"/>
    <w:rsid w:val="00154B1A"/>
    <w:rsid w:val="00154E36"/>
    <w:rsid w:val="00154F6C"/>
    <w:rsid w:val="0015531C"/>
    <w:rsid w:val="00155370"/>
    <w:rsid w:val="001557CA"/>
    <w:rsid w:val="0015598B"/>
    <w:rsid w:val="00155B05"/>
    <w:rsid w:val="0015651A"/>
    <w:rsid w:val="0015673C"/>
    <w:rsid w:val="001577B5"/>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C6"/>
    <w:rsid w:val="00162B66"/>
    <w:rsid w:val="00162F07"/>
    <w:rsid w:val="00163461"/>
    <w:rsid w:val="00163E2C"/>
    <w:rsid w:val="00163EB9"/>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12A"/>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309"/>
    <w:rsid w:val="001743A3"/>
    <w:rsid w:val="001746C5"/>
    <w:rsid w:val="001746DC"/>
    <w:rsid w:val="00174796"/>
    <w:rsid w:val="00174984"/>
    <w:rsid w:val="00174C57"/>
    <w:rsid w:val="00174DB4"/>
    <w:rsid w:val="00174EC1"/>
    <w:rsid w:val="00175072"/>
    <w:rsid w:val="00175C48"/>
    <w:rsid w:val="00175D88"/>
    <w:rsid w:val="00175F8A"/>
    <w:rsid w:val="00176089"/>
    <w:rsid w:val="00176182"/>
    <w:rsid w:val="001764E9"/>
    <w:rsid w:val="00176619"/>
    <w:rsid w:val="00176685"/>
    <w:rsid w:val="0017672B"/>
    <w:rsid w:val="00177270"/>
    <w:rsid w:val="001778B3"/>
    <w:rsid w:val="00177CD5"/>
    <w:rsid w:val="00177F17"/>
    <w:rsid w:val="001803AD"/>
    <w:rsid w:val="00180691"/>
    <w:rsid w:val="001807AB"/>
    <w:rsid w:val="00180D8A"/>
    <w:rsid w:val="00181269"/>
    <w:rsid w:val="0018172B"/>
    <w:rsid w:val="001818D6"/>
    <w:rsid w:val="00181A68"/>
    <w:rsid w:val="00181DDB"/>
    <w:rsid w:val="00181E48"/>
    <w:rsid w:val="001821BF"/>
    <w:rsid w:val="001822A5"/>
    <w:rsid w:val="0018230F"/>
    <w:rsid w:val="0018257B"/>
    <w:rsid w:val="00182BF1"/>
    <w:rsid w:val="00183032"/>
    <w:rsid w:val="001836B8"/>
    <w:rsid w:val="001836CC"/>
    <w:rsid w:val="00183B02"/>
    <w:rsid w:val="00183B6C"/>
    <w:rsid w:val="00184352"/>
    <w:rsid w:val="001843EA"/>
    <w:rsid w:val="00184AC4"/>
    <w:rsid w:val="00184AEA"/>
    <w:rsid w:val="00185020"/>
    <w:rsid w:val="0018546B"/>
    <w:rsid w:val="001855DD"/>
    <w:rsid w:val="00185606"/>
    <w:rsid w:val="00185896"/>
    <w:rsid w:val="00185947"/>
    <w:rsid w:val="00185A10"/>
    <w:rsid w:val="00185E19"/>
    <w:rsid w:val="00185F4B"/>
    <w:rsid w:val="00186A4D"/>
    <w:rsid w:val="00186F4D"/>
    <w:rsid w:val="0018702D"/>
    <w:rsid w:val="00187B32"/>
    <w:rsid w:val="00187B45"/>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C8F"/>
    <w:rsid w:val="00192F95"/>
    <w:rsid w:val="0019314F"/>
    <w:rsid w:val="0019329D"/>
    <w:rsid w:val="001938A5"/>
    <w:rsid w:val="00193CE8"/>
    <w:rsid w:val="00193FCC"/>
    <w:rsid w:val="00193FDB"/>
    <w:rsid w:val="0019444B"/>
    <w:rsid w:val="00194535"/>
    <w:rsid w:val="00194846"/>
    <w:rsid w:val="00194AD3"/>
    <w:rsid w:val="00194E2A"/>
    <w:rsid w:val="001952AC"/>
    <w:rsid w:val="00195477"/>
    <w:rsid w:val="0019560F"/>
    <w:rsid w:val="0019595C"/>
    <w:rsid w:val="00195B41"/>
    <w:rsid w:val="00195B63"/>
    <w:rsid w:val="00195BC5"/>
    <w:rsid w:val="00196047"/>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DDA"/>
    <w:rsid w:val="00197F47"/>
    <w:rsid w:val="001A0375"/>
    <w:rsid w:val="001A046A"/>
    <w:rsid w:val="001A04FE"/>
    <w:rsid w:val="001A0634"/>
    <w:rsid w:val="001A0667"/>
    <w:rsid w:val="001A081C"/>
    <w:rsid w:val="001A0825"/>
    <w:rsid w:val="001A0A0F"/>
    <w:rsid w:val="001A0CB1"/>
    <w:rsid w:val="001A108E"/>
    <w:rsid w:val="001A1093"/>
    <w:rsid w:val="001A11F7"/>
    <w:rsid w:val="001A137E"/>
    <w:rsid w:val="001A1790"/>
    <w:rsid w:val="001A1823"/>
    <w:rsid w:val="001A1EA4"/>
    <w:rsid w:val="001A1FA6"/>
    <w:rsid w:val="001A21F4"/>
    <w:rsid w:val="001A22BE"/>
    <w:rsid w:val="001A2486"/>
    <w:rsid w:val="001A25E4"/>
    <w:rsid w:val="001A2A40"/>
    <w:rsid w:val="001A2AF0"/>
    <w:rsid w:val="001A2DF0"/>
    <w:rsid w:val="001A3C10"/>
    <w:rsid w:val="001A4277"/>
    <w:rsid w:val="001A472B"/>
    <w:rsid w:val="001A4D06"/>
    <w:rsid w:val="001A50DC"/>
    <w:rsid w:val="001A54D3"/>
    <w:rsid w:val="001A5FDE"/>
    <w:rsid w:val="001A600C"/>
    <w:rsid w:val="001A6061"/>
    <w:rsid w:val="001A6074"/>
    <w:rsid w:val="001A6077"/>
    <w:rsid w:val="001A6261"/>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2D7B"/>
    <w:rsid w:val="001B3023"/>
    <w:rsid w:val="001B340B"/>
    <w:rsid w:val="001B375F"/>
    <w:rsid w:val="001B3914"/>
    <w:rsid w:val="001B3C2E"/>
    <w:rsid w:val="001B3E6A"/>
    <w:rsid w:val="001B4006"/>
    <w:rsid w:val="001B4031"/>
    <w:rsid w:val="001B40B3"/>
    <w:rsid w:val="001B40E4"/>
    <w:rsid w:val="001B45B3"/>
    <w:rsid w:val="001B45BF"/>
    <w:rsid w:val="001B45DF"/>
    <w:rsid w:val="001B47C6"/>
    <w:rsid w:val="001B4D77"/>
    <w:rsid w:val="001B4F1E"/>
    <w:rsid w:val="001B5018"/>
    <w:rsid w:val="001B513A"/>
    <w:rsid w:val="001B5165"/>
    <w:rsid w:val="001B529F"/>
    <w:rsid w:val="001B56D2"/>
    <w:rsid w:val="001B58F9"/>
    <w:rsid w:val="001B5CE7"/>
    <w:rsid w:val="001B60BA"/>
    <w:rsid w:val="001B6603"/>
    <w:rsid w:val="001B68E3"/>
    <w:rsid w:val="001B7111"/>
    <w:rsid w:val="001B71D3"/>
    <w:rsid w:val="001B776D"/>
    <w:rsid w:val="001B7A3E"/>
    <w:rsid w:val="001B7E69"/>
    <w:rsid w:val="001C051E"/>
    <w:rsid w:val="001C077D"/>
    <w:rsid w:val="001C07DC"/>
    <w:rsid w:val="001C0B3A"/>
    <w:rsid w:val="001C1078"/>
    <w:rsid w:val="001C1197"/>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519"/>
    <w:rsid w:val="001C5521"/>
    <w:rsid w:val="001C55CF"/>
    <w:rsid w:val="001C5A80"/>
    <w:rsid w:val="001C5D0A"/>
    <w:rsid w:val="001C618D"/>
    <w:rsid w:val="001C6315"/>
    <w:rsid w:val="001C63C7"/>
    <w:rsid w:val="001C6556"/>
    <w:rsid w:val="001C6873"/>
    <w:rsid w:val="001C724F"/>
    <w:rsid w:val="001C74F9"/>
    <w:rsid w:val="001C77B7"/>
    <w:rsid w:val="001C7C15"/>
    <w:rsid w:val="001D015C"/>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3370"/>
    <w:rsid w:val="001D3518"/>
    <w:rsid w:val="001D3567"/>
    <w:rsid w:val="001D35EC"/>
    <w:rsid w:val="001D3881"/>
    <w:rsid w:val="001D38A8"/>
    <w:rsid w:val="001D3BF1"/>
    <w:rsid w:val="001D3C94"/>
    <w:rsid w:val="001D44D1"/>
    <w:rsid w:val="001D47E6"/>
    <w:rsid w:val="001D4836"/>
    <w:rsid w:val="001D4CFE"/>
    <w:rsid w:val="001D5325"/>
    <w:rsid w:val="001D589E"/>
    <w:rsid w:val="001D5B41"/>
    <w:rsid w:val="001D5C20"/>
    <w:rsid w:val="001D5CB9"/>
    <w:rsid w:val="001D5DD6"/>
    <w:rsid w:val="001D5F7D"/>
    <w:rsid w:val="001D6202"/>
    <w:rsid w:val="001D6306"/>
    <w:rsid w:val="001D6BE3"/>
    <w:rsid w:val="001D6FDE"/>
    <w:rsid w:val="001D718F"/>
    <w:rsid w:val="001D7634"/>
    <w:rsid w:val="001D77AC"/>
    <w:rsid w:val="001D7F4B"/>
    <w:rsid w:val="001E00C9"/>
    <w:rsid w:val="001E0216"/>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30A6"/>
    <w:rsid w:val="001E320E"/>
    <w:rsid w:val="001E32FE"/>
    <w:rsid w:val="001E339A"/>
    <w:rsid w:val="001E37E1"/>
    <w:rsid w:val="001E3BC3"/>
    <w:rsid w:val="001E42AD"/>
    <w:rsid w:val="001E4855"/>
    <w:rsid w:val="001E48B9"/>
    <w:rsid w:val="001E4E11"/>
    <w:rsid w:val="001E53FF"/>
    <w:rsid w:val="001E5AE9"/>
    <w:rsid w:val="001E603F"/>
    <w:rsid w:val="001E6390"/>
    <w:rsid w:val="001E667C"/>
    <w:rsid w:val="001E6DFB"/>
    <w:rsid w:val="001E6EC3"/>
    <w:rsid w:val="001E6FFC"/>
    <w:rsid w:val="001E707B"/>
    <w:rsid w:val="001E7277"/>
    <w:rsid w:val="001E75B8"/>
    <w:rsid w:val="001F01F6"/>
    <w:rsid w:val="001F03CF"/>
    <w:rsid w:val="001F0AD1"/>
    <w:rsid w:val="001F10AB"/>
    <w:rsid w:val="001F1845"/>
    <w:rsid w:val="001F1882"/>
    <w:rsid w:val="001F1B1A"/>
    <w:rsid w:val="001F1C74"/>
    <w:rsid w:val="001F1CA6"/>
    <w:rsid w:val="001F1D1B"/>
    <w:rsid w:val="001F1EEB"/>
    <w:rsid w:val="001F2003"/>
    <w:rsid w:val="001F2164"/>
    <w:rsid w:val="001F3AA5"/>
    <w:rsid w:val="001F3B64"/>
    <w:rsid w:val="001F3E29"/>
    <w:rsid w:val="001F3FB7"/>
    <w:rsid w:val="001F3FE3"/>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941"/>
    <w:rsid w:val="0020299E"/>
    <w:rsid w:val="00202BC5"/>
    <w:rsid w:val="00203270"/>
    <w:rsid w:val="00203B4B"/>
    <w:rsid w:val="00203DCF"/>
    <w:rsid w:val="00203E4B"/>
    <w:rsid w:val="00203E4D"/>
    <w:rsid w:val="00204442"/>
    <w:rsid w:val="00204840"/>
    <w:rsid w:val="00204E9A"/>
    <w:rsid w:val="0020571E"/>
    <w:rsid w:val="002057F0"/>
    <w:rsid w:val="00205EF3"/>
    <w:rsid w:val="002063B3"/>
    <w:rsid w:val="00206867"/>
    <w:rsid w:val="00206C2E"/>
    <w:rsid w:val="0020705D"/>
    <w:rsid w:val="00207256"/>
    <w:rsid w:val="0020741A"/>
    <w:rsid w:val="00207941"/>
    <w:rsid w:val="00207BEB"/>
    <w:rsid w:val="00207C6C"/>
    <w:rsid w:val="0021004E"/>
    <w:rsid w:val="00210707"/>
    <w:rsid w:val="002109AD"/>
    <w:rsid w:val="00210E36"/>
    <w:rsid w:val="0021107D"/>
    <w:rsid w:val="00212015"/>
    <w:rsid w:val="002122A3"/>
    <w:rsid w:val="0021235B"/>
    <w:rsid w:val="00212A69"/>
    <w:rsid w:val="00212EB3"/>
    <w:rsid w:val="00212F06"/>
    <w:rsid w:val="0021344D"/>
    <w:rsid w:val="00213484"/>
    <w:rsid w:val="002141FD"/>
    <w:rsid w:val="00214257"/>
    <w:rsid w:val="00214518"/>
    <w:rsid w:val="002146E3"/>
    <w:rsid w:val="00214AC1"/>
    <w:rsid w:val="002151A5"/>
    <w:rsid w:val="00216052"/>
    <w:rsid w:val="00216386"/>
    <w:rsid w:val="002168C8"/>
    <w:rsid w:val="00216D84"/>
    <w:rsid w:val="00216E0A"/>
    <w:rsid w:val="0021721F"/>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3326"/>
    <w:rsid w:val="00223A50"/>
    <w:rsid w:val="00223AF4"/>
    <w:rsid w:val="00223B9E"/>
    <w:rsid w:val="00223C28"/>
    <w:rsid w:val="00223C3C"/>
    <w:rsid w:val="00223D39"/>
    <w:rsid w:val="0022409D"/>
    <w:rsid w:val="00224215"/>
    <w:rsid w:val="0022464C"/>
    <w:rsid w:val="00224ABD"/>
    <w:rsid w:val="00224CEA"/>
    <w:rsid w:val="0022510E"/>
    <w:rsid w:val="00225149"/>
    <w:rsid w:val="00225301"/>
    <w:rsid w:val="0022571B"/>
    <w:rsid w:val="00225736"/>
    <w:rsid w:val="00225BFD"/>
    <w:rsid w:val="0022610F"/>
    <w:rsid w:val="00226946"/>
    <w:rsid w:val="00226ADA"/>
    <w:rsid w:val="00226E42"/>
    <w:rsid w:val="00226F2D"/>
    <w:rsid w:val="0022712E"/>
    <w:rsid w:val="0022733F"/>
    <w:rsid w:val="00227AA1"/>
    <w:rsid w:val="00227BA7"/>
    <w:rsid w:val="00227FA2"/>
    <w:rsid w:val="0023008D"/>
    <w:rsid w:val="00230309"/>
    <w:rsid w:val="00230548"/>
    <w:rsid w:val="00230624"/>
    <w:rsid w:val="00230B69"/>
    <w:rsid w:val="00230BEA"/>
    <w:rsid w:val="00230E5C"/>
    <w:rsid w:val="00230EF7"/>
    <w:rsid w:val="0023103E"/>
    <w:rsid w:val="002312E2"/>
    <w:rsid w:val="002312E9"/>
    <w:rsid w:val="00231447"/>
    <w:rsid w:val="00231584"/>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EB7"/>
    <w:rsid w:val="00237F9D"/>
    <w:rsid w:val="00240032"/>
    <w:rsid w:val="002402E2"/>
    <w:rsid w:val="00240A14"/>
    <w:rsid w:val="00240AAC"/>
    <w:rsid w:val="00240B82"/>
    <w:rsid w:val="00240D96"/>
    <w:rsid w:val="00240EF7"/>
    <w:rsid w:val="0024138F"/>
    <w:rsid w:val="002413B5"/>
    <w:rsid w:val="00242179"/>
    <w:rsid w:val="00242182"/>
    <w:rsid w:val="0024225A"/>
    <w:rsid w:val="002422AF"/>
    <w:rsid w:val="00242A0D"/>
    <w:rsid w:val="00242AC7"/>
    <w:rsid w:val="00242E3E"/>
    <w:rsid w:val="002430D9"/>
    <w:rsid w:val="0024328E"/>
    <w:rsid w:val="0024336E"/>
    <w:rsid w:val="002434EA"/>
    <w:rsid w:val="00243546"/>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7177"/>
    <w:rsid w:val="00247346"/>
    <w:rsid w:val="0024765C"/>
    <w:rsid w:val="00247F92"/>
    <w:rsid w:val="0025014A"/>
    <w:rsid w:val="0025054F"/>
    <w:rsid w:val="00250908"/>
    <w:rsid w:val="00250BC5"/>
    <w:rsid w:val="00250F39"/>
    <w:rsid w:val="00251175"/>
    <w:rsid w:val="00251287"/>
    <w:rsid w:val="00251711"/>
    <w:rsid w:val="00251A3D"/>
    <w:rsid w:val="00251C69"/>
    <w:rsid w:val="00251DFA"/>
    <w:rsid w:val="00251E03"/>
    <w:rsid w:val="00251E26"/>
    <w:rsid w:val="00251EF5"/>
    <w:rsid w:val="002521D2"/>
    <w:rsid w:val="00252392"/>
    <w:rsid w:val="002527ED"/>
    <w:rsid w:val="002529A7"/>
    <w:rsid w:val="002530EC"/>
    <w:rsid w:val="00253433"/>
    <w:rsid w:val="00253A5E"/>
    <w:rsid w:val="00253AB7"/>
    <w:rsid w:val="00253C8F"/>
    <w:rsid w:val="00253CA8"/>
    <w:rsid w:val="00254313"/>
    <w:rsid w:val="00254443"/>
    <w:rsid w:val="002545EE"/>
    <w:rsid w:val="00254A22"/>
    <w:rsid w:val="00254A5A"/>
    <w:rsid w:val="00254A65"/>
    <w:rsid w:val="00255086"/>
    <w:rsid w:val="002551F3"/>
    <w:rsid w:val="0025537D"/>
    <w:rsid w:val="0025555C"/>
    <w:rsid w:val="002557AC"/>
    <w:rsid w:val="002558C2"/>
    <w:rsid w:val="00255DFB"/>
    <w:rsid w:val="00255EF9"/>
    <w:rsid w:val="0025600D"/>
    <w:rsid w:val="0025602C"/>
    <w:rsid w:val="002560E3"/>
    <w:rsid w:val="00256250"/>
    <w:rsid w:val="0025643E"/>
    <w:rsid w:val="0025667C"/>
    <w:rsid w:val="00256788"/>
    <w:rsid w:val="002568B7"/>
    <w:rsid w:val="00256AF9"/>
    <w:rsid w:val="0026001E"/>
    <w:rsid w:val="00260454"/>
    <w:rsid w:val="002608FA"/>
    <w:rsid w:val="00260A82"/>
    <w:rsid w:val="00260EC5"/>
    <w:rsid w:val="00260FC3"/>
    <w:rsid w:val="00261674"/>
    <w:rsid w:val="0026179F"/>
    <w:rsid w:val="002617B0"/>
    <w:rsid w:val="002618A7"/>
    <w:rsid w:val="00261984"/>
    <w:rsid w:val="0026200E"/>
    <w:rsid w:val="00262215"/>
    <w:rsid w:val="00262495"/>
    <w:rsid w:val="002626F1"/>
    <w:rsid w:val="00262746"/>
    <w:rsid w:val="00262C28"/>
    <w:rsid w:val="00262C9C"/>
    <w:rsid w:val="00263003"/>
    <w:rsid w:val="00263154"/>
    <w:rsid w:val="00263554"/>
    <w:rsid w:val="00263892"/>
    <w:rsid w:val="002638CE"/>
    <w:rsid w:val="002638DF"/>
    <w:rsid w:val="002639BA"/>
    <w:rsid w:val="002639F3"/>
    <w:rsid w:val="00263C1D"/>
    <w:rsid w:val="00264075"/>
    <w:rsid w:val="002640A1"/>
    <w:rsid w:val="0026414F"/>
    <w:rsid w:val="00264A54"/>
    <w:rsid w:val="00264BA1"/>
    <w:rsid w:val="00264DFA"/>
    <w:rsid w:val="00264FA9"/>
    <w:rsid w:val="00265033"/>
    <w:rsid w:val="002650CC"/>
    <w:rsid w:val="00265514"/>
    <w:rsid w:val="0026563F"/>
    <w:rsid w:val="00265C85"/>
    <w:rsid w:val="0026624D"/>
    <w:rsid w:val="00266960"/>
    <w:rsid w:val="00266E89"/>
    <w:rsid w:val="00267245"/>
    <w:rsid w:val="0026748F"/>
    <w:rsid w:val="002675C4"/>
    <w:rsid w:val="002676F3"/>
    <w:rsid w:val="0026777F"/>
    <w:rsid w:val="00267C35"/>
    <w:rsid w:val="00270103"/>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CB7"/>
    <w:rsid w:val="00276456"/>
    <w:rsid w:val="002766A6"/>
    <w:rsid w:val="00276827"/>
    <w:rsid w:val="00276CCA"/>
    <w:rsid w:val="00276E93"/>
    <w:rsid w:val="002771A6"/>
    <w:rsid w:val="00277348"/>
    <w:rsid w:val="00277389"/>
    <w:rsid w:val="002773C8"/>
    <w:rsid w:val="002774C5"/>
    <w:rsid w:val="002779F0"/>
    <w:rsid w:val="00277B67"/>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B7F"/>
    <w:rsid w:val="00282D64"/>
    <w:rsid w:val="002835CB"/>
    <w:rsid w:val="00283970"/>
    <w:rsid w:val="00283ADC"/>
    <w:rsid w:val="002840D5"/>
    <w:rsid w:val="0028416B"/>
    <w:rsid w:val="00284377"/>
    <w:rsid w:val="00284898"/>
    <w:rsid w:val="0028495E"/>
    <w:rsid w:val="00284A79"/>
    <w:rsid w:val="00284B7C"/>
    <w:rsid w:val="00284CB3"/>
    <w:rsid w:val="00284D03"/>
    <w:rsid w:val="00285467"/>
    <w:rsid w:val="002856AF"/>
    <w:rsid w:val="0028598E"/>
    <w:rsid w:val="00285CC1"/>
    <w:rsid w:val="00285D9A"/>
    <w:rsid w:val="00285F1F"/>
    <w:rsid w:val="00286212"/>
    <w:rsid w:val="00286537"/>
    <w:rsid w:val="00286692"/>
    <w:rsid w:val="00286969"/>
    <w:rsid w:val="00286FF4"/>
    <w:rsid w:val="002874F6"/>
    <w:rsid w:val="00287BC0"/>
    <w:rsid w:val="00287E61"/>
    <w:rsid w:val="00290177"/>
    <w:rsid w:val="00290CD9"/>
    <w:rsid w:val="00290E99"/>
    <w:rsid w:val="00291321"/>
    <w:rsid w:val="002918DD"/>
    <w:rsid w:val="00291B6D"/>
    <w:rsid w:val="00291DD8"/>
    <w:rsid w:val="002921AF"/>
    <w:rsid w:val="0029237E"/>
    <w:rsid w:val="0029241D"/>
    <w:rsid w:val="0029273E"/>
    <w:rsid w:val="0029297E"/>
    <w:rsid w:val="00292A4A"/>
    <w:rsid w:val="00292FE7"/>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A79A0"/>
    <w:rsid w:val="002A976D"/>
    <w:rsid w:val="002B0BB4"/>
    <w:rsid w:val="002B0F22"/>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2BF"/>
    <w:rsid w:val="002B635A"/>
    <w:rsid w:val="002B7030"/>
    <w:rsid w:val="002B70DB"/>
    <w:rsid w:val="002B72EA"/>
    <w:rsid w:val="002B777B"/>
    <w:rsid w:val="002B7B7E"/>
    <w:rsid w:val="002C0856"/>
    <w:rsid w:val="002C0B8E"/>
    <w:rsid w:val="002C0BF2"/>
    <w:rsid w:val="002C0CA9"/>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1C2"/>
    <w:rsid w:val="002C7A2A"/>
    <w:rsid w:val="002D0162"/>
    <w:rsid w:val="002D01AA"/>
    <w:rsid w:val="002D037B"/>
    <w:rsid w:val="002D08D1"/>
    <w:rsid w:val="002D0B9F"/>
    <w:rsid w:val="002D10D8"/>
    <w:rsid w:val="002D12EF"/>
    <w:rsid w:val="002D18C2"/>
    <w:rsid w:val="002D19AB"/>
    <w:rsid w:val="002D1B14"/>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F08"/>
    <w:rsid w:val="002D6518"/>
    <w:rsid w:val="002D713C"/>
    <w:rsid w:val="002D7223"/>
    <w:rsid w:val="002D7455"/>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669"/>
    <w:rsid w:val="002E77A1"/>
    <w:rsid w:val="002E7EF8"/>
    <w:rsid w:val="002F015D"/>
    <w:rsid w:val="002F0215"/>
    <w:rsid w:val="002F0519"/>
    <w:rsid w:val="002F05AC"/>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1FEB"/>
    <w:rsid w:val="002F2801"/>
    <w:rsid w:val="002F282A"/>
    <w:rsid w:val="002F2A37"/>
    <w:rsid w:val="002F2FD1"/>
    <w:rsid w:val="002F319A"/>
    <w:rsid w:val="002F3603"/>
    <w:rsid w:val="002F3609"/>
    <w:rsid w:val="002F3D70"/>
    <w:rsid w:val="002F4C0B"/>
    <w:rsid w:val="002F5292"/>
    <w:rsid w:val="002F5422"/>
    <w:rsid w:val="002F5549"/>
    <w:rsid w:val="002F5B91"/>
    <w:rsid w:val="002F5C3C"/>
    <w:rsid w:val="002F5E2A"/>
    <w:rsid w:val="002F6344"/>
    <w:rsid w:val="002F64C4"/>
    <w:rsid w:val="002F6747"/>
    <w:rsid w:val="002F68ED"/>
    <w:rsid w:val="002F695D"/>
    <w:rsid w:val="002F6B2A"/>
    <w:rsid w:val="002F6F6D"/>
    <w:rsid w:val="002F7025"/>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59"/>
    <w:rsid w:val="00303F65"/>
    <w:rsid w:val="00304026"/>
    <w:rsid w:val="00304041"/>
    <w:rsid w:val="00304BA1"/>
    <w:rsid w:val="00304BB4"/>
    <w:rsid w:val="00304E03"/>
    <w:rsid w:val="00304E26"/>
    <w:rsid w:val="00304FF7"/>
    <w:rsid w:val="003050FE"/>
    <w:rsid w:val="00305813"/>
    <w:rsid w:val="003059C1"/>
    <w:rsid w:val="003061FE"/>
    <w:rsid w:val="003062F9"/>
    <w:rsid w:val="003064A7"/>
    <w:rsid w:val="003064BF"/>
    <w:rsid w:val="00306745"/>
    <w:rsid w:val="003069F4"/>
    <w:rsid w:val="00307373"/>
    <w:rsid w:val="0030740B"/>
    <w:rsid w:val="00307731"/>
    <w:rsid w:val="0030789E"/>
    <w:rsid w:val="003078F1"/>
    <w:rsid w:val="00307921"/>
    <w:rsid w:val="0030793D"/>
    <w:rsid w:val="00307948"/>
    <w:rsid w:val="00307B11"/>
    <w:rsid w:val="00307E12"/>
    <w:rsid w:val="00307FCC"/>
    <w:rsid w:val="00310121"/>
    <w:rsid w:val="003103B8"/>
    <w:rsid w:val="003107AD"/>
    <w:rsid w:val="00310B23"/>
    <w:rsid w:val="00310B34"/>
    <w:rsid w:val="00310BB2"/>
    <w:rsid w:val="00310F5D"/>
    <w:rsid w:val="00311C90"/>
    <w:rsid w:val="00311D09"/>
    <w:rsid w:val="00311D80"/>
    <w:rsid w:val="00311E88"/>
    <w:rsid w:val="00311ED1"/>
    <w:rsid w:val="0031210E"/>
    <w:rsid w:val="00312463"/>
    <w:rsid w:val="00312552"/>
    <w:rsid w:val="0031268E"/>
    <w:rsid w:val="00312728"/>
    <w:rsid w:val="003127E4"/>
    <w:rsid w:val="00312940"/>
    <w:rsid w:val="00312ACD"/>
    <w:rsid w:val="00312D8A"/>
    <w:rsid w:val="00313071"/>
    <w:rsid w:val="003133DF"/>
    <w:rsid w:val="00313926"/>
    <w:rsid w:val="00313CD6"/>
    <w:rsid w:val="003140D4"/>
    <w:rsid w:val="0031427E"/>
    <w:rsid w:val="003147EA"/>
    <w:rsid w:val="00314972"/>
    <w:rsid w:val="00314F94"/>
    <w:rsid w:val="00314FA3"/>
    <w:rsid w:val="003153F5"/>
    <w:rsid w:val="00315821"/>
    <w:rsid w:val="00315AFC"/>
    <w:rsid w:val="00315B71"/>
    <w:rsid w:val="00316019"/>
    <w:rsid w:val="00316350"/>
    <w:rsid w:val="00316511"/>
    <w:rsid w:val="003168B9"/>
    <w:rsid w:val="00316A98"/>
    <w:rsid w:val="00316E66"/>
    <w:rsid w:val="00316F42"/>
    <w:rsid w:val="00317038"/>
    <w:rsid w:val="0031752F"/>
    <w:rsid w:val="0031756F"/>
    <w:rsid w:val="003176CB"/>
    <w:rsid w:val="00317947"/>
    <w:rsid w:val="00317AF7"/>
    <w:rsid w:val="00317D1A"/>
    <w:rsid w:val="0032007A"/>
    <w:rsid w:val="00320831"/>
    <w:rsid w:val="00320CBD"/>
    <w:rsid w:val="0032113B"/>
    <w:rsid w:val="003213A7"/>
    <w:rsid w:val="00321453"/>
    <w:rsid w:val="003215A6"/>
    <w:rsid w:val="00321BEF"/>
    <w:rsid w:val="00321C3C"/>
    <w:rsid w:val="00321C42"/>
    <w:rsid w:val="00321C8D"/>
    <w:rsid w:val="00322139"/>
    <w:rsid w:val="003223A6"/>
    <w:rsid w:val="003223E4"/>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640A"/>
    <w:rsid w:val="003366FA"/>
    <w:rsid w:val="00336913"/>
    <w:rsid w:val="00336D85"/>
    <w:rsid w:val="00336E8E"/>
    <w:rsid w:val="00337080"/>
    <w:rsid w:val="003373EA"/>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672"/>
    <w:rsid w:val="003508AF"/>
    <w:rsid w:val="003508D2"/>
    <w:rsid w:val="003508F9"/>
    <w:rsid w:val="0035099E"/>
    <w:rsid w:val="00350D97"/>
    <w:rsid w:val="00350EDE"/>
    <w:rsid w:val="00350F01"/>
    <w:rsid w:val="00350FEE"/>
    <w:rsid w:val="00350FF2"/>
    <w:rsid w:val="00351379"/>
    <w:rsid w:val="003515AA"/>
    <w:rsid w:val="0035194A"/>
    <w:rsid w:val="00351A48"/>
    <w:rsid w:val="00351AE4"/>
    <w:rsid w:val="00351C76"/>
    <w:rsid w:val="00351C8C"/>
    <w:rsid w:val="00351E13"/>
    <w:rsid w:val="00351EEC"/>
    <w:rsid w:val="00351F50"/>
    <w:rsid w:val="00352497"/>
    <w:rsid w:val="0035263B"/>
    <w:rsid w:val="003527F8"/>
    <w:rsid w:val="0035297B"/>
    <w:rsid w:val="00352E68"/>
    <w:rsid w:val="0035315E"/>
    <w:rsid w:val="00353930"/>
    <w:rsid w:val="003539B5"/>
    <w:rsid w:val="00353D0F"/>
    <w:rsid w:val="00353D76"/>
    <w:rsid w:val="00353FA5"/>
    <w:rsid w:val="00354898"/>
    <w:rsid w:val="0035495B"/>
    <w:rsid w:val="00354A31"/>
    <w:rsid w:val="00354AF5"/>
    <w:rsid w:val="00354E59"/>
    <w:rsid w:val="00354FF1"/>
    <w:rsid w:val="0035505B"/>
    <w:rsid w:val="00355159"/>
    <w:rsid w:val="0035525F"/>
    <w:rsid w:val="0035556C"/>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EAD"/>
    <w:rsid w:val="0036615F"/>
    <w:rsid w:val="00366500"/>
    <w:rsid w:val="003665B3"/>
    <w:rsid w:val="003703BA"/>
    <w:rsid w:val="0037049F"/>
    <w:rsid w:val="003704DD"/>
    <w:rsid w:val="00370656"/>
    <w:rsid w:val="00370A3C"/>
    <w:rsid w:val="00370CBE"/>
    <w:rsid w:val="00371180"/>
    <w:rsid w:val="00371261"/>
    <w:rsid w:val="003712F7"/>
    <w:rsid w:val="0037151A"/>
    <w:rsid w:val="003715CC"/>
    <w:rsid w:val="003721A4"/>
    <w:rsid w:val="00372376"/>
    <w:rsid w:val="003725BC"/>
    <w:rsid w:val="003727A2"/>
    <w:rsid w:val="0037289D"/>
    <w:rsid w:val="00372A2D"/>
    <w:rsid w:val="00372A9F"/>
    <w:rsid w:val="00372E0C"/>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8F1"/>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7C"/>
    <w:rsid w:val="0038348B"/>
    <w:rsid w:val="003837AD"/>
    <w:rsid w:val="00383810"/>
    <w:rsid w:val="003838A3"/>
    <w:rsid w:val="00383CB0"/>
    <w:rsid w:val="00383F50"/>
    <w:rsid w:val="003845ED"/>
    <w:rsid w:val="003846AE"/>
    <w:rsid w:val="003846D8"/>
    <w:rsid w:val="0038482C"/>
    <w:rsid w:val="00384CD5"/>
    <w:rsid w:val="00384E9D"/>
    <w:rsid w:val="0038525A"/>
    <w:rsid w:val="003852C2"/>
    <w:rsid w:val="003855FB"/>
    <w:rsid w:val="00385687"/>
    <w:rsid w:val="0038599E"/>
    <w:rsid w:val="00385C35"/>
    <w:rsid w:val="00385F44"/>
    <w:rsid w:val="00385FD3"/>
    <w:rsid w:val="0038608B"/>
    <w:rsid w:val="003860C9"/>
    <w:rsid w:val="003861BA"/>
    <w:rsid w:val="00386337"/>
    <w:rsid w:val="003867A2"/>
    <w:rsid w:val="003867B9"/>
    <w:rsid w:val="003869B6"/>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213E"/>
    <w:rsid w:val="003922A6"/>
    <w:rsid w:val="00392319"/>
    <w:rsid w:val="00392D2D"/>
    <w:rsid w:val="0039337A"/>
    <w:rsid w:val="00393888"/>
    <w:rsid w:val="003938B5"/>
    <w:rsid w:val="00393A74"/>
    <w:rsid w:val="00393AF7"/>
    <w:rsid w:val="00393BE6"/>
    <w:rsid w:val="00394062"/>
    <w:rsid w:val="00394698"/>
    <w:rsid w:val="00394844"/>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341"/>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564"/>
    <w:rsid w:val="003B096D"/>
    <w:rsid w:val="003B0C18"/>
    <w:rsid w:val="003B11C5"/>
    <w:rsid w:val="003B143B"/>
    <w:rsid w:val="003B16D5"/>
    <w:rsid w:val="003B18C3"/>
    <w:rsid w:val="003B1CD0"/>
    <w:rsid w:val="003B1DB0"/>
    <w:rsid w:val="003B2195"/>
    <w:rsid w:val="003B2259"/>
    <w:rsid w:val="003B2498"/>
    <w:rsid w:val="003B2550"/>
    <w:rsid w:val="003B2EE6"/>
    <w:rsid w:val="003B3137"/>
    <w:rsid w:val="003B323C"/>
    <w:rsid w:val="003B325B"/>
    <w:rsid w:val="003B331A"/>
    <w:rsid w:val="003B3D2A"/>
    <w:rsid w:val="003B3E6D"/>
    <w:rsid w:val="003B4163"/>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64B"/>
    <w:rsid w:val="003C18BF"/>
    <w:rsid w:val="003C1AC0"/>
    <w:rsid w:val="003C226E"/>
    <w:rsid w:val="003C227B"/>
    <w:rsid w:val="003C2714"/>
    <w:rsid w:val="003C2885"/>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1059"/>
    <w:rsid w:val="003D1490"/>
    <w:rsid w:val="003D1C9B"/>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C3"/>
    <w:rsid w:val="003D4357"/>
    <w:rsid w:val="003D460A"/>
    <w:rsid w:val="003D475D"/>
    <w:rsid w:val="003D4A2A"/>
    <w:rsid w:val="003D4C26"/>
    <w:rsid w:val="003D4CF1"/>
    <w:rsid w:val="003D4EC7"/>
    <w:rsid w:val="003D4FD8"/>
    <w:rsid w:val="003D51AC"/>
    <w:rsid w:val="003D527E"/>
    <w:rsid w:val="003D579E"/>
    <w:rsid w:val="003D5A59"/>
    <w:rsid w:val="003D5BD4"/>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C4B"/>
    <w:rsid w:val="003E11A5"/>
    <w:rsid w:val="003E1329"/>
    <w:rsid w:val="003E151F"/>
    <w:rsid w:val="003E162B"/>
    <w:rsid w:val="003E1892"/>
    <w:rsid w:val="003E2038"/>
    <w:rsid w:val="003E25EC"/>
    <w:rsid w:val="003E26E3"/>
    <w:rsid w:val="003E29A0"/>
    <w:rsid w:val="003E2B34"/>
    <w:rsid w:val="003E2F47"/>
    <w:rsid w:val="003E312B"/>
    <w:rsid w:val="003E38BD"/>
    <w:rsid w:val="003E3A15"/>
    <w:rsid w:val="003E3B81"/>
    <w:rsid w:val="003E3E5C"/>
    <w:rsid w:val="003E3E8A"/>
    <w:rsid w:val="003E4186"/>
    <w:rsid w:val="003E4524"/>
    <w:rsid w:val="003E4665"/>
    <w:rsid w:val="003E4819"/>
    <w:rsid w:val="003E4B3F"/>
    <w:rsid w:val="003E4CED"/>
    <w:rsid w:val="003E4E5B"/>
    <w:rsid w:val="003E5070"/>
    <w:rsid w:val="003E52AD"/>
    <w:rsid w:val="003E56FD"/>
    <w:rsid w:val="003E5702"/>
    <w:rsid w:val="003E5916"/>
    <w:rsid w:val="003E5C62"/>
    <w:rsid w:val="003E5C80"/>
    <w:rsid w:val="003E611F"/>
    <w:rsid w:val="003E6738"/>
    <w:rsid w:val="003E676A"/>
    <w:rsid w:val="003E6821"/>
    <w:rsid w:val="003E6F80"/>
    <w:rsid w:val="003E71C6"/>
    <w:rsid w:val="003E7298"/>
    <w:rsid w:val="003E7483"/>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39"/>
    <w:rsid w:val="003F3972"/>
    <w:rsid w:val="003F3B05"/>
    <w:rsid w:val="003F3E78"/>
    <w:rsid w:val="003F3F1E"/>
    <w:rsid w:val="003F3F82"/>
    <w:rsid w:val="003F41CD"/>
    <w:rsid w:val="003F4372"/>
    <w:rsid w:val="003F4503"/>
    <w:rsid w:val="003F45AB"/>
    <w:rsid w:val="003F49A4"/>
    <w:rsid w:val="003F4A5D"/>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079"/>
    <w:rsid w:val="0041681D"/>
    <w:rsid w:val="0041689B"/>
    <w:rsid w:val="00416A1D"/>
    <w:rsid w:val="00416C8D"/>
    <w:rsid w:val="00416D4A"/>
    <w:rsid w:val="00416E5D"/>
    <w:rsid w:val="00417474"/>
    <w:rsid w:val="00417D28"/>
    <w:rsid w:val="00417FA0"/>
    <w:rsid w:val="00420362"/>
    <w:rsid w:val="0042061F"/>
    <w:rsid w:val="00420885"/>
    <w:rsid w:val="00420AF1"/>
    <w:rsid w:val="00421031"/>
    <w:rsid w:val="0042138D"/>
    <w:rsid w:val="004218C2"/>
    <w:rsid w:val="004219F6"/>
    <w:rsid w:val="00422067"/>
    <w:rsid w:val="004220A9"/>
    <w:rsid w:val="004220E7"/>
    <w:rsid w:val="004227D8"/>
    <w:rsid w:val="00422B85"/>
    <w:rsid w:val="00422C2A"/>
    <w:rsid w:val="00423122"/>
    <w:rsid w:val="00423223"/>
    <w:rsid w:val="00423395"/>
    <w:rsid w:val="00423415"/>
    <w:rsid w:val="00423780"/>
    <w:rsid w:val="0042388E"/>
    <w:rsid w:val="00423D58"/>
    <w:rsid w:val="00423E22"/>
    <w:rsid w:val="00423F49"/>
    <w:rsid w:val="004240A9"/>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D1"/>
    <w:rsid w:val="004355E8"/>
    <w:rsid w:val="00435684"/>
    <w:rsid w:val="00435941"/>
    <w:rsid w:val="00435E62"/>
    <w:rsid w:val="0043629B"/>
    <w:rsid w:val="00436312"/>
    <w:rsid w:val="004367C8"/>
    <w:rsid w:val="0043681F"/>
    <w:rsid w:val="00436D54"/>
    <w:rsid w:val="00437069"/>
    <w:rsid w:val="004370C4"/>
    <w:rsid w:val="0043724E"/>
    <w:rsid w:val="004372AB"/>
    <w:rsid w:val="00437C19"/>
    <w:rsid w:val="004400D7"/>
    <w:rsid w:val="00440203"/>
    <w:rsid w:val="0044029E"/>
    <w:rsid w:val="00440BC9"/>
    <w:rsid w:val="00440BEB"/>
    <w:rsid w:val="00440E4C"/>
    <w:rsid w:val="004413F3"/>
    <w:rsid w:val="00441780"/>
    <w:rsid w:val="00441BCB"/>
    <w:rsid w:val="00441C4B"/>
    <w:rsid w:val="00441FE3"/>
    <w:rsid w:val="00442009"/>
    <w:rsid w:val="0044232F"/>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81E"/>
    <w:rsid w:val="0044598A"/>
    <w:rsid w:val="00445E8A"/>
    <w:rsid w:val="00446058"/>
    <w:rsid w:val="00446159"/>
    <w:rsid w:val="004462C3"/>
    <w:rsid w:val="0044681E"/>
    <w:rsid w:val="00446CBE"/>
    <w:rsid w:val="00446EC0"/>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69A4"/>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98E"/>
    <w:rsid w:val="00474B3B"/>
    <w:rsid w:val="00474E57"/>
    <w:rsid w:val="004750CC"/>
    <w:rsid w:val="004759BE"/>
    <w:rsid w:val="00475A21"/>
    <w:rsid w:val="00475BD7"/>
    <w:rsid w:val="00475E64"/>
    <w:rsid w:val="00475F0E"/>
    <w:rsid w:val="00475FB9"/>
    <w:rsid w:val="00475FDD"/>
    <w:rsid w:val="00476233"/>
    <w:rsid w:val="0047637F"/>
    <w:rsid w:val="0047685D"/>
    <w:rsid w:val="00476A4B"/>
    <w:rsid w:val="00476F11"/>
    <w:rsid w:val="004771D6"/>
    <w:rsid w:val="0047790A"/>
    <w:rsid w:val="00477941"/>
    <w:rsid w:val="00477AA7"/>
    <w:rsid w:val="00477ABF"/>
    <w:rsid w:val="00477AD3"/>
    <w:rsid w:val="00477BB8"/>
    <w:rsid w:val="00477C46"/>
    <w:rsid w:val="00477CFA"/>
    <w:rsid w:val="00480418"/>
    <w:rsid w:val="00480654"/>
    <w:rsid w:val="0048084E"/>
    <w:rsid w:val="004810EA"/>
    <w:rsid w:val="00481687"/>
    <w:rsid w:val="004818C2"/>
    <w:rsid w:val="00481AE6"/>
    <w:rsid w:val="00481AF3"/>
    <w:rsid w:val="00481E07"/>
    <w:rsid w:val="00482050"/>
    <w:rsid w:val="00482186"/>
    <w:rsid w:val="00482287"/>
    <w:rsid w:val="0048258A"/>
    <w:rsid w:val="00482635"/>
    <w:rsid w:val="00482A4B"/>
    <w:rsid w:val="00482B8C"/>
    <w:rsid w:val="00482C15"/>
    <w:rsid w:val="00482D64"/>
    <w:rsid w:val="00483AA9"/>
    <w:rsid w:val="00483CA1"/>
    <w:rsid w:val="00483CB4"/>
    <w:rsid w:val="00483CE6"/>
    <w:rsid w:val="00483E80"/>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6E"/>
    <w:rsid w:val="00486BF1"/>
    <w:rsid w:val="00487508"/>
    <w:rsid w:val="0048764B"/>
    <w:rsid w:val="00487877"/>
    <w:rsid w:val="00487961"/>
    <w:rsid w:val="00487DA8"/>
    <w:rsid w:val="00487E97"/>
    <w:rsid w:val="00487FB7"/>
    <w:rsid w:val="004906F4"/>
    <w:rsid w:val="00490962"/>
    <w:rsid w:val="00490B1C"/>
    <w:rsid w:val="00491466"/>
    <w:rsid w:val="00491691"/>
    <w:rsid w:val="0049179F"/>
    <w:rsid w:val="0049185F"/>
    <w:rsid w:val="00491918"/>
    <w:rsid w:val="00491C7C"/>
    <w:rsid w:val="00491C8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680"/>
    <w:rsid w:val="004977AA"/>
    <w:rsid w:val="0049785F"/>
    <w:rsid w:val="00497F87"/>
    <w:rsid w:val="004A0850"/>
    <w:rsid w:val="004A0AD5"/>
    <w:rsid w:val="004A0D02"/>
    <w:rsid w:val="004A1308"/>
    <w:rsid w:val="004A17D2"/>
    <w:rsid w:val="004A1AA3"/>
    <w:rsid w:val="004A1C47"/>
    <w:rsid w:val="004A1F44"/>
    <w:rsid w:val="004A2098"/>
    <w:rsid w:val="004A20B8"/>
    <w:rsid w:val="004A2122"/>
    <w:rsid w:val="004A2290"/>
    <w:rsid w:val="004A243B"/>
    <w:rsid w:val="004A25B4"/>
    <w:rsid w:val="004A2E4D"/>
    <w:rsid w:val="004A30ED"/>
    <w:rsid w:val="004A316A"/>
    <w:rsid w:val="004A329C"/>
    <w:rsid w:val="004A3470"/>
    <w:rsid w:val="004A3695"/>
    <w:rsid w:val="004A37A2"/>
    <w:rsid w:val="004A3E19"/>
    <w:rsid w:val="004A40CB"/>
    <w:rsid w:val="004A4102"/>
    <w:rsid w:val="004A418B"/>
    <w:rsid w:val="004A443B"/>
    <w:rsid w:val="004A4654"/>
    <w:rsid w:val="004A484D"/>
    <w:rsid w:val="004A4C91"/>
    <w:rsid w:val="004A4D7D"/>
    <w:rsid w:val="004A501D"/>
    <w:rsid w:val="004A51E1"/>
    <w:rsid w:val="004A52FC"/>
    <w:rsid w:val="004A5324"/>
    <w:rsid w:val="004A5836"/>
    <w:rsid w:val="004A5A7E"/>
    <w:rsid w:val="004A5B24"/>
    <w:rsid w:val="004A5B95"/>
    <w:rsid w:val="004A5F96"/>
    <w:rsid w:val="004A5FF8"/>
    <w:rsid w:val="004A61DB"/>
    <w:rsid w:val="004A6704"/>
    <w:rsid w:val="004A6D78"/>
    <w:rsid w:val="004A7D01"/>
    <w:rsid w:val="004A7FB9"/>
    <w:rsid w:val="004B0A12"/>
    <w:rsid w:val="004B0C7E"/>
    <w:rsid w:val="004B0E91"/>
    <w:rsid w:val="004B0F50"/>
    <w:rsid w:val="004B10A9"/>
    <w:rsid w:val="004B1475"/>
    <w:rsid w:val="004B1A22"/>
    <w:rsid w:val="004B1CA0"/>
    <w:rsid w:val="004B1D9A"/>
    <w:rsid w:val="004B207A"/>
    <w:rsid w:val="004B2833"/>
    <w:rsid w:val="004B2A7D"/>
    <w:rsid w:val="004B2F3C"/>
    <w:rsid w:val="004B3189"/>
    <w:rsid w:val="004B31DB"/>
    <w:rsid w:val="004B33A0"/>
    <w:rsid w:val="004B34FE"/>
    <w:rsid w:val="004B36F0"/>
    <w:rsid w:val="004B386A"/>
    <w:rsid w:val="004B3950"/>
    <w:rsid w:val="004B3B0F"/>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C0197"/>
    <w:rsid w:val="004C0464"/>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62D"/>
    <w:rsid w:val="004C6964"/>
    <w:rsid w:val="004C6A79"/>
    <w:rsid w:val="004C6CE6"/>
    <w:rsid w:val="004C6E29"/>
    <w:rsid w:val="004C743C"/>
    <w:rsid w:val="004C77E8"/>
    <w:rsid w:val="004C77EC"/>
    <w:rsid w:val="004C782B"/>
    <w:rsid w:val="004D0169"/>
    <w:rsid w:val="004D0466"/>
    <w:rsid w:val="004D05D0"/>
    <w:rsid w:val="004D06E5"/>
    <w:rsid w:val="004D0E08"/>
    <w:rsid w:val="004D0EF0"/>
    <w:rsid w:val="004D1061"/>
    <w:rsid w:val="004D15B2"/>
    <w:rsid w:val="004D18D7"/>
    <w:rsid w:val="004D18DD"/>
    <w:rsid w:val="004D1A4A"/>
    <w:rsid w:val="004D1FF0"/>
    <w:rsid w:val="004D2019"/>
    <w:rsid w:val="004D287A"/>
    <w:rsid w:val="004D2DC0"/>
    <w:rsid w:val="004D30F7"/>
    <w:rsid w:val="004D33D5"/>
    <w:rsid w:val="004D3BCE"/>
    <w:rsid w:val="004D3CF3"/>
    <w:rsid w:val="004D40E9"/>
    <w:rsid w:val="004D4257"/>
    <w:rsid w:val="004D42E4"/>
    <w:rsid w:val="004D45A1"/>
    <w:rsid w:val="004D465F"/>
    <w:rsid w:val="004D46C1"/>
    <w:rsid w:val="004D4996"/>
    <w:rsid w:val="004D4B40"/>
    <w:rsid w:val="004D4FBE"/>
    <w:rsid w:val="004D500E"/>
    <w:rsid w:val="004D5AF4"/>
    <w:rsid w:val="004D5F1C"/>
    <w:rsid w:val="004D5F46"/>
    <w:rsid w:val="004D5FA4"/>
    <w:rsid w:val="004D60D6"/>
    <w:rsid w:val="004D63B8"/>
    <w:rsid w:val="004D63D2"/>
    <w:rsid w:val="004D6745"/>
    <w:rsid w:val="004D6F3F"/>
    <w:rsid w:val="004D7156"/>
    <w:rsid w:val="004D7B0C"/>
    <w:rsid w:val="004D7B18"/>
    <w:rsid w:val="004D7DE7"/>
    <w:rsid w:val="004E002D"/>
    <w:rsid w:val="004E010F"/>
    <w:rsid w:val="004E01D8"/>
    <w:rsid w:val="004E0E6A"/>
    <w:rsid w:val="004E0EF0"/>
    <w:rsid w:val="004E100F"/>
    <w:rsid w:val="004E1229"/>
    <w:rsid w:val="004E1365"/>
    <w:rsid w:val="004E1860"/>
    <w:rsid w:val="004E1AEA"/>
    <w:rsid w:val="004E20F6"/>
    <w:rsid w:val="004E24AE"/>
    <w:rsid w:val="004E24E9"/>
    <w:rsid w:val="004E2ABD"/>
    <w:rsid w:val="004E2AC9"/>
    <w:rsid w:val="004E3087"/>
    <w:rsid w:val="004E32A6"/>
    <w:rsid w:val="004E37E0"/>
    <w:rsid w:val="004E3AE2"/>
    <w:rsid w:val="004E4035"/>
    <w:rsid w:val="004E43A6"/>
    <w:rsid w:val="004E4427"/>
    <w:rsid w:val="004E48C6"/>
    <w:rsid w:val="004E48D1"/>
    <w:rsid w:val="004E4C1C"/>
    <w:rsid w:val="004E4E49"/>
    <w:rsid w:val="004E4EA1"/>
    <w:rsid w:val="004E4ED0"/>
    <w:rsid w:val="004E51B4"/>
    <w:rsid w:val="004E51E6"/>
    <w:rsid w:val="004E5239"/>
    <w:rsid w:val="004E5267"/>
    <w:rsid w:val="004E5421"/>
    <w:rsid w:val="004E5A03"/>
    <w:rsid w:val="004E5B15"/>
    <w:rsid w:val="004E5C98"/>
    <w:rsid w:val="004E5FCC"/>
    <w:rsid w:val="004E6246"/>
    <w:rsid w:val="004E6378"/>
    <w:rsid w:val="004E63FB"/>
    <w:rsid w:val="004E6664"/>
    <w:rsid w:val="004E67F0"/>
    <w:rsid w:val="004E685D"/>
    <w:rsid w:val="004E692F"/>
    <w:rsid w:val="004E69BA"/>
    <w:rsid w:val="004E6B75"/>
    <w:rsid w:val="004E6B9D"/>
    <w:rsid w:val="004E6E44"/>
    <w:rsid w:val="004E7590"/>
    <w:rsid w:val="004E782F"/>
    <w:rsid w:val="004E793B"/>
    <w:rsid w:val="004E7A33"/>
    <w:rsid w:val="004E7C33"/>
    <w:rsid w:val="004E7E6C"/>
    <w:rsid w:val="004E7F1C"/>
    <w:rsid w:val="004F0366"/>
    <w:rsid w:val="004F0463"/>
    <w:rsid w:val="004F0477"/>
    <w:rsid w:val="004F04F1"/>
    <w:rsid w:val="004F0AF0"/>
    <w:rsid w:val="004F180C"/>
    <w:rsid w:val="004F1872"/>
    <w:rsid w:val="004F1DEA"/>
    <w:rsid w:val="004F1EDA"/>
    <w:rsid w:val="004F2103"/>
    <w:rsid w:val="004F2232"/>
    <w:rsid w:val="004F24B3"/>
    <w:rsid w:val="004F24C8"/>
    <w:rsid w:val="004F2B1F"/>
    <w:rsid w:val="004F3405"/>
    <w:rsid w:val="004F3AFA"/>
    <w:rsid w:val="004F3C1B"/>
    <w:rsid w:val="004F4244"/>
    <w:rsid w:val="004F4403"/>
    <w:rsid w:val="004F45A3"/>
    <w:rsid w:val="004F47AB"/>
    <w:rsid w:val="004F4855"/>
    <w:rsid w:val="004F4957"/>
    <w:rsid w:val="004F49CA"/>
    <w:rsid w:val="004F4BA9"/>
    <w:rsid w:val="004F4D54"/>
    <w:rsid w:val="004F530D"/>
    <w:rsid w:val="004F5344"/>
    <w:rsid w:val="004F5358"/>
    <w:rsid w:val="004F5375"/>
    <w:rsid w:val="004F53E0"/>
    <w:rsid w:val="004F55DF"/>
    <w:rsid w:val="004F5765"/>
    <w:rsid w:val="004F5B15"/>
    <w:rsid w:val="004F5D22"/>
    <w:rsid w:val="004F5E22"/>
    <w:rsid w:val="004F60A5"/>
    <w:rsid w:val="004F612D"/>
    <w:rsid w:val="004F613D"/>
    <w:rsid w:val="004F6778"/>
    <w:rsid w:val="004F67DE"/>
    <w:rsid w:val="004F682F"/>
    <w:rsid w:val="004F68E4"/>
    <w:rsid w:val="004F6BD5"/>
    <w:rsid w:val="004F764C"/>
    <w:rsid w:val="004F7722"/>
    <w:rsid w:val="004F7792"/>
    <w:rsid w:val="004F7B80"/>
    <w:rsid w:val="004F7D6C"/>
    <w:rsid w:val="005001E3"/>
    <w:rsid w:val="00500677"/>
    <w:rsid w:val="005007FC"/>
    <w:rsid w:val="005008CD"/>
    <w:rsid w:val="005010C7"/>
    <w:rsid w:val="005016E0"/>
    <w:rsid w:val="005016F3"/>
    <w:rsid w:val="0050189F"/>
    <w:rsid w:val="00501982"/>
    <w:rsid w:val="00501CA5"/>
    <w:rsid w:val="00501D5B"/>
    <w:rsid w:val="00501EC5"/>
    <w:rsid w:val="00502152"/>
    <w:rsid w:val="0050298F"/>
    <w:rsid w:val="00502E75"/>
    <w:rsid w:val="0050307F"/>
    <w:rsid w:val="00503089"/>
    <w:rsid w:val="005032D0"/>
    <w:rsid w:val="005035AF"/>
    <w:rsid w:val="0050383C"/>
    <w:rsid w:val="00503BC8"/>
    <w:rsid w:val="00503C95"/>
    <w:rsid w:val="00503F96"/>
    <w:rsid w:val="0050402B"/>
    <w:rsid w:val="00504DCA"/>
    <w:rsid w:val="0050505E"/>
    <w:rsid w:val="005054CB"/>
    <w:rsid w:val="0050578C"/>
    <w:rsid w:val="00505902"/>
    <w:rsid w:val="00505C3F"/>
    <w:rsid w:val="00505E79"/>
    <w:rsid w:val="0050617A"/>
    <w:rsid w:val="005061A9"/>
    <w:rsid w:val="00506768"/>
    <w:rsid w:val="005067C8"/>
    <w:rsid w:val="00506B84"/>
    <w:rsid w:val="00506B9F"/>
    <w:rsid w:val="00506CAF"/>
    <w:rsid w:val="00506CF8"/>
    <w:rsid w:val="00506F9A"/>
    <w:rsid w:val="005073D8"/>
    <w:rsid w:val="005074DB"/>
    <w:rsid w:val="00507995"/>
    <w:rsid w:val="00507A07"/>
    <w:rsid w:val="00507AB6"/>
    <w:rsid w:val="00507E4A"/>
    <w:rsid w:val="00507EAA"/>
    <w:rsid w:val="00507FB9"/>
    <w:rsid w:val="005101F5"/>
    <w:rsid w:val="005105C1"/>
    <w:rsid w:val="00510DFA"/>
    <w:rsid w:val="0051118B"/>
    <w:rsid w:val="00511221"/>
    <w:rsid w:val="00511919"/>
    <w:rsid w:val="00511BE0"/>
    <w:rsid w:val="00511D65"/>
    <w:rsid w:val="00511E19"/>
    <w:rsid w:val="005121E9"/>
    <w:rsid w:val="00512249"/>
    <w:rsid w:val="005123F8"/>
    <w:rsid w:val="0051269D"/>
    <w:rsid w:val="0051273F"/>
    <w:rsid w:val="005128D4"/>
    <w:rsid w:val="00512D4B"/>
    <w:rsid w:val="00513487"/>
    <w:rsid w:val="0051349A"/>
    <w:rsid w:val="0051355B"/>
    <w:rsid w:val="00513A73"/>
    <w:rsid w:val="00513B3D"/>
    <w:rsid w:val="00513B67"/>
    <w:rsid w:val="00513E02"/>
    <w:rsid w:val="00513E6E"/>
    <w:rsid w:val="00513EC6"/>
    <w:rsid w:val="00513EE4"/>
    <w:rsid w:val="005142DB"/>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7CE"/>
    <w:rsid w:val="00523C8E"/>
    <w:rsid w:val="00523DBE"/>
    <w:rsid w:val="00524383"/>
    <w:rsid w:val="00524538"/>
    <w:rsid w:val="00524749"/>
    <w:rsid w:val="00524F33"/>
    <w:rsid w:val="00525265"/>
    <w:rsid w:val="005257E4"/>
    <w:rsid w:val="005258DF"/>
    <w:rsid w:val="00525C2B"/>
    <w:rsid w:val="00525D3A"/>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87C"/>
    <w:rsid w:val="005349E0"/>
    <w:rsid w:val="00534F74"/>
    <w:rsid w:val="00534F93"/>
    <w:rsid w:val="0053504F"/>
    <w:rsid w:val="005352F8"/>
    <w:rsid w:val="0053537F"/>
    <w:rsid w:val="005355D0"/>
    <w:rsid w:val="00535EFC"/>
    <w:rsid w:val="0053671D"/>
    <w:rsid w:val="00536BB2"/>
    <w:rsid w:val="00537068"/>
    <w:rsid w:val="005370C7"/>
    <w:rsid w:val="005371C3"/>
    <w:rsid w:val="005371E9"/>
    <w:rsid w:val="00537386"/>
    <w:rsid w:val="00537466"/>
    <w:rsid w:val="0053768D"/>
    <w:rsid w:val="005376CD"/>
    <w:rsid w:val="00537DD9"/>
    <w:rsid w:val="00540131"/>
    <w:rsid w:val="0054018C"/>
    <w:rsid w:val="005419EB"/>
    <w:rsid w:val="00541F06"/>
    <w:rsid w:val="005423FB"/>
    <w:rsid w:val="005424B2"/>
    <w:rsid w:val="0054317C"/>
    <w:rsid w:val="005434BD"/>
    <w:rsid w:val="00543727"/>
    <w:rsid w:val="00543936"/>
    <w:rsid w:val="00543A1D"/>
    <w:rsid w:val="00543DB7"/>
    <w:rsid w:val="00544078"/>
    <w:rsid w:val="005443C5"/>
    <w:rsid w:val="005448E0"/>
    <w:rsid w:val="00544BA8"/>
    <w:rsid w:val="00544C87"/>
    <w:rsid w:val="00544F28"/>
    <w:rsid w:val="00545318"/>
    <w:rsid w:val="00545411"/>
    <w:rsid w:val="00545755"/>
    <w:rsid w:val="005459B6"/>
    <w:rsid w:val="00545B61"/>
    <w:rsid w:val="00545BC1"/>
    <w:rsid w:val="00545E9F"/>
    <w:rsid w:val="0054614D"/>
    <w:rsid w:val="00546889"/>
    <w:rsid w:val="005471D3"/>
    <w:rsid w:val="005474D4"/>
    <w:rsid w:val="005477DF"/>
    <w:rsid w:val="00547906"/>
    <w:rsid w:val="005479B5"/>
    <w:rsid w:val="00550461"/>
    <w:rsid w:val="00550694"/>
    <w:rsid w:val="005508AA"/>
    <w:rsid w:val="00550935"/>
    <w:rsid w:val="005509C0"/>
    <w:rsid w:val="00550B43"/>
    <w:rsid w:val="00550CCB"/>
    <w:rsid w:val="00550F5A"/>
    <w:rsid w:val="00550FE7"/>
    <w:rsid w:val="00551741"/>
    <w:rsid w:val="005518DB"/>
    <w:rsid w:val="005519F8"/>
    <w:rsid w:val="00551B34"/>
    <w:rsid w:val="00551BB6"/>
    <w:rsid w:val="00551BEB"/>
    <w:rsid w:val="00551E77"/>
    <w:rsid w:val="0055226A"/>
    <w:rsid w:val="005523CF"/>
    <w:rsid w:val="0055293C"/>
    <w:rsid w:val="00552F27"/>
    <w:rsid w:val="00552FAB"/>
    <w:rsid w:val="0055300A"/>
    <w:rsid w:val="005535E9"/>
    <w:rsid w:val="00553A69"/>
    <w:rsid w:val="00553BD5"/>
    <w:rsid w:val="005549BC"/>
    <w:rsid w:val="00554BC5"/>
    <w:rsid w:val="00554C71"/>
    <w:rsid w:val="00555262"/>
    <w:rsid w:val="0055526E"/>
    <w:rsid w:val="00555496"/>
    <w:rsid w:val="00555DC3"/>
    <w:rsid w:val="00555F23"/>
    <w:rsid w:val="00556274"/>
    <w:rsid w:val="00556633"/>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3100"/>
    <w:rsid w:val="005634B6"/>
    <w:rsid w:val="0056351B"/>
    <w:rsid w:val="005636AB"/>
    <w:rsid w:val="00563A5F"/>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D52"/>
    <w:rsid w:val="0057058F"/>
    <w:rsid w:val="00570947"/>
    <w:rsid w:val="0057096B"/>
    <w:rsid w:val="00570F55"/>
    <w:rsid w:val="0057104B"/>
    <w:rsid w:val="00571247"/>
    <w:rsid w:val="005719B8"/>
    <w:rsid w:val="00571A5B"/>
    <w:rsid w:val="00571A8A"/>
    <w:rsid w:val="00571B3E"/>
    <w:rsid w:val="00571F38"/>
    <w:rsid w:val="00572030"/>
    <w:rsid w:val="005722B4"/>
    <w:rsid w:val="005724E8"/>
    <w:rsid w:val="00572749"/>
    <w:rsid w:val="00572800"/>
    <w:rsid w:val="005729D0"/>
    <w:rsid w:val="00572B46"/>
    <w:rsid w:val="00572B60"/>
    <w:rsid w:val="00572CFE"/>
    <w:rsid w:val="00572DA8"/>
    <w:rsid w:val="00572E61"/>
    <w:rsid w:val="00572E69"/>
    <w:rsid w:val="00573270"/>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5F"/>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DB"/>
    <w:rsid w:val="00582A1D"/>
    <w:rsid w:val="00582A6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776"/>
    <w:rsid w:val="00585CEC"/>
    <w:rsid w:val="00586356"/>
    <w:rsid w:val="0058636C"/>
    <w:rsid w:val="00586601"/>
    <w:rsid w:val="0058699C"/>
    <w:rsid w:val="00586B6C"/>
    <w:rsid w:val="00586BE0"/>
    <w:rsid w:val="00586DCB"/>
    <w:rsid w:val="00586FC2"/>
    <w:rsid w:val="0058733F"/>
    <w:rsid w:val="005875A2"/>
    <w:rsid w:val="005877C7"/>
    <w:rsid w:val="0058799D"/>
    <w:rsid w:val="00587A83"/>
    <w:rsid w:val="005902F3"/>
    <w:rsid w:val="005902FA"/>
    <w:rsid w:val="00590541"/>
    <w:rsid w:val="00590DA6"/>
    <w:rsid w:val="00591502"/>
    <w:rsid w:val="00591632"/>
    <w:rsid w:val="005916B8"/>
    <w:rsid w:val="005916D9"/>
    <w:rsid w:val="005916FF"/>
    <w:rsid w:val="005922B5"/>
    <w:rsid w:val="005928DB"/>
    <w:rsid w:val="00592B30"/>
    <w:rsid w:val="00592C1B"/>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2"/>
    <w:rsid w:val="005A0557"/>
    <w:rsid w:val="005A081A"/>
    <w:rsid w:val="005A0D78"/>
    <w:rsid w:val="005A0F4B"/>
    <w:rsid w:val="005A109B"/>
    <w:rsid w:val="005A212F"/>
    <w:rsid w:val="005A218D"/>
    <w:rsid w:val="005A220D"/>
    <w:rsid w:val="005A22BB"/>
    <w:rsid w:val="005A25F6"/>
    <w:rsid w:val="005A285F"/>
    <w:rsid w:val="005A2BED"/>
    <w:rsid w:val="005A2D9B"/>
    <w:rsid w:val="005A31A4"/>
    <w:rsid w:val="005A331C"/>
    <w:rsid w:val="005A37AB"/>
    <w:rsid w:val="005A38FC"/>
    <w:rsid w:val="005A3908"/>
    <w:rsid w:val="005A3978"/>
    <w:rsid w:val="005A3C0C"/>
    <w:rsid w:val="005A3DA4"/>
    <w:rsid w:val="005A3F9F"/>
    <w:rsid w:val="005A4118"/>
    <w:rsid w:val="005A43D8"/>
    <w:rsid w:val="005A45CF"/>
    <w:rsid w:val="005A4612"/>
    <w:rsid w:val="005A463C"/>
    <w:rsid w:val="005A47BE"/>
    <w:rsid w:val="005A4853"/>
    <w:rsid w:val="005A49F3"/>
    <w:rsid w:val="005A4ACF"/>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582"/>
    <w:rsid w:val="005A6622"/>
    <w:rsid w:val="005A697C"/>
    <w:rsid w:val="005A6B02"/>
    <w:rsid w:val="005A6E9A"/>
    <w:rsid w:val="005A6F09"/>
    <w:rsid w:val="005A73B2"/>
    <w:rsid w:val="005A76DA"/>
    <w:rsid w:val="005A79B0"/>
    <w:rsid w:val="005A7AE8"/>
    <w:rsid w:val="005A7E9C"/>
    <w:rsid w:val="005A7FAF"/>
    <w:rsid w:val="005B0515"/>
    <w:rsid w:val="005B053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A8D"/>
    <w:rsid w:val="005B3B30"/>
    <w:rsid w:val="005B3B99"/>
    <w:rsid w:val="005B404E"/>
    <w:rsid w:val="005B40E5"/>
    <w:rsid w:val="005B429B"/>
    <w:rsid w:val="005B43B2"/>
    <w:rsid w:val="005B4641"/>
    <w:rsid w:val="005B471F"/>
    <w:rsid w:val="005B4945"/>
    <w:rsid w:val="005B53B3"/>
    <w:rsid w:val="005B5561"/>
    <w:rsid w:val="005B5634"/>
    <w:rsid w:val="005B647A"/>
    <w:rsid w:val="005B66EE"/>
    <w:rsid w:val="005B68A1"/>
    <w:rsid w:val="005B69B7"/>
    <w:rsid w:val="005B6EC8"/>
    <w:rsid w:val="005B6F1B"/>
    <w:rsid w:val="005B6FA8"/>
    <w:rsid w:val="005B70A3"/>
    <w:rsid w:val="005B70C9"/>
    <w:rsid w:val="005B711B"/>
    <w:rsid w:val="005B71A1"/>
    <w:rsid w:val="005B7391"/>
    <w:rsid w:val="005B739E"/>
    <w:rsid w:val="005B743B"/>
    <w:rsid w:val="005B7536"/>
    <w:rsid w:val="005B76E5"/>
    <w:rsid w:val="005B7978"/>
    <w:rsid w:val="005B7A4A"/>
    <w:rsid w:val="005B7C1E"/>
    <w:rsid w:val="005B7EB4"/>
    <w:rsid w:val="005C1076"/>
    <w:rsid w:val="005C113A"/>
    <w:rsid w:val="005C13B9"/>
    <w:rsid w:val="005C1491"/>
    <w:rsid w:val="005C16AB"/>
    <w:rsid w:val="005C16C4"/>
    <w:rsid w:val="005C1A46"/>
    <w:rsid w:val="005C1E5E"/>
    <w:rsid w:val="005C2017"/>
    <w:rsid w:val="005C2052"/>
    <w:rsid w:val="005C2DE3"/>
    <w:rsid w:val="005C3066"/>
    <w:rsid w:val="005C34BD"/>
    <w:rsid w:val="005C373E"/>
    <w:rsid w:val="005C3844"/>
    <w:rsid w:val="005C386F"/>
    <w:rsid w:val="005C3D58"/>
    <w:rsid w:val="005C3FC8"/>
    <w:rsid w:val="005C40C6"/>
    <w:rsid w:val="005C4439"/>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2B3"/>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2E"/>
    <w:rsid w:val="005E059D"/>
    <w:rsid w:val="005E0731"/>
    <w:rsid w:val="005E07B5"/>
    <w:rsid w:val="005E0AA1"/>
    <w:rsid w:val="005E0F09"/>
    <w:rsid w:val="005E0F47"/>
    <w:rsid w:val="005E1188"/>
    <w:rsid w:val="005E14CC"/>
    <w:rsid w:val="005E1735"/>
    <w:rsid w:val="005E1802"/>
    <w:rsid w:val="005E18AA"/>
    <w:rsid w:val="005E1E3B"/>
    <w:rsid w:val="005E1E76"/>
    <w:rsid w:val="005E1F0E"/>
    <w:rsid w:val="005E26D8"/>
    <w:rsid w:val="005E298D"/>
    <w:rsid w:val="005E2EF4"/>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BBB"/>
    <w:rsid w:val="005F0C3D"/>
    <w:rsid w:val="005F10C4"/>
    <w:rsid w:val="005F11AE"/>
    <w:rsid w:val="005F120C"/>
    <w:rsid w:val="005F1447"/>
    <w:rsid w:val="005F1935"/>
    <w:rsid w:val="005F1A31"/>
    <w:rsid w:val="005F1B5E"/>
    <w:rsid w:val="005F1B7F"/>
    <w:rsid w:val="005F1C60"/>
    <w:rsid w:val="005F1F9D"/>
    <w:rsid w:val="005F2697"/>
    <w:rsid w:val="005F29E4"/>
    <w:rsid w:val="005F2A8F"/>
    <w:rsid w:val="005F2F22"/>
    <w:rsid w:val="005F322C"/>
    <w:rsid w:val="005F330B"/>
    <w:rsid w:val="005F3B23"/>
    <w:rsid w:val="005F4296"/>
    <w:rsid w:val="005F4471"/>
    <w:rsid w:val="005F4C71"/>
    <w:rsid w:val="005F4DE6"/>
    <w:rsid w:val="005F5221"/>
    <w:rsid w:val="005F53FB"/>
    <w:rsid w:val="005F59E6"/>
    <w:rsid w:val="005F5D79"/>
    <w:rsid w:val="005F63AC"/>
    <w:rsid w:val="005F6449"/>
    <w:rsid w:val="005F645C"/>
    <w:rsid w:val="005F73E9"/>
    <w:rsid w:val="005F74A1"/>
    <w:rsid w:val="005F74FC"/>
    <w:rsid w:val="005F7601"/>
    <w:rsid w:val="005F7F6A"/>
    <w:rsid w:val="0060031D"/>
    <w:rsid w:val="00600775"/>
    <w:rsid w:val="006007C5"/>
    <w:rsid w:val="006008E8"/>
    <w:rsid w:val="00600C44"/>
    <w:rsid w:val="00601667"/>
    <w:rsid w:val="00601DD8"/>
    <w:rsid w:val="00601FCB"/>
    <w:rsid w:val="00602BE7"/>
    <w:rsid w:val="00602DFD"/>
    <w:rsid w:val="00602FE3"/>
    <w:rsid w:val="0060315D"/>
    <w:rsid w:val="006033FD"/>
    <w:rsid w:val="006038BF"/>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26F"/>
    <w:rsid w:val="0061437F"/>
    <w:rsid w:val="00614453"/>
    <w:rsid w:val="0061494A"/>
    <w:rsid w:val="00614A40"/>
    <w:rsid w:val="00614BE4"/>
    <w:rsid w:val="00614C66"/>
    <w:rsid w:val="006150FC"/>
    <w:rsid w:val="006150FE"/>
    <w:rsid w:val="00615A38"/>
    <w:rsid w:val="00615CDA"/>
    <w:rsid w:val="00615F92"/>
    <w:rsid w:val="006163D1"/>
    <w:rsid w:val="00616A12"/>
    <w:rsid w:val="00616B7B"/>
    <w:rsid w:val="00616CBB"/>
    <w:rsid w:val="00617247"/>
    <w:rsid w:val="00617650"/>
    <w:rsid w:val="006202B0"/>
    <w:rsid w:val="006206E9"/>
    <w:rsid w:val="006208AC"/>
    <w:rsid w:val="006209FE"/>
    <w:rsid w:val="00620D98"/>
    <w:rsid w:val="00620E37"/>
    <w:rsid w:val="00620E6E"/>
    <w:rsid w:val="00621544"/>
    <w:rsid w:val="006216AD"/>
    <w:rsid w:val="00621C6D"/>
    <w:rsid w:val="00622341"/>
    <w:rsid w:val="00622376"/>
    <w:rsid w:val="00622568"/>
    <w:rsid w:val="006227CD"/>
    <w:rsid w:val="006227ED"/>
    <w:rsid w:val="00622B5A"/>
    <w:rsid w:val="00623078"/>
    <w:rsid w:val="00623108"/>
    <w:rsid w:val="0062321B"/>
    <w:rsid w:val="006234B1"/>
    <w:rsid w:val="006234EF"/>
    <w:rsid w:val="00623993"/>
    <w:rsid w:val="00623F1D"/>
    <w:rsid w:val="00623F1F"/>
    <w:rsid w:val="0062409B"/>
    <w:rsid w:val="006246CC"/>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6B"/>
    <w:rsid w:val="00635A82"/>
    <w:rsid w:val="00635BC5"/>
    <w:rsid w:val="00635D41"/>
    <w:rsid w:val="006367AD"/>
    <w:rsid w:val="006367B6"/>
    <w:rsid w:val="0063682F"/>
    <w:rsid w:val="0063689E"/>
    <w:rsid w:val="00636B24"/>
    <w:rsid w:val="0063773C"/>
    <w:rsid w:val="00637B34"/>
    <w:rsid w:val="00640C2A"/>
    <w:rsid w:val="00640FD2"/>
    <w:rsid w:val="00641337"/>
    <w:rsid w:val="00641792"/>
    <w:rsid w:val="00641794"/>
    <w:rsid w:val="006419A4"/>
    <w:rsid w:val="00641A7F"/>
    <w:rsid w:val="00642384"/>
    <w:rsid w:val="00642623"/>
    <w:rsid w:val="00642D78"/>
    <w:rsid w:val="00642D96"/>
    <w:rsid w:val="00642F84"/>
    <w:rsid w:val="006431CF"/>
    <w:rsid w:val="00643412"/>
    <w:rsid w:val="006435EE"/>
    <w:rsid w:val="00643630"/>
    <w:rsid w:val="006437B8"/>
    <w:rsid w:val="00643975"/>
    <w:rsid w:val="00643DFE"/>
    <w:rsid w:val="00643E17"/>
    <w:rsid w:val="0064466F"/>
    <w:rsid w:val="006446AC"/>
    <w:rsid w:val="00644881"/>
    <w:rsid w:val="00644D9C"/>
    <w:rsid w:val="00645092"/>
    <w:rsid w:val="006451C4"/>
    <w:rsid w:val="006455F9"/>
    <w:rsid w:val="00645A03"/>
    <w:rsid w:val="00645A6B"/>
    <w:rsid w:val="00645D05"/>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0A2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DC"/>
    <w:rsid w:val="00654B96"/>
    <w:rsid w:val="00654DEC"/>
    <w:rsid w:val="00654F7A"/>
    <w:rsid w:val="00654FC1"/>
    <w:rsid w:val="006554A0"/>
    <w:rsid w:val="0065580B"/>
    <w:rsid w:val="00655AE0"/>
    <w:rsid w:val="00655BC7"/>
    <w:rsid w:val="00656162"/>
    <w:rsid w:val="006565FE"/>
    <w:rsid w:val="00656978"/>
    <w:rsid w:val="00657365"/>
    <w:rsid w:val="00657453"/>
    <w:rsid w:val="00657549"/>
    <w:rsid w:val="006578A9"/>
    <w:rsid w:val="00657DB6"/>
    <w:rsid w:val="00657EFD"/>
    <w:rsid w:val="00657F1C"/>
    <w:rsid w:val="00660009"/>
    <w:rsid w:val="0066001A"/>
    <w:rsid w:val="0066025D"/>
    <w:rsid w:val="00660A7C"/>
    <w:rsid w:val="00660AED"/>
    <w:rsid w:val="00660C46"/>
    <w:rsid w:val="00660F37"/>
    <w:rsid w:val="00661439"/>
    <w:rsid w:val="006616C8"/>
    <w:rsid w:val="00661ADB"/>
    <w:rsid w:val="00661C78"/>
    <w:rsid w:val="00661E7F"/>
    <w:rsid w:val="006621B0"/>
    <w:rsid w:val="006624AE"/>
    <w:rsid w:val="006626AB"/>
    <w:rsid w:val="006626CC"/>
    <w:rsid w:val="00662773"/>
    <w:rsid w:val="006627BE"/>
    <w:rsid w:val="00662811"/>
    <w:rsid w:val="00662825"/>
    <w:rsid w:val="00662A7E"/>
    <w:rsid w:val="00662C1D"/>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D3D"/>
    <w:rsid w:val="00665563"/>
    <w:rsid w:val="00665566"/>
    <w:rsid w:val="00665604"/>
    <w:rsid w:val="0066563A"/>
    <w:rsid w:val="0066583F"/>
    <w:rsid w:val="00665DE7"/>
    <w:rsid w:val="006662F0"/>
    <w:rsid w:val="00666379"/>
    <w:rsid w:val="0066657F"/>
    <w:rsid w:val="006668A9"/>
    <w:rsid w:val="00666DCD"/>
    <w:rsid w:val="00667099"/>
    <w:rsid w:val="006670F9"/>
    <w:rsid w:val="00667476"/>
    <w:rsid w:val="0067013B"/>
    <w:rsid w:val="00670222"/>
    <w:rsid w:val="00670441"/>
    <w:rsid w:val="00670D2E"/>
    <w:rsid w:val="00670D75"/>
    <w:rsid w:val="00671275"/>
    <w:rsid w:val="006712B4"/>
    <w:rsid w:val="006714AE"/>
    <w:rsid w:val="0067151C"/>
    <w:rsid w:val="00671734"/>
    <w:rsid w:val="00671D87"/>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E88"/>
    <w:rsid w:val="00675E9F"/>
    <w:rsid w:val="00675FC9"/>
    <w:rsid w:val="00675FFC"/>
    <w:rsid w:val="00676042"/>
    <w:rsid w:val="0067684D"/>
    <w:rsid w:val="006768BD"/>
    <w:rsid w:val="006768DF"/>
    <w:rsid w:val="00677184"/>
    <w:rsid w:val="0067719D"/>
    <w:rsid w:val="00677731"/>
    <w:rsid w:val="00677CFB"/>
    <w:rsid w:val="00677F36"/>
    <w:rsid w:val="00677F55"/>
    <w:rsid w:val="00677FAD"/>
    <w:rsid w:val="00680076"/>
    <w:rsid w:val="006801AE"/>
    <w:rsid w:val="0068042F"/>
    <w:rsid w:val="006805D1"/>
    <w:rsid w:val="00680F1F"/>
    <w:rsid w:val="00681203"/>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328A"/>
    <w:rsid w:val="00683599"/>
    <w:rsid w:val="00683C00"/>
    <w:rsid w:val="00683C13"/>
    <w:rsid w:val="00683F2A"/>
    <w:rsid w:val="00684122"/>
    <w:rsid w:val="00684274"/>
    <w:rsid w:val="0068463B"/>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CF9"/>
    <w:rsid w:val="006A1138"/>
    <w:rsid w:val="006A144C"/>
    <w:rsid w:val="006A1A9A"/>
    <w:rsid w:val="006A1BC8"/>
    <w:rsid w:val="006A215C"/>
    <w:rsid w:val="006A2304"/>
    <w:rsid w:val="006A2481"/>
    <w:rsid w:val="006A25C6"/>
    <w:rsid w:val="006A2721"/>
    <w:rsid w:val="006A27DD"/>
    <w:rsid w:val="006A28FA"/>
    <w:rsid w:val="006A2945"/>
    <w:rsid w:val="006A3023"/>
    <w:rsid w:val="006A3339"/>
    <w:rsid w:val="006A3400"/>
    <w:rsid w:val="006A3641"/>
    <w:rsid w:val="006A3743"/>
    <w:rsid w:val="006A377F"/>
    <w:rsid w:val="006A39F9"/>
    <w:rsid w:val="006A39FB"/>
    <w:rsid w:val="006A3EA2"/>
    <w:rsid w:val="006A4970"/>
    <w:rsid w:val="006A4C47"/>
    <w:rsid w:val="006A505C"/>
    <w:rsid w:val="006A50C2"/>
    <w:rsid w:val="006A50FE"/>
    <w:rsid w:val="006A52B0"/>
    <w:rsid w:val="006A54AF"/>
    <w:rsid w:val="006A5B76"/>
    <w:rsid w:val="006A5C91"/>
    <w:rsid w:val="006A5FAF"/>
    <w:rsid w:val="006A629A"/>
    <w:rsid w:val="006A6B72"/>
    <w:rsid w:val="006A6E55"/>
    <w:rsid w:val="006A7112"/>
    <w:rsid w:val="006A75B7"/>
    <w:rsid w:val="006A7BAA"/>
    <w:rsid w:val="006A7EE2"/>
    <w:rsid w:val="006A7F08"/>
    <w:rsid w:val="006A7F70"/>
    <w:rsid w:val="006A7FE2"/>
    <w:rsid w:val="006B008B"/>
    <w:rsid w:val="006B0713"/>
    <w:rsid w:val="006B0DCA"/>
    <w:rsid w:val="006B0DD7"/>
    <w:rsid w:val="006B0F62"/>
    <w:rsid w:val="006B0F72"/>
    <w:rsid w:val="006B11B0"/>
    <w:rsid w:val="006B13E5"/>
    <w:rsid w:val="006B14F6"/>
    <w:rsid w:val="006B16A7"/>
    <w:rsid w:val="006B1B37"/>
    <w:rsid w:val="006B1CF6"/>
    <w:rsid w:val="006B20E1"/>
    <w:rsid w:val="006B21A0"/>
    <w:rsid w:val="006B240E"/>
    <w:rsid w:val="006B24D8"/>
    <w:rsid w:val="006B25B0"/>
    <w:rsid w:val="006B278B"/>
    <w:rsid w:val="006B2905"/>
    <w:rsid w:val="006B2A5B"/>
    <w:rsid w:val="006B2B2D"/>
    <w:rsid w:val="006B33A0"/>
    <w:rsid w:val="006B36A0"/>
    <w:rsid w:val="006B376A"/>
    <w:rsid w:val="006B3B31"/>
    <w:rsid w:val="006B3CAB"/>
    <w:rsid w:val="006B3CCE"/>
    <w:rsid w:val="006B3EB5"/>
    <w:rsid w:val="006B4526"/>
    <w:rsid w:val="006B4583"/>
    <w:rsid w:val="006B4625"/>
    <w:rsid w:val="006B46D2"/>
    <w:rsid w:val="006B46EF"/>
    <w:rsid w:val="006B50FD"/>
    <w:rsid w:val="006B516C"/>
    <w:rsid w:val="006B5401"/>
    <w:rsid w:val="006B5620"/>
    <w:rsid w:val="006B5654"/>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9A"/>
    <w:rsid w:val="006C00B3"/>
    <w:rsid w:val="006C01F9"/>
    <w:rsid w:val="006C0294"/>
    <w:rsid w:val="006C0C2D"/>
    <w:rsid w:val="006C0D6C"/>
    <w:rsid w:val="006C159C"/>
    <w:rsid w:val="006C178F"/>
    <w:rsid w:val="006C1DFE"/>
    <w:rsid w:val="006C1EE2"/>
    <w:rsid w:val="006C2252"/>
    <w:rsid w:val="006C23B5"/>
    <w:rsid w:val="006C2ADB"/>
    <w:rsid w:val="006C2B65"/>
    <w:rsid w:val="006C2B99"/>
    <w:rsid w:val="006C3117"/>
    <w:rsid w:val="006C33F2"/>
    <w:rsid w:val="006C39E7"/>
    <w:rsid w:val="006C3B60"/>
    <w:rsid w:val="006C3C1D"/>
    <w:rsid w:val="006C3CF3"/>
    <w:rsid w:val="006C3F62"/>
    <w:rsid w:val="006C428D"/>
    <w:rsid w:val="006C47FF"/>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076"/>
    <w:rsid w:val="006D4124"/>
    <w:rsid w:val="006D4248"/>
    <w:rsid w:val="006D43B9"/>
    <w:rsid w:val="006D4D3E"/>
    <w:rsid w:val="006D551D"/>
    <w:rsid w:val="006D5C2F"/>
    <w:rsid w:val="006D5DE7"/>
    <w:rsid w:val="006D613E"/>
    <w:rsid w:val="006D64EF"/>
    <w:rsid w:val="006D64F9"/>
    <w:rsid w:val="006D6697"/>
    <w:rsid w:val="006D7512"/>
    <w:rsid w:val="006D75DF"/>
    <w:rsid w:val="006D7677"/>
    <w:rsid w:val="006D76C4"/>
    <w:rsid w:val="006D7C1B"/>
    <w:rsid w:val="006D7D04"/>
    <w:rsid w:val="006E0416"/>
    <w:rsid w:val="006E0712"/>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42B"/>
    <w:rsid w:val="006E3767"/>
    <w:rsid w:val="006E3810"/>
    <w:rsid w:val="006E3B69"/>
    <w:rsid w:val="006E3C6E"/>
    <w:rsid w:val="006E3E05"/>
    <w:rsid w:val="006E43FD"/>
    <w:rsid w:val="006E4517"/>
    <w:rsid w:val="006E46AD"/>
    <w:rsid w:val="006E46D5"/>
    <w:rsid w:val="006E4A2E"/>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4049"/>
    <w:rsid w:val="007041A2"/>
    <w:rsid w:val="00704413"/>
    <w:rsid w:val="007044F4"/>
    <w:rsid w:val="00705307"/>
    <w:rsid w:val="0070542F"/>
    <w:rsid w:val="00705703"/>
    <w:rsid w:val="007059C0"/>
    <w:rsid w:val="00705B70"/>
    <w:rsid w:val="00705C4F"/>
    <w:rsid w:val="00706851"/>
    <w:rsid w:val="0070724B"/>
    <w:rsid w:val="00707A73"/>
    <w:rsid w:val="00707B46"/>
    <w:rsid w:val="00707EAF"/>
    <w:rsid w:val="00707F57"/>
    <w:rsid w:val="00710036"/>
    <w:rsid w:val="00710048"/>
    <w:rsid w:val="00710578"/>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25"/>
    <w:rsid w:val="00721434"/>
    <w:rsid w:val="007214DD"/>
    <w:rsid w:val="00721504"/>
    <w:rsid w:val="0072183F"/>
    <w:rsid w:val="00721DA8"/>
    <w:rsid w:val="007221D4"/>
    <w:rsid w:val="0072253D"/>
    <w:rsid w:val="007225F3"/>
    <w:rsid w:val="00722A47"/>
    <w:rsid w:val="00722D92"/>
    <w:rsid w:val="007236B3"/>
    <w:rsid w:val="007236F4"/>
    <w:rsid w:val="00723F51"/>
    <w:rsid w:val="007240B6"/>
    <w:rsid w:val="0072436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44E"/>
    <w:rsid w:val="00736CBF"/>
    <w:rsid w:val="007372B3"/>
    <w:rsid w:val="007376E5"/>
    <w:rsid w:val="00737AB1"/>
    <w:rsid w:val="00737AE3"/>
    <w:rsid w:val="00737D9E"/>
    <w:rsid w:val="007403DB"/>
    <w:rsid w:val="00740658"/>
    <w:rsid w:val="007406B4"/>
    <w:rsid w:val="007406B8"/>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CE1"/>
    <w:rsid w:val="00744F00"/>
    <w:rsid w:val="00745362"/>
    <w:rsid w:val="00745405"/>
    <w:rsid w:val="007454D2"/>
    <w:rsid w:val="007455EB"/>
    <w:rsid w:val="00745BBF"/>
    <w:rsid w:val="00745DF8"/>
    <w:rsid w:val="00745E86"/>
    <w:rsid w:val="0074605F"/>
    <w:rsid w:val="00746837"/>
    <w:rsid w:val="00746E15"/>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9EE"/>
    <w:rsid w:val="007529F7"/>
    <w:rsid w:val="00752A4E"/>
    <w:rsid w:val="00752C48"/>
    <w:rsid w:val="00752E65"/>
    <w:rsid w:val="00752F49"/>
    <w:rsid w:val="00752F9E"/>
    <w:rsid w:val="0075326C"/>
    <w:rsid w:val="0075326F"/>
    <w:rsid w:val="00753306"/>
    <w:rsid w:val="00753400"/>
    <w:rsid w:val="00753A44"/>
    <w:rsid w:val="00753A7A"/>
    <w:rsid w:val="00753B7C"/>
    <w:rsid w:val="007544CB"/>
    <w:rsid w:val="007547B6"/>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E17"/>
    <w:rsid w:val="00760E5F"/>
    <w:rsid w:val="007614C4"/>
    <w:rsid w:val="007618AA"/>
    <w:rsid w:val="00761981"/>
    <w:rsid w:val="007619E8"/>
    <w:rsid w:val="00761B04"/>
    <w:rsid w:val="00761BB7"/>
    <w:rsid w:val="00761D88"/>
    <w:rsid w:val="00761DB8"/>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A49"/>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A1F"/>
    <w:rsid w:val="00770E6D"/>
    <w:rsid w:val="00770F8E"/>
    <w:rsid w:val="0077139F"/>
    <w:rsid w:val="00771428"/>
    <w:rsid w:val="007714C4"/>
    <w:rsid w:val="00771D9E"/>
    <w:rsid w:val="0077216A"/>
    <w:rsid w:val="00772215"/>
    <w:rsid w:val="007722B4"/>
    <w:rsid w:val="00772450"/>
    <w:rsid w:val="0077291F"/>
    <w:rsid w:val="00772969"/>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5ED"/>
    <w:rsid w:val="007756DC"/>
    <w:rsid w:val="0077570B"/>
    <w:rsid w:val="007758D8"/>
    <w:rsid w:val="00775C1B"/>
    <w:rsid w:val="00776518"/>
    <w:rsid w:val="00776716"/>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D5B"/>
    <w:rsid w:val="00785D7A"/>
    <w:rsid w:val="00786B8E"/>
    <w:rsid w:val="00787093"/>
    <w:rsid w:val="0078721F"/>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6DC4"/>
    <w:rsid w:val="00797200"/>
    <w:rsid w:val="00797328"/>
    <w:rsid w:val="00797596"/>
    <w:rsid w:val="0079778C"/>
    <w:rsid w:val="007978A0"/>
    <w:rsid w:val="007978EA"/>
    <w:rsid w:val="00797D9C"/>
    <w:rsid w:val="00797ECB"/>
    <w:rsid w:val="007A0038"/>
    <w:rsid w:val="007A070A"/>
    <w:rsid w:val="007A0912"/>
    <w:rsid w:val="007A0B7F"/>
    <w:rsid w:val="007A0FCA"/>
    <w:rsid w:val="007A1248"/>
    <w:rsid w:val="007A1B08"/>
    <w:rsid w:val="007A1B88"/>
    <w:rsid w:val="007A1FD3"/>
    <w:rsid w:val="007A207C"/>
    <w:rsid w:val="007A21FF"/>
    <w:rsid w:val="007A276D"/>
    <w:rsid w:val="007A288F"/>
    <w:rsid w:val="007A29C5"/>
    <w:rsid w:val="007A2F8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2E5"/>
    <w:rsid w:val="007A5448"/>
    <w:rsid w:val="007A5754"/>
    <w:rsid w:val="007A5886"/>
    <w:rsid w:val="007A59C7"/>
    <w:rsid w:val="007A5F18"/>
    <w:rsid w:val="007A60AE"/>
    <w:rsid w:val="007A638D"/>
    <w:rsid w:val="007A697A"/>
    <w:rsid w:val="007A699C"/>
    <w:rsid w:val="007A6A01"/>
    <w:rsid w:val="007A6E2A"/>
    <w:rsid w:val="007A6FB4"/>
    <w:rsid w:val="007A72B7"/>
    <w:rsid w:val="007A77C4"/>
    <w:rsid w:val="007A7914"/>
    <w:rsid w:val="007A7983"/>
    <w:rsid w:val="007A7B25"/>
    <w:rsid w:val="007A7FFD"/>
    <w:rsid w:val="007B0296"/>
    <w:rsid w:val="007B02B5"/>
    <w:rsid w:val="007B0556"/>
    <w:rsid w:val="007B05C1"/>
    <w:rsid w:val="007B09C3"/>
    <w:rsid w:val="007B0BD3"/>
    <w:rsid w:val="007B0E20"/>
    <w:rsid w:val="007B0EC0"/>
    <w:rsid w:val="007B1041"/>
    <w:rsid w:val="007B1334"/>
    <w:rsid w:val="007B1498"/>
    <w:rsid w:val="007B1622"/>
    <w:rsid w:val="007B2384"/>
    <w:rsid w:val="007B25FA"/>
    <w:rsid w:val="007B2755"/>
    <w:rsid w:val="007B2B49"/>
    <w:rsid w:val="007B383F"/>
    <w:rsid w:val="007B3B02"/>
    <w:rsid w:val="007B3C7D"/>
    <w:rsid w:val="007B44E4"/>
    <w:rsid w:val="007B46A8"/>
    <w:rsid w:val="007B47BA"/>
    <w:rsid w:val="007B49BE"/>
    <w:rsid w:val="007B49D5"/>
    <w:rsid w:val="007B49EC"/>
    <w:rsid w:val="007B4B61"/>
    <w:rsid w:val="007B52C8"/>
    <w:rsid w:val="007B556F"/>
    <w:rsid w:val="007B5A00"/>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1313"/>
    <w:rsid w:val="007C13D0"/>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60E3"/>
    <w:rsid w:val="007C65FD"/>
    <w:rsid w:val="007C68F6"/>
    <w:rsid w:val="007C6ED9"/>
    <w:rsid w:val="007C6FD6"/>
    <w:rsid w:val="007C7134"/>
    <w:rsid w:val="007C7691"/>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54AB"/>
    <w:rsid w:val="007D5852"/>
    <w:rsid w:val="007D59E2"/>
    <w:rsid w:val="007D5CA5"/>
    <w:rsid w:val="007D60E9"/>
    <w:rsid w:val="007D6399"/>
    <w:rsid w:val="007D6927"/>
    <w:rsid w:val="007D6A29"/>
    <w:rsid w:val="007D70BB"/>
    <w:rsid w:val="007D76DD"/>
    <w:rsid w:val="007D7C93"/>
    <w:rsid w:val="007D7E75"/>
    <w:rsid w:val="007D7FE5"/>
    <w:rsid w:val="007E0C0B"/>
    <w:rsid w:val="007E0EB8"/>
    <w:rsid w:val="007E116D"/>
    <w:rsid w:val="007E117E"/>
    <w:rsid w:val="007E1199"/>
    <w:rsid w:val="007E130E"/>
    <w:rsid w:val="007E1403"/>
    <w:rsid w:val="007E1751"/>
    <w:rsid w:val="007E1B19"/>
    <w:rsid w:val="007E1D44"/>
    <w:rsid w:val="007E1E6A"/>
    <w:rsid w:val="007E1F7B"/>
    <w:rsid w:val="007E1F88"/>
    <w:rsid w:val="007E2346"/>
    <w:rsid w:val="007E236A"/>
    <w:rsid w:val="007E2AF5"/>
    <w:rsid w:val="007E2E87"/>
    <w:rsid w:val="007E2EF5"/>
    <w:rsid w:val="007E329A"/>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69CE"/>
    <w:rsid w:val="007E766A"/>
    <w:rsid w:val="007E769C"/>
    <w:rsid w:val="007E774E"/>
    <w:rsid w:val="007E7C83"/>
    <w:rsid w:val="007E7CEB"/>
    <w:rsid w:val="007F030E"/>
    <w:rsid w:val="007F0462"/>
    <w:rsid w:val="007F0690"/>
    <w:rsid w:val="007F0AED"/>
    <w:rsid w:val="007F0CFF"/>
    <w:rsid w:val="007F0D5B"/>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8000F5"/>
    <w:rsid w:val="00800983"/>
    <w:rsid w:val="00800CA4"/>
    <w:rsid w:val="00801081"/>
    <w:rsid w:val="0080163D"/>
    <w:rsid w:val="00801842"/>
    <w:rsid w:val="008019FC"/>
    <w:rsid w:val="00801F61"/>
    <w:rsid w:val="00801FA9"/>
    <w:rsid w:val="0080249E"/>
    <w:rsid w:val="008024C5"/>
    <w:rsid w:val="00802725"/>
    <w:rsid w:val="00802802"/>
    <w:rsid w:val="00802B46"/>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A5C"/>
    <w:rsid w:val="00807D8F"/>
    <w:rsid w:val="00810057"/>
    <w:rsid w:val="00810186"/>
    <w:rsid w:val="00810C89"/>
    <w:rsid w:val="00810CBC"/>
    <w:rsid w:val="00810EDA"/>
    <w:rsid w:val="008110EE"/>
    <w:rsid w:val="00811932"/>
    <w:rsid w:val="00811F01"/>
    <w:rsid w:val="008126F0"/>
    <w:rsid w:val="00812898"/>
    <w:rsid w:val="00812ADF"/>
    <w:rsid w:val="00812B13"/>
    <w:rsid w:val="00812B26"/>
    <w:rsid w:val="00812DDE"/>
    <w:rsid w:val="00812EAA"/>
    <w:rsid w:val="008134A6"/>
    <w:rsid w:val="0081352F"/>
    <w:rsid w:val="008136C3"/>
    <w:rsid w:val="0081380F"/>
    <w:rsid w:val="00813AD2"/>
    <w:rsid w:val="00813D60"/>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DCC"/>
    <w:rsid w:val="00821E4C"/>
    <w:rsid w:val="00822833"/>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0BF"/>
    <w:rsid w:val="00827665"/>
    <w:rsid w:val="008276CA"/>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28A"/>
    <w:rsid w:val="00832461"/>
    <w:rsid w:val="008325E8"/>
    <w:rsid w:val="00832ACA"/>
    <w:rsid w:val="00833050"/>
    <w:rsid w:val="00833151"/>
    <w:rsid w:val="008336C7"/>
    <w:rsid w:val="00833882"/>
    <w:rsid w:val="00833A1E"/>
    <w:rsid w:val="00833B15"/>
    <w:rsid w:val="00833C24"/>
    <w:rsid w:val="0083413B"/>
    <w:rsid w:val="008342E0"/>
    <w:rsid w:val="0083443E"/>
    <w:rsid w:val="00834622"/>
    <w:rsid w:val="00834E4D"/>
    <w:rsid w:val="00834F89"/>
    <w:rsid w:val="0083550B"/>
    <w:rsid w:val="0083556E"/>
    <w:rsid w:val="008355B5"/>
    <w:rsid w:val="008358A0"/>
    <w:rsid w:val="008358E7"/>
    <w:rsid w:val="00835B14"/>
    <w:rsid w:val="00835BED"/>
    <w:rsid w:val="00835DAF"/>
    <w:rsid w:val="008362CA"/>
    <w:rsid w:val="00836C2C"/>
    <w:rsid w:val="00836D1F"/>
    <w:rsid w:val="00837903"/>
    <w:rsid w:val="00837AF4"/>
    <w:rsid w:val="00837BF3"/>
    <w:rsid w:val="00837F7A"/>
    <w:rsid w:val="008400A0"/>
    <w:rsid w:val="0084030F"/>
    <w:rsid w:val="00840576"/>
    <w:rsid w:val="0084071B"/>
    <w:rsid w:val="0084091E"/>
    <w:rsid w:val="00840B84"/>
    <w:rsid w:val="00840CDF"/>
    <w:rsid w:val="00840D3C"/>
    <w:rsid w:val="008414BF"/>
    <w:rsid w:val="00841831"/>
    <w:rsid w:val="00841EE9"/>
    <w:rsid w:val="00842719"/>
    <w:rsid w:val="00842800"/>
    <w:rsid w:val="00842A60"/>
    <w:rsid w:val="00842A61"/>
    <w:rsid w:val="00842BF9"/>
    <w:rsid w:val="00843157"/>
    <w:rsid w:val="008432E9"/>
    <w:rsid w:val="0084330E"/>
    <w:rsid w:val="00843331"/>
    <w:rsid w:val="00843415"/>
    <w:rsid w:val="00843A58"/>
    <w:rsid w:val="00843A84"/>
    <w:rsid w:val="0084413D"/>
    <w:rsid w:val="00844795"/>
    <w:rsid w:val="00844860"/>
    <w:rsid w:val="008448DD"/>
    <w:rsid w:val="00844A2C"/>
    <w:rsid w:val="00844A9E"/>
    <w:rsid w:val="00844C34"/>
    <w:rsid w:val="00844C43"/>
    <w:rsid w:val="008459D0"/>
    <w:rsid w:val="00845AD2"/>
    <w:rsid w:val="00845B8A"/>
    <w:rsid w:val="00845E86"/>
    <w:rsid w:val="00846083"/>
    <w:rsid w:val="0084641D"/>
    <w:rsid w:val="00847946"/>
    <w:rsid w:val="008479D3"/>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211"/>
    <w:rsid w:val="00862238"/>
    <w:rsid w:val="008624B9"/>
    <w:rsid w:val="00862B12"/>
    <w:rsid w:val="00862B43"/>
    <w:rsid w:val="00862E14"/>
    <w:rsid w:val="008635C3"/>
    <w:rsid w:val="008637DC"/>
    <w:rsid w:val="00863834"/>
    <w:rsid w:val="008638E5"/>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41B"/>
    <w:rsid w:val="00865580"/>
    <w:rsid w:val="0086560B"/>
    <w:rsid w:val="00865696"/>
    <w:rsid w:val="00865A91"/>
    <w:rsid w:val="00865ABF"/>
    <w:rsid w:val="008660F1"/>
    <w:rsid w:val="008661F2"/>
    <w:rsid w:val="008662BE"/>
    <w:rsid w:val="00866393"/>
    <w:rsid w:val="0086642E"/>
    <w:rsid w:val="00866824"/>
    <w:rsid w:val="0086692D"/>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DC0"/>
    <w:rsid w:val="00872FA0"/>
    <w:rsid w:val="0087316A"/>
    <w:rsid w:val="00873231"/>
    <w:rsid w:val="00873262"/>
    <w:rsid w:val="0087331E"/>
    <w:rsid w:val="0087345C"/>
    <w:rsid w:val="008734B6"/>
    <w:rsid w:val="00873C91"/>
    <w:rsid w:val="00873CE9"/>
    <w:rsid w:val="00873E67"/>
    <w:rsid w:val="0087405A"/>
    <w:rsid w:val="00874359"/>
    <w:rsid w:val="0087480A"/>
    <w:rsid w:val="00874BBB"/>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B88"/>
    <w:rsid w:val="00877B90"/>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702C"/>
    <w:rsid w:val="0088733C"/>
    <w:rsid w:val="00887585"/>
    <w:rsid w:val="00890174"/>
    <w:rsid w:val="00890185"/>
    <w:rsid w:val="008901FB"/>
    <w:rsid w:val="008906EC"/>
    <w:rsid w:val="00890DA6"/>
    <w:rsid w:val="00891031"/>
    <w:rsid w:val="0089144F"/>
    <w:rsid w:val="0089167F"/>
    <w:rsid w:val="008919C4"/>
    <w:rsid w:val="00891E23"/>
    <w:rsid w:val="008920CD"/>
    <w:rsid w:val="008926BB"/>
    <w:rsid w:val="00892760"/>
    <w:rsid w:val="008928DB"/>
    <w:rsid w:val="00892BC7"/>
    <w:rsid w:val="00892DEC"/>
    <w:rsid w:val="00892E4F"/>
    <w:rsid w:val="00892F77"/>
    <w:rsid w:val="008931FB"/>
    <w:rsid w:val="008932FC"/>
    <w:rsid w:val="0089336B"/>
    <w:rsid w:val="00893469"/>
    <w:rsid w:val="00893669"/>
    <w:rsid w:val="0089377D"/>
    <w:rsid w:val="008939EE"/>
    <w:rsid w:val="00893B9A"/>
    <w:rsid w:val="00893F88"/>
    <w:rsid w:val="00894D33"/>
    <w:rsid w:val="00894F9B"/>
    <w:rsid w:val="00895087"/>
    <w:rsid w:val="0089523A"/>
    <w:rsid w:val="0089525B"/>
    <w:rsid w:val="0089541E"/>
    <w:rsid w:val="008959BA"/>
    <w:rsid w:val="00895A34"/>
    <w:rsid w:val="00895C09"/>
    <w:rsid w:val="008962E9"/>
    <w:rsid w:val="00896817"/>
    <w:rsid w:val="00896943"/>
    <w:rsid w:val="00897048"/>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77F"/>
    <w:rsid w:val="008A3F42"/>
    <w:rsid w:val="008A40BF"/>
    <w:rsid w:val="008A40E7"/>
    <w:rsid w:val="008A4130"/>
    <w:rsid w:val="008A466D"/>
    <w:rsid w:val="008A4759"/>
    <w:rsid w:val="008A490D"/>
    <w:rsid w:val="008A5162"/>
    <w:rsid w:val="008A51A9"/>
    <w:rsid w:val="008A5261"/>
    <w:rsid w:val="008A539F"/>
    <w:rsid w:val="008A543D"/>
    <w:rsid w:val="008A560B"/>
    <w:rsid w:val="008A5934"/>
    <w:rsid w:val="008A5D34"/>
    <w:rsid w:val="008A5E41"/>
    <w:rsid w:val="008A623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7F3"/>
    <w:rsid w:val="008B1875"/>
    <w:rsid w:val="008B1AD1"/>
    <w:rsid w:val="008B2127"/>
    <w:rsid w:val="008B22BA"/>
    <w:rsid w:val="008B285E"/>
    <w:rsid w:val="008B2D63"/>
    <w:rsid w:val="008B2E04"/>
    <w:rsid w:val="008B2F97"/>
    <w:rsid w:val="008B34F5"/>
    <w:rsid w:val="008B3649"/>
    <w:rsid w:val="008B401A"/>
    <w:rsid w:val="008B40F3"/>
    <w:rsid w:val="008B4147"/>
    <w:rsid w:val="008B41A8"/>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5EE"/>
    <w:rsid w:val="008B7C80"/>
    <w:rsid w:val="008C0294"/>
    <w:rsid w:val="008C0382"/>
    <w:rsid w:val="008C093B"/>
    <w:rsid w:val="008C09A9"/>
    <w:rsid w:val="008C0F36"/>
    <w:rsid w:val="008C130D"/>
    <w:rsid w:val="008C19FC"/>
    <w:rsid w:val="008C1C83"/>
    <w:rsid w:val="008C1D72"/>
    <w:rsid w:val="008C21B8"/>
    <w:rsid w:val="008C234F"/>
    <w:rsid w:val="008C27ED"/>
    <w:rsid w:val="008C2886"/>
    <w:rsid w:val="008C2B25"/>
    <w:rsid w:val="008C2BAA"/>
    <w:rsid w:val="008C2BC8"/>
    <w:rsid w:val="008C3253"/>
    <w:rsid w:val="008C33DC"/>
    <w:rsid w:val="008C345A"/>
    <w:rsid w:val="008C4304"/>
    <w:rsid w:val="008C4753"/>
    <w:rsid w:val="008C47B7"/>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A5"/>
    <w:rsid w:val="008D0573"/>
    <w:rsid w:val="008D09AF"/>
    <w:rsid w:val="008D0BDE"/>
    <w:rsid w:val="008D1040"/>
    <w:rsid w:val="008D1072"/>
    <w:rsid w:val="008D175D"/>
    <w:rsid w:val="008D1A29"/>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881"/>
    <w:rsid w:val="008D6C27"/>
    <w:rsid w:val="008D6EEB"/>
    <w:rsid w:val="008D6F76"/>
    <w:rsid w:val="008D70A2"/>
    <w:rsid w:val="008D71C6"/>
    <w:rsid w:val="008D7538"/>
    <w:rsid w:val="008D78C9"/>
    <w:rsid w:val="008D78CA"/>
    <w:rsid w:val="008D7A20"/>
    <w:rsid w:val="008D7BB8"/>
    <w:rsid w:val="008D7E9E"/>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ED5FF"/>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59"/>
    <w:rsid w:val="008F244A"/>
    <w:rsid w:val="008F25B8"/>
    <w:rsid w:val="008F2AFA"/>
    <w:rsid w:val="008F32ED"/>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387"/>
    <w:rsid w:val="008F540E"/>
    <w:rsid w:val="008F54C9"/>
    <w:rsid w:val="008F5512"/>
    <w:rsid w:val="008F5865"/>
    <w:rsid w:val="008F59D5"/>
    <w:rsid w:val="008F5ADC"/>
    <w:rsid w:val="008F5DB5"/>
    <w:rsid w:val="008F5DEF"/>
    <w:rsid w:val="008F612D"/>
    <w:rsid w:val="008F6E46"/>
    <w:rsid w:val="008F6F55"/>
    <w:rsid w:val="008F6F73"/>
    <w:rsid w:val="008F70AD"/>
    <w:rsid w:val="008F7108"/>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5FDB"/>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8E"/>
    <w:rsid w:val="00911644"/>
    <w:rsid w:val="00911710"/>
    <w:rsid w:val="00911975"/>
    <w:rsid w:val="00912525"/>
    <w:rsid w:val="00912770"/>
    <w:rsid w:val="0091284D"/>
    <w:rsid w:val="00912B73"/>
    <w:rsid w:val="00912C7F"/>
    <w:rsid w:val="009134DA"/>
    <w:rsid w:val="00913A9F"/>
    <w:rsid w:val="00913FF3"/>
    <w:rsid w:val="00914116"/>
    <w:rsid w:val="009142DD"/>
    <w:rsid w:val="00914405"/>
    <w:rsid w:val="009146C7"/>
    <w:rsid w:val="009147EC"/>
    <w:rsid w:val="00914930"/>
    <w:rsid w:val="00914B45"/>
    <w:rsid w:val="00914C1E"/>
    <w:rsid w:val="00914D5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B9"/>
    <w:rsid w:val="00920DDB"/>
    <w:rsid w:val="00920E3C"/>
    <w:rsid w:val="009213CC"/>
    <w:rsid w:val="00921478"/>
    <w:rsid w:val="00921492"/>
    <w:rsid w:val="0092163F"/>
    <w:rsid w:val="00921ADC"/>
    <w:rsid w:val="00921EB9"/>
    <w:rsid w:val="00921FE9"/>
    <w:rsid w:val="009220CC"/>
    <w:rsid w:val="009222F0"/>
    <w:rsid w:val="00922C93"/>
    <w:rsid w:val="00923237"/>
    <w:rsid w:val="009234BF"/>
    <w:rsid w:val="0092360A"/>
    <w:rsid w:val="00923E36"/>
    <w:rsid w:val="00923E69"/>
    <w:rsid w:val="00923EC5"/>
    <w:rsid w:val="009240C6"/>
    <w:rsid w:val="00924146"/>
    <w:rsid w:val="009242D8"/>
    <w:rsid w:val="00924596"/>
    <w:rsid w:val="009246E1"/>
    <w:rsid w:val="00924CB5"/>
    <w:rsid w:val="00924CF2"/>
    <w:rsid w:val="00925F5D"/>
    <w:rsid w:val="0092607D"/>
    <w:rsid w:val="009260BD"/>
    <w:rsid w:val="00926333"/>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3024C"/>
    <w:rsid w:val="009302A3"/>
    <w:rsid w:val="009303EA"/>
    <w:rsid w:val="009306AF"/>
    <w:rsid w:val="0093090F"/>
    <w:rsid w:val="00930CAA"/>
    <w:rsid w:val="00930F25"/>
    <w:rsid w:val="00930F30"/>
    <w:rsid w:val="009311DA"/>
    <w:rsid w:val="00931331"/>
    <w:rsid w:val="009313AF"/>
    <w:rsid w:val="009314A3"/>
    <w:rsid w:val="0093176C"/>
    <w:rsid w:val="00931972"/>
    <w:rsid w:val="00931C34"/>
    <w:rsid w:val="00931D9F"/>
    <w:rsid w:val="009329D9"/>
    <w:rsid w:val="00932D35"/>
    <w:rsid w:val="00932E36"/>
    <w:rsid w:val="00933A6A"/>
    <w:rsid w:val="00934113"/>
    <w:rsid w:val="009345E7"/>
    <w:rsid w:val="009347C0"/>
    <w:rsid w:val="00934A9B"/>
    <w:rsid w:val="00934D27"/>
    <w:rsid w:val="00935052"/>
    <w:rsid w:val="00935410"/>
    <w:rsid w:val="00935AD4"/>
    <w:rsid w:val="00935C10"/>
    <w:rsid w:val="00935D92"/>
    <w:rsid w:val="009360AA"/>
    <w:rsid w:val="009363D1"/>
    <w:rsid w:val="009364D0"/>
    <w:rsid w:val="0093651E"/>
    <w:rsid w:val="0093688C"/>
    <w:rsid w:val="009369F3"/>
    <w:rsid w:val="00936A97"/>
    <w:rsid w:val="00936E17"/>
    <w:rsid w:val="00936E4D"/>
    <w:rsid w:val="00936E7A"/>
    <w:rsid w:val="009371C5"/>
    <w:rsid w:val="00937261"/>
    <w:rsid w:val="0093746D"/>
    <w:rsid w:val="009375D3"/>
    <w:rsid w:val="009376C6"/>
    <w:rsid w:val="00937B30"/>
    <w:rsid w:val="00940473"/>
    <w:rsid w:val="00940489"/>
    <w:rsid w:val="00940808"/>
    <w:rsid w:val="00940CF1"/>
    <w:rsid w:val="00940E2B"/>
    <w:rsid w:val="00941365"/>
    <w:rsid w:val="009413F1"/>
    <w:rsid w:val="0094191A"/>
    <w:rsid w:val="00941B7F"/>
    <w:rsid w:val="00941E3E"/>
    <w:rsid w:val="00941EBE"/>
    <w:rsid w:val="00941FBD"/>
    <w:rsid w:val="009421D9"/>
    <w:rsid w:val="009421EE"/>
    <w:rsid w:val="009425F9"/>
    <w:rsid w:val="00942D83"/>
    <w:rsid w:val="00943014"/>
    <w:rsid w:val="0094331C"/>
    <w:rsid w:val="00943342"/>
    <w:rsid w:val="00943738"/>
    <w:rsid w:val="00943DB7"/>
    <w:rsid w:val="00944400"/>
    <w:rsid w:val="009444E4"/>
    <w:rsid w:val="009446CF"/>
    <w:rsid w:val="00944AB0"/>
    <w:rsid w:val="00944C00"/>
    <w:rsid w:val="009450D0"/>
    <w:rsid w:val="009454CA"/>
    <w:rsid w:val="0094599D"/>
    <w:rsid w:val="00945D94"/>
    <w:rsid w:val="00945DE7"/>
    <w:rsid w:val="00946009"/>
    <w:rsid w:val="0094615F"/>
    <w:rsid w:val="0094665E"/>
    <w:rsid w:val="009467EE"/>
    <w:rsid w:val="009469C5"/>
    <w:rsid w:val="00946AD2"/>
    <w:rsid w:val="00946C01"/>
    <w:rsid w:val="00946C03"/>
    <w:rsid w:val="00946E6E"/>
    <w:rsid w:val="009476A0"/>
    <w:rsid w:val="009478FA"/>
    <w:rsid w:val="00947BE1"/>
    <w:rsid w:val="009504D3"/>
    <w:rsid w:val="0095061C"/>
    <w:rsid w:val="009507B1"/>
    <w:rsid w:val="009514A8"/>
    <w:rsid w:val="009522D3"/>
    <w:rsid w:val="009525C6"/>
    <w:rsid w:val="00952628"/>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6159"/>
    <w:rsid w:val="00956314"/>
    <w:rsid w:val="009566FB"/>
    <w:rsid w:val="009567E1"/>
    <w:rsid w:val="00956A38"/>
    <w:rsid w:val="00956AB4"/>
    <w:rsid w:val="00956EDA"/>
    <w:rsid w:val="009570ED"/>
    <w:rsid w:val="0095723F"/>
    <w:rsid w:val="00957453"/>
    <w:rsid w:val="00957922"/>
    <w:rsid w:val="00957B1D"/>
    <w:rsid w:val="00957BC1"/>
    <w:rsid w:val="00957D2D"/>
    <w:rsid w:val="00960008"/>
    <w:rsid w:val="00960278"/>
    <w:rsid w:val="0096055F"/>
    <w:rsid w:val="009605D8"/>
    <w:rsid w:val="00960950"/>
    <w:rsid w:val="00960C8E"/>
    <w:rsid w:val="00960CA2"/>
    <w:rsid w:val="00960EEF"/>
    <w:rsid w:val="009611A4"/>
    <w:rsid w:val="009614A4"/>
    <w:rsid w:val="009616C4"/>
    <w:rsid w:val="00961856"/>
    <w:rsid w:val="00961AA5"/>
    <w:rsid w:val="00961B6C"/>
    <w:rsid w:val="00961BD8"/>
    <w:rsid w:val="00961CB0"/>
    <w:rsid w:val="00961D05"/>
    <w:rsid w:val="00961D48"/>
    <w:rsid w:val="00961D8F"/>
    <w:rsid w:val="00961E01"/>
    <w:rsid w:val="00962055"/>
    <w:rsid w:val="009624C2"/>
    <w:rsid w:val="00962658"/>
    <w:rsid w:val="009629F0"/>
    <w:rsid w:val="00962F78"/>
    <w:rsid w:val="00963162"/>
    <w:rsid w:val="009632CD"/>
    <w:rsid w:val="00963417"/>
    <w:rsid w:val="00963435"/>
    <w:rsid w:val="0096347F"/>
    <w:rsid w:val="00963513"/>
    <w:rsid w:val="00963ACB"/>
    <w:rsid w:val="00963AFE"/>
    <w:rsid w:val="00963B93"/>
    <w:rsid w:val="00963BAF"/>
    <w:rsid w:val="00963C14"/>
    <w:rsid w:val="00963D68"/>
    <w:rsid w:val="00963DDA"/>
    <w:rsid w:val="009640E7"/>
    <w:rsid w:val="00964903"/>
    <w:rsid w:val="00964AC2"/>
    <w:rsid w:val="00964E9D"/>
    <w:rsid w:val="00965427"/>
    <w:rsid w:val="009656A8"/>
    <w:rsid w:val="00965931"/>
    <w:rsid w:val="00965944"/>
    <w:rsid w:val="009659D6"/>
    <w:rsid w:val="00965A19"/>
    <w:rsid w:val="00966167"/>
    <w:rsid w:val="00966990"/>
    <w:rsid w:val="00966CE8"/>
    <w:rsid w:val="009672D7"/>
    <w:rsid w:val="009672F0"/>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C2D"/>
    <w:rsid w:val="00974FB9"/>
    <w:rsid w:val="00975089"/>
    <w:rsid w:val="00975214"/>
    <w:rsid w:val="00975284"/>
    <w:rsid w:val="0097537A"/>
    <w:rsid w:val="00975979"/>
    <w:rsid w:val="0097615A"/>
    <w:rsid w:val="00976294"/>
    <w:rsid w:val="0097669C"/>
    <w:rsid w:val="009766CB"/>
    <w:rsid w:val="00976C5C"/>
    <w:rsid w:val="00976D44"/>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42E7"/>
    <w:rsid w:val="009848CF"/>
    <w:rsid w:val="009849B1"/>
    <w:rsid w:val="00984D76"/>
    <w:rsid w:val="0098555A"/>
    <w:rsid w:val="00985645"/>
    <w:rsid w:val="00985B42"/>
    <w:rsid w:val="00985B85"/>
    <w:rsid w:val="00985BDD"/>
    <w:rsid w:val="009864B7"/>
    <w:rsid w:val="00986580"/>
    <w:rsid w:val="009869E1"/>
    <w:rsid w:val="00986A0A"/>
    <w:rsid w:val="009873D9"/>
    <w:rsid w:val="009876E0"/>
    <w:rsid w:val="00987951"/>
    <w:rsid w:val="00987D6E"/>
    <w:rsid w:val="00990492"/>
    <w:rsid w:val="00990A33"/>
    <w:rsid w:val="00990A82"/>
    <w:rsid w:val="00990AB9"/>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5194"/>
    <w:rsid w:val="0099519C"/>
    <w:rsid w:val="009953A6"/>
    <w:rsid w:val="0099550D"/>
    <w:rsid w:val="00995527"/>
    <w:rsid w:val="0099568B"/>
    <w:rsid w:val="009959A2"/>
    <w:rsid w:val="00995C7C"/>
    <w:rsid w:val="009965D5"/>
    <w:rsid w:val="009965F0"/>
    <w:rsid w:val="0099684E"/>
    <w:rsid w:val="009969B7"/>
    <w:rsid w:val="00996FC8"/>
    <w:rsid w:val="00997018"/>
    <w:rsid w:val="0099738E"/>
    <w:rsid w:val="009975AD"/>
    <w:rsid w:val="0099787E"/>
    <w:rsid w:val="009979C5"/>
    <w:rsid w:val="009A00B0"/>
    <w:rsid w:val="009A0BD4"/>
    <w:rsid w:val="009A1382"/>
    <w:rsid w:val="009A16BC"/>
    <w:rsid w:val="009A2696"/>
    <w:rsid w:val="009A2AFF"/>
    <w:rsid w:val="009A2F74"/>
    <w:rsid w:val="009A34A1"/>
    <w:rsid w:val="009A356F"/>
    <w:rsid w:val="009A380D"/>
    <w:rsid w:val="009A3C1D"/>
    <w:rsid w:val="009A3F33"/>
    <w:rsid w:val="009A3FF0"/>
    <w:rsid w:val="009A42ED"/>
    <w:rsid w:val="009A4343"/>
    <w:rsid w:val="009A4B4D"/>
    <w:rsid w:val="009A4C64"/>
    <w:rsid w:val="009A4D7F"/>
    <w:rsid w:val="009A56AB"/>
    <w:rsid w:val="009A5732"/>
    <w:rsid w:val="009A5811"/>
    <w:rsid w:val="009A5B19"/>
    <w:rsid w:val="009A5C50"/>
    <w:rsid w:val="009A5E3E"/>
    <w:rsid w:val="009A634C"/>
    <w:rsid w:val="009A6A48"/>
    <w:rsid w:val="009A6C20"/>
    <w:rsid w:val="009A6DB5"/>
    <w:rsid w:val="009A6F9A"/>
    <w:rsid w:val="009A711D"/>
    <w:rsid w:val="009A7340"/>
    <w:rsid w:val="009A7E67"/>
    <w:rsid w:val="009A7FD4"/>
    <w:rsid w:val="009B026C"/>
    <w:rsid w:val="009B115A"/>
    <w:rsid w:val="009B13CD"/>
    <w:rsid w:val="009B13FF"/>
    <w:rsid w:val="009B15B3"/>
    <w:rsid w:val="009B1E70"/>
    <w:rsid w:val="009B1E94"/>
    <w:rsid w:val="009B1F34"/>
    <w:rsid w:val="009B2079"/>
    <w:rsid w:val="009B299C"/>
    <w:rsid w:val="009B299D"/>
    <w:rsid w:val="009B2D6B"/>
    <w:rsid w:val="009B323A"/>
    <w:rsid w:val="009B32F3"/>
    <w:rsid w:val="009B3550"/>
    <w:rsid w:val="009B3618"/>
    <w:rsid w:val="009B3762"/>
    <w:rsid w:val="009B38A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78"/>
    <w:rsid w:val="009C36C1"/>
    <w:rsid w:val="009C38FA"/>
    <w:rsid w:val="009C3A74"/>
    <w:rsid w:val="009C42E8"/>
    <w:rsid w:val="009C4A09"/>
    <w:rsid w:val="009C4A83"/>
    <w:rsid w:val="009C4A84"/>
    <w:rsid w:val="009C4F86"/>
    <w:rsid w:val="009C5300"/>
    <w:rsid w:val="009C54B7"/>
    <w:rsid w:val="009C5599"/>
    <w:rsid w:val="009C5AF3"/>
    <w:rsid w:val="009C6066"/>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ED0"/>
    <w:rsid w:val="009D286F"/>
    <w:rsid w:val="009D2B0D"/>
    <w:rsid w:val="009D2B14"/>
    <w:rsid w:val="009D2B2E"/>
    <w:rsid w:val="009D2BC5"/>
    <w:rsid w:val="009D2EF3"/>
    <w:rsid w:val="009D3EEC"/>
    <w:rsid w:val="009D4079"/>
    <w:rsid w:val="009D42EF"/>
    <w:rsid w:val="009D4BD0"/>
    <w:rsid w:val="009D4CB6"/>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897"/>
    <w:rsid w:val="009E09F7"/>
    <w:rsid w:val="009E0C0F"/>
    <w:rsid w:val="009E0CBB"/>
    <w:rsid w:val="009E16D4"/>
    <w:rsid w:val="009E19E5"/>
    <w:rsid w:val="009E1B40"/>
    <w:rsid w:val="009E25BA"/>
    <w:rsid w:val="009E27A2"/>
    <w:rsid w:val="009E283E"/>
    <w:rsid w:val="009E2AE0"/>
    <w:rsid w:val="009E2D25"/>
    <w:rsid w:val="009E3079"/>
    <w:rsid w:val="009E3411"/>
    <w:rsid w:val="009E349B"/>
    <w:rsid w:val="009E350C"/>
    <w:rsid w:val="009E3868"/>
    <w:rsid w:val="009E3916"/>
    <w:rsid w:val="009E3C02"/>
    <w:rsid w:val="009E411E"/>
    <w:rsid w:val="009E46A2"/>
    <w:rsid w:val="009E4B8E"/>
    <w:rsid w:val="009E52A4"/>
    <w:rsid w:val="009E52BC"/>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A46"/>
    <w:rsid w:val="009F1C95"/>
    <w:rsid w:val="009F240E"/>
    <w:rsid w:val="009F2949"/>
    <w:rsid w:val="009F2985"/>
    <w:rsid w:val="009F2AC5"/>
    <w:rsid w:val="009F2BF9"/>
    <w:rsid w:val="009F2CD3"/>
    <w:rsid w:val="009F322D"/>
    <w:rsid w:val="009F3534"/>
    <w:rsid w:val="009F3728"/>
    <w:rsid w:val="009F3853"/>
    <w:rsid w:val="009F3A3E"/>
    <w:rsid w:val="009F411C"/>
    <w:rsid w:val="009F43DB"/>
    <w:rsid w:val="009F4B51"/>
    <w:rsid w:val="009F4CA1"/>
    <w:rsid w:val="009F4D50"/>
    <w:rsid w:val="009F4FA8"/>
    <w:rsid w:val="009F4FC2"/>
    <w:rsid w:val="009F52B7"/>
    <w:rsid w:val="009F5320"/>
    <w:rsid w:val="009F5655"/>
    <w:rsid w:val="009F5C04"/>
    <w:rsid w:val="009F5D11"/>
    <w:rsid w:val="009F5E74"/>
    <w:rsid w:val="009F6110"/>
    <w:rsid w:val="009F65E4"/>
    <w:rsid w:val="009F673F"/>
    <w:rsid w:val="009F6B1D"/>
    <w:rsid w:val="009F6C0E"/>
    <w:rsid w:val="009F7046"/>
    <w:rsid w:val="009F781A"/>
    <w:rsid w:val="009F78B0"/>
    <w:rsid w:val="009F7E73"/>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F6C"/>
    <w:rsid w:val="00A03009"/>
    <w:rsid w:val="00A031A0"/>
    <w:rsid w:val="00A0327F"/>
    <w:rsid w:val="00A03422"/>
    <w:rsid w:val="00A039A0"/>
    <w:rsid w:val="00A03A76"/>
    <w:rsid w:val="00A03F71"/>
    <w:rsid w:val="00A04612"/>
    <w:rsid w:val="00A04E28"/>
    <w:rsid w:val="00A04EC9"/>
    <w:rsid w:val="00A05072"/>
    <w:rsid w:val="00A0543A"/>
    <w:rsid w:val="00A057A1"/>
    <w:rsid w:val="00A05B25"/>
    <w:rsid w:val="00A06185"/>
    <w:rsid w:val="00A06434"/>
    <w:rsid w:val="00A0668B"/>
    <w:rsid w:val="00A06A7A"/>
    <w:rsid w:val="00A06F6A"/>
    <w:rsid w:val="00A07089"/>
    <w:rsid w:val="00A07235"/>
    <w:rsid w:val="00A07BB1"/>
    <w:rsid w:val="00A07E57"/>
    <w:rsid w:val="00A100EB"/>
    <w:rsid w:val="00A102D7"/>
    <w:rsid w:val="00A106A6"/>
    <w:rsid w:val="00A11084"/>
    <w:rsid w:val="00A113A8"/>
    <w:rsid w:val="00A115D1"/>
    <w:rsid w:val="00A11643"/>
    <w:rsid w:val="00A117A2"/>
    <w:rsid w:val="00A11F6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446"/>
    <w:rsid w:val="00A1769D"/>
    <w:rsid w:val="00A17883"/>
    <w:rsid w:val="00A17989"/>
    <w:rsid w:val="00A17C98"/>
    <w:rsid w:val="00A17D4F"/>
    <w:rsid w:val="00A200AF"/>
    <w:rsid w:val="00A20499"/>
    <w:rsid w:val="00A205A8"/>
    <w:rsid w:val="00A209C5"/>
    <w:rsid w:val="00A20A35"/>
    <w:rsid w:val="00A20CE3"/>
    <w:rsid w:val="00A21182"/>
    <w:rsid w:val="00A21436"/>
    <w:rsid w:val="00A216E7"/>
    <w:rsid w:val="00A2175E"/>
    <w:rsid w:val="00A21992"/>
    <w:rsid w:val="00A21C06"/>
    <w:rsid w:val="00A21C2F"/>
    <w:rsid w:val="00A21D47"/>
    <w:rsid w:val="00A21E69"/>
    <w:rsid w:val="00A223F5"/>
    <w:rsid w:val="00A224CC"/>
    <w:rsid w:val="00A22561"/>
    <w:rsid w:val="00A22580"/>
    <w:rsid w:val="00A22624"/>
    <w:rsid w:val="00A229E2"/>
    <w:rsid w:val="00A22F9D"/>
    <w:rsid w:val="00A23235"/>
    <w:rsid w:val="00A23464"/>
    <w:rsid w:val="00A23486"/>
    <w:rsid w:val="00A23487"/>
    <w:rsid w:val="00A235CA"/>
    <w:rsid w:val="00A238BA"/>
    <w:rsid w:val="00A2424A"/>
    <w:rsid w:val="00A24582"/>
    <w:rsid w:val="00A24CB7"/>
    <w:rsid w:val="00A2520C"/>
    <w:rsid w:val="00A25372"/>
    <w:rsid w:val="00A254B6"/>
    <w:rsid w:val="00A25666"/>
    <w:rsid w:val="00A25A5C"/>
    <w:rsid w:val="00A25D0A"/>
    <w:rsid w:val="00A25E7C"/>
    <w:rsid w:val="00A26005"/>
    <w:rsid w:val="00A2663B"/>
    <w:rsid w:val="00A26896"/>
    <w:rsid w:val="00A26C13"/>
    <w:rsid w:val="00A279EE"/>
    <w:rsid w:val="00A27A9D"/>
    <w:rsid w:val="00A27FEB"/>
    <w:rsid w:val="00A302F2"/>
    <w:rsid w:val="00A30523"/>
    <w:rsid w:val="00A30EC8"/>
    <w:rsid w:val="00A30EFB"/>
    <w:rsid w:val="00A31096"/>
    <w:rsid w:val="00A31586"/>
    <w:rsid w:val="00A31D3A"/>
    <w:rsid w:val="00A32193"/>
    <w:rsid w:val="00A3231E"/>
    <w:rsid w:val="00A32790"/>
    <w:rsid w:val="00A32E6C"/>
    <w:rsid w:val="00A33237"/>
    <w:rsid w:val="00A33334"/>
    <w:rsid w:val="00A341FC"/>
    <w:rsid w:val="00A345BF"/>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87"/>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C13"/>
    <w:rsid w:val="00A43F82"/>
    <w:rsid w:val="00A445D9"/>
    <w:rsid w:val="00A44A7A"/>
    <w:rsid w:val="00A44C58"/>
    <w:rsid w:val="00A44CBE"/>
    <w:rsid w:val="00A44CDB"/>
    <w:rsid w:val="00A44FA1"/>
    <w:rsid w:val="00A454A9"/>
    <w:rsid w:val="00A4581B"/>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C17"/>
    <w:rsid w:val="00A5003B"/>
    <w:rsid w:val="00A50172"/>
    <w:rsid w:val="00A5029C"/>
    <w:rsid w:val="00A5036B"/>
    <w:rsid w:val="00A503CB"/>
    <w:rsid w:val="00A503F7"/>
    <w:rsid w:val="00A50440"/>
    <w:rsid w:val="00A508B9"/>
    <w:rsid w:val="00A50AD8"/>
    <w:rsid w:val="00A50B17"/>
    <w:rsid w:val="00A50E13"/>
    <w:rsid w:val="00A5124F"/>
    <w:rsid w:val="00A513C5"/>
    <w:rsid w:val="00A51470"/>
    <w:rsid w:val="00A51608"/>
    <w:rsid w:val="00A51776"/>
    <w:rsid w:val="00A51A21"/>
    <w:rsid w:val="00A520F3"/>
    <w:rsid w:val="00A52126"/>
    <w:rsid w:val="00A5253E"/>
    <w:rsid w:val="00A527EA"/>
    <w:rsid w:val="00A52AC4"/>
    <w:rsid w:val="00A52C0D"/>
    <w:rsid w:val="00A52C9D"/>
    <w:rsid w:val="00A53190"/>
    <w:rsid w:val="00A53647"/>
    <w:rsid w:val="00A539B9"/>
    <w:rsid w:val="00A53C2B"/>
    <w:rsid w:val="00A53D28"/>
    <w:rsid w:val="00A54064"/>
    <w:rsid w:val="00A543B1"/>
    <w:rsid w:val="00A543D1"/>
    <w:rsid w:val="00A548EA"/>
    <w:rsid w:val="00A550DC"/>
    <w:rsid w:val="00A55393"/>
    <w:rsid w:val="00A557FC"/>
    <w:rsid w:val="00A558FC"/>
    <w:rsid w:val="00A55D00"/>
    <w:rsid w:val="00A55DB8"/>
    <w:rsid w:val="00A56773"/>
    <w:rsid w:val="00A568E1"/>
    <w:rsid w:val="00A56B10"/>
    <w:rsid w:val="00A571B3"/>
    <w:rsid w:val="00A574C3"/>
    <w:rsid w:val="00A57B18"/>
    <w:rsid w:val="00A57B2E"/>
    <w:rsid w:val="00A57E70"/>
    <w:rsid w:val="00A600CF"/>
    <w:rsid w:val="00A60181"/>
    <w:rsid w:val="00A602EB"/>
    <w:rsid w:val="00A6064B"/>
    <w:rsid w:val="00A60684"/>
    <w:rsid w:val="00A61454"/>
    <w:rsid w:val="00A61466"/>
    <w:rsid w:val="00A61AFE"/>
    <w:rsid w:val="00A62198"/>
    <w:rsid w:val="00A62C6E"/>
    <w:rsid w:val="00A6363B"/>
    <w:rsid w:val="00A63654"/>
    <w:rsid w:val="00A637F2"/>
    <w:rsid w:val="00A638CD"/>
    <w:rsid w:val="00A63C1F"/>
    <w:rsid w:val="00A63C57"/>
    <w:rsid w:val="00A64111"/>
    <w:rsid w:val="00A64460"/>
    <w:rsid w:val="00A64925"/>
    <w:rsid w:val="00A64AE0"/>
    <w:rsid w:val="00A64AF5"/>
    <w:rsid w:val="00A64DDC"/>
    <w:rsid w:val="00A64E4B"/>
    <w:rsid w:val="00A64F3F"/>
    <w:rsid w:val="00A6512C"/>
    <w:rsid w:val="00A6553D"/>
    <w:rsid w:val="00A6567C"/>
    <w:rsid w:val="00A6575F"/>
    <w:rsid w:val="00A65A29"/>
    <w:rsid w:val="00A6610C"/>
    <w:rsid w:val="00A6628E"/>
    <w:rsid w:val="00A66485"/>
    <w:rsid w:val="00A665AC"/>
    <w:rsid w:val="00A6688F"/>
    <w:rsid w:val="00A66ACC"/>
    <w:rsid w:val="00A66BFE"/>
    <w:rsid w:val="00A67282"/>
    <w:rsid w:val="00A676BD"/>
    <w:rsid w:val="00A678DA"/>
    <w:rsid w:val="00A701BE"/>
    <w:rsid w:val="00A7025C"/>
    <w:rsid w:val="00A70360"/>
    <w:rsid w:val="00A70530"/>
    <w:rsid w:val="00A70540"/>
    <w:rsid w:val="00A70736"/>
    <w:rsid w:val="00A70EE0"/>
    <w:rsid w:val="00A7112D"/>
    <w:rsid w:val="00A71B02"/>
    <w:rsid w:val="00A72052"/>
    <w:rsid w:val="00A726F7"/>
    <w:rsid w:val="00A729AF"/>
    <w:rsid w:val="00A72AB5"/>
    <w:rsid w:val="00A73071"/>
    <w:rsid w:val="00A734CA"/>
    <w:rsid w:val="00A7371D"/>
    <w:rsid w:val="00A7376B"/>
    <w:rsid w:val="00A73B09"/>
    <w:rsid w:val="00A73D53"/>
    <w:rsid w:val="00A73EF1"/>
    <w:rsid w:val="00A74767"/>
    <w:rsid w:val="00A748B8"/>
    <w:rsid w:val="00A74D0E"/>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2B4F"/>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42C"/>
    <w:rsid w:val="00A875E6"/>
    <w:rsid w:val="00A8762A"/>
    <w:rsid w:val="00A8773A"/>
    <w:rsid w:val="00A8773C"/>
    <w:rsid w:val="00A87A6C"/>
    <w:rsid w:val="00A87AED"/>
    <w:rsid w:val="00A87BB6"/>
    <w:rsid w:val="00A87FAC"/>
    <w:rsid w:val="00A902AA"/>
    <w:rsid w:val="00A90730"/>
    <w:rsid w:val="00A90845"/>
    <w:rsid w:val="00A90BC1"/>
    <w:rsid w:val="00A90ECA"/>
    <w:rsid w:val="00A9131E"/>
    <w:rsid w:val="00A9157F"/>
    <w:rsid w:val="00A91667"/>
    <w:rsid w:val="00A917D9"/>
    <w:rsid w:val="00A91B19"/>
    <w:rsid w:val="00A91B4E"/>
    <w:rsid w:val="00A92019"/>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98A"/>
    <w:rsid w:val="00A95F90"/>
    <w:rsid w:val="00A9618F"/>
    <w:rsid w:val="00A96216"/>
    <w:rsid w:val="00A963A6"/>
    <w:rsid w:val="00A96967"/>
    <w:rsid w:val="00A969D6"/>
    <w:rsid w:val="00A96A56"/>
    <w:rsid w:val="00A96D0C"/>
    <w:rsid w:val="00A96F11"/>
    <w:rsid w:val="00A976A2"/>
    <w:rsid w:val="00A97C8D"/>
    <w:rsid w:val="00A97FEE"/>
    <w:rsid w:val="00AA0045"/>
    <w:rsid w:val="00AA010D"/>
    <w:rsid w:val="00AA01A6"/>
    <w:rsid w:val="00AA023E"/>
    <w:rsid w:val="00AA05A7"/>
    <w:rsid w:val="00AA09DE"/>
    <w:rsid w:val="00AA0BCA"/>
    <w:rsid w:val="00AA0C9D"/>
    <w:rsid w:val="00AA116A"/>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6BF"/>
    <w:rsid w:val="00AA4A3F"/>
    <w:rsid w:val="00AA4D51"/>
    <w:rsid w:val="00AA4FF2"/>
    <w:rsid w:val="00AA5269"/>
    <w:rsid w:val="00AA578E"/>
    <w:rsid w:val="00AA6354"/>
    <w:rsid w:val="00AA65BE"/>
    <w:rsid w:val="00AA6D24"/>
    <w:rsid w:val="00AA6D34"/>
    <w:rsid w:val="00AA6D78"/>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57C"/>
    <w:rsid w:val="00AB4B0D"/>
    <w:rsid w:val="00AB4B3B"/>
    <w:rsid w:val="00AB5455"/>
    <w:rsid w:val="00AB5456"/>
    <w:rsid w:val="00AB545D"/>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88F"/>
    <w:rsid w:val="00AB79E1"/>
    <w:rsid w:val="00AB7A29"/>
    <w:rsid w:val="00AB7B26"/>
    <w:rsid w:val="00AB7E86"/>
    <w:rsid w:val="00AC0383"/>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A1C"/>
    <w:rsid w:val="00AD3A40"/>
    <w:rsid w:val="00AD3C05"/>
    <w:rsid w:val="00AD449B"/>
    <w:rsid w:val="00AD47C1"/>
    <w:rsid w:val="00AD4BF3"/>
    <w:rsid w:val="00AD4C6D"/>
    <w:rsid w:val="00AD4F10"/>
    <w:rsid w:val="00AD5579"/>
    <w:rsid w:val="00AD591E"/>
    <w:rsid w:val="00AD5ACE"/>
    <w:rsid w:val="00AD5CDD"/>
    <w:rsid w:val="00AD5F17"/>
    <w:rsid w:val="00AD60D9"/>
    <w:rsid w:val="00AD694C"/>
    <w:rsid w:val="00AD6B99"/>
    <w:rsid w:val="00AD6D0A"/>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C7A"/>
    <w:rsid w:val="00AE715B"/>
    <w:rsid w:val="00AE7523"/>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1"/>
    <w:rsid w:val="00AF16DE"/>
    <w:rsid w:val="00AF16FC"/>
    <w:rsid w:val="00AF1FB4"/>
    <w:rsid w:val="00AF209E"/>
    <w:rsid w:val="00AF24E4"/>
    <w:rsid w:val="00AF251F"/>
    <w:rsid w:val="00AF25F7"/>
    <w:rsid w:val="00AF298C"/>
    <w:rsid w:val="00AF2A21"/>
    <w:rsid w:val="00AF2F91"/>
    <w:rsid w:val="00AF3517"/>
    <w:rsid w:val="00AF3549"/>
    <w:rsid w:val="00AF366A"/>
    <w:rsid w:val="00AF3748"/>
    <w:rsid w:val="00AF38C3"/>
    <w:rsid w:val="00AF39F4"/>
    <w:rsid w:val="00AF3E82"/>
    <w:rsid w:val="00AF46C9"/>
    <w:rsid w:val="00AF494B"/>
    <w:rsid w:val="00AF4E97"/>
    <w:rsid w:val="00AF4F80"/>
    <w:rsid w:val="00AF5016"/>
    <w:rsid w:val="00AF5435"/>
    <w:rsid w:val="00AF5446"/>
    <w:rsid w:val="00AF5840"/>
    <w:rsid w:val="00AF5D6C"/>
    <w:rsid w:val="00AF625B"/>
    <w:rsid w:val="00AF647D"/>
    <w:rsid w:val="00AF6772"/>
    <w:rsid w:val="00AF67CA"/>
    <w:rsid w:val="00AF6F77"/>
    <w:rsid w:val="00AF70B0"/>
    <w:rsid w:val="00AF7221"/>
    <w:rsid w:val="00AF73F5"/>
    <w:rsid w:val="00AF7474"/>
    <w:rsid w:val="00AF783A"/>
    <w:rsid w:val="00AF7B3C"/>
    <w:rsid w:val="00B00245"/>
    <w:rsid w:val="00B00274"/>
    <w:rsid w:val="00B00F71"/>
    <w:rsid w:val="00B01305"/>
    <w:rsid w:val="00B0171C"/>
    <w:rsid w:val="00B020C3"/>
    <w:rsid w:val="00B02165"/>
    <w:rsid w:val="00B027A7"/>
    <w:rsid w:val="00B029BD"/>
    <w:rsid w:val="00B029D8"/>
    <w:rsid w:val="00B02B03"/>
    <w:rsid w:val="00B02FE7"/>
    <w:rsid w:val="00B033E2"/>
    <w:rsid w:val="00B038D6"/>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AB"/>
    <w:rsid w:val="00B075B1"/>
    <w:rsid w:val="00B07611"/>
    <w:rsid w:val="00B07622"/>
    <w:rsid w:val="00B07920"/>
    <w:rsid w:val="00B07972"/>
    <w:rsid w:val="00B07A44"/>
    <w:rsid w:val="00B07CD2"/>
    <w:rsid w:val="00B10281"/>
    <w:rsid w:val="00B104E6"/>
    <w:rsid w:val="00B10A2C"/>
    <w:rsid w:val="00B10CA0"/>
    <w:rsid w:val="00B1177E"/>
    <w:rsid w:val="00B11A1F"/>
    <w:rsid w:val="00B11F85"/>
    <w:rsid w:val="00B12259"/>
    <w:rsid w:val="00B127D7"/>
    <w:rsid w:val="00B127E2"/>
    <w:rsid w:val="00B12967"/>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3EA"/>
    <w:rsid w:val="00B1656A"/>
    <w:rsid w:val="00B16A5D"/>
    <w:rsid w:val="00B16AE7"/>
    <w:rsid w:val="00B16C25"/>
    <w:rsid w:val="00B16CA5"/>
    <w:rsid w:val="00B17277"/>
    <w:rsid w:val="00B17588"/>
    <w:rsid w:val="00B1775B"/>
    <w:rsid w:val="00B177D8"/>
    <w:rsid w:val="00B17879"/>
    <w:rsid w:val="00B17938"/>
    <w:rsid w:val="00B17C49"/>
    <w:rsid w:val="00B17D52"/>
    <w:rsid w:val="00B203A2"/>
    <w:rsid w:val="00B20436"/>
    <w:rsid w:val="00B2044A"/>
    <w:rsid w:val="00B206D2"/>
    <w:rsid w:val="00B20919"/>
    <w:rsid w:val="00B20C74"/>
    <w:rsid w:val="00B20E42"/>
    <w:rsid w:val="00B210D7"/>
    <w:rsid w:val="00B211CA"/>
    <w:rsid w:val="00B2144B"/>
    <w:rsid w:val="00B21748"/>
    <w:rsid w:val="00B21A3D"/>
    <w:rsid w:val="00B21C0E"/>
    <w:rsid w:val="00B21DCB"/>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5A8"/>
    <w:rsid w:val="00B25687"/>
    <w:rsid w:val="00B2594E"/>
    <w:rsid w:val="00B25A88"/>
    <w:rsid w:val="00B25C45"/>
    <w:rsid w:val="00B25CAB"/>
    <w:rsid w:val="00B260A6"/>
    <w:rsid w:val="00B26223"/>
    <w:rsid w:val="00B26270"/>
    <w:rsid w:val="00B26441"/>
    <w:rsid w:val="00B26D4B"/>
    <w:rsid w:val="00B26E3A"/>
    <w:rsid w:val="00B272E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23"/>
    <w:rsid w:val="00B31BEB"/>
    <w:rsid w:val="00B31F3D"/>
    <w:rsid w:val="00B3299E"/>
    <w:rsid w:val="00B329C1"/>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61A6"/>
    <w:rsid w:val="00B36C96"/>
    <w:rsid w:val="00B370C6"/>
    <w:rsid w:val="00B3714B"/>
    <w:rsid w:val="00B374BD"/>
    <w:rsid w:val="00B375ED"/>
    <w:rsid w:val="00B375FC"/>
    <w:rsid w:val="00B376DC"/>
    <w:rsid w:val="00B37BF7"/>
    <w:rsid w:val="00B40186"/>
    <w:rsid w:val="00B40549"/>
    <w:rsid w:val="00B406A3"/>
    <w:rsid w:val="00B40B64"/>
    <w:rsid w:val="00B41084"/>
    <w:rsid w:val="00B4145D"/>
    <w:rsid w:val="00B4165F"/>
    <w:rsid w:val="00B419C1"/>
    <w:rsid w:val="00B41FFF"/>
    <w:rsid w:val="00B42572"/>
    <w:rsid w:val="00B42DE9"/>
    <w:rsid w:val="00B4391E"/>
    <w:rsid w:val="00B43AE0"/>
    <w:rsid w:val="00B43C3C"/>
    <w:rsid w:val="00B441C4"/>
    <w:rsid w:val="00B44558"/>
    <w:rsid w:val="00B44B6E"/>
    <w:rsid w:val="00B44BC3"/>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B2E"/>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4C59"/>
    <w:rsid w:val="00B55140"/>
    <w:rsid w:val="00B552DB"/>
    <w:rsid w:val="00B554B3"/>
    <w:rsid w:val="00B55568"/>
    <w:rsid w:val="00B55646"/>
    <w:rsid w:val="00B5570E"/>
    <w:rsid w:val="00B55B3D"/>
    <w:rsid w:val="00B56160"/>
    <w:rsid w:val="00B56788"/>
    <w:rsid w:val="00B568CE"/>
    <w:rsid w:val="00B56A7E"/>
    <w:rsid w:val="00B56F2D"/>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2CC"/>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13"/>
    <w:rsid w:val="00B66D46"/>
    <w:rsid w:val="00B66DC2"/>
    <w:rsid w:val="00B6722E"/>
    <w:rsid w:val="00B6729F"/>
    <w:rsid w:val="00B6732D"/>
    <w:rsid w:val="00B676D8"/>
    <w:rsid w:val="00B6773B"/>
    <w:rsid w:val="00B67911"/>
    <w:rsid w:val="00B67968"/>
    <w:rsid w:val="00B67C5E"/>
    <w:rsid w:val="00B7006A"/>
    <w:rsid w:val="00B70297"/>
    <w:rsid w:val="00B70592"/>
    <w:rsid w:val="00B708C5"/>
    <w:rsid w:val="00B70F0B"/>
    <w:rsid w:val="00B716DB"/>
    <w:rsid w:val="00B718CF"/>
    <w:rsid w:val="00B719E1"/>
    <w:rsid w:val="00B71B6D"/>
    <w:rsid w:val="00B71B89"/>
    <w:rsid w:val="00B721A9"/>
    <w:rsid w:val="00B7239C"/>
    <w:rsid w:val="00B7242B"/>
    <w:rsid w:val="00B72E76"/>
    <w:rsid w:val="00B732F6"/>
    <w:rsid w:val="00B734DA"/>
    <w:rsid w:val="00B73A69"/>
    <w:rsid w:val="00B74559"/>
    <w:rsid w:val="00B74B9A"/>
    <w:rsid w:val="00B74C7E"/>
    <w:rsid w:val="00B75120"/>
    <w:rsid w:val="00B7535C"/>
    <w:rsid w:val="00B75BD7"/>
    <w:rsid w:val="00B75F38"/>
    <w:rsid w:val="00B764B2"/>
    <w:rsid w:val="00B766E1"/>
    <w:rsid w:val="00B7680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287"/>
    <w:rsid w:val="00B824EA"/>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FA1"/>
    <w:rsid w:val="00B85118"/>
    <w:rsid w:val="00B851DC"/>
    <w:rsid w:val="00B8551E"/>
    <w:rsid w:val="00B85615"/>
    <w:rsid w:val="00B85DC5"/>
    <w:rsid w:val="00B85DD2"/>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715"/>
    <w:rsid w:val="00B93871"/>
    <w:rsid w:val="00B93B18"/>
    <w:rsid w:val="00B93C7B"/>
    <w:rsid w:val="00B93CEC"/>
    <w:rsid w:val="00B940D8"/>
    <w:rsid w:val="00B941A8"/>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43C"/>
    <w:rsid w:val="00BA1652"/>
    <w:rsid w:val="00BA16E1"/>
    <w:rsid w:val="00BA1707"/>
    <w:rsid w:val="00BA1A22"/>
    <w:rsid w:val="00BA1E58"/>
    <w:rsid w:val="00BA1EF2"/>
    <w:rsid w:val="00BA2530"/>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93E"/>
    <w:rsid w:val="00BA6951"/>
    <w:rsid w:val="00BA6985"/>
    <w:rsid w:val="00BA6A25"/>
    <w:rsid w:val="00BA6AB5"/>
    <w:rsid w:val="00BA6EE1"/>
    <w:rsid w:val="00BA767A"/>
    <w:rsid w:val="00BA77AD"/>
    <w:rsid w:val="00BA79ED"/>
    <w:rsid w:val="00BA7A02"/>
    <w:rsid w:val="00BA7A0E"/>
    <w:rsid w:val="00BA7BB3"/>
    <w:rsid w:val="00BB03BC"/>
    <w:rsid w:val="00BB0E4C"/>
    <w:rsid w:val="00BB12EF"/>
    <w:rsid w:val="00BB152B"/>
    <w:rsid w:val="00BB1558"/>
    <w:rsid w:val="00BB1855"/>
    <w:rsid w:val="00BB19F6"/>
    <w:rsid w:val="00BB1B70"/>
    <w:rsid w:val="00BB1CB3"/>
    <w:rsid w:val="00BB1F4B"/>
    <w:rsid w:val="00BB20F9"/>
    <w:rsid w:val="00BB214F"/>
    <w:rsid w:val="00BB2169"/>
    <w:rsid w:val="00BB2342"/>
    <w:rsid w:val="00BB270A"/>
    <w:rsid w:val="00BB2AE3"/>
    <w:rsid w:val="00BB2DB4"/>
    <w:rsid w:val="00BB319A"/>
    <w:rsid w:val="00BB36EF"/>
    <w:rsid w:val="00BB3952"/>
    <w:rsid w:val="00BB3B8E"/>
    <w:rsid w:val="00BB3CDE"/>
    <w:rsid w:val="00BB3D8E"/>
    <w:rsid w:val="00BB45E0"/>
    <w:rsid w:val="00BB4764"/>
    <w:rsid w:val="00BB48B3"/>
    <w:rsid w:val="00BB4F28"/>
    <w:rsid w:val="00BB509D"/>
    <w:rsid w:val="00BB51EF"/>
    <w:rsid w:val="00BB5922"/>
    <w:rsid w:val="00BB5AF5"/>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7ED"/>
    <w:rsid w:val="00BC08E8"/>
    <w:rsid w:val="00BC0B12"/>
    <w:rsid w:val="00BC11D8"/>
    <w:rsid w:val="00BC127E"/>
    <w:rsid w:val="00BC1993"/>
    <w:rsid w:val="00BC1B2D"/>
    <w:rsid w:val="00BC2391"/>
    <w:rsid w:val="00BC244B"/>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343"/>
    <w:rsid w:val="00BF052B"/>
    <w:rsid w:val="00BF077E"/>
    <w:rsid w:val="00BF0BE2"/>
    <w:rsid w:val="00BF116B"/>
    <w:rsid w:val="00BF13E5"/>
    <w:rsid w:val="00BF140A"/>
    <w:rsid w:val="00BF15DB"/>
    <w:rsid w:val="00BF1655"/>
    <w:rsid w:val="00BF17F2"/>
    <w:rsid w:val="00BF18DC"/>
    <w:rsid w:val="00BF1B94"/>
    <w:rsid w:val="00BF1C52"/>
    <w:rsid w:val="00BF1E7B"/>
    <w:rsid w:val="00BF204E"/>
    <w:rsid w:val="00BF2904"/>
    <w:rsid w:val="00BF2CD4"/>
    <w:rsid w:val="00BF3049"/>
    <w:rsid w:val="00BF3319"/>
    <w:rsid w:val="00BF3448"/>
    <w:rsid w:val="00BF3465"/>
    <w:rsid w:val="00BF3977"/>
    <w:rsid w:val="00BF3C8D"/>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251"/>
    <w:rsid w:val="00C05563"/>
    <w:rsid w:val="00C055BE"/>
    <w:rsid w:val="00C05A80"/>
    <w:rsid w:val="00C061E7"/>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4D2"/>
    <w:rsid w:val="00C2069E"/>
    <w:rsid w:val="00C211F9"/>
    <w:rsid w:val="00C21383"/>
    <w:rsid w:val="00C213E3"/>
    <w:rsid w:val="00C215AE"/>
    <w:rsid w:val="00C2187B"/>
    <w:rsid w:val="00C21E1D"/>
    <w:rsid w:val="00C22215"/>
    <w:rsid w:val="00C22474"/>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759"/>
    <w:rsid w:val="00C24768"/>
    <w:rsid w:val="00C247C2"/>
    <w:rsid w:val="00C248FB"/>
    <w:rsid w:val="00C24DC6"/>
    <w:rsid w:val="00C250A6"/>
    <w:rsid w:val="00C25139"/>
    <w:rsid w:val="00C251A3"/>
    <w:rsid w:val="00C25330"/>
    <w:rsid w:val="00C256B6"/>
    <w:rsid w:val="00C25CFE"/>
    <w:rsid w:val="00C25F83"/>
    <w:rsid w:val="00C26247"/>
    <w:rsid w:val="00C268D6"/>
    <w:rsid w:val="00C26D7F"/>
    <w:rsid w:val="00C26E20"/>
    <w:rsid w:val="00C26E30"/>
    <w:rsid w:val="00C26E4A"/>
    <w:rsid w:val="00C27316"/>
    <w:rsid w:val="00C27825"/>
    <w:rsid w:val="00C279A1"/>
    <w:rsid w:val="00C30102"/>
    <w:rsid w:val="00C30163"/>
    <w:rsid w:val="00C30765"/>
    <w:rsid w:val="00C3078C"/>
    <w:rsid w:val="00C30A5E"/>
    <w:rsid w:val="00C30C90"/>
    <w:rsid w:val="00C3101F"/>
    <w:rsid w:val="00C31529"/>
    <w:rsid w:val="00C318E8"/>
    <w:rsid w:val="00C318EF"/>
    <w:rsid w:val="00C31B4A"/>
    <w:rsid w:val="00C31BA0"/>
    <w:rsid w:val="00C31CAC"/>
    <w:rsid w:val="00C31EFB"/>
    <w:rsid w:val="00C31F3D"/>
    <w:rsid w:val="00C3246B"/>
    <w:rsid w:val="00C326CA"/>
    <w:rsid w:val="00C3293F"/>
    <w:rsid w:val="00C32A06"/>
    <w:rsid w:val="00C32A21"/>
    <w:rsid w:val="00C32C06"/>
    <w:rsid w:val="00C33301"/>
    <w:rsid w:val="00C337ED"/>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DF8"/>
    <w:rsid w:val="00C36F11"/>
    <w:rsid w:val="00C36F26"/>
    <w:rsid w:val="00C3713E"/>
    <w:rsid w:val="00C372FF"/>
    <w:rsid w:val="00C373C2"/>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19"/>
    <w:rsid w:val="00C44522"/>
    <w:rsid w:val="00C447E4"/>
    <w:rsid w:val="00C44970"/>
    <w:rsid w:val="00C44B76"/>
    <w:rsid w:val="00C44C5A"/>
    <w:rsid w:val="00C45465"/>
    <w:rsid w:val="00C45780"/>
    <w:rsid w:val="00C45A8E"/>
    <w:rsid w:val="00C45D92"/>
    <w:rsid w:val="00C45FFE"/>
    <w:rsid w:val="00C46D42"/>
    <w:rsid w:val="00C46F56"/>
    <w:rsid w:val="00C473F1"/>
    <w:rsid w:val="00C47AF3"/>
    <w:rsid w:val="00C47BFF"/>
    <w:rsid w:val="00C47E33"/>
    <w:rsid w:val="00C505DC"/>
    <w:rsid w:val="00C508DC"/>
    <w:rsid w:val="00C50B10"/>
    <w:rsid w:val="00C50E04"/>
    <w:rsid w:val="00C50F71"/>
    <w:rsid w:val="00C51018"/>
    <w:rsid w:val="00C5133B"/>
    <w:rsid w:val="00C51384"/>
    <w:rsid w:val="00C5144A"/>
    <w:rsid w:val="00C51562"/>
    <w:rsid w:val="00C5171B"/>
    <w:rsid w:val="00C519DD"/>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6E"/>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682"/>
    <w:rsid w:val="00C73AC6"/>
    <w:rsid w:val="00C73E38"/>
    <w:rsid w:val="00C73F8E"/>
    <w:rsid w:val="00C74234"/>
    <w:rsid w:val="00C74271"/>
    <w:rsid w:val="00C745B3"/>
    <w:rsid w:val="00C746B1"/>
    <w:rsid w:val="00C748C6"/>
    <w:rsid w:val="00C74C17"/>
    <w:rsid w:val="00C75959"/>
    <w:rsid w:val="00C75A24"/>
    <w:rsid w:val="00C76605"/>
    <w:rsid w:val="00C767EC"/>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ED0"/>
    <w:rsid w:val="00C84058"/>
    <w:rsid w:val="00C840A2"/>
    <w:rsid w:val="00C8470C"/>
    <w:rsid w:val="00C84CD9"/>
    <w:rsid w:val="00C852B8"/>
    <w:rsid w:val="00C85345"/>
    <w:rsid w:val="00C8575F"/>
    <w:rsid w:val="00C85CE8"/>
    <w:rsid w:val="00C85D7F"/>
    <w:rsid w:val="00C860AC"/>
    <w:rsid w:val="00C863FD"/>
    <w:rsid w:val="00C865CA"/>
    <w:rsid w:val="00C86CBC"/>
    <w:rsid w:val="00C86F92"/>
    <w:rsid w:val="00C87483"/>
    <w:rsid w:val="00C874B8"/>
    <w:rsid w:val="00C87D65"/>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60B"/>
    <w:rsid w:val="00C92952"/>
    <w:rsid w:val="00C92C71"/>
    <w:rsid w:val="00C92CA8"/>
    <w:rsid w:val="00C92D53"/>
    <w:rsid w:val="00C92D95"/>
    <w:rsid w:val="00C92FCF"/>
    <w:rsid w:val="00C93208"/>
    <w:rsid w:val="00C9322A"/>
    <w:rsid w:val="00C932AC"/>
    <w:rsid w:val="00C93335"/>
    <w:rsid w:val="00C9390E"/>
    <w:rsid w:val="00C93EF6"/>
    <w:rsid w:val="00C93FE6"/>
    <w:rsid w:val="00C94029"/>
    <w:rsid w:val="00C9408B"/>
    <w:rsid w:val="00C9417F"/>
    <w:rsid w:val="00C94228"/>
    <w:rsid w:val="00C945E1"/>
    <w:rsid w:val="00C947CC"/>
    <w:rsid w:val="00C9483B"/>
    <w:rsid w:val="00C949AA"/>
    <w:rsid w:val="00C94DEE"/>
    <w:rsid w:val="00C94EF5"/>
    <w:rsid w:val="00C951B3"/>
    <w:rsid w:val="00C9524B"/>
    <w:rsid w:val="00C953FC"/>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94"/>
    <w:rsid w:val="00CA1858"/>
    <w:rsid w:val="00CA1D37"/>
    <w:rsid w:val="00CA2012"/>
    <w:rsid w:val="00CA225E"/>
    <w:rsid w:val="00CA2619"/>
    <w:rsid w:val="00CA2644"/>
    <w:rsid w:val="00CA2785"/>
    <w:rsid w:val="00CA2F76"/>
    <w:rsid w:val="00CA2F9C"/>
    <w:rsid w:val="00CA3004"/>
    <w:rsid w:val="00CA340F"/>
    <w:rsid w:val="00CA3805"/>
    <w:rsid w:val="00CA3F5A"/>
    <w:rsid w:val="00CA3FAC"/>
    <w:rsid w:val="00CA40B7"/>
    <w:rsid w:val="00CA40E3"/>
    <w:rsid w:val="00CA416E"/>
    <w:rsid w:val="00CA485B"/>
    <w:rsid w:val="00CA4A4E"/>
    <w:rsid w:val="00CA4FF1"/>
    <w:rsid w:val="00CA50AF"/>
    <w:rsid w:val="00CA569F"/>
    <w:rsid w:val="00CA5CF9"/>
    <w:rsid w:val="00CA5DD3"/>
    <w:rsid w:val="00CA5FAA"/>
    <w:rsid w:val="00CA65CC"/>
    <w:rsid w:val="00CA6F0C"/>
    <w:rsid w:val="00CA6F11"/>
    <w:rsid w:val="00CA6F8B"/>
    <w:rsid w:val="00CA713C"/>
    <w:rsid w:val="00CA7167"/>
    <w:rsid w:val="00CA7415"/>
    <w:rsid w:val="00CA7543"/>
    <w:rsid w:val="00CA7B49"/>
    <w:rsid w:val="00CB00D6"/>
    <w:rsid w:val="00CB04EE"/>
    <w:rsid w:val="00CB05AC"/>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877"/>
    <w:rsid w:val="00CB5A9A"/>
    <w:rsid w:val="00CB5D41"/>
    <w:rsid w:val="00CB5DDF"/>
    <w:rsid w:val="00CB5F7B"/>
    <w:rsid w:val="00CB6125"/>
    <w:rsid w:val="00CB6643"/>
    <w:rsid w:val="00CB66BE"/>
    <w:rsid w:val="00CB6796"/>
    <w:rsid w:val="00CB6ACE"/>
    <w:rsid w:val="00CB7182"/>
    <w:rsid w:val="00CB7B66"/>
    <w:rsid w:val="00CB7DD6"/>
    <w:rsid w:val="00CC011F"/>
    <w:rsid w:val="00CC0187"/>
    <w:rsid w:val="00CC0310"/>
    <w:rsid w:val="00CC07FD"/>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A70"/>
    <w:rsid w:val="00CC61AC"/>
    <w:rsid w:val="00CC650C"/>
    <w:rsid w:val="00CC6770"/>
    <w:rsid w:val="00CC6855"/>
    <w:rsid w:val="00CC68ED"/>
    <w:rsid w:val="00CC6AB0"/>
    <w:rsid w:val="00CC6C13"/>
    <w:rsid w:val="00CC6D55"/>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384"/>
    <w:rsid w:val="00CD49BE"/>
    <w:rsid w:val="00CD4BD1"/>
    <w:rsid w:val="00CD4BF4"/>
    <w:rsid w:val="00CD5374"/>
    <w:rsid w:val="00CD53F1"/>
    <w:rsid w:val="00CD564D"/>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5C5"/>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C02"/>
    <w:rsid w:val="00CF3EBF"/>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113F"/>
    <w:rsid w:val="00D01205"/>
    <w:rsid w:val="00D014EA"/>
    <w:rsid w:val="00D01A94"/>
    <w:rsid w:val="00D01C8C"/>
    <w:rsid w:val="00D01C97"/>
    <w:rsid w:val="00D01E0D"/>
    <w:rsid w:val="00D01EBA"/>
    <w:rsid w:val="00D02323"/>
    <w:rsid w:val="00D023D6"/>
    <w:rsid w:val="00D025A7"/>
    <w:rsid w:val="00D0273D"/>
    <w:rsid w:val="00D029FC"/>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620"/>
    <w:rsid w:val="00D07908"/>
    <w:rsid w:val="00D07BBA"/>
    <w:rsid w:val="00D07F4F"/>
    <w:rsid w:val="00D1015E"/>
    <w:rsid w:val="00D10859"/>
    <w:rsid w:val="00D1089F"/>
    <w:rsid w:val="00D1093D"/>
    <w:rsid w:val="00D10E8A"/>
    <w:rsid w:val="00D10EF0"/>
    <w:rsid w:val="00D11273"/>
    <w:rsid w:val="00D11511"/>
    <w:rsid w:val="00D116E0"/>
    <w:rsid w:val="00D11785"/>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68D"/>
    <w:rsid w:val="00D16A91"/>
    <w:rsid w:val="00D16B86"/>
    <w:rsid w:val="00D16FAD"/>
    <w:rsid w:val="00D1726C"/>
    <w:rsid w:val="00D17669"/>
    <w:rsid w:val="00D17922"/>
    <w:rsid w:val="00D203D3"/>
    <w:rsid w:val="00D204FE"/>
    <w:rsid w:val="00D20576"/>
    <w:rsid w:val="00D20861"/>
    <w:rsid w:val="00D2088A"/>
    <w:rsid w:val="00D20D75"/>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9EB"/>
    <w:rsid w:val="00D25BD8"/>
    <w:rsid w:val="00D26158"/>
    <w:rsid w:val="00D261A7"/>
    <w:rsid w:val="00D2625F"/>
    <w:rsid w:val="00D26296"/>
    <w:rsid w:val="00D26413"/>
    <w:rsid w:val="00D26961"/>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F4C"/>
    <w:rsid w:val="00D335DD"/>
    <w:rsid w:val="00D33BD4"/>
    <w:rsid w:val="00D34101"/>
    <w:rsid w:val="00D3459B"/>
    <w:rsid w:val="00D345EB"/>
    <w:rsid w:val="00D34638"/>
    <w:rsid w:val="00D3468A"/>
    <w:rsid w:val="00D347D2"/>
    <w:rsid w:val="00D34867"/>
    <w:rsid w:val="00D34A28"/>
    <w:rsid w:val="00D34B6A"/>
    <w:rsid w:val="00D3516D"/>
    <w:rsid w:val="00D3532A"/>
    <w:rsid w:val="00D3586B"/>
    <w:rsid w:val="00D35B69"/>
    <w:rsid w:val="00D36093"/>
    <w:rsid w:val="00D3675E"/>
    <w:rsid w:val="00D36881"/>
    <w:rsid w:val="00D36C6C"/>
    <w:rsid w:val="00D36D58"/>
    <w:rsid w:val="00D3713A"/>
    <w:rsid w:val="00D3720A"/>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21"/>
    <w:rsid w:val="00D41E48"/>
    <w:rsid w:val="00D41F60"/>
    <w:rsid w:val="00D41FBE"/>
    <w:rsid w:val="00D42054"/>
    <w:rsid w:val="00D4251E"/>
    <w:rsid w:val="00D42AA6"/>
    <w:rsid w:val="00D42FAE"/>
    <w:rsid w:val="00D43069"/>
    <w:rsid w:val="00D43603"/>
    <w:rsid w:val="00D4377A"/>
    <w:rsid w:val="00D439A0"/>
    <w:rsid w:val="00D43CF0"/>
    <w:rsid w:val="00D43EA2"/>
    <w:rsid w:val="00D4422A"/>
    <w:rsid w:val="00D44A5D"/>
    <w:rsid w:val="00D44A8D"/>
    <w:rsid w:val="00D44C69"/>
    <w:rsid w:val="00D44DFA"/>
    <w:rsid w:val="00D44FBB"/>
    <w:rsid w:val="00D4517C"/>
    <w:rsid w:val="00D458CE"/>
    <w:rsid w:val="00D45A56"/>
    <w:rsid w:val="00D46549"/>
    <w:rsid w:val="00D466BF"/>
    <w:rsid w:val="00D46E48"/>
    <w:rsid w:val="00D47374"/>
    <w:rsid w:val="00D47448"/>
    <w:rsid w:val="00D47BAF"/>
    <w:rsid w:val="00D47CD0"/>
    <w:rsid w:val="00D47D8C"/>
    <w:rsid w:val="00D47EB4"/>
    <w:rsid w:val="00D50176"/>
    <w:rsid w:val="00D501B5"/>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3ED"/>
    <w:rsid w:val="00D5347E"/>
    <w:rsid w:val="00D534E6"/>
    <w:rsid w:val="00D53B6D"/>
    <w:rsid w:val="00D53D1F"/>
    <w:rsid w:val="00D53E0E"/>
    <w:rsid w:val="00D545D4"/>
    <w:rsid w:val="00D546A7"/>
    <w:rsid w:val="00D54BE7"/>
    <w:rsid w:val="00D54D55"/>
    <w:rsid w:val="00D5524E"/>
    <w:rsid w:val="00D55C9B"/>
    <w:rsid w:val="00D55FD7"/>
    <w:rsid w:val="00D564BC"/>
    <w:rsid w:val="00D568A8"/>
    <w:rsid w:val="00D5694F"/>
    <w:rsid w:val="00D56CEA"/>
    <w:rsid w:val="00D57965"/>
    <w:rsid w:val="00D57983"/>
    <w:rsid w:val="00D57B5B"/>
    <w:rsid w:val="00D57CBD"/>
    <w:rsid w:val="00D57EA4"/>
    <w:rsid w:val="00D603A8"/>
    <w:rsid w:val="00D6089F"/>
    <w:rsid w:val="00D60B66"/>
    <w:rsid w:val="00D60C63"/>
    <w:rsid w:val="00D60CCF"/>
    <w:rsid w:val="00D60D75"/>
    <w:rsid w:val="00D60F26"/>
    <w:rsid w:val="00D61072"/>
    <w:rsid w:val="00D61451"/>
    <w:rsid w:val="00D61790"/>
    <w:rsid w:val="00D61808"/>
    <w:rsid w:val="00D61A8B"/>
    <w:rsid w:val="00D61C50"/>
    <w:rsid w:val="00D61FD6"/>
    <w:rsid w:val="00D6204D"/>
    <w:rsid w:val="00D6212B"/>
    <w:rsid w:val="00D623ED"/>
    <w:rsid w:val="00D62533"/>
    <w:rsid w:val="00D6278E"/>
    <w:rsid w:val="00D627FC"/>
    <w:rsid w:val="00D6283A"/>
    <w:rsid w:val="00D6293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5CD"/>
    <w:rsid w:val="00D67663"/>
    <w:rsid w:val="00D67893"/>
    <w:rsid w:val="00D67F4E"/>
    <w:rsid w:val="00D702FB"/>
    <w:rsid w:val="00D70F7A"/>
    <w:rsid w:val="00D71801"/>
    <w:rsid w:val="00D7289B"/>
    <w:rsid w:val="00D7322D"/>
    <w:rsid w:val="00D73292"/>
    <w:rsid w:val="00D732E1"/>
    <w:rsid w:val="00D736B0"/>
    <w:rsid w:val="00D73EA5"/>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927"/>
    <w:rsid w:val="00D769AB"/>
    <w:rsid w:val="00D77121"/>
    <w:rsid w:val="00D7759C"/>
    <w:rsid w:val="00D7777A"/>
    <w:rsid w:val="00D77B27"/>
    <w:rsid w:val="00D77BE0"/>
    <w:rsid w:val="00D801A9"/>
    <w:rsid w:val="00D8031E"/>
    <w:rsid w:val="00D807BD"/>
    <w:rsid w:val="00D8081D"/>
    <w:rsid w:val="00D80BAF"/>
    <w:rsid w:val="00D80CBC"/>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5262"/>
    <w:rsid w:val="00D853A9"/>
    <w:rsid w:val="00D855F0"/>
    <w:rsid w:val="00D856BC"/>
    <w:rsid w:val="00D8587D"/>
    <w:rsid w:val="00D85A5A"/>
    <w:rsid w:val="00D85AF7"/>
    <w:rsid w:val="00D85B4C"/>
    <w:rsid w:val="00D85CC0"/>
    <w:rsid w:val="00D861BB"/>
    <w:rsid w:val="00D86234"/>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6E0"/>
    <w:rsid w:val="00D95A3B"/>
    <w:rsid w:val="00D95A9A"/>
    <w:rsid w:val="00D95C15"/>
    <w:rsid w:val="00D95C54"/>
    <w:rsid w:val="00D95F1E"/>
    <w:rsid w:val="00D95F35"/>
    <w:rsid w:val="00D967A4"/>
    <w:rsid w:val="00D969DE"/>
    <w:rsid w:val="00D96FE0"/>
    <w:rsid w:val="00D9735D"/>
    <w:rsid w:val="00D97718"/>
    <w:rsid w:val="00D97723"/>
    <w:rsid w:val="00D978FE"/>
    <w:rsid w:val="00D97AB6"/>
    <w:rsid w:val="00D97EE7"/>
    <w:rsid w:val="00DA0292"/>
    <w:rsid w:val="00DA0321"/>
    <w:rsid w:val="00DA0443"/>
    <w:rsid w:val="00DA09DF"/>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ADE"/>
    <w:rsid w:val="00DA2C98"/>
    <w:rsid w:val="00DA2E7A"/>
    <w:rsid w:val="00DA2F70"/>
    <w:rsid w:val="00DA31FF"/>
    <w:rsid w:val="00DA32CC"/>
    <w:rsid w:val="00DA3366"/>
    <w:rsid w:val="00DA34D2"/>
    <w:rsid w:val="00DA37FA"/>
    <w:rsid w:val="00DA3B55"/>
    <w:rsid w:val="00DA3D8E"/>
    <w:rsid w:val="00DA44E6"/>
    <w:rsid w:val="00DA47C8"/>
    <w:rsid w:val="00DA4B31"/>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A7F5D"/>
    <w:rsid w:val="00DB07B5"/>
    <w:rsid w:val="00DB0CA0"/>
    <w:rsid w:val="00DB0DDE"/>
    <w:rsid w:val="00DB0FEB"/>
    <w:rsid w:val="00DB168F"/>
    <w:rsid w:val="00DB1C71"/>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CBE"/>
    <w:rsid w:val="00DB4D1B"/>
    <w:rsid w:val="00DB4D5B"/>
    <w:rsid w:val="00DB4DDD"/>
    <w:rsid w:val="00DB4FA3"/>
    <w:rsid w:val="00DB5357"/>
    <w:rsid w:val="00DB53E9"/>
    <w:rsid w:val="00DB5436"/>
    <w:rsid w:val="00DB555C"/>
    <w:rsid w:val="00DB5630"/>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808"/>
    <w:rsid w:val="00DC0CB4"/>
    <w:rsid w:val="00DC12FC"/>
    <w:rsid w:val="00DC145C"/>
    <w:rsid w:val="00DC14B4"/>
    <w:rsid w:val="00DC171F"/>
    <w:rsid w:val="00DC1C99"/>
    <w:rsid w:val="00DC1EC2"/>
    <w:rsid w:val="00DC2175"/>
    <w:rsid w:val="00DC2383"/>
    <w:rsid w:val="00DC27D0"/>
    <w:rsid w:val="00DC2C1F"/>
    <w:rsid w:val="00DC2F52"/>
    <w:rsid w:val="00DC3319"/>
    <w:rsid w:val="00DC337D"/>
    <w:rsid w:val="00DC3570"/>
    <w:rsid w:val="00DC3B93"/>
    <w:rsid w:val="00DC3D60"/>
    <w:rsid w:val="00DC4156"/>
    <w:rsid w:val="00DC4199"/>
    <w:rsid w:val="00DC41F7"/>
    <w:rsid w:val="00DC467C"/>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97D"/>
    <w:rsid w:val="00DE0ADF"/>
    <w:rsid w:val="00DE0F7F"/>
    <w:rsid w:val="00DE1446"/>
    <w:rsid w:val="00DE15B8"/>
    <w:rsid w:val="00DE15ED"/>
    <w:rsid w:val="00DE178A"/>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6F7B"/>
    <w:rsid w:val="00DE7258"/>
    <w:rsid w:val="00DE7C49"/>
    <w:rsid w:val="00DE7CF5"/>
    <w:rsid w:val="00DF00B7"/>
    <w:rsid w:val="00DF05C9"/>
    <w:rsid w:val="00DF06B1"/>
    <w:rsid w:val="00DF08B7"/>
    <w:rsid w:val="00DF0A46"/>
    <w:rsid w:val="00DF1A64"/>
    <w:rsid w:val="00DF1F1A"/>
    <w:rsid w:val="00DF2002"/>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9DF"/>
    <w:rsid w:val="00DF3A0C"/>
    <w:rsid w:val="00DF3A15"/>
    <w:rsid w:val="00DF3BA6"/>
    <w:rsid w:val="00DF3D95"/>
    <w:rsid w:val="00DF4065"/>
    <w:rsid w:val="00DF494F"/>
    <w:rsid w:val="00DF4C06"/>
    <w:rsid w:val="00DF4C4F"/>
    <w:rsid w:val="00DF4C54"/>
    <w:rsid w:val="00DF4D77"/>
    <w:rsid w:val="00DF599B"/>
    <w:rsid w:val="00DF6122"/>
    <w:rsid w:val="00DF6155"/>
    <w:rsid w:val="00DF668E"/>
    <w:rsid w:val="00DF66EB"/>
    <w:rsid w:val="00DF6B56"/>
    <w:rsid w:val="00DF6ECE"/>
    <w:rsid w:val="00DF6EEF"/>
    <w:rsid w:val="00DF6F34"/>
    <w:rsid w:val="00DF76BB"/>
    <w:rsid w:val="00DF7786"/>
    <w:rsid w:val="00DF7E41"/>
    <w:rsid w:val="00E00202"/>
    <w:rsid w:val="00E00547"/>
    <w:rsid w:val="00E0057A"/>
    <w:rsid w:val="00E00C82"/>
    <w:rsid w:val="00E00DA6"/>
    <w:rsid w:val="00E00DBA"/>
    <w:rsid w:val="00E01319"/>
    <w:rsid w:val="00E01E19"/>
    <w:rsid w:val="00E01FC1"/>
    <w:rsid w:val="00E01FFF"/>
    <w:rsid w:val="00E021ED"/>
    <w:rsid w:val="00E02889"/>
    <w:rsid w:val="00E03283"/>
    <w:rsid w:val="00E03471"/>
    <w:rsid w:val="00E03974"/>
    <w:rsid w:val="00E03A60"/>
    <w:rsid w:val="00E03A61"/>
    <w:rsid w:val="00E03A69"/>
    <w:rsid w:val="00E03CA0"/>
    <w:rsid w:val="00E03F79"/>
    <w:rsid w:val="00E03FE2"/>
    <w:rsid w:val="00E04486"/>
    <w:rsid w:val="00E050B2"/>
    <w:rsid w:val="00E05333"/>
    <w:rsid w:val="00E05A49"/>
    <w:rsid w:val="00E05B56"/>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26A"/>
    <w:rsid w:val="00E1235A"/>
    <w:rsid w:val="00E126EC"/>
    <w:rsid w:val="00E12706"/>
    <w:rsid w:val="00E128E8"/>
    <w:rsid w:val="00E12B55"/>
    <w:rsid w:val="00E12F44"/>
    <w:rsid w:val="00E13292"/>
    <w:rsid w:val="00E135DD"/>
    <w:rsid w:val="00E13922"/>
    <w:rsid w:val="00E13957"/>
    <w:rsid w:val="00E139CA"/>
    <w:rsid w:val="00E13BAC"/>
    <w:rsid w:val="00E13CDD"/>
    <w:rsid w:val="00E13EC0"/>
    <w:rsid w:val="00E14215"/>
    <w:rsid w:val="00E147A6"/>
    <w:rsid w:val="00E149FA"/>
    <w:rsid w:val="00E14AAC"/>
    <w:rsid w:val="00E14E67"/>
    <w:rsid w:val="00E156A3"/>
    <w:rsid w:val="00E15D57"/>
    <w:rsid w:val="00E15DCD"/>
    <w:rsid w:val="00E15E8A"/>
    <w:rsid w:val="00E15F5B"/>
    <w:rsid w:val="00E1616A"/>
    <w:rsid w:val="00E1630F"/>
    <w:rsid w:val="00E16744"/>
    <w:rsid w:val="00E16BD4"/>
    <w:rsid w:val="00E16BEE"/>
    <w:rsid w:val="00E171E8"/>
    <w:rsid w:val="00E172C5"/>
    <w:rsid w:val="00E174A0"/>
    <w:rsid w:val="00E17746"/>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091"/>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06A2"/>
    <w:rsid w:val="00E3113B"/>
    <w:rsid w:val="00E31232"/>
    <w:rsid w:val="00E3158B"/>
    <w:rsid w:val="00E316A4"/>
    <w:rsid w:val="00E317F9"/>
    <w:rsid w:val="00E31F27"/>
    <w:rsid w:val="00E32322"/>
    <w:rsid w:val="00E3264D"/>
    <w:rsid w:val="00E32AFF"/>
    <w:rsid w:val="00E32BAD"/>
    <w:rsid w:val="00E32E11"/>
    <w:rsid w:val="00E32E15"/>
    <w:rsid w:val="00E330F8"/>
    <w:rsid w:val="00E33475"/>
    <w:rsid w:val="00E337D2"/>
    <w:rsid w:val="00E339AA"/>
    <w:rsid w:val="00E33A1C"/>
    <w:rsid w:val="00E33C93"/>
    <w:rsid w:val="00E33E66"/>
    <w:rsid w:val="00E3467A"/>
    <w:rsid w:val="00E34711"/>
    <w:rsid w:val="00E34A44"/>
    <w:rsid w:val="00E34CF7"/>
    <w:rsid w:val="00E34DEA"/>
    <w:rsid w:val="00E35109"/>
    <w:rsid w:val="00E35312"/>
    <w:rsid w:val="00E353AC"/>
    <w:rsid w:val="00E353FD"/>
    <w:rsid w:val="00E354D0"/>
    <w:rsid w:val="00E354FA"/>
    <w:rsid w:val="00E3599D"/>
    <w:rsid w:val="00E35E54"/>
    <w:rsid w:val="00E35F75"/>
    <w:rsid w:val="00E36895"/>
    <w:rsid w:val="00E36B91"/>
    <w:rsid w:val="00E36CC4"/>
    <w:rsid w:val="00E36D3D"/>
    <w:rsid w:val="00E36F95"/>
    <w:rsid w:val="00E37037"/>
    <w:rsid w:val="00E37399"/>
    <w:rsid w:val="00E37C91"/>
    <w:rsid w:val="00E40262"/>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A5"/>
    <w:rsid w:val="00E443F4"/>
    <w:rsid w:val="00E44670"/>
    <w:rsid w:val="00E44751"/>
    <w:rsid w:val="00E448D7"/>
    <w:rsid w:val="00E4496C"/>
    <w:rsid w:val="00E44D2A"/>
    <w:rsid w:val="00E44E56"/>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2C7"/>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DD"/>
    <w:rsid w:val="00E52EFC"/>
    <w:rsid w:val="00E53034"/>
    <w:rsid w:val="00E5341B"/>
    <w:rsid w:val="00E536F8"/>
    <w:rsid w:val="00E53737"/>
    <w:rsid w:val="00E5374B"/>
    <w:rsid w:val="00E53D2B"/>
    <w:rsid w:val="00E53DC1"/>
    <w:rsid w:val="00E53E99"/>
    <w:rsid w:val="00E5425D"/>
    <w:rsid w:val="00E544D2"/>
    <w:rsid w:val="00E54599"/>
    <w:rsid w:val="00E547D6"/>
    <w:rsid w:val="00E54863"/>
    <w:rsid w:val="00E54A89"/>
    <w:rsid w:val="00E54B27"/>
    <w:rsid w:val="00E555C3"/>
    <w:rsid w:val="00E557C9"/>
    <w:rsid w:val="00E559D6"/>
    <w:rsid w:val="00E55F3F"/>
    <w:rsid w:val="00E560B1"/>
    <w:rsid w:val="00E56136"/>
    <w:rsid w:val="00E5626F"/>
    <w:rsid w:val="00E5660D"/>
    <w:rsid w:val="00E5677E"/>
    <w:rsid w:val="00E56BF4"/>
    <w:rsid w:val="00E571A4"/>
    <w:rsid w:val="00E572E3"/>
    <w:rsid w:val="00E5741F"/>
    <w:rsid w:val="00E57697"/>
    <w:rsid w:val="00E57BE2"/>
    <w:rsid w:val="00E57C44"/>
    <w:rsid w:val="00E57CF7"/>
    <w:rsid w:val="00E57D5E"/>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6B3"/>
    <w:rsid w:val="00E70997"/>
    <w:rsid w:val="00E70E71"/>
    <w:rsid w:val="00E70EAD"/>
    <w:rsid w:val="00E71DFE"/>
    <w:rsid w:val="00E7228B"/>
    <w:rsid w:val="00E72909"/>
    <w:rsid w:val="00E72AF4"/>
    <w:rsid w:val="00E72DD3"/>
    <w:rsid w:val="00E72F39"/>
    <w:rsid w:val="00E73051"/>
    <w:rsid w:val="00E7341D"/>
    <w:rsid w:val="00E736CD"/>
    <w:rsid w:val="00E73800"/>
    <w:rsid w:val="00E73B4C"/>
    <w:rsid w:val="00E73B7F"/>
    <w:rsid w:val="00E74069"/>
    <w:rsid w:val="00E74343"/>
    <w:rsid w:val="00E7443C"/>
    <w:rsid w:val="00E74F63"/>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1007"/>
    <w:rsid w:val="00E81047"/>
    <w:rsid w:val="00E81142"/>
    <w:rsid w:val="00E8126F"/>
    <w:rsid w:val="00E81A5D"/>
    <w:rsid w:val="00E82069"/>
    <w:rsid w:val="00E8251D"/>
    <w:rsid w:val="00E8261F"/>
    <w:rsid w:val="00E82EF3"/>
    <w:rsid w:val="00E82F90"/>
    <w:rsid w:val="00E82FAC"/>
    <w:rsid w:val="00E83437"/>
    <w:rsid w:val="00E834DF"/>
    <w:rsid w:val="00E8354F"/>
    <w:rsid w:val="00E83F4B"/>
    <w:rsid w:val="00E842D0"/>
    <w:rsid w:val="00E8465A"/>
    <w:rsid w:val="00E8496E"/>
    <w:rsid w:val="00E849B2"/>
    <w:rsid w:val="00E84D74"/>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673"/>
    <w:rsid w:val="00E95B0D"/>
    <w:rsid w:val="00E961B0"/>
    <w:rsid w:val="00E962A9"/>
    <w:rsid w:val="00E962E6"/>
    <w:rsid w:val="00E963B3"/>
    <w:rsid w:val="00E966AD"/>
    <w:rsid w:val="00E96789"/>
    <w:rsid w:val="00E96C22"/>
    <w:rsid w:val="00E97500"/>
    <w:rsid w:val="00E97907"/>
    <w:rsid w:val="00E97C0C"/>
    <w:rsid w:val="00EA00CC"/>
    <w:rsid w:val="00EA0151"/>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646"/>
    <w:rsid w:val="00EA3767"/>
    <w:rsid w:val="00EA3AED"/>
    <w:rsid w:val="00EA3B6F"/>
    <w:rsid w:val="00EA3F4E"/>
    <w:rsid w:val="00EA4010"/>
    <w:rsid w:val="00EA40A7"/>
    <w:rsid w:val="00EA40FB"/>
    <w:rsid w:val="00EA427D"/>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D6B"/>
    <w:rsid w:val="00EB0ECB"/>
    <w:rsid w:val="00EB1097"/>
    <w:rsid w:val="00EB16C7"/>
    <w:rsid w:val="00EB1982"/>
    <w:rsid w:val="00EB1ACB"/>
    <w:rsid w:val="00EB1C98"/>
    <w:rsid w:val="00EB1E9B"/>
    <w:rsid w:val="00EB24DE"/>
    <w:rsid w:val="00EB25AF"/>
    <w:rsid w:val="00EB278D"/>
    <w:rsid w:val="00EB2868"/>
    <w:rsid w:val="00EB2D38"/>
    <w:rsid w:val="00EB3571"/>
    <w:rsid w:val="00EB366E"/>
    <w:rsid w:val="00EB3C1F"/>
    <w:rsid w:val="00EB3C4E"/>
    <w:rsid w:val="00EB3C80"/>
    <w:rsid w:val="00EB3E75"/>
    <w:rsid w:val="00EB47D6"/>
    <w:rsid w:val="00EB47FA"/>
    <w:rsid w:val="00EB4CC8"/>
    <w:rsid w:val="00EB4E7D"/>
    <w:rsid w:val="00EB51F1"/>
    <w:rsid w:val="00EB5366"/>
    <w:rsid w:val="00EB5402"/>
    <w:rsid w:val="00EB550D"/>
    <w:rsid w:val="00EB5A7A"/>
    <w:rsid w:val="00EB6094"/>
    <w:rsid w:val="00EB620E"/>
    <w:rsid w:val="00EB6696"/>
    <w:rsid w:val="00EB6725"/>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5C4"/>
    <w:rsid w:val="00EC3630"/>
    <w:rsid w:val="00EC3C6E"/>
    <w:rsid w:val="00EC3DD0"/>
    <w:rsid w:val="00EC3E2D"/>
    <w:rsid w:val="00EC3E62"/>
    <w:rsid w:val="00EC410B"/>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3558"/>
    <w:rsid w:val="00ED364A"/>
    <w:rsid w:val="00ED36CF"/>
    <w:rsid w:val="00ED37F3"/>
    <w:rsid w:val="00ED3BCF"/>
    <w:rsid w:val="00ED3DD9"/>
    <w:rsid w:val="00ED3E20"/>
    <w:rsid w:val="00ED3E81"/>
    <w:rsid w:val="00ED3E9A"/>
    <w:rsid w:val="00ED3FA0"/>
    <w:rsid w:val="00ED41CB"/>
    <w:rsid w:val="00ED42CE"/>
    <w:rsid w:val="00ED43D3"/>
    <w:rsid w:val="00ED447A"/>
    <w:rsid w:val="00ED459B"/>
    <w:rsid w:val="00ED48AF"/>
    <w:rsid w:val="00ED4E4B"/>
    <w:rsid w:val="00ED5369"/>
    <w:rsid w:val="00ED536C"/>
    <w:rsid w:val="00ED5593"/>
    <w:rsid w:val="00ED559C"/>
    <w:rsid w:val="00ED5770"/>
    <w:rsid w:val="00ED5B64"/>
    <w:rsid w:val="00ED62D6"/>
    <w:rsid w:val="00ED6A86"/>
    <w:rsid w:val="00ED6EE5"/>
    <w:rsid w:val="00ED6F46"/>
    <w:rsid w:val="00ED6F5F"/>
    <w:rsid w:val="00ED75A1"/>
    <w:rsid w:val="00ED7C48"/>
    <w:rsid w:val="00ED7D70"/>
    <w:rsid w:val="00EE001B"/>
    <w:rsid w:val="00EE0116"/>
    <w:rsid w:val="00EE05CB"/>
    <w:rsid w:val="00EE06A7"/>
    <w:rsid w:val="00EE0C58"/>
    <w:rsid w:val="00EE0E85"/>
    <w:rsid w:val="00EE1033"/>
    <w:rsid w:val="00EE10B1"/>
    <w:rsid w:val="00EE14DF"/>
    <w:rsid w:val="00EE198E"/>
    <w:rsid w:val="00EE1B7A"/>
    <w:rsid w:val="00EE203E"/>
    <w:rsid w:val="00EE2262"/>
    <w:rsid w:val="00EE24EB"/>
    <w:rsid w:val="00EE2A2F"/>
    <w:rsid w:val="00EE2C04"/>
    <w:rsid w:val="00EE2C0C"/>
    <w:rsid w:val="00EE2D7B"/>
    <w:rsid w:val="00EE2DD5"/>
    <w:rsid w:val="00EE2FE2"/>
    <w:rsid w:val="00EE3404"/>
    <w:rsid w:val="00EE3414"/>
    <w:rsid w:val="00EE3C7D"/>
    <w:rsid w:val="00EE3DBC"/>
    <w:rsid w:val="00EE42CB"/>
    <w:rsid w:val="00EE449C"/>
    <w:rsid w:val="00EE4E56"/>
    <w:rsid w:val="00EE583F"/>
    <w:rsid w:val="00EE601C"/>
    <w:rsid w:val="00EE60C1"/>
    <w:rsid w:val="00EE6351"/>
    <w:rsid w:val="00EE691D"/>
    <w:rsid w:val="00EE6C4C"/>
    <w:rsid w:val="00EE70BC"/>
    <w:rsid w:val="00EE72D5"/>
    <w:rsid w:val="00EE72F4"/>
    <w:rsid w:val="00EE7445"/>
    <w:rsid w:val="00EE7601"/>
    <w:rsid w:val="00EE77E2"/>
    <w:rsid w:val="00EE7BE6"/>
    <w:rsid w:val="00EE7E56"/>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F001AF"/>
    <w:rsid w:val="00F0031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295F"/>
    <w:rsid w:val="00F03086"/>
    <w:rsid w:val="00F0377F"/>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3C6"/>
    <w:rsid w:val="00F057CD"/>
    <w:rsid w:val="00F05975"/>
    <w:rsid w:val="00F05C54"/>
    <w:rsid w:val="00F05E07"/>
    <w:rsid w:val="00F060F5"/>
    <w:rsid w:val="00F06B77"/>
    <w:rsid w:val="00F06C7D"/>
    <w:rsid w:val="00F073A2"/>
    <w:rsid w:val="00F0753A"/>
    <w:rsid w:val="00F07863"/>
    <w:rsid w:val="00F07E4A"/>
    <w:rsid w:val="00F10064"/>
    <w:rsid w:val="00F10426"/>
    <w:rsid w:val="00F10857"/>
    <w:rsid w:val="00F11244"/>
    <w:rsid w:val="00F115CE"/>
    <w:rsid w:val="00F1161F"/>
    <w:rsid w:val="00F11936"/>
    <w:rsid w:val="00F11C3A"/>
    <w:rsid w:val="00F11E2A"/>
    <w:rsid w:val="00F11EDF"/>
    <w:rsid w:val="00F121B0"/>
    <w:rsid w:val="00F125B1"/>
    <w:rsid w:val="00F12936"/>
    <w:rsid w:val="00F12A72"/>
    <w:rsid w:val="00F12FD2"/>
    <w:rsid w:val="00F13230"/>
    <w:rsid w:val="00F136DA"/>
    <w:rsid w:val="00F13FE9"/>
    <w:rsid w:val="00F1417D"/>
    <w:rsid w:val="00F1425C"/>
    <w:rsid w:val="00F1438E"/>
    <w:rsid w:val="00F147C3"/>
    <w:rsid w:val="00F14A94"/>
    <w:rsid w:val="00F14C10"/>
    <w:rsid w:val="00F14F5F"/>
    <w:rsid w:val="00F1516A"/>
    <w:rsid w:val="00F152E5"/>
    <w:rsid w:val="00F1569D"/>
    <w:rsid w:val="00F159C6"/>
    <w:rsid w:val="00F16046"/>
    <w:rsid w:val="00F16D87"/>
    <w:rsid w:val="00F1740C"/>
    <w:rsid w:val="00F1754B"/>
    <w:rsid w:val="00F175D0"/>
    <w:rsid w:val="00F17CAC"/>
    <w:rsid w:val="00F2030A"/>
    <w:rsid w:val="00F2060A"/>
    <w:rsid w:val="00F2063A"/>
    <w:rsid w:val="00F20BEF"/>
    <w:rsid w:val="00F20D66"/>
    <w:rsid w:val="00F218F8"/>
    <w:rsid w:val="00F21A92"/>
    <w:rsid w:val="00F21C84"/>
    <w:rsid w:val="00F21E84"/>
    <w:rsid w:val="00F21EF7"/>
    <w:rsid w:val="00F22014"/>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939"/>
    <w:rsid w:val="00F2499A"/>
    <w:rsid w:val="00F24B5F"/>
    <w:rsid w:val="00F24D2C"/>
    <w:rsid w:val="00F24D6D"/>
    <w:rsid w:val="00F24DF7"/>
    <w:rsid w:val="00F24E3E"/>
    <w:rsid w:val="00F25ADC"/>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91"/>
    <w:rsid w:val="00F317E7"/>
    <w:rsid w:val="00F324A3"/>
    <w:rsid w:val="00F32888"/>
    <w:rsid w:val="00F32ADB"/>
    <w:rsid w:val="00F32B5E"/>
    <w:rsid w:val="00F32D08"/>
    <w:rsid w:val="00F32D62"/>
    <w:rsid w:val="00F33052"/>
    <w:rsid w:val="00F338C6"/>
    <w:rsid w:val="00F3396D"/>
    <w:rsid w:val="00F33A7E"/>
    <w:rsid w:val="00F33DAF"/>
    <w:rsid w:val="00F33EB0"/>
    <w:rsid w:val="00F33F5E"/>
    <w:rsid w:val="00F3401B"/>
    <w:rsid w:val="00F340EA"/>
    <w:rsid w:val="00F34583"/>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C97"/>
    <w:rsid w:val="00F37043"/>
    <w:rsid w:val="00F374C6"/>
    <w:rsid w:val="00F37694"/>
    <w:rsid w:val="00F377CC"/>
    <w:rsid w:val="00F378CB"/>
    <w:rsid w:val="00F37E5E"/>
    <w:rsid w:val="00F37ECB"/>
    <w:rsid w:val="00F40461"/>
    <w:rsid w:val="00F405C2"/>
    <w:rsid w:val="00F405C8"/>
    <w:rsid w:val="00F40BF2"/>
    <w:rsid w:val="00F40C3A"/>
    <w:rsid w:val="00F40C9A"/>
    <w:rsid w:val="00F40E74"/>
    <w:rsid w:val="00F40FA8"/>
    <w:rsid w:val="00F41196"/>
    <w:rsid w:val="00F413D8"/>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48A0"/>
    <w:rsid w:val="00F448B8"/>
    <w:rsid w:val="00F44D3C"/>
    <w:rsid w:val="00F44DF6"/>
    <w:rsid w:val="00F44E49"/>
    <w:rsid w:val="00F4504B"/>
    <w:rsid w:val="00F4620D"/>
    <w:rsid w:val="00F463D6"/>
    <w:rsid w:val="00F464E6"/>
    <w:rsid w:val="00F474D8"/>
    <w:rsid w:val="00F4798A"/>
    <w:rsid w:val="00F47C5D"/>
    <w:rsid w:val="00F47E42"/>
    <w:rsid w:val="00F5026F"/>
    <w:rsid w:val="00F50591"/>
    <w:rsid w:val="00F506A1"/>
    <w:rsid w:val="00F511F1"/>
    <w:rsid w:val="00F515DD"/>
    <w:rsid w:val="00F51737"/>
    <w:rsid w:val="00F517E6"/>
    <w:rsid w:val="00F51BC8"/>
    <w:rsid w:val="00F51E67"/>
    <w:rsid w:val="00F5203F"/>
    <w:rsid w:val="00F52123"/>
    <w:rsid w:val="00F52230"/>
    <w:rsid w:val="00F5244F"/>
    <w:rsid w:val="00F525D0"/>
    <w:rsid w:val="00F52B6B"/>
    <w:rsid w:val="00F531EF"/>
    <w:rsid w:val="00F53400"/>
    <w:rsid w:val="00F5342D"/>
    <w:rsid w:val="00F53488"/>
    <w:rsid w:val="00F534D0"/>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6BF"/>
    <w:rsid w:val="00F617AD"/>
    <w:rsid w:val="00F61B38"/>
    <w:rsid w:val="00F61FCD"/>
    <w:rsid w:val="00F62203"/>
    <w:rsid w:val="00F625A9"/>
    <w:rsid w:val="00F62643"/>
    <w:rsid w:val="00F62780"/>
    <w:rsid w:val="00F63004"/>
    <w:rsid w:val="00F634C0"/>
    <w:rsid w:val="00F63C81"/>
    <w:rsid w:val="00F63CCC"/>
    <w:rsid w:val="00F6407C"/>
    <w:rsid w:val="00F64172"/>
    <w:rsid w:val="00F64340"/>
    <w:rsid w:val="00F64766"/>
    <w:rsid w:val="00F64EED"/>
    <w:rsid w:val="00F655A6"/>
    <w:rsid w:val="00F65726"/>
    <w:rsid w:val="00F657B1"/>
    <w:rsid w:val="00F657CF"/>
    <w:rsid w:val="00F65B51"/>
    <w:rsid w:val="00F65BC4"/>
    <w:rsid w:val="00F66085"/>
    <w:rsid w:val="00F662BC"/>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623"/>
    <w:rsid w:val="00F76E39"/>
    <w:rsid w:val="00F7772A"/>
    <w:rsid w:val="00F77877"/>
    <w:rsid w:val="00F77BA0"/>
    <w:rsid w:val="00F77C5D"/>
    <w:rsid w:val="00F800CC"/>
    <w:rsid w:val="00F802EA"/>
    <w:rsid w:val="00F803DA"/>
    <w:rsid w:val="00F81468"/>
    <w:rsid w:val="00F81560"/>
    <w:rsid w:val="00F81563"/>
    <w:rsid w:val="00F815DA"/>
    <w:rsid w:val="00F8174A"/>
    <w:rsid w:val="00F81A41"/>
    <w:rsid w:val="00F81DEB"/>
    <w:rsid w:val="00F82430"/>
    <w:rsid w:val="00F82774"/>
    <w:rsid w:val="00F82EBD"/>
    <w:rsid w:val="00F83030"/>
    <w:rsid w:val="00F83761"/>
    <w:rsid w:val="00F84299"/>
    <w:rsid w:val="00F844A9"/>
    <w:rsid w:val="00F84587"/>
    <w:rsid w:val="00F845D0"/>
    <w:rsid w:val="00F8470B"/>
    <w:rsid w:val="00F8480D"/>
    <w:rsid w:val="00F84A7E"/>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B9D"/>
    <w:rsid w:val="00F900B0"/>
    <w:rsid w:val="00F90250"/>
    <w:rsid w:val="00F90456"/>
    <w:rsid w:val="00F904EA"/>
    <w:rsid w:val="00F90ACC"/>
    <w:rsid w:val="00F90C0A"/>
    <w:rsid w:val="00F91068"/>
    <w:rsid w:val="00F91214"/>
    <w:rsid w:val="00F91835"/>
    <w:rsid w:val="00F91930"/>
    <w:rsid w:val="00F91C0A"/>
    <w:rsid w:val="00F92107"/>
    <w:rsid w:val="00F92282"/>
    <w:rsid w:val="00F925A6"/>
    <w:rsid w:val="00F92610"/>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8BD"/>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B20"/>
    <w:rsid w:val="00FA3C29"/>
    <w:rsid w:val="00FA3D7C"/>
    <w:rsid w:val="00FA41AE"/>
    <w:rsid w:val="00FA4276"/>
    <w:rsid w:val="00FA4456"/>
    <w:rsid w:val="00FA4668"/>
    <w:rsid w:val="00FA46E5"/>
    <w:rsid w:val="00FA4E24"/>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D2F"/>
    <w:rsid w:val="00FA7152"/>
    <w:rsid w:val="00FA721A"/>
    <w:rsid w:val="00FA7A8A"/>
    <w:rsid w:val="00FA7B42"/>
    <w:rsid w:val="00FA7C66"/>
    <w:rsid w:val="00FB01D1"/>
    <w:rsid w:val="00FB1143"/>
    <w:rsid w:val="00FB1266"/>
    <w:rsid w:val="00FB1327"/>
    <w:rsid w:val="00FB1346"/>
    <w:rsid w:val="00FB19F4"/>
    <w:rsid w:val="00FB1B7B"/>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1F1"/>
    <w:rsid w:val="00FB43C7"/>
    <w:rsid w:val="00FB4477"/>
    <w:rsid w:val="00FB453E"/>
    <w:rsid w:val="00FB4819"/>
    <w:rsid w:val="00FB4A5B"/>
    <w:rsid w:val="00FB4BB2"/>
    <w:rsid w:val="00FB522B"/>
    <w:rsid w:val="00FB571B"/>
    <w:rsid w:val="00FB5F13"/>
    <w:rsid w:val="00FB6BFE"/>
    <w:rsid w:val="00FB6DEA"/>
    <w:rsid w:val="00FB6E95"/>
    <w:rsid w:val="00FB6EDA"/>
    <w:rsid w:val="00FB7211"/>
    <w:rsid w:val="00FB7230"/>
    <w:rsid w:val="00FB73A3"/>
    <w:rsid w:val="00FB76A4"/>
    <w:rsid w:val="00FB7C59"/>
    <w:rsid w:val="00FC0044"/>
    <w:rsid w:val="00FC019F"/>
    <w:rsid w:val="00FC050C"/>
    <w:rsid w:val="00FC0608"/>
    <w:rsid w:val="00FC0738"/>
    <w:rsid w:val="00FC0CC4"/>
    <w:rsid w:val="00FC0E26"/>
    <w:rsid w:val="00FC10FC"/>
    <w:rsid w:val="00FC171F"/>
    <w:rsid w:val="00FC19C9"/>
    <w:rsid w:val="00FC1E34"/>
    <w:rsid w:val="00FC1EEB"/>
    <w:rsid w:val="00FC1F66"/>
    <w:rsid w:val="00FC1F7A"/>
    <w:rsid w:val="00FC2503"/>
    <w:rsid w:val="00FC2A5B"/>
    <w:rsid w:val="00FC2C61"/>
    <w:rsid w:val="00FC2DC5"/>
    <w:rsid w:val="00FC3821"/>
    <w:rsid w:val="00FC3CCC"/>
    <w:rsid w:val="00FC4098"/>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428"/>
    <w:rsid w:val="00FD559B"/>
    <w:rsid w:val="00FD56EE"/>
    <w:rsid w:val="00FD590E"/>
    <w:rsid w:val="00FD5A0A"/>
    <w:rsid w:val="00FD5A62"/>
    <w:rsid w:val="00FD5D13"/>
    <w:rsid w:val="00FD5F1D"/>
    <w:rsid w:val="00FD5F8F"/>
    <w:rsid w:val="00FD6102"/>
    <w:rsid w:val="00FD6261"/>
    <w:rsid w:val="00FD672E"/>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252"/>
    <w:rsid w:val="00FE548E"/>
    <w:rsid w:val="00FE5CEA"/>
    <w:rsid w:val="00FE5DA9"/>
    <w:rsid w:val="00FE5F78"/>
    <w:rsid w:val="00FE5FBC"/>
    <w:rsid w:val="00FE60E3"/>
    <w:rsid w:val="00FE62B7"/>
    <w:rsid w:val="00FE6344"/>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ABB"/>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F"/>
    <w:rsid w:val="00FF4D03"/>
    <w:rsid w:val="00FF4E8A"/>
    <w:rsid w:val="00FF4FE1"/>
    <w:rsid w:val="00FF53DD"/>
    <w:rsid w:val="00FF5646"/>
    <w:rsid w:val="00FF5764"/>
    <w:rsid w:val="00FF5AF2"/>
    <w:rsid w:val="00FF5E1B"/>
    <w:rsid w:val="00FF60DD"/>
    <w:rsid w:val="00FF6186"/>
    <w:rsid w:val="00FF679F"/>
    <w:rsid w:val="00FF6ADE"/>
    <w:rsid w:val="00FF6F51"/>
    <w:rsid w:val="00FF72F6"/>
    <w:rsid w:val="00FF7761"/>
    <w:rsid w:val="00FF78C7"/>
    <w:rsid w:val="00FF7C7B"/>
    <w:rsid w:val="00FF7D68"/>
    <w:rsid w:val="01220F4C"/>
    <w:rsid w:val="0143215B"/>
    <w:rsid w:val="01547F3A"/>
    <w:rsid w:val="019A44CD"/>
    <w:rsid w:val="01B860ED"/>
    <w:rsid w:val="01CD6F92"/>
    <w:rsid w:val="0251DB39"/>
    <w:rsid w:val="027C1C9D"/>
    <w:rsid w:val="02813A49"/>
    <w:rsid w:val="028446F6"/>
    <w:rsid w:val="029649A6"/>
    <w:rsid w:val="02AF498D"/>
    <w:rsid w:val="02B4CA06"/>
    <w:rsid w:val="02CFAD5D"/>
    <w:rsid w:val="02D460F8"/>
    <w:rsid w:val="02E980C3"/>
    <w:rsid w:val="0328F64F"/>
    <w:rsid w:val="034B537E"/>
    <w:rsid w:val="034DCBB5"/>
    <w:rsid w:val="034EF6F4"/>
    <w:rsid w:val="0353DF7F"/>
    <w:rsid w:val="035F2E26"/>
    <w:rsid w:val="039505B1"/>
    <w:rsid w:val="03A6135D"/>
    <w:rsid w:val="03BAAB8C"/>
    <w:rsid w:val="03CDE253"/>
    <w:rsid w:val="03CE386A"/>
    <w:rsid w:val="03E7F261"/>
    <w:rsid w:val="03FCF2FF"/>
    <w:rsid w:val="044167AD"/>
    <w:rsid w:val="04526A8C"/>
    <w:rsid w:val="045641E8"/>
    <w:rsid w:val="045B89DF"/>
    <w:rsid w:val="046D96AC"/>
    <w:rsid w:val="046FA6F2"/>
    <w:rsid w:val="0471D4FD"/>
    <w:rsid w:val="04991C40"/>
    <w:rsid w:val="04ACA070"/>
    <w:rsid w:val="04ACF2F8"/>
    <w:rsid w:val="04E6F6FA"/>
    <w:rsid w:val="0511BFFE"/>
    <w:rsid w:val="053AF147"/>
    <w:rsid w:val="054332DD"/>
    <w:rsid w:val="054D635D"/>
    <w:rsid w:val="055874F7"/>
    <w:rsid w:val="056E22CC"/>
    <w:rsid w:val="05B6D2B7"/>
    <w:rsid w:val="05C4F75B"/>
    <w:rsid w:val="060DA81A"/>
    <w:rsid w:val="0672CBC7"/>
    <w:rsid w:val="0682DA0E"/>
    <w:rsid w:val="06865C39"/>
    <w:rsid w:val="068A4736"/>
    <w:rsid w:val="06C25D4E"/>
    <w:rsid w:val="06CB3CDD"/>
    <w:rsid w:val="06D6207D"/>
    <w:rsid w:val="079028AF"/>
    <w:rsid w:val="0797B384"/>
    <w:rsid w:val="07E20DB3"/>
    <w:rsid w:val="0803E577"/>
    <w:rsid w:val="08226D57"/>
    <w:rsid w:val="08261797"/>
    <w:rsid w:val="083B43B5"/>
    <w:rsid w:val="083D763A"/>
    <w:rsid w:val="083DDC05"/>
    <w:rsid w:val="08A9E775"/>
    <w:rsid w:val="08B77D6C"/>
    <w:rsid w:val="08D04A15"/>
    <w:rsid w:val="0915CE7C"/>
    <w:rsid w:val="0918AE9C"/>
    <w:rsid w:val="098BC254"/>
    <w:rsid w:val="099298C4"/>
    <w:rsid w:val="09B8EF02"/>
    <w:rsid w:val="09D375BF"/>
    <w:rsid w:val="09E0831D"/>
    <w:rsid w:val="0A28B4EE"/>
    <w:rsid w:val="0A3069F3"/>
    <w:rsid w:val="0A382B76"/>
    <w:rsid w:val="0A4A5CCD"/>
    <w:rsid w:val="0AA3EAE8"/>
    <w:rsid w:val="0AF75491"/>
    <w:rsid w:val="0B04941D"/>
    <w:rsid w:val="0B2F876E"/>
    <w:rsid w:val="0B4150E6"/>
    <w:rsid w:val="0B74D0F4"/>
    <w:rsid w:val="0BA79B45"/>
    <w:rsid w:val="0BB7AC75"/>
    <w:rsid w:val="0BB86C54"/>
    <w:rsid w:val="0BED5E2B"/>
    <w:rsid w:val="0C03A12B"/>
    <w:rsid w:val="0C4B8A1F"/>
    <w:rsid w:val="0C628352"/>
    <w:rsid w:val="0C874C45"/>
    <w:rsid w:val="0C899787"/>
    <w:rsid w:val="0CBCD255"/>
    <w:rsid w:val="0CDDE1B1"/>
    <w:rsid w:val="0D12DA2C"/>
    <w:rsid w:val="0D2780D8"/>
    <w:rsid w:val="0D4216A8"/>
    <w:rsid w:val="0D4A60FF"/>
    <w:rsid w:val="0D4D7297"/>
    <w:rsid w:val="0D5EEECE"/>
    <w:rsid w:val="0D640EAD"/>
    <w:rsid w:val="0D6A2EB1"/>
    <w:rsid w:val="0DA56550"/>
    <w:rsid w:val="0DA5CBF5"/>
    <w:rsid w:val="0DBB788C"/>
    <w:rsid w:val="0DC4627C"/>
    <w:rsid w:val="0DD153FC"/>
    <w:rsid w:val="0DE357D8"/>
    <w:rsid w:val="0DF70980"/>
    <w:rsid w:val="0DFCD891"/>
    <w:rsid w:val="0DFF6A33"/>
    <w:rsid w:val="0E06D407"/>
    <w:rsid w:val="0E0917D8"/>
    <w:rsid w:val="0E1B3923"/>
    <w:rsid w:val="0E30FEB9"/>
    <w:rsid w:val="0E3FBDF2"/>
    <w:rsid w:val="0E5B6AB2"/>
    <w:rsid w:val="0E5D792D"/>
    <w:rsid w:val="0E708B98"/>
    <w:rsid w:val="0E8F131E"/>
    <w:rsid w:val="0E908D62"/>
    <w:rsid w:val="0EAF7B28"/>
    <w:rsid w:val="0EC3B2BF"/>
    <w:rsid w:val="0EDD4EFF"/>
    <w:rsid w:val="0EE00D0D"/>
    <w:rsid w:val="0F1F60C7"/>
    <w:rsid w:val="0F35843E"/>
    <w:rsid w:val="0F3926B3"/>
    <w:rsid w:val="0F5D2E0C"/>
    <w:rsid w:val="0F71BBC7"/>
    <w:rsid w:val="0F720A14"/>
    <w:rsid w:val="0F7CDCE4"/>
    <w:rsid w:val="0F821237"/>
    <w:rsid w:val="0FA1D0A3"/>
    <w:rsid w:val="0FDB563A"/>
    <w:rsid w:val="0FE2295D"/>
    <w:rsid w:val="0FEFFC0E"/>
    <w:rsid w:val="101EB4DA"/>
    <w:rsid w:val="101FAC18"/>
    <w:rsid w:val="1021BC25"/>
    <w:rsid w:val="104DC8BC"/>
    <w:rsid w:val="10A7392F"/>
    <w:rsid w:val="10CB9319"/>
    <w:rsid w:val="10D4BB11"/>
    <w:rsid w:val="10F5015F"/>
    <w:rsid w:val="10F57DBA"/>
    <w:rsid w:val="10F9633B"/>
    <w:rsid w:val="1100B3D1"/>
    <w:rsid w:val="111352C7"/>
    <w:rsid w:val="11370AF5"/>
    <w:rsid w:val="1149278A"/>
    <w:rsid w:val="1158DC2C"/>
    <w:rsid w:val="115A9FB2"/>
    <w:rsid w:val="11B536B2"/>
    <w:rsid w:val="11B67248"/>
    <w:rsid w:val="11D644B5"/>
    <w:rsid w:val="11E3EF75"/>
    <w:rsid w:val="11FBFDD4"/>
    <w:rsid w:val="12189505"/>
    <w:rsid w:val="12664D95"/>
    <w:rsid w:val="1279E2DA"/>
    <w:rsid w:val="1279F394"/>
    <w:rsid w:val="12D6E55A"/>
    <w:rsid w:val="12D8506C"/>
    <w:rsid w:val="12E294CE"/>
    <w:rsid w:val="12F6ABC9"/>
    <w:rsid w:val="130BE4A4"/>
    <w:rsid w:val="131756B9"/>
    <w:rsid w:val="1317730B"/>
    <w:rsid w:val="1324D7FA"/>
    <w:rsid w:val="136E2BF5"/>
    <w:rsid w:val="137710E9"/>
    <w:rsid w:val="137FB73D"/>
    <w:rsid w:val="138F6C72"/>
    <w:rsid w:val="13B6AE60"/>
    <w:rsid w:val="13C667C9"/>
    <w:rsid w:val="13C6F036"/>
    <w:rsid w:val="13D8AC0A"/>
    <w:rsid w:val="13F8AF7C"/>
    <w:rsid w:val="13FB1BFD"/>
    <w:rsid w:val="14081179"/>
    <w:rsid w:val="146AEDE7"/>
    <w:rsid w:val="14A1BF03"/>
    <w:rsid w:val="14A7223B"/>
    <w:rsid w:val="14B03B6C"/>
    <w:rsid w:val="14B1E2C6"/>
    <w:rsid w:val="14CEE108"/>
    <w:rsid w:val="14D998C4"/>
    <w:rsid w:val="14F42187"/>
    <w:rsid w:val="152ED09E"/>
    <w:rsid w:val="154601FA"/>
    <w:rsid w:val="1578651A"/>
    <w:rsid w:val="15B220B9"/>
    <w:rsid w:val="15CD4358"/>
    <w:rsid w:val="15DCFF4B"/>
    <w:rsid w:val="15E1C28A"/>
    <w:rsid w:val="15E7D233"/>
    <w:rsid w:val="1683E9C6"/>
    <w:rsid w:val="168993FB"/>
    <w:rsid w:val="169C4974"/>
    <w:rsid w:val="16A0062A"/>
    <w:rsid w:val="16A20994"/>
    <w:rsid w:val="16AC129A"/>
    <w:rsid w:val="16BE4716"/>
    <w:rsid w:val="16C685E9"/>
    <w:rsid w:val="16D28444"/>
    <w:rsid w:val="17174C82"/>
    <w:rsid w:val="1731808E"/>
    <w:rsid w:val="177B4B0C"/>
    <w:rsid w:val="17C1B9A6"/>
    <w:rsid w:val="17F23A0E"/>
    <w:rsid w:val="18086EF7"/>
    <w:rsid w:val="1821BFFE"/>
    <w:rsid w:val="185225C3"/>
    <w:rsid w:val="18698369"/>
    <w:rsid w:val="1875EAFF"/>
    <w:rsid w:val="18A2B34D"/>
    <w:rsid w:val="18A79E6F"/>
    <w:rsid w:val="18D09342"/>
    <w:rsid w:val="18F985C3"/>
    <w:rsid w:val="1903CFCA"/>
    <w:rsid w:val="1910038C"/>
    <w:rsid w:val="1985E4D9"/>
    <w:rsid w:val="1996D13A"/>
    <w:rsid w:val="19A31676"/>
    <w:rsid w:val="1A062836"/>
    <w:rsid w:val="1A0FB420"/>
    <w:rsid w:val="1A524FA0"/>
    <w:rsid w:val="1A6342F2"/>
    <w:rsid w:val="1A6CA2E5"/>
    <w:rsid w:val="1A70D244"/>
    <w:rsid w:val="1A8BAC02"/>
    <w:rsid w:val="1A8EC1F0"/>
    <w:rsid w:val="1AFBC716"/>
    <w:rsid w:val="1B4CFE06"/>
    <w:rsid w:val="1B69F1E6"/>
    <w:rsid w:val="1B8801E8"/>
    <w:rsid w:val="1B915144"/>
    <w:rsid w:val="1BA82469"/>
    <w:rsid w:val="1BB20B85"/>
    <w:rsid w:val="1BB6EB61"/>
    <w:rsid w:val="1BC35FD1"/>
    <w:rsid w:val="1BCD7046"/>
    <w:rsid w:val="1BF37386"/>
    <w:rsid w:val="1C439844"/>
    <w:rsid w:val="1C704AC0"/>
    <w:rsid w:val="1C8DA69D"/>
    <w:rsid w:val="1C95DFA1"/>
    <w:rsid w:val="1CD18A5E"/>
    <w:rsid w:val="1CDF0910"/>
    <w:rsid w:val="1CF8E19E"/>
    <w:rsid w:val="1D01419E"/>
    <w:rsid w:val="1D24DD7A"/>
    <w:rsid w:val="1D27EB70"/>
    <w:rsid w:val="1D630903"/>
    <w:rsid w:val="1DA452E9"/>
    <w:rsid w:val="1DB5FE22"/>
    <w:rsid w:val="1DC10BFB"/>
    <w:rsid w:val="1DFF60C0"/>
    <w:rsid w:val="1E0CE70F"/>
    <w:rsid w:val="1E2846A1"/>
    <w:rsid w:val="1E3DB4EE"/>
    <w:rsid w:val="1E515D77"/>
    <w:rsid w:val="1E74B7F7"/>
    <w:rsid w:val="1E9942AF"/>
    <w:rsid w:val="1EACB4AD"/>
    <w:rsid w:val="1EB01446"/>
    <w:rsid w:val="1EB39607"/>
    <w:rsid w:val="1EEA9895"/>
    <w:rsid w:val="1EFC7157"/>
    <w:rsid w:val="1F02D61A"/>
    <w:rsid w:val="1F07191C"/>
    <w:rsid w:val="1F52FCFF"/>
    <w:rsid w:val="1FE369E7"/>
    <w:rsid w:val="2001D48E"/>
    <w:rsid w:val="201A4B79"/>
    <w:rsid w:val="2035DB25"/>
    <w:rsid w:val="208D2632"/>
    <w:rsid w:val="20BC4985"/>
    <w:rsid w:val="20E10759"/>
    <w:rsid w:val="2143877E"/>
    <w:rsid w:val="214F972C"/>
    <w:rsid w:val="2161CD48"/>
    <w:rsid w:val="216E9C53"/>
    <w:rsid w:val="217A2F63"/>
    <w:rsid w:val="21822B41"/>
    <w:rsid w:val="218685D6"/>
    <w:rsid w:val="21E1C3A7"/>
    <w:rsid w:val="224B07A5"/>
    <w:rsid w:val="22530671"/>
    <w:rsid w:val="2286CED1"/>
    <w:rsid w:val="2290FEB5"/>
    <w:rsid w:val="229CF6DC"/>
    <w:rsid w:val="22B3D576"/>
    <w:rsid w:val="22B7756B"/>
    <w:rsid w:val="23098161"/>
    <w:rsid w:val="23223C4A"/>
    <w:rsid w:val="236782C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B6BAAA"/>
    <w:rsid w:val="24BAAAF4"/>
    <w:rsid w:val="24BB7E28"/>
    <w:rsid w:val="24C90622"/>
    <w:rsid w:val="24D7EBAF"/>
    <w:rsid w:val="251E955D"/>
    <w:rsid w:val="25327F79"/>
    <w:rsid w:val="25487A0B"/>
    <w:rsid w:val="255F6A17"/>
    <w:rsid w:val="25669101"/>
    <w:rsid w:val="256F4647"/>
    <w:rsid w:val="257F51AC"/>
    <w:rsid w:val="25955154"/>
    <w:rsid w:val="25C2BCED"/>
    <w:rsid w:val="260EB2A7"/>
    <w:rsid w:val="262C4003"/>
    <w:rsid w:val="263CA53B"/>
    <w:rsid w:val="2709A7B0"/>
    <w:rsid w:val="272828ED"/>
    <w:rsid w:val="273B6416"/>
    <w:rsid w:val="273D71BD"/>
    <w:rsid w:val="2759CF64"/>
    <w:rsid w:val="2816D73A"/>
    <w:rsid w:val="2829414A"/>
    <w:rsid w:val="282F40FC"/>
    <w:rsid w:val="2842A904"/>
    <w:rsid w:val="28470D78"/>
    <w:rsid w:val="285CA575"/>
    <w:rsid w:val="2877D101"/>
    <w:rsid w:val="2896E0DB"/>
    <w:rsid w:val="289E5FFF"/>
    <w:rsid w:val="28B2B15B"/>
    <w:rsid w:val="28F85969"/>
    <w:rsid w:val="2909BD80"/>
    <w:rsid w:val="2915ECD9"/>
    <w:rsid w:val="29163B10"/>
    <w:rsid w:val="295C34E5"/>
    <w:rsid w:val="296EF29D"/>
    <w:rsid w:val="29809242"/>
    <w:rsid w:val="298456A1"/>
    <w:rsid w:val="2990D67A"/>
    <w:rsid w:val="29D53594"/>
    <w:rsid w:val="29DA2F8E"/>
    <w:rsid w:val="2A4E5E1C"/>
    <w:rsid w:val="2A50CB0F"/>
    <w:rsid w:val="2A68EE84"/>
    <w:rsid w:val="2A6E41DB"/>
    <w:rsid w:val="2A752466"/>
    <w:rsid w:val="2AD117D6"/>
    <w:rsid w:val="2B014725"/>
    <w:rsid w:val="2B10A55B"/>
    <w:rsid w:val="2B58DF14"/>
    <w:rsid w:val="2B6EEC2B"/>
    <w:rsid w:val="2BECD910"/>
    <w:rsid w:val="2C16A74E"/>
    <w:rsid w:val="2D07818F"/>
    <w:rsid w:val="2D5F0915"/>
    <w:rsid w:val="2DBF33A9"/>
    <w:rsid w:val="2DD3F624"/>
    <w:rsid w:val="2DD57051"/>
    <w:rsid w:val="2E19FB71"/>
    <w:rsid w:val="2E356704"/>
    <w:rsid w:val="2E49A977"/>
    <w:rsid w:val="2E650C85"/>
    <w:rsid w:val="2E70C888"/>
    <w:rsid w:val="2EAC95A0"/>
    <w:rsid w:val="2EAE435D"/>
    <w:rsid w:val="2ECCD3C5"/>
    <w:rsid w:val="2ED08CA3"/>
    <w:rsid w:val="2EFEB311"/>
    <w:rsid w:val="2F08C9A8"/>
    <w:rsid w:val="2F4A138A"/>
    <w:rsid w:val="2F7AC5E9"/>
    <w:rsid w:val="2F7F140B"/>
    <w:rsid w:val="2FB9C159"/>
    <w:rsid w:val="2FB9E2EB"/>
    <w:rsid w:val="2FD09FCD"/>
    <w:rsid w:val="2FD82AED"/>
    <w:rsid w:val="2FEAEC39"/>
    <w:rsid w:val="2FF7387B"/>
    <w:rsid w:val="30677792"/>
    <w:rsid w:val="306DD4D7"/>
    <w:rsid w:val="30A954E5"/>
    <w:rsid w:val="30FA4131"/>
    <w:rsid w:val="30FAAE36"/>
    <w:rsid w:val="31000875"/>
    <w:rsid w:val="310A7A64"/>
    <w:rsid w:val="3120A6A2"/>
    <w:rsid w:val="31C1A80E"/>
    <w:rsid w:val="31CCA698"/>
    <w:rsid w:val="31F6B29F"/>
    <w:rsid w:val="31F8225B"/>
    <w:rsid w:val="31FE7CCF"/>
    <w:rsid w:val="32504F5C"/>
    <w:rsid w:val="32516B5C"/>
    <w:rsid w:val="32658A0E"/>
    <w:rsid w:val="326DF718"/>
    <w:rsid w:val="3291D623"/>
    <w:rsid w:val="32942AEF"/>
    <w:rsid w:val="3298A3A8"/>
    <w:rsid w:val="32A8A321"/>
    <w:rsid w:val="32BE32A3"/>
    <w:rsid w:val="32C872F8"/>
    <w:rsid w:val="32DE0904"/>
    <w:rsid w:val="32EC42E0"/>
    <w:rsid w:val="330999D2"/>
    <w:rsid w:val="33105D10"/>
    <w:rsid w:val="331A96BD"/>
    <w:rsid w:val="332A953A"/>
    <w:rsid w:val="3330869A"/>
    <w:rsid w:val="3346E886"/>
    <w:rsid w:val="335303A5"/>
    <w:rsid w:val="3367230C"/>
    <w:rsid w:val="339312C3"/>
    <w:rsid w:val="33C09523"/>
    <w:rsid w:val="33F3FF61"/>
    <w:rsid w:val="3406CB80"/>
    <w:rsid w:val="3432ACE2"/>
    <w:rsid w:val="34451B64"/>
    <w:rsid w:val="3463F1FE"/>
    <w:rsid w:val="349F952F"/>
    <w:rsid w:val="34A50266"/>
    <w:rsid w:val="34C201D3"/>
    <w:rsid w:val="34D8F6AC"/>
    <w:rsid w:val="350865E5"/>
    <w:rsid w:val="35181EA9"/>
    <w:rsid w:val="3519D3FC"/>
    <w:rsid w:val="354459FE"/>
    <w:rsid w:val="35489691"/>
    <w:rsid w:val="356340CD"/>
    <w:rsid w:val="3609E3D6"/>
    <w:rsid w:val="360BF317"/>
    <w:rsid w:val="36200F03"/>
    <w:rsid w:val="366C7804"/>
    <w:rsid w:val="36734E04"/>
    <w:rsid w:val="36E84872"/>
    <w:rsid w:val="36F6ED8F"/>
    <w:rsid w:val="370BA0B8"/>
    <w:rsid w:val="374ADA3E"/>
    <w:rsid w:val="377ECACB"/>
    <w:rsid w:val="37E9165F"/>
    <w:rsid w:val="37F691DC"/>
    <w:rsid w:val="37F7F052"/>
    <w:rsid w:val="381784C1"/>
    <w:rsid w:val="38730E47"/>
    <w:rsid w:val="3882B55A"/>
    <w:rsid w:val="38AF8BE1"/>
    <w:rsid w:val="38C6F802"/>
    <w:rsid w:val="38D6445D"/>
    <w:rsid w:val="38FB4149"/>
    <w:rsid w:val="396A6A55"/>
    <w:rsid w:val="396AC8C4"/>
    <w:rsid w:val="397EDC20"/>
    <w:rsid w:val="399B4DE6"/>
    <w:rsid w:val="39A0BC3E"/>
    <w:rsid w:val="3A2FD6A7"/>
    <w:rsid w:val="3A364E8B"/>
    <w:rsid w:val="3A43DC84"/>
    <w:rsid w:val="3A6E6844"/>
    <w:rsid w:val="3A9D9B69"/>
    <w:rsid w:val="3B3072E7"/>
    <w:rsid w:val="3B44E540"/>
    <w:rsid w:val="3B4E3998"/>
    <w:rsid w:val="3B5C944F"/>
    <w:rsid w:val="3B5D5A40"/>
    <w:rsid w:val="3B72D18F"/>
    <w:rsid w:val="3BA16483"/>
    <w:rsid w:val="3BBE44DB"/>
    <w:rsid w:val="3BD992A7"/>
    <w:rsid w:val="3BE7C62D"/>
    <w:rsid w:val="3C07D671"/>
    <w:rsid w:val="3C3C7B1E"/>
    <w:rsid w:val="3C4E2D21"/>
    <w:rsid w:val="3C9C5430"/>
    <w:rsid w:val="3CA758DB"/>
    <w:rsid w:val="3CA7C1CE"/>
    <w:rsid w:val="3D0EA1F0"/>
    <w:rsid w:val="3D221D0F"/>
    <w:rsid w:val="3D247A1F"/>
    <w:rsid w:val="3D260FC9"/>
    <w:rsid w:val="3D361918"/>
    <w:rsid w:val="3D8E696D"/>
    <w:rsid w:val="3D9E4557"/>
    <w:rsid w:val="3DC1C91A"/>
    <w:rsid w:val="3DC2AB71"/>
    <w:rsid w:val="3DC3C045"/>
    <w:rsid w:val="3DC9F0DA"/>
    <w:rsid w:val="3DCA2D90"/>
    <w:rsid w:val="3E067CE4"/>
    <w:rsid w:val="3E074BFA"/>
    <w:rsid w:val="3E3018C7"/>
    <w:rsid w:val="3E73B74D"/>
    <w:rsid w:val="3E8AA1CF"/>
    <w:rsid w:val="3EA0962A"/>
    <w:rsid w:val="3EC119DD"/>
    <w:rsid w:val="3ECC960B"/>
    <w:rsid w:val="3ECFD81A"/>
    <w:rsid w:val="3EE88894"/>
    <w:rsid w:val="3F164595"/>
    <w:rsid w:val="3F25693C"/>
    <w:rsid w:val="3F704C8C"/>
    <w:rsid w:val="3F7E2B2C"/>
    <w:rsid w:val="3F8502CD"/>
    <w:rsid w:val="3FE82E9F"/>
    <w:rsid w:val="4001BF2B"/>
    <w:rsid w:val="402CB541"/>
    <w:rsid w:val="40348B21"/>
    <w:rsid w:val="4076CFB5"/>
    <w:rsid w:val="4093B6AA"/>
    <w:rsid w:val="40A61557"/>
    <w:rsid w:val="40C63D9C"/>
    <w:rsid w:val="40E0936E"/>
    <w:rsid w:val="40E96EAA"/>
    <w:rsid w:val="40FE9986"/>
    <w:rsid w:val="411559AA"/>
    <w:rsid w:val="411E7D86"/>
    <w:rsid w:val="41431272"/>
    <w:rsid w:val="414A95F0"/>
    <w:rsid w:val="416B113C"/>
    <w:rsid w:val="4182CBA8"/>
    <w:rsid w:val="41962BB8"/>
    <w:rsid w:val="41B3B5AB"/>
    <w:rsid w:val="41C3E9EB"/>
    <w:rsid w:val="41E77932"/>
    <w:rsid w:val="41F59C4C"/>
    <w:rsid w:val="41F66ED2"/>
    <w:rsid w:val="42020F39"/>
    <w:rsid w:val="422282C0"/>
    <w:rsid w:val="4241BF92"/>
    <w:rsid w:val="425B0DD5"/>
    <w:rsid w:val="428B1171"/>
    <w:rsid w:val="429042E5"/>
    <w:rsid w:val="42AE00F2"/>
    <w:rsid w:val="42B92CAE"/>
    <w:rsid w:val="42C87953"/>
    <w:rsid w:val="42D00032"/>
    <w:rsid w:val="42D8C4FA"/>
    <w:rsid w:val="42DBF2D8"/>
    <w:rsid w:val="42EB8875"/>
    <w:rsid w:val="43029D05"/>
    <w:rsid w:val="4317CEC5"/>
    <w:rsid w:val="433D46B3"/>
    <w:rsid w:val="43590E32"/>
    <w:rsid w:val="437A5132"/>
    <w:rsid w:val="43834DAA"/>
    <w:rsid w:val="43D2CE05"/>
    <w:rsid w:val="43F055DD"/>
    <w:rsid w:val="44285F7E"/>
    <w:rsid w:val="442CAD60"/>
    <w:rsid w:val="443CB24F"/>
    <w:rsid w:val="443D449A"/>
    <w:rsid w:val="4462C167"/>
    <w:rsid w:val="44DC5E84"/>
    <w:rsid w:val="44E5165E"/>
    <w:rsid w:val="44E6B813"/>
    <w:rsid w:val="44ED736A"/>
    <w:rsid w:val="44F60592"/>
    <w:rsid w:val="4514C79E"/>
    <w:rsid w:val="454CF250"/>
    <w:rsid w:val="457BBFC6"/>
    <w:rsid w:val="457C5F1A"/>
    <w:rsid w:val="4649719A"/>
    <w:rsid w:val="469141EA"/>
    <w:rsid w:val="46A0B0C8"/>
    <w:rsid w:val="46C4F610"/>
    <w:rsid w:val="46CE9941"/>
    <w:rsid w:val="471530B5"/>
    <w:rsid w:val="472D60C7"/>
    <w:rsid w:val="4731CE9F"/>
    <w:rsid w:val="475352F7"/>
    <w:rsid w:val="47623BE1"/>
    <w:rsid w:val="47C61ABD"/>
    <w:rsid w:val="47DBE4FF"/>
    <w:rsid w:val="4809ECB6"/>
    <w:rsid w:val="480B4BA6"/>
    <w:rsid w:val="48220EFE"/>
    <w:rsid w:val="482C9C1D"/>
    <w:rsid w:val="483759FD"/>
    <w:rsid w:val="4837901C"/>
    <w:rsid w:val="484C9E8D"/>
    <w:rsid w:val="4891FE4A"/>
    <w:rsid w:val="4893B2DB"/>
    <w:rsid w:val="489A38CD"/>
    <w:rsid w:val="48E253F4"/>
    <w:rsid w:val="48E4625C"/>
    <w:rsid w:val="48EC1203"/>
    <w:rsid w:val="490ADB56"/>
    <w:rsid w:val="492B5184"/>
    <w:rsid w:val="494B3F96"/>
    <w:rsid w:val="495729AD"/>
    <w:rsid w:val="495AEA66"/>
    <w:rsid w:val="49663598"/>
    <w:rsid w:val="49957DDE"/>
    <w:rsid w:val="499DF241"/>
    <w:rsid w:val="49CA41F1"/>
    <w:rsid w:val="4A08AA1D"/>
    <w:rsid w:val="4A185966"/>
    <w:rsid w:val="4A2E315F"/>
    <w:rsid w:val="4A70C6B6"/>
    <w:rsid w:val="4A74F8A5"/>
    <w:rsid w:val="4A8192F2"/>
    <w:rsid w:val="4A8F9DF7"/>
    <w:rsid w:val="4AA36B54"/>
    <w:rsid w:val="4B217075"/>
    <w:rsid w:val="4B36828F"/>
    <w:rsid w:val="4B546FF3"/>
    <w:rsid w:val="4B69FD75"/>
    <w:rsid w:val="4B6D8A93"/>
    <w:rsid w:val="4B795D5A"/>
    <w:rsid w:val="4B849089"/>
    <w:rsid w:val="4B9DECED"/>
    <w:rsid w:val="4B9FFE91"/>
    <w:rsid w:val="4BB00560"/>
    <w:rsid w:val="4BCC6609"/>
    <w:rsid w:val="4BEA4FFC"/>
    <w:rsid w:val="4C03802A"/>
    <w:rsid w:val="4C4D337F"/>
    <w:rsid w:val="4C796CFE"/>
    <w:rsid w:val="4C9172D2"/>
    <w:rsid w:val="4CDDA0A3"/>
    <w:rsid w:val="4D0DCD59"/>
    <w:rsid w:val="4D325E0C"/>
    <w:rsid w:val="4D543469"/>
    <w:rsid w:val="4D825A71"/>
    <w:rsid w:val="4D9F1AA1"/>
    <w:rsid w:val="4DA6CF0D"/>
    <w:rsid w:val="4DD50A44"/>
    <w:rsid w:val="4E060648"/>
    <w:rsid w:val="4E405700"/>
    <w:rsid w:val="4E6F6F23"/>
    <w:rsid w:val="4E78352C"/>
    <w:rsid w:val="4EC50715"/>
    <w:rsid w:val="4EC63A96"/>
    <w:rsid w:val="4F0845E2"/>
    <w:rsid w:val="4F4563BA"/>
    <w:rsid w:val="4F611798"/>
    <w:rsid w:val="4FA709BE"/>
    <w:rsid w:val="4FF273FB"/>
    <w:rsid w:val="4FF685EF"/>
    <w:rsid w:val="5005FFF2"/>
    <w:rsid w:val="5019FDC5"/>
    <w:rsid w:val="5023D794"/>
    <w:rsid w:val="50355ECB"/>
    <w:rsid w:val="503A92A4"/>
    <w:rsid w:val="5058E40C"/>
    <w:rsid w:val="505A0049"/>
    <w:rsid w:val="508AB171"/>
    <w:rsid w:val="50AA6DA3"/>
    <w:rsid w:val="50B4EE2B"/>
    <w:rsid w:val="50D9244B"/>
    <w:rsid w:val="50F15465"/>
    <w:rsid w:val="50F78DB3"/>
    <w:rsid w:val="50F9EBA3"/>
    <w:rsid w:val="5103B393"/>
    <w:rsid w:val="51109173"/>
    <w:rsid w:val="51469A0C"/>
    <w:rsid w:val="51B767A1"/>
    <w:rsid w:val="51CC52D7"/>
    <w:rsid w:val="521993FB"/>
    <w:rsid w:val="5223C6BC"/>
    <w:rsid w:val="52519EE3"/>
    <w:rsid w:val="5290BAA3"/>
    <w:rsid w:val="52997F1E"/>
    <w:rsid w:val="52ACF6AA"/>
    <w:rsid w:val="52BE30A2"/>
    <w:rsid w:val="52E76ACD"/>
    <w:rsid w:val="53327DF2"/>
    <w:rsid w:val="533AE074"/>
    <w:rsid w:val="536F73BB"/>
    <w:rsid w:val="5372CAEB"/>
    <w:rsid w:val="53775991"/>
    <w:rsid w:val="538372E0"/>
    <w:rsid w:val="5388E289"/>
    <w:rsid w:val="53932D5D"/>
    <w:rsid w:val="53B3E354"/>
    <w:rsid w:val="53B5D9E0"/>
    <w:rsid w:val="53D7D927"/>
    <w:rsid w:val="53E2ABB7"/>
    <w:rsid w:val="53FBA143"/>
    <w:rsid w:val="5418C4A4"/>
    <w:rsid w:val="547BDE01"/>
    <w:rsid w:val="54BCAE4C"/>
    <w:rsid w:val="54C4F15A"/>
    <w:rsid w:val="54CE4E53"/>
    <w:rsid w:val="54DA3F6C"/>
    <w:rsid w:val="54DB3EC3"/>
    <w:rsid w:val="54E0ACD5"/>
    <w:rsid w:val="54EED609"/>
    <w:rsid w:val="54F49761"/>
    <w:rsid w:val="54F82811"/>
    <w:rsid w:val="550C40C5"/>
    <w:rsid w:val="55CE7E4E"/>
    <w:rsid w:val="55F91184"/>
    <w:rsid w:val="560F9B1F"/>
    <w:rsid w:val="561486FA"/>
    <w:rsid w:val="565670BB"/>
    <w:rsid w:val="566A1EB4"/>
    <w:rsid w:val="5689E1D6"/>
    <w:rsid w:val="56B57478"/>
    <w:rsid w:val="56DBBFA8"/>
    <w:rsid w:val="56DC7388"/>
    <w:rsid w:val="56FB5D90"/>
    <w:rsid w:val="57061414"/>
    <w:rsid w:val="571F4547"/>
    <w:rsid w:val="5723586D"/>
    <w:rsid w:val="573340B0"/>
    <w:rsid w:val="5787E600"/>
    <w:rsid w:val="57959A2D"/>
    <w:rsid w:val="57CFD19F"/>
    <w:rsid w:val="57D0FE91"/>
    <w:rsid w:val="57F57F85"/>
    <w:rsid w:val="584CD7B2"/>
    <w:rsid w:val="58617257"/>
    <w:rsid w:val="58A14153"/>
    <w:rsid w:val="58B7CD6D"/>
    <w:rsid w:val="58E5DC43"/>
    <w:rsid w:val="58F5CE6A"/>
    <w:rsid w:val="58F6E24F"/>
    <w:rsid w:val="590F37BB"/>
    <w:rsid w:val="59383393"/>
    <w:rsid w:val="594A2824"/>
    <w:rsid w:val="5980327F"/>
    <w:rsid w:val="59A1868C"/>
    <w:rsid w:val="59A977CA"/>
    <w:rsid w:val="59BF61A2"/>
    <w:rsid w:val="59C099CB"/>
    <w:rsid w:val="59D01CA9"/>
    <w:rsid w:val="59EDFE47"/>
    <w:rsid w:val="5A013184"/>
    <w:rsid w:val="5A21FD80"/>
    <w:rsid w:val="5A503D34"/>
    <w:rsid w:val="5A58DDA7"/>
    <w:rsid w:val="5A64025C"/>
    <w:rsid w:val="5AC09460"/>
    <w:rsid w:val="5AC29F5D"/>
    <w:rsid w:val="5AC4EBE9"/>
    <w:rsid w:val="5ACF8B93"/>
    <w:rsid w:val="5AE4CF03"/>
    <w:rsid w:val="5B3EA657"/>
    <w:rsid w:val="5B4903CC"/>
    <w:rsid w:val="5B5026B7"/>
    <w:rsid w:val="5B666F72"/>
    <w:rsid w:val="5B6C86D0"/>
    <w:rsid w:val="5B85A4C6"/>
    <w:rsid w:val="5B891C8A"/>
    <w:rsid w:val="5BB1ECE8"/>
    <w:rsid w:val="5BBF7E87"/>
    <w:rsid w:val="5C6F7DCD"/>
    <w:rsid w:val="5CA00069"/>
    <w:rsid w:val="5CA70058"/>
    <w:rsid w:val="5CB2D3A7"/>
    <w:rsid w:val="5CDA76B8"/>
    <w:rsid w:val="5CE7F554"/>
    <w:rsid w:val="5CF9421E"/>
    <w:rsid w:val="5D74F7F1"/>
    <w:rsid w:val="5D7AC32D"/>
    <w:rsid w:val="5DB219DD"/>
    <w:rsid w:val="5DC878B3"/>
    <w:rsid w:val="5DC93F62"/>
    <w:rsid w:val="5DDE0673"/>
    <w:rsid w:val="5E2D068C"/>
    <w:rsid w:val="5E3C2266"/>
    <w:rsid w:val="5E4166CD"/>
    <w:rsid w:val="5E4ED547"/>
    <w:rsid w:val="5E7FF848"/>
    <w:rsid w:val="5E84BA20"/>
    <w:rsid w:val="5E914109"/>
    <w:rsid w:val="5ECDE499"/>
    <w:rsid w:val="5ED3781D"/>
    <w:rsid w:val="5F17E40E"/>
    <w:rsid w:val="5F263C3C"/>
    <w:rsid w:val="5F35F8A3"/>
    <w:rsid w:val="5FA51FF3"/>
    <w:rsid w:val="5FB8A563"/>
    <w:rsid w:val="5FC65061"/>
    <w:rsid w:val="5FE0BF71"/>
    <w:rsid w:val="601051F5"/>
    <w:rsid w:val="602858E3"/>
    <w:rsid w:val="6038F88B"/>
    <w:rsid w:val="603E3E80"/>
    <w:rsid w:val="604EA806"/>
    <w:rsid w:val="6060599A"/>
    <w:rsid w:val="60735CCF"/>
    <w:rsid w:val="609A658C"/>
    <w:rsid w:val="60B2525F"/>
    <w:rsid w:val="60C73EFA"/>
    <w:rsid w:val="60C81F2B"/>
    <w:rsid w:val="60D49439"/>
    <w:rsid w:val="60EE9686"/>
    <w:rsid w:val="60F91E25"/>
    <w:rsid w:val="610973D7"/>
    <w:rsid w:val="612E7EB6"/>
    <w:rsid w:val="617FD05B"/>
    <w:rsid w:val="61AE92D7"/>
    <w:rsid w:val="61CAB540"/>
    <w:rsid w:val="61FEDC69"/>
    <w:rsid w:val="621892BE"/>
    <w:rsid w:val="621DEBBE"/>
    <w:rsid w:val="622212A5"/>
    <w:rsid w:val="6243D6C3"/>
    <w:rsid w:val="6255C3DE"/>
    <w:rsid w:val="626B0E50"/>
    <w:rsid w:val="6271B092"/>
    <w:rsid w:val="62779C3A"/>
    <w:rsid w:val="62C3EA02"/>
    <w:rsid w:val="62FFBE46"/>
    <w:rsid w:val="63476308"/>
    <w:rsid w:val="637344A8"/>
    <w:rsid w:val="6384D1ED"/>
    <w:rsid w:val="63D2415E"/>
    <w:rsid w:val="63DAB265"/>
    <w:rsid w:val="63FEF5AC"/>
    <w:rsid w:val="64237F27"/>
    <w:rsid w:val="643832F0"/>
    <w:rsid w:val="645B694A"/>
    <w:rsid w:val="6467243B"/>
    <w:rsid w:val="648E067D"/>
    <w:rsid w:val="649C9D6F"/>
    <w:rsid w:val="64A6270A"/>
    <w:rsid w:val="64C83602"/>
    <w:rsid w:val="64E12014"/>
    <w:rsid w:val="653C4E99"/>
    <w:rsid w:val="6597F344"/>
    <w:rsid w:val="65EECBE4"/>
    <w:rsid w:val="661CEFBA"/>
    <w:rsid w:val="663A6C3D"/>
    <w:rsid w:val="6652959F"/>
    <w:rsid w:val="6660ED08"/>
    <w:rsid w:val="66898E2A"/>
    <w:rsid w:val="669B9773"/>
    <w:rsid w:val="66A1776F"/>
    <w:rsid w:val="66A8CA71"/>
    <w:rsid w:val="66B52B49"/>
    <w:rsid w:val="67395D6B"/>
    <w:rsid w:val="677A598B"/>
    <w:rsid w:val="67984407"/>
    <w:rsid w:val="67B4CE38"/>
    <w:rsid w:val="67C411C5"/>
    <w:rsid w:val="67C9D345"/>
    <w:rsid w:val="67D43C2A"/>
    <w:rsid w:val="67DC65ED"/>
    <w:rsid w:val="6838F514"/>
    <w:rsid w:val="6855C2BB"/>
    <w:rsid w:val="6861B9B2"/>
    <w:rsid w:val="688DEE33"/>
    <w:rsid w:val="688F4114"/>
    <w:rsid w:val="68BA08B3"/>
    <w:rsid w:val="68D852EB"/>
    <w:rsid w:val="68E2986E"/>
    <w:rsid w:val="68EB26A7"/>
    <w:rsid w:val="69164ADB"/>
    <w:rsid w:val="6939CE35"/>
    <w:rsid w:val="696A8C41"/>
    <w:rsid w:val="69AC71D1"/>
    <w:rsid w:val="69CA0FC1"/>
    <w:rsid w:val="69DA67BE"/>
    <w:rsid w:val="69DCD27D"/>
    <w:rsid w:val="6A22670C"/>
    <w:rsid w:val="6A49B36F"/>
    <w:rsid w:val="6A5F6137"/>
    <w:rsid w:val="6A7233BD"/>
    <w:rsid w:val="6A9E831C"/>
    <w:rsid w:val="6AA4472B"/>
    <w:rsid w:val="6AB23DB6"/>
    <w:rsid w:val="6AC43861"/>
    <w:rsid w:val="6B2267AD"/>
    <w:rsid w:val="6B78BF8A"/>
    <w:rsid w:val="6BB16745"/>
    <w:rsid w:val="6BEEBD43"/>
    <w:rsid w:val="6C073E25"/>
    <w:rsid w:val="6C18FAF6"/>
    <w:rsid w:val="6C5429BA"/>
    <w:rsid w:val="6C6B5E9C"/>
    <w:rsid w:val="6C73737F"/>
    <w:rsid w:val="6C79F370"/>
    <w:rsid w:val="6C7BEF3C"/>
    <w:rsid w:val="6C99BDE9"/>
    <w:rsid w:val="6CD0D230"/>
    <w:rsid w:val="6CE709A3"/>
    <w:rsid w:val="6CFE6136"/>
    <w:rsid w:val="6D142DAC"/>
    <w:rsid w:val="6D18A1C8"/>
    <w:rsid w:val="6D6DDA15"/>
    <w:rsid w:val="6D8217C4"/>
    <w:rsid w:val="6DA65C34"/>
    <w:rsid w:val="6DAD45FF"/>
    <w:rsid w:val="6DF86161"/>
    <w:rsid w:val="6E11BC09"/>
    <w:rsid w:val="6E426E1A"/>
    <w:rsid w:val="6E6FA8EE"/>
    <w:rsid w:val="6E7A4C5D"/>
    <w:rsid w:val="6EAE4CE1"/>
    <w:rsid w:val="6EC9FA1A"/>
    <w:rsid w:val="6ECFCF8E"/>
    <w:rsid w:val="6ED10453"/>
    <w:rsid w:val="6ED2BE18"/>
    <w:rsid w:val="6ED3D92B"/>
    <w:rsid w:val="6EE06163"/>
    <w:rsid w:val="6F316F85"/>
    <w:rsid w:val="6F377A10"/>
    <w:rsid w:val="6F69A5A8"/>
    <w:rsid w:val="6F77A974"/>
    <w:rsid w:val="6F9B04C0"/>
    <w:rsid w:val="6FAD592D"/>
    <w:rsid w:val="6FB090A6"/>
    <w:rsid w:val="6FC0B161"/>
    <w:rsid w:val="70722EBB"/>
    <w:rsid w:val="7085223B"/>
    <w:rsid w:val="70A74FE7"/>
    <w:rsid w:val="70AEE09F"/>
    <w:rsid w:val="70B60C67"/>
    <w:rsid w:val="70BAD692"/>
    <w:rsid w:val="70BED096"/>
    <w:rsid w:val="70CFB197"/>
    <w:rsid w:val="70E995ED"/>
    <w:rsid w:val="7100A80A"/>
    <w:rsid w:val="71134A3C"/>
    <w:rsid w:val="7118C1DC"/>
    <w:rsid w:val="7133E0DA"/>
    <w:rsid w:val="7150767D"/>
    <w:rsid w:val="7157323D"/>
    <w:rsid w:val="7194938E"/>
    <w:rsid w:val="71AD4A91"/>
    <w:rsid w:val="71B675A7"/>
    <w:rsid w:val="71BAC781"/>
    <w:rsid w:val="71F41CEA"/>
    <w:rsid w:val="7200CE93"/>
    <w:rsid w:val="723DCFEC"/>
    <w:rsid w:val="72669DDB"/>
    <w:rsid w:val="72A40D67"/>
    <w:rsid w:val="72B3EC28"/>
    <w:rsid w:val="72BEC195"/>
    <w:rsid w:val="72D192AC"/>
    <w:rsid w:val="72DBB372"/>
    <w:rsid w:val="72EB0698"/>
    <w:rsid w:val="72F0F457"/>
    <w:rsid w:val="72F9F6FD"/>
    <w:rsid w:val="732B4CF2"/>
    <w:rsid w:val="737643A2"/>
    <w:rsid w:val="73E26746"/>
    <w:rsid w:val="73F28C05"/>
    <w:rsid w:val="743F0766"/>
    <w:rsid w:val="74539EF9"/>
    <w:rsid w:val="7495D226"/>
    <w:rsid w:val="74976EB5"/>
    <w:rsid w:val="74D3B033"/>
    <w:rsid w:val="74E94E1B"/>
    <w:rsid w:val="74ED8C48"/>
    <w:rsid w:val="7507DCDF"/>
    <w:rsid w:val="75376C50"/>
    <w:rsid w:val="754D2D45"/>
    <w:rsid w:val="75537664"/>
    <w:rsid w:val="75AAFAA6"/>
    <w:rsid w:val="75BFC063"/>
    <w:rsid w:val="7609C0D9"/>
    <w:rsid w:val="76132539"/>
    <w:rsid w:val="763D2C5F"/>
    <w:rsid w:val="764AF49E"/>
    <w:rsid w:val="766C35E5"/>
    <w:rsid w:val="76B3F1DF"/>
    <w:rsid w:val="76D06D50"/>
    <w:rsid w:val="76F77298"/>
    <w:rsid w:val="76FB29B4"/>
    <w:rsid w:val="770E8623"/>
    <w:rsid w:val="772DDE6F"/>
    <w:rsid w:val="77647A20"/>
    <w:rsid w:val="776EF894"/>
    <w:rsid w:val="77BDD46D"/>
    <w:rsid w:val="77BE53FF"/>
    <w:rsid w:val="77D12A5E"/>
    <w:rsid w:val="78281F0F"/>
    <w:rsid w:val="7834717B"/>
    <w:rsid w:val="783D7931"/>
    <w:rsid w:val="7840694A"/>
    <w:rsid w:val="786F3C4F"/>
    <w:rsid w:val="788BC3A3"/>
    <w:rsid w:val="78B17F35"/>
    <w:rsid w:val="78CB8C8A"/>
    <w:rsid w:val="78D1458D"/>
    <w:rsid w:val="78D7D798"/>
    <w:rsid w:val="78E96977"/>
    <w:rsid w:val="7910998C"/>
    <w:rsid w:val="791C0D36"/>
    <w:rsid w:val="796E01DC"/>
    <w:rsid w:val="79947804"/>
    <w:rsid w:val="79BD8F31"/>
    <w:rsid w:val="79CB587E"/>
    <w:rsid w:val="79CCAAB6"/>
    <w:rsid w:val="79CF450E"/>
    <w:rsid w:val="79EBAA7E"/>
    <w:rsid w:val="7A05DD19"/>
    <w:rsid w:val="7A213E07"/>
    <w:rsid w:val="7A2BA982"/>
    <w:rsid w:val="7A2FE31F"/>
    <w:rsid w:val="7A65CD4D"/>
    <w:rsid w:val="7A698729"/>
    <w:rsid w:val="7A6F68A2"/>
    <w:rsid w:val="7ABFA582"/>
    <w:rsid w:val="7AE55531"/>
    <w:rsid w:val="7B2756D5"/>
    <w:rsid w:val="7B423E85"/>
    <w:rsid w:val="7B460524"/>
    <w:rsid w:val="7B5FBFD1"/>
    <w:rsid w:val="7B872A6B"/>
    <w:rsid w:val="7B8F260E"/>
    <w:rsid w:val="7B929D6B"/>
    <w:rsid w:val="7BEB6A9C"/>
    <w:rsid w:val="7C468FE6"/>
    <w:rsid w:val="7C49FB39"/>
    <w:rsid w:val="7C6C24C5"/>
    <w:rsid w:val="7C775012"/>
    <w:rsid w:val="7C80806C"/>
    <w:rsid w:val="7CA34AAA"/>
    <w:rsid w:val="7CBAE7F2"/>
    <w:rsid w:val="7CBD5DFD"/>
    <w:rsid w:val="7D096A94"/>
    <w:rsid w:val="7D0FF71C"/>
    <w:rsid w:val="7D180567"/>
    <w:rsid w:val="7D19864C"/>
    <w:rsid w:val="7D38C5AA"/>
    <w:rsid w:val="7D3A33BD"/>
    <w:rsid w:val="7D49F807"/>
    <w:rsid w:val="7D680E37"/>
    <w:rsid w:val="7DC37940"/>
    <w:rsid w:val="7DDE2ECC"/>
    <w:rsid w:val="7DE5E42D"/>
    <w:rsid w:val="7DE7DFC6"/>
    <w:rsid w:val="7DFAE845"/>
    <w:rsid w:val="7E2EE85B"/>
    <w:rsid w:val="7E38CFE0"/>
    <w:rsid w:val="7E3B6D51"/>
    <w:rsid w:val="7E5149A5"/>
    <w:rsid w:val="7E60C906"/>
    <w:rsid w:val="7E768F09"/>
    <w:rsid w:val="7E94C9B3"/>
    <w:rsid w:val="7EAEB763"/>
    <w:rsid w:val="7EB9EA51"/>
    <w:rsid w:val="7EC8BEDF"/>
    <w:rsid w:val="7EE95B8A"/>
    <w:rsid w:val="7F402D20"/>
    <w:rsid w:val="7F5D0A5B"/>
    <w:rsid w:val="7F8C63B0"/>
    <w:rsid w:val="7F9D28A6"/>
    <w:rsid w:val="7F9D8760"/>
    <w:rsid w:val="7FC57EA6"/>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BB8E95B0-5091-425E-AC95-C5CCE2E46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www.energy.ca.gov/programs-and-topics/programs/clean-transportation-program/electric-vehicle-infrastructure" TargetMode="External"/><Relationship Id="rId47" Type="http://schemas.openxmlformats.org/officeDocument/2006/relationships/hyperlink" Target="https://www.energy.ca.gov/media/11963" TargetMode="External"/><Relationship Id="rId63" Type="http://schemas.openxmlformats.org/officeDocument/2006/relationships/hyperlink" Target="https://www.energy.ca.gov/funding-opportunities/funding-resources" TargetMode="External"/><Relationship Id="rId68" Type="http://schemas.openxmlformats.org/officeDocument/2006/relationships/hyperlink" Target="https://dot.ca.gov/-/media/dot-media/programs/local-assistance/documents/lapm/c06/06b.pdf"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png"/><Relationship Id="rId32" Type="http://schemas.openxmlformats.org/officeDocument/2006/relationships/hyperlink" Target="https://dot.ca.gov/programs/local-assistance/guidelines-and-procedures/local-assistance-procedures-manual-lapm" TargetMode="External"/><Relationship Id="rId37" Type="http://schemas.openxmlformats.org/officeDocument/2006/relationships/hyperlink" Target="../CAM%20Docs/California%27s%20Deployment%20Plan%20for%20the%20National%20Electric%20Vehicle%20Infrastructure%20Program%20&#8211;%202025%20Annual%20Update" TargetMode="External"/><Relationship Id="rId53" Type="http://schemas.openxmlformats.org/officeDocument/2006/relationships/hyperlink" Target="https://www.govinfo.gov/content/pkg/USCODE-2021-title23/pdf/USCODE-2021-title23-chap3-sec313.pdf" TargetMode="External"/><Relationship Id="rId58" Type="http://schemas.openxmlformats.org/officeDocument/2006/relationships/hyperlink" Target="https://driveelectric.gov/cybersecurity-clauses" TargetMode="External"/><Relationship Id="rId74" Type="http://schemas.openxmlformats.org/officeDocument/2006/relationships/footer" Target="footer2.xml"/><Relationship Id="rId79" Type="http://schemas.openxmlformats.org/officeDocument/2006/relationships/hyperlink" Target="https://www.energy.ca.gov/media/12259" TargetMode="External"/><Relationship Id="rId5" Type="http://schemas.openxmlformats.org/officeDocument/2006/relationships/numbering" Target="numbering.xml"/><Relationship Id="rId61" Type="http://schemas.openxmlformats.org/officeDocument/2006/relationships/hyperlink" Target="https://dot.ca.gov/programs/local-assistance/guidelines-and-procedures/local-assistance-procedures-manual-lapm" TargetMode="External"/><Relationship Id="rId82" Type="http://schemas.openxmlformats.org/officeDocument/2006/relationships/theme" Target="theme/theme1.xml"/><Relationship Id="rId19" Type="http://schemas.openxmlformats.org/officeDocument/2006/relationships/hyperlink" Target="https://www.energy.ca.gov/funding-opportunities/solicitations" TargetMode="External"/><Relationship Id="rId14" Type="http://schemas.openxmlformats.org/officeDocument/2006/relationships/header" Target="header1.xml"/><Relationship Id="rId22" Type="http://schemas.openxmlformats.org/officeDocument/2006/relationships/hyperlink" Target="https://energy.zoom.us/download" TargetMode="External"/><Relationship Id="rId27" Type="http://schemas.openxmlformats.org/officeDocument/2006/relationships/hyperlink" Target="http://www.energy.ca.gov/contracts/index.html" TargetMode="External"/><Relationship Id="rId30" Type="http://schemas.openxmlformats.org/officeDocument/2006/relationships/hyperlink" Target="https://www.energy.ca.gov/programs-and-topics/programs/national-electric-vehicle-infrastructure-nevi-formula-program" TargetMode="External"/><Relationship Id="rId35" Type="http://schemas.openxmlformats.org/officeDocument/2006/relationships/hyperlink" Target="https://www.federalregister.gov/documents/2023/02/28/2023-03500/national-electric-vehicle-infrastructure-standards-and-requirements" TargetMode="External"/><Relationship Id="rId43" Type="http://schemas.openxmlformats.org/officeDocument/2006/relationships/hyperlink" Target="https://www.energy.ca.gov/data-reports/reports/electric-vehicle-charging-infrastructure-assessment-ab-2127" TargetMode="External"/><Relationship Id="rId48" Type="http://schemas.openxmlformats.org/officeDocument/2006/relationships/hyperlink" Target="https://www.energy.ca.gov/media/12259" TargetMode="External"/><Relationship Id="rId56" Type="http://schemas.openxmlformats.org/officeDocument/2006/relationships/hyperlink" Target="https://dot.ca.gov/programs/safety-programs/sign-specs/district-sign-coordinators" TargetMode="External"/><Relationship Id="rId64" Type="http://schemas.openxmlformats.org/officeDocument/2006/relationships/hyperlink" Target="mailto:ECAMS.SalesforceSupport@energy.ca.gov" TargetMode="External"/><Relationship Id="rId69" Type="http://schemas.openxmlformats.org/officeDocument/2006/relationships/hyperlink" Target="Example%20Pilot%20NEPA%20PES%20Form" TargetMode="External"/><Relationship Id="rId77" Type="http://schemas.openxmlformats.org/officeDocument/2006/relationships/hyperlink" Target="https://forms.dot.ca.gov/v2Forms/servlet/FormRenderer?frmid=DOTLAPM3A" TargetMode="External"/><Relationship Id="rId8" Type="http://schemas.openxmlformats.org/officeDocument/2006/relationships/webSettings" Target="webSettings.xml"/><Relationship Id="rId51" Type="http://schemas.openxmlformats.org/officeDocument/2006/relationships/hyperlink" Target="https://www.ecfr.gov/current/title-10/chapter-X/part-1021/section-1021.102%22%20/l%20%22p-1021.102(g)(1)" TargetMode="External"/><Relationship Id="rId72" Type="http://schemas.openxmlformats.org/officeDocument/2006/relationships/header" Target="header2.xml"/><Relationship Id="rId80" Type="http://schemas.openxmlformats.org/officeDocument/2006/relationships/hyperlink" Target="https://www.energy.ca.gov/media/12259"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local-assistance/guidelines-and-procedures" TargetMode="External"/><Relationship Id="rId38" Type="http://schemas.openxmlformats.org/officeDocument/2006/relationships/hyperlink" Target="https://driveelectric.gov/technical-assistance/" TargetMode="External"/><Relationship Id="rId46" Type="http://schemas.openxmlformats.org/officeDocument/2006/relationships/hyperlink" Target="https://www.energy.ca.gov/media/11964" TargetMode="External"/><Relationship Id="rId59" Type="http://schemas.openxmlformats.org/officeDocument/2006/relationships/hyperlink" Target="https://dot.ca.gov/programs/local-assistance/guidelines-and-procedures/local-assistance-procedures-manual-lapm" TargetMode="External"/><Relationship Id="rId67" Type="http://schemas.openxmlformats.org/officeDocument/2006/relationships/hyperlink" Target="https://dot.ca.gov/-/media/dot-media/programs/local-assistance/documents/lapm/c06/lapm6a.pdf" TargetMode="External"/><Relationship Id="rId20" Type="http://schemas.openxmlformats.org/officeDocument/2006/relationships/hyperlink" Target="https://energy.zoom.us/j/87945249916?pwd=MWpTyXfJHqLQnZX2sFzYOV52w2rO0Y.1" TargetMode="External"/><Relationship Id="rId41" Type="http://schemas.openxmlformats.org/officeDocument/2006/relationships/hyperlink" Target="https://evitp.org/" TargetMode="External"/><Relationship Id="rId54" Type="http://schemas.openxmlformats.org/officeDocument/2006/relationships/hyperlink" Target="https://www.federalregister.gov/documents/2023/02/28/2023-03500/national-electric-vehicle-infrastructure-standards-and-requirements" TargetMode="External"/><Relationship Id="rId62" Type="http://schemas.openxmlformats.org/officeDocument/2006/relationships/hyperlink" Target="https://ecams.energy.ca.gov/s/login/" TargetMode="External"/><Relationship Id="rId70" Type="http://schemas.openxmlformats.org/officeDocument/2006/relationships/hyperlink" Target="https://geotracker.waterboards.ca.gov/"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ublicadvisor@energy.ca.gov" TargetMode="External"/><Relationship Id="rId28" Type="http://schemas.openxmlformats.org/officeDocument/2006/relationships/hyperlink" Target="mailto:laura.williams@energy.ca.gov" TargetMode="External"/><Relationship Id="rId36" Type="http://schemas.openxmlformats.org/officeDocument/2006/relationships/hyperlink" Target="https://www.fhwa.dot.gov/environment/nevi/" TargetMode="External"/><Relationship Id="rId49" Type="http://schemas.openxmlformats.org/officeDocument/2006/relationships/hyperlink" Target="http://www.sos.ca.gov" TargetMode="External"/><Relationship Id="rId57" Type="http://schemas.openxmlformats.org/officeDocument/2006/relationships/hyperlink" Target="https://ntl.bts.gov/ntl/public-access/creating-data-management-plans" TargetMode="External"/><Relationship Id="rId10" Type="http://schemas.openxmlformats.org/officeDocument/2006/relationships/endnotes" Target="endnotes.xml"/><Relationship Id="rId31" Type="http://schemas.openxmlformats.org/officeDocument/2006/relationships/hyperlink" Target="https://experience.arcgis.com/experience/135c0da4b70f4717b4664ad2e427d2bc" TargetMode="External"/><Relationship Id="rId44" Type="http://schemas.openxmlformats.org/officeDocument/2006/relationships/hyperlink" Target="https://ww2.arb.ca.gov/our-work/programs/electric-vehicle-supply-equipment-evse-standards" TargetMode="External"/><Relationship Id="rId52" Type="http://schemas.openxmlformats.org/officeDocument/2006/relationships/hyperlink" Target="https://www.federalregister.gov/documents/2023/09/20/2023-20238/notice-of-adoption-of-electric-vehicle-charging-stations-categorical-exclusion-under-the-national" TargetMode="Externa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https://www.energy.ca.gov/funding-opportunities/funding-resources/ecams-resources" TargetMode="External"/><Relationship Id="rId73" Type="http://schemas.openxmlformats.org/officeDocument/2006/relationships/header" Target="header3.xml"/><Relationship Id="rId78" Type="http://schemas.openxmlformats.org/officeDocument/2006/relationships/hyperlink" Target="http://www.energy.ca.gov/contracts/index.html"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www.federalregister.gov/documents/2023/02/21/2023-03498/waiver-of-buy-america-requirements-for-electric-vehicle-chargers" TargetMode="External"/><Relationship Id="rId34" Type="http://schemas.openxmlformats.org/officeDocument/2006/relationships/hyperlink" Target="https://dot.ca.gov/programs/right-of-way/right-of-way-manual" TargetMode="External"/><Relationship Id="rId50" Type="http://schemas.openxmlformats.org/officeDocument/2006/relationships/hyperlink" Target="https://www.energy.ca.gov/programs-and-topics/programs/national-electric-vehicle-infrastructure-nevi-formula-program-0" TargetMode="External"/><Relationship Id="rId55" Type="http://schemas.openxmlformats.org/officeDocument/2006/relationships/hyperlink" Target="https://dot.ca.gov/programs/safety-programs/sign-specs/district-sign-coordinators" TargetMode="Externa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msc.fema.gov/portal/search"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 Id="rId24" Type="http://schemas.openxmlformats.org/officeDocument/2006/relationships/hyperlink" Target="https://support.zoom.us/hc/en-us/articles/201362023-System-requirements-for-Windows-macOS-and-Linux" TargetMode="External"/><Relationship Id="rId40" Type="http://schemas.openxmlformats.org/officeDocument/2006/relationships/hyperlink" Target="https://efiling.energy.ca.gov/Lists/DocketLog.aspx?docketnumber=22-EVI-05" TargetMode="External"/><Relationship Id="rId45" Type="http://schemas.openxmlformats.org/officeDocument/2006/relationships/hyperlink" Target="https://www.cdfa.ca.gov/dms/programs/zevfuels/" TargetMode="External"/><Relationship Id="rId66" Type="http://schemas.openxmlformats.org/officeDocument/2006/relationships/hyperlink" Target="https://www.energy.ca.gov/funding-opportunities/funding-resources/ecams-resources/budget-category-guidance?auHash=cEItgat6JNbO9BFGeVqe4E5T6koCOgTaqliFX6bmwt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0672D-7B3D-4D34-A1B5-9A66EE09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1A5D0E97-6AC2-4B0A-871D-3630B019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72</Pages>
  <Words>22918</Words>
  <Characters>131785</Characters>
  <Application>Microsoft Office Word</Application>
  <DocSecurity>0</DocSecurity>
  <Lines>3214</Lines>
  <Paragraphs>1199</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153504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Dyer, Phil@Energy</cp:lastModifiedBy>
  <cp:revision>3350</cp:revision>
  <cp:lastPrinted>2016-06-24T16:11:00Z</cp:lastPrinted>
  <dcterms:created xsi:type="dcterms:W3CDTF">2024-09-02T20:55:00Z</dcterms:created>
  <dcterms:modified xsi:type="dcterms:W3CDTF">2026-04-06T20:19:00Z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3b2ab978-21a9-4538-bab5-abd2cabeaed3</vt:lpwstr>
  </property>
</Properties>
</file>