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367DBB70" w:rsidR="00AA7880" w:rsidRDefault="00A644AA" w:rsidP="00FF5B20">
      <w:pPr>
        <w:keepNext/>
        <w:spacing w:after="0" w:line="240" w:lineRule="auto"/>
        <w:rPr>
          <w:rFonts w:ascii="Arial" w:eastAsia="Times New Roman" w:hAnsi="Arial" w:cs="Arial"/>
          <w:sz w:val="24"/>
          <w:szCs w:val="24"/>
        </w:rPr>
      </w:pPr>
      <w:r w:rsidRPr="71CF56E7">
        <w:rPr>
          <w:rFonts w:ascii="Arial" w:eastAsia="Times New Roman" w:hAnsi="Arial" w:cs="Arial"/>
          <w:sz w:val="24"/>
          <w:szCs w:val="24"/>
        </w:rPr>
        <w:t>As</w:t>
      </w:r>
      <w:r w:rsidR="00AA7880" w:rsidRPr="71CF56E7">
        <w:rPr>
          <w:rFonts w:ascii="Arial" w:eastAsia="Times New Roman" w:hAnsi="Arial" w:cs="Arial"/>
          <w:sz w:val="24"/>
          <w:szCs w:val="24"/>
        </w:rPr>
        <w:t xml:space="preserve"> of the date of the application deadline for Energ</w:t>
      </w:r>
      <w:r w:rsidR="00FF5B20" w:rsidRPr="71CF56E7">
        <w:rPr>
          <w:rFonts w:ascii="Arial" w:eastAsia="Times New Roman" w:hAnsi="Arial" w:cs="Arial"/>
          <w:sz w:val="24"/>
          <w:szCs w:val="24"/>
        </w:rPr>
        <w:t xml:space="preserve">y Commission solicitation </w:t>
      </w:r>
      <w:r>
        <w:br/>
      </w:r>
      <w:r w:rsidR="00FF5B20" w:rsidRPr="00346283">
        <w:rPr>
          <w:rFonts w:ascii="Arial" w:eastAsia="Times New Roman" w:hAnsi="Arial" w:cs="Arial"/>
          <w:sz w:val="24"/>
          <w:szCs w:val="24"/>
        </w:rPr>
        <w:t>GFO-</w:t>
      </w:r>
      <w:r w:rsidR="00990BA6" w:rsidRPr="00346283">
        <w:rPr>
          <w:rFonts w:ascii="Arial" w:eastAsia="Times New Roman" w:hAnsi="Arial" w:cs="Arial"/>
          <w:sz w:val="24"/>
          <w:szCs w:val="24"/>
        </w:rPr>
        <w:t>2</w:t>
      </w:r>
      <w:r w:rsidR="579AA6AE" w:rsidRPr="00346283">
        <w:rPr>
          <w:rFonts w:ascii="Arial" w:eastAsia="Times New Roman" w:hAnsi="Arial" w:cs="Arial"/>
          <w:sz w:val="24"/>
          <w:szCs w:val="24"/>
        </w:rPr>
        <w:t>5</w:t>
      </w:r>
      <w:r w:rsidR="001D5816" w:rsidRPr="71CF56E7">
        <w:rPr>
          <w:rFonts w:ascii="Arial" w:eastAsia="Times New Roman" w:hAnsi="Arial" w:cs="Arial"/>
          <w:sz w:val="24"/>
          <w:szCs w:val="24"/>
        </w:rPr>
        <w:t>-</w:t>
      </w:r>
      <w:r w:rsidR="00346283">
        <w:rPr>
          <w:rFonts w:ascii="Arial" w:eastAsia="Times New Roman" w:hAnsi="Arial" w:cs="Arial"/>
          <w:sz w:val="24"/>
          <w:szCs w:val="24"/>
        </w:rPr>
        <w:t>605</w:t>
      </w:r>
      <w:r w:rsidR="00AA7880" w:rsidRPr="71CF56E7">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w:t>
      </w:r>
      <w:proofErr w:type="gramEnd"/>
      <w:r w:rsidRPr="00FF5B20">
        <w:rPr>
          <w:rFonts w:ascii="Arial" w:eastAsia="Times New Roman" w:hAnsi="Arial" w:cs="Arial"/>
          <w:sz w:val="24"/>
          <w:szCs w:val="24"/>
        </w:rPr>
        <w:t xml:space="preserve">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w:t>
      </w:r>
      <w:proofErr w:type="gramStart"/>
      <w:r w:rsidRPr="00FF5B20">
        <w:rPr>
          <w:rFonts w:ascii="Arial" w:eastAsia="Times New Roman" w:hAnsi="Arial" w:cs="Arial"/>
          <w:sz w:val="24"/>
          <w:szCs w:val="24"/>
        </w:rPr>
        <w:t>entered into</w:t>
      </w:r>
      <w:proofErr w:type="gramEnd"/>
      <w:r w:rsidRPr="00FF5B20">
        <w:rPr>
          <w:rFonts w:ascii="Arial" w:eastAsia="Times New Roman" w:hAnsi="Arial" w:cs="Arial"/>
          <w:sz w:val="24"/>
          <w:szCs w:val="24"/>
        </w:rPr>
        <w:t xml:space="preserve">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D02918">
      <w:pPr>
        <w:pStyle w:val="ListParagraph"/>
        <w:numPr>
          <w:ilvl w:val="0"/>
          <w:numId w:val="2"/>
        </w:numPr>
        <w:spacing w:after="0"/>
        <w:contextualSpacing w:val="0"/>
        <w:rPr>
          <w:rFonts w:ascii="Arial" w:eastAsia="Times New Roman" w:hAnsi="Arial" w:cs="Arial"/>
          <w:sz w:val="24"/>
          <w:szCs w:val="24"/>
        </w:rPr>
      </w:pPr>
      <w:proofErr w:type="gramStart"/>
      <w:r w:rsidRPr="007F32C9">
        <w:rPr>
          <w:rFonts w:ascii="Arial" w:eastAsia="Times New Roman" w:hAnsi="Arial" w:cs="Arial"/>
          <w:sz w:val="24"/>
          <w:szCs w:val="24"/>
        </w:rPr>
        <w:t>Is</w:t>
      </w:r>
      <w:proofErr w:type="gramEnd"/>
      <w:r w:rsidRPr="007F32C9">
        <w:rPr>
          <w:rFonts w:ascii="Arial" w:eastAsia="Times New Roman" w:hAnsi="Arial" w:cs="Arial"/>
          <w:sz w:val="24"/>
          <w:szCs w:val="24"/>
        </w:rPr>
        <w:t xml:space="preserve">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D02918">
      <w:pPr>
        <w:pStyle w:val="ListParagraph"/>
        <w:spacing w:after="0"/>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rsidP="00346283">
      <w:pPr>
        <w:jc w:val="right"/>
        <w:rPr>
          <w:rFonts w:ascii="Arial" w:hAnsi="Arial" w:cs="Arial"/>
        </w:rPr>
      </w:pPr>
    </w:p>
    <w:sectPr w:rsidR="008875C6" w:rsidRPr="009A6943" w:rsidSect="00D02918">
      <w:headerReference w:type="default" r:id="rId11"/>
      <w:footerReference w:type="default" r:id="rId12"/>
      <w:pgSz w:w="12240" w:h="15840"/>
      <w:pgMar w:top="13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0BCB" w14:textId="77777777" w:rsidR="007D6C91" w:rsidRDefault="007D6C91" w:rsidP="00FF5B20">
      <w:pPr>
        <w:spacing w:after="0" w:line="240" w:lineRule="auto"/>
      </w:pPr>
      <w:r>
        <w:separator/>
      </w:r>
    </w:p>
  </w:endnote>
  <w:endnote w:type="continuationSeparator" w:id="0">
    <w:p w14:paraId="33467A41" w14:textId="77777777" w:rsidR="007D6C91" w:rsidRDefault="007D6C91" w:rsidP="00FF5B20">
      <w:pPr>
        <w:spacing w:after="0" w:line="240" w:lineRule="auto"/>
      </w:pPr>
      <w:r>
        <w:continuationSeparator/>
      </w:r>
    </w:p>
  </w:endnote>
  <w:endnote w:type="continuationNotice" w:id="1">
    <w:p w14:paraId="1BD88747" w14:textId="77777777" w:rsidR="007D6C91" w:rsidRDefault="007D6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A4B" w14:textId="541037E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28C604F8" w:rsidR="00B4492B" w:rsidRPr="00DA03B1" w:rsidRDefault="69F59FD9" w:rsidP="69F59FD9">
    <w:pPr>
      <w:tabs>
        <w:tab w:val="center" w:pos="4680"/>
        <w:tab w:val="right" w:pos="9360"/>
      </w:tabs>
      <w:spacing w:after="0" w:line="240" w:lineRule="auto"/>
      <w:rPr>
        <w:rFonts w:ascii="Arial" w:eastAsia="Times New Roman" w:hAnsi="Arial" w:cs="Arial"/>
      </w:rPr>
    </w:pPr>
    <w:r w:rsidRPr="69F59FD9">
      <w:rPr>
        <w:rFonts w:ascii="Arial" w:eastAsia="Times New Roman" w:hAnsi="Arial" w:cs="Arial"/>
      </w:rPr>
      <w:t>April 2026</w:t>
    </w:r>
    <w:r w:rsidR="00162EBE">
      <w:tab/>
    </w:r>
    <w:r w:rsidRPr="00D02918">
      <w:rPr>
        <w:rFonts w:ascii="Arial" w:eastAsia="Times New Roman" w:hAnsi="Arial" w:cs="Arial"/>
      </w:rPr>
      <w:t xml:space="preserve">Page </w:t>
    </w:r>
    <w:r w:rsidR="00162EBE" w:rsidRPr="00D02918">
      <w:rPr>
        <w:rFonts w:ascii="Arial" w:eastAsia="Times New Roman" w:hAnsi="Arial" w:cs="Arial"/>
      </w:rPr>
      <w:fldChar w:fldCharType="begin"/>
    </w:r>
    <w:r w:rsidR="00162EBE" w:rsidRPr="00D02918">
      <w:rPr>
        <w:rFonts w:ascii="Arial" w:eastAsia="Times New Roman" w:hAnsi="Arial" w:cs="Arial"/>
      </w:rPr>
      <w:instrText xml:space="preserve"> PAGE </w:instrText>
    </w:r>
    <w:r w:rsidR="00162EBE" w:rsidRPr="00D02918">
      <w:rPr>
        <w:rFonts w:ascii="Arial" w:eastAsia="Times New Roman" w:hAnsi="Arial" w:cs="Arial"/>
      </w:rPr>
      <w:fldChar w:fldCharType="separate"/>
    </w:r>
    <w:r w:rsidRPr="00D02918">
      <w:rPr>
        <w:rFonts w:ascii="Arial" w:eastAsia="Times New Roman" w:hAnsi="Arial" w:cs="Arial"/>
      </w:rPr>
      <w:t>1</w:t>
    </w:r>
    <w:r w:rsidR="00162EBE" w:rsidRPr="00D02918">
      <w:rPr>
        <w:rFonts w:ascii="Arial" w:eastAsia="Times New Roman" w:hAnsi="Arial" w:cs="Arial"/>
      </w:rPr>
      <w:fldChar w:fldCharType="end"/>
    </w:r>
    <w:r w:rsidRPr="00D02918">
      <w:rPr>
        <w:rFonts w:ascii="Arial" w:eastAsia="Times New Roman" w:hAnsi="Arial" w:cs="Arial"/>
      </w:rPr>
      <w:t xml:space="preserve"> of </w:t>
    </w:r>
    <w:r w:rsidR="00162EBE" w:rsidRPr="00D02918">
      <w:rPr>
        <w:rFonts w:ascii="Arial" w:eastAsia="Times New Roman" w:hAnsi="Arial" w:cs="Arial"/>
      </w:rPr>
      <w:fldChar w:fldCharType="begin"/>
    </w:r>
    <w:r w:rsidR="00162EBE" w:rsidRPr="00D02918">
      <w:rPr>
        <w:rFonts w:ascii="Arial" w:eastAsia="Times New Roman" w:hAnsi="Arial" w:cs="Arial"/>
      </w:rPr>
      <w:instrText xml:space="preserve"> NUMPAGES  </w:instrText>
    </w:r>
    <w:r w:rsidR="00162EBE" w:rsidRPr="00D02918">
      <w:rPr>
        <w:rFonts w:ascii="Arial" w:eastAsia="Times New Roman" w:hAnsi="Arial" w:cs="Arial"/>
      </w:rPr>
      <w:fldChar w:fldCharType="separate"/>
    </w:r>
    <w:r w:rsidRPr="00D02918">
      <w:rPr>
        <w:rFonts w:ascii="Arial" w:eastAsia="Times New Roman" w:hAnsi="Arial" w:cs="Arial"/>
      </w:rPr>
      <w:t>4</w:t>
    </w:r>
    <w:r w:rsidR="00162EBE" w:rsidRPr="00D02918">
      <w:rPr>
        <w:rFonts w:ascii="Arial" w:eastAsia="Times New Roman" w:hAnsi="Arial" w:cs="Arial"/>
      </w:rPr>
      <w:fldChar w:fldCharType="end"/>
    </w:r>
    <w:r w:rsidRPr="00D02918">
      <w:rPr>
        <w:rFonts w:ascii="Arial" w:eastAsia="Times New Roman" w:hAnsi="Arial" w:cs="Arial"/>
        <w:sz w:val="32"/>
        <w:szCs w:val="32"/>
      </w:rPr>
      <w:t xml:space="preserve"> </w:t>
    </w:r>
    <w:r w:rsidR="000D67CF">
      <w:rPr>
        <w:rFonts w:ascii="Arial" w:eastAsia="Times New Roman" w:hAnsi="Arial" w:cs="Arial"/>
      </w:rPr>
      <w:tab/>
    </w:r>
    <w:r w:rsidRPr="00DA03B1">
      <w:rPr>
        <w:rFonts w:ascii="Arial" w:eastAsia="Times New Roman" w:hAnsi="Arial" w:cs="Arial"/>
      </w:rPr>
      <w:t>GFO-25-605</w:t>
    </w:r>
  </w:p>
  <w:p w14:paraId="2ACB584F" w14:textId="5E3FEA30" w:rsidR="0021786C" w:rsidRPr="00DA03B1" w:rsidRDefault="69F59FD9" w:rsidP="000D67CF">
    <w:pPr>
      <w:tabs>
        <w:tab w:val="center" w:pos="4680"/>
        <w:tab w:val="right" w:pos="9360"/>
      </w:tabs>
      <w:spacing w:after="0" w:line="240" w:lineRule="auto"/>
      <w:rPr>
        <w:rFonts w:ascii="Arial" w:eastAsia="Times New Roman" w:hAnsi="Arial" w:cs="Arial"/>
      </w:rPr>
    </w:pPr>
    <w:r w:rsidRPr="00DA03B1">
      <w:rPr>
        <w:rFonts w:ascii="Arial" w:eastAsia="Times New Roman" w:hAnsi="Arial" w:cs="Arial"/>
      </w:rPr>
      <w:t>Rev.04/2022</w:t>
    </w:r>
    <w:r w:rsidR="000D67CF" w:rsidRPr="00DA03B1">
      <w:rPr>
        <w:rFonts w:ascii="Arial" w:eastAsia="Times New Roman" w:hAnsi="Arial" w:cs="Arial"/>
      </w:rPr>
      <w:tab/>
    </w:r>
    <w:r w:rsidR="000D67CF" w:rsidRPr="00DA03B1">
      <w:rPr>
        <w:rFonts w:ascii="Arial" w:eastAsia="Times New Roman" w:hAnsi="Arial" w:cs="Arial"/>
      </w:rPr>
      <w:tab/>
    </w:r>
    <w:r w:rsidRPr="00DA03B1">
      <w:rPr>
        <w:rFonts w:ascii="Arial" w:eastAsia="Times New Roman" w:hAnsi="Arial" w:cs="Arial"/>
      </w:rPr>
      <w:t>Reliable Electric Charging for</w:t>
    </w:r>
  </w:p>
  <w:p w14:paraId="6352B566" w14:textId="07AAC77A" w:rsidR="00990BA6" w:rsidRPr="00A8773D" w:rsidRDefault="69F59FD9" w:rsidP="00A8773D">
    <w:pPr>
      <w:tabs>
        <w:tab w:val="center" w:pos="4680"/>
        <w:tab w:val="right" w:pos="9360"/>
      </w:tabs>
      <w:spacing w:after="0" w:line="240" w:lineRule="auto"/>
      <w:jc w:val="right"/>
      <w:rPr>
        <w:rFonts w:ascii="Arial" w:eastAsia="Times New Roman" w:hAnsi="Arial" w:cs="Arial"/>
      </w:rPr>
    </w:pPr>
    <w:r w:rsidRPr="00DA03B1">
      <w:rPr>
        <w:rFonts w:ascii="Arial" w:eastAsia="Times New Roman" w:hAnsi="Arial" w:cs="Arial"/>
      </w:rPr>
      <w:t>Eligible School-bus Sites (RECESS)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3255" w14:textId="77777777" w:rsidR="007D6C91" w:rsidRDefault="007D6C91" w:rsidP="00FF5B20">
      <w:pPr>
        <w:spacing w:after="0" w:line="240" w:lineRule="auto"/>
      </w:pPr>
      <w:r>
        <w:separator/>
      </w:r>
    </w:p>
  </w:footnote>
  <w:footnote w:type="continuationSeparator" w:id="0">
    <w:p w14:paraId="15A74BD5" w14:textId="77777777" w:rsidR="007D6C91" w:rsidRDefault="007D6C91" w:rsidP="00FF5B20">
      <w:pPr>
        <w:spacing w:after="0" w:line="240" w:lineRule="auto"/>
      </w:pPr>
      <w:r>
        <w:continuationSeparator/>
      </w:r>
    </w:p>
  </w:footnote>
  <w:footnote w:type="continuationNotice" w:id="1">
    <w:p w14:paraId="1544818E" w14:textId="77777777" w:rsidR="007D6C91" w:rsidRDefault="007D6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0ACB8074" w:rsidR="00FF5B20" w:rsidRDefault="705BC366" w:rsidP="68CE0A6F">
    <w:pPr>
      <w:spacing w:after="0" w:line="240" w:lineRule="auto"/>
      <w:jc w:val="center"/>
      <w:rPr>
        <w:rFonts w:ascii="Arial" w:eastAsia="Times New Roman" w:hAnsi="Arial" w:cs="Arial"/>
        <w:b/>
        <w:bCs/>
        <w:sz w:val="26"/>
        <w:szCs w:val="26"/>
      </w:rPr>
    </w:pPr>
    <w:r w:rsidRPr="705BC366">
      <w:rPr>
        <w:rFonts w:ascii="Arial" w:eastAsia="Times New Roman" w:hAnsi="Arial" w:cs="Arial"/>
        <w:b/>
        <w:bCs/>
        <w:sz w:val="26"/>
        <w:szCs w:val="26"/>
      </w:rPr>
      <w:t>ATTACHMENT 12</w:t>
    </w:r>
  </w:p>
  <w:p w14:paraId="2518AFB3" w14:textId="15FC7199" w:rsidR="00FF5B20" w:rsidRDefault="705BC366" w:rsidP="705BC366">
    <w:pPr>
      <w:spacing w:after="240" w:line="240" w:lineRule="auto"/>
      <w:jc w:val="center"/>
      <w:rPr>
        <w:rFonts w:ascii="Arial" w:eastAsia="Times New Roman" w:hAnsi="Arial" w:cs="Arial"/>
        <w:b/>
        <w:bCs/>
        <w:sz w:val="26"/>
        <w:szCs w:val="26"/>
      </w:rPr>
    </w:pPr>
    <w:r w:rsidRPr="705BC366">
      <w:rPr>
        <w:rFonts w:ascii="Arial" w:eastAsia="Times New Roman" w:hAnsi="Arial" w:cs="Arial"/>
        <w:b/>
        <w:bCs/>
        <w:sz w:val="26"/>
        <w:szCs w:val="26"/>
      </w:rPr>
      <w:t>Applicant Declaration</w:t>
    </w:r>
  </w:p>
  <w:p w14:paraId="1F0F4795" w14:textId="0F55066C" w:rsidR="00C93614" w:rsidRPr="00192B05" w:rsidRDefault="705BC366" w:rsidP="00504F1B">
    <w:pPr>
      <w:spacing w:after="240" w:line="240" w:lineRule="auto"/>
      <w:jc w:val="center"/>
      <w:rPr>
        <w:rFonts w:ascii="Arial" w:eastAsia="Times New Roman" w:hAnsi="Arial" w:cs="Arial"/>
        <w:sz w:val="24"/>
        <w:szCs w:val="24"/>
      </w:rPr>
    </w:pPr>
    <w:r w:rsidRPr="705BC366">
      <w:rPr>
        <w:rFonts w:ascii="Arial" w:eastAsia="Times New Roman" w:hAnsi="Arial" w:cs="Arial"/>
        <w:b/>
        <w:bCs/>
        <w:sz w:val="26"/>
        <w:szCs w:val="26"/>
      </w:rPr>
      <w:t>[All Funding Lanes]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4438B"/>
    <w:rsid w:val="00056F02"/>
    <w:rsid w:val="00063980"/>
    <w:rsid w:val="00094E41"/>
    <w:rsid w:val="000A273B"/>
    <w:rsid w:val="000A46A7"/>
    <w:rsid w:val="000A51F8"/>
    <w:rsid w:val="000B4850"/>
    <w:rsid w:val="000D67CF"/>
    <w:rsid w:val="000E0530"/>
    <w:rsid w:val="00104563"/>
    <w:rsid w:val="00107A1A"/>
    <w:rsid w:val="001607C1"/>
    <w:rsid w:val="00162EBE"/>
    <w:rsid w:val="00167024"/>
    <w:rsid w:val="001701AC"/>
    <w:rsid w:val="00171858"/>
    <w:rsid w:val="00191D99"/>
    <w:rsid w:val="00192B05"/>
    <w:rsid w:val="00194AD2"/>
    <w:rsid w:val="001D5816"/>
    <w:rsid w:val="001E786F"/>
    <w:rsid w:val="00212D0F"/>
    <w:rsid w:val="0021786C"/>
    <w:rsid w:val="00253929"/>
    <w:rsid w:val="00257B4A"/>
    <w:rsid w:val="002618BD"/>
    <w:rsid w:val="00284B09"/>
    <w:rsid w:val="002C64C1"/>
    <w:rsid w:val="002E4520"/>
    <w:rsid w:val="002F30B8"/>
    <w:rsid w:val="00303D38"/>
    <w:rsid w:val="003133E0"/>
    <w:rsid w:val="003141B4"/>
    <w:rsid w:val="003320A9"/>
    <w:rsid w:val="00346283"/>
    <w:rsid w:val="00356867"/>
    <w:rsid w:val="003915F8"/>
    <w:rsid w:val="003C610A"/>
    <w:rsid w:val="004576E0"/>
    <w:rsid w:val="00460A4D"/>
    <w:rsid w:val="004667CE"/>
    <w:rsid w:val="004672AB"/>
    <w:rsid w:val="0046789F"/>
    <w:rsid w:val="004B277B"/>
    <w:rsid w:val="004E01BE"/>
    <w:rsid w:val="00504F1B"/>
    <w:rsid w:val="00524698"/>
    <w:rsid w:val="00531C35"/>
    <w:rsid w:val="00554049"/>
    <w:rsid w:val="0056105A"/>
    <w:rsid w:val="005633D3"/>
    <w:rsid w:val="00581469"/>
    <w:rsid w:val="00593496"/>
    <w:rsid w:val="005B40BF"/>
    <w:rsid w:val="005B797B"/>
    <w:rsid w:val="005C3BFF"/>
    <w:rsid w:val="006259F3"/>
    <w:rsid w:val="00651442"/>
    <w:rsid w:val="00671066"/>
    <w:rsid w:val="006B3BC1"/>
    <w:rsid w:val="006B3C52"/>
    <w:rsid w:val="006F12C7"/>
    <w:rsid w:val="006F1F1A"/>
    <w:rsid w:val="00724A35"/>
    <w:rsid w:val="007460D0"/>
    <w:rsid w:val="0078221F"/>
    <w:rsid w:val="007A15A3"/>
    <w:rsid w:val="007A6EC7"/>
    <w:rsid w:val="007C077C"/>
    <w:rsid w:val="007C3C0F"/>
    <w:rsid w:val="007D5B19"/>
    <w:rsid w:val="007D6C91"/>
    <w:rsid w:val="007F32C9"/>
    <w:rsid w:val="0080389F"/>
    <w:rsid w:val="00817F2E"/>
    <w:rsid w:val="008736A9"/>
    <w:rsid w:val="008743E9"/>
    <w:rsid w:val="00875525"/>
    <w:rsid w:val="00884E36"/>
    <w:rsid w:val="008875C6"/>
    <w:rsid w:val="00894DA3"/>
    <w:rsid w:val="008A43C6"/>
    <w:rsid w:val="008B29AE"/>
    <w:rsid w:val="008D39BA"/>
    <w:rsid w:val="008E2CB0"/>
    <w:rsid w:val="0094244B"/>
    <w:rsid w:val="0096368E"/>
    <w:rsid w:val="00990BA6"/>
    <w:rsid w:val="009A6943"/>
    <w:rsid w:val="009D7E5F"/>
    <w:rsid w:val="00A03B0E"/>
    <w:rsid w:val="00A0477B"/>
    <w:rsid w:val="00A644AA"/>
    <w:rsid w:val="00A7396B"/>
    <w:rsid w:val="00A7599C"/>
    <w:rsid w:val="00A76CC6"/>
    <w:rsid w:val="00A8773D"/>
    <w:rsid w:val="00A97413"/>
    <w:rsid w:val="00AA7880"/>
    <w:rsid w:val="00AC0CB0"/>
    <w:rsid w:val="00AC2B19"/>
    <w:rsid w:val="00B058A3"/>
    <w:rsid w:val="00B17672"/>
    <w:rsid w:val="00B435BB"/>
    <w:rsid w:val="00B4492B"/>
    <w:rsid w:val="00B46C5D"/>
    <w:rsid w:val="00B61913"/>
    <w:rsid w:val="00BB76D7"/>
    <w:rsid w:val="00BE79FD"/>
    <w:rsid w:val="00C00A1B"/>
    <w:rsid w:val="00C47558"/>
    <w:rsid w:val="00C801FF"/>
    <w:rsid w:val="00C93614"/>
    <w:rsid w:val="00CC7120"/>
    <w:rsid w:val="00CE53B1"/>
    <w:rsid w:val="00D02918"/>
    <w:rsid w:val="00D20354"/>
    <w:rsid w:val="00D21B5C"/>
    <w:rsid w:val="00D47AD9"/>
    <w:rsid w:val="00D50A5B"/>
    <w:rsid w:val="00D520A5"/>
    <w:rsid w:val="00D93819"/>
    <w:rsid w:val="00DA03B1"/>
    <w:rsid w:val="00DA7A70"/>
    <w:rsid w:val="00DB2811"/>
    <w:rsid w:val="00E7412B"/>
    <w:rsid w:val="00E95930"/>
    <w:rsid w:val="00EC46A1"/>
    <w:rsid w:val="00F2194A"/>
    <w:rsid w:val="00F94882"/>
    <w:rsid w:val="00F955FB"/>
    <w:rsid w:val="00FC1A51"/>
    <w:rsid w:val="00FD0087"/>
    <w:rsid w:val="00FE7268"/>
    <w:rsid w:val="00FF128E"/>
    <w:rsid w:val="00FF5B20"/>
    <w:rsid w:val="07A636A6"/>
    <w:rsid w:val="1D4B4C30"/>
    <w:rsid w:val="21900865"/>
    <w:rsid w:val="3F18CEE9"/>
    <w:rsid w:val="450A2B3C"/>
    <w:rsid w:val="482CAF3E"/>
    <w:rsid w:val="4A26C957"/>
    <w:rsid w:val="579AA6AE"/>
    <w:rsid w:val="57FC2BF7"/>
    <w:rsid w:val="5E667400"/>
    <w:rsid w:val="68CE0A6F"/>
    <w:rsid w:val="69F59FD9"/>
    <w:rsid w:val="705BC366"/>
    <w:rsid w:val="71CF56E7"/>
    <w:rsid w:val="7A8AB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DBE45491-CC73-4B74-9F06-F810A003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9B04-8853-4A27-8F07-5D9250FC2C1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3.xml><?xml version="1.0" encoding="utf-8"?>
<ds:datastoreItem xmlns:ds="http://schemas.openxmlformats.org/officeDocument/2006/customXml" ds:itemID="{A548C5CB-F490-4746-A3A2-9A6AEEFD3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1694</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12_GFO-22-308_Att_12_Applicant_Declaration_ada</vt:lpstr>
    </vt:vector>
  </TitlesOfParts>
  <Company>California Energy Commission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GFO-22-308_Att_12_Applicant_Declaration_ada</dc:title>
  <dc:subject/>
  <dc:creator>CA Energy Commission</dc:creator>
  <cp:keywords/>
  <dc:description/>
  <cp:lastModifiedBy>Dyer, Phil@Energy</cp:lastModifiedBy>
  <cp:revision>46</cp:revision>
  <dcterms:created xsi:type="dcterms:W3CDTF">2023-03-01T23:01:00Z</dcterms:created>
  <dcterms:modified xsi:type="dcterms:W3CDTF">2026-03-25T16:21:00Z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