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937C" w14:textId="18C57621" w:rsidR="5E617201" w:rsidRPr="009E1FD4" w:rsidRDefault="65860C98" w:rsidP="6F206306">
      <w:pPr>
        <w:jc w:val="center"/>
        <w:rPr>
          <w:rFonts w:ascii="Tahoma" w:hAnsi="Tahoma" w:cs="Tahoma"/>
          <w:sz w:val="28"/>
          <w:szCs w:val="28"/>
        </w:rPr>
      </w:pPr>
      <w:r w:rsidRPr="009E1FD4">
        <w:rPr>
          <w:rFonts w:ascii="Tahoma" w:hAnsi="Tahoma" w:cs="Tahoma"/>
          <w:sz w:val="28"/>
          <w:szCs w:val="28"/>
        </w:rPr>
        <w:t>Station Checklist</w:t>
      </w:r>
    </w:p>
    <w:p w14:paraId="478FB836" w14:textId="49CBA822" w:rsidR="6F206306" w:rsidRPr="009E1FD4" w:rsidRDefault="6F206306" w:rsidP="6F206306">
      <w:pPr>
        <w:rPr>
          <w:rFonts w:ascii="Tahoma" w:hAnsi="Tahoma" w:cs="Tahoma"/>
          <w:sz w:val="24"/>
          <w:szCs w:val="24"/>
        </w:rPr>
      </w:pPr>
    </w:p>
    <w:p w14:paraId="76E2142A" w14:textId="1819B5A9" w:rsidR="00106311" w:rsidRPr="009E1FD4" w:rsidRDefault="7A330F83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 xml:space="preserve">Station </w:t>
      </w:r>
      <w:r w:rsidR="6888DFE3" w:rsidRPr="009E1FD4">
        <w:rPr>
          <w:rFonts w:ascii="Tahoma" w:hAnsi="Tahoma" w:cs="Tahoma"/>
          <w:sz w:val="24"/>
          <w:szCs w:val="24"/>
        </w:rPr>
        <w:t>Name: _</w:t>
      </w:r>
      <w:r w:rsidRPr="009E1FD4">
        <w:rPr>
          <w:rFonts w:ascii="Tahoma" w:hAnsi="Tahoma" w:cs="Tahoma"/>
          <w:sz w:val="24"/>
          <w:szCs w:val="24"/>
        </w:rPr>
        <w:t>_______</w:t>
      </w:r>
      <w:r w:rsidR="484D1E00" w:rsidRPr="009E1FD4">
        <w:rPr>
          <w:rFonts w:ascii="Tahoma" w:hAnsi="Tahoma" w:cs="Tahoma"/>
          <w:sz w:val="24"/>
          <w:szCs w:val="24"/>
        </w:rPr>
        <w:t>_</w:t>
      </w:r>
      <w:r w:rsidRPr="009E1FD4">
        <w:rPr>
          <w:rFonts w:ascii="Tahoma" w:hAnsi="Tahoma" w:cs="Tahoma"/>
          <w:sz w:val="24"/>
          <w:szCs w:val="24"/>
        </w:rPr>
        <w:t>_________________________________________________</w:t>
      </w:r>
      <w:r w:rsidR="77C97827" w:rsidRPr="009E1FD4">
        <w:rPr>
          <w:rFonts w:ascii="Tahoma" w:hAnsi="Tahoma" w:cs="Tahoma"/>
          <w:sz w:val="24"/>
          <w:szCs w:val="24"/>
        </w:rPr>
        <w:t>___________</w:t>
      </w:r>
    </w:p>
    <w:p w14:paraId="76E2142B" w14:textId="77777777" w:rsidR="00106311" w:rsidRPr="009E1FD4" w:rsidRDefault="00106311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>Station Location (Street Address, City, State, Zip):</w:t>
      </w:r>
    </w:p>
    <w:p w14:paraId="76E2142C" w14:textId="77777777" w:rsidR="00106311" w:rsidRPr="009E1FD4" w:rsidRDefault="00106311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76E2142D" w14:textId="40380B67" w:rsidR="00106311" w:rsidRPr="009E1FD4" w:rsidRDefault="7A330F83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 xml:space="preserve">Recipient </w:t>
      </w:r>
      <w:r w:rsidR="6888DFE3" w:rsidRPr="009E1FD4">
        <w:rPr>
          <w:rFonts w:ascii="Tahoma" w:hAnsi="Tahoma" w:cs="Tahoma"/>
          <w:sz w:val="24"/>
          <w:szCs w:val="24"/>
        </w:rPr>
        <w:t>Name: _</w:t>
      </w:r>
      <w:r w:rsidRPr="009E1FD4">
        <w:rPr>
          <w:rFonts w:ascii="Tahoma" w:hAnsi="Tahoma" w:cs="Tahoma"/>
          <w:sz w:val="24"/>
          <w:szCs w:val="24"/>
        </w:rPr>
        <w:t>_______________________________________________________</w:t>
      </w:r>
      <w:r w:rsidR="2241A693" w:rsidRPr="009E1FD4">
        <w:rPr>
          <w:rFonts w:ascii="Tahoma" w:hAnsi="Tahoma" w:cs="Tahoma"/>
          <w:sz w:val="24"/>
          <w:szCs w:val="24"/>
        </w:rPr>
        <w:t>_____________</w:t>
      </w:r>
    </w:p>
    <w:p w14:paraId="76E2142E" w14:textId="28E99F71" w:rsidR="00106311" w:rsidRPr="009E1FD4" w:rsidRDefault="7A330F83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 xml:space="preserve">Agreement </w:t>
      </w:r>
      <w:r w:rsidR="6888DFE3" w:rsidRPr="009E1FD4">
        <w:rPr>
          <w:rFonts w:ascii="Tahoma" w:hAnsi="Tahoma" w:cs="Tahoma"/>
          <w:sz w:val="24"/>
          <w:szCs w:val="24"/>
        </w:rPr>
        <w:t>Number: _</w:t>
      </w:r>
      <w:r w:rsidRPr="009E1FD4">
        <w:rPr>
          <w:rFonts w:ascii="Tahoma" w:hAnsi="Tahoma" w:cs="Tahoma"/>
          <w:sz w:val="24"/>
          <w:szCs w:val="24"/>
        </w:rPr>
        <w:t>____________________________________________________</w:t>
      </w:r>
      <w:r w:rsidR="7307F0DC" w:rsidRPr="009E1FD4">
        <w:rPr>
          <w:rFonts w:ascii="Tahoma" w:hAnsi="Tahoma" w:cs="Tahoma"/>
          <w:sz w:val="24"/>
          <w:szCs w:val="24"/>
        </w:rPr>
        <w:t>________________</w:t>
      </w:r>
    </w:p>
    <w:p w14:paraId="209AC993" w14:textId="54377221" w:rsidR="0CE2A08E" w:rsidRPr="009E1FD4" w:rsidRDefault="0CE2A08E" w:rsidP="6F206306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>Technology Typ</w:t>
      </w:r>
      <w:r w:rsidR="00BF524F" w:rsidRPr="009E1FD4">
        <w:rPr>
          <w:rFonts w:ascii="Tahoma" w:hAnsi="Tahoma" w:cs="Tahoma"/>
          <w:sz w:val="24"/>
          <w:szCs w:val="24"/>
        </w:rPr>
        <w:t>e</w:t>
      </w:r>
      <w:r w:rsidR="006B21FB" w:rsidRPr="009E1FD4">
        <w:rPr>
          <w:rFonts w:ascii="Tahoma" w:hAnsi="Tahoma" w:cs="Tahoma"/>
          <w:sz w:val="24"/>
          <w:szCs w:val="24"/>
        </w:rPr>
        <w:t>:</w:t>
      </w:r>
      <w:r w:rsidR="5FEC1880" w:rsidRPr="009E1FD4">
        <w:rPr>
          <w:rFonts w:ascii="Tahoma" w:hAnsi="Tahoma" w:cs="Tahoma"/>
          <w:sz w:val="24"/>
          <w:szCs w:val="24"/>
        </w:rPr>
        <w:t xml:space="preserve"> </w:t>
      </w:r>
      <w:r w:rsidRPr="009E1FD4">
        <w:rPr>
          <w:rFonts w:ascii="Tahoma" w:hAnsi="Tahoma" w:cs="Tahoma"/>
          <w:sz w:val="24"/>
          <w:szCs w:val="24"/>
        </w:rPr>
        <w:t xml:space="preserve">  </w:t>
      </w:r>
    </w:p>
    <w:p w14:paraId="7FC2288E" w14:textId="3C595CAB" w:rsidR="57D08065" w:rsidRPr="009E1FD4" w:rsidRDefault="57D08065" w:rsidP="6F206306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>_____________________________________________________</w:t>
      </w:r>
      <w:r w:rsidR="0B42B88E" w:rsidRPr="009E1FD4">
        <w:rPr>
          <w:rFonts w:ascii="Tahoma" w:hAnsi="Tahoma" w:cs="Tahoma"/>
          <w:sz w:val="24"/>
          <w:szCs w:val="24"/>
        </w:rPr>
        <w:t>________________</w:t>
      </w:r>
    </w:p>
    <w:p w14:paraId="76E2142F" w14:textId="34A832F6" w:rsidR="006C165F" w:rsidRPr="009E1FD4" w:rsidRDefault="1194E169" w:rsidP="27E1CD99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 xml:space="preserve">By completing and signing this Station Checklist, the Recipient is self-certifying that the station listed above meets and will adhere to each of the Minimum Technical Requirements for Stations of </w:t>
      </w:r>
      <w:r w:rsidR="4DC8E46B" w:rsidRPr="009E1FD4">
        <w:rPr>
          <w:rFonts w:ascii="Tahoma" w:hAnsi="Tahoma" w:cs="Tahoma"/>
          <w:sz w:val="24"/>
          <w:szCs w:val="24"/>
        </w:rPr>
        <w:t>GFO-25-XXX</w:t>
      </w:r>
      <w:r w:rsidR="00BF524F" w:rsidRPr="009E1FD4">
        <w:rPr>
          <w:rFonts w:ascii="Tahoma" w:hAnsi="Tahoma" w:cs="Tahoma"/>
          <w:sz w:val="24"/>
          <w:szCs w:val="24"/>
        </w:rPr>
        <w:t>.</w:t>
      </w:r>
    </w:p>
    <w:p w14:paraId="76E21431" w14:textId="12932681" w:rsidR="006C165F" w:rsidRPr="009E1FD4" w:rsidRDefault="1194E169" w:rsidP="27E1CD99">
      <w:pPr>
        <w:rPr>
          <w:rFonts w:ascii="Tahoma" w:hAnsi="Tahoma" w:cs="Tahoma"/>
          <w:sz w:val="24"/>
          <w:szCs w:val="24"/>
        </w:rPr>
      </w:pPr>
      <w:r w:rsidRPr="009E1FD4">
        <w:rPr>
          <w:rFonts w:ascii="Tahoma" w:hAnsi="Tahoma" w:cs="Tahoma"/>
          <w:sz w:val="24"/>
          <w:szCs w:val="24"/>
        </w:rPr>
        <w:t>Should this station come out of compliance with the Checklist, or should the design change, the Recipient shall submit to the CEC a new completed, signed, and dated Station Checklist.</w:t>
      </w:r>
    </w:p>
    <w:p w14:paraId="18079DFC" w14:textId="730946FD" w:rsidR="006C165F" w:rsidRPr="009E1FD4" w:rsidRDefault="006C165F" w:rsidP="6F20630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en Retail Station Requirements"/>
        <w:tblDescription w:val="Check and certify that each requirement is met."/>
      </w:tblPr>
      <w:tblGrid>
        <w:gridCol w:w="1185"/>
        <w:gridCol w:w="8165"/>
      </w:tblGrid>
      <w:tr w:rsidR="008E5B8A" w:rsidRPr="009E1FD4" w14:paraId="76E21435" w14:textId="77777777" w:rsidTr="009E1FD4">
        <w:trPr>
          <w:cantSplit/>
          <w:trHeight w:val="278"/>
          <w:tblHeader/>
          <w:jc w:val="center"/>
        </w:trPr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76E21433" w14:textId="77777777" w:rsidR="008E5B8A" w:rsidRPr="009E1FD4" w:rsidRDefault="008E5B8A" w:rsidP="00A5559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E1FD4">
              <w:rPr>
                <w:rFonts w:ascii="Tahoma" w:hAnsi="Tahoma" w:cs="Tahoma"/>
                <w:b/>
                <w:sz w:val="24"/>
                <w:szCs w:val="24"/>
              </w:rPr>
              <w:t>Check</w:t>
            </w:r>
          </w:p>
        </w:tc>
        <w:tc>
          <w:tcPr>
            <w:tcW w:w="8165" w:type="dxa"/>
            <w:shd w:val="clear" w:color="auto" w:fill="D9D9D9" w:themeFill="background1" w:themeFillShade="D9"/>
            <w:vAlign w:val="center"/>
          </w:tcPr>
          <w:p w14:paraId="76E21434" w14:textId="4DB5EB42" w:rsidR="008E5B8A" w:rsidRPr="009E1FD4" w:rsidRDefault="3F6352F8" w:rsidP="6F206306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E1FD4">
              <w:rPr>
                <w:rFonts w:ascii="Tahoma" w:hAnsi="Tahoma" w:cs="Tahoma"/>
                <w:b/>
                <w:bCs/>
                <w:sz w:val="24"/>
                <w:szCs w:val="24"/>
              </w:rPr>
              <w:t>Hydrogen</w:t>
            </w:r>
            <w:r w:rsidR="008E347E" w:rsidRPr="009E1FD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Refueling</w:t>
            </w:r>
            <w:r w:rsidRPr="009E1FD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Station </w:t>
            </w:r>
            <w:r w:rsidR="30243F91" w:rsidRPr="009E1FD4">
              <w:rPr>
                <w:rFonts w:ascii="Tahoma" w:hAnsi="Tahoma" w:cs="Tahoma"/>
                <w:b/>
                <w:bCs/>
                <w:sz w:val="24"/>
                <w:szCs w:val="24"/>
              </w:rPr>
              <w:t>Requirements</w:t>
            </w:r>
          </w:p>
        </w:tc>
      </w:tr>
      <w:tr w:rsidR="008E5B8A" w:rsidRPr="009E1FD4" w14:paraId="76E21438" w14:textId="77777777" w:rsidTr="009E1FD4">
        <w:trPr>
          <w:cantSplit/>
          <w:jc w:val="center"/>
        </w:trPr>
        <w:tc>
          <w:tcPr>
            <w:tcW w:w="1185" w:type="dxa"/>
          </w:tcPr>
          <w:p w14:paraId="76E21436" w14:textId="77777777" w:rsidR="008E5B8A" w:rsidRPr="009E1FD4" w:rsidRDefault="008E5B8A" w:rsidP="003C486D">
            <w:pPr>
              <w:pStyle w:val="Heading6"/>
              <w:keepNext w:val="0"/>
              <w:spacing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165" w:type="dxa"/>
          </w:tcPr>
          <w:p w14:paraId="76E21437" w14:textId="77777777" w:rsidR="008E5B8A" w:rsidRPr="009E1FD4" w:rsidRDefault="00BD0D41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eastAsia="MS Mincho" w:hAnsi="Tahoma" w:cs="Tahoma"/>
                <w:sz w:val="24"/>
                <w:szCs w:val="24"/>
              </w:rPr>
              <w:t>Each dispenser has passed a hydrogen quality test and d</w:t>
            </w:r>
            <w:r w:rsidR="008E5B8A" w:rsidRPr="009E1FD4">
              <w:rPr>
                <w:rFonts w:ascii="Tahoma" w:eastAsia="MS Mincho" w:hAnsi="Tahoma" w:cs="Tahoma"/>
                <w:sz w:val="24"/>
                <w:szCs w:val="24"/>
              </w:rPr>
              <w:t xml:space="preserve">ispenses hydrogen that </w:t>
            </w:r>
            <w:r w:rsidRPr="009E1FD4">
              <w:rPr>
                <w:rFonts w:ascii="Tahoma" w:eastAsia="MS Mincho" w:hAnsi="Tahoma" w:cs="Tahoma"/>
                <w:sz w:val="24"/>
                <w:szCs w:val="24"/>
              </w:rPr>
              <w:t>complies with</w:t>
            </w:r>
            <w:r w:rsidR="008E5B8A" w:rsidRPr="009E1FD4">
              <w:rPr>
                <w:rFonts w:ascii="Tahoma" w:eastAsia="MS Mincho" w:hAnsi="Tahoma" w:cs="Tahoma"/>
                <w:sz w:val="24"/>
                <w:szCs w:val="24"/>
              </w:rPr>
              <w:t xml:space="preserve"> California Code of Regulations (CCR) Title 4 Business Regulations, Division 9 Chapter 6 Automotive Products Specifications, Article 8, Hydrogen Fuel Sections 4180 and 4181, which adopts SAE International J2719 (fuel quality).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8E5B8A" w:rsidRPr="009E1FD4" w14:paraId="76E2143B" w14:textId="77777777" w:rsidTr="009E1FD4">
        <w:trPr>
          <w:cantSplit/>
          <w:jc w:val="center"/>
        </w:trPr>
        <w:tc>
          <w:tcPr>
            <w:tcW w:w="1185" w:type="dxa"/>
          </w:tcPr>
          <w:p w14:paraId="76E21439" w14:textId="77777777" w:rsidR="008E5B8A" w:rsidRPr="009E1FD4" w:rsidRDefault="008E5B8A" w:rsidP="003C486D">
            <w:pPr>
              <w:pStyle w:val="Heading6"/>
              <w:keepNext w:val="0"/>
              <w:spacing w:after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76E2143A" w14:textId="40D9DBA0" w:rsidR="008E5B8A" w:rsidRPr="009E1FD4" w:rsidRDefault="51755B6D" w:rsidP="6BCF986D">
            <w:pPr>
              <w:spacing w:after="60"/>
              <w:rPr>
                <w:rFonts w:ascii="Tahoma" w:hAnsi="Tahoma" w:cs="Tahoma"/>
                <w:bCs/>
                <w:sz w:val="24"/>
                <w:szCs w:val="24"/>
              </w:rPr>
            </w:pPr>
            <w:r w:rsidRPr="009E1FD4">
              <w:rPr>
                <w:rFonts w:ascii="Tahoma" w:hAnsi="Tahoma" w:cs="Tahoma"/>
                <w:bCs/>
                <w:sz w:val="24"/>
                <w:szCs w:val="24"/>
              </w:rPr>
              <w:t xml:space="preserve">(If applicable) </w:t>
            </w:r>
            <w:r w:rsidR="00BD0D41" w:rsidRPr="009E1FD4">
              <w:rPr>
                <w:rFonts w:ascii="Tahoma" w:hAnsi="Tahoma" w:cs="Tahoma"/>
                <w:bCs/>
                <w:sz w:val="24"/>
                <w:szCs w:val="24"/>
              </w:rPr>
              <w:t>Each dispenser underwent type evaluation testing and has a Temporary Use Permit or Certificate of Approval issued through C</w:t>
            </w:r>
            <w:r w:rsidR="00FA2063" w:rsidRPr="009E1FD4">
              <w:rPr>
                <w:rFonts w:ascii="Tahoma" w:hAnsi="Tahoma" w:cs="Tahoma"/>
                <w:bCs/>
                <w:sz w:val="24"/>
                <w:szCs w:val="24"/>
              </w:rPr>
              <w:t>alifornia Type Evaluation Program, or a Certificate of Conformance issued by the National Type Evaluation Program</w:t>
            </w:r>
            <w:r w:rsidR="008E5B8A" w:rsidRPr="009E1FD4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</w:tr>
      <w:tr w:rsidR="008E5B8A" w:rsidRPr="009E1FD4" w14:paraId="76E2143E" w14:textId="77777777" w:rsidTr="009E1FD4">
        <w:trPr>
          <w:cantSplit/>
          <w:jc w:val="center"/>
        </w:trPr>
        <w:tc>
          <w:tcPr>
            <w:tcW w:w="1185" w:type="dxa"/>
          </w:tcPr>
          <w:p w14:paraId="76E2143C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3D" w14:textId="535402AA" w:rsidR="008E5B8A" w:rsidRPr="009E1FD4" w:rsidRDefault="14D0145A" w:rsidP="003C486D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9E1FD4">
              <w:rPr>
                <w:rFonts w:ascii="Tahoma" w:hAnsi="Tahoma" w:cs="Tahoma"/>
                <w:bCs/>
                <w:sz w:val="24"/>
                <w:szCs w:val="24"/>
              </w:rPr>
              <w:t xml:space="preserve">(If applicable) </w:t>
            </w:r>
            <w:r w:rsidR="00BD0D41" w:rsidRPr="009E1FD4">
              <w:rPr>
                <w:rFonts w:ascii="Tahoma" w:hAnsi="Tahoma" w:cs="Tahoma"/>
                <w:bCs/>
                <w:sz w:val="24"/>
                <w:szCs w:val="24"/>
              </w:rPr>
              <w:t>Each dispenser has successfully passed initial verification of accuracy class tests to receive the county weights and measures seal approving the device for retail use.</w:t>
            </w:r>
          </w:p>
        </w:tc>
      </w:tr>
      <w:tr w:rsidR="008B0021" w:rsidRPr="009E1FD4" w14:paraId="76E21444" w14:textId="77777777" w:rsidTr="009E1FD4">
        <w:trPr>
          <w:cantSplit/>
          <w:trHeight w:val="450"/>
          <w:jc w:val="center"/>
        </w:trPr>
        <w:tc>
          <w:tcPr>
            <w:tcW w:w="1185" w:type="dxa"/>
          </w:tcPr>
          <w:p w14:paraId="76E21442" w14:textId="77777777" w:rsidR="008B0021" w:rsidRPr="009E1FD4" w:rsidRDefault="008B0021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43" w14:textId="19FE33A7" w:rsidR="008B0021" w:rsidRPr="009E1FD4" w:rsidRDefault="1BE441C6" w:rsidP="00250D98">
            <w:pPr>
              <w:pStyle w:val="Normalwithspaceafter"/>
              <w:spacing w:after="0"/>
              <w:rPr>
                <w:rFonts w:ascii="Tahoma" w:hAnsi="Tahoma" w:cs="Tahoma"/>
              </w:rPr>
            </w:pPr>
            <w:r w:rsidRPr="009E1FD4">
              <w:rPr>
                <w:rFonts w:ascii="Tahoma" w:hAnsi="Tahoma" w:cs="Tahoma"/>
              </w:rPr>
              <w:t>The station conf</w:t>
            </w:r>
            <w:r w:rsidR="00F079E2" w:rsidRPr="009E1FD4">
              <w:rPr>
                <w:rFonts w:ascii="Tahoma" w:hAnsi="Tahoma" w:cs="Tahoma"/>
              </w:rPr>
              <w:t>o</w:t>
            </w:r>
            <w:r w:rsidRPr="009E1FD4">
              <w:rPr>
                <w:rFonts w:ascii="Tahoma" w:hAnsi="Tahoma" w:cs="Tahoma"/>
              </w:rPr>
              <w:t>rms to National Fire Protection Association (NFPA) 2</w:t>
            </w:r>
            <w:r w:rsidR="00C1710B" w:rsidRPr="009E1FD4">
              <w:rPr>
                <w:rFonts w:ascii="Tahoma" w:hAnsi="Tahoma" w:cs="Tahoma"/>
              </w:rPr>
              <w:t>.</w:t>
            </w:r>
          </w:p>
        </w:tc>
      </w:tr>
      <w:tr w:rsidR="003C486D" w:rsidRPr="009E1FD4" w14:paraId="76E21447" w14:textId="77777777" w:rsidTr="009E1FD4">
        <w:trPr>
          <w:cantSplit/>
          <w:jc w:val="center"/>
        </w:trPr>
        <w:tc>
          <w:tcPr>
            <w:tcW w:w="1185" w:type="dxa"/>
          </w:tcPr>
          <w:p w14:paraId="76E21445" w14:textId="77777777" w:rsidR="003C486D" w:rsidRPr="009E1FD4" w:rsidRDefault="003C486D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46" w14:textId="2FEE82E5" w:rsidR="003C486D" w:rsidRPr="009E1FD4" w:rsidRDefault="00250D98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b/>
                <w:sz w:val="24"/>
                <w:szCs w:val="24"/>
              </w:rPr>
              <w:t>Optional: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Does </w:t>
            </w:r>
            <w:r w:rsidR="003C486D" w:rsidRPr="009E1FD4">
              <w:rPr>
                <w:rFonts w:ascii="Tahoma" w:hAnsi="Tahoma" w:cs="Tahoma"/>
                <w:sz w:val="24"/>
                <w:szCs w:val="24"/>
              </w:rPr>
              <w:t>the station include infrastructure to support fueling of vehicles with compressed hydrogen storage systems (CHSS) that exceed 10 kilograms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? 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Yes  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No</w:t>
            </w:r>
            <w:r w:rsidRPr="009E1FD4">
              <w:rPr>
                <w:rFonts w:ascii="Tahoma" w:hAnsi="Tahoma" w:cs="Tahoma"/>
                <w:sz w:val="24"/>
                <w:szCs w:val="24"/>
              </w:rPr>
              <w:br/>
              <w:t xml:space="preserve">If </w:t>
            </w:r>
            <w:proofErr w:type="gramStart"/>
            <w:r w:rsidRPr="009E1FD4">
              <w:rPr>
                <w:rFonts w:ascii="Tahoma" w:hAnsi="Tahoma" w:cs="Tahoma"/>
                <w:sz w:val="24"/>
                <w:szCs w:val="24"/>
              </w:rPr>
              <w:t>Yes</w:t>
            </w:r>
            <w:proofErr w:type="gramEnd"/>
            <w:r w:rsidRPr="009E1FD4">
              <w:rPr>
                <w:rFonts w:ascii="Tahoma" w:hAnsi="Tahoma" w:cs="Tahoma"/>
                <w:sz w:val="24"/>
                <w:szCs w:val="24"/>
              </w:rPr>
              <w:t xml:space="preserve">, check the box </w:t>
            </w:r>
            <w:r w:rsidR="006028A7" w:rsidRPr="009E1FD4">
              <w:rPr>
                <w:rFonts w:ascii="Tahoma" w:hAnsi="Tahoma" w:cs="Tahoma"/>
                <w:sz w:val="24"/>
                <w:szCs w:val="24"/>
              </w:rPr>
              <w:t>above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that</w:t>
            </w:r>
            <w:r w:rsidR="003C486D" w:rsidRPr="009E1FD4">
              <w:rPr>
                <w:rFonts w:ascii="Tahoma" w:hAnsi="Tahoma" w:cs="Tahoma"/>
                <w:sz w:val="24"/>
                <w:szCs w:val="24"/>
              </w:rPr>
              <w:t xml:space="preserve"> the infrastructure conforms to a defined fueling protocol that the Recipient has described to the California Energy Commission</w:t>
            </w:r>
            <w:r w:rsidR="00F770DF" w:rsidRPr="009E1FD4">
              <w:rPr>
                <w:rFonts w:ascii="Tahoma" w:hAnsi="Tahoma" w:cs="Tahoma"/>
                <w:sz w:val="24"/>
                <w:szCs w:val="24"/>
              </w:rPr>
              <w:t xml:space="preserve"> (CEC)</w:t>
            </w:r>
            <w:r w:rsidR="003C486D" w:rsidRPr="009E1FD4">
              <w:rPr>
                <w:rFonts w:ascii="Tahoma" w:hAnsi="Tahoma" w:cs="Tahoma"/>
                <w:sz w:val="24"/>
                <w:szCs w:val="24"/>
              </w:rPr>
              <w:t>.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If </w:t>
            </w:r>
            <w:proofErr w:type="gramStart"/>
            <w:r w:rsidRPr="009E1FD4">
              <w:rPr>
                <w:rFonts w:ascii="Tahoma" w:hAnsi="Tahoma" w:cs="Tahoma"/>
                <w:sz w:val="24"/>
                <w:szCs w:val="24"/>
              </w:rPr>
              <w:t>No</w:t>
            </w:r>
            <w:proofErr w:type="gramEnd"/>
            <w:r w:rsidRPr="009E1FD4">
              <w:rPr>
                <w:rFonts w:ascii="Tahoma" w:hAnsi="Tahoma" w:cs="Tahoma"/>
                <w:sz w:val="24"/>
                <w:szCs w:val="24"/>
              </w:rPr>
              <w:t>, leave blank.</w:t>
            </w:r>
          </w:p>
        </w:tc>
      </w:tr>
      <w:tr w:rsidR="008E5B8A" w:rsidRPr="009E1FD4" w14:paraId="76E2144A" w14:textId="77777777" w:rsidTr="009E1FD4">
        <w:trPr>
          <w:cantSplit/>
          <w:jc w:val="center"/>
        </w:trPr>
        <w:tc>
          <w:tcPr>
            <w:tcW w:w="1185" w:type="dxa"/>
          </w:tcPr>
          <w:p w14:paraId="76E21448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49" w14:textId="77777777" w:rsidR="008E5B8A" w:rsidRPr="009E1FD4" w:rsidRDefault="00C56C88" w:rsidP="001A68F5">
            <w:pPr>
              <w:spacing w:after="6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The station </w:t>
            </w:r>
            <w:r w:rsidR="003C486D" w:rsidRPr="009E1FD4">
              <w:rPr>
                <w:rFonts w:ascii="Tahoma" w:hAnsi="Tahoma" w:cs="Tahoma"/>
                <w:sz w:val="24"/>
                <w:szCs w:val="24"/>
              </w:rPr>
              <w:t>conforms to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 xml:space="preserve"> the most recent version of ANSI/CSA HGV 4.9 (hydrogen refueling stations).</w:t>
            </w:r>
          </w:p>
        </w:tc>
      </w:tr>
      <w:tr w:rsidR="008E5B8A" w:rsidRPr="009E1FD4" w14:paraId="76E2144D" w14:textId="77777777" w:rsidTr="009E1FD4">
        <w:trPr>
          <w:cantSplit/>
          <w:jc w:val="center"/>
        </w:trPr>
        <w:tc>
          <w:tcPr>
            <w:tcW w:w="1185" w:type="dxa"/>
          </w:tcPr>
          <w:p w14:paraId="76E2144B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4C" w14:textId="32651661" w:rsidR="008E5B8A" w:rsidRPr="009E1FD4" w:rsidRDefault="5C689F36" w:rsidP="6F206306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c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>onforms to the most recent version of SAE International J2799 (station communications)</w:t>
            </w:r>
            <w:r w:rsidR="6ED0335D" w:rsidRPr="009E1FD4">
              <w:rPr>
                <w:rFonts w:ascii="Tahoma" w:hAnsi="Tahoma" w:cs="Tahoma"/>
                <w:sz w:val="24"/>
                <w:szCs w:val="24"/>
              </w:rPr>
              <w:t>, verified through the most recent version of CSA HGV 4.3. or an equivalently accepted industry standard.</w:t>
            </w:r>
          </w:p>
        </w:tc>
      </w:tr>
      <w:tr w:rsidR="008E5B8A" w:rsidRPr="009E1FD4" w14:paraId="76E21450" w14:textId="77777777" w:rsidTr="009E1FD4">
        <w:trPr>
          <w:cantSplit/>
          <w:jc w:val="center"/>
        </w:trPr>
        <w:tc>
          <w:tcPr>
            <w:tcW w:w="1185" w:type="dxa"/>
          </w:tcPr>
          <w:p w14:paraId="76E2144E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4F" w14:textId="7EADA970" w:rsidR="008E5B8A" w:rsidRPr="009E1FD4" w:rsidRDefault="5C689F36" w:rsidP="6F206306">
            <w:pPr>
              <w:spacing w:after="60"/>
              <w:rPr>
                <w:rFonts w:ascii="Tahoma" w:hAnsi="Tahoma" w:cs="Tahoma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Each station nozzle c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>onforms to the most recent version of SAE J2600 (nozzles) or</w:t>
            </w:r>
            <w:r w:rsidR="214551F0" w:rsidRPr="009E1FD4">
              <w:rPr>
                <w:rFonts w:ascii="Tahoma" w:hAnsi="Tahoma" w:cs="Tahoma"/>
                <w:sz w:val="24"/>
                <w:szCs w:val="24"/>
              </w:rPr>
              <w:t xml:space="preserve"> International Organization for Standardization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6AB3BB3E" w:rsidRPr="009E1FD4">
              <w:rPr>
                <w:rFonts w:ascii="Tahoma" w:hAnsi="Tahoma" w:cs="Tahoma"/>
                <w:sz w:val="24"/>
                <w:szCs w:val="24"/>
              </w:rPr>
              <w:t>(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>ISO</w:t>
            </w:r>
            <w:r w:rsidR="6AB3BB3E" w:rsidRPr="009E1FD4">
              <w:rPr>
                <w:rFonts w:ascii="Tahoma" w:hAnsi="Tahoma" w:cs="Tahoma"/>
                <w:sz w:val="24"/>
                <w:szCs w:val="24"/>
              </w:rPr>
              <w:t>)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 xml:space="preserve"> 17268 (nozzles).</w:t>
            </w:r>
            <w:r w:rsidR="28B90F64" w:rsidRPr="009E1FD4">
              <w:rPr>
                <w:rFonts w:ascii="Tahoma" w:hAnsi="Tahoma" w:cs="Tahoma"/>
                <w:sz w:val="24"/>
                <w:szCs w:val="24"/>
              </w:rPr>
              <w:t xml:space="preserve"> Note: Fast </w:t>
            </w:r>
            <w:proofErr w:type="gramStart"/>
            <w:r w:rsidR="28B90F64" w:rsidRPr="009E1FD4">
              <w:rPr>
                <w:rFonts w:ascii="Tahoma" w:hAnsi="Tahoma" w:cs="Tahoma"/>
                <w:sz w:val="24"/>
                <w:szCs w:val="24"/>
              </w:rPr>
              <w:t>fills, (</w:t>
            </w:r>
            <w:proofErr w:type="gramEnd"/>
            <w:r w:rsidR="28B90F64" w:rsidRPr="009E1FD4">
              <w:rPr>
                <w:rFonts w:ascii="Tahoma" w:hAnsi="Tahoma" w:cs="Tahoma"/>
                <w:sz w:val="24"/>
                <w:szCs w:val="24"/>
              </w:rPr>
              <w:t>up to 7.2kg/min)</w:t>
            </w:r>
            <w:r w:rsidR="00B44889" w:rsidRPr="009E1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28B90F64" w:rsidRPr="009E1FD4">
              <w:rPr>
                <w:rFonts w:ascii="Tahoma" w:hAnsi="Tahoma" w:cs="Tahoma"/>
                <w:sz w:val="24"/>
                <w:szCs w:val="24"/>
              </w:rPr>
              <w:t>require a different nozzle with a different standard (ISO 27268:2012) and are permitted for heavy duty vehicles only.</w:t>
            </w:r>
          </w:p>
        </w:tc>
      </w:tr>
      <w:tr w:rsidR="003C486D" w:rsidRPr="009E1FD4" w14:paraId="76E21453" w14:textId="77777777" w:rsidTr="009E1FD4">
        <w:trPr>
          <w:cantSplit/>
          <w:jc w:val="center"/>
        </w:trPr>
        <w:tc>
          <w:tcPr>
            <w:tcW w:w="1185" w:type="dxa"/>
          </w:tcPr>
          <w:p w14:paraId="76E21451" w14:textId="77777777" w:rsidR="003C486D" w:rsidRPr="009E1FD4" w:rsidRDefault="003C486D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4EAE5379" w14:textId="25536431" w:rsidR="003C486D" w:rsidRPr="009E1FD4" w:rsidRDefault="265756A2" w:rsidP="6F206306">
            <w:pPr>
              <w:spacing w:after="60"/>
              <w:rPr>
                <w:rFonts w:ascii="Tahoma" w:hAnsi="Tahoma" w:cs="Tahoma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The station conforms to </w:t>
            </w:r>
            <w:r w:rsidR="430997D2" w:rsidRPr="009E1FD4">
              <w:rPr>
                <w:rFonts w:ascii="Tahoma" w:hAnsi="Tahoma" w:cs="Tahoma"/>
                <w:sz w:val="24"/>
                <w:szCs w:val="24"/>
              </w:rPr>
              <w:t>o</w:t>
            </w:r>
            <w:r w:rsidR="771D283D" w:rsidRPr="009E1FD4">
              <w:rPr>
                <w:rFonts w:ascii="Tahoma" w:hAnsi="Tahoma" w:cs="Tahoma"/>
                <w:sz w:val="24"/>
                <w:szCs w:val="24"/>
              </w:rPr>
              <w:t>ne</w:t>
            </w:r>
            <w:r w:rsidR="28B90F64" w:rsidRPr="009E1FD4">
              <w:rPr>
                <w:rFonts w:ascii="Tahoma" w:hAnsi="Tahoma" w:cs="Tahoma"/>
                <w:sz w:val="24"/>
                <w:szCs w:val="24"/>
              </w:rPr>
              <w:t xml:space="preserve"> or more of the following fueling protocols or an equivalently accepted</w:t>
            </w:r>
            <w:r w:rsidR="008E22B1" w:rsidRPr="009E1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28B90F64" w:rsidRPr="009E1FD4">
              <w:rPr>
                <w:rFonts w:ascii="Tahoma" w:hAnsi="Tahoma" w:cs="Tahoma"/>
                <w:sz w:val="24"/>
                <w:szCs w:val="24"/>
              </w:rPr>
              <w:t>industry standard</w:t>
            </w:r>
            <w:r w:rsidR="008E22B1" w:rsidRPr="009E1FD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8875CBB" w14:textId="052EA675" w:rsidR="003C486D" w:rsidRPr="009E1FD4" w:rsidRDefault="28B90F64" w:rsidP="6F20630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J2601 – 1 Category D (greater than 10 kg tank sizes)</w:t>
            </w:r>
          </w:p>
          <w:p w14:paraId="599006F9" w14:textId="266507C9" w:rsidR="003C486D" w:rsidRPr="009E1FD4" w:rsidRDefault="28B90F64" w:rsidP="6F20630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J2601 – 2 HD fueling</w:t>
            </w:r>
          </w:p>
          <w:p w14:paraId="7895D98F" w14:textId="39F7BCE8" w:rsidR="003C486D" w:rsidRPr="009E1FD4" w:rsidRDefault="28B90F64" w:rsidP="6F20630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J2601 – 4 Ambient Temperature refueling</w:t>
            </w:r>
          </w:p>
          <w:p w14:paraId="4BD59545" w14:textId="7C6A1671" w:rsidR="003C486D" w:rsidRPr="009E1FD4" w:rsidRDefault="28B90F64" w:rsidP="6F20630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J2601 – 5 MC Method for HD fueling</w:t>
            </w:r>
          </w:p>
          <w:p w14:paraId="76E21452" w14:textId="148808E0" w:rsidR="003C486D" w:rsidRPr="009E1FD4" w:rsidRDefault="28B90F64" w:rsidP="6F20630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JPEC-S 0003 Japanese Bus fueling protocol</w:t>
            </w:r>
          </w:p>
        </w:tc>
      </w:tr>
      <w:tr w:rsidR="6F206306" w:rsidRPr="009E1FD4" w14:paraId="3774B7FD" w14:textId="77777777" w:rsidTr="009E1FD4">
        <w:trPr>
          <w:cantSplit/>
          <w:trHeight w:val="300"/>
          <w:jc w:val="center"/>
        </w:trPr>
        <w:tc>
          <w:tcPr>
            <w:tcW w:w="1185" w:type="dxa"/>
          </w:tcPr>
          <w:p w14:paraId="53A23C0F" w14:textId="10B7FEE9" w:rsidR="6F206306" w:rsidRPr="009E1FD4" w:rsidRDefault="6F206306" w:rsidP="6F206306">
            <w:pPr>
              <w:pStyle w:val="Heading6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2150EA05" w14:textId="49C955A4" w:rsidR="7C6EBE67" w:rsidRPr="009E1FD4" w:rsidRDefault="7C6EBE67" w:rsidP="6F206306">
            <w:p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conforms with the American National Standards Institute (ANSI) Standards</w:t>
            </w:r>
          </w:p>
          <w:p w14:paraId="1E095E1D" w14:textId="1AF9E09D" w:rsidR="7C6EBE67" w:rsidRPr="009E1FD4" w:rsidRDefault="7C6EBE67" w:rsidP="6F20630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Hydrogen Gas Vehicle (HGV) 2-2021</w:t>
            </w:r>
          </w:p>
          <w:p w14:paraId="005377C6" w14:textId="0587875B" w:rsidR="7C6EBE67" w:rsidRPr="009E1FD4" w:rsidRDefault="7C6EBE67" w:rsidP="6F20630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HGV 4.1</w:t>
            </w:r>
          </w:p>
          <w:p w14:paraId="16E67DD2" w14:textId="747B121E" w:rsidR="7C6EBE67" w:rsidRPr="009E1FD4" w:rsidRDefault="7C6EBE67" w:rsidP="6F20630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G 095A</w:t>
            </w:r>
          </w:p>
          <w:p w14:paraId="3A08C357" w14:textId="41D218AD" w:rsidR="7C6EBE67" w:rsidRPr="009E1FD4" w:rsidRDefault="7C6EBE67" w:rsidP="6F20630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HPRD 1:21</w:t>
            </w:r>
          </w:p>
          <w:p w14:paraId="578B473A" w14:textId="0B788AC7" w:rsidR="7C6EBE67" w:rsidRPr="009E1FD4" w:rsidRDefault="7C6EBE67" w:rsidP="6F20630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HGV 3.1</w:t>
            </w:r>
          </w:p>
          <w:p w14:paraId="26717935" w14:textId="3F909540" w:rsidR="7C6EBE67" w:rsidRPr="009E1FD4" w:rsidRDefault="7C6EBE67" w:rsidP="6F206306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CGA S1.1</w:t>
            </w:r>
          </w:p>
        </w:tc>
      </w:tr>
      <w:tr w:rsidR="6F206306" w:rsidRPr="009E1FD4" w14:paraId="03CB10F3" w14:textId="77777777" w:rsidTr="009E1FD4">
        <w:trPr>
          <w:cantSplit/>
          <w:trHeight w:val="300"/>
          <w:jc w:val="center"/>
        </w:trPr>
        <w:tc>
          <w:tcPr>
            <w:tcW w:w="1185" w:type="dxa"/>
          </w:tcPr>
          <w:p w14:paraId="6FBD54DC" w14:textId="7180DE3C" w:rsidR="6F206306" w:rsidRPr="009E1FD4" w:rsidRDefault="6F206306" w:rsidP="6F206306">
            <w:pPr>
              <w:pStyle w:val="Heading6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1FAA5881" w14:textId="250DB576" w:rsidR="7C6EBE67" w:rsidRPr="009E1FD4" w:rsidRDefault="7C6EBE67" w:rsidP="6F206306">
            <w:p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conforms with the ISO Standards</w:t>
            </w:r>
            <w:r w:rsidR="0A89DB85" w:rsidRPr="009E1FD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42D3C6E3" w14:textId="755767DB" w:rsidR="13094A8E" w:rsidRPr="009E1FD4" w:rsidRDefault="13094A8E" w:rsidP="6F20630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19880-3</w:t>
            </w:r>
          </w:p>
          <w:p w14:paraId="76DC9151" w14:textId="56F4D2B5" w:rsidR="13094A8E" w:rsidRPr="009E1FD4" w:rsidRDefault="13094A8E" w:rsidP="6F20630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19880-4</w:t>
            </w:r>
          </w:p>
          <w:p w14:paraId="0A2B7CE7" w14:textId="46AEC48A" w:rsidR="13094A8E" w:rsidRPr="009E1FD4" w:rsidRDefault="13094A8E" w:rsidP="6F20630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19880-5</w:t>
            </w:r>
          </w:p>
          <w:p w14:paraId="48E69192" w14:textId="60D0729E" w:rsidR="13094A8E" w:rsidRPr="009E1FD4" w:rsidRDefault="13094A8E" w:rsidP="6F20630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19880-6</w:t>
            </w:r>
          </w:p>
        </w:tc>
      </w:tr>
      <w:tr w:rsidR="6F206306" w:rsidRPr="009E1FD4" w14:paraId="027B9F6C" w14:textId="77777777" w:rsidTr="009E1FD4">
        <w:trPr>
          <w:cantSplit/>
          <w:trHeight w:val="300"/>
          <w:jc w:val="center"/>
        </w:trPr>
        <w:tc>
          <w:tcPr>
            <w:tcW w:w="1185" w:type="dxa"/>
          </w:tcPr>
          <w:p w14:paraId="4708F622" w14:textId="5A87A7C0" w:rsidR="6F206306" w:rsidRPr="009E1FD4" w:rsidRDefault="6F206306" w:rsidP="6F206306">
            <w:pPr>
              <w:pStyle w:val="Heading6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5B43DC2A" w14:textId="03AE18C5" w:rsidR="34742B2D" w:rsidRPr="009E1FD4" w:rsidRDefault="34742B2D" w:rsidP="6F206306">
            <w:p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conforms with the California Building Codes</w:t>
            </w:r>
            <w:r w:rsidR="4CAAC5EB" w:rsidRPr="009E1FD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00E9AC0" w14:textId="2274A995" w:rsidR="34742B2D" w:rsidRPr="009E1FD4" w:rsidRDefault="34742B2D" w:rsidP="6F20630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California Building Code, Part 2, Title 24</w:t>
            </w:r>
          </w:p>
          <w:p w14:paraId="2E214AEE" w14:textId="61F4DF9B" w:rsidR="7EA80840" w:rsidRPr="009E1FD4" w:rsidRDefault="7EA80840" w:rsidP="6F20630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California Electrical Code, Part 3, Title 24</w:t>
            </w:r>
          </w:p>
          <w:p w14:paraId="6A209061" w14:textId="2B124637" w:rsidR="7EA80840" w:rsidRPr="009E1FD4" w:rsidRDefault="7EA80840" w:rsidP="6F20630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California Energy Code, Part 6, Title 24</w:t>
            </w:r>
          </w:p>
          <w:p w14:paraId="4B9170BE" w14:textId="77777777" w:rsidR="7EA80840" w:rsidRPr="009E1FD4" w:rsidRDefault="7EA80840" w:rsidP="6F20630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California Fire Code, Part 9, Title 2</w:t>
            </w:r>
          </w:p>
        </w:tc>
      </w:tr>
      <w:tr w:rsidR="6F206306" w:rsidRPr="009E1FD4" w14:paraId="1E6E0DFC" w14:textId="77777777" w:rsidTr="009E1FD4">
        <w:trPr>
          <w:cantSplit/>
          <w:trHeight w:val="300"/>
          <w:jc w:val="center"/>
        </w:trPr>
        <w:tc>
          <w:tcPr>
            <w:tcW w:w="1185" w:type="dxa"/>
          </w:tcPr>
          <w:p w14:paraId="4F39F827" w14:textId="76AB3150" w:rsidR="6F206306" w:rsidRPr="009E1FD4" w:rsidRDefault="6F206306" w:rsidP="6F206306">
            <w:pPr>
              <w:pStyle w:val="Heading6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5A57FF0D" w14:textId="655A2830" w:rsidR="057F00A7" w:rsidRPr="009E1FD4" w:rsidRDefault="057F00A7" w:rsidP="6F206306">
            <w:p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conforms with the California Department of Food and Agriculture, Division of Measurement Standards (DMS) Testing Standards:</w:t>
            </w:r>
          </w:p>
          <w:p w14:paraId="3BCC6834" w14:textId="1CEEBCAE" w:rsidR="057F00A7" w:rsidRPr="009E1FD4" w:rsidRDefault="057F00A7" w:rsidP="6F20630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Handbook 44 Section 3.34</w:t>
            </w:r>
          </w:p>
          <w:p w14:paraId="5ED8A66A" w14:textId="1DBF3B28" w:rsidR="057F00A7" w:rsidRPr="009E1FD4" w:rsidRDefault="057F00A7" w:rsidP="6F20630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Handbook 44 Section 3.39</w:t>
            </w:r>
          </w:p>
          <w:p w14:paraId="0E9E93B7" w14:textId="77777777" w:rsidR="057F00A7" w:rsidRPr="009E1FD4" w:rsidRDefault="057F00A7" w:rsidP="6F20630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NIST Handbook 130</w:t>
            </w:r>
          </w:p>
        </w:tc>
      </w:tr>
      <w:tr w:rsidR="008E5B8A" w:rsidRPr="009E1FD4" w14:paraId="76E21456" w14:textId="77777777" w:rsidTr="009E1FD4">
        <w:trPr>
          <w:cantSplit/>
          <w:jc w:val="center"/>
        </w:trPr>
        <w:tc>
          <w:tcPr>
            <w:tcW w:w="1185" w:type="dxa"/>
          </w:tcPr>
          <w:p w14:paraId="76E21454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55" w14:textId="77777777" w:rsidR="008E5B8A" w:rsidRPr="009E1FD4" w:rsidRDefault="00C56C88" w:rsidP="001A68F5">
            <w:pPr>
              <w:spacing w:after="6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s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>ells fuel to the public through a point of sale (POS)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that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 xml:space="preserve"> accept</w:t>
            </w:r>
            <w:r w:rsidRPr="009E1FD4">
              <w:rPr>
                <w:rFonts w:ascii="Tahoma" w:hAnsi="Tahoma" w:cs="Tahoma"/>
                <w:sz w:val="24"/>
                <w:szCs w:val="24"/>
              </w:rPr>
              <w:t>s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>, read</w:t>
            </w:r>
            <w:r w:rsidRPr="009E1FD4">
              <w:rPr>
                <w:rFonts w:ascii="Tahoma" w:hAnsi="Tahoma" w:cs="Tahoma"/>
                <w:sz w:val="24"/>
                <w:szCs w:val="24"/>
              </w:rPr>
              <w:t>s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>, and process</w:t>
            </w:r>
            <w:r w:rsidRPr="009E1FD4">
              <w:rPr>
                <w:rFonts w:ascii="Tahoma" w:hAnsi="Tahoma" w:cs="Tahoma"/>
                <w:sz w:val="24"/>
                <w:szCs w:val="24"/>
              </w:rPr>
              <w:t>es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E1FD4">
              <w:rPr>
                <w:rFonts w:ascii="Tahoma" w:hAnsi="Tahoma" w:cs="Tahoma"/>
                <w:sz w:val="24"/>
                <w:szCs w:val="24"/>
              </w:rPr>
              <w:t>the magnetic stripe on commercially available credit cards</w:t>
            </w:r>
            <w:r w:rsidR="00FA71CA" w:rsidRPr="009E1FD4">
              <w:rPr>
                <w:rFonts w:ascii="Tahoma" w:hAnsi="Tahoma" w:cs="Tahoma"/>
                <w:sz w:val="24"/>
                <w:szCs w:val="24"/>
              </w:rPr>
              <w:t>,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debit cards</w:t>
            </w:r>
            <w:r w:rsidR="00FA71CA" w:rsidRPr="009E1FD4">
              <w:rPr>
                <w:rFonts w:ascii="Tahoma" w:hAnsi="Tahoma" w:cs="Tahoma"/>
                <w:sz w:val="24"/>
                <w:szCs w:val="24"/>
              </w:rPr>
              <w:t>, fueling cards,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and gift cards</w:t>
            </w:r>
            <w:r w:rsidR="71B43078" w:rsidRPr="009E1FD4">
              <w:rPr>
                <w:rFonts w:ascii="Tahoma" w:hAnsi="Tahoma" w:cs="Tahoma"/>
                <w:sz w:val="24"/>
                <w:szCs w:val="24"/>
              </w:rPr>
              <w:t>, if applicable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. The POS also reads EMV™ chips embedded in </w:t>
            </w:r>
            <w:r w:rsidR="00FA71CA" w:rsidRPr="009E1FD4"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cards and performs financial payment transactions. </w:t>
            </w:r>
          </w:p>
        </w:tc>
      </w:tr>
      <w:tr w:rsidR="008B0021" w:rsidRPr="009E1FD4" w14:paraId="76E21459" w14:textId="77777777" w:rsidTr="009E1FD4">
        <w:trPr>
          <w:cantSplit/>
          <w:jc w:val="center"/>
        </w:trPr>
        <w:tc>
          <w:tcPr>
            <w:tcW w:w="1185" w:type="dxa"/>
          </w:tcPr>
          <w:p w14:paraId="76E21457" w14:textId="77777777" w:rsidR="008B0021" w:rsidRPr="009E1FD4" w:rsidRDefault="008B0021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58" w14:textId="77777777" w:rsidR="008B0021" w:rsidRPr="009E1FD4" w:rsidRDefault="008B0021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b/>
                <w:sz w:val="24"/>
                <w:szCs w:val="24"/>
              </w:rPr>
              <w:t>Optional: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Does the station POS system wirelessly transmit, receive, and process near-field communications (NFC) to process the signals from contactless cards or mobile devices, i.e., “smart phones,” or accept payment through a mobile application? 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Yes  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No</w:t>
            </w:r>
            <w:r w:rsidRPr="009E1FD4">
              <w:rPr>
                <w:rFonts w:ascii="Tahoma" w:hAnsi="Tahoma" w:cs="Tahoma"/>
                <w:sz w:val="24"/>
                <w:szCs w:val="24"/>
              </w:rPr>
              <w:br/>
              <w:t xml:space="preserve">If </w:t>
            </w:r>
            <w:proofErr w:type="gramStart"/>
            <w:r w:rsidRPr="009E1FD4">
              <w:rPr>
                <w:rFonts w:ascii="Tahoma" w:hAnsi="Tahoma" w:cs="Tahoma"/>
                <w:sz w:val="24"/>
                <w:szCs w:val="24"/>
              </w:rPr>
              <w:t>Yes</w:t>
            </w:r>
            <w:proofErr w:type="gramEnd"/>
            <w:r w:rsidRPr="009E1FD4">
              <w:rPr>
                <w:rFonts w:ascii="Tahoma" w:hAnsi="Tahoma" w:cs="Tahoma"/>
                <w:sz w:val="24"/>
                <w:szCs w:val="24"/>
              </w:rPr>
              <w:t xml:space="preserve">, check the </w:t>
            </w:r>
            <w:r w:rsidR="00250D98" w:rsidRPr="009E1FD4">
              <w:rPr>
                <w:rFonts w:ascii="Tahoma" w:hAnsi="Tahoma" w:cs="Tahoma"/>
                <w:sz w:val="24"/>
                <w:szCs w:val="24"/>
              </w:rPr>
              <w:t>box</w:t>
            </w:r>
            <w:r w:rsidR="00816B36" w:rsidRPr="009E1FD4">
              <w:rPr>
                <w:rFonts w:ascii="Tahoma" w:hAnsi="Tahoma" w:cs="Tahoma"/>
                <w:sz w:val="24"/>
                <w:szCs w:val="24"/>
              </w:rPr>
              <w:t xml:space="preserve"> above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. If </w:t>
            </w:r>
            <w:proofErr w:type="gramStart"/>
            <w:r w:rsidRPr="009E1FD4">
              <w:rPr>
                <w:rFonts w:ascii="Tahoma" w:hAnsi="Tahoma" w:cs="Tahoma"/>
                <w:sz w:val="24"/>
                <w:szCs w:val="24"/>
              </w:rPr>
              <w:t>No</w:t>
            </w:r>
            <w:proofErr w:type="gramEnd"/>
            <w:r w:rsidRPr="009E1FD4">
              <w:rPr>
                <w:rFonts w:ascii="Tahoma" w:hAnsi="Tahoma" w:cs="Tahoma"/>
                <w:sz w:val="24"/>
                <w:szCs w:val="24"/>
              </w:rPr>
              <w:t>, leave blank.</w:t>
            </w:r>
          </w:p>
        </w:tc>
      </w:tr>
      <w:tr w:rsidR="008E5B8A" w:rsidRPr="009E1FD4" w14:paraId="76E2145C" w14:textId="77777777" w:rsidTr="009E1FD4">
        <w:trPr>
          <w:cantSplit/>
          <w:jc w:val="center"/>
        </w:trPr>
        <w:tc>
          <w:tcPr>
            <w:tcW w:w="1185" w:type="dxa"/>
          </w:tcPr>
          <w:p w14:paraId="76E2145A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5B" w14:textId="15A60B3E" w:rsidR="008E5B8A" w:rsidRPr="009E1FD4" w:rsidRDefault="5C689F36" w:rsidP="6F206306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</w:t>
            </w:r>
            <w:r w:rsidR="0CEB4401" w:rsidRPr="009E1FD4">
              <w:rPr>
                <w:rFonts w:ascii="Tahoma" w:hAnsi="Tahoma" w:cs="Tahoma"/>
                <w:sz w:val="24"/>
                <w:szCs w:val="24"/>
              </w:rPr>
              <w:t>’s refueling components are installed and the station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has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 xml:space="preserve"> a dedicated hydrogen fuel supply and delivery agreement </w:t>
            </w:r>
            <w:r w:rsidRPr="009E1FD4">
              <w:rPr>
                <w:rFonts w:ascii="Tahoma" w:hAnsi="Tahoma" w:cs="Tahoma"/>
                <w:sz w:val="24"/>
                <w:szCs w:val="24"/>
              </w:rPr>
              <w:t>from a hydrogen production plant (on or off-site), with available capacity, and a second supply arrangement as backup</w:t>
            </w:r>
            <w:r w:rsidR="30243F91" w:rsidRPr="009E1FD4">
              <w:rPr>
                <w:rFonts w:ascii="Tahoma" w:hAnsi="Tahoma" w:cs="Tahoma"/>
                <w:sz w:val="24"/>
                <w:szCs w:val="24"/>
              </w:rPr>
              <w:t>.</w:t>
            </w:r>
            <w:r w:rsidR="1194E169" w:rsidRPr="009E1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8E5B8A" w:rsidRPr="009E1FD4" w14:paraId="76E2145F" w14:textId="77777777" w:rsidTr="009E1FD4">
        <w:trPr>
          <w:cantSplit/>
          <w:jc w:val="center"/>
        </w:trPr>
        <w:tc>
          <w:tcPr>
            <w:tcW w:w="1185" w:type="dxa"/>
          </w:tcPr>
          <w:p w14:paraId="76E2145D" w14:textId="77777777" w:rsidR="008E5B8A" w:rsidRPr="009E1FD4" w:rsidRDefault="008E5B8A" w:rsidP="003C486D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5E" w14:textId="77777777" w:rsidR="008E5B8A" w:rsidRPr="009E1FD4" w:rsidRDefault="00C56C88" w:rsidP="001A68F5">
            <w:pPr>
              <w:spacing w:after="6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has an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 xml:space="preserve"> energized utility connection and source of system power.</w:t>
            </w:r>
          </w:p>
        </w:tc>
      </w:tr>
      <w:tr w:rsidR="00250D98" w:rsidRPr="009E1FD4" w14:paraId="76E21462" w14:textId="77777777" w:rsidTr="009E1FD4">
        <w:trPr>
          <w:cantSplit/>
          <w:jc w:val="center"/>
        </w:trPr>
        <w:tc>
          <w:tcPr>
            <w:tcW w:w="1185" w:type="dxa"/>
          </w:tcPr>
          <w:p w14:paraId="76E21460" w14:textId="77777777" w:rsidR="00250D98" w:rsidRPr="009E1FD4" w:rsidRDefault="00250D98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61" w14:textId="537AFF31" w:rsidR="00250D98" w:rsidRPr="009E1FD4" w:rsidRDefault="00250D98" w:rsidP="001A68F5">
            <w:pPr>
              <w:spacing w:after="6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The station has lighting for the dispenser(s) and the station area </w:t>
            </w:r>
            <w:proofErr w:type="gramStart"/>
            <w:r w:rsidRPr="009E1FD4">
              <w:rPr>
                <w:rFonts w:ascii="Tahoma" w:hAnsi="Tahoma" w:cs="Tahoma"/>
                <w:sz w:val="24"/>
                <w:szCs w:val="24"/>
              </w:rPr>
              <w:t>to provide</w:t>
            </w:r>
            <w:proofErr w:type="gramEnd"/>
            <w:r w:rsidRPr="009E1FD4">
              <w:rPr>
                <w:rFonts w:ascii="Tahoma" w:hAnsi="Tahoma" w:cs="Tahoma"/>
                <w:sz w:val="24"/>
                <w:szCs w:val="24"/>
              </w:rPr>
              <w:t xml:space="preserve"> a well-lit area that is safe, convenient, and accessible for station users</w:t>
            </w:r>
            <w:r w:rsidR="6EFDFABC" w:rsidRPr="009E1FD4">
              <w:rPr>
                <w:rFonts w:ascii="Tahoma" w:hAnsi="Tahoma" w:cs="Tahoma"/>
                <w:sz w:val="24"/>
                <w:szCs w:val="24"/>
              </w:rPr>
              <w:t>, if applicable</w:t>
            </w:r>
            <w:r w:rsidRPr="009E1FD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50D98" w:rsidRPr="009E1FD4" w14:paraId="76E21465" w14:textId="77777777" w:rsidTr="009E1FD4">
        <w:trPr>
          <w:cantSplit/>
          <w:jc w:val="center"/>
        </w:trPr>
        <w:tc>
          <w:tcPr>
            <w:tcW w:w="1185" w:type="dxa"/>
          </w:tcPr>
          <w:p w14:paraId="76E21463" w14:textId="77777777" w:rsidR="00250D98" w:rsidRPr="009E1FD4" w:rsidRDefault="00250D98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64" w14:textId="29E6BCCF" w:rsidR="00250D98" w:rsidRPr="009E1FD4" w:rsidRDefault="26B18442" w:rsidP="001A68F5">
            <w:pPr>
              <w:spacing w:after="6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The station </w:t>
            </w:r>
            <w:r w:rsidRPr="009E1FD4">
              <w:rPr>
                <w:rFonts w:ascii="Tahoma" w:eastAsia="MS Mincho" w:hAnsi="Tahoma" w:cs="Tahoma"/>
                <w:sz w:val="24"/>
                <w:szCs w:val="24"/>
              </w:rPr>
              <w:t>has onsite signage that explains the method of sale requirements</w:t>
            </w:r>
            <w:r w:rsidR="001F7C9D" w:rsidRPr="009E1FD4">
              <w:rPr>
                <w:rFonts w:ascii="Tahoma" w:eastAsia="MS Mincho" w:hAnsi="Tahoma" w:cs="Tahoma"/>
                <w:b/>
                <w:bCs/>
                <w:sz w:val="24"/>
                <w:szCs w:val="24"/>
              </w:rPr>
              <w:t>,</w:t>
            </w:r>
            <w:r w:rsidR="001F7C9D" w:rsidRPr="009E1FD4">
              <w:rPr>
                <w:rFonts w:ascii="Tahoma" w:eastAsia="MS Mincho" w:hAnsi="Tahoma" w:cs="Tahoma"/>
                <w:sz w:val="24"/>
                <w:szCs w:val="24"/>
              </w:rPr>
              <w:t xml:space="preserve"> if applicable.</w:t>
            </w:r>
          </w:p>
        </w:tc>
      </w:tr>
      <w:tr w:rsidR="00DD17D7" w:rsidRPr="009E1FD4" w14:paraId="76E2146A" w14:textId="77777777" w:rsidTr="009E1FD4">
        <w:trPr>
          <w:cantSplit/>
          <w:jc w:val="center"/>
        </w:trPr>
        <w:tc>
          <w:tcPr>
            <w:tcW w:w="1185" w:type="dxa"/>
          </w:tcPr>
          <w:p w14:paraId="76E21466" w14:textId="77777777" w:rsidR="00DD17D7" w:rsidRPr="009E1FD4" w:rsidRDefault="00DD17D7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67" w14:textId="77777777" w:rsidR="00DD17D7" w:rsidRPr="009E1FD4" w:rsidRDefault="00DD17D7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b/>
                <w:sz w:val="24"/>
                <w:szCs w:val="24"/>
              </w:rPr>
              <w:t>If approved by the respective authority: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Highway and trailblazer signage is installed.</w:t>
            </w:r>
          </w:p>
          <w:p w14:paraId="76E21468" w14:textId="77777777" w:rsidR="00DD17D7" w:rsidRPr="009E1FD4" w:rsidRDefault="00DD17D7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Has Caltrans approved state highway signage?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Yes  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No</w:t>
            </w:r>
          </w:p>
          <w:p w14:paraId="76E21469" w14:textId="77777777" w:rsidR="00DD17D7" w:rsidRPr="009E1FD4" w:rsidRDefault="00DD17D7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Has the AHJ approved trailblazer signage on local roads?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Yes   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FORMCHECKBOX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 No</w:t>
            </w:r>
          </w:p>
        </w:tc>
      </w:tr>
      <w:tr w:rsidR="00250D98" w:rsidRPr="009E1FD4" w14:paraId="76E2146D" w14:textId="77777777" w:rsidTr="009E1FD4">
        <w:trPr>
          <w:cantSplit/>
          <w:jc w:val="center"/>
        </w:trPr>
        <w:tc>
          <w:tcPr>
            <w:tcW w:w="1185" w:type="dxa"/>
          </w:tcPr>
          <w:p w14:paraId="76E2146B" w14:textId="77777777" w:rsidR="00250D98" w:rsidRPr="009E1FD4" w:rsidRDefault="00250D98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6C" w14:textId="28067D98" w:rsidR="00250D98" w:rsidRPr="009E1FD4" w:rsidRDefault="5D9235D8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If applicable, e</w:t>
            </w:r>
            <w:r w:rsidR="00250D98" w:rsidRPr="009E1FD4">
              <w:rPr>
                <w:rFonts w:ascii="Tahoma" w:hAnsi="Tahoma" w:cs="Tahoma"/>
                <w:sz w:val="24"/>
                <w:szCs w:val="24"/>
              </w:rPr>
              <w:t xml:space="preserve">ach dispenser is connected and reporting all required information to the </w:t>
            </w:r>
            <w:r w:rsidR="00B826A7" w:rsidRPr="009E1FD4">
              <w:rPr>
                <w:rFonts w:ascii="Tahoma" w:hAnsi="Tahoma" w:cs="Tahoma"/>
                <w:sz w:val="24"/>
                <w:szCs w:val="24"/>
              </w:rPr>
              <w:t>Hydrogen</w:t>
            </w:r>
            <w:r w:rsidR="00250D98" w:rsidRPr="009E1FD4">
              <w:rPr>
                <w:rFonts w:ascii="Tahoma" w:hAnsi="Tahoma" w:cs="Tahoma"/>
                <w:sz w:val="24"/>
                <w:szCs w:val="24"/>
              </w:rPr>
              <w:t xml:space="preserve"> Fuel Cell Partnership Station Operational Status System (SOSS).</w:t>
            </w:r>
          </w:p>
        </w:tc>
      </w:tr>
      <w:tr w:rsidR="00250D98" w:rsidRPr="009E1FD4" w14:paraId="76E21470" w14:textId="77777777" w:rsidTr="009E1FD4">
        <w:trPr>
          <w:cantSplit/>
          <w:jc w:val="center"/>
        </w:trPr>
        <w:tc>
          <w:tcPr>
            <w:tcW w:w="1185" w:type="dxa"/>
          </w:tcPr>
          <w:p w14:paraId="76E2146E" w14:textId="77777777" w:rsidR="00250D98" w:rsidRPr="009E1FD4" w:rsidRDefault="00250D98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6F" w14:textId="77777777" w:rsidR="00250D98" w:rsidRPr="009E1FD4" w:rsidRDefault="00250D98" w:rsidP="00250D98">
            <w:pPr>
              <w:spacing w:after="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has received all required state, local, county, and city permits to build and operate.</w:t>
            </w:r>
          </w:p>
        </w:tc>
      </w:tr>
      <w:tr w:rsidR="00250D98" w:rsidRPr="009E1FD4" w14:paraId="76E21473" w14:textId="77777777" w:rsidTr="009E1FD4">
        <w:trPr>
          <w:cantSplit/>
          <w:jc w:val="center"/>
        </w:trPr>
        <w:tc>
          <w:tcPr>
            <w:tcW w:w="1185" w:type="dxa"/>
          </w:tcPr>
          <w:p w14:paraId="76E21471" w14:textId="77777777" w:rsidR="00250D98" w:rsidRPr="009E1FD4" w:rsidRDefault="00250D98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72" w14:textId="77777777" w:rsidR="00250D98" w:rsidRPr="009E1FD4" w:rsidRDefault="00250D98" w:rsidP="001A68F5">
            <w:pPr>
              <w:spacing w:after="60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The station has a guard or cover installed over the station emergency shutdown system switch(es).</w:t>
            </w:r>
          </w:p>
        </w:tc>
      </w:tr>
      <w:tr w:rsidR="00250D98" w:rsidRPr="009E1FD4" w14:paraId="76E21479" w14:textId="77777777" w:rsidTr="009E1FD4">
        <w:trPr>
          <w:cantSplit/>
          <w:trHeight w:val="1963"/>
          <w:jc w:val="center"/>
        </w:trPr>
        <w:tc>
          <w:tcPr>
            <w:tcW w:w="1185" w:type="dxa"/>
          </w:tcPr>
          <w:p w14:paraId="76E21474" w14:textId="77777777" w:rsidR="00250D98" w:rsidRPr="009E1FD4" w:rsidRDefault="00250D98" w:rsidP="00250D98">
            <w:pPr>
              <w:pStyle w:val="Heading6"/>
              <w:keepNext w:val="0"/>
              <w:spacing w:after="0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65" w:type="dxa"/>
          </w:tcPr>
          <w:p w14:paraId="76E21475" w14:textId="75C3797D" w:rsidR="00250D98" w:rsidRPr="009E1FD4" w:rsidRDefault="001F7C9D" w:rsidP="001A68F5">
            <w:pPr>
              <w:spacing w:after="60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If Public Access, t</w:t>
            </w:r>
            <w:r w:rsidR="0CEB4401" w:rsidRPr="009E1FD4">
              <w:rPr>
                <w:rFonts w:ascii="Tahoma" w:hAnsi="Tahoma" w:cs="Tahoma"/>
                <w:sz w:val="24"/>
                <w:szCs w:val="24"/>
              </w:rPr>
              <w:t>he station is accessible to the public</w:t>
            </w:r>
            <w:r w:rsidR="03972822" w:rsidRPr="009E1FD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6E21476" w14:textId="77777777" w:rsidR="00250D98" w:rsidRPr="009E1FD4" w:rsidRDefault="00250D98" w:rsidP="001A68F5">
            <w:pPr>
              <w:spacing w:after="60"/>
              <w:ind w:left="481" w:hanging="481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•</w:t>
            </w:r>
            <w:r w:rsidRPr="009E1FD4">
              <w:rPr>
                <w:rFonts w:ascii="Tahoma" w:hAnsi="Tahoma" w:cs="Tahoma"/>
                <w:sz w:val="24"/>
                <w:szCs w:val="24"/>
              </w:rPr>
              <w:tab/>
              <w:t xml:space="preserve">No obstructions or obstacles exist to preclude vehicle operators from entering the station premises. </w:t>
            </w:r>
          </w:p>
          <w:p w14:paraId="76E21477" w14:textId="77777777" w:rsidR="00250D98" w:rsidRPr="009E1FD4" w:rsidRDefault="00250D98" w:rsidP="001A68F5">
            <w:pPr>
              <w:spacing w:after="60"/>
              <w:ind w:left="481" w:hanging="481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•</w:t>
            </w:r>
            <w:r w:rsidRPr="009E1FD4">
              <w:rPr>
                <w:rFonts w:ascii="Tahoma" w:hAnsi="Tahoma" w:cs="Tahoma"/>
                <w:sz w:val="24"/>
                <w:szCs w:val="24"/>
              </w:rPr>
              <w:tab/>
              <w:t xml:space="preserve">The user of the station is not required to obtain or to use access cards or personal identification (PIN) codes for the station to dispense fuel. </w:t>
            </w:r>
          </w:p>
          <w:p w14:paraId="76E21478" w14:textId="77777777" w:rsidR="00250D98" w:rsidRPr="009E1FD4" w:rsidRDefault="00250D98" w:rsidP="001A68F5">
            <w:pPr>
              <w:spacing w:after="60"/>
              <w:ind w:left="481" w:hanging="481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•</w:t>
            </w:r>
            <w:r w:rsidRPr="009E1FD4">
              <w:rPr>
                <w:rFonts w:ascii="Tahoma" w:hAnsi="Tahoma" w:cs="Tahoma"/>
                <w:sz w:val="24"/>
                <w:szCs w:val="24"/>
              </w:rPr>
              <w:tab/>
              <w:t>No formal or registered station training is required for individuals to use the hydrogen refueling station.</w:t>
            </w:r>
          </w:p>
        </w:tc>
      </w:tr>
    </w:tbl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Open Retail Station Requirements"/>
        <w:tblDescription w:val="Check and certify that each requirement is met."/>
      </w:tblPr>
      <w:tblGrid>
        <w:gridCol w:w="3605"/>
        <w:gridCol w:w="4050"/>
        <w:gridCol w:w="810"/>
        <w:gridCol w:w="900"/>
      </w:tblGrid>
      <w:tr w:rsidR="008E5B8A" w:rsidRPr="009E1FD4" w14:paraId="76E2147B" w14:textId="77777777" w:rsidTr="001F34DF">
        <w:trPr>
          <w:trHeight w:hRule="exact" w:val="2037"/>
          <w:jc w:val="center"/>
        </w:trPr>
        <w:tc>
          <w:tcPr>
            <w:tcW w:w="9365" w:type="dxa"/>
            <w:gridSpan w:val="4"/>
            <w:shd w:val="clear" w:color="auto" w:fill="E7E6E6" w:themeFill="background2"/>
            <w:vAlign w:val="center"/>
          </w:tcPr>
          <w:p w14:paraId="76E2147A" w14:textId="76A09573" w:rsidR="008E5B8A" w:rsidRPr="009E1FD4" w:rsidRDefault="3B2CAF68" w:rsidP="458AB39B">
            <w:pPr>
              <w:spacing w:after="60"/>
              <w:ind w:right="-7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E1FD4">
              <w:rPr>
                <w:rFonts w:ascii="Tahoma" w:hAnsi="Tahoma" w:cs="Tahoma"/>
                <w:b/>
                <w:bCs/>
                <w:sz w:val="24"/>
                <w:szCs w:val="24"/>
              </w:rPr>
              <w:t>Certification:</w:t>
            </w:r>
            <w:r w:rsidR="330BCDBF" w:rsidRPr="009E1FD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I hereby authorize the </w:t>
            </w:r>
            <w:r w:rsidR="330BCDBF" w:rsidRPr="009E1FD4">
              <w:rPr>
                <w:rFonts w:ascii="Tahoma" w:hAnsi="Tahoma" w:cs="Tahoma"/>
                <w:sz w:val="24"/>
                <w:szCs w:val="24"/>
              </w:rPr>
              <w:t>CEC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to make any inquiries necessary to verify the information presented in this checklist. I hereby certify to the best of my knowledge that th</w:t>
            </w:r>
            <w:r w:rsidR="00106311" w:rsidRPr="009E1FD4">
              <w:rPr>
                <w:rFonts w:ascii="Tahoma" w:hAnsi="Tahoma" w:cs="Tahoma"/>
                <w:sz w:val="24"/>
                <w:szCs w:val="24"/>
              </w:rPr>
              <w:t>e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station has been constructed and equipment has been installed </w:t>
            </w:r>
            <w:proofErr w:type="gramStart"/>
            <w:r w:rsidRPr="009E1FD4">
              <w:rPr>
                <w:rFonts w:ascii="Tahoma" w:hAnsi="Tahoma" w:cs="Tahoma"/>
                <w:sz w:val="24"/>
                <w:szCs w:val="24"/>
              </w:rPr>
              <w:t>consistent</w:t>
            </w:r>
            <w:proofErr w:type="gramEnd"/>
            <w:r w:rsidRPr="009E1FD4">
              <w:rPr>
                <w:rFonts w:ascii="Tahoma" w:hAnsi="Tahoma" w:cs="Tahoma"/>
                <w:sz w:val="24"/>
                <w:szCs w:val="24"/>
              </w:rPr>
              <w:t xml:space="preserve"> with the </w:t>
            </w:r>
            <w:r w:rsidR="330BCDBF" w:rsidRPr="009E1FD4">
              <w:rPr>
                <w:rFonts w:ascii="Tahoma" w:hAnsi="Tahoma" w:cs="Tahoma"/>
                <w:sz w:val="24"/>
                <w:szCs w:val="24"/>
              </w:rPr>
              <w:t>CEC</w:t>
            </w:r>
            <w:r w:rsidRPr="009E1FD4">
              <w:rPr>
                <w:rFonts w:ascii="Tahoma" w:hAnsi="Tahoma" w:cs="Tahoma"/>
                <w:sz w:val="24"/>
                <w:szCs w:val="24"/>
              </w:rPr>
              <w:t xml:space="preserve"> agreement and the information contained in this checklist is correct and complete. </w:t>
            </w:r>
            <w:r w:rsidR="79711B85" w:rsidRPr="009E1FD4">
              <w:rPr>
                <w:rFonts w:ascii="Tahoma" w:hAnsi="Tahoma" w:cs="Tahoma"/>
                <w:sz w:val="24"/>
                <w:szCs w:val="24"/>
              </w:rPr>
              <w:t>I certify that th</w:t>
            </w:r>
            <w:r w:rsidR="00106311" w:rsidRPr="009E1FD4">
              <w:rPr>
                <w:rFonts w:ascii="Tahoma" w:hAnsi="Tahoma" w:cs="Tahoma"/>
                <w:sz w:val="24"/>
                <w:szCs w:val="24"/>
              </w:rPr>
              <w:t>e</w:t>
            </w:r>
            <w:r w:rsidR="79711B85" w:rsidRPr="009E1FD4">
              <w:rPr>
                <w:rFonts w:ascii="Tahoma" w:hAnsi="Tahoma" w:cs="Tahoma"/>
                <w:sz w:val="24"/>
                <w:szCs w:val="24"/>
              </w:rPr>
              <w:t xml:space="preserve"> station will remain </w:t>
            </w:r>
            <w:r w:rsidR="001F7C9D" w:rsidRPr="009E1FD4">
              <w:rPr>
                <w:rFonts w:ascii="Tahoma" w:hAnsi="Tahoma" w:cs="Tahoma"/>
                <w:sz w:val="24"/>
                <w:szCs w:val="24"/>
              </w:rPr>
              <w:t>operational</w:t>
            </w:r>
            <w:r w:rsidR="79711B85" w:rsidRPr="009E1FD4">
              <w:rPr>
                <w:rFonts w:ascii="Tahoma" w:hAnsi="Tahoma" w:cs="Tahoma"/>
                <w:sz w:val="24"/>
                <w:szCs w:val="24"/>
              </w:rPr>
              <w:t xml:space="preserve"> for a minimum of </w:t>
            </w:r>
            <w:r w:rsidR="179DC69D" w:rsidRPr="009E1FD4">
              <w:rPr>
                <w:rFonts w:ascii="Tahoma" w:hAnsi="Tahoma" w:cs="Tahoma"/>
                <w:sz w:val="24"/>
                <w:szCs w:val="24"/>
              </w:rPr>
              <w:t xml:space="preserve">six </w:t>
            </w:r>
            <w:r w:rsidR="79711B85" w:rsidRPr="009E1FD4">
              <w:rPr>
                <w:rFonts w:ascii="Tahoma" w:hAnsi="Tahoma" w:cs="Tahoma"/>
                <w:sz w:val="24"/>
                <w:szCs w:val="24"/>
              </w:rPr>
              <w:t>years</w:t>
            </w:r>
            <w:r w:rsidR="32634B69" w:rsidRPr="009E1FD4">
              <w:rPr>
                <w:rFonts w:ascii="Tahoma" w:hAnsi="Tahoma" w:cs="Tahoma"/>
                <w:sz w:val="24"/>
                <w:szCs w:val="24"/>
              </w:rPr>
              <w:t xml:space="preserve"> and will meet and adhere to these Station Requirements during station operation</w:t>
            </w:r>
            <w:r w:rsidR="79711B85" w:rsidRPr="009E1FD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E5B8A" w:rsidRPr="009E1FD4" w14:paraId="76E21480" w14:textId="77777777" w:rsidTr="001F34DF">
        <w:trPr>
          <w:trHeight w:val="512"/>
          <w:jc w:val="center"/>
        </w:trPr>
        <w:tc>
          <w:tcPr>
            <w:tcW w:w="3605" w:type="dxa"/>
            <w:vAlign w:val="bottom"/>
          </w:tcPr>
          <w:p w14:paraId="76E2147C" w14:textId="77777777" w:rsidR="008E5B8A" w:rsidRPr="009E1FD4" w:rsidRDefault="00D40F94" w:rsidP="00F770DF">
            <w:pPr>
              <w:spacing w:after="0"/>
              <w:ind w:left="-72" w:right="-101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 xml:space="preserve">Name and </w:t>
            </w:r>
            <w:r w:rsidR="008E5B8A" w:rsidRPr="009E1FD4">
              <w:rPr>
                <w:rFonts w:ascii="Tahoma" w:hAnsi="Tahoma" w:cs="Tahoma"/>
                <w:sz w:val="24"/>
                <w:szCs w:val="24"/>
              </w:rPr>
              <w:t>Signature of Authorized Representative</w:t>
            </w:r>
          </w:p>
        </w:tc>
        <w:tc>
          <w:tcPr>
            <w:tcW w:w="4050" w:type="dxa"/>
            <w:vAlign w:val="bottom"/>
          </w:tcPr>
          <w:p w14:paraId="76E2147D" w14:textId="77777777" w:rsidR="008E5B8A" w:rsidRPr="009E1FD4" w:rsidRDefault="008E5B8A" w:rsidP="00F770DF">
            <w:pPr>
              <w:spacing w:after="0"/>
              <w:ind w:left="-72" w:right="-7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14:paraId="76E2147E" w14:textId="77777777" w:rsidR="008E5B8A" w:rsidRPr="009E1FD4" w:rsidRDefault="008E5B8A" w:rsidP="00F770DF">
            <w:pPr>
              <w:spacing w:after="0"/>
              <w:ind w:left="-72" w:right="-72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900" w:type="dxa"/>
            <w:vAlign w:val="bottom"/>
          </w:tcPr>
          <w:p w14:paraId="76E2147F" w14:textId="77777777" w:rsidR="008E5B8A" w:rsidRPr="009E1FD4" w:rsidRDefault="008E5B8A" w:rsidP="00F770DF">
            <w:pPr>
              <w:spacing w:after="0"/>
              <w:ind w:left="-72" w:right="-72"/>
              <w:rPr>
                <w:rFonts w:ascii="Tahoma" w:hAnsi="Tahoma" w:cs="Tahoma"/>
                <w:sz w:val="24"/>
                <w:szCs w:val="24"/>
              </w:rPr>
            </w:pPr>
            <w:r w:rsidRPr="009E1FD4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FD4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9E1FD4">
              <w:rPr>
                <w:rFonts w:ascii="Tahoma" w:hAnsi="Tahoma" w:cs="Tahoma"/>
                <w:sz w:val="24"/>
                <w:szCs w:val="24"/>
              </w:rPr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9E1FD4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9E1FD4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9E1FD4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9E1FD4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9E1FD4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9E1FD4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14:paraId="76E21481" w14:textId="77777777" w:rsidR="00016989" w:rsidRDefault="00016989" w:rsidP="006457A3">
      <w:pPr>
        <w:rPr>
          <w:rFonts w:ascii="Tahoma" w:hAnsi="Tahoma" w:cs="Tahoma"/>
        </w:rPr>
      </w:pPr>
    </w:p>
    <w:p w14:paraId="7EC229C7" w14:textId="77777777" w:rsidR="009E1FD4" w:rsidRPr="009E1FD4" w:rsidRDefault="009E1FD4" w:rsidP="009E1FD4">
      <w:pPr>
        <w:rPr>
          <w:rFonts w:ascii="Tahoma" w:hAnsi="Tahoma" w:cs="Tahoma"/>
        </w:rPr>
      </w:pPr>
    </w:p>
    <w:p w14:paraId="49666255" w14:textId="77777777" w:rsidR="009E1FD4" w:rsidRPr="009E1FD4" w:rsidRDefault="009E1FD4" w:rsidP="009E1FD4">
      <w:pPr>
        <w:rPr>
          <w:rFonts w:ascii="Tahoma" w:hAnsi="Tahoma" w:cs="Tahoma"/>
        </w:rPr>
      </w:pPr>
    </w:p>
    <w:p w14:paraId="176EBDC2" w14:textId="77777777" w:rsidR="009E1FD4" w:rsidRDefault="009E1FD4" w:rsidP="009E1FD4">
      <w:pPr>
        <w:rPr>
          <w:rFonts w:ascii="Tahoma" w:hAnsi="Tahoma" w:cs="Tahoma"/>
        </w:rPr>
      </w:pPr>
    </w:p>
    <w:sectPr w:rsidR="009E1FD4" w:rsidSect="003277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79" w:right="1440" w:bottom="126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B49C" w14:textId="77777777" w:rsidR="00FE3266" w:rsidRDefault="00FE3266" w:rsidP="00A5559C">
      <w:pPr>
        <w:spacing w:after="0"/>
      </w:pPr>
      <w:r>
        <w:separator/>
      </w:r>
    </w:p>
  </w:endnote>
  <w:endnote w:type="continuationSeparator" w:id="0">
    <w:p w14:paraId="5AE5A9BE" w14:textId="77777777" w:rsidR="00FE3266" w:rsidRDefault="00FE3266" w:rsidP="00A5559C">
      <w:pPr>
        <w:spacing w:after="0"/>
      </w:pPr>
      <w:r>
        <w:continuationSeparator/>
      </w:r>
    </w:p>
  </w:endnote>
  <w:endnote w:type="continuationNotice" w:id="1">
    <w:p w14:paraId="221F60AB" w14:textId="77777777" w:rsidR="00FE3266" w:rsidRDefault="00FE32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A4F" w14:textId="77777777" w:rsidR="00327726" w:rsidRDefault="0032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7715FC" w:rsidRPr="009E1FD4" w14:paraId="2165B6CD" w14:textId="77777777" w:rsidTr="244F8413">
      <w:trPr>
        <w:trHeight w:val="300"/>
      </w:trPr>
      <w:tc>
        <w:tcPr>
          <w:tcW w:w="3120" w:type="dxa"/>
        </w:tcPr>
        <w:p w14:paraId="6FA7E1BD" w14:textId="5EDEE3D4" w:rsidR="447715FC" w:rsidRPr="009E1FD4" w:rsidRDefault="001F4441" w:rsidP="447715FC">
          <w:pPr>
            <w:pStyle w:val="Header"/>
            <w:ind w:left="-115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April</w:t>
          </w:r>
          <w:r w:rsidR="244F8413" w:rsidRPr="244F8413">
            <w:rPr>
              <w:rFonts w:ascii="Tahoma" w:hAnsi="Tahoma" w:cs="Tahoma"/>
            </w:rPr>
            <w:t xml:space="preserve"> 2026</w:t>
          </w:r>
        </w:p>
      </w:tc>
      <w:tc>
        <w:tcPr>
          <w:tcW w:w="3120" w:type="dxa"/>
        </w:tcPr>
        <w:p w14:paraId="330B66E8" w14:textId="1C3334A3" w:rsidR="447715FC" w:rsidRPr="009E1FD4" w:rsidRDefault="447715FC" w:rsidP="447715FC">
          <w:pPr>
            <w:pStyle w:val="Header"/>
            <w:jc w:val="center"/>
            <w:rPr>
              <w:rFonts w:ascii="Tahoma" w:hAnsi="Tahoma" w:cs="Tahoma"/>
            </w:rPr>
          </w:pPr>
          <w:r w:rsidRPr="009E1FD4">
            <w:rPr>
              <w:rFonts w:ascii="Tahoma" w:hAnsi="Tahoma" w:cs="Tahoma"/>
            </w:rPr>
            <w:t xml:space="preserve">Page </w:t>
          </w:r>
          <w:r w:rsidRPr="009E1FD4">
            <w:rPr>
              <w:rFonts w:ascii="Tahoma" w:hAnsi="Tahoma" w:cs="Tahoma"/>
            </w:rPr>
            <w:fldChar w:fldCharType="begin"/>
          </w:r>
          <w:r w:rsidRPr="009E1FD4">
            <w:rPr>
              <w:rFonts w:ascii="Tahoma" w:hAnsi="Tahoma" w:cs="Tahoma"/>
            </w:rPr>
            <w:instrText>PAGE</w:instrText>
          </w:r>
          <w:r w:rsidRPr="009E1FD4">
            <w:rPr>
              <w:rFonts w:ascii="Tahoma" w:hAnsi="Tahoma" w:cs="Tahoma"/>
            </w:rPr>
            <w:fldChar w:fldCharType="separate"/>
          </w:r>
          <w:r w:rsidR="00BF524F" w:rsidRPr="009E1FD4">
            <w:rPr>
              <w:rFonts w:ascii="Tahoma" w:hAnsi="Tahoma" w:cs="Tahoma"/>
              <w:noProof/>
            </w:rPr>
            <w:t>1</w:t>
          </w:r>
          <w:r w:rsidRPr="009E1FD4">
            <w:rPr>
              <w:rFonts w:ascii="Tahoma" w:hAnsi="Tahoma" w:cs="Tahoma"/>
            </w:rPr>
            <w:fldChar w:fldCharType="end"/>
          </w:r>
          <w:r w:rsidRPr="009E1FD4">
            <w:rPr>
              <w:rFonts w:ascii="Tahoma" w:hAnsi="Tahoma" w:cs="Tahoma"/>
            </w:rPr>
            <w:t xml:space="preserve"> of </w:t>
          </w:r>
          <w:r w:rsidRPr="009E1FD4">
            <w:rPr>
              <w:rFonts w:ascii="Tahoma" w:hAnsi="Tahoma" w:cs="Tahoma"/>
            </w:rPr>
            <w:fldChar w:fldCharType="begin"/>
          </w:r>
          <w:r w:rsidRPr="009E1FD4">
            <w:rPr>
              <w:rFonts w:ascii="Tahoma" w:hAnsi="Tahoma" w:cs="Tahoma"/>
            </w:rPr>
            <w:instrText>NUMPAGES</w:instrText>
          </w:r>
          <w:r w:rsidRPr="009E1FD4">
            <w:rPr>
              <w:rFonts w:ascii="Tahoma" w:hAnsi="Tahoma" w:cs="Tahoma"/>
            </w:rPr>
            <w:fldChar w:fldCharType="separate"/>
          </w:r>
          <w:r w:rsidR="00BF524F" w:rsidRPr="009E1FD4">
            <w:rPr>
              <w:rFonts w:ascii="Tahoma" w:hAnsi="Tahoma" w:cs="Tahoma"/>
              <w:noProof/>
            </w:rPr>
            <w:t>2</w:t>
          </w:r>
          <w:r w:rsidRPr="009E1FD4">
            <w:rPr>
              <w:rFonts w:ascii="Tahoma" w:hAnsi="Tahoma" w:cs="Tahoma"/>
            </w:rPr>
            <w:fldChar w:fldCharType="end"/>
          </w:r>
        </w:p>
      </w:tc>
      <w:tc>
        <w:tcPr>
          <w:tcW w:w="3120" w:type="dxa"/>
        </w:tcPr>
        <w:p w14:paraId="0EEF85DF" w14:textId="17DE9A5E" w:rsidR="447715FC" w:rsidRPr="009E1FD4" w:rsidRDefault="447715FC" w:rsidP="447715FC">
          <w:pPr>
            <w:pStyle w:val="Header"/>
            <w:ind w:right="-115"/>
            <w:jc w:val="right"/>
            <w:rPr>
              <w:rFonts w:ascii="Tahoma" w:hAnsi="Tahoma" w:cs="Tahoma"/>
            </w:rPr>
          </w:pPr>
          <w:r w:rsidRPr="009E1FD4">
            <w:rPr>
              <w:rFonts w:ascii="Tahoma" w:hAnsi="Tahoma" w:cs="Tahoma"/>
            </w:rPr>
            <w:t>GFO-25-</w:t>
          </w:r>
          <w:r w:rsidR="001F4441">
            <w:rPr>
              <w:rFonts w:ascii="Tahoma" w:hAnsi="Tahoma" w:cs="Tahoma"/>
            </w:rPr>
            <w:t>607</w:t>
          </w:r>
        </w:p>
        <w:p w14:paraId="3C6C349B" w14:textId="6AFD2464" w:rsidR="447715FC" w:rsidRPr="009E1FD4" w:rsidRDefault="447715FC" w:rsidP="447715FC">
          <w:pPr>
            <w:pStyle w:val="Header"/>
            <w:ind w:right="-115"/>
            <w:jc w:val="right"/>
            <w:rPr>
              <w:rFonts w:ascii="Tahoma" w:hAnsi="Tahoma" w:cs="Tahoma"/>
            </w:rPr>
          </w:pPr>
          <w:r w:rsidRPr="009E1FD4">
            <w:rPr>
              <w:rFonts w:ascii="Tahoma" w:hAnsi="Tahoma" w:cs="Tahoma"/>
            </w:rPr>
            <w:t>Hydrogen Infrastructure</w:t>
          </w:r>
        </w:p>
        <w:p w14:paraId="126BAA90" w14:textId="314359A0" w:rsidR="447715FC" w:rsidRPr="009E1FD4" w:rsidRDefault="447715FC" w:rsidP="447715FC">
          <w:pPr>
            <w:pStyle w:val="Header"/>
            <w:ind w:right="-115"/>
            <w:jc w:val="right"/>
            <w:rPr>
              <w:rFonts w:ascii="Tahoma" w:hAnsi="Tahoma" w:cs="Tahoma"/>
            </w:rPr>
          </w:pPr>
          <w:r w:rsidRPr="009E1FD4">
            <w:rPr>
              <w:rFonts w:ascii="Tahoma" w:hAnsi="Tahoma" w:cs="Tahoma"/>
            </w:rPr>
            <w:t>Project Opportunity</w:t>
          </w:r>
        </w:p>
      </w:tc>
    </w:tr>
  </w:tbl>
  <w:p w14:paraId="30A493C1" w14:textId="6D75F61B" w:rsidR="447715FC" w:rsidRDefault="447715FC" w:rsidP="44771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70B" w14:textId="77777777" w:rsidR="00327726" w:rsidRDefault="0032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25CB" w14:textId="77777777" w:rsidR="00FE3266" w:rsidRDefault="00FE3266" w:rsidP="00A5559C">
      <w:pPr>
        <w:spacing w:after="0"/>
      </w:pPr>
      <w:r>
        <w:separator/>
      </w:r>
    </w:p>
  </w:footnote>
  <w:footnote w:type="continuationSeparator" w:id="0">
    <w:p w14:paraId="52A98C5D" w14:textId="77777777" w:rsidR="00FE3266" w:rsidRDefault="00FE3266" w:rsidP="00A5559C">
      <w:pPr>
        <w:spacing w:after="0"/>
      </w:pPr>
      <w:r>
        <w:continuationSeparator/>
      </w:r>
    </w:p>
  </w:footnote>
  <w:footnote w:type="continuationNotice" w:id="1">
    <w:p w14:paraId="741FA914" w14:textId="77777777" w:rsidR="00FE3266" w:rsidRDefault="00FE32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7963" w14:textId="77777777" w:rsidR="00327726" w:rsidRDefault="00327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1486" w14:textId="17505844" w:rsidR="00A5559C" w:rsidRPr="009E1FD4" w:rsidRDefault="40C3929B" w:rsidP="003B5DEF">
    <w:pPr>
      <w:pStyle w:val="Attachment"/>
      <w:keepLines/>
      <w:rPr>
        <w:rFonts w:ascii="Tahoma" w:hAnsi="Tahoma" w:cs="Tahoma"/>
        <w:sz w:val="28"/>
        <w:szCs w:val="28"/>
      </w:rPr>
    </w:pPr>
    <w:r w:rsidRPr="40C3929B">
      <w:rPr>
        <w:rFonts w:ascii="Tahoma" w:hAnsi="Tahoma" w:cs="Tahoma"/>
        <w:sz w:val="28"/>
        <w:szCs w:val="28"/>
      </w:rPr>
      <w:t>Attachment 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F05" w14:textId="77777777" w:rsidR="00327726" w:rsidRDefault="00327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CB6D"/>
    <w:multiLevelType w:val="hybridMultilevel"/>
    <w:tmpl w:val="FB5447FA"/>
    <w:lvl w:ilvl="0" w:tplc="9FEEED38">
      <w:start w:val="1"/>
      <w:numFmt w:val="decimal"/>
      <w:lvlText w:val="%1."/>
      <w:lvlJc w:val="left"/>
      <w:pPr>
        <w:ind w:left="720" w:hanging="360"/>
      </w:pPr>
    </w:lvl>
    <w:lvl w:ilvl="1" w:tplc="0A6E81E0">
      <w:start w:val="1"/>
      <w:numFmt w:val="lowerLetter"/>
      <w:lvlText w:val="%2."/>
      <w:lvlJc w:val="left"/>
      <w:pPr>
        <w:ind w:left="1440" w:hanging="360"/>
      </w:pPr>
    </w:lvl>
    <w:lvl w:ilvl="2" w:tplc="F8E896DE">
      <w:start w:val="1"/>
      <w:numFmt w:val="lowerRoman"/>
      <w:lvlText w:val="%3."/>
      <w:lvlJc w:val="right"/>
      <w:pPr>
        <w:ind w:left="2160" w:hanging="180"/>
      </w:pPr>
    </w:lvl>
    <w:lvl w:ilvl="3" w:tplc="2C9E2D94">
      <w:start w:val="1"/>
      <w:numFmt w:val="decimal"/>
      <w:lvlText w:val="%4."/>
      <w:lvlJc w:val="left"/>
      <w:pPr>
        <w:ind w:left="2880" w:hanging="360"/>
      </w:pPr>
    </w:lvl>
    <w:lvl w:ilvl="4" w:tplc="E1308A12">
      <w:start w:val="1"/>
      <w:numFmt w:val="lowerLetter"/>
      <w:lvlText w:val="%5."/>
      <w:lvlJc w:val="left"/>
      <w:pPr>
        <w:ind w:left="3600" w:hanging="360"/>
      </w:pPr>
    </w:lvl>
    <w:lvl w:ilvl="5" w:tplc="78141962">
      <w:start w:val="1"/>
      <w:numFmt w:val="lowerRoman"/>
      <w:lvlText w:val="%6."/>
      <w:lvlJc w:val="right"/>
      <w:pPr>
        <w:ind w:left="4320" w:hanging="180"/>
      </w:pPr>
    </w:lvl>
    <w:lvl w:ilvl="6" w:tplc="07025C94">
      <w:start w:val="1"/>
      <w:numFmt w:val="decimal"/>
      <w:lvlText w:val="%7."/>
      <w:lvlJc w:val="left"/>
      <w:pPr>
        <w:ind w:left="5040" w:hanging="360"/>
      </w:pPr>
    </w:lvl>
    <w:lvl w:ilvl="7" w:tplc="27FC6F46">
      <w:start w:val="1"/>
      <w:numFmt w:val="lowerLetter"/>
      <w:lvlText w:val="%8."/>
      <w:lvlJc w:val="left"/>
      <w:pPr>
        <w:ind w:left="5760" w:hanging="360"/>
      </w:pPr>
    </w:lvl>
    <w:lvl w:ilvl="8" w:tplc="4E1A91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88B5"/>
    <w:multiLevelType w:val="hybridMultilevel"/>
    <w:tmpl w:val="8ED61D2A"/>
    <w:lvl w:ilvl="0" w:tplc="53CE8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44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8E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61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8A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84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4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9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E9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F75A"/>
    <w:multiLevelType w:val="hybridMultilevel"/>
    <w:tmpl w:val="8C040F26"/>
    <w:lvl w:ilvl="0" w:tplc="8D36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0D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AA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A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C0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2E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0A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60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87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96E4"/>
    <w:multiLevelType w:val="hybridMultilevel"/>
    <w:tmpl w:val="F16E989A"/>
    <w:lvl w:ilvl="0" w:tplc="CC543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45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1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67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EB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68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28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E1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2E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A7B02"/>
    <w:multiLevelType w:val="hybridMultilevel"/>
    <w:tmpl w:val="07886F18"/>
    <w:lvl w:ilvl="0" w:tplc="5112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C9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D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A4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6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E1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E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65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EEE5"/>
    <w:multiLevelType w:val="hybridMultilevel"/>
    <w:tmpl w:val="1C02C884"/>
    <w:lvl w:ilvl="0" w:tplc="17A8D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48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6B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E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00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07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A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80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63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CB58"/>
    <w:multiLevelType w:val="hybridMultilevel"/>
    <w:tmpl w:val="2B3E6B0A"/>
    <w:lvl w:ilvl="0" w:tplc="D7D0F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E5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24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63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E3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C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4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06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49819">
    <w:abstractNumId w:val="0"/>
  </w:num>
  <w:num w:numId="2" w16cid:durableId="8071220">
    <w:abstractNumId w:val="1"/>
  </w:num>
  <w:num w:numId="3" w16cid:durableId="1701280115">
    <w:abstractNumId w:val="4"/>
  </w:num>
  <w:num w:numId="4" w16cid:durableId="1841235891">
    <w:abstractNumId w:val="2"/>
  </w:num>
  <w:num w:numId="5" w16cid:durableId="1151210512">
    <w:abstractNumId w:val="6"/>
  </w:num>
  <w:num w:numId="6" w16cid:durableId="422337559">
    <w:abstractNumId w:val="5"/>
  </w:num>
  <w:num w:numId="7" w16cid:durableId="175223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8A"/>
    <w:rsid w:val="00012FCF"/>
    <w:rsid w:val="00016989"/>
    <w:rsid w:val="0002594F"/>
    <w:rsid w:val="00026A78"/>
    <w:rsid w:val="000332A1"/>
    <w:rsid w:val="00040321"/>
    <w:rsid w:val="000654E8"/>
    <w:rsid w:val="0007248A"/>
    <w:rsid w:val="0009416A"/>
    <w:rsid w:val="00096885"/>
    <w:rsid w:val="000A3D1B"/>
    <w:rsid w:val="000B510A"/>
    <w:rsid w:val="000C14BA"/>
    <w:rsid w:val="000D3A79"/>
    <w:rsid w:val="000F2006"/>
    <w:rsid w:val="00106311"/>
    <w:rsid w:val="00116E85"/>
    <w:rsid w:val="00124687"/>
    <w:rsid w:val="00131490"/>
    <w:rsid w:val="00164329"/>
    <w:rsid w:val="00164854"/>
    <w:rsid w:val="001A68F5"/>
    <w:rsid w:val="001F34DF"/>
    <w:rsid w:val="001F4441"/>
    <w:rsid w:val="001F7C9D"/>
    <w:rsid w:val="00203A92"/>
    <w:rsid w:val="00215C7E"/>
    <w:rsid w:val="00236C0A"/>
    <w:rsid w:val="00243908"/>
    <w:rsid w:val="00247F75"/>
    <w:rsid w:val="00250D98"/>
    <w:rsid w:val="002541B4"/>
    <w:rsid w:val="00256121"/>
    <w:rsid w:val="002843B9"/>
    <w:rsid w:val="00284548"/>
    <w:rsid w:val="002A4C1B"/>
    <w:rsid w:val="002A5FD7"/>
    <w:rsid w:val="002B65A2"/>
    <w:rsid w:val="002B7E4D"/>
    <w:rsid w:val="002C05AD"/>
    <w:rsid w:val="002E0000"/>
    <w:rsid w:val="002E118F"/>
    <w:rsid w:val="00321A8D"/>
    <w:rsid w:val="00327726"/>
    <w:rsid w:val="00354B85"/>
    <w:rsid w:val="00361118"/>
    <w:rsid w:val="00372E55"/>
    <w:rsid w:val="00394CD9"/>
    <w:rsid w:val="00395192"/>
    <w:rsid w:val="003955C2"/>
    <w:rsid w:val="0039704E"/>
    <w:rsid w:val="003A0336"/>
    <w:rsid w:val="003B5DEF"/>
    <w:rsid w:val="003C486D"/>
    <w:rsid w:val="003D7C17"/>
    <w:rsid w:val="00401B7F"/>
    <w:rsid w:val="00402B33"/>
    <w:rsid w:val="004614D2"/>
    <w:rsid w:val="004711DB"/>
    <w:rsid w:val="004A48C4"/>
    <w:rsid w:val="004B192B"/>
    <w:rsid w:val="004C34BA"/>
    <w:rsid w:val="004D67BC"/>
    <w:rsid w:val="004D6AAD"/>
    <w:rsid w:val="004F52EA"/>
    <w:rsid w:val="00501111"/>
    <w:rsid w:val="00504880"/>
    <w:rsid w:val="00512FE3"/>
    <w:rsid w:val="00521759"/>
    <w:rsid w:val="0053521E"/>
    <w:rsid w:val="005354B5"/>
    <w:rsid w:val="00535BA6"/>
    <w:rsid w:val="00536120"/>
    <w:rsid w:val="005457C6"/>
    <w:rsid w:val="00580C67"/>
    <w:rsid w:val="00592E15"/>
    <w:rsid w:val="005972A6"/>
    <w:rsid w:val="005A0760"/>
    <w:rsid w:val="005A6AAE"/>
    <w:rsid w:val="005E670A"/>
    <w:rsid w:val="005E6A80"/>
    <w:rsid w:val="0060138E"/>
    <w:rsid w:val="006028A7"/>
    <w:rsid w:val="006039B7"/>
    <w:rsid w:val="00603CBA"/>
    <w:rsid w:val="0061478E"/>
    <w:rsid w:val="00636760"/>
    <w:rsid w:val="00636E74"/>
    <w:rsid w:val="006407A7"/>
    <w:rsid w:val="006457A3"/>
    <w:rsid w:val="00646D91"/>
    <w:rsid w:val="00657134"/>
    <w:rsid w:val="006704D3"/>
    <w:rsid w:val="006723D4"/>
    <w:rsid w:val="00683DFD"/>
    <w:rsid w:val="00696A92"/>
    <w:rsid w:val="006A3D9A"/>
    <w:rsid w:val="006B21FB"/>
    <w:rsid w:val="006B4543"/>
    <w:rsid w:val="006C165F"/>
    <w:rsid w:val="006C4398"/>
    <w:rsid w:val="006E5148"/>
    <w:rsid w:val="007263F2"/>
    <w:rsid w:val="00727246"/>
    <w:rsid w:val="00744484"/>
    <w:rsid w:val="00771915"/>
    <w:rsid w:val="0077265F"/>
    <w:rsid w:val="007824B2"/>
    <w:rsid w:val="00796787"/>
    <w:rsid w:val="007D0D73"/>
    <w:rsid w:val="007D0FA3"/>
    <w:rsid w:val="007E13C1"/>
    <w:rsid w:val="007F0497"/>
    <w:rsid w:val="007F08B0"/>
    <w:rsid w:val="007F7CAB"/>
    <w:rsid w:val="00806B12"/>
    <w:rsid w:val="00813EFE"/>
    <w:rsid w:val="00816B36"/>
    <w:rsid w:val="00821217"/>
    <w:rsid w:val="00836C02"/>
    <w:rsid w:val="00857E87"/>
    <w:rsid w:val="00860660"/>
    <w:rsid w:val="008619B6"/>
    <w:rsid w:val="00865F76"/>
    <w:rsid w:val="00872E31"/>
    <w:rsid w:val="00887BFF"/>
    <w:rsid w:val="00893334"/>
    <w:rsid w:val="008A798D"/>
    <w:rsid w:val="008B0021"/>
    <w:rsid w:val="008B2B25"/>
    <w:rsid w:val="008B5D4A"/>
    <w:rsid w:val="008C06E1"/>
    <w:rsid w:val="008D127A"/>
    <w:rsid w:val="008D2223"/>
    <w:rsid w:val="008D6C89"/>
    <w:rsid w:val="008E1FAD"/>
    <w:rsid w:val="008E22B1"/>
    <w:rsid w:val="008E347E"/>
    <w:rsid w:val="008E5B8A"/>
    <w:rsid w:val="008F0730"/>
    <w:rsid w:val="008F79FF"/>
    <w:rsid w:val="009067D8"/>
    <w:rsid w:val="0092253D"/>
    <w:rsid w:val="00926D8D"/>
    <w:rsid w:val="00927FBF"/>
    <w:rsid w:val="00931F38"/>
    <w:rsid w:val="009334FE"/>
    <w:rsid w:val="00994193"/>
    <w:rsid w:val="009950CB"/>
    <w:rsid w:val="009A70C3"/>
    <w:rsid w:val="009C7666"/>
    <w:rsid w:val="009E1FD4"/>
    <w:rsid w:val="009F4644"/>
    <w:rsid w:val="00A32205"/>
    <w:rsid w:val="00A539B9"/>
    <w:rsid w:val="00A5559C"/>
    <w:rsid w:val="00A92E46"/>
    <w:rsid w:val="00AC2581"/>
    <w:rsid w:val="00AD5172"/>
    <w:rsid w:val="00AE721B"/>
    <w:rsid w:val="00AF0B59"/>
    <w:rsid w:val="00B05F52"/>
    <w:rsid w:val="00B120DC"/>
    <w:rsid w:val="00B34AD1"/>
    <w:rsid w:val="00B4187D"/>
    <w:rsid w:val="00B4231E"/>
    <w:rsid w:val="00B438C4"/>
    <w:rsid w:val="00B44889"/>
    <w:rsid w:val="00B62B82"/>
    <w:rsid w:val="00B63B4F"/>
    <w:rsid w:val="00B71887"/>
    <w:rsid w:val="00B826A7"/>
    <w:rsid w:val="00B91392"/>
    <w:rsid w:val="00BB0408"/>
    <w:rsid w:val="00BB418E"/>
    <w:rsid w:val="00BB4CD4"/>
    <w:rsid w:val="00BB5F14"/>
    <w:rsid w:val="00BD0D41"/>
    <w:rsid w:val="00BE2C2D"/>
    <w:rsid w:val="00BE7EC9"/>
    <w:rsid w:val="00BF0886"/>
    <w:rsid w:val="00BF524F"/>
    <w:rsid w:val="00C0462A"/>
    <w:rsid w:val="00C057D2"/>
    <w:rsid w:val="00C1525B"/>
    <w:rsid w:val="00C1710B"/>
    <w:rsid w:val="00C36710"/>
    <w:rsid w:val="00C41179"/>
    <w:rsid w:val="00C41B98"/>
    <w:rsid w:val="00C46B4F"/>
    <w:rsid w:val="00C56C88"/>
    <w:rsid w:val="00C6588D"/>
    <w:rsid w:val="00C95813"/>
    <w:rsid w:val="00CA691C"/>
    <w:rsid w:val="00CB6F0D"/>
    <w:rsid w:val="00CC0DF7"/>
    <w:rsid w:val="00CD5BDE"/>
    <w:rsid w:val="00D0448C"/>
    <w:rsid w:val="00D07552"/>
    <w:rsid w:val="00D25AC3"/>
    <w:rsid w:val="00D40F94"/>
    <w:rsid w:val="00D72991"/>
    <w:rsid w:val="00D775E8"/>
    <w:rsid w:val="00DA6F04"/>
    <w:rsid w:val="00DA7F03"/>
    <w:rsid w:val="00DD17D7"/>
    <w:rsid w:val="00DD1FC0"/>
    <w:rsid w:val="00DD50C0"/>
    <w:rsid w:val="00E1246C"/>
    <w:rsid w:val="00E44FD3"/>
    <w:rsid w:val="00E65972"/>
    <w:rsid w:val="00E72F0E"/>
    <w:rsid w:val="00E8032A"/>
    <w:rsid w:val="00E820BA"/>
    <w:rsid w:val="00EA0708"/>
    <w:rsid w:val="00EA0CBC"/>
    <w:rsid w:val="00ED7B34"/>
    <w:rsid w:val="00EF2B9A"/>
    <w:rsid w:val="00EF4434"/>
    <w:rsid w:val="00F051C0"/>
    <w:rsid w:val="00F079E2"/>
    <w:rsid w:val="00F257E1"/>
    <w:rsid w:val="00F270AE"/>
    <w:rsid w:val="00F36088"/>
    <w:rsid w:val="00F46A06"/>
    <w:rsid w:val="00F51858"/>
    <w:rsid w:val="00F5784D"/>
    <w:rsid w:val="00F730CC"/>
    <w:rsid w:val="00F7679A"/>
    <w:rsid w:val="00F770DF"/>
    <w:rsid w:val="00FA2063"/>
    <w:rsid w:val="00FA71CA"/>
    <w:rsid w:val="00FB0FA3"/>
    <w:rsid w:val="00FB4FBE"/>
    <w:rsid w:val="00FD197F"/>
    <w:rsid w:val="00FD339C"/>
    <w:rsid w:val="00FD575F"/>
    <w:rsid w:val="00FE1BED"/>
    <w:rsid w:val="00FE3266"/>
    <w:rsid w:val="00FE4AE8"/>
    <w:rsid w:val="021B3326"/>
    <w:rsid w:val="02345B83"/>
    <w:rsid w:val="023C89E6"/>
    <w:rsid w:val="02BA9CF3"/>
    <w:rsid w:val="02F89FA1"/>
    <w:rsid w:val="03972822"/>
    <w:rsid w:val="03C5D48D"/>
    <w:rsid w:val="0410E3D1"/>
    <w:rsid w:val="04DFC255"/>
    <w:rsid w:val="057F00A7"/>
    <w:rsid w:val="060E924D"/>
    <w:rsid w:val="06539A12"/>
    <w:rsid w:val="0697D085"/>
    <w:rsid w:val="06EEA449"/>
    <w:rsid w:val="0712654D"/>
    <w:rsid w:val="07909E31"/>
    <w:rsid w:val="07B205A7"/>
    <w:rsid w:val="081419EE"/>
    <w:rsid w:val="094726A7"/>
    <w:rsid w:val="096CA4DA"/>
    <w:rsid w:val="096D25AD"/>
    <w:rsid w:val="0A89DB85"/>
    <w:rsid w:val="0AD04FF2"/>
    <w:rsid w:val="0AE1D4C5"/>
    <w:rsid w:val="0B42B88E"/>
    <w:rsid w:val="0B7BCA6D"/>
    <w:rsid w:val="0BF199E4"/>
    <w:rsid w:val="0C3BFBB5"/>
    <w:rsid w:val="0CBA177B"/>
    <w:rsid w:val="0CC2DB96"/>
    <w:rsid w:val="0CD73D9B"/>
    <w:rsid w:val="0CE2A08E"/>
    <w:rsid w:val="0CEB4401"/>
    <w:rsid w:val="0E223527"/>
    <w:rsid w:val="0E4C010F"/>
    <w:rsid w:val="0FD9359A"/>
    <w:rsid w:val="1069C50D"/>
    <w:rsid w:val="116A21F7"/>
    <w:rsid w:val="1194E169"/>
    <w:rsid w:val="12A95E2C"/>
    <w:rsid w:val="12BD344C"/>
    <w:rsid w:val="13094A8E"/>
    <w:rsid w:val="13C50852"/>
    <w:rsid w:val="14452E8D"/>
    <w:rsid w:val="14CDCD99"/>
    <w:rsid w:val="14D0145A"/>
    <w:rsid w:val="1526781A"/>
    <w:rsid w:val="158AF524"/>
    <w:rsid w:val="15A4CE5F"/>
    <w:rsid w:val="160982B4"/>
    <w:rsid w:val="1648B558"/>
    <w:rsid w:val="16A37E93"/>
    <w:rsid w:val="1764FC0E"/>
    <w:rsid w:val="179DC69D"/>
    <w:rsid w:val="180E4DEF"/>
    <w:rsid w:val="1950808C"/>
    <w:rsid w:val="19A6D561"/>
    <w:rsid w:val="1A44565B"/>
    <w:rsid w:val="1A5CF330"/>
    <w:rsid w:val="1B0C25A7"/>
    <w:rsid w:val="1BB68CD6"/>
    <w:rsid w:val="1BE441C6"/>
    <w:rsid w:val="1C2B083D"/>
    <w:rsid w:val="1C2E2844"/>
    <w:rsid w:val="1C823174"/>
    <w:rsid w:val="1E5C6823"/>
    <w:rsid w:val="1E9FF3A3"/>
    <w:rsid w:val="1F420A6A"/>
    <w:rsid w:val="1F497AD0"/>
    <w:rsid w:val="1F7E56E5"/>
    <w:rsid w:val="214551F0"/>
    <w:rsid w:val="21795EFC"/>
    <w:rsid w:val="2241A693"/>
    <w:rsid w:val="23221550"/>
    <w:rsid w:val="2418910F"/>
    <w:rsid w:val="244F8413"/>
    <w:rsid w:val="247584D8"/>
    <w:rsid w:val="248534B8"/>
    <w:rsid w:val="257BE459"/>
    <w:rsid w:val="2656548D"/>
    <w:rsid w:val="265756A2"/>
    <w:rsid w:val="26B18442"/>
    <w:rsid w:val="26E4AA4A"/>
    <w:rsid w:val="271FC308"/>
    <w:rsid w:val="276269C2"/>
    <w:rsid w:val="27E1CD99"/>
    <w:rsid w:val="28B90F64"/>
    <w:rsid w:val="2A9A0A84"/>
    <w:rsid w:val="2B63868F"/>
    <w:rsid w:val="2BD9B4D2"/>
    <w:rsid w:val="2C69F5B3"/>
    <w:rsid w:val="2D50F63B"/>
    <w:rsid w:val="2FB46D1C"/>
    <w:rsid w:val="30243F91"/>
    <w:rsid w:val="318F16FF"/>
    <w:rsid w:val="31CD3317"/>
    <w:rsid w:val="31D28FC1"/>
    <w:rsid w:val="31DDFE73"/>
    <w:rsid w:val="32634B69"/>
    <w:rsid w:val="32CB4B42"/>
    <w:rsid w:val="330BCDBF"/>
    <w:rsid w:val="33737D16"/>
    <w:rsid w:val="346DB5A3"/>
    <w:rsid w:val="34742B2D"/>
    <w:rsid w:val="34764224"/>
    <w:rsid w:val="34D64451"/>
    <w:rsid w:val="35DCBD2B"/>
    <w:rsid w:val="362895FC"/>
    <w:rsid w:val="373523BC"/>
    <w:rsid w:val="39AF6824"/>
    <w:rsid w:val="3A3EF522"/>
    <w:rsid w:val="3A5C17FE"/>
    <w:rsid w:val="3B2CAF68"/>
    <w:rsid w:val="3BE1D6D9"/>
    <w:rsid w:val="3D618324"/>
    <w:rsid w:val="3E2C0F29"/>
    <w:rsid w:val="3F299682"/>
    <w:rsid w:val="3F6352F8"/>
    <w:rsid w:val="3F7D9EC5"/>
    <w:rsid w:val="3FE97A92"/>
    <w:rsid w:val="40C3929B"/>
    <w:rsid w:val="40D68A9C"/>
    <w:rsid w:val="4110DA27"/>
    <w:rsid w:val="41F4C0B6"/>
    <w:rsid w:val="41FA0A68"/>
    <w:rsid w:val="423433B6"/>
    <w:rsid w:val="42C89FB6"/>
    <w:rsid w:val="430997D2"/>
    <w:rsid w:val="439C2CE6"/>
    <w:rsid w:val="446E7B69"/>
    <w:rsid w:val="447715FC"/>
    <w:rsid w:val="452846F9"/>
    <w:rsid w:val="4537B8FD"/>
    <w:rsid w:val="45584F6A"/>
    <w:rsid w:val="458AB39B"/>
    <w:rsid w:val="466F73FC"/>
    <w:rsid w:val="467CF232"/>
    <w:rsid w:val="46DD9CB2"/>
    <w:rsid w:val="46ECCA0B"/>
    <w:rsid w:val="4730368B"/>
    <w:rsid w:val="47C28E42"/>
    <w:rsid w:val="484D1E00"/>
    <w:rsid w:val="48889A6C"/>
    <w:rsid w:val="489C708C"/>
    <w:rsid w:val="49A52A56"/>
    <w:rsid w:val="49B03744"/>
    <w:rsid w:val="49E7A78D"/>
    <w:rsid w:val="49F93E4B"/>
    <w:rsid w:val="4A8BE2FD"/>
    <w:rsid w:val="4B386FF4"/>
    <w:rsid w:val="4B3D5BA9"/>
    <w:rsid w:val="4B485CA8"/>
    <w:rsid w:val="4CAAC5EB"/>
    <w:rsid w:val="4D09F6E9"/>
    <w:rsid w:val="4D1F484F"/>
    <w:rsid w:val="4D30DF0D"/>
    <w:rsid w:val="4DC8E46B"/>
    <w:rsid w:val="4E30B40E"/>
    <w:rsid w:val="4EE75DB7"/>
    <w:rsid w:val="4F7E6DFA"/>
    <w:rsid w:val="5050AB51"/>
    <w:rsid w:val="51755B6D"/>
    <w:rsid w:val="5248182F"/>
    <w:rsid w:val="52925730"/>
    <w:rsid w:val="5392D636"/>
    <w:rsid w:val="5516B75B"/>
    <w:rsid w:val="554DCED8"/>
    <w:rsid w:val="55E1FAD2"/>
    <w:rsid w:val="5644FBC9"/>
    <w:rsid w:val="5673FC65"/>
    <w:rsid w:val="56C4703A"/>
    <w:rsid w:val="56ED48BD"/>
    <w:rsid w:val="5778FC5A"/>
    <w:rsid w:val="57D08065"/>
    <w:rsid w:val="57F7B468"/>
    <w:rsid w:val="58CEAEA4"/>
    <w:rsid w:val="592D274E"/>
    <w:rsid w:val="5939FB56"/>
    <w:rsid w:val="5A7FC89D"/>
    <w:rsid w:val="5B1B02BA"/>
    <w:rsid w:val="5C689F36"/>
    <w:rsid w:val="5C74364E"/>
    <w:rsid w:val="5CD39B9D"/>
    <w:rsid w:val="5D45FF5C"/>
    <w:rsid w:val="5D9235D8"/>
    <w:rsid w:val="5E4CC9EF"/>
    <w:rsid w:val="5E617201"/>
    <w:rsid w:val="5FDF6961"/>
    <w:rsid w:val="5FEC1880"/>
    <w:rsid w:val="601AAECE"/>
    <w:rsid w:val="6074FA61"/>
    <w:rsid w:val="61F0F7C9"/>
    <w:rsid w:val="62B634AC"/>
    <w:rsid w:val="63341132"/>
    <w:rsid w:val="641819A9"/>
    <w:rsid w:val="648131A1"/>
    <w:rsid w:val="64FCEA21"/>
    <w:rsid w:val="654CB7E7"/>
    <w:rsid w:val="65860C98"/>
    <w:rsid w:val="65DD1FCD"/>
    <w:rsid w:val="65E39CAA"/>
    <w:rsid w:val="6660502A"/>
    <w:rsid w:val="6667028C"/>
    <w:rsid w:val="66CA2277"/>
    <w:rsid w:val="66E88848"/>
    <w:rsid w:val="673B6B3E"/>
    <w:rsid w:val="679E9EC7"/>
    <w:rsid w:val="67B2B89B"/>
    <w:rsid w:val="681FB22D"/>
    <w:rsid w:val="6888DFE3"/>
    <w:rsid w:val="690532D5"/>
    <w:rsid w:val="69702E16"/>
    <w:rsid w:val="6A998F7A"/>
    <w:rsid w:val="6AB3BB3E"/>
    <w:rsid w:val="6ABB3341"/>
    <w:rsid w:val="6B0BFE77"/>
    <w:rsid w:val="6BC71ABD"/>
    <w:rsid w:val="6BCF986D"/>
    <w:rsid w:val="6BEDC823"/>
    <w:rsid w:val="6C099983"/>
    <w:rsid w:val="6CB78BA1"/>
    <w:rsid w:val="6CD573C9"/>
    <w:rsid w:val="6D83E67E"/>
    <w:rsid w:val="6E439F39"/>
    <w:rsid w:val="6ED0335D"/>
    <w:rsid w:val="6EE16964"/>
    <w:rsid w:val="6EFDFABC"/>
    <w:rsid w:val="6F206306"/>
    <w:rsid w:val="6F8EA464"/>
    <w:rsid w:val="705A763F"/>
    <w:rsid w:val="7170D91D"/>
    <w:rsid w:val="71B43078"/>
    <w:rsid w:val="71F1B530"/>
    <w:rsid w:val="720FA4B7"/>
    <w:rsid w:val="73018922"/>
    <w:rsid w:val="7307F0DC"/>
    <w:rsid w:val="73E7CC6F"/>
    <w:rsid w:val="7445DF23"/>
    <w:rsid w:val="746CFFFF"/>
    <w:rsid w:val="75360D5A"/>
    <w:rsid w:val="763929E4"/>
    <w:rsid w:val="76452D29"/>
    <w:rsid w:val="76AA4035"/>
    <w:rsid w:val="76C0827D"/>
    <w:rsid w:val="76DBEED9"/>
    <w:rsid w:val="76FD0309"/>
    <w:rsid w:val="771D283D"/>
    <w:rsid w:val="778D99E8"/>
    <w:rsid w:val="77C1B37D"/>
    <w:rsid w:val="77C97827"/>
    <w:rsid w:val="77F26F05"/>
    <w:rsid w:val="7811BD85"/>
    <w:rsid w:val="78D14CE1"/>
    <w:rsid w:val="78EEC403"/>
    <w:rsid w:val="79711B85"/>
    <w:rsid w:val="798E3F66"/>
    <w:rsid w:val="79B80834"/>
    <w:rsid w:val="79CFE3EF"/>
    <w:rsid w:val="79F11664"/>
    <w:rsid w:val="7A330F83"/>
    <w:rsid w:val="7A8771D9"/>
    <w:rsid w:val="7C1766F5"/>
    <w:rsid w:val="7C1FAD25"/>
    <w:rsid w:val="7C6EBE67"/>
    <w:rsid w:val="7CDC10D3"/>
    <w:rsid w:val="7D367D5F"/>
    <w:rsid w:val="7E81F870"/>
    <w:rsid w:val="7EA80840"/>
    <w:rsid w:val="7F7D5DB6"/>
    <w:rsid w:val="7FC6E3CD"/>
    <w:rsid w:val="7FE0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2142A"/>
  <w15:chartTrackingRefBased/>
  <w15:docId w15:val="{EFB9A1AC-55C9-486E-927E-E59E52C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8A"/>
    <w:pPr>
      <w:spacing w:after="120" w:line="240" w:lineRule="auto"/>
    </w:pPr>
    <w:rPr>
      <w:rFonts w:ascii="Arial" w:eastAsia="Times New Roman" w:hAnsi="Arial" w:cs="Arial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E5B8A"/>
    <w:pPr>
      <w:keepNext/>
      <w:shd w:val="pct15" w:color="auto" w:fill="auto"/>
      <w:spacing w:after="240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8E5B8A"/>
    <w:pPr>
      <w:keepNext/>
      <w:ind w:left="1440"/>
      <w:jc w:val="right"/>
      <w:outlineLvl w:val="5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E5B8A"/>
    <w:rPr>
      <w:rFonts w:ascii="Arial" w:eastAsia="Times New Roman" w:hAnsi="Arial" w:cs="Arial"/>
      <w:b/>
      <w:sz w:val="32"/>
      <w:szCs w:val="20"/>
      <w:shd w:val="pct15" w:color="auto" w:fill="auto"/>
      <w:lang w:eastAsia="en-US"/>
    </w:rPr>
  </w:style>
  <w:style w:type="character" w:customStyle="1" w:styleId="Heading6Char">
    <w:name w:val="Heading 6 Char"/>
    <w:basedOn w:val="DefaultParagraphFont"/>
    <w:link w:val="Heading6"/>
    <w:rsid w:val="008E5B8A"/>
    <w:rPr>
      <w:rFonts w:ascii="Arial" w:eastAsia="Times New Roman" w:hAnsi="Arial" w:cs="Arial"/>
      <w:i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8E5B8A"/>
    <w:pPr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achment">
    <w:name w:val="Attachment"/>
    <w:basedOn w:val="Normal"/>
    <w:qFormat/>
    <w:rsid w:val="008E5B8A"/>
    <w:pPr>
      <w:spacing w:after="0"/>
      <w:jc w:val="center"/>
      <w:outlineLvl w:val="0"/>
    </w:pPr>
    <w:rPr>
      <w:rFonts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8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5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559C"/>
    <w:rPr>
      <w:rFonts w:ascii="Arial" w:eastAsia="Times New Roman" w:hAnsi="Arial" w:cs="Arial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55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559C"/>
    <w:rPr>
      <w:rFonts w:ascii="Arial" w:eastAsia="Times New Roman" w:hAnsi="Arial" w:cs="Arial"/>
      <w:szCs w:val="20"/>
      <w:lang w:eastAsia="en-US"/>
    </w:rPr>
  </w:style>
  <w:style w:type="paragraph" w:customStyle="1" w:styleId="Normalwithspaceafter">
    <w:name w:val="Normal with space after"/>
    <w:basedOn w:val="Normal"/>
    <w:qFormat/>
    <w:rsid w:val="008B0021"/>
    <w:rPr>
      <w:rFonts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6F206306"/>
  </w:style>
  <w:style w:type="character" w:customStyle="1" w:styleId="eop">
    <w:name w:val="eop"/>
    <w:basedOn w:val="DefaultParagraphFont"/>
    <w:uiPriority w:val="1"/>
    <w:rsid w:val="6F206306"/>
  </w:style>
  <w:style w:type="character" w:customStyle="1" w:styleId="findhit">
    <w:name w:val="findhit"/>
    <w:basedOn w:val="DefaultParagraphFont"/>
    <w:uiPriority w:val="1"/>
    <w:rsid w:val="6F20630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2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6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65F"/>
    <w:rPr>
      <w:rFonts w:ascii="Arial" w:eastAsia="Times New Roman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5F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77265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079E2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4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6E719-6763-44D0-BA06-D5AEA2621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75B18-745F-4331-BCB6-43522F2564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EE556-A0A6-4B6D-9101-FB994FC016FB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47CDDF1D-17CF-496B-8EEB-14BEDC2EC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5541</Characters>
  <Application>Microsoft Office Word</Application>
  <DocSecurity>0</DocSecurity>
  <Lines>158</Lines>
  <Paragraphs>67</Paragraphs>
  <ScaleCrop>false</ScaleCrop>
  <Company>California Energy Commission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Retail Station Checklist</dc:title>
  <dc:subject/>
  <dc:creator>Crowell, Miki@Energy;Andrea.Hoppe@energy.ca.gov</dc:creator>
  <cp:keywords/>
  <dc:description/>
  <cp:lastModifiedBy>Peri, Carissa@Energy</cp:lastModifiedBy>
  <cp:revision>32</cp:revision>
  <dcterms:created xsi:type="dcterms:W3CDTF">2025-07-31T20:59:00Z</dcterms:created>
  <dcterms:modified xsi:type="dcterms:W3CDTF">2026-03-27T19:03:00Z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a6daf79aa404f457552f7a31f853e8b58e9dfcc557bc9ec1bdf36bd32429ea65</vt:lpwstr>
  </property>
</Properties>
</file>