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30E0" w14:textId="2750B524" w:rsidR="00FC1F9F" w:rsidRPr="00D731CE" w:rsidRDefault="002F1D3B" w:rsidP="00D731CE">
      <w:pPr>
        <w:pStyle w:val="Heading1"/>
        <w:jc w:val="center"/>
        <w:rPr>
          <w:rFonts w:eastAsia="+mn-ea"/>
          <w:i/>
          <w:iCs/>
          <w:sz w:val="32"/>
          <w:szCs w:val="32"/>
        </w:rPr>
      </w:pPr>
      <w:r w:rsidRPr="00D731CE">
        <w:rPr>
          <w:rFonts w:eastAsia="+mn-ea"/>
          <w:i/>
          <w:iCs/>
          <w:sz w:val="32"/>
          <w:szCs w:val="32"/>
        </w:rPr>
        <w:t>Climate and Wildfire Workplan and Data Directions</w:t>
      </w:r>
    </w:p>
    <w:p w14:paraId="00F9F277" w14:textId="5FA4157B" w:rsidR="009449D4" w:rsidRPr="00A476BA" w:rsidRDefault="009C4560" w:rsidP="002F1D3B">
      <w:pPr>
        <w:rPr>
          <w:rFonts w:ascii="Aptos Display" w:eastAsia="+mn-ea" w:hAnsi="Aptos Display" w:cs="+mn-cs"/>
          <w:i/>
          <w:iCs/>
          <w:color w:val="156082" w:themeColor="accent1"/>
          <w:kern w:val="24"/>
        </w:rPr>
      </w:pPr>
      <w:r w:rsidRPr="00114832">
        <w:rPr>
          <w:rFonts w:ascii="Aptos Display" w:eastAsia="+mn-ea" w:hAnsi="Aptos Display" w:cs="+mn-cs"/>
          <w:i/>
          <w:iCs/>
          <w:color w:val="156082" w:themeColor="accent1"/>
          <w:kern w:val="24"/>
        </w:rPr>
        <w:t>Please email your responses</w:t>
      </w:r>
      <w:r w:rsidR="008235E0">
        <w:rPr>
          <w:rFonts w:ascii="Aptos Display" w:eastAsia="+mn-ea" w:hAnsi="Aptos Display" w:cs="+mn-cs"/>
          <w:i/>
          <w:iCs/>
          <w:color w:val="156082" w:themeColor="accent1"/>
          <w:kern w:val="24"/>
        </w:rPr>
        <w:t xml:space="preserve"> by April </w:t>
      </w:r>
      <w:r w:rsidR="00467686">
        <w:rPr>
          <w:rFonts w:ascii="Aptos Display" w:eastAsia="+mn-ea" w:hAnsi="Aptos Display" w:cs="+mn-cs"/>
          <w:i/>
          <w:iCs/>
          <w:color w:val="156082" w:themeColor="accent1"/>
          <w:kern w:val="24"/>
        </w:rPr>
        <w:t>1</w:t>
      </w:r>
      <w:r w:rsidR="00DA24AA">
        <w:rPr>
          <w:rFonts w:ascii="Aptos Display" w:eastAsia="+mn-ea" w:hAnsi="Aptos Display" w:cs="+mn-cs"/>
          <w:i/>
          <w:iCs/>
          <w:color w:val="156082" w:themeColor="accent1"/>
          <w:kern w:val="24"/>
        </w:rPr>
        <w:t>7</w:t>
      </w:r>
      <w:r w:rsidR="008235E0" w:rsidRPr="008235E0">
        <w:rPr>
          <w:rFonts w:ascii="Aptos Display" w:eastAsia="+mn-ea" w:hAnsi="Aptos Display" w:cs="+mn-cs"/>
          <w:i/>
          <w:iCs/>
          <w:color w:val="156082" w:themeColor="accent1"/>
          <w:kern w:val="24"/>
          <w:vertAlign w:val="superscript"/>
        </w:rPr>
        <w:t>th</w:t>
      </w:r>
      <w:r w:rsidR="008235E0">
        <w:rPr>
          <w:rFonts w:ascii="Aptos Display" w:eastAsia="+mn-ea" w:hAnsi="Aptos Display" w:cs="+mn-cs"/>
          <w:i/>
          <w:iCs/>
          <w:color w:val="156082" w:themeColor="accent1"/>
          <w:kern w:val="24"/>
        </w:rPr>
        <w:t xml:space="preserve">, </w:t>
      </w:r>
      <w:proofErr w:type="gramStart"/>
      <w:r w:rsidR="008235E0">
        <w:rPr>
          <w:rFonts w:ascii="Aptos Display" w:eastAsia="+mn-ea" w:hAnsi="Aptos Display" w:cs="+mn-cs"/>
          <w:i/>
          <w:iCs/>
          <w:color w:val="156082" w:themeColor="accent1"/>
          <w:kern w:val="24"/>
        </w:rPr>
        <w:t>2026</w:t>
      </w:r>
      <w:proofErr w:type="gramEnd"/>
      <w:r w:rsidRPr="00114832">
        <w:rPr>
          <w:rFonts w:ascii="Aptos Display" w:eastAsia="+mn-ea" w:hAnsi="Aptos Display" w:cs="+mn-cs"/>
          <w:i/>
          <w:iCs/>
          <w:color w:val="156082" w:themeColor="accent1"/>
          <w:kern w:val="24"/>
        </w:rPr>
        <w:t xml:space="preserve"> to </w:t>
      </w:r>
      <w:hyperlink r:id="rId11" w:history="1">
        <w:r w:rsidR="00114832" w:rsidRPr="005B0400">
          <w:rPr>
            <w:rStyle w:val="Hyperlink"/>
            <w:rFonts w:ascii="Aptos Display" w:eastAsia="+mn-ea" w:hAnsi="Aptos Display" w:cs="+mn-cs"/>
            <w:i/>
            <w:iCs/>
            <w:kern w:val="24"/>
          </w:rPr>
          <w:t>cdawg@energy.ca.gov</w:t>
        </w:r>
      </w:hyperlink>
      <w:r w:rsidR="00114832">
        <w:rPr>
          <w:rFonts w:ascii="Aptos Display" w:eastAsia="+mn-ea" w:hAnsi="Aptos Display" w:cs="+mn-cs"/>
          <w:i/>
          <w:iCs/>
          <w:color w:val="156082" w:themeColor="accent1"/>
          <w:kern w:val="24"/>
        </w:rPr>
        <w:t xml:space="preserve"> – thank you!</w:t>
      </w:r>
    </w:p>
    <w:p w14:paraId="6D3ED707" w14:textId="3AFFC373" w:rsidR="002F1D3B" w:rsidRPr="003D0953" w:rsidRDefault="002F1D3B" w:rsidP="003D0953">
      <w:pPr>
        <w:pStyle w:val="Heading2"/>
        <w:rPr>
          <w:rFonts w:eastAsia="+mn-ea"/>
          <w:b/>
          <w:bCs/>
          <w:sz w:val="24"/>
          <w:szCs w:val="24"/>
          <w:u w:val="single"/>
        </w:rPr>
      </w:pPr>
      <w:r w:rsidRPr="003D0953">
        <w:rPr>
          <w:rFonts w:eastAsia="+mn-ea"/>
          <w:b/>
          <w:bCs/>
          <w:sz w:val="24"/>
          <w:szCs w:val="24"/>
          <w:u w:val="single"/>
        </w:rPr>
        <w:t>Climate Questions</w:t>
      </w:r>
    </w:p>
    <w:p w14:paraId="45FAE894" w14:textId="77777777" w:rsidR="009C4560" w:rsidRPr="003D0953" w:rsidRDefault="009C4560" w:rsidP="003D0953">
      <w:pPr>
        <w:pStyle w:val="Heading3"/>
        <w:rPr>
          <w:rFonts w:eastAsia="+mn-ea"/>
          <w:sz w:val="24"/>
          <w:szCs w:val="24"/>
          <w:u w:val="single"/>
        </w:rPr>
      </w:pPr>
      <w:r w:rsidRPr="003D0953">
        <w:rPr>
          <w:rFonts w:eastAsia="+mn-ea"/>
          <w:sz w:val="24"/>
          <w:szCs w:val="24"/>
          <w:u w:val="single"/>
        </w:rPr>
        <w:t>Data Products</w:t>
      </w:r>
    </w:p>
    <w:p w14:paraId="45B957C6" w14:textId="602CE40B" w:rsidR="009C4560" w:rsidRPr="00DA24AA" w:rsidRDefault="009C4560" w:rsidP="005E6DCF">
      <w:pPr>
        <w:pStyle w:val="ListParagraph"/>
        <w:numPr>
          <w:ilvl w:val="0"/>
          <w:numId w:val="4"/>
        </w:numPr>
        <w:contextualSpacing w:val="0"/>
        <w:rPr>
          <w:rFonts w:eastAsia="+mn-ea" w:cs="+mn-cs"/>
          <w:color w:val="156082" w:themeColor="accent1"/>
          <w:kern w:val="24"/>
        </w:rPr>
      </w:pPr>
      <w:r w:rsidRPr="00DA24AA">
        <w:rPr>
          <w:rFonts w:eastAsia="+mn-ea" w:cs="+mn-cs"/>
          <w:color w:val="156082" w:themeColor="accent1"/>
          <w:kern w:val="24"/>
        </w:rPr>
        <w:t xml:space="preserve">How to balance analysis &amp; integration of </w:t>
      </w:r>
      <w:r w:rsidRPr="00DA24AA">
        <w:rPr>
          <w:rFonts w:eastAsia="+mn-ea" w:cs="+mn-cs"/>
          <w:i/>
          <w:iCs/>
          <w:color w:val="156082" w:themeColor="accent1"/>
          <w:kern w:val="24"/>
        </w:rPr>
        <w:t>existing</w:t>
      </w:r>
      <w:r w:rsidRPr="00DA24AA">
        <w:rPr>
          <w:rFonts w:eastAsia="+mn-ea" w:cs="+mn-cs"/>
          <w:color w:val="156082" w:themeColor="accent1"/>
          <w:kern w:val="24"/>
        </w:rPr>
        <w:t xml:space="preserve"> data v. generation of new data products?</w:t>
      </w:r>
    </w:p>
    <w:p w14:paraId="726910E2" w14:textId="4608268B" w:rsidR="009C4560" w:rsidRPr="00DA24AA" w:rsidRDefault="009C4560" w:rsidP="005E6DCF">
      <w:pPr>
        <w:pStyle w:val="ListParagraph"/>
        <w:numPr>
          <w:ilvl w:val="0"/>
          <w:numId w:val="4"/>
        </w:numPr>
        <w:contextualSpacing w:val="0"/>
        <w:rPr>
          <w:rFonts w:eastAsia="+mn-ea" w:cs="+mn-cs"/>
          <w:color w:val="156082" w:themeColor="accent1"/>
          <w:kern w:val="24"/>
        </w:rPr>
      </w:pPr>
      <w:r w:rsidRPr="00DA24AA">
        <w:rPr>
          <w:rFonts w:eastAsia="+mn-ea" w:cs="+mn-cs"/>
          <w:color w:val="156082" w:themeColor="accent1"/>
          <w:kern w:val="24"/>
        </w:rPr>
        <w:t xml:space="preserve">On </w:t>
      </w:r>
      <w:r w:rsidRPr="00DA24AA">
        <w:rPr>
          <w:rFonts w:eastAsia="+mn-ea" w:cs="+mn-cs"/>
          <w:i/>
          <w:iCs/>
          <w:color w:val="156082" w:themeColor="accent1"/>
          <w:kern w:val="24"/>
        </w:rPr>
        <w:t>new</w:t>
      </w:r>
      <w:r w:rsidRPr="00DA24AA">
        <w:rPr>
          <w:rFonts w:eastAsia="+mn-ea" w:cs="+mn-cs"/>
          <w:color w:val="156082" w:themeColor="accent1"/>
          <w:kern w:val="24"/>
        </w:rPr>
        <w:t xml:space="preserve"> data development: how should prioritize comprehensive gridded downscaling of CMIP7 global projections v. needs for data products better suited to shorter </w:t>
      </w:r>
      <w:r w:rsidRPr="00DA24AA">
        <w:rPr>
          <w:rFonts w:eastAsia="+mn-ea" w:cs="+mn-cs"/>
          <w:i/>
          <w:iCs/>
          <w:color w:val="156082" w:themeColor="accent1"/>
          <w:kern w:val="24"/>
        </w:rPr>
        <w:t xml:space="preserve">(ca. 3-15 years) </w:t>
      </w:r>
      <w:r w:rsidRPr="00DA24AA">
        <w:rPr>
          <w:rFonts w:eastAsia="+mn-ea" w:cs="+mn-cs"/>
          <w:color w:val="156082" w:themeColor="accent1"/>
          <w:kern w:val="24"/>
        </w:rPr>
        <w:t xml:space="preserve">time horizons, sub-daily perspective, and/or highly local representation? </w:t>
      </w:r>
    </w:p>
    <w:p w14:paraId="43B992A8" w14:textId="77777777" w:rsidR="009C4560" w:rsidRPr="00DA24AA" w:rsidRDefault="009C4560" w:rsidP="005E6DCF">
      <w:pPr>
        <w:numPr>
          <w:ilvl w:val="1"/>
          <w:numId w:val="3"/>
        </w:numPr>
        <w:rPr>
          <w:rFonts w:eastAsia="+mn-ea" w:cs="+mn-cs"/>
          <w:color w:val="156082" w:themeColor="accent1"/>
          <w:kern w:val="24"/>
        </w:rPr>
      </w:pPr>
      <w:r w:rsidRPr="00DA24AA">
        <w:rPr>
          <w:rFonts w:eastAsia="+mn-ea" w:cs="+mn-cs"/>
          <w:color w:val="156082" w:themeColor="accent1"/>
          <w:kern w:val="24"/>
        </w:rPr>
        <w:t>Possibilities for internally consistent, variable resolution datasets?</w:t>
      </w:r>
    </w:p>
    <w:p w14:paraId="413C07E1" w14:textId="4F7E18A2" w:rsidR="009C4560" w:rsidRPr="00DA24AA" w:rsidRDefault="009C4560" w:rsidP="005E6DCF">
      <w:pPr>
        <w:pStyle w:val="ListParagraph"/>
        <w:numPr>
          <w:ilvl w:val="0"/>
          <w:numId w:val="4"/>
        </w:numPr>
        <w:contextualSpacing w:val="0"/>
        <w:rPr>
          <w:rFonts w:eastAsia="+mn-ea" w:cs="+mn-cs"/>
          <w:color w:val="156082" w:themeColor="accent1"/>
          <w:kern w:val="24"/>
        </w:rPr>
      </w:pPr>
      <w:r w:rsidRPr="00DA24AA">
        <w:rPr>
          <w:rFonts w:eastAsia="+mn-ea" w:cs="+mn-cs"/>
          <w:color w:val="156082" w:themeColor="accent1"/>
          <w:kern w:val="24"/>
        </w:rPr>
        <w:t>What variables, time horizons, and resolutions (</w:t>
      </w:r>
      <w:r w:rsidRPr="00DA24AA">
        <w:rPr>
          <w:rFonts w:eastAsia="+mn-ea" w:cs="+mn-cs"/>
          <w:i/>
          <w:iCs/>
          <w:color w:val="156082" w:themeColor="accent1"/>
          <w:kern w:val="24"/>
        </w:rPr>
        <w:t>temporal and spatial</w:t>
      </w:r>
      <w:r w:rsidRPr="00DA24AA">
        <w:rPr>
          <w:rFonts w:eastAsia="+mn-ea" w:cs="+mn-cs"/>
          <w:color w:val="156082" w:themeColor="accent1"/>
          <w:kern w:val="24"/>
        </w:rPr>
        <w:t>) are most needed?</w:t>
      </w:r>
    </w:p>
    <w:p w14:paraId="37071C34" w14:textId="0C0A759C" w:rsidR="009C4560" w:rsidRPr="00DA24AA" w:rsidRDefault="009C4560" w:rsidP="005E6DCF">
      <w:pPr>
        <w:pStyle w:val="ListParagraph"/>
        <w:numPr>
          <w:ilvl w:val="0"/>
          <w:numId w:val="4"/>
        </w:numPr>
        <w:contextualSpacing w:val="0"/>
        <w:rPr>
          <w:rFonts w:eastAsia="+mn-ea" w:cs="+mn-cs"/>
          <w:color w:val="156082" w:themeColor="accent1"/>
          <w:kern w:val="24"/>
        </w:rPr>
      </w:pPr>
      <w:r w:rsidRPr="00DA24AA">
        <w:rPr>
          <w:rFonts w:eastAsia="+mn-ea" w:cs="+mn-cs"/>
          <w:color w:val="156082" w:themeColor="accent1"/>
          <w:kern w:val="24"/>
        </w:rPr>
        <w:t>How to design data products congruent with existing processes e.g., annual workflows?</w:t>
      </w:r>
    </w:p>
    <w:p w14:paraId="26D1CC16" w14:textId="77777777" w:rsidR="009C4560" w:rsidRPr="003D0953" w:rsidRDefault="009C4560" w:rsidP="003D0953">
      <w:pPr>
        <w:pStyle w:val="Heading3"/>
        <w:rPr>
          <w:rFonts w:eastAsia="+mn-ea"/>
          <w:sz w:val="24"/>
          <w:szCs w:val="24"/>
          <w:u w:val="single"/>
        </w:rPr>
      </w:pPr>
      <w:r w:rsidRPr="003D0953">
        <w:rPr>
          <w:rFonts w:eastAsia="+mn-ea"/>
          <w:sz w:val="24"/>
          <w:szCs w:val="24"/>
          <w:u w:val="single"/>
        </w:rPr>
        <w:t>Data Applications and Other Questions</w:t>
      </w:r>
    </w:p>
    <w:p w14:paraId="598F2F9F" w14:textId="3800A1D6" w:rsidR="009C4560" w:rsidRPr="00E507F9" w:rsidRDefault="009C4560" w:rsidP="00E507F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+mn-ea" w:cs="+mn-cs"/>
          <w:color w:val="156082" w:themeColor="accent1"/>
          <w:kern w:val="24"/>
        </w:rPr>
      </w:pPr>
      <w:r w:rsidRPr="00E507F9">
        <w:rPr>
          <w:rFonts w:eastAsia="+mn-ea" w:cs="+mn-cs"/>
          <w:color w:val="156082" w:themeColor="accent1"/>
          <w:kern w:val="24"/>
        </w:rPr>
        <w:t>What planning, modeling, or regulatory processes are priorities for public interest research?</w:t>
      </w:r>
    </w:p>
    <w:p w14:paraId="6522D97A" w14:textId="2EB4BED1" w:rsidR="009C4560" w:rsidRPr="00E507F9" w:rsidRDefault="009C4560" w:rsidP="00E507F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+mn-ea" w:cs="+mn-cs"/>
          <w:color w:val="156082" w:themeColor="accent1"/>
          <w:kern w:val="24"/>
        </w:rPr>
      </w:pPr>
      <w:r w:rsidRPr="00E507F9">
        <w:rPr>
          <w:rFonts w:eastAsia="+mn-ea" w:cs="+mn-cs"/>
          <w:color w:val="156082" w:themeColor="accent1"/>
          <w:kern w:val="24"/>
        </w:rPr>
        <w:t xml:space="preserve">How might we appropriately resource a demonstration phase to assess new models as they’re integrated into energy sector planning and policies? </w:t>
      </w:r>
    </w:p>
    <w:p w14:paraId="04FDFAAF" w14:textId="67E4DBB9" w:rsidR="009C4560" w:rsidRPr="00E507F9" w:rsidRDefault="009C4560" w:rsidP="00E507F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+mn-ea" w:cs="+mn-cs"/>
          <w:color w:val="156082" w:themeColor="accent1"/>
          <w:kern w:val="24"/>
        </w:rPr>
      </w:pPr>
      <w:r w:rsidRPr="00E507F9">
        <w:rPr>
          <w:rFonts w:eastAsia="+mn-ea" w:cs="+mn-cs"/>
          <w:color w:val="156082" w:themeColor="accent1"/>
          <w:kern w:val="24"/>
        </w:rPr>
        <w:t>How might California-focused research cope with “new” challenges related to, e.g., retreat of federal partners vis-à-vis climate, data, etc.?</w:t>
      </w:r>
    </w:p>
    <w:p w14:paraId="111157DB" w14:textId="429EAEA2" w:rsidR="002F1D3B" w:rsidRPr="00E507F9" w:rsidRDefault="009C4560" w:rsidP="00E507F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+mn-ea" w:cs="+mn-cs"/>
          <w:color w:val="156082" w:themeColor="accent1"/>
          <w:kern w:val="24"/>
        </w:rPr>
      </w:pPr>
      <w:r w:rsidRPr="00E507F9">
        <w:rPr>
          <w:rFonts w:eastAsia="+mn-ea" w:cs="+mn-cs"/>
          <w:color w:val="156082" w:themeColor="accent1"/>
          <w:kern w:val="24"/>
        </w:rPr>
        <w:t>Other research areas we haven’t broached?</w:t>
      </w:r>
    </w:p>
    <w:p w14:paraId="1C6E9507" w14:textId="6037A47F" w:rsidR="002F1D3B" w:rsidRPr="00D731CE" w:rsidRDefault="002F1D3B" w:rsidP="00D731CE">
      <w:pPr>
        <w:pStyle w:val="Heading2"/>
        <w:rPr>
          <w:rFonts w:eastAsia="+mn-ea"/>
          <w:b/>
          <w:bCs/>
          <w:sz w:val="24"/>
          <w:szCs w:val="24"/>
          <w:u w:val="single"/>
        </w:rPr>
      </w:pPr>
      <w:r w:rsidRPr="00D731CE">
        <w:rPr>
          <w:rFonts w:eastAsia="+mn-ea"/>
          <w:b/>
          <w:bCs/>
          <w:sz w:val="24"/>
          <w:szCs w:val="24"/>
          <w:u w:val="single"/>
        </w:rPr>
        <w:t>Wildfire Questions</w:t>
      </w:r>
    </w:p>
    <w:p w14:paraId="771E2AAA" w14:textId="298F93B2" w:rsidR="009449D4" w:rsidRPr="003D0953" w:rsidRDefault="009449D4" w:rsidP="003D0953">
      <w:pPr>
        <w:pStyle w:val="Heading3"/>
        <w:rPr>
          <w:sz w:val="24"/>
          <w:szCs w:val="24"/>
          <w:u w:val="single"/>
        </w:rPr>
      </w:pPr>
      <w:r w:rsidRPr="003D0953">
        <w:rPr>
          <w:sz w:val="24"/>
          <w:szCs w:val="24"/>
          <w:u w:val="single"/>
        </w:rPr>
        <w:t>Research contributing to an integrated, quantitative wildfire risk framework</w:t>
      </w:r>
    </w:p>
    <w:p w14:paraId="5B57B6CA" w14:textId="77777777" w:rsidR="009449D4" w:rsidRPr="009449D4" w:rsidRDefault="009449D4" w:rsidP="00E507F9">
      <w:pPr>
        <w:numPr>
          <w:ilvl w:val="0"/>
          <w:numId w:val="2"/>
        </w:numPr>
        <w:spacing w:after="120" w:line="240" w:lineRule="auto"/>
        <w:rPr>
          <w:color w:val="156082" w:themeColor="accent1"/>
        </w:rPr>
      </w:pPr>
      <w:r w:rsidRPr="009449D4">
        <w:rPr>
          <w:color w:val="156082" w:themeColor="accent1"/>
        </w:rPr>
        <w:t>How would this support the goals of your organization aligned with bringing benefits to CA ratepayers?</w:t>
      </w:r>
    </w:p>
    <w:p w14:paraId="4F0C471D" w14:textId="77777777" w:rsidR="009449D4" w:rsidRPr="009449D4" w:rsidRDefault="009449D4" w:rsidP="00E507F9">
      <w:pPr>
        <w:numPr>
          <w:ilvl w:val="0"/>
          <w:numId w:val="2"/>
        </w:numPr>
        <w:spacing w:after="120" w:line="240" w:lineRule="auto"/>
        <w:rPr>
          <w:color w:val="156082" w:themeColor="accent1"/>
        </w:rPr>
      </w:pPr>
      <w:r w:rsidRPr="009449D4">
        <w:rPr>
          <w:color w:val="156082" w:themeColor="accent1"/>
        </w:rPr>
        <w:t>What opportunities or challenges do you anticipate with this research area? Does the necessary data (e.g., on cost and effectiveness of mitigation strategies) exist in the public domain?</w:t>
      </w:r>
    </w:p>
    <w:p w14:paraId="2510F44F" w14:textId="77777777" w:rsidR="009449D4" w:rsidRPr="009449D4" w:rsidRDefault="009449D4" w:rsidP="00E507F9">
      <w:pPr>
        <w:numPr>
          <w:ilvl w:val="0"/>
          <w:numId w:val="2"/>
        </w:numPr>
        <w:spacing w:after="120" w:line="240" w:lineRule="auto"/>
        <w:rPr>
          <w:color w:val="156082" w:themeColor="accent1"/>
        </w:rPr>
      </w:pPr>
      <w:r w:rsidRPr="009449D4">
        <w:rPr>
          <w:color w:val="156082" w:themeColor="accent1"/>
        </w:rPr>
        <w:t>What research studies are other agencies, universities, and others doing in this space that we should be aware of?</w:t>
      </w:r>
    </w:p>
    <w:p w14:paraId="16794D33" w14:textId="434ACDC2" w:rsidR="009449D4" w:rsidRPr="003D0953" w:rsidRDefault="009449D4" w:rsidP="003D0953">
      <w:pPr>
        <w:pStyle w:val="Heading3"/>
        <w:rPr>
          <w:sz w:val="24"/>
          <w:szCs w:val="24"/>
          <w:u w:val="single"/>
        </w:rPr>
      </w:pPr>
      <w:r w:rsidRPr="003D0953">
        <w:rPr>
          <w:sz w:val="24"/>
          <w:szCs w:val="24"/>
          <w:u w:val="single"/>
        </w:rPr>
        <w:t>Future opportunities</w:t>
      </w:r>
    </w:p>
    <w:p w14:paraId="4DB32056" w14:textId="77777777" w:rsidR="00F452BB" w:rsidRDefault="009449D4" w:rsidP="00B41D8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color w:val="156082" w:themeColor="accent1"/>
        </w:rPr>
      </w:pPr>
      <w:r w:rsidRPr="00F452BB">
        <w:rPr>
          <w:color w:val="156082" w:themeColor="accent1"/>
        </w:rPr>
        <w:t>Where are you seeing continued knowledge gaps related to utility wildfire risk that electricity ratepayer- focused state funding could help fill?</w:t>
      </w:r>
    </w:p>
    <w:p w14:paraId="10F89E6B" w14:textId="305F28F6" w:rsidR="009C4560" w:rsidRPr="00F452BB" w:rsidRDefault="009449D4" w:rsidP="00B41D8F">
      <w:pPr>
        <w:pStyle w:val="ListParagraph"/>
        <w:numPr>
          <w:ilvl w:val="0"/>
          <w:numId w:val="2"/>
        </w:numPr>
        <w:spacing w:line="240" w:lineRule="auto"/>
        <w:rPr>
          <w:color w:val="156082" w:themeColor="accent1"/>
        </w:rPr>
      </w:pPr>
      <w:r w:rsidRPr="00F452BB">
        <w:rPr>
          <w:color w:val="156082" w:themeColor="accent1"/>
        </w:rPr>
        <w:t>Any other thoughts or comments?</w:t>
      </w:r>
    </w:p>
    <w:sectPr w:rsidR="009C4560" w:rsidRPr="00F452BB" w:rsidSect="00F452BB">
      <w:headerReference w:type="default" r:id="rId12"/>
      <w:pgSz w:w="12240" w:h="15840"/>
      <w:pgMar w:top="1728" w:right="720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AFA4" w14:textId="77777777" w:rsidR="00766C1C" w:rsidRDefault="00766C1C" w:rsidP="00131F1C">
      <w:pPr>
        <w:spacing w:after="0" w:line="240" w:lineRule="auto"/>
      </w:pPr>
      <w:r>
        <w:separator/>
      </w:r>
    </w:p>
  </w:endnote>
  <w:endnote w:type="continuationSeparator" w:id="0">
    <w:p w14:paraId="595A9B51" w14:textId="77777777" w:rsidR="00766C1C" w:rsidRDefault="00766C1C" w:rsidP="0013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7804" w14:textId="77777777" w:rsidR="00766C1C" w:rsidRDefault="00766C1C" w:rsidP="00131F1C">
      <w:pPr>
        <w:spacing w:after="0" w:line="240" w:lineRule="auto"/>
      </w:pPr>
      <w:r>
        <w:separator/>
      </w:r>
    </w:p>
  </w:footnote>
  <w:footnote w:type="continuationSeparator" w:id="0">
    <w:p w14:paraId="27CE7475" w14:textId="77777777" w:rsidR="00766C1C" w:rsidRDefault="00766C1C" w:rsidP="0013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C771" w14:textId="3CF74266" w:rsidR="00131F1C" w:rsidRPr="00DA321E" w:rsidRDefault="00CA7294" w:rsidP="003D5FAF">
    <w:pPr>
      <w:pStyle w:val="Header"/>
      <w:rPr>
        <w:sz w:val="40"/>
        <w:szCs w:val="40"/>
      </w:rPr>
    </w:pPr>
    <w:r w:rsidRPr="00DA321E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09049B9" wp14:editId="19BF55C9">
          <wp:simplePos x="0" y="0"/>
          <wp:positionH relativeFrom="column">
            <wp:posOffset>-202240</wp:posOffset>
          </wp:positionH>
          <wp:positionV relativeFrom="paragraph">
            <wp:posOffset>-281821</wp:posOffset>
          </wp:positionV>
          <wp:extent cx="946150" cy="824230"/>
          <wp:effectExtent l="0" t="0" r="6350" b="0"/>
          <wp:wrapSquare wrapText="bothSides"/>
          <wp:docPr id="1381230540" name="Picture 1" descr="California Energ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230540" name="Picture 1" descr="California Energy Commission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24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FAF">
      <w:rPr>
        <w:rFonts w:ascii="Aptos Display" w:eastAsia="+mn-ea" w:hAnsi="Aptos Display" w:cs="+mn-cs"/>
        <w:b/>
        <w:bCs/>
        <w:color w:val="003E6D"/>
        <w:kern w:val="24"/>
        <w:position w:val="1"/>
        <w:sz w:val="40"/>
        <w:szCs w:val="40"/>
      </w:rPr>
      <w:t xml:space="preserve">      </w:t>
    </w:r>
    <w:r w:rsidR="00DA321E" w:rsidRPr="00DA321E">
      <w:rPr>
        <w:rFonts w:ascii="Aptos Display" w:eastAsia="+mn-ea" w:hAnsi="Aptos Display" w:cs="+mn-cs"/>
        <w:b/>
        <w:bCs/>
        <w:color w:val="003E6D"/>
        <w:kern w:val="24"/>
        <w:position w:val="1"/>
        <w:sz w:val="40"/>
        <w:szCs w:val="40"/>
      </w:rPr>
      <w:t>Climate Data and Analysis Working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0C90"/>
    <w:multiLevelType w:val="hybridMultilevel"/>
    <w:tmpl w:val="2904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27351"/>
    <w:multiLevelType w:val="hybridMultilevel"/>
    <w:tmpl w:val="8D9059B0"/>
    <w:lvl w:ilvl="0" w:tplc="366C3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65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83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E0D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2F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4D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123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49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02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6381F"/>
    <w:multiLevelType w:val="hybridMultilevel"/>
    <w:tmpl w:val="5CFE0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50F1"/>
    <w:multiLevelType w:val="hybridMultilevel"/>
    <w:tmpl w:val="F9363B10"/>
    <w:lvl w:ilvl="0" w:tplc="5FAE17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A96E0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8FF3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D063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AB612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CDF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D76FB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11CB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5C10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6AE65A6B"/>
    <w:multiLevelType w:val="hybridMultilevel"/>
    <w:tmpl w:val="BED0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2BEE"/>
    <w:multiLevelType w:val="hybridMultilevel"/>
    <w:tmpl w:val="1E70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20201">
    <w:abstractNumId w:val="3"/>
  </w:num>
  <w:num w:numId="2" w16cid:durableId="707268110">
    <w:abstractNumId w:val="1"/>
  </w:num>
  <w:num w:numId="3" w16cid:durableId="533428640">
    <w:abstractNumId w:val="2"/>
  </w:num>
  <w:num w:numId="4" w16cid:durableId="1900048077">
    <w:abstractNumId w:val="4"/>
  </w:num>
  <w:num w:numId="5" w16cid:durableId="1615942837">
    <w:abstractNumId w:val="5"/>
  </w:num>
  <w:num w:numId="6" w16cid:durableId="2845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6"/>
    <w:rsid w:val="00114832"/>
    <w:rsid w:val="00122ED9"/>
    <w:rsid w:val="00131F1C"/>
    <w:rsid w:val="001708A5"/>
    <w:rsid w:val="00245E99"/>
    <w:rsid w:val="002F1D3B"/>
    <w:rsid w:val="00301F6D"/>
    <w:rsid w:val="003D0953"/>
    <w:rsid w:val="003D5FAF"/>
    <w:rsid w:val="0044249A"/>
    <w:rsid w:val="00467686"/>
    <w:rsid w:val="004E3D0B"/>
    <w:rsid w:val="005D7026"/>
    <w:rsid w:val="005E6DCF"/>
    <w:rsid w:val="005F27A5"/>
    <w:rsid w:val="00716DE7"/>
    <w:rsid w:val="00766C1C"/>
    <w:rsid w:val="00781634"/>
    <w:rsid w:val="007860C6"/>
    <w:rsid w:val="008235E0"/>
    <w:rsid w:val="008D22BF"/>
    <w:rsid w:val="009449D4"/>
    <w:rsid w:val="00966C00"/>
    <w:rsid w:val="009819C4"/>
    <w:rsid w:val="009C4560"/>
    <w:rsid w:val="00A476BA"/>
    <w:rsid w:val="00A67AC0"/>
    <w:rsid w:val="00B41D8F"/>
    <w:rsid w:val="00BA131C"/>
    <w:rsid w:val="00BA31A8"/>
    <w:rsid w:val="00CA7294"/>
    <w:rsid w:val="00D223FB"/>
    <w:rsid w:val="00D45021"/>
    <w:rsid w:val="00D54622"/>
    <w:rsid w:val="00D731CE"/>
    <w:rsid w:val="00DA24AA"/>
    <w:rsid w:val="00DA321E"/>
    <w:rsid w:val="00E13398"/>
    <w:rsid w:val="00E507F9"/>
    <w:rsid w:val="00EE59C7"/>
    <w:rsid w:val="00F452BB"/>
    <w:rsid w:val="00FC1F9F"/>
    <w:rsid w:val="00FF027C"/>
    <w:rsid w:val="516EF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A705C"/>
  <w15:chartTrackingRefBased/>
  <w15:docId w15:val="{D6F4EBA2-07E0-4945-9917-87BBBE8B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6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6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0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1C"/>
  </w:style>
  <w:style w:type="paragraph" w:styleId="Footer">
    <w:name w:val="footer"/>
    <w:basedOn w:val="Normal"/>
    <w:link w:val="FooterChar"/>
    <w:uiPriority w:val="99"/>
    <w:unhideWhenUsed/>
    <w:rsid w:val="0013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1C"/>
  </w:style>
  <w:style w:type="character" w:styleId="Hyperlink">
    <w:name w:val="Hyperlink"/>
    <w:basedOn w:val="DefaultParagraphFont"/>
    <w:uiPriority w:val="99"/>
    <w:unhideWhenUsed/>
    <w:rsid w:val="00114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8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5E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235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awg@energy.c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2" ma:contentTypeDescription="Create a new document." ma:contentTypeScope="" ma:versionID="a0c0aa6b2d59b96a0e7e784e67002a82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036af3d5c9f20c3b940ac2030dd758fd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ource" minOccurs="0"/>
                <xsd:element ref="ns2:Topic" minOccurs="0"/>
                <xsd:element ref="ns2:Qualitynotes" minOccurs="0"/>
                <xsd:element ref="ns2:lcf76f155ced4ddcb4097134ff3c332f" minOccurs="0"/>
                <xsd:element ref="ns3:TaxCatchAll" minOccurs="0"/>
                <xsd:element ref="ns2:Contac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Source" ma:index="20" nillable="true" ma:displayName="Source" ma:description="Source for data" ma:format="Dropdown" ma:internalName="Source">
      <xsd:simpleType>
        <xsd:restriction base="dms:Text">
          <xsd:maxLength value="255"/>
        </xsd:restriction>
      </xsd:simpleType>
    </xsd:element>
    <xsd:element name="Topic" ma:index="21" nillable="true" ma:displayName="Topic" ma:description="Main topic of data" ma:format="Dropdown" ma:internalName="Topic">
      <xsd:simpleType>
        <xsd:restriction base="dms:Text">
          <xsd:maxLength value="255"/>
        </xsd:restriction>
      </xsd:simpleType>
    </xsd:element>
    <xsd:element name="Qualitynotes" ma:index="22" nillable="true" ma:displayName="Quality notes" ma:format="Dropdown" ma:internalName="Quality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act" ma:index="26" nillable="true" ma:displayName="Contact" ma:description="Prior to deleting files in this folder, contact staff listed." ma:format="Dropdown" ma:list="UserInfo" ma:SharePointGroup="0" ma:internalName="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752bcb9-f337-4c4d-ab40-c128a420f593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 xmlns="785685f2-c2e1-4352-89aa-3faca8eaba52">
      <UserInfo>
        <DisplayName/>
        <AccountId xsi:nil="true"/>
        <AccountType/>
      </UserInfo>
    </Contact>
    <Qualitynotes xmlns="785685f2-c2e1-4352-89aa-3faca8eaba52" xsi:nil="true"/>
    <TaxCatchAll xmlns="5067c814-4b34-462c-a21d-c185ff6548d2" xsi:nil="true"/>
    <Source xmlns="785685f2-c2e1-4352-89aa-3faca8eaba52" xsi:nil="true"/>
    <Topic xmlns="785685f2-c2e1-4352-89aa-3faca8eaba52" xsi:nil="true"/>
    <lcf76f155ced4ddcb4097134ff3c332f xmlns="785685f2-c2e1-4352-89aa-3faca8eaba52">
      <Terms xmlns="http://schemas.microsoft.com/office/infopath/2007/PartnerControls"/>
    </lcf76f155ced4ddcb4097134ff3c332f>
    <Date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D2B97515-FF43-4213-A1F6-261E588B4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FB0AD-0D09-40FF-BFC4-D8F120606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93C71-84F9-420F-BC98-BBBEFBCEA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889C9-4E1A-4DE0-8B65-890FF7E18607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282</Words>
  <Characters>1671</Characters>
  <Application>Microsoft Office Word</Application>
  <DocSecurity>0</DocSecurity>
  <Lines>31</Lines>
  <Paragraphs>22</Paragraphs>
  <ScaleCrop>false</ScaleCrop>
  <Company>California Energy Commission</Company>
  <LinksUpToDate>false</LinksUpToDate>
  <CharactersWithSpaces>1934</CharactersWithSpaces>
  <SharedDoc>false</SharedDoc>
  <HLinks>
    <vt:vector size="12" baseType="variant"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mailto:cdawg@energy.ca.gov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mailto:Jill.Horing@energy.ca.gov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Emily@Energy</dc:creator>
  <cp:keywords/>
  <dc:description/>
  <cp:lastModifiedBy>Kidd, Kevin@Energy</cp:lastModifiedBy>
  <cp:revision>30</cp:revision>
  <dcterms:created xsi:type="dcterms:W3CDTF">2026-03-26T16:41:00Z</dcterms:created>
  <dcterms:modified xsi:type="dcterms:W3CDTF">2026-04-02T19:25:00Z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