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0179C836" w:rsidR="009E6C35" w:rsidRPr="003D5F92" w:rsidRDefault="4E186B01" w:rsidP="00B33F69">
      <w:pPr>
        <w:pStyle w:val="paragraph"/>
        <w:ind w:left="4320"/>
        <w:jc w:val="right"/>
        <w:textAlignment w:val="baseline"/>
        <w:rPr>
          <w:rStyle w:val="normaltextrun"/>
          <w:rFonts w:ascii="Tahoma" w:hAnsi="Tahoma" w:cs="Tahoma"/>
        </w:rPr>
      </w:pPr>
      <w:r w:rsidRPr="05D41CB2">
        <w:rPr>
          <w:rStyle w:val="normaltextrun"/>
          <w:rFonts w:ascii="Tahoma" w:hAnsi="Tahoma" w:cs="Tahoma"/>
        </w:rPr>
        <w:t xml:space="preserve">April </w:t>
      </w:r>
      <w:r w:rsidR="00754FE3">
        <w:rPr>
          <w:rStyle w:val="normaltextrun"/>
          <w:rFonts w:ascii="Tahoma" w:hAnsi="Tahoma" w:cs="Tahoma"/>
        </w:rPr>
        <w:t>2</w:t>
      </w:r>
      <w:r w:rsidR="00BE446C">
        <w:rPr>
          <w:rStyle w:val="normaltextrun"/>
          <w:rFonts w:ascii="Tahoma" w:hAnsi="Tahoma" w:cs="Tahoma"/>
        </w:rPr>
        <w:t>4</w:t>
      </w:r>
      <w:r w:rsidR="0079120A" w:rsidRPr="05D41CB2">
        <w:rPr>
          <w:rStyle w:val="normaltextrun"/>
          <w:rFonts w:ascii="Tahoma" w:hAnsi="Tahoma" w:cs="Tahoma"/>
        </w:rPr>
        <w:t>, 202</w:t>
      </w:r>
      <w:r w:rsidR="00E00C08" w:rsidRPr="05D41CB2">
        <w:rPr>
          <w:rStyle w:val="normaltextrun"/>
          <w:rFonts w:ascii="Tahoma" w:hAnsi="Tahoma" w:cs="Tahoma"/>
        </w:rPr>
        <w:t>6</w:t>
      </w:r>
    </w:p>
    <w:p w14:paraId="3049D69B" w14:textId="6176C6E1" w:rsidR="00B1122A" w:rsidRPr="003D5F92" w:rsidRDefault="006E1137" w:rsidP="00B1122A">
      <w:pPr>
        <w:jc w:val="center"/>
        <w:rPr>
          <w:rFonts w:cs="Tahoma"/>
          <w:b/>
          <w:bCs/>
        </w:rPr>
      </w:pPr>
      <w:r>
        <w:rPr>
          <w:rFonts w:cs="Tahoma"/>
          <w:b/>
          <w:bCs/>
        </w:rPr>
        <w:t>GFO</w:t>
      </w:r>
      <w:r w:rsidR="00B1122A" w:rsidRPr="003D5F92">
        <w:rPr>
          <w:rFonts w:cs="Tahoma"/>
          <w:b/>
          <w:bCs/>
        </w:rPr>
        <w:t>-2</w:t>
      </w:r>
      <w:r w:rsidR="007B1E3F">
        <w:rPr>
          <w:rFonts w:cs="Tahoma"/>
          <w:b/>
          <w:bCs/>
        </w:rPr>
        <w:t>5</w:t>
      </w:r>
      <w:r w:rsidR="00353981" w:rsidRPr="003D5F92">
        <w:rPr>
          <w:rFonts w:cs="Tahoma"/>
          <w:b/>
          <w:bCs/>
        </w:rPr>
        <w:t>-</w:t>
      </w:r>
      <w:r w:rsidR="00820C83">
        <w:rPr>
          <w:rFonts w:cs="Tahoma"/>
          <w:b/>
          <w:bCs/>
        </w:rPr>
        <w:t>604</w:t>
      </w:r>
    </w:p>
    <w:p w14:paraId="0EB47E83" w14:textId="4DD0EF90" w:rsidR="006E1137" w:rsidRPr="006E1137" w:rsidRDefault="006E1137" w:rsidP="006E1137">
      <w:pPr>
        <w:autoSpaceDE w:val="0"/>
        <w:autoSpaceDN w:val="0"/>
        <w:adjustRightInd w:val="0"/>
        <w:jc w:val="center"/>
        <w:rPr>
          <w:rFonts w:eastAsia="Calibri" w:cs="Tahoma"/>
          <w:b/>
          <w:bCs/>
          <w:color w:val="000000" w:themeColor="text1"/>
        </w:rPr>
      </w:pPr>
      <w:r w:rsidRPr="006E1137">
        <w:rPr>
          <w:rFonts w:eastAsia="Calibri" w:cs="Tahoma"/>
          <w:b/>
          <w:bCs/>
          <w:color w:val="000000" w:themeColor="text1"/>
        </w:rPr>
        <w:t xml:space="preserve">California’s </w:t>
      </w:r>
      <w:r w:rsidR="001470F8">
        <w:rPr>
          <w:rFonts w:eastAsia="Calibri" w:cs="Tahoma"/>
          <w:b/>
          <w:bCs/>
          <w:color w:val="000000" w:themeColor="text1"/>
        </w:rPr>
        <w:t xml:space="preserve">National </w:t>
      </w:r>
      <w:r w:rsidRPr="006E1137">
        <w:rPr>
          <w:rFonts w:eastAsia="Calibri" w:cs="Tahoma"/>
          <w:b/>
          <w:bCs/>
          <w:color w:val="000000" w:themeColor="text1"/>
        </w:rPr>
        <w:t xml:space="preserve">Electric Vehicle </w:t>
      </w:r>
      <w:r w:rsidR="001470F8">
        <w:rPr>
          <w:rFonts w:eastAsia="Calibri" w:cs="Tahoma"/>
          <w:b/>
          <w:bCs/>
          <w:color w:val="000000" w:themeColor="text1"/>
        </w:rPr>
        <w:t xml:space="preserve">Infrastructure Formula Program Solicitation </w:t>
      </w:r>
      <w:r w:rsidR="00E6563C">
        <w:rPr>
          <w:rFonts w:eastAsia="Calibri" w:cs="Tahoma"/>
          <w:b/>
          <w:bCs/>
          <w:color w:val="000000" w:themeColor="text1"/>
        </w:rPr>
        <w:t>4</w:t>
      </w:r>
    </w:p>
    <w:p w14:paraId="6587D6BB" w14:textId="5060FACE" w:rsidR="00B1122A" w:rsidRPr="003D5F92" w:rsidRDefault="00B1122A" w:rsidP="00B1122A">
      <w:pPr>
        <w:autoSpaceDE w:val="0"/>
        <w:autoSpaceDN w:val="0"/>
        <w:adjustRightInd w:val="0"/>
        <w:jc w:val="center"/>
        <w:rPr>
          <w:rFonts w:eastAsia="Calibri" w:cs="Tahoma"/>
          <w:b/>
          <w:bCs/>
          <w:color w:val="000000"/>
        </w:rPr>
      </w:pPr>
      <w:r w:rsidRPr="05D41CB2">
        <w:rPr>
          <w:rFonts w:eastAsia="Calibri" w:cs="Tahoma"/>
          <w:b/>
          <w:bCs/>
          <w:color w:val="000000" w:themeColor="text1"/>
        </w:rPr>
        <w:t xml:space="preserve">Addendum </w:t>
      </w:r>
      <w:r w:rsidR="00754FE3">
        <w:rPr>
          <w:rFonts w:eastAsia="Calibri" w:cs="Tahoma"/>
          <w:b/>
          <w:bCs/>
          <w:color w:val="000000" w:themeColor="text1"/>
        </w:rPr>
        <w:t>0</w:t>
      </w:r>
      <w:r w:rsidR="1725CC08" w:rsidRPr="05D41CB2">
        <w:rPr>
          <w:rFonts w:eastAsia="Calibri" w:cs="Tahoma"/>
          <w:b/>
          <w:bCs/>
          <w:color w:val="000000" w:themeColor="text1"/>
        </w:rPr>
        <w:t>2</w:t>
      </w:r>
    </w:p>
    <w:p w14:paraId="363B15A9" w14:textId="77777777" w:rsidR="00B1122A" w:rsidRPr="003D5F92" w:rsidRDefault="00B1122A" w:rsidP="00B1122A">
      <w:pPr>
        <w:autoSpaceDE w:val="0"/>
        <w:autoSpaceDN w:val="0"/>
        <w:adjustRightInd w:val="0"/>
        <w:jc w:val="center"/>
        <w:rPr>
          <w:rFonts w:eastAsia="Calibri" w:cs="Tahoma"/>
          <w:b/>
          <w:bCs/>
          <w:color w:val="000000"/>
        </w:rPr>
      </w:pPr>
    </w:p>
    <w:p w14:paraId="28220DB1" w14:textId="0AA2B6D6" w:rsidR="00FD441B" w:rsidRPr="003D5F92" w:rsidRDefault="00B1122A" w:rsidP="00B1122A">
      <w:pPr>
        <w:autoSpaceDE w:val="0"/>
        <w:autoSpaceDN w:val="0"/>
        <w:adjustRightInd w:val="0"/>
        <w:rPr>
          <w:rFonts w:eastAsia="Calibri" w:cs="Tahoma"/>
          <w:color w:val="000000"/>
        </w:rPr>
      </w:pPr>
      <w:r w:rsidRPr="003D5F92">
        <w:rPr>
          <w:rFonts w:eastAsia="Calibri" w:cs="Tahoma"/>
          <w:color w:val="000000" w:themeColor="text1"/>
        </w:rPr>
        <w:t>The purpose of this</w:t>
      </w:r>
      <w:r w:rsidR="00F44B48">
        <w:rPr>
          <w:rFonts w:eastAsia="Calibri" w:cs="Tahoma"/>
          <w:color w:val="000000" w:themeColor="text1"/>
        </w:rPr>
        <w:t xml:space="preserve"> </w:t>
      </w:r>
      <w:r w:rsidRPr="003D5F92">
        <w:rPr>
          <w:rFonts w:eastAsia="Calibri" w:cs="Tahoma"/>
          <w:color w:val="000000" w:themeColor="text1"/>
        </w:rPr>
        <w:t xml:space="preserve">addendum is to notify potential applicants of changes that have been made to </w:t>
      </w:r>
      <w:r w:rsidR="006E1137">
        <w:rPr>
          <w:rFonts w:eastAsia="Calibri" w:cs="Tahoma"/>
          <w:color w:val="000000" w:themeColor="text1"/>
        </w:rPr>
        <w:t>GFO</w:t>
      </w:r>
      <w:r w:rsidRPr="003D5F92">
        <w:rPr>
          <w:rFonts w:eastAsia="Calibri" w:cs="Tahoma"/>
          <w:color w:val="000000" w:themeColor="text1"/>
        </w:rPr>
        <w:t>-2</w:t>
      </w:r>
      <w:r w:rsidR="007B1E3F">
        <w:rPr>
          <w:rFonts w:eastAsia="Calibri" w:cs="Tahoma"/>
          <w:color w:val="000000" w:themeColor="text1"/>
        </w:rPr>
        <w:t>5</w:t>
      </w:r>
      <w:r w:rsidR="00353981" w:rsidRPr="003D5F92">
        <w:rPr>
          <w:rFonts w:eastAsia="Calibri" w:cs="Tahoma"/>
          <w:color w:val="000000" w:themeColor="text1"/>
        </w:rPr>
        <w:t>-</w:t>
      </w:r>
      <w:r w:rsidR="00820C83">
        <w:rPr>
          <w:rFonts w:eastAsia="Calibri" w:cs="Tahoma"/>
          <w:color w:val="000000" w:themeColor="text1"/>
        </w:rPr>
        <w:t>604</w:t>
      </w:r>
      <w:r w:rsidR="00E11B39">
        <w:rPr>
          <w:rFonts w:eastAsia="Calibri" w:cs="Tahoma"/>
          <w:color w:val="000000" w:themeColor="text1"/>
        </w:rPr>
        <w:t>.</w:t>
      </w:r>
    </w:p>
    <w:p w14:paraId="24A5A8EC" w14:textId="77777777" w:rsidR="00FD441B" w:rsidRPr="003D5F92" w:rsidRDefault="00FD441B" w:rsidP="00B1122A">
      <w:pPr>
        <w:autoSpaceDE w:val="0"/>
        <w:autoSpaceDN w:val="0"/>
        <w:adjustRightInd w:val="0"/>
        <w:rPr>
          <w:rFonts w:eastAsia="Calibri" w:cs="Tahoma"/>
          <w:color w:val="000000"/>
        </w:rPr>
      </w:pPr>
    </w:p>
    <w:p w14:paraId="2E98CE5E" w14:textId="3A8E7113" w:rsidR="006E1137" w:rsidRPr="006E1137" w:rsidRDefault="006E1137" w:rsidP="006E1137">
      <w:pPr>
        <w:autoSpaceDE w:val="0"/>
        <w:autoSpaceDN w:val="0"/>
        <w:adjustRightInd w:val="0"/>
        <w:rPr>
          <w:rFonts w:eastAsia="Calibri" w:cs="Tahoma"/>
          <w:color w:val="000000"/>
        </w:rPr>
      </w:pPr>
      <w:r w:rsidRPr="05D41CB2">
        <w:rPr>
          <w:rFonts w:eastAsia="Calibri" w:cs="Tahoma"/>
          <w:color w:val="000000" w:themeColor="text1"/>
        </w:rPr>
        <w:t>The addendum includes revision</w:t>
      </w:r>
      <w:r w:rsidR="2EEED1A0" w:rsidRPr="05D41CB2">
        <w:rPr>
          <w:rFonts w:eastAsia="Calibri" w:cs="Tahoma"/>
          <w:color w:val="000000" w:themeColor="text1"/>
        </w:rPr>
        <w:t>s</w:t>
      </w:r>
      <w:r w:rsidRPr="05D41CB2">
        <w:rPr>
          <w:rFonts w:eastAsia="Calibri" w:cs="Tahoma"/>
          <w:color w:val="000000" w:themeColor="text1"/>
        </w:rPr>
        <w:t xml:space="preserve"> to </w:t>
      </w:r>
      <w:r w:rsidR="3C77E8A8" w:rsidRPr="05D41CB2">
        <w:rPr>
          <w:rFonts w:eastAsia="Calibri" w:cs="Tahoma"/>
          <w:color w:val="000000" w:themeColor="text1"/>
        </w:rPr>
        <w:t>the</w:t>
      </w:r>
      <w:r w:rsidR="008B7E92" w:rsidRPr="05D41CB2">
        <w:rPr>
          <w:rFonts w:eastAsia="Calibri" w:cs="Tahoma"/>
          <w:color w:val="000000" w:themeColor="text1"/>
        </w:rPr>
        <w:t xml:space="preserve"> Solicitation Manual (Attachment 00</w:t>
      </w:r>
      <w:r w:rsidR="4F696161" w:rsidRPr="05D41CB2">
        <w:rPr>
          <w:rFonts w:eastAsia="Calibri" w:cs="Tahoma"/>
          <w:color w:val="000000" w:themeColor="text1"/>
        </w:rPr>
        <w:t>)</w:t>
      </w:r>
      <w:r w:rsidR="00C87264" w:rsidRPr="05D41CB2">
        <w:rPr>
          <w:rFonts w:eastAsia="Calibri" w:cs="Tahoma"/>
          <w:color w:val="000000" w:themeColor="text1"/>
        </w:rPr>
        <w:t xml:space="preserve">. </w:t>
      </w:r>
      <w:r w:rsidR="7507FE6F" w:rsidRPr="05D41CB2">
        <w:rPr>
          <w:rFonts w:eastAsia="Calibri" w:cs="Tahoma"/>
          <w:color w:val="000000" w:themeColor="text1"/>
        </w:rPr>
        <w:t xml:space="preserve">Added language appears in </w:t>
      </w:r>
      <w:r w:rsidR="7507FE6F" w:rsidRPr="05D41CB2">
        <w:rPr>
          <w:rFonts w:eastAsia="Calibri" w:cs="Tahoma"/>
          <w:b/>
          <w:bCs/>
          <w:color w:val="000000" w:themeColor="text1"/>
          <w:u w:val="single"/>
        </w:rPr>
        <w:t>bold underline</w:t>
      </w:r>
      <w:r w:rsidR="7507FE6F" w:rsidRPr="05D41CB2">
        <w:rPr>
          <w:rFonts w:eastAsia="Calibri" w:cs="Tahoma"/>
          <w:color w:val="000000" w:themeColor="text1"/>
        </w:rPr>
        <w:t>,</w:t>
      </w:r>
      <w:r w:rsidR="7507FE6F" w:rsidRPr="05D41CB2">
        <w:rPr>
          <w:rFonts w:eastAsia="Calibri" w:cs="Tahoma"/>
          <w:b/>
          <w:bCs/>
          <w:color w:val="000000" w:themeColor="text1"/>
        </w:rPr>
        <w:t xml:space="preserve"> </w:t>
      </w:r>
      <w:r w:rsidR="7507FE6F" w:rsidRPr="05D41CB2">
        <w:rPr>
          <w:rFonts w:eastAsia="Calibri" w:cs="Tahoma"/>
          <w:color w:val="000000" w:themeColor="text1"/>
        </w:rPr>
        <w:t>and deleted language appears in [</w:t>
      </w:r>
      <w:r w:rsidR="7507FE6F" w:rsidRPr="05D41CB2">
        <w:rPr>
          <w:rFonts w:eastAsia="Calibri" w:cs="Tahoma"/>
          <w:strike/>
          <w:color w:val="000000" w:themeColor="text1"/>
        </w:rPr>
        <w:t>strikethrough</w:t>
      </w:r>
      <w:r w:rsidR="7507FE6F" w:rsidRPr="05D41CB2">
        <w:rPr>
          <w:rFonts w:eastAsia="Calibri" w:cs="Tahoma"/>
          <w:color w:val="000000" w:themeColor="text1"/>
        </w:rPr>
        <w:t>] and within square brackets.</w:t>
      </w:r>
    </w:p>
    <w:p w14:paraId="4CF8932B" w14:textId="3C0FF8B5" w:rsidR="4A4585F5" w:rsidRDefault="4A4585F5" w:rsidP="4A4585F5">
      <w:pPr>
        <w:rPr>
          <w:rFonts w:eastAsia="Calibri" w:cs="Tahoma"/>
          <w:color w:val="000000" w:themeColor="text1"/>
        </w:rPr>
      </w:pPr>
    </w:p>
    <w:p w14:paraId="14600894" w14:textId="77777777" w:rsidR="004D2F33" w:rsidRDefault="004D2F33" w:rsidP="4A4585F5">
      <w:pPr>
        <w:rPr>
          <w:rFonts w:eastAsia="Calibri" w:cs="Tahoma"/>
          <w:color w:val="000000" w:themeColor="text1"/>
        </w:rPr>
      </w:pPr>
    </w:p>
    <w:p w14:paraId="497757EE" w14:textId="18F1A6AC" w:rsidR="00B2638D" w:rsidRPr="00340487" w:rsidRDefault="00B2638D" w:rsidP="00DC47D8">
      <w:pPr>
        <w:pStyle w:val="Heading2"/>
        <w:rPr>
          <w:rFonts w:ascii="Tahoma" w:eastAsia="Calibri" w:hAnsi="Tahoma" w:cs="Tahoma"/>
        </w:rPr>
      </w:pPr>
      <w:r w:rsidRPr="00340487">
        <w:rPr>
          <w:rFonts w:ascii="Tahoma" w:eastAsia="Calibri" w:hAnsi="Tahoma" w:cs="Tahoma"/>
        </w:rPr>
        <w:t>Solicitation Manual</w:t>
      </w:r>
    </w:p>
    <w:p w14:paraId="0EBF51CA" w14:textId="06B286A4" w:rsidR="00B2638D" w:rsidRDefault="00B2638D" w:rsidP="00B2638D">
      <w:pPr>
        <w:rPr>
          <w:rFonts w:eastAsia="Calibri" w:cs="Tahoma"/>
          <w:color w:val="000000" w:themeColor="text1"/>
        </w:rPr>
      </w:pPr>
      <w:r w:rsidRPr="4A4585F5">
        <w:rPr>
          <w:rFonts w:eastAsia="Calibri" w:cs="Tahoma"/>
          <w:color w:val="000000" w:themeColor="text1"/>
        </w:rPr>
        <w:t xml:space="preserve">The following edits are made to the </w:t>
      </w:r>
      <w:r>
        <w:rPr>
          <w:rFonts w:eastAsia="Calibri" w:cs="Tahoma"/>
          <w:color w:val="000000" w:themeColor="text1"/>
        </w:rPr>
        <w:t>Solicitation Manual</w:t>
      </w:r>
      <w:r w:rsidRPr="4A4585F5">
        <w:rPr>
          <w:rFonts w:eastAsia="Calibri" w:cs="Tahoma"/>
          <w:color w:val="000000" w:themeColor="text1"/>
        </w:rPr>
        <w:t xml:space="preserve"> (Attachment 0</w:t>
      </w:r>
      <w:r w:rsidR="00377F5B">
        <w:rPr>
          <w:rFonts w:eastAsia="Calibri" w:cs="Tahoma"/>
          <w:color w:val="000000" w:themeColor="text1"/>
        </w:rPr>
        <w:t>0</w:t>
      </w:r>
      <w:r w:rsidRPr="4A4585F5">
        <w:rPr>
          <w:rFonts w:eastAsia="Calibri" w:cs="Tahoma"/>
          <w:color w:val="000000" w:themeColor="text1"/>
        </w:rPr>
        <w:t>)</w:t>
      </w:r>
      <w:r>
        <w:rPr>
          <w:rFonts w:eastAsia="Calibri" w:cs="Tahoma"/>
          <w:color w:val="000000" w:themeColor="text1"/>
        </w:rPr>
        <w:t>.</w:t>
      </w:r>
    </w:p>
    <w:p w14:paraId="5278098E" w14:textId="7D2646DC" w:rsidR="005D6A4A" w:rsidRDefault="005D6A4A" w:rsidP="05D41CB2">
      <w:pPr>
        <w:rPr>
          <w:rFonts w:eastAsia="Calibri" w:cs="Tahoma"/>
          <w:color w:val="000000" w:themeColor="text1"/>
        </w:rPr>
      </w:pPr>
    </w:p>
    <w:p w14:paraId="4EA41F74" w14:textId="660DA1C2" w:rsidR="00A4733C" w:rsidRPr="000A5867" w:rsidRDefault="000A5867" w:rsidP="002B11B0">
      <w:pPr>
        <w:pStyle w:val="ListParagraph"/>
        <w:numPr>
          <w:ilvl w:val="0"/>
          <w:numId w:val="1"/>
        </w:numPr>
        <w:ind w:left="720" w:hanging="720"/>
        <w:rPr>
          <w:rFonts w:eastAsia="Calibri"/>
          <w:color w:val="000000" w:themeColor="text1"/>
        </w:rPr>
      </w:pPr>
      <w:r w:rsidRPr="000A5867">
        <w:rPr>
          <w:rFonts w:eastAsia="Calibri"/>
          <w:b/>
          <w:bCs/>
          <w:color w:val="000000" w:themeColor="text1"/>
        </w:rPr>
        <w:t>Section</w:t>
      </w:r>
      <w:r w:rsidR="001B6F99">
        <w:rPr>
          <w:rFonts w:eastAsia="Calibri"/>
          <w:b/>
          <w:bCs/>
          <w:color w:val="000000" w:themeColor="text1"/>
        </w:rPr>
        <w:t xml:space="preserve"> </w:t>
      </w:r>
      <w:r w:rsidRPr="000A5867">
        <w:rPr>
          <w:rFonts w:eastAsia="Calibri"/>
          <w:b/>
          <w:bCs/>
          <w:color w:val="000000" w:themeColor="text1"/>
        </w:rPr>
        <w:t>I.C.</w:t>
      </w:r>
      <w:r w:rsidR="001B6F99">
        <w:rPr>
          <w:rFonts w:eastAsia="Calibri"/>
          <w:b/>
          <w:bCs/>
          <w:color w:val="000000" w:themeColor="text1"/>
        </w:rPr>
        <w:t xml:space="preserve"> </w:t>
      </w:r>
      <w:r w:rsidRPr="000A5867">
        <w:rPr>
          <w:rFonts w:eastAsia="Calibri"/>
          <w:b/>
          <w:bCs/>
          <w:color w:val="000000" w:themeColor="text1"/>
        </w:rPr>
        <w:t>KEY ACTIVITIES AND DATES</w:t>
      </w:r>
      <w:r w:rsidR="001B6F99">
        <w:rPr>
          <w:rFonts w:eastAsia="Calibri"/>
          <w:b/>
          <w:bCs/>
          <w:color w:val="000000" w:themeColor="text1"/>
        </w:rPr>
        <w:t xml:space="preserve"> </w:t>
      </w:r>
      <w:r w:rsidRPr="000A5867">
        <w:rPr>
          <w:rFonts w:eastAsia="Calibri"/>
          <w:color w:val="000000" w:themeColor="text1"/>
        </w:rPr>
        <w:t>(page</w:t>
      </w:r>
      <w:r w:rsidR="001B6F99">
        <w:rPr>
          <w:rFonts w:eastAsia="Calibri"/>
          <w:color w:val="000000" w:themeColor="text1"/>
        </w:rPr>
        <w:t xml:space="preserve"> </w:t>
      </w:r>
      <w:r w:rsidRPr="000A5867">
        <w:rPr>
          <w:rFonts w:eastAsia="Calibri"/>
          <w:color w:val="000000" w:themeColor="text1"/>
        </w:rPr>
        <w:t>6)</w:t>
      </w:r>
      <w:r w:rsidR="001B6F99">
        <w:rPr>
          <w:rFonts w:eastAsia="Calibri"/>
          <w:color w:val="000000" w:themeColor="text1"/>
        </w:rPr>
        <w:t xml:space="preserve"> </w:t>
      </w:r>
    </w:p>
    <w:p w14:paraId="1C7535BA" w14:textId="77777777" w:rsidR="004D2F33" w:rsidRPr="000A5867" w:rsidRDefault="004D2F33" w:rsidP="00627044">
      <w:pPr>
        <w:pStyle w:val="ListParagraph"/>
        <w:rPr>
          <w:rFonts w:eastAsia="Calibri"/>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key activities and dates"/>
      </w:tblPr>
      <w:tblGrid>
        <w:gridCol w:w="5540"/>
        <w:gridCol w:w="3444"/>
      </w:tblGrid>
      <w:tr w:rsidR="00B4628C" w:rsidRPr="00B4628C" w14:paraId="50C0FDE1" w14:textId="77777777" w:rsidTr="4A474AC3">
        <w:trPr>
          <w:trHeight w:val="420"/>
        </w:trPr>
        <w:tc>
          <w:tcPr>
            <w:tcW w:w="56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61F914BC" w14:textId="305BB29F" w:rsidR="00B4628C" w:rsidRPr="00B4628C" w:rsidRDefault="00B4628C" w:rsidP="00B4628C">
            <w:pPr>
              <w:pStyle w:val="ListParagraph"/>
              <w:ind w:left="360"/>
              <w:rPr>
                <w:rFonts w:eastAsia="Calibri"/>
                <w:b/>
                <w:bCs/>
                <w:color w:val="000000" w:themeColor="text1"/>
              </w:rPr>
            </w:pPr>
            <w:r w:rsidRPr="00B4628C">
              <w:rPr>
                <w:rFonts w:eastAsia="Calibri"/>
                <w:b/>
                <w:bCs/>
                <w:color w:val="000000" w:themeColor="text1"/>
              </w:rPr>
              <w:t>ACTIVITY</w:t>
            </w:r>
          </w:p>
        </w:tc>
        <w:tc>
          <w:tcPr>
            <w:tcW w:w="351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B9D688F" w14:textId="75BF9AE0" w:rsidR="00B4628C" w:rsidRPr="00B4628C" w:rsidRDefault="00B4628C" w:rsidP="00B4628C">
            <w:pPr>
              <w:pStyle w:val="ListParagraph"/>
              <w:ind w:left="360"/>
              <w:rPr>
                <w:rFonts w:eastAsia="Calibri"/>
                <w:b/>
                <w:bCs/>
                <w:color w:val="000000" w:themeColor="text1"/>
              </w:rPr>
            </w:pPr>
            <w:r w:rsidRPr="00B4628C">
              <w:rPr>
                <w:rFonts w:eastAsia="Calibri"/>
                <w:b/>
                <w:bCs/>
                <w:color w:val="000000" w:themeColor="text1"/>
              </w:rPr>
              <w:t>ACTION DATE</w:t>
            </w:r>
          </w:p>
        </w:tc>
      </w:tr>
      <w:tr w:rsidR="00B4628C" w:rsidRPr="00B4628C" w14:paraId="25877A16"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16D888F7" w14:textId="6B20F366"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Solicitation Release</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0C0B389C" w14:textId="20DF3D98"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January 21, 2026</w:t>
            </w:r>
          </w:p>
        </w:tc>
      </w:tr>
      <w:tr w:rsidR="00B4628C" w:rsidRPr="00B4628C" w14:paraId="2F144E0F"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5963676C" w14:textId="0C3695B1"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Pre-Application Workshop*</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5583745F" w14:textId="30620F4F"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February 4, 2026</w:t>
            </w:r>
          </w:p>
        </w:tc>
      </w:tr>
      <w:tr w:rsidR="00B4628C" w:rsidRPr="00B4628C" w14:paraId="42BD14B0"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9035E5B" w14:textId="677924D4"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Deadline for Written Questions*</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514798C8" w14:textId="4D3D07B3"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February 12, 2026</w:t>
            </w:r>
          </w:p>
        </w:tc>
      </w:tr>
      <w:tr w:rsidR="00B4628C" w:rsidRPr="00B4628C" w14:paraId="2F4943BC"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6ACF6A38" w14:textId="4ED7A10A" w:rsidR="00B4628C" w:rsidRPr="00B4628C" w:rsidRDefault="00B4628C" w:rsidP="00B4628C">
            <w:pPr>
              <w:pStyle w:val="ListParagraph"/>
              <w:ind w:left="360"/>
              <w:rPr>
                <w:rFonts w:eastAsia="Calibri"/>
                <w:color w:val="000000" w:themeColor="text1"/>
              </w:rPr>
            </w:pPr>
            <w:r w:rsidRPr="4A474AC3">
              <w:rPr>
                <w:rFonts w:eastAsia="Calibri"/>
                <w:color w:val="000000" w:themeColor="text1"/>
              </w:rPr>
              <w:t>Anticipated Distribution of Questions/Answers</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22ACEB8" w14:textId="587D5B49" w:rsidR="00B4628C" w:rsidRPr="00B4628C" w:rsidRDefault="00573650" w:rsidP="00B4628C">
            <w:pPr>
              <w:pStyle w:val="ListParagraph"/>
              <w:ind w:left="360"/>
              <w:rPr>
                <w:rFonts w:eastAsia="Calibri"/>
                <w:color w:val="000000" w:themeColor="text1"/>
              </w:rPr>
            </w:pPr>
            <w:r>
              <w:rPr>
                <w:rFonts w:eastAsia="Calibri"/>
                <w:color w:val="000000" w:themeColor="text1"/>
              </w:rPr>
              <w:t>[</w:t>
            </w:r>
            <w:r w:rsidR="00B4628C" w:rsidRPr="00573650">
              <w:rPr>
                <w:rFonts w:eastAsia="Calibri"/>
                <w:strike/>
                <w:color w:val="000000" w:themeColor="text1"/>
              </w:rPr>
              <w:t>Week of</w:t>
            </w:r>
            <w:r>
              <w:rPr>
                <w:rFonts w:eastAsia="Calibri"/>
                <w:color w:val="000000" w:themeColor="text1"/>
              </w:rPr>
              <w:t>]</w:t>
            </w:r>
            <w:r w:rsidR="008F2102" w:rsidRPr="4A474AC3">
              <w:rPr>
                <w:rFonts w:eastAsia="Calibri"/>
                <w:color w:val="000000" w:themeColor="text1"/>
              </w:rPr>
              <w:t xml:space="preserve"> </w:t>
            </w:r>
            <w:r w:rsidR="00B4628C" w:rsidRPr="4A474AC3">
              <w:rPr>
                <w:rFonts w:eastAsia="Calibri"/>
                <w:b/>
                <w:bCs/>
                <w:color w:val="000000" w:themeColor="text1"/>
                <w:u w:val="single"/>
              </w:rPr>
              <w:t>April</w:t>
            </w:r>
            <w:r w:rsidR="002A02C1" w:rsidRPr="4A474AC3">
              <w:rPr>
                <w:rFonts w:eastAsia="Calibri"/>
                <w:b/>
                <w:bCs/>
                <w:color w:val="000000" w:themeColor="text1"/>
                <w:u w:val="single"/>
              </w:rPr>
              <w:t xml:space="preserve"> 20</w:t>
            </w:r>
            <w:r w:rsidR="001B6F99" w:rsidRPr="4A474AC3">
              <w:rPr>
                <w:rFonts w:eastAsia="Calibri"/>
                <w:color w:val="000000" w:themeColor="text1"/>
              </w:rPr>
              <w:t xml:space="preserve"> </w:t>
            </w:r>
            <w:r w:rsidR="002A02C1" w:rsidRPr="4A474AC3">
              <w:rPr>
                <w:rFonts w:eastAsia="Calibri"/>
                <w:color w:val="000000" w:themeColor="text1"/>
              </w:rPr>
              <w:t>[</w:t>
            </w:r>
            <w:r w:rsidR="00A555CB" w:rsidRPr="4A474AC3">
              <w:rPr>
                <w:rFonts w:eastAsia="Calibri"/>
                <w:strike/>
                <w:color w:val="000000" w:themeColor="text1"/>
              </w:rPr>
              <w:t>6</w:t>
            </w:r>
            <w:r w:rsidR="00A555CB" w:rsidRPr="4A474AC3">
              <w:rPr>
                <w:rFonts w:eastAsia="Calibri"/>
                <w:color w:val="000000" w:themeColor="text1"/>
              </w:rPr>
              <w:t>]</w:t>
            </w:r>
            <w:r w:rsidR="00B4628C" w:rsidRPr="4A474AC3">
              <w:rPr>
                <w:rFonts w:eastAsia="Calibri"/>
                <w:color w:val="000000" w:themeColor="text1"/>
              </w:rPr>
              <w:t>, 2026</w:t>
            </w:r>
          </w:p>
        </w:tc>
      </w:tr>
      <w:tr w:rsidR="00B4628C" w:rsidRPr="00B4628C" w14:paraId="571DA3DB"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8B84370" w14:textId="1F601AB8"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Support for Application Submission in the Energy Commission Agreement Management System (ECAMS) until 5:00 p.m.</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FFFE5BF" w14:textId="2AB1E313"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Ongoing until</w:t>
            </w:r>
            <w:r w:rsidR="000304D4">
              <w:rPr>
                <w:rFonts w:eastAsia="Calibri"/>
                <w:color w:val="000000" w:themeColor="text1"/>
              </w:rPr>
              <w:t xml:space="preserve"> </w:t>
            </w:r>
            <w:r w:rsidRPr="002A02C1">
              <w:rPr>
                <w:rFonts w:eastAsia="Calibri"/>
                <w:b/>
                <w:bCs/>
                <w:color w:val="000000" w:themeColor="text1"/>
                <w:u w:val="single"/>
              </w:rPr>
              <w:t>May</w:t>
            </w:r>
            <w:r w:rsidR="002A02C1">
              <w:rPr>
                <w:rFonts w:eastAsia="Calibri"/>
                <w:color w:val="000000" w:themeColor="text1"/>
                <w:u w:val="single"/>
              </w:rPr>
              <w:t xml:space="preserve"> </w:t>
            </w:r>
            <w:r w:rsidR="002A02C1" w:rsidRPr="002A02C1">
              <w:rPr>
                <w:rFonts w:eastAsia="Calibri"/>
                <w:b/>
                <w:bCs/>
                <w:color w:val="000000" w:themeColor="text1"/>
                <w:u w:val="single"/>
              </w:rPr>
              <w:t>2</w:t>
            </w:r>
            <w:r w:rsidR="00DA4A6A">
              <w:rPr>
                <w:rFonts w:eastAsia="Calibri"/>
                <w:b/>
                <w:bCs/>
                <w:color w:val="000000" w:themeColor="text1"/>
                <w:u w:val="single"/>
              </w:rPr>
              <w:t>8</w:t>
            </w:r>
            <w:r w:rsidR="001B6F99">
              <w:rPr>
                <w:rFonts w:eastAsia="Calibri"/>
                <w:color w:val="000000" w:themeColor="text1"/>
              </w:rPr>
              <w:t xml:space="preserve"> </w:t>
            </w:r>
            <w:r w:rsidR="002A02C1" w:rsidRPr="00A22A6D">
              <w:rPr>
                <w:rFonts w:eastAsia="Calibri"/>
                <w:color w:val="000000" w:themeColor="text1"/>
              </w:rPr>
              <w:t>[</w:t>
            </w:r>
            <w:r w:rsidRPr="00997D83">
              <w:rPr>
                <w:rFonts w:eastAsia="Calibri"/>
                <w:strike/>
                <w:color w:val="000000" w:themeColor="text1"/>
              </w:rPr>
              <w:t>13</w:t>
            </w:r>
            <w:r w:rsidR="000304D4" w:rsidRPr="000304D4">
              <w:rPr>
                <w:rFonts w:eastAsia="Calibri"/>
                <w:color w:val="000000" w:themeColor="text1"/>
              </w:rPr>
              <w:t>]</w:t>
            </w:r>
            <w:r w:rsidRPr="00B4628C">
              <w:rPr>
                <w:rFonts w:eastAsia="Calibri"/>
                <w:color w:val="000000" w:themeColor="text1"/>
              </w:rPr>
              <w:t>, 2026</w:t>
            </w:r>
          </w:p>
        </w:tc>
      </w:tr>
      <w:tr w:rsidR="00B4628C" w:rsidRPr="00B4628C" w14:paraId="24363D80"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723EFBD" w14:textId="3467333E" w:rsidR="00B4628C" w:rsidRPr="00B4628C" w:rsidRDefault="00B4628C" w:rsidP="00B4628C">
            <w:pPr>
              <w:pStyle w:val="ListParagraph"/>
              <w:ind w:left="360"/>
              <w:rPr>
                <w:rFonts w:eastAsia="Calibri"/>
                <w:color w:val="000000" w:themeColor="text1"/>
              </w:rPr>
            </w:pPr>
            <w:r w:rsidRPr="00B4628C">
              <w:rPr>
                <w:rFonts w:eastAsia="Calibri"/>
                <w:b/>
                <w:bCs/>
                <w:color w:val="000000" w:themeColor="text1"/>
              </w:rPr>
              <w:t>Deadline to Submit Applications by 11:59 p.m.*</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8B0DDB5" w14:textId="6EE2820B" w:rsidR="00B4628C" w:rsidRPr="00B4628C" w:rsidRDefault="00B4628C" w:rsidP="00B4628C">
            <w:pPr>
              <w:pStyle w:val="ListParagraph"/>
              <w:ind w:left="360"/>
              <w:rPr>
                <w:rFonts w:eastAsia="Calibri"/>
                <w:color w:val="000000" w:themeColor="text1"/>
              </w:rPr>
            </w:pPr>
            <w:r w:rsidRPr="00B4628C">
              <w:rPr>
                <w:rFonts w:eastAsia="Calibri"/>
                <w:b/>
                <w:bCs/>
                <w:color w:val="000000" w:themeColor="text1"/>
                <w:u w:val="single"/>
              </w:rPr>
              <w:t xml:space="preserve">May </w:t>
            </w:r>
            <w:r w:rsidR="00206506" w:rsidRPr="002A02C1">
              <w:rPr>
                <w:rFonts w:eastAsia="Calibri"/>
                <w:b/>
                <w:bCs/>
                <w:color w:val="000000" w:themeColor="text1"/>
                <w:u w:val="single"/>
              </w:rPr>
              <w:t>2</w:t>
            </w:r>
            <w:r w:rsidR="00DA4A6A">
              <w:rPr>
                <w:rFonts w:eastAsia="Calibri"/>
                <w:b/>
                <w:bCs/>
                <w:color w:val="000000" w:themeColor="text1"/>
                <w:u w:val="single"/>
              </w:rPr>
              <w:t>8</w:t>
            </w:r>
            <w:r w:rsidR="001B6F99">
              <w:rPr>
                <w:rFonts w:eastAsia="Calibri"/>
                <w:color w:val="000000" w:themeColor="text1"/>
              </w:rPr>
              <w:t xml:space="preserve"> </w:t>
            </w:r>
            <w:r w:rsidR="00206506" w:rsidRPr="00A22A6D">
              <w:rPr>
                <w:rFonts w:eastAsia="Calibri"/>
                <w:color w:val="000000" w:themeColor="text1"/>
              </w:rPr>
              <w:t>[</w:t>
            </w:r>
            <w:r w:rsidR="00206506" w:rsidRPr="00997D83">
              <w:rPr>
                <w:rFonts w:eastAsia="Calibri"/>
                <w:strike/>
                <w:color w:val="000000" w:themeColor="text1"/>
              </w:rPr>
              <w:t>13</w:t>
            </w:r>
            <w:r w:rsidR="00206506" w:rsidRPr="000304D4">
              <w:rPr>
                <w:rFonts w:eastAsia="Calibri"/>
                <w:color w:val="000000" w:themeColor="text1"/>
              </w:rPr>
              <w:t>]</w:t>
            </w:r>
            <w:r w:rsidRPr="00B4628C">
              <w:rPr>
                <w:rFonts w:eastAsia="Calibri"/>
                <w:color w:val="000000" w:themeColor="text1"/>
              </w:rPr>
              <w:t>, 2026</w:t>
            </w:r>
          </w:p>
        </w:tc>
      </w:tr>
      <w:tr w:rsidR="00B4628C" w:rsidRPr="00B4628C" w14:paraId="1245FAC9" w14:textId="77777777" w:rsidTr="4A474AC3">
        <w:trPr>
          <w:trHeight w:val="420"/>
        </w:trPr>
        <w:tc>
          <w:tcPr>
            <w:tcW w:w="56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4FE21BAF" w14:textId="510523C2"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Anticipated Notice of Proposed Awards Posting</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04CEDA7" w14:textId="4FCF6343"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Week of</w:t>
            </w:r>
            <w:r w:rsidR="009139C1">
              <w:rPr>
                <w:rFonts w:eastAsia="Calibri"/>
                <w:color w:val="000000" w:themeColor="text1"/>
              </w:rPr>
              <w:t xml:space="preserve"> </w:t>
            </w:r>
            <w:r w:rsidR="006057C4" w:rsidRPr="009139C1">
              <w:rPr>
                <w:rFonts w:eastAsia="Calibri"/>
                <w:b/>
                <w:bCs/>
                <w:color w:val="000000" w:themeColor="text1"/>
                <w:u w:val="single"/>
              </w:rPr>
              <w:t>August 10</w:t>
            </w:r>
            <w:r w:rsidR="001B6F99">
              <w:rPr>
                <w:rFonts w:eastAsia="Calibri"/>
                <w:color w:val="000000" w:themeColor="text1"/>
              </w:rPr>
              <w:t xml:space="preserve"> </w:t>
            </w:r>
            <w:r w:rsidR="006057C4">
              <w:rPr>
                <w:rFonts w:eastAsia="Calibri"/>
                <w:color w:val="000000" w:themeColor="text1"/>
              </w:rPr>
              <w:t>[</w:t>
            </w:r>
            <w:r w:rsidR="006057C4" w:rsidRPr="00997D83">
              <w:rPr>
                <w:rFonts w:eastAsia="Calibri"/>
                <w:strike/>
                <w:color w:val="000000" w:themeColor="text1"/>
              </w:rPr>
              <w:t>July 27</w:t>
            </w:r>
            <w:r w:rsidR="006057C4" w:rsidRPr="009139C1">
              <w:rPr>
                <w:rFonts w:eastAsia="Calibri"/>
                <w:color w:val="000000" w:themeColor="text1"/>
              </w:rPr>
              <w:t>]</w:t>
            </w:r>
            <w:r w:rsidRPr="00B4628C">
              <w:rPr>
                <w:rFonts w:eastAsia="Calibri"/>
                <w:color w:val="000000" w:themeColor="text1"/>
              </w:rPr>
              <w:t>, 2026</w:t>
            </w:r>
          </w:p>
        </w:tc>
      </w:tr>
      <w:tr w:rsidR="00B4628C" w:rsidRPr="00B4628C" w14:paraId="52AFFE96" w14:textId="77777777" w:rsidTr="4A474AC3">
        <w:trPr>
          <w:trHeight w:val="420"/>
        </w:trPr>
        <w:tc>
          <w:tcPr>
            <w:tcW w:w="5655" w:type="dxa"/>
            <w:tcBorders>
              <w:top w:val="single" w:sz="6" w:space="0" w:color="auto"/>
              <w:left w:val="single" w:sz="6" w:space="0" w:color="auto"/>
              <w:bottom w:val="single" w:sz="6" w:space="0" w:color="auto"/>
              <w:right w:val="single" w:sz="6" w:space="0" w:color="auto"/>
            </w:tcBorders>
            <w:vAlign w:val="center"/>
            <w:hideMark/>
          </w:tcPr>
          <w:p w14:paraId="21B29FB4" w14:textId="6C3B463F" w:rsidR="00B4628C" w:rsidRPr="00B4628C" w:rsidRDefault="00B4628C" w:rsidP="00B4628C">
            <w:pPr>
              <w:pStyle w:val="ListParagraph"/>
              <w:ind w:left="360"/>
              <w:rPr>
                <w:rFonts w:eastAsia="Calibri"/>
                <w:color w:val="000000" w:themeColor="text1"/>
              </w:rPr>
            </w:pPr>
            <w:r w:rsidRPr="00B4628C">
              <w:rPr>
                <w:rFonts w:eastAsia="Calibri"/>
                <w:color w:val="000000" w:themeColor="text1"/>
              </w:rPr>
              <w:t>Anticipated CEC Business Meeting</w:t>
            </w:r>
          </w:p>
        </w:tc>
        <w:tc>
          <w:tcPr>
            <w:tcW w:w="3510" w:type="dxa"/>
            <w:tcBorders>
              <w:top w:val="single" w:sz="6" w:space="0" w:color="auto"/>
              <w:left w:val="single" w:sz="6" w:space="0" w:color="auto"/>
              <w:bottom w:val="single" w:sz="6" w:space="0" w:color="auto"/>
              <w:right w:val="single" w:sz="6" w:space="0" w:color="auto"/>
            </w:tcBorders>
            <w:vAlign w:val="center"/>
            <w:hideMark/>
          </w:tcPr>
          <w:p w14:paraId="5CA57616" w14:textId="40C48F74" w:rsidR="00B4628C" w:rsidRPr="00B4628C" w:rsidRDefault="00CA3C43" w:rsidP="00B4628C">
            <w:pPr>
              <w:pStyle w:val="ListParagraph"/>
              <w:ind w:left="360"/>
              <w:rPr>
                <w:rFonts w:eastAsia="Calibri"/>
                <w:color w:val="000000" w:themeColor="text1"/>
              </w:rPr>
            </w:pPr>
            <w:r w:rsidRPr="00CA3C43">
              <w:rPr>
                <w:rFonts w:eastAsia="Calibri"/>
                <w:b/>
                <w:bCs/>
                <w:color w:val="000000" w:themeColor="text1"/>
                <w:u w:val="single"/>
              </w:rPr>
              <w:t>November</w:t>
            </w:r>
            <w:r w:rsidRPr="00E121DF">
              <w:rPr>
                <w:rFonts w:eastAsia="Calibri"/>
                <w:color w:val="000000" w:themeColor="text1"/>
              </w:rPr>
              <w:t xml:space="preserve"> </w:t>
            </w:r>
            <w:r w:rsidR="38D704AA" w:rsidRPr="00E121DF">
              <w:rPr>
                <w:rFonts w:eastAsia="Calibri"/>
                <w:color w:val="000000" w:themeColor="text1"/>
              </w:rPr>
              <w:t>[</w:t>
            </w:r>
            <w:r w:rsidR="00B4628C" w:rsidRPr="00997D83">
              <w:rPr>
                <w:rFonts w:eastAsia="Calibri"/>
                <w:strike/>
                <w:color w:val="000000" w:themeColor="text1"/>
              </w:rPr>
              <w:t>October</w:t>
            </w:r>
            <w:r w:rsidR="6F5B9CDE" w:rsidRPr="43AC08E7">
              <w:rPr>
                <w:rFonts w:eastAsia="Calibri"/>
                <w:color w:val="000000" w:themeColor="text1"/>
              </w:rPr>
              <w:t>]</w:t>
            </w:r>
            <w:r w:rsidR="00B4628C" w:rsidRPr="43AC08E7">
              <w:rPr>
                <w:rFonts w:eastAsia="Calibri"/>
                <w:color w:val="000000" w:themeColor="text1"/>
              </w:rPr>
              <w:t xml:space="preserve"> 2026</w:t>
            </w:r>
          </w:p>
        </w:tc>
      </w:tr>
    </w:tbl>
    <w:p w14:paraId="69803459" w14:textId="77777777" w:rsidR="000A5867" w:rsidRPr="00A4733C" w:rsidRDefault="000A5867" w:rsidP="000A5867">
      <w:pPr>
        <w:pStyle w:val="ListParagraph"/>
        <w:ind w:left="360"/>
        <w:rPr>
          <w:rFonts w:eastAsia="Calibri"/>
          <w:color w:val="000000" w:themeColor="text1"/>
        </w:rPr>
      </w:pPr>
    </w:p>
    <w:p w14:paraId="1090B892" w14:textId="77777777" w:rsidR="00306830" w:rsidRDefault="00306830">
      <w:pPr>
        <w:rPr>
          <w:rFonts w:eastAsia="Calibri"/>
          <w:b/>
          <w:bCs/>
          <w:color w:val="000000" w:themeColor="text1"/>
        </w:rPr>
      </w:pPr>
      <w:r>
        <w:rPr>
          <w:rFonts w:eastAsia="Calibri"/>
          <w:b/>
          <w:bCs/>
          <w:color w:val="000000" w:themeColor="text1"/>
        </w:rPr>
        <w:br w:type="page"/>
      </w:r>
    </w:p>
    <w:p w14:paraId="2FECE08D" w14:textId="66F9D6F1" w:rsidR="00EC0AEB" w:rsidRPr="00EC0AEB" w:rsidRDefault="00EC0AEB" w:rsidP="002B11B0">
      <w:pPr>
        <w:pStyle w:val="ListParagraph"/>
        <w:numPr>
          <w:ilvl w:val="0"/>
          <w:numId w:val="1"/>
        </w:numPr>
        <w:ind w:left="720" w:hanging="720"/>
        <w:rPr>
          <w:rFonts w:eastAsia="Calibri"/>
          <w:color w:val="000000" w:themeColor="text1"/>
        </w:rPr>
      </w:pPr>
      <w:r w:rsidRPr="00EC0AEB">
        <w:rPr>
          <w:rFonts w:eastAsia="Calibri"/>
          <w:b/>
          <w:bCs/>
          <w:color w:val="000000" w:themeColor="text1"/>
        </w:rPr>
        <w:lastRenderedPageBreak/>
        <w:t xml:space="preserve">Section II.B.4 </w:t>
      </w:r>
      <w:r w:rsidRPr="00EC0AEB">
        <w:rPr>
          <w:b/>
          <w:bCs/>
        </w:rPr>
        <w:t>Megawatts</w:t>
      </w:r>
      <w:r w:rsidRPr="4E060648">
        <w:rPr>
          <w:b/>
        </w:rPr>
        <w:t xml:space="preserve"> Per EV Charging Station, Number of EV Charging Ports, and Connector Types</w:t>
      </w:r>
      <w:r>
        <w:rPr>
          <w:b/>
        </w:rPr>
        <w:t xml:space="preserve"> </w:t>
      </w:r>
      <w:r w:rsidRPr="00EC0AEB">
        <w:rPr>
          <w:bCs/>
        </w:rPr>
        <w:t>(page 19)</w:t>
      </w:r>
    </w:p>
    <w:p w14:paraId="72864C13" w14:textId="31833B67" w:rsidR="00475855" w:rsidRPr="00627044" w:rsidRDefault="00475855" w:rsidP="00627044">
      <w:pPr>
        <w:pStyle w:val="NormalIndent"/>
        <w:rPr>
          <w:rFonts w:ascii="Tahoma" w:hAnsi="Tahoma" w:cs="Tahoma"/>
          <w:b/>
          <w:u w:val="single"/>
        </w:rPr>
      </w:pPr>
      <w:r w:rsidRPr="00627044">
        <w:rPr>
          <w:rFonts w:ascii="Tahoma" w:eastAsia="Arial" w:hAnsi="Tahoma" w:cs="Tahoma"/>
          <w:b/>
          <w:color w:val="000000" w:themeColor="text1"/>
          <w:u w:val="single"/>
        </w:rPr>
        <w:t>The CEC reserves the right to</w:t>
      </w:r>
      <w:r w:rsidR="00F10F44" w:rsidRPr="00627044">
        <w:rPr>
          <w:rFonts w:ascii="Tahoma" w:eastAsia="Arial" w:hAnsi="Tahoma" w:cs="Tahoma"/>
          <w:b/>
          <w:color w:val="000000" w:themeColor="text1"/>
          <w:u w:val="single"/>
        </w:rPr>
        <w:t xml:space="preserve"> </w:t>
      </w:r>
      <w:r w:rsidR="00213677" w:rsidRPr="00627044">
        <w:rPr>
          <w:rFonts w:ascii="Tahoma" w:eastAsia="Arial" w:hAnsi="Tahoma" w:cs="Tahoma"/>
          <w:b/>
          <w:color w:val="000000" w:themeColor="text1"/>
          <w:u w:val="single"/>
        </w:rPr>
        <w:t>modify the requirements described below</w:t>
      </w:r>
      <w:r w:rsidR="000058AF">
        <w:rPr>
          <w:rFonts w:ascii="Tahoma" w:eastAsia="Arial" w:hAnsi="Tahoma" w:cs="Tahoma"/>
          <w:b/>
          <w:bCs/>
          <w:color w:val="000000" w:themeColor="text1"/>
          <w:u w:val="single"/>
        </w:rPr>
        <w:t>,</w:t>
      </w:r>
      <w:r w:rsidR="00BA006D" w:rsidRPr="00627044">
        <w:rPr>
          <w:rFonts w:ascii="Tahoma" w:eastAsia="Arial" w:hAnsi="Tahoma" w:cs="Tahoma"/>
          <w:b/>
          <w:color w:val="000000" w:themeColor="text1"/>
          <w:u w:val="single"/>
        </w:rPr>
        <w:t xml:space="preserve"> including, but not limited to</w:t>
      </w:r>
      <w:r w:rsidR="00F55317">
        <w:rPr>
          <w:rFonts w:ascii="Tahoma" w:eastAsia="Arial" w:hAnsi="Tahoma" w:cs="Tahoma"/>
          <w:b/>
          <w:bCs/>
          <w:color w:val="000000" w:themeColor="text1"/>
          <w:u w:val="single"/>
        </w:rPr>
        <w:t>,</w:t>
      </w:r>
      <w:r w:rsidR="00BA006D" w:rsidRPr="00627044">
        <w:rPr>
          <w:rFonts w:ascii="Tahoma" w:eastAsia="Arial" w:hAnsi="Tahoma" w:cs="Tahoma"/>
          <w:b/>
          <w:color w:val="000000" w:themeColor="text1"/>
          <w:u w:val="single"/>
        </w:rPr>
        <w:t xml:space="preserve"> </w:t>
      </w:r>
      <w:r w:rsidR="00243C3F" w:rsidRPr="00627044">
        <w:rPr>
          <w:rFonts w:ascii="Tahoma" w:eastAsia="Arial" w:hAnsi="Tahoma" w:cs="Tahoma"/>
          <w:b/>
          <w:color w:val="000000" w:themeColor="text1"/>
          <w:u w:val="single"/>
        </w:rPr>
        <w:t xml:space="preserve">charging station </w:t>
      </w:r>
      <w:r w:rsidR="00770364">
        <w:rPr>
          <w:rFonts w:ascii="Tahoma" w:eastAsia="Arial" w:hAnsi="Tahoma" w:cs="Tahoma"/>
          <w:b/>
          <w:bCs/>
          <w:color w:val="000000" w:themeColor="text1"/>
          <w:u w:val="single"/>
        </w:rPr>
        <w:t>capacity</w:t>
      </w:r>
      <w:r w:rsidR="00243C3F" w:rsidRPr="00627044">
        <w:rPr>
          <w:rFonts w:ascii="Tahoma" w:eastAsia="Arial" w:hAnsi="Tahoma" w:cs="Tahoma"/>
          <w:b/>
          <w:color w:val="000000" w:themeColor="text1"/>
          <w:u w:val="single"/>
        </w:rPr>
        <w:t xml:space="preserve"> minimums, number of </w:t>
      </w:r>
      <w:r w:rsidR="002419F0" w:rsidRPr="00627044">
        <w:rPr>
          <w:rFonts w:ascii="Tahoma" w:eastAsia="Arial" w:hAnsi="Tahoma" w:cs="Tahoma"/>
          <w:b/>
          <w:color w:val="000000" w:themeColor="text1"/>
          <w:u w:val="single"/>
        </w:rPr>
        <w:t>EV charging ports, and connector types</w:t>
      </w:r>
      <w:r w:rsidR="001C7FA9">
        <w:rPr>
          <w:rFonts w:ascii="Tahoma" w:eastAsia="Arial" w:hAnsi="Tahoma" w:cs="Tahoma"/>
          <w:b/>
          <w:bCs/>
          <w:color w:val="000000" w:themeColor="text1"/>
          <w:u w:val="single"/>
        </w:rPr>
        <w:t>,</w:t>
      </w:r>
      <w:r w:rsidR="002419F0" w:rsidRPr="00627044">
        <w:rPr>
          <w:rFonts w:ascii="Tahoma" w:eastAsia="Arial" w:hAnsi="Tahoma" w:cs="Tahoma"/>
          <w:b/>
          <w:color w:val="000000" w:themeColor="text1"/>
          <w:u w:val="single"/>
        </w:rPr>
        <w:t xml:space="preserve"> </w:t>
      </w:r>
      <w:r w:rsidR="00880755" w:rsidRPr="00627044">
        <w:rPr>
          <w:rFonts w:ascii="Tahoma" w:eastAsia="Arial" w:hAnsi="Tahoma" w:cs="Tahoma"/>
          <w:b/>
          <w:color w:val="000000" w:themeColor="text1"/>
          <w:u w:val="single"/>
        </w:rPr>
        <w:t>to align with federal requirements, funding availability, or technological developments.</w:t>
      </w:r>
      <w:r w:rsidR="008E2119">
        <w:rPr>
          <w:rFonts w:ascii="Tahoma" w:eastAsia="Arial" w:hAnsi="Tahoma" w:cs="Tahoma"/>
          <w:b/>
          <w:bCs/>
          <w:color w:val="000000" w:themeColor="text1"/>
          <w:u w:val="single"/>
        </w:rPr>
        <w:t xml:space="preserve"> If any of these requirements </w:t>
      </w:r>
      <w:r w:rsidR="00EC2467">
        <w:rPr>
          <w:rFonts w:ascii="Tahoma" w:eastAsia="Arial" w:hAnsi="Tahoma" w:cs="Tahoma"/>
          <w:b/>
          <w:bCs/>
          <w:color w:val="000000" w:themeColor="text1"/>
          <w:u w:val="single"/>
        </w:rPr>
        <w:t>are</w:t>
      </w:r>
      <w:r w:rsidR="008E2119">
        <w:rPr>
          <w:rFonts w:ascii="Tahoma" w:eastAsia="Arial" w:hAnsi="Tahoma" w:cs="Tahoma"/>
          <w:b/>
          <w:bCs/>
          <w:color w:val="000000" w:themeColor="text1"/>
          <w:u w:val="single"/>
        </w:rPr>
        <w:t xml:space="preserve"> modified, the CEC will work with </w:t>
      </w:r>
      <w:r w:rsidR="008D0EBE">
        <w:rPr>
          <w:rFonts w:ascii="Tahoma" w:eastAsia="Arial" w:hAnsi="Tahoma" w:cs="Tahoma"/>
          <w:b/>
          <w:bCs/>
          <w:color w:val="000000" w:themeColor="text1"/>
          <w:u w:val="single"/>
        </w:rPr>
        <w:t>R</w:t>
      </w:r>
      <w:r w:rsidR="008E2119">
        <w:rPr>
          <w:rFonts w:ascii="Tahoma" w:eastAsia="Arial" w:hAnsi="Tahoma" w:cs="Tahoma"/>
          <w:b/>
          <w:bCs/>
          <w:color w:val="000000" w:themeColor="text1"/>
          <w:u w:val="single"/>
        </w:rPr>
        <w:t xml:space="preserve">ecipients to </w:t>
      </w:r>
      <w:r w:rsidR="00862378">
        <w:rPr>
          <w:rFonts w:ascii="Tahoma" w:eastAsia="Arial" w:hAnsi="Tahoma" w:cs="Tahoma"/>
          <w:b/>
          <w:bCs/>
          <w:color w:val="000000" w:themeColor="text1"/>
          <w:u w:val="single"/>
        </w:rPr>
        <w:t>adjust the awarded projects, as necessary.</w:t>
      </w:r>
    </w:p>
    <w:p w14:paraId="2E689B5F" w14:textId="30E594B2" w:rsidR="00CF3503" w:rsidRPr="00627044" w:rsidRDefault="00CF3503" w:rsidP="002B11B0">
      <w:pPr>
        <w:pStyle w:val="NormalIndent"/>
        <w:numPr>
          <w:ilvl w:val="0"/>
          <w:numId w:val="2"/>
        </w:numPr>
        <w:ind w:left="1440" w:hanging="720"/>
        <w:rPr>
          <w:rFonts w:ascii="Tahoma" w:hAnsi="Tahoma" w:cs="Tahoma"/>
        </w:rPr>
      </w:pPr>
      <w:r w:rsidRPr="00627044">
        <w:rPr>
          <w:rFonts w:ascii="Tahoma" w:hAnsi="Tahoma" w:cs="Tahoma"/>
        </w:rPr>
        <w:t xml:space="preserve">Each proposed EV charging station must install a </w:t>
      </w:r>
      <w:r w:rsidRPr="00627044">
        <w:rPr>
          <w:rFonts w:ascii="Tahoma" w:hAnsi="Tahoma" w:cs="Tahoma"/>
          <w:i/>
        </w:rPr>
        <w:t>minimum</w:t>
      </w:r>
      <w:r w:rsidRPr="00627044">
        <w:rPr>
          <w:rFonts w:ascii="Tahoma" w:hAnsi="Tahoma" w:cs="Tahoma"/>
        </w:rPr>
        <w:t xml:space="preserve"> of 3 MW nameplate </w:t>
      </w:r>
      <w:proofErr w:type="gramStart"/>
      <w:r w:rsidRPr="00627044">
        <w:rPr>
          <w:rFonts w:ascii="Tahoma" w:hAnsi="Tahoma" w:cs="Tahoma"/>
        </w:rPr>
        <w:t>of new</w:t>
      </w:r>
      <w:proofErr w:type="gramEnd"/>
      <w:r w:rsidRPr="00627044">
        <w:rPr>
          <w:rFonts w:ascii="Tahoma" w:hAnsi="Tahoma" w:cs="Tahoma"/>
        </w:rPr>
        <w:t xml:space="preserve"> charging capacity. If the proposed project is an expansion of an existing EV charging station, the project must add at least 3 MW of additional nameplate capacity to the site.</w:t>
      </w:r>
    </w:p>
    <w:p w14:paraId="7E1D450E" w14:textId="77777777" w:rsidR="00CF3503" w:rsidRPr="00627044" w:rsidRDefault="00CF3503" w:rsidP="002B11B0">
      <w:pPr>
        <w:pStyle w:val="NormalIndent"/>
        <w:numPr>
          <w:ilvl w:val="0"/>
          <w:numId w:val="2"/>
        </w:numPr>
        <w:ind w:left="1440" w:hanging="720"/>
        <w:rPr>
          <w:rFonts w:ascii="Tahoma" w:hAnsi="Tahoma" w:cs="Tahoma"/>
        </w:rPr>
      </w:pPr>
      <w:r w:rsidRPr="00627044">
        <w:rPr>
          <w:rFonts w:ascii="Tahoma" w:hAnsi="Tahoma" w:cs="Tahoma"/>
        </w:rPr>
        <w:t>Each project must include the installation of at least 8 new EV charging ports.</w:t>
      </w:r>
    </w:p>
    <w:p w14:paraId="43EF171B" w14:textId="77777777" w:rsidR="00CF3503" w:rsidRPr="00627044" w:rsidRDefault="00CF3503" w:rsidP="002B11B0">
      <w:pPr>
        <w:pStyle w:val="NormalIndent"/>
        <w:numPr>
          <w:ilvl w:val="0"/>
          <w:numId w:val="2"/>
        </w:numPr>
        <w:ind w:left="1440" w:hanging="720"/>
        <w:rPr>
          <w:rFonts w:ascii="Tahoma" w:hAnsi="Tahoma" w:cs="Tahoma"/>
        </w:rPr>
      </w:pPr>
      <w:r w:rsidRPr="00627044">
        <w:rPr>
          <w:rFonts w:ascii="Tahoma" w:hAnsi="Tahoma" w:cs="Tahoma"/>
        </w:rPr>
        <w:t>Each project must also make the proposed EV charging station “MW Ready,” meaning it must install the conduit, switchgear, and pad to enable the future installation of at least, one 1-MW charger (the charger itself is not required).</w:t>
      </w:r>
    </w:p>
    <w:p w14:paraId="46564BBD" w14:textId="77777777" w:rsidR="00CF3503" w:rsidRPr="00627044" w:rsidRDefault="00CF3503" w:rsidP="002B11B0">
      <w:pPr>
        <w:pStyle w:val="NormalIndent"/>
        <w:numPr>
          <w:ilvl w:val="0"/>
          <w:numId w:val="2"/>
        </w:numPr>
        <w:ind w:left="1440" w:hanging="720"/>
        <w:rPr>
          <w:rFonts w:ascii="Tahoma" w:hAnsi="Tahoma" w:cs="Tahoma"/>
        </w:rPr>
      </w:pPr>
      <w:r w:rsidRPr="00627044">
        <w:rPr>
          <w:rFonts w:ascii="Tahoma" w:hAnsi="Tahoma" w:cs="Tahoma"/>
        </w:rPr>
        <w:t xml:space="preserve">Each direct current (DC) fast charging port must meet applicable industry standards and must be capable of charging any CCS-compliant vehicle. Each DC fast charging port must have at least one permanently attached CCS Type 1 connector. </w:t>
      </w:r>
    </w:p>
    <w:p w14:paraId="77A45ED5" w14:textId="77777777" w:rsidR="00CF3503" w:rsidRPr="00627044" w:rsidRDefault="00CF3503" w:rsidP="002B11B0">
      <w:pPr>
        <w:pStyle w:val="NormalIndent"/>
        <w:numPr>
          <w:ilvl w:val="0"/>
          <w:numId w:val="2"/>
        </w:numPr>
        <w:ind w:left="1440" w:hanging="720"/>
        <w:rPr>
          <w:rFonts w:ascii="Tahoma" w:hAnsi="Tahoma" w:cs="Tahoma"/>
        </w:rPr>
      </w:pPr>
      <w:r w:rsidRPr="00627044">
        <w:rPr>
          <w:rFonts w:ascii="Tahoma" w:hAnsi="Tahoma" w:cs="Tahoma"/>
        </w:rPr>
        <w:t xml:space="preserve">Each </w:t>
      </w:r>
      <w:proofErr w:type="gramStart"/>
      <w:r w:rsidRPr="00627044">
        <w:rPr>
          <w:rFonts w:ascii="Tahoma" w:hAnsi="Tahoma" w:cs="Tahoma"/>
        </w:rPr>
        <w:t>port may</w:t>
      </w:r>
      <w:proofErr w:type="gramEnd"/>
      <w:r w:rsidRPr="00627044">
        <w:rPr>
          <w:rFonts w:ascii="Tahoma" w:hAnsi="Tahoma" w:cs="Tahoma"/>
        </w:rPr>
        <w:t xml:space="preserve"> optionally include any other non-proprietary connector type, except for CHAdeMO, but must still include at least one permanently attached CCS Type 1 connector.</w:t>
      </w:r>
    </w:p>
    <w:p w14:paraId="77D71506" w14:textId="77777777" w:rsidR="00CF3503" w:rsidRPr="00627044" w:rsidRDefault="00CF3503" w:rsidP="002B11B0">
      <w:pPr>
        <w:pStyle w:val="NormalIndent"/>
        <w:numPr>
          <w:ilvl w:val="0"/>
          <w:numId w:val="2"/>
        </w:numPr>
        <w:ind w:left="1440" w:hanging="720"/>
        <w:rPr>
          <w:rFonts w:ascii="Tahoma" w:hAnsi="Tahoma" w:cs="Tahoma"/>
        </w:rPr>
      </w:pPr>
      <w:r w:rsidRPr="00627044">
        <w:rPr>
          <w:rFonts w:ascii="Tahoma" w:hAnsi="Tahoma" w:cs="Tahoma"/>
        </w:rPr>
        <w:t>A proposed EV charging port can have multiple connectors, but because only one connector is usable at a time, no extra capacity is granted if there is more than one connector on a single port.</w:t>
      </w:r>
    </w:p>
    <w:p w14:paraId="6FAD0E81" w14:textId="114E8CEE" w:rsidR="00EC0AEB" w:rsidRPr="00AE31E9" w:rsidRDefault="00CF3503" w:rsidP="002B11B0">
      <w:pPr>
        <w:pStyle w:val="ListParagraph"/>
        <w:numPr>
          <w:ilvl w:val="0"/>
          <w:numId w:val="2"/>
        </w:numPr>
        <w:ind w:left="1440" w:hanging="720"/>
        <w:rPr>
          <w:rFonts w:eastAsia="Calibri" w:cs="Tahoma"/>
          <w:color w:val="000000" w:themeColor="text1"/>
        </w:rPr>
      </w:pPr>
      <w:r w:rsidRPr="00AE31E9">
        <w:rPr>
          <w:rFonts w:cs="Tahoma"/>
        </w:rPr>
        <w:t>Each proposed DC fast charging port, and each connector attached to the port, must have a nameplate capacity to supply at least 150 kilowatts (kW) and be able to supply that power as described in Section II.B.8. Charging Equipment and Networking Requirements.</w:t>
      </w:r>
    </w:p>
    <w:p w14:paraId="2F233742" w14:textId="77777777" w:rsidR="00EC0AEB" w:rsidRPr="00AE31E9" w:rsidRDefault="00EC0AEB" w:rsidP="00EC0AEB">
      <w:pPr>
        <w:rPr>
          <w:rFonts w:eastAsia="Calibri" w:cs="Tahoma"/>
          <w:color w:val="000000" w:themeColor="text1"/>
        </w:rPr>
      </w:pPr>
    </w:p>
    <w:p w14:paraId="5E8A126A" w14:textId="77777777" w:rsidR="00EC0AEB" w:rsidRPr="00EC0AEB" w:rsidRDefault="00EC0AEB" w:rsidP="00EC0AEB">
      <w:pPr>
        <w:rPr>
          <w:rFonts w:eastAsia="Calibri"/>
          <w:color w:val="000000" w:themeColor="text1"/>
        </w:rPr>
      </w:pPr>
    </w:p>
    <w:p w14:paraId="3C520B60" w14:textId="77777777" w:rsidR="006B5234" w:rsidRDefault="006B5234">
      <w:pPr>
        <w:rPr>
          <w:rFonts w:eastAsia="Calibri"/>
          <w:b/>
          <w:bCs/>
          <w:color w:val="000000" w:themeColor="text1"/>
        </w:rPr>
      </w:pPr>
      <w:r>
        <w:rPr>
          <w:rFonts w:eastAsia="Calibri"/>
          <w:b/>
          <w:bCs/>
          <w:color w:val="000000" w:themeColor="text1"/>
        </w:rPr>
        <w:br w:type="page"/>
      </w:r>
    </w:p>
    <w:p w14:paraId="0844F773" w14:textId="2C2F28F4" w:rsidR="00CB6FCA" w:rsidRDefault="004C54CE" w:rsidP="002B11B0">
      <w:pPr>
        <w:pStyle w:val="ListParagraph"/>
        <w:numPr>
          <w:ilvl w:val="0"/>
          <w:numId w:val="1"/>
        </w:numPr>
        <w:ind w:left="720" w:hanging="720"/>
        <w:rPr>
          <w:rFonts w:eastAsia="Calibri"/>
          <w:color w:val="000000" w:themeColor="text1"/>
        </w:rPr>
      </w:pPr>
      <w:r w:rsidRPr="004C54CE">
        <w:rPr>
          <w:rFonts w:eastAsia="Calibri"/>
          <w:b/>
          <w:bCs/>
          <w:color w:val="000000" w:themeColor="text1"/>
        </w:rPr>
        <w:lastRenderedPageBreak/>
        <w:t>Section</w:t>
      </w:r>
      <w:r w:rsidR="009D6425">
        <w:rPr>
          <w:rFonts w:eastAsia="Calibri"/>
          <w:b/>
          <w:bCs/>
          <w:color w:val="000000" w:themeColor="text1"/>
        </w:rPr>
        <w:t xml:space="preserve"> </w:t>
      </w:r>
      <w:r w:rsidRPr="004C54CE">
        <w:rPr>
          <w:rFonts w:eastAsia="Calibri"/>
          <w:b/>
          <w:bCs/>
          <w:color w:val="000000" w:themeColor="text1"/>
        </w:rPr>
        <w:t>I</w:t>
      </w:r>
      <w:r>
        <w:rPr>
          <w:rFonts w:eastAsia="Calibri"/>
          <w:b/>
          <w:bCs/>
          <w:color w:val="000000" w:themeColor="text1"/>
        </w:rPr>
        <w:t>I</w:t>
      </w:r>
      <w:r w:rsidRPr="004C54CE">
        <w:rPr>
          <w:rFonts w:eastAsia="Calibri"/>
          <w:b/>
          <w:bCs/>
          <w:color w:val="000000" w:themeColor="text1"/>
        </w:rPr>
        <w:t>.</w:t>
      </w:r>
      <w:r w:rsidR="00C13548">
        <w:rPr>
          <w:rFonts w:eastAsia="Calibri"/>
          <w:b/>
          <w:bCs/>
          <w:color w:val="000000" w:themeColor="text1"/>
        </w:rPr>
        <w:t>B</w:t>
      </w:r>
      <w:r w:rsidRPr="004C54CE">
        <w:rPr>
          <w:rFonts w:eastAsia="Calibri"/>
          <w:b/>
          <w:bCs/>
          <w:color w:val="000000" w:themeColor="text1"/>
        </w:rPr>
        <w:t>.</w:t>
      </w:r>
      <w:r w:rsidR="00DB13B6">
        <w:rPr>
          <w:rFonts w:eastAsia="Calibri"/>
          <w:b/>
          <w:bCs/>
          <w:color w:val="000000" w:themeColor="text1"/>
        </w:rPr>
        <w:t>9.</w:t>
      </w:r>
      <w:r w:rsidR="009D6425">
        <w:rPr>
          <w:rFonts w:eastAsia="Calibri"/>
          <w:b/>
          <w:bCs/>
          <w:color w:val="000000" w:themeColor="text1"/>
        </w:rPr>
        <w:t xml:space="preserve"> </w:t>
      </w:r>
      <w:r w:rsidR="00204D8C">
        <w:rPr>
          <w:rFonts w:eastAsia="Calibri"/>
          <w:b/>
          <w:bCs/>
          <w:color w:val="000000" w:themeColor="text1"/>
        </w:rPr>
        <w:t>Electric Utility Capacity</w:t>
      </w:r>
      <w:r w:rsidR="004D2F33">
        <w:rPr>
          <w:rFonts w:eastAsia="Calibri"/>
          <w:b/>
          <w:bCs/>
          <w:color w:val="000000" w:themeColor="text1"/>
        </w:rPr>
        <w:t>, Table 2: Utility Capacity Options</w:t>
      </w:r>
      <w:r w:rsidR="009D6425">
        <w:rPr>
          <w:rFonts w:eastAsia="Calibri"/>
          <w:b/>
          <w:bCs/>
          <w:color w:val="000000" w:themeColor="text1"/>
        </w:rPr>
        <w:t xml:space="preserve"> </w:t>
      </w:r>
      <w:r w:rsidRPr="004C54CE">
        <w:rPr>
          <w:rFonts w:eastAsia="Calibri"/>
          <w:color w:val="000000" w:themeColor="text1"/>
        </w:rPr>
        <w:t>(page</w:t>
      </w:r>
      <w:r w:rsidR="004D2F33">
        <w:rPr>
          <w:rFonts w:eastAsia="Calibri"/>
          <w:color w:val="000000" w:themeColor="text1"/>
        </w:rPr>
        <w:t>s</w:t>
      </w:r>
      <w:r w:rsidR="009D6425">
        <w:rPr>
          <w:rFonts w:eastAsia="Calibri"/>
          <w:color w:val="000000" w:themeColor="text1"/>
        </w:rPr>
        <w:t xml:space="preserve"> </w:t>
      </w:r>
      <w:r w:rsidR="004D2F33">
        <w:rPr>
          <w:rFonts w:eastAsia="Calibri"/>
          <w:color w:val="000000" w:themeColor="text1"/>
        </w:rPr>
        <w:t>23-</w:t>
      </w:r>
      <w:r w:rsidR="00204D8C">
        <w:rPr>
          <w:rFonts w:eastAsia="Calibri"/>
          <w:color w:val="000000" w:themeColor="text1"/>
        </w:rPr>
        <w:t>24</w:t>
      </w:r>
      <w:r w:rsidRPr="004C54CE">
        <w:rPr>
          <w:rFonts w:eastAsia="Calibri"/>
          <w:color w:val="000000" w:themeColor="text1"/>
        </w:rPr>
        <w:t>)</w:t>
      </w:r>
    </w:p>
    <w:p w14:paraId="755CC848" w14:textId="77777777" w:rsidR="004C54CE" w:rsidRDefault="004C54CE" w:rsidP="004C54CE">
      <w:pPr>
        <w:rPr>
          <w:rFonts w:eastAsia="Calibri"/>
          <w:color w:val="000000" w:themeColor="text1"/>
        </w:rPr>
      </w:pPr>
    </w:p>
    <w:tbl>
      <w:tblPr>
        <w:tblW w:w="846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6460"/>
      </w:tblGrid>
      <w:tr w:rsidR="000A7C5D" w:rsidRPr="00270103" w14:paraId="4767D7FA" w14:textId="77777777" w:rsidTr="55F0B550">
        <w:trPr>
          <w:trHeight w:val="300"/>
          <w:tblHeader/>
        </w:trPr>
        <w:tc>
          <w:tcPr>
            <w:tcW w:w="2000" w:type="dxa"/>
            <w:tcBorders>
              <w:top w:val="single" w:sz="6" w:space="0" w:color="auto"/>
              <w:left w:val="single" w:sz="6" w:space="0" w:color="auto"/>
              <w:bottom w:val="single" w:sz="6" w:space="0" w:color="auto"/>
              <w:right w:val="single" w:sz="6" w:space="0" w:color="auto"/>
            </w:tcBorders>
            <w:vAlign w:val="center"/>
            <w:hideMark/>
          </w:tcPr>
          <w:p w14:paraId="067E09CD" w14:textId="77777777" w:rsidR="0034623B" w:rsidRPr="00270103" w:rsidRDefault="0034623B">
            <w:pPr>
              <w:spacing w:before="60" w:after="60"/>
            </w:pPr>
            <w:r w:rsidRPr="00270103">
              <w:rPr>
                <w:b/>
                <w:bCs/>
              </w:rPr>
              <w:t>Utility Capacity Option</w:t>
            </w:r>
          </w:p>
        </w:tc>
        <w:tc>
          <w:tcPr>
            <w:tcW w:w="6460" w:type="dxa"/>
            <w:tcBorders>
              <w:top w:val="single" w:sz="6" w:space="0" w:color="auto"/>
              <w:left w:val="single" w:sz="6" w:space="0" w:color="auto"/>
              <w:bottom w:val="single" w:sz="6" w:space="0" w:color="auto"/>
              <w:right w:val="single" w:sz="6" w:space="0" w:color="auto"/>
            </w:tcBorders>
            <w:vAlign w:val="center"/>
            <w:hideMark/>
          </w:tcPr>
          <w:p w14:paraId="2C4AA9FB" w14:textId="77777777" w:rsidR="0034623B" w:rsidRPr="00270103" w:rsidRDefault="0034623B">
            <w:pPr>
              <w:spacing w:before="60" w:after="60"/>
            </w:pPr>
            <w:r w:rsidRPr="00270103">
              <w:rPr>
                <w:b/>
                <w:bCs/>
              </w:rPr>
              <w:t>Description</w:t>
            </w:r>
          </w:p>
        </w:tc>
      </w:tr>
      <w:tr w:rsidR="000A7C5D" w:rsidRPr="00270103" w14:paraId="4DF24CD8" w14:textId="77777777" w:rsidTr="55F0B550">
        <w:trPr>
          <w:cantSplit/>
          <w:trHeight w:val="300"/>
        </w:trPr>
        <w:tc>
          <w:tcPr>
            <w:tcW w:w="2000" w:type="dxa"/>
            <w:tcBorders>
              <w:top w:val="single" w:sz="6" w:space="0" w:color="auto"/>
              <w:left w:val="single" w:sz="6" w:space="0" w:color="auto"/>
              <w:bottom w:val="single" w:sz="6" w:space="0" w:color="auto"/>
              <w:right w:val="single" w:sz="6" w:space="0" w:color="auto"/>
            </w:tcBorders>
            <w:hideMark/>
          </w:tcPr>
          <w:p w14:paraId="75D56AD5" w14:textId="77777777" w:rsidR="0034623B" w:rsidRPr="00270103" w:rsidRDefault="0034623B">
            <w:pPr>
              <w:spacing w:before="60" w:after="60"/>
            </w:pPr>
            <w:r w:rsidRPr="00270103">
              <w:t>Full Charging Capacity Upon Opening</w:t>
            </w:r>
          </w:p>
        </w:tc>
        <w:tc>
          <w:tcPr>
            <w:tcW w:w="6460" w:type="dxa"/>
            <w:tcBorders>
              <w:top w:val="single" w:sz="6" w:space="0" w:color="auto"/>
              <w:left w:val="single" w:sz="6" w:space="0" w:color="auto"/>
              <w:bottom w:val="single" w:sz="6" w:space="0" w:color="auto"/>
              <w:right w:val="single" w:sz="6" w:space="0" w:color="auto"/>
            </w:tcBorders>
            <w:hideMark/>
          </w:tcPr>
          <w:p w14:paraId="1770657E" w14:textId="77777777" w:rsidR="0034623B" w:rsidRPr="00270103" w:rsidRDefault="0034623B">
            <w:pPr>
              <w:spacing w:before="60" w:after="60"/>
            </w:pPr>
            <w:r w:rsidRPr="00270103">
              <w:t>The site is equipped to supply the full nameplate capacity of all chargers if each charger is delivering 100</w:t>
            </w:r>
            <w:r>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0A7C5D" w:rsidRPr="00270103" w14:paraId="2BC62CB2" w14:textId="77777777" w:rsidTr="55F0B550">
        <w:trPr>
          <w:cantSplit/>
          <w:trHeight w:val="300"/>
        </w:trPr>
        <w:tc>
          <w:tcPr>
            <w:tcW w:w="2000" w:type="dxa"/>
            <w:tcBorders>
              <w:top w:val="single" w:sz="6" w:space="0" w:color="auto"/>
              <w:left w:val="single" w:sz="6" w:space="0" w:color="auto"/>
              <w:bottom w:val="single" w:sz="6" w:space="0" w:color="auto"/>
              <w:right w:val="single" w:sz="6" w:space="0" w:color="auto"/>
            </w:tcBorders>
            <w:hideMark/>
          </w:tcPr>
          <w:p w14:paraId="637ACB8A" w14:textId="77777777" w:rsidR="0034623B" w:rsidRPr="00270103" w:rsidRDefault="0034623B">
            <w:pPr>
              <w:spacing w:before="60" w:after="60"/>
            </w:pPr>
            <w:r w:rsidRPr="00270103">
              <w:t>Ramped Charging Capacity</w:t>
            </w:r>
          </w:p>
        </w:tc>
        <w:tc>
          <w:tcPr>
            <w:tcW w:w="6460" w:type="dxa"/>
            <w:tcBorders>
              <w:top w:val="single" w:sz="6" w:space="0" w:color="auto"/>
              <w:left w:val="single" w:sz="6" w:space="0" w:color="auto"/>
              <w:bottom w:val="single" w:sz="6" w:space="0" w:color="auto"/>
              <w:right w:val="single" w:sz="6" w:space="0" w:color="auto"/>
            </w:tcBorders>
            <w:hideMark/>
          </w:tcPr>
          <w:p w14:paraId="78DF5B80" w14:textId="77777777" w:rsidR="0034623B" w:rsidRPr="00270103" w:rsidRDefault="0034623B">
            <w:pPr>
              <w:spacing w:before="60" w:after="60"/>
            </w:pPr>
            <w:r w:rsidRPr="00270103">
              <w:t>At station commissioning, each charger must be capable of delivering a minimum of 50</w:t>
            </w:r>
            <w:r>
              <w:t xml:space="preserve"> percent</w:t>
            </w:r>
            <w:r w:rsidRPr="00270103">
              <w:t xml:space="preserve"> of its rated nameplate capacity with all chargers in use concurrently. Within five (5) years of </w:t>
            </w:r>
            <w:r>
              <w:t>agreement</w:t>
            </w:r>
            <w:r w:rsidRPr="00270103">
              <w:t xml:space="preserve"> execution with the CEC, each charger must be capable of delivering a minimum of 80</w:t>
            </w:r>
            <w:r>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0A7C5D" w:rsidRPr="00270103" w14:paraId="6FF1F23C" w14:textId="77777777" w:rsidTr="55F0B550">
        <w:trPr>
          <w:trHeight w:val="300"/>
        </w:trPr>
        <w:tc>
          <w:tcPr>
            <w:tcW w:w="2000" w:type="dxa"/>
            <w:tcBorders>
              <w:top w:val="single" w:sz="6" w:space="0" w:color="auto"/>
              <w:left w:val="single" w:sz="6" w:space="0" w:color="auto"/>
              <w:bottom w:val="single" w:sz="6" w:space="0" w:color="auto"/>
              <w:right w:val="single" w:sz="6" w:space="0" w:color="auto"/>
            </w:tcBorders>
            <w:hideMark/>
          </w:tcPr>
          <w:p w14:paraId="6CAD716B" w14:textId="61251E81" w:rsidR="0034623B" w:rsidRPr="00270103" w:rsidRDefault="0034623B">
            <w:pPr>
              <w:spacing w:before="60" w:after="60"/>
            </w:pPr>
            <w:r w:rsidRPr="00270103">
              <w:t xml:space="preserve">Flexible Service </w:t>
            </w:r>
            <w:r w:rsidR="00026144" w:rsidRPr="00026144">
              <w:rPr>
                <w:b/>
                <w:bCs/>
                <w:u w:val="single"/>
              </w:rPr>
              <w:t>Connection</w:t>
            </w:r>
            <w:r w:rsidR="00026144">
              <w:t xml:space="preserve"> </w:t>
            </w:r>
            <w:r w:rsidRPr="00270103">
              <w:t>Agreement</w:t>
            </w:r>
          </w:p>
        </w:tc>
        <w:tc>
          <w:tcPr>
            <w:tcW w:w="6460" w:type="dxa"/>
            <w:tcBorders>
              <w:top w:val="single" w:sz="6" w:space="0" w:color="auto"/>
              <w:left w:val="single" w:sz="6" w:space="0" w:color="auto"/>
              <w:bottom w:val="single" w:sz="6" w:space="0" w:color="auto"/>
              <w:right w:val="single" w:sz="6" w:space="0" w:color="auto"/>
            </w:tcBorders>
            <w:hideMark/>
          </w:tcPr>
          <w:p w14:paraId="54E4FE05" w14:textId="3AD8CEBB" w:rsidR="0034623B" w:rsidRPr="00270103" w:rsidRDefault="005676A9">
            <w:pPr>
              <w:spacing w:after="120"/>
            </w:pPr>
            <w:r>
              <w:t xml:space="preserve">If offered by the serving electric utility, the station operator may secure a flexible service </w:t>
            </w:r>
            <w:r w:rsidRPr="55F0B550">
              <w:rPr>
                <w:b/>
                <w:bCs/>
                <w:u w:val="single"/>
              </w:rPr>
              <w:t>connection</w:t>
            </w:r>
            <w:r>
              <w:t xml:space="preserve"> agreement to receive a predefined capacity for specific times. The applicant must describe the station's expected peak operational times and associated electrical demand, </w:t>
            </w:r>
            <w:r w:rsidRPr="55F0B550">
              <w:rPr>
                <w:b/>
                <w:bCs/>
                <w:u w:val="single"/>
              </w:rPr>
              <w:t xml:space="preserve">off-peak operational times and associated electrical demand, </w:t>
            </w:r>
            <w:r>
              <w:t>and how the [</w:t>
            </w:r>
            <w:r w:rsidRPr="55F0B550">
              <w:rPr>
                <w:strike/>
              </w:rPr>
              <w:t>site</w:t>
            </w:r>
            <w:r>
              <w:t xml:space="preserve">] </w:t>
            </w:r>
            <w:r w:rsidRPr="55F0B550">
              <w:rPr>
                <w:b/>
                <w:bCs/>
                <w:u w:val="single"/>
              </w:rPr>
              <w:t>flexible service connection agreement and, if used, DERs and BESS,</w:t>
            </w:r>
            <w:r w:rsidRPr="55F0B550">
              <w:rPr>
                <w:b/>
                <w:bCs/>
              </w:rPr>
              <w:t xml:space="preserve"> </w:t>
            </w:r>
            <w:r>
              <w:t>will meet these needs. At the time of station commissioning, the site shall [</w:t>
            </w:r>
            <w:r w:rsidRPr="55F0B550">
              <w:rPr>
                <w:strike/>
              </w:rPr>
              <w:t>be able to meet the following minimums: be able to</w:t>
            </w:r>
            <w:r>
              <w:t xml:space="preserve"> </w:t>
            </w:r>
            <w:r w:rsidRPr="55F0B550">
              <w:rPr>
                <w:strike/>
              </w:rPr>
              <w:t>power each charger a minimum of 25 percent of the rated nameplate capacity if all chargers operating concurrently at all hours of the day; be able to power each charger at a minimum of</w:t>
            </w:r>
            <w:r>
              <w:t xml:space="preserve">] </w:t>
            </w:r>
            <w:r w:rsidRPr="55F0B550">
              <w:rPr>
                <w:b/>
                <w:bCs/>
                <w:u w:val="single"/>
              </w:rPr>
              <w:t>have an average power supply of at least</w:t>
            </w:r>
            <w:r>
              <w:t xml:space="preserve"> 50 percent of the </w:t>
            </w:r>
            <w:r w:rsidRPr="55F0B550">
              <w:rPr>
                <w:b/>
                <w:bCs/>
                <w:u w:val="single"/>
              </w:rPr>
              <w:t>aggregated</w:t>
            </w:r>
            <w:r>
              <w:t xml:space="preserve"> rated nameplate capacity during the station's peak operational times</w:t>
            </w:r>
            <w:r w:rsidRPr="55F0B550">
              <w:rPr>
                <w:b/>
                <w:bCs/>
                <w:u w:val="single"/>
              </w:rPr>
              <w:t>, as defined by the charging station operator</w:t>
            </w:r>
            <w:r w:rsidR="00F25A95">
              <w:rPr>
                <w:b/>
                <w:bCs/>
                <w:u w:val="single"/>
              </w:rPr>
              <w:t xml:space="preserve">, </w:t>
            </w:r>
            <w:r w:rsidR="00F25A95" w:rsidRPr="00F25A95">
              <w:rPr>
                <w:b/>
                <w:bCs/>
                <w:u w:val="single"/>
              </w:rPr>
              <w:t>excluding times where the site’s power supply is reduced pursuant to the flexible service connection agreement</w:t>
            </w:r>
            <w:r>
              <w:t>. [</w:t>
            </w:r>
            <w:r w:rsidRPr="55F0B550">
              <w:rPr>
                <w:strike/>
              </w:rPr>
              <w:t>Power may also be supplemented by DERs or BESS.</w:t>
            </w:r>
            <w:r>
              <w:t>] Within five (5) years of agreement execution with the CEC, [</w:t>
            </w:r>
            <w:r w:rsidRPr="55F0B550">
              <w:rPr>
                <w:strike/>
              </w:rPr>
              <w:t>each charger must be capable of delivering a minimum of</w:t>
            </w:r>
            <w:r>
              <w:t xml:space="preserve">] </w:t>
            </w:r>
            <w:r w:rsidRPr="55F0B550">
              <w:rPr>
                <w:b/>
                <w:bCs/>
                <w:u w:val="single"/>
              </w:rPr>
              <w:t>the site shall have an average power supply of at least</w:t>
            </w:r>
            <w:r w:rsidRPr="55F0B550">
              <w:rPr>
                <w:b/>
                <w:bCs/>
              </w:rPr>
              <w:t xml:space="preserve"> </w:t>
            </w:r>
            <w:r>
              <w:t>80 percent of [</w:t>
            </w:r>
            <w:r w:rsidRPr="55F0B550">
              <w:rPr>
                <w:strike/>
              </w:rPr>
              <w:t>its</w:t>
            </w:r>
            <w:r>
              <w:t xml:space="preserve">] </w:t>
            </w:r>
            <w:r w:rsidRPr="55F0B550">
              <w:rPr>
                <w:b/>
                <w:bCs/>
                <w:u w:val="single"/>
              </w:rPr>
              <w:t xml:space="preserve">the aggregated </w:t>
            </w:r>
            <w:r>
              <w:t>rated nameplate capacity [</w:t>
            </w:r>
            <w:r w:rsidRPr="55F0B550">
              <w:rPr>
                <w:strike/>
              </w:rPr>
              <w:t>under</w:t>
            </w:r>
            <w:r>
              <w:t xml:space="preserve">] </w:t>
            </w:r>
            <w:r w:rsidRPr="55F0B550">
              <w:rPr>
                <w:b/>
                <w:bCs/>
                <w:u w:val="single"/>
              </w:rPr>
              <w:t>during</w:t>
            </w:r>
            <w:r w:rsidRPr="55F0B550">
              <w:rPr>
                <w:b/>
                <w:bCs/>
              </w:rPr>
              <w:t xml:space="preserve"> </w:t>
            </w:r>
            <w:r>
              <w:t>the [</w:t>
            </w:r>
            <w:r w:rsidRPr="55F0B550">
              <w:rPr>
                <w:strike/>
              </w:rPr>
              <w:t>same conditions</w:t>
            </w:r>
            <w:r>
              <w:t xml:space="preserve">] </w:t>
            </w:r>
            <w:r w:rsidRPr="55F0B550">
              <w:rPr>
                <w:b/>
                <w:bCs/>
                <w:u w:val="single"/>
              </w:rPr>
              <w:t>station’s peak operational times</w:t>
            </w:r>
            <w:r w:rsidR="00B372E0">
              <w:rPr>
                <w:b/>
                <w:bCs/>
                <w:u w:val="single"/>
              </w:rPr>
              <w:t xml:space="preserve">, </w:t>
            </w:r>
            <w:r w:rsidR="00B372E0" w:rsidRPr="00B372E0">
              <w:rPr>
                <w:b/>
                <w:bCs/>
                <w:u w:val="single"/>
              </w:rPr>
              <w:t>excluding times where the site’s power supply is reduced pursuant to the flexible service connection agreement</w:t>
            </w:r>
            <w:r>
              <w:t>. Compliance may be supported by DERs and BESS. Applicants shall work with their electric utility during the site design and deployment of the chargers in determining the site level power needed to support the chargers at that level.</w:t>
            </w:r>
          </w:p>
        </w:tc>
      </w:tr>
    </w:tbl>
    <w:p w14:paraId="596EF104" w14:textId="77777777" w:rsidR="004C54CE" w:rsidRDefault="004C54CE" w:rsidP="004C54CE">
      <w:pPr>
        <w:rPr>
          <w:rFonts w:eastAsia="Calibri"/>
          <w:color w:val="000000" w:themeColor="text1"/>
        </w:rPr>
      </w:pPr>
    </w:p>
    <w:p w14:paraId="091ED9F9" w14:textId="77777777" w:rsidR="004C54CE" w:rsidRPr="004C54CE" w:rsidRDefault="004C54CE" w:rsidP="004C54CE">
      <w:pPr>
        <w:rPr>
          <w:rFonts w:eastAsia="Calibri"/>
          <w:color w:val="000000" w:themeColor="text1"/>
        </w:rPr>
      </w:pPr>
    </w:p>
    <w:p w14:paraId="0E9508AC" w14:textId="56309B7C" w:rsidR="00F3340E" w:rsidRPr="00754FE3" w:rsidRDefault="00BA22F9" w:rsidP="00F3340E">
      <w:pPr>
        <w:rPr>
          <w:rFonts w:eastAsia="Calibri"/>
          <w:color w:val="000000" w:themeColor="text1"/>
        </w:rPr>
      </w:pPr>
      <w:r w:rsidRPr="00754FE3">
        <w:rPr>
          <w:rFonts w:eastAsia="Calibri"/>
          <w:color w:val="000000" w:themeColor="text1"/>
        </w:rPr>
        <w:t>Laura Williams</w:t>
      </w:r>
    </w:p>
    <w:p w14:paraId="067A5F91" w14:textId="77777777" w:rsidR="00F3340E" w:rsidRPr="00754FE3" w:rsidRDefault="00F3340E" w:rsidP="00F3340E">
      <w:pPr>
        <w:rPr>
          <w:rFonts w:eastAsia="Calibri"/>
          <w:color w:val="000000" w:themeColor="text1"/>
        </w:rPr>
      </w:pPr>
      <w:r w:rsidRPr="00754FE3">
        <w:rPr>
          <w:rFonts w:eastAsia="Calibri"/>
          <w:color w:val="000000" w:themeColor="text1"/>
        </w:rPr>
        <w:t>Commission Agreement Officer </w:t>
      </w:r>
    </w:p>
    <w:p w14:paraId="1C18FAEE" w14:textId="77777777" w:rsidR="00F3340E" w:rsidRDefault="00F3340E" w:rsidP="001010B8">
      <w:pPr>
        <w:rPr>
          <w:rFonts w:eastAsia="Calibri"/>
          <w:color w:val="000000" w:themeColor="text1"/>
        </w:rPr>
      </w:pPr>
    </w:p>
    <w:p w14:paraId="25BDC41A" w14:textId="077C0A54" w:rsidR="00143DD3" w:rsidRDefault="00143DD3">
      <w:pPr>
        <w:rPr>
          <w:rFonts w:cs="Tahoma"/>
          <w:b/>
          <w:bCs/>
        </w:rPr>
      </w:pPr>
    </w:p>
    <w:sectPr w:rsidR="00143DD3" w:rsidSect="00BA3B31">
      <w:headerReference w:type="default" r:id="rId11"/>
      <w:footerReference w:type="default" r:id="rId12"/>
      <w:headerReference w:type="first" r:id="rId13"/>
      <w:footerReference w:type="first" r:id="rId14"/>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E196" w14:textId="77777777" w:rsidR="00321DFF" w:rsidRDefault="00321DFF" w:rsidP="00F86D2B">
      <w:r>
        <w:separator/>
      </w:r>
    </w:p>
  </w:endnote>
  <w:endnote w:type="continuationSeparator" w:id="0">
    <w:p w14:paraId="10949978" w14:textId="77777777" w:rsidR="00321DFF" w:rsidRDefault="00321DFF" w:rsidP="00F86D2B">
      <w:r>
        <w:continuationSeparator/>
      </w:r>
    </w:p>
  </w:endnote>
  <w:endnote w:type="continuationNotice" w:id="1">
    <w:p w14:paraId="645D11DF" w14:textId="77777777" w:rsidR="00321DFF" w:rsidRDefault="00321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E37F4">
    <w:pPr>
      <w:pStyle w:val="Footer"/>
      <w:ind w:hanging="1620"/>
      <w:jc w:val="center"/>
    </w:pPr>
    <w:r>
      <w:rPr>
        <w:noProof/>
      </w:rPr>
      <w:drawing>
        <wp:inline distT="0" distB="0" distL="0" distR="0" wp14:anchorId="4CC05A24" wp14:editId="519F6D35">
          <wp:extent cx="7772400" cy="1016343"/>
          <wp:effectExtent l="0" t="0" r="0" b="0"/>
          <wp:docPr id="1058521097" name="Picture 105852109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AE42" w14:textId="77777777" w:rsidR="00321DFF" w:rsidRDefault="00321DFF" w:rsidP="00F86D2B">
      <w:r>
        <w:separator/>
      </w:r>
    </w:p>
  </w:footnote>
  <w:footnote w:type="continuationSeparator" w:id="0">
    <w:p w14:paraId="68A672D1" w14:textId="77777777" w:rsidR="00321DFF" w:rsidRDefault="00321DFF" w:rsidP="00F86D2B">
      <w:r>
        <w:continuationSeparator/>
      </w:r>
    </w:p>
  </w:footnote>
  <w:footnote w:type="continuationNotice" w:id="1">
    <w:p w14:paraId="25B8D7A0" w14:textId="77777777" w:rsidR="00321DFF" w:rsidRDefault="00321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323472F6" w:rsidR="00E210F6" w:rsidRDefault="000B53B5" w:rsidP="002E37F4">
    <w:pPr>
      <w:pStyle w:val="Header"/>
      <w:ind w:hanging="1620"/>
    </w:pPr>
    <w:r>
      <w:rPr>
        <w:noProof/>
      </w:rPr>
      <w:drawing>
        <wp:inline distT="0" distB="0" distL="0" distR="0" wp14:anchorId="736EEED2" wp14:editId="7E0B2244">
          <wp:extent cx="7175500" cy="822960"/>
          <wp:effectExtent l="0" t="0" r="0" b="0"/>
          <wp:docPr id="2293709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09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4695"/>
    <w:multiLevelType w:val="hybridMultilevel"/>
    <w:tmpl w:val="52B20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9363AB"/>
    <w:multiLevelType w:val="hybridMultilevel"/>
    <w:tmpl w:val="D9FE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279341">
    <w:abstractNumId w:val="0"/>
  </w:num>
  <w:num w:numId="2" w16cid:durableId="7377545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31D"/>
    <w:rsid w:val="00004124"/>
    <w:rsid w:val="000058AF"/>
    <w:rsid w:val="00005DA1"/>
    <w:rsid w:val="00005E29"/>
    <w:rsid w:val="000062B2"/>
    <w:rsid w:val="00006CBE"/>
    <w:rsid w:val="00007776"/>
    <w:rsid w:val="00010859"/>
    <w:rsid w:val="00011016"/>
    <w:rsid w:val="0001161F"/>
    <w:rsid w:val="00013BAA"/>
    <w:rsid w:val="0001408A"/>
    <w:rsid w:val="00014234"/>
    <w:rsid w:val="00015969"/>
    <w:rsid w:val="000169F8"/>
    <w:rsid w:val="00016CE1"/>
    <w:rsid w:val="00016D02"/>
    <w:rsid w:val="00022786"/>
    <w:rsid w:val="00025C81"/>
    <w:rsid w:val="00025D4D"/>
    <w:rsid w:val="00026144"/>
    <w:rsid w:val="00026459"/>
    <w:rsid w:val="00027125"/>
    <w:rsid w:val="000304D4"/>
    <w:rsid w:val="000319E1"/>
    <w:rsid w:val="0003451E"/>
    <w:rsid w:val="00034890"/>
    <w:rsid w:val="00036A4B"/>
    <w:rsid w:val="00037989"/>
    <w:rsid w:val="00037D8C"/>
    <w:rsid w:val="000431AE"/>
    <w:rsid w:val="00046182"/>
    <w:rsid w:val="0004705B"/>
    <w:rsid w:val="0004705D"/>
    <w:rsid w:val="000548D5"/>
    <w:rsid w:val="000557AC"/>
    <w:rsid w:val="00060591"/>
    <w:rsid w:val="000611BE"/>
    <w:rsid w:val="00061FD9"/>
    <w:rsid w:val="000622B5"/>
    <w:rsid w:val="0006377F"/>
    <w:rsid w:val="00063B9D"/>
    <w:rsid w:val="00063F60"/>
    <w:rsid w:val="000653A6"/>
    <w:rsid w:val="000665DD"/>
    <w:rsid w:val="00070988"/>
    <w:rsid w:val="00071316"/>
    <w:rsid w:val="000728DA"/>
    <w:rsid w:val="00072B95"/>
    <w:rsid w:val="00074E58"/>
    <w:rsid w:val="00075B3A"/>
    <w:rsid w:val="00075D3C"/>
    <w:rsid w:val="00080928"/>
    <w:rsid w:val="00083008"/>
    <w:rsid w:val="0008469D"/>
    <w:rsid w:val="00085476"/>
    <w:rsid w:val="00085D70"/>
    <w:rsid w:val="00087863"/>
    <w:rsid w:val="0009064B"/>
    <w:rsid w:val="00091260"/>
    <w:rsid w:val="000922CE"/>
    <w:rsid w:val="000926AE"/>
    <w:rsid w:val="000A0418"/>
    <w:rsid w:val="000A0E8C"/>
    <w:rsid w:val="000A0FA4"/>
    <w:rsid w:val="000A2C22"/>
    <w:rsid w:val="000A4A34"/>
    <w:rsid w:val="000A4BCA"/>
    <w:rsid w:val="000A56FB"/>
    <w:rsid w:val="000A5867"/>
    <w:rsid w:val="000A6BCA"/>
    <w:rsid w:val="000A6CE7"/>
    <w:rsid w:val="000A7C5D"/>
    <w:rsid w:val="000B07F0"/>
    <w:rsid w:val="000B1315"/>
    <w:rsid w:val="000B53B5"/>
    <w:rsid w:val="000B63A2"/>
    <w:rsid w:val="000B65B0"/>
    <w:rsid w:val="000B6C8F"/>
    <w:rsid w:val="000B75DC"/>
    <w:rsid w:val="000C16AE"/>
    <w:rsid w:val="000C23FE"/>
    <w:rsid w:val="000C5FA4"/>
    <w:rsid w:val="000C6337"/>
    <w:rsid w:val="000C6C2E"/>
    <w:rsid w:val="000C7290"/>
    <w:rsid w:val="000D0664"/>
    <w:rsid w:val="000D4A7B"/>
    <w:rsid w:val="000D4DE2"/>
    <w:rsid w:val="000D50AC"/>
    <w:rsid w:val="000D5F24"/>
    <w:rsid w:val="000D684F"/>
    <w:rsid w:val="000D6D0C"/>
    <w:rsid w:val="000E1AFB"/>
    <w:rsid w:val="000E31D6"/>
    <w:rsid w:val="000E433B"/>
    <w:rsid w:val="000E7045"/>
    <w:rsid w:val="000F09B0"/>
    <w:rsid w:val="000F0CC8"/>
    <w:rsid w:val="000F0D5B"/>
    <w:rsid w:val="000F3F47"/>
    <w:rsid w:val="000F458A"/>
    <w:rsid w:val="000F5BE1"/>
    <w:rsid w:val="000F5E70"/>
    <w:rsid w:val="000F6B29"/>
    <w:rsid w:val="001002EF"/>
    <w:rsid w:val="001010B8"/>
    <w:rsid w:val="00101527"/>
    <w:rsid w:val="00101BE9"/>
    <w:rsid w:val="00103791"/>
    <w:rsid w:val="00103E58"/>
    <w:rsid w:val="0010575A"/>
    <w:rsid w:val="00105C57"/>
    <w:rsid w:val="001060F7"/>
    <w:rsid w:val="00106C10"/>
    <w:rsid w:val="00107A46"/>
    <w:rsid w:val="00111053"/>
    <w:rsid w:val="001151C2"/>
    <w:rsid w:val="00116AE3"/>
    <w:rsid w:val="00120C97"/>
    <w:rsid w:val="00120DBA"/>
    <w:rsid w:val="00121028"/>
    <w:rsid w:val="00121C6E"/>
    <w:rsid w:val="00122045"/>
    <w:rsid w:val="00123E80"/>
    <w:rsid w:val="0012428F"/>
    <w:rsid w:val="00125B2D"/>
    <w:rsid w:val="001261BE"/>
    <w:rsid w:val="00127514"/>
    <w:rsid w:val="00127F7C"/>
    <w:rsid w:val="00131958"/>
    <w:rsid w:val="00132762"/>
    <w:rsid w:val="00133479"/>
    <w:rsid w:val="00134630"/>
    <w:rsid w:val="00134AE0"/>
    <w:rsid w:val="001401FF"/>
    <w:rsid w:val="0014043C"/>
    <w:rsid w:val="00143DD3"/>
    <w:rsid w:val="001461EB"/>
    <w:rsid w:val="0014636F"/>
    <w:rsid w:val="00146C62"/>
    <w:rsid w:val="001470F8"/>
    <w:rsid w:val="0014731B"/>
    <w:rsid w:val="001477A0"/>
    <w:rsid w:val="001513EB"/>
    <w:rsid w:val="00151B70"/>
    <w:rsid w:val="00152A09"/>
    <w:rsid w:val="00153E8D"/>
    <w:rsid w:val="00154702"/>
    <w:rsid w:val="001570F9"/>
    <w:rsid w:val="001603F1"/>
    <w:rsid w:val="00160A58"/>
    <w:rsid w:val="001616D4"/>
    <w:rsid w:val="00162611"/>
    <w:rsid w:val="00162A1D"/>
    <w:rsid w:val="001665C7"/>
    <w:rsid w:val="00167654"/>
    <w:rsid w:val="00167FD1"/>
    <w:rsid w:val="001704B3"/>
    <w:rsid w:val="00171BF6"/>
    <w:rsid w:val="00174095"/>
    <w:rsid w:val="0017489B"/>
    <w:rsid w:val="001775E4"/>
    <w:rsid w:val="001801A5"/>
    <w:rsid w:val="001803D7"/>
    <w:rsid w:val="001819C2"/>
    <w:rsid w:val="001826C4"/>
    <w:rsid w:val="00187F31"/>
    <w:rsid w:val="00190B05"/>
    <w:rsid w:val="00191135"/>
    <w:rsid w:val="00191EAC"/>
    <w:rsid w:val="00192E74"/>
    <w:rsid w:val="001962D7"/>
    <w:rsid w:val="00197B8E"/>
    <w:rsid w:val="001A048B"/>
    <w:rsid w:val="001A25A1"/>
    <w:rsid w:val="001A2D04"/>
    <w:rsid w:val="001A56D7"/>
    <w:rsid w:val="001A68CF"/>
    <w:rsid w:val="001A78D2"/>
    <w:rsid w:val="001A7BC1"/>
    <w:rsid w:val="001B0F25"/>
    <w:rsid w:val="001B2889"/>
    <w:rsid w:val="001B6F99"/>
    <w:rsid w:val="001C0174"/>
    <w:rsid w:val="001C3CDA"/>
    <w:rsid w:val="001C558F"/>
    <w:rsid w:val="001C63DB"/>
    <w:rsid w:val="001C6A3B"/>
    <w:rsid w:val="001C7BF5"/>
    <w:rsid w:val="001C7FA9"/>
    <w:rsid w:val="001D3646"/>
    <w:rsid w:val="001D5D7D"/>
    <w:rsid w:val="001D5F79"/>
    <w:rsid w:val="001E0F4A"/>
    <w:rsid w:val="001E31DD"/>
    <w:rsid w:val="001E464D"/>
    <w:rsid w:val="001E47AC"/>
    <w:rsid w:val="001E5604"/>
    <w:rsid w:val="001E5F52"/>
    <w:rsid w:val="001F00DD"/>
    <w:rsid w:val="001F2209"/>
    <w:rsid w:val="001F2E2E"/>
    <w:rsid w:val="001F3152"/>
    <w:rsid w:val="001F3DBE"/>
    <w:rsid w:val="001F5FEC"/>
    <w:rsid w:val="001F62F3"/>
    <w:rsid w:val="001F6FB0"/>
    <w:rsid w:val="002018D7"/>
    <w:rsid w:val="00202D6B"/>
    <w:rsid w:val="00202EBC"/>
    <w:rsid w:val="00203587"/>
    <w:rsid w:val="0020410E"/>
    <w:rsid w:val="00204718"/>
    <w:rsid w:val="00204D8C"/>
    <w:rsid w:val="00206506"/>
    <w:rsid w:val="00207DBB"/>
    <w:rsid w:val="00210F3E"/>
    <w:rsid w:val="002111F6"/>
    <w:rsid w:val="00213677"/>
    <w:rsid w:val="0021446F"/>
    <w:rsid w:val="00215462"/>
    <w:rsid w:val="00217014"/>
    <w:rsid w:val="00217334"/>
    <w:rsid w:val="00217E82"/>
    <w:rsid w:val="0022095B"/>
    <w:rsid w:val="00221C82"/>
    <w:rsid w:val="00222787"/>
    <w:rsid w:val="002227A6"/>
    <w:rsid w:val="00224EC1"/>
    <w:rsid w:val="002255CA"/>
    <w:rsid w:val="002302D9"/>
    <w:rsid w:val="0023071A"/>
    <w:rsid w:val="0023322C"/>
    <w:rsid w:val="00233279"/>
    <w:rsid w:val="00235167"/>
    <w:rsid w:val="00235678"/>
    <w:rsid w:val="002374AC"/>
    <w:rsid w:val="00240710"/>
    <w:rsid w:val="002419F0"/>
    <w:rsid w:val="00241BF8"/>
    <w:rsid w:val="00242C23"/>
    <w:rsid w:val="00243C3F"/>
    <w:rsid w:val="00246557"/>
    <w:rsid w:val="00246E19"/>
    <w:rsid w:val="002521EC"/>
    <w:rsid w:val="00252D3F"/>
    <w:rsid w:val="00252FD1"/>
    <w:rsid w:val="00255521"/>
    <w:rsid w:val="00256C04"/>
    <w:rsid w:val="00256EAD"/>
    <w:rsid w:val="002572D4"/>
    <w:rsid w:val="002575B3"/>
    <w:rsid w:val="00257E5C"/>
    <w:rsid w:val="00261C7C"/>
    <w:rsid w:val="00262D0D"/>
    <w:rsid w:val="00263182"/>
    <w:rsid w:val="0026385E"/>
    <w:rsid w:val="00265B3B"/>
    <w:rsid w:val="0026739C"/>
    <w:rsid w:val="002747CF"/>
    <w:rsid w:val="002760D4"/>
    <w:rsid w:val="00277CED"/>
    <w:rsid w:val="002801CA"/>
    <w:rsid w:val="00282337"/>
    <w:rsid w:val="002829DB"/>
    <w:rsid w:val="00284CA0"/>
    <w:rsid w:val="00286707"/>
    <w:rsid w:val="00290108"/>
    <w:rsid w:val="002922B1"/>
    <w:rsid w:val="0029238B"/>
    <w:rsid w:val="00292AA4"/>
    <w:rsid w:val="002934E7"/>
    <w:rsid w:val="00293C05"/>
    <w:rsid w:val="002945F8"/>
    <w:rsid w:val="00294800"/>
    <w:rsid w:val="00296C11"/>
    <w:rsid w:val="002A02C1"/>
    <w:rsid w:val="002A0E55"/>
    <w:rsid w:val="002A2C80"/>
    <w:rsid w:val="002A5F7A"/>
    <w:rsid w:val="002B0BDA"/>
    <w:rsid w:val="002B11B0"/>
    <w:rsid w:val="002B269F"/>
    <w:rsid w:val="002B3D9A"/>
    <w:rsid w:val="002C1F6E"/>
    <w:rsid w:val="002C2B2E"/>
    <w:rsid w:val="002C35E6"/>
    <w:rsid w:val="002C3A9E"/>
    <w:rsid w:val="002C4561"/>
    <w:rsid w:val="002C4B9B"/>
    <w:rsid w:val="002D026A"/>
    <w:rsid w:val="002D0ACB"/>
    <w:rsid w:val="002D0B3F"/>
    <w:rsid w:val="002D11A5"/>
    <w:rsid w:val="002D60B2"/>
    <w:rsid w:val="002D77D0"/>
    <w:rsid w:val="002E0F45"/>
    <w:rsid w:val="002E2399"/>
    <w:rsid w:val="002E2AD6"/>
    <w:rsid w:val="002E37F4"/>
    <w:rsid w:val="002E43AC"/>
    <w:rsid w:val="002E6832"/>
    <w:rsid w:val="002E686D"/>
    <w:rsid w:val="002F2B94"/>
    <w:rsid w:val="002F2DBC"/>
    <w:rsid w:val="002F32A4"/>
    <w:rsid w:val="002F613C"/>
    <w:rsid w:val="002F760D"/>
    <w:rsid w:val="00300410"/>
    <w:rsid w:val="00300FB1"/>
    <w:rsid w:val="003037A1"/>
    <w:rsid w:val="00304D21"/>
    <w:rsid w:val="00306830"/>
    <w:rsid w:val="00306AA9"/>
    <w:rsid w:val="00306C82"/>
    <w:rsid w:val="003077B7"/>
    <w:rsid w:val="00311433"/>
    <w:rsid w:val="00312BA3"/>
    <w:rsid w:val="0031360A"/>
    <w:rsid w:val="003144E7"/>
    <w:rsid w:val="003148A2"/>
    <w:rsid w:val="00315EC9"/>
    <w:rsid w:val="00317180"/>
    <w:rsid w:val="003206E1"/>
    <w:rsid w:val="00320D6A"/>
    <w:rsid w:val="00320FE6"/>
    <w:rsid w:val="00321DFF"/>
    <w:rsid w:val="00324498"/>
    <w:rsid w:val="0032539B"/>
    <w:rsid w:val="00331A80"/>
    <w:rsid w:val="003332A5"/>
    <w:rsid w:val="0033335C"/>
    <w:rsid w:val="00334A69"/>
    <w:rsid w:val="00334C44"/>
    <w:rsid w:val="003369AA"/>
    <w:rsid w:val="003371C8"/>
    <w:rsid w:val="00337AFD"/>
    <w:rsid w:val="00340487"/>
    <w:rsid w:val="00340ABF"/>
    <w:rsid w:val="00340B0A"/>
    <w:rsid w:val="003422E9"/>
    <w:rsid w:val="00342D66"/>
    <w:rsid w:val="00344417"/>
    <w:rsid w:val="00345058"/>
    <w:rsid w:val="00346137"/>
    <w:rsid w:val="0034623B"/>
    <w:rsid w:val="00351004"/>
    <w:rsid w:val="003515EA"/>
    <w:rsid w:val="003533B2"/>
    <w:rsid w:val="00353981"/>
    <w:rsid w:val="003542FF"/>
    <w:rsid w:val="00356F9C"/>
    <w:rsid w:val="00360BE0"/>
    <w:rsid w:val="00365491"/>
    <w:rsid w:val="00367465"/>
    <w:rsid w:val="00372CC1"/>
    <w:rsid w:val="00375F7E"/>
    <w:rsid w:val="003775D0"/>
    <w:rsid w:val="00377F5B"/>
    <w:rsid w:val="0038146D"/>
    <w:rsid w:val="00386428"/>
    <w:rsid w:val="003910B9"/>
    <w:rsid w:val="00391FC2"/>
    <w:rsid w:val="00392C95"/>
    <w:rsid w:val="00393204"/>
    <w:rsid w:val="00393F6E"/>
    <w:rsid w:val="0039642F"/>
    <w:rsid w:val="003A70B3"/>
    <w:rsid w:val="003A7702"/>
    <w:rsid w:val="003B0CD6"/>
    <w:rsid w:val="003B19EA"/>
    <w:rsid w:val="003B300B"/>
    <w:rsid w:val="003C0598"/>
    <w:rsid w:val="003C113D"/>
    <w:rsid w:val="003C19A2"/>
    <w:rsid w:val="003C4419"/>
    <w:rsid w:val="003C47B8"/>
    <w:rsid w:val="003C5286"/>
    <w:rsid w:val="003C53EE"/>
    <w:rsid w:val="003C55A4"/>
    <w:rsid w:val="003C56BD"/>
    <w:rsid w:val="003C5D1A"/>
    <w:rsid w:val="003C5D3F"/>
    <w:rsid w:val="003C746B"/>
    <w:rsid w:val="003D0C68"/>
    <w:rsid w:val="003D1351"/>
    <w:rsid w:val="003D1451"/>
    <w:rsid w:val="003D18A1"/>
    <w:rsid w:val="003D2F0E"/>
    <w:rsid w:val="003D30CA"/>
    <w:rsid w:val="003D419A"/>
    <w:rsid w:val="003D5F92"/>
    <w:rsid w:val="003D7CD6"/>
    <w:rsid w:val="003D7FD5"/>
    <w:rsid w:val="003E0AD6"/>
    <w:rsid w:val="003E0B08"/>
    <w:rsid w:val="003E0D2D"/>
    <w:rsid w:val="003E3A36"/>
    <w:rsid w:val="003E404F"/>
    <w:rsid w:val="003E6B21"/>
    <w:rsid w:val="003F1FDC"/>
    <w:rsid w:val="003F3ABA"/>
    <w:rsid w:val="003F4EB2"/>
    <w:rsid w:val="003F58B5"/>
    <w:rsid w:val="003F5CFF"/>
    <w:rsid w:val="003F6844"/>
    <w:rsid w:val="003F7196"/>
    <w:rsid w:val="004008B4"/>
    <w:rsid w:val="004030D3"/>
    <w:rsid w:val="004076CF"/>
    <w:rsid w:val="00410AC7"/>
    <w:rsid w:val="004141C1"/>
    <w:rsid w:val="00414254"/>
    <w:rsid w:val="0041427D"/>
    <w:rsid w:val="00414958"/>
    <w:rsid w:val="004155A5"/>
    <w:rsid w:val="00415DE9"/>
    <w:rsid w:val="00416ABE"/>
    <w:rsid w:val="00421BC5"/>
    <w:rsid w:val="004223D4"/>
    <w:rsid w:val="0042244C"/>
    <w:rsid w:val="0042262F"/>
    <w:rsid w:val="00422795"/>
    <w:rsid w:val="004227DE"/>
    <w:rsid w:val="0042371D"/>
    <w:rsid w:val="0042591B"/>
    <w:rsid w:val="00426795"/>
    <w:rsid w:val="00426842"/>
    <w:rsid w:val="004276CE"/>
    <w:rsid w:val="00427DF2"/>
    <w:rsid w:val="00430859"/>
    <w:rsid w:val="00431190"/>
    <w:rsid w:val="00431F1E"/>
    <w:rsid w:val="00432FB1"/>
    <w:rsid w:val="00433269"/>
    <w:rsid w:val="00434A01"/>
    <w:rsid w:val="0043556B"/>
    <w:rsid w:val="00435AF9"/>
    <w:rsid w:val="004379A5"/>
    <w:rsid w:val="00437D5F"/>
    <w:rsid w:val="0044134F"/>
    <w:rsid w:val="00443322"/>
    <w:rsid w:val="00443902"/>
    <w:rsid w:val="0044395B"/>
    <w:rsid w:val="00445151"/>
    <w:rsid w:val="00446DE9"/>
    <w:rsid w:val="004472A5"/>
    <w:rsid w:val="004478B8"/>
    <w:rsid w:val="004502DA"/>
    <w:rsid w:val="004504D5"/>
    <w:rsid w:val="004518FA"/>
    <w:rsid w:val="004542CA"/>
    <w:rsid w:val="0045462E"/>
    <w:rsid w:val="00454AD1"/>
    <w:rsid w:val="00454BFE"/>
    <w:rsid w:val="00455D79"/>
    <w:rsid w:val="004568B2"/>
    <w:rsid w:val="00456FB3"/>
    <w:rsid w:val="0045748C"/>
    <w:rsid w:val="0045786A"/>
    <w:rsid w:val="0046003A"/>
    <w:rsid w:val="00460153"/>
    <w:rsid w:val="00460757"/>
    <w:rsid w:val="00463011"/>
    <w:rsid w:val="004631D4"/>
    <w:rsid w:val="00464A91"/>
    <w:rsid w:val="00464D01"/>
    <w:rsid w:val="0046540F"/>
    <w:rsid w:val="0046614B"/>
    <w:rsid w:val="0046795B"/>
    <w:rsid w:val="004717C5"/>
    <w:rsid w:val="00471BE5"/>
    <w:rsid w:val="0047492C"/>
    <w:rsid w:val="00475855"/>
    <w:rsid w:val="00475B35"/>
    <w:rsid w:val="00475C7D"/>
    <w:rsid w:val="004772EB"/>
    <w:rsid w:val="0047739E"/>
    <w:rsid w:val="0048080B"/>
    <w:rsid w:val="0048218A"/>
    <w:rsid w:val="00484BB6"/>
    <w:rsid w:val="00484E98"/>
    <w:rsid w:val="00486B6E"/>
    <w:rsid w:val="00491630"/>
    <w:rsid w:val="0049204D"/>
    <w:rsid w:val="00492AFC"/>
    <w:rsid w:val="00493781"/>
    <w:rsid w:val="00494D17"/>
    <w:rsid w:val="00496116"/>
    <w:rsid w:val="0049780F"/>
    <w:rsid w:val="004979BA"/>
    <w:rsid w:val="004A05AA"/>
    <w:rsid w:val="004A0A7D"/>
    <w:rsid w:val="004A11B6"/>
    <w:rsid w:val="004A1AAA"/>
    <w:rsid w:val="004A301A"/>
    <w:rsid w:val="004A44C8"/>
    <w:rsid w:val="004A4885"/>
    <w:rsid w:val="004A4C18"/>
    <w:rsid w:val="004A69AA"/>
    <w:rsid w:val="004A6C00"/>
    <w:rsid w:val="004B060E"/>
    <w:rsid w:val="004B08B5"/>
    <w:rsid w:val="004B14B3"/>
    <w:rsid w:val="004B35F4"/>
    <w:rsid w:val="004B4E55"/>
    <w:rsid w:val="004B507F"/>
    <w:rsid w:val="004B68A8"/>
    <w:rsid w:val="004C3A69"/>
    <w:rsid w:val="004C40E5"/>
    <w:rsid w:val="004C47E0"/>
    <w:rsid w:val="004C54CE"/>
    <w:rsid w:val="004C77CF"/>
    <w:rsid w:val="004D0158"/>
    <w:rsid w:val="004D128F"/>
    <w:rsid w:val="004D2F33"/>
    <w:rsid w:val="004D78D8"/>
    <w:rsid w:val="004D7AF4"/>
    <w:rsid w:val="004E1EA3"/>
    <w:rsid w:val="004E4687"/>
    <w:rsid w:val="004E5725"/>
    <w:rsid w:val="004E6EE6"/>
    <w:rsid w:val="004E72B5"/>
    <w:rsid w:val="004E7B7B"/>
    <w:rsid w:val="004E7CEB"/>
    <w:rsid w:val="004F0B7D"/>
    <w:rsid w:val="004F114A"/>
    <w:rsid w:val="004F27DF"/>
    <w:rsid w:val="004F6B8F"/>
    <w:rsid w:val="004F6E91"/>
    <w:rsid w:val="004F734A"/>
    <w:rsid w:val="004F7371"/>
    <w:rsid w:val="004F7528"/>
    <w:rsid w:val="0050138D"/>
    <w:rsid w:val="0050279B"/>
    <w:rsid w:val="00505DB1"/>
    <w:rsid w:val="00506B87"/>
    <w:rsid w:val="005100D5"/>
    <w:rsid w:val="00511F4E"/>
    <w:rsid w:val="00513645"/>
    <w:rsid w:val="00516F13"/>
    <w:rsid w:val="00521437"/>
    <w:rsid w:val="00521DAA"/>
    <w:rsid w:val="00522697"/>
    <w:rsid w:val="00522B75"/>
    <w:rsid w:val="00523C20"/>
    <w:rsid w:val="005242B9"/>
    <w:rsid w:val="00524EA9"/>
    <w:rsid w:val="00525E2C"/>
    <w:rsid w:val="00526F2B"/>
    <w:rsid w:val="00526FC2"/>
    <w:rsid w:val="00527817"/>
    <w:rsid w:val="00530590"/>
    <w:rsid w:val="005312B7"/>
    <w:rsid w:val="00531433"/>
    <w:rsid w:val="00531588"/>
    <w:rsid w:val="005317BF"/>
    <w:rsid w:val="0053294F"/>
    <w:rsid w:val="00532A7D"/>
    <w:rsid w:val="00534312"/>
    <w:rsid w:val="00534797"/>
    <w:rsid w:val="0054031A"/>
    <w:rsid w:val="005408A2"/>
    <w:rsid w:val="00541330"/>
    <w:rsid w:val="005417E0"/>
    <w:rsid w:val="005430D4"/>
    <w:rsid w:val="00543691"/>
    <w:rsid w:val="00544461"/>
    <w:rsid w:val="00544B51"/>
    <w:rsid w:val="005454B5"/>
    <w:rsid w:val="00545F0B"/>
    <w:rsid w:val="005464D2"/>
    <w:rsid w:val="00546779"/>
    <w:rsid w:val="005473B8"/>
    <w:rsid w:val="0055042C"/>
    <w:rsid w:val="00552BB9"/>
    <w:rsid w:val="0055389E"/>
    <w:rsid w:val="00553F9E"/>
    <w:rsid w:val="0055585A"/>
    <w:rsid w:val="005568CA"/>
    <w:rsid w:val="005603F8"/>
    <w:rsid w:val="00560773"/>
    <w:rsid w:val="00561990"/>
    <w:rsid w:val="005630ED"/>
    <w:rsid w:val="00566D9C"/>
    <w:rsid w:val="00567541"/>
    <w:rsid w:val="005676A9"/>
    <w:rsid w:val="00567901"/>
    <w:rsid w:val="00573650"/>
    <w:rsid w:val="00573FF2"/>
    <w:rsid w:val="0057528A"/>
    <w:rsid w:val="00576B38"/>
    <w:rsid w:val="005771AF"/>
    <w:rsid w:val="00577D95"/>
    <w:rsid w:val="00577EA6"/>
    <w:rsid w:val="00581357"/>
    <w:rsid w:val="00581BF6"/>
    <w:rsid w:val="005833A4"/>
    <w:rsid w:val="005879A0"/>
    <w:rsid w:val="00587D4C"/>
    <w:rsid w:val="00591272"/>
    <w:rsid w:val="00595A22"/>
    <w:rsid w:val="00595F87"/>
    <w:rsid w:val="0059609D"/>
    <w:rsid w:val="00597E0A"/>
    <w:rsid w:val="005A0261"/>
    <w:rsid w:val="005A1614"/>
    <w:rsid w:val="005A3350"/>
    <w:rsid w:val="005A55B5"/>
    <w:rsid w:val="005A56F6"/>
    <w:rsid w:val="005A6D00"/>
    <w:rsid w:val="005A7701"/>
    <w:rsid w:val="005B2AC3"/>
    <w:rsid w:val="005C03EA"/>
    <w:rsid w:val="005C1F2B"/>
    <w:rsid w:val="005D1C71"/>
    <w:rsid w:val="005D30F3"/>
    <w:rsid w:val="005D4D7F"/>
    <w:rsid w:val="005D5D05"/>
    <w:rsid w:val="005D6A4A"/>
    <w:rsid w:val="005D6FC3"/>
    <w:rsid w:val="005E09C6"/>
    <w:rsid w:val="005E3643"/>
    <w:rsid w:val="005E6FA2"/>
    <w:rsid w:val="005F1EE4"/>
    <w:rsid w:val="005F25FA"/>
    <w:rsid w:val="005F2A9A"/>
    <w:rsid w:val="005F364A"/>
    <w:rsid w:val="005F4A0E"/>
    <w:rsid w:val="005F572E"/>
    <w:rsid w:val="005F626E"/>
    <w:rsid w:val="006015F5"/>
    <w:rsid w:val="00601F17"/>
    <w:rsid w:val="00601FB5"/>
    <w:rsid w:val="00603E43"/>
    <w:rsid w:val="006048C4"/>
    <w:rsid w:val="00604B0B"/>
    <w:rsid w:val="00605120"/>
    <w:rsid w:val="006057C4"/>
    <w:rsid w:val="00605FA8"/>
    <w:rsid w:val="0061279D"/>
    <w:rsid w:val="00612C77"/>
    <w:rsid w:val="0061405E"/>
    <w:rsid w:val="0061445B"/>
    <w:rsid w:val="00614738"/>
    <w:rsid w:val="00614A52"/>
    <w:rsid w:val="006155BB"/>
    <w:rsid w:val="006157EC"/>
    <w:rsid w:val="00615E32"/>
    <w:rsid w:val="00620AD7"/>
    <w:rsid w:val="00624CF0"/>
    <w:rsid w:val="00625865"/>
    <w:rsid w:val="00627044"/>
    <w:rsid w:val="00630F24"/>
    <w:rsid w:val="0063153F"/>
    <w:rsid w:val="00632805"/>
    <w:rsid w:val="00633624"/>
    <w:rsid w:val="006352A1"/>
    <w:rsid w:val="00637A4A"/>
    <w:rsid w:val="00640BB6"/>
    <w:rsid w:val="00641819"/>
    <w:rsid w:val="00642BE5"/>
    <w:rsid w:val="0064315A"/>
    <w:rsid w:val="00644807"/>
    <w:rsid w:val="0064527B"/>
    <w:rsid w:val="0064563F"/>
    <w:rsid w:val="00646A3E"/>
    <w:rsid w:val="00646CD2"/>
    <w:rsid w:val="00647B31"/>
    <w:rsid w:val="00647FCA"/>
    <w:rsid w:val="006511D6"/>
    <w:rsid w:val="00651729"/>
    <w:rsid w:val="0065465F"/>
    <w:rsid w:val="00654BE4"/>
    <w:rsid w:val="00657C98"/>
    <w:rsid w:val="00657CC5"/>
    <w:rsid w:val="00660821"/>
    <w:rsid w:val="00661706"/>
    <w:rsid w:val="00661857"/>
    <w:rsid w:val="00663283"/>
    <w:rsid w:val="00663ABF"/>
    <w:rsid w:val="00665A6B"/>
    <w:rsid w:val="00665B3C"/>
    <w:rsid w:val="00665F58"/>
    <w:rsid w:val="00670F39"/>
    <w:rsid w:val="00671598"/>
    <w:rsid w:val="00672F8E"/>
    <w:rsid w:val="00674D7D"/>
    <w:rsid w:val="00675F73"/>
    <w:rsid w:val="00676C45"/>
    <w:rsid w:val="006770F3"/>
    <w:rsid w:val="0067745C"/>
    <w:rsid w:val="006807A6"/>
    <w:rsid w:val="006819CF"/>
    <w:rsid w:val="006831E4"/>
    <w:rsid w:val="00684AFD"/>
    <w:rsid w:val="00685B29"/>
    <w:rsid w:val="00690CB3"/>
    <w:rsid w:val="00691105"/>
    <w:rsid w:val="00693454"/>
    <w:rsid w:val="00693D73"/>
    <w:rsid w:val="00694D5B"/>
    <w:rsid w:val="00696780"/>
    <w:rsid w:val="006A030A"/>
    <w:rsid w:val="006A1155"/>
    <w:rsid w:val="006A57AF"/>
    <w:rsid w:val="006A6DEA"/>
    <w:rsid w:val="006B13F0"/>
    <w:rsid w:val="006B46D2"/>
    <w:rsid w:val="006B4B04"/>
    <w:rsid w:val="006B5234"/>
    <w:rsid w:val="006B7050"/>
    <w:rsid w:val="006C2088"/>
    <w:rsid w:val="006C229C"/>
    <w:rsid w:val="006C3DAB"/>
    <w:rsid w:val="006C70DE"/>
    <w:rsid w:val="006C7442"/>
    <w:rsid w:val="006C7B23"/>
    <w:rsid w:val="006D05C0"/>
    <w:rsid w:val="006D0756"/>
    <w:rsid w:val="006D0B88"/>
    <w:rsid w:val="006D0C70"/>
    <w:rsid w:val="006D0EDD"/>
    <w:rsid w:val="006D3827"/>
    <w:rsid w:val="006D4B16"/>
    <w:rsid w:val="006D66CD"/>
    <w:rsid w:val="006D6BEA"/>
    <w:rsid w:val="006D6C22"/>
    <w:rsid w:val="006E04CA"/>
    <w:rsid w:val="006E06C3"/>
    <w:rsid w:val="006E1129"/>
    <w:rsid w:val="006E1137"/>
    <w:rsid w:val="006E146A"/>
    <w:rsid w:val="006E4867"/>
    <w:rsid w:val="006E52AC"/>
    <w:rsid w:val="006E6067"/>
    <w:rsid w:val="006E6AEC"/>
    <w:rsid w:val="006E6C46"/>
    <w:rsid w:val="006E75A4"/>
    <w:rsid w:val="006F1397"/>
    <w:rsid w:val="006F2458"/>
    <w:rsid w:val="006F3775"/>
    <w:rsid w:val="006F5E9A"/>
    <w:rsid w:val="006F719F"/>
    <w:rsid w:val="006F7D09"/>
    <w:rsid w:val="0070018A"/>
    <w:rsid w:val="007008BE"/>
    <w:rsid w:val="00701DA7"/>
    <w:rsid w:val="00702649"/>
    <w:rsid w:val="007040F7"/>
    <w:rsid w:val="00706A89"/>
    <w:rsid w:val="00707E3E"/>
    <w:rsid w:val="00712E7D"/>
    <w:rsid w:val="007134AE"/>
    <w:rsid w:val="0071384A"/>
    <w:rsid w:val="007151E1"/>
    <w:rsid w:val="0071562E"/>
    <w:rsid w:val="00715E00"/>
    <w:rsid w:val="00717BE9"/>
    <w:rsid w:val="0072006A"/>
    <w:rsid w:val="007200E4"/>
    <w:rsid w:val="0072118B"/>
    <w:rsid w:val="007211FC"/>
    <w:rsid w:val="007216E6"/>
    <w:rsid w:val="00721BCA"/>
    <w:rsid w:val="00724B4D"/>
    <w:rsid w:val="00731F2C"/>
    <w:rsid w:val="007342BD"/>
    <w:rsid w:val="007342EE"/>
    <w:rsid w:val="00734C5A"/>
    <w:rsid w:val="007354C5"/>
    <w:rsid w:val="00736D57"/>
    <w:rsid w:val="00737324"/>
    <w:rsid w:val="00741767"/>
    <w:rsid w:val="00744EE3"/>
    <w:rsid w:val="00746545"/>
    <w:rsid w:val="00747841"/>
    <w:rsid w:val="00747B01"/>
    <w:rsid w:val="00750BAC"/>
    <w:rsid w:val="00751C0F"/>
    <w:rsid w:val="00752468"/>
    <w:rsid w:val="00753091"/>
    <w:rsid w:val="00754FE3"/>
    <w:rsid w:val="00756125"/>
    <w:rsid w:val="00756373"/>
    <w:rsid w:val="00760303"/>
    <w:rsid w:val="00761F8B"/>
    <w:rsid w:val="00762ADD"/>
    <w:rsid w:val="007651FC"/>
    <w:rsid w:val="007654FC"/>
    <w:rsid w:val="00765510"/>
    <w:rsid w:val="00765C49"/>
    <w:rsid w:val="00765F88"/>
    <w:rsid w:val="00767C9E"/>
    <w:rsid w:val="00770364"/>
    <w:rsid w:val="00770C7B"/>
    <w:rsid w:val="007711DF"/>
    <w:rsid w:val="0077265A"/>
    <w:rsid w:val="00775E82"/>
    <w:rsid w:val="0077721A"/>
    <w:rsid w:val="00777798"/>
    <w:rsid w:val="0078154A"/>
    <w:rsid w:val="00781862"/>
    <w:rsid w:val="00783717"/>
    <w:rsid w:val="00784DA3"/>
    <w:rsid w:val="00790482"/>
    <w:rsid w:val="0079120A"/>
    <w:rsid w:val="00792B20"/>
    <w:rsid w:val="00792B22"/>
    <w:rsid w:val="00794224"/>
    <w:rsid w:val="00794AF6"/>
    <w:rsid w:val="007959C1"/>
    <w:rsid w:val="00796CFC"/>
    <w:rsid w:val="007975D9"/>
    <w:rsid w:val="00797C96"/>
    <w:rsid w:val="007A3488"/>
    <w:rsid w:val="007A5C36"/>
    <w:rsid w:val="007A5DD3"/>
    <w:rsid w:val="007A606D"/>
    <w:rsid w:val="007A626A"/>
    <w:rsid w:val="007A7DF0"/>
    <w:rsid w:val="007B0E08"/>
    <w:rsid w:val="007B1861"/>
    <w:rsid w:val="007B1E3F"/>
    <w:rsid w:val="007B2CF6"/>
    <w:rsid w:val="007B3CC9"/>
    <w:rsid w:val="007B3F87"/>
    <w:rsid w:val="007B59BC"/>
    <w:rsid w:val="007B6871"/>
    <w:rsid w:val="007B6F19"/>
    <w:rsid w:val="007B7949"/>
    <w:rsid w:val="007B7C14"/>
    <w:rsid w:val="007C20B1"/>
    <w:rsid w:val="007C575B"/>
    <w:rsid w:val="007C5894"/>
    <w:rsid w:val="007C65AD"/>
    <w:rsid w:val="007C676D"/>
    <w:rsid w:val="007C67CF"/>
    <w:rsid w:val="007C6C8A"/>
    <w:rsid w:val="007C795F"/>
    <w:rsid w:val="007C79F1"/>
    <w:rsid w:val="007C7C52"/>
    <w:rsid w:val="007D05C8"/>
    <w:rsid w:val="007D23D4"/>
    <w:rsid w:val="007D2A77"/>
    <w:rsid w:val="007D545A"/>
    <w:rsid w:val="007D56F8"/>
    <w:rsid w:val="007D75E1"/>
    <w:rsid w:val="007D7EB8"/>
    <w:rsid w:val="007E1AC6"/>
    <w:rsid w:val="007E1C46"/>
    <w:rsid w:val="007E44BC"/>
    <w:rsid w:val="007E47D3"/>
    <w:rsid w:val="007E5DE7"/>
    <w:rsid w:val="007E617E"/>
    <w:rsid w:val="007E6695"/>
    <w:rsid w:val="007E66AA"/>
    <w:rsid w:val="007F01F1"/>
    <w:rsid w:val="007F1484"/>
    <w:rsid w:val="007F1A09"/>
    <w:rsid w:val="007F1CBB"/>
    <w:rsid w:val="007F6063"/>
    <w:rsid w:val="008008AA"/>
    <w:rsid w:val="00803E15"/>
    <w:rsid w:val="0080408D"/>
    <w:rsid w:val="008040C8"/>
    <w:rsid w:val="0080478D"/>
    <w:rsid w:val="00804B11"/>
    <w:rsid w:val="00805AD3"/>
    <w:rsid w:val="00806195"/>
    <w:rsid w:val="008110DB"/>
    <w:rsid w:val="00814328"/>
    <w:rsid w:val="0081533B"/>
    <w:rsid w:val="0081551E"/>
    <w:rsid w:val="008158C5"/>
    <w:rsid w:val="00820C83"/>
    <w:rsid w:val="00820ED2"/>
    <w:rsid w:val="008260DD"/>
    <w:rsid w:val="0082633E"/>
    <w:rsid w:val="008270AD"/>
    <w:rsid w:val="008303DF"/>
    <w:rsid w:val="008328E2"/>
    <w:rsid w:val="00833DE8"/>
    <w:rsid w:val="00834E77"/>
    <w:rsid w:val="00835AFC"/>
    <w:rsid w:val="00836118"/>
    <w:rsid w:val="0083768C"/>
    <w:rsid w:val="00841D92"/>
    <w:rsid w:val="00842033"/>
    <w:rsid w:val="008420CB"/>
    <w:rsid w:val="00842214"/>
    <w:rsid w:val="00846985"/>
    <w:rsid w:val="00847141"/>
    <w:rsid w:val="008472D6"/>
    <w:rsid w:val="0085140D"/>
    <w:rsid w:val="00853BA8"/>
    <w:rsid w:val="008540BC"/>
    <w:rsid w:val="00854B95"/>
    <w:rsid w:val="008560BB"/>
    <w:rsid w:val="008604AC"/>
    <w:rsid w:val="008605BB"/>
    <w:rsid w:val="00860A6B"/>
    <w:rsid w:val="0086164F"/>
    <w:rsid w:val="00862378"/>
    <w:rsid w:val="008631D8"/>
    <w:rsid w:val="008636DB"/>
    <w:rsid w:val="00863AD7"/>
    <w:rsid w:val="008644A7"/>
    <w:rsid w:val="008676F2"/>
    <w:rsid w:val="00873303"/>
    <w:rsid w:val="008746DC"/>
    <w:rsid w:val="00874988"/>
    <w:rsid w:val="00874CC3"/>
    <w:rsid w:val="00874EBD"/>
    <w:rsid w:val="008755A1"/>
    <w:rsid w:val="008770A2"/>
    <w:rsid w:val="00877779"/>
    <w:rsid w:val="00880755"/>
    <w:rsid w:val="00881565"/>
    <w:rsid w:val="00881951"/>
    <w:rsid w:val="00882B88"/>
    <w:rsid w:val="00883645"/>
    <w:rsid w:val="008857E5"/>
    <w:rsid w:val="0088675D"/>
    <w:rsid w:val="0088683A"/>
    <w:rsid w:val="00886C5C"/>
    <w:rsid w:val="0089098C"/>
    <w:rsid w:val="00891290"/>
    <w:rsid w:val="00891410"/>
    <w:rsid w:val="008923B2"/>
    <w:rsid w:val="00892A99"/>
    <w:rsid w:val="008975CE"/>
    <w:rsid w:val="008A1AD8"/>
    <w:rsid w:val="008A29CA"/>
    <w:rsid w:val="008A2A4A"/>
    <w:rsid w:val="008A3AD9"/>
    <w:rsid w:val="008A47C3"/>
    <w:rsid w:val="008A5273"/>
    <w:rsid w:val="008B02BF"/>
    <w:rsid w:val="008B266B"/>
    <w:rsid w:val="008B34F5"/>
    <w:rsid w:val="008B3F6C"/>
    <w:rsid w:val="008B47FC"/>
    <w:rsid w:val="008B4B4B"/>
    <w:rsid w:val="008B7E92"/>
    <w:rsid w:val="008C199D"/>
    <w:rsid w:val="008C2BBE"/>
    <w:rsid w:val="008C45EF"/>
    <w:rsid w:val="008C51C3"/>
    <w:rsid w:val="008C53C9"/>
    <w:rsid w:val="008C5429"/>
    <w:rsid w:val="008C6904"/>
    <w:rsid w:val="008D0EBE"/>
    <w:rsid w:val="008D421C"/>
    <w:rsid w:val="008D4358"/>
    <w:rsid w:val="008D5583"/>
    <w:rsid w:val="008D64B9"/>
    <w:rsid w:val="008D7686"/>
    <w:rsid w:val="008E051A"/>
    <w:rsid w:val="008E1433"/>
    <w:rsid w:val="008E2119"/>
    <w:rsid w:val="008E29A6"/>
    <w:rsid w:val="008E3926"/>
    <w:rsid w:val="008E4794"/>
    <w:rsid w:val="008E4930"/>
    <w:rsid w:val="008E7852"/>
    <w:rsid w:val="008F1917"/>
    <w:rsid w:val="008F2102"/>
    <w:rsid w:val="008F37DA"/>
    <w:rsid w:val="008F4EE9"/>
    <w:rsid w:val="008F5946"/>
    <w:rsid w:val="008F5B28"/>
    <w:rsid w:val="008F6911"/>
    <w:rsid w:val="008F70F2"/>
    <w:rsid w:val="008F7BB2"/>
    <w:rsid w:val="00900844"/>
    <w:rsid w:val="009029E3"/>
    <w:rsid w:val="0090646F"/>
    <w:rsid w:val="009079B4"/>
    <w:rsid w:val="009101A3"/>
    <w:rsid w:val="009103C1"/>
    <w:rsid w:val="00910710"/>
    <w:rsid w:val="00911656"/>
    <w:rsid w:val="009122C2"/>
    <w:rsid w:val="00913430"/>
    <w:rsid w:val="009137AA"/>
    <w:rsid w:val="009139C1"/>
    <w:rsid w:val="0091638A"/>
    <w:rsid w:val="00916E5D"/>
    <w:rsid w:val="009208E6"/>
    <w:rsid w:val="00920C7B"/>
    <w:rsid w:val="00921C4C"/>
    <w:rsid w:val="00922196"/>
    <w:rsid w:val="0092273D"/>
    <w:rsid w:val="009230DB"/>
    <w:rsid w:val="009234FE"/>
    <w:rsid w:val="00923C09"/>
    <w:rsid w:val="00923C0F"/>
    <w:rsid w:val="009245F9"/>
    <w:rsid w:val="00924915"/>
    <w:rsid w:val="009252BC"/>
    <w:rsid w:val="00925908"/>
    <w:rsid w:val="00925F81"/>
    <w:rsid w:val="00926356"/>
    <w:rsid w:val="00926DAF"/>
    <w:rsid w:val="00931032"/>
    <w:rsid w:val="0093178F"/>
    <w:rsid w:val="00932602"/>
    <w:rsid w:val="00934FF9"/>
    <w:rsid w:val="009352E0"/>
    <w:rsid w:val="00937F2E"/>
    <w:rsid w:val="009407F5"/>
    <w:rsid w:val="0094104E"/>
    <w:rsid w:val="00943AF4"/>
    <w:rsid w:val="00950AF4"/>
    <w:rsid w:val="009516E0"/>
    <w:rsid w:val="00952257"/>
    <w:rsid w:val="00953307"/>
    <w:rsid w:val="00954678"/>
    <w:rsid w:val="009551D7"/>
    <w:rsid w:val="00962065"/>
    <w:rsid w:val="00962AC4"/>
    <w:rsid w:val="00962BB3"/>
    <w:rsid w:val="00963C60"/>
    <w:rsid w:val="0096686C"/>
    <w:rsid w:val="00966C66"/>
    <w:rsid w:val="009674EB"/>
    <w:rsid w:val="009703D3"/>
    <w:rsid w:val="0097247B"/>
    <w:rsid w:val="0097356C"/>
    <w:rsid w:val="00974BB8"/>
    <w:rsid w:val="00975B45"/>
    <w:rsid w:val="00976673"/>
    <w:rsid w:val="00981304"/>
    <w:rsid w:val="009813F0"/>
    <w:rsid w:val="0098334B"/>
    <w:rsid w:val="00983FF2"/>
    <w:rsid w:val="009848BE"/>
    <w:rsid w:val="00985E9F"/>
    <w:rsid w:val="0099130C"/>
    <w:rsid w:val="00992F06"/>
    <w:rsid w:val="00993773"/>
    <w:rsid w:val="00993CAB"/>
    <w:rsid w:val="00996375"/>
    <w:rsid w:val="00997D83"/>
    <w:rsid w:val="009A0B3E"/>
    <w:rsid w:val="009A2D39"/>
    <w:rsid w:val="009A4B9E"/>
    <w:rsid w:val="009A4EE6"/>
    <w:rsid w:val="009A5637"/>
    <w:rsid w:val="009A58B5"/>
    <w:rsid w:val="009A5D22"/>
    <w:rsid w:val="009A5E63"/>
    <w:rsid w:val="009A729E"/>
    <w:rsid w:val="009B3212"/>
    <w:rsid w:val="009B4CEC"/>
    <w:rsid w:val="009B6CFD"/>
    <w:rsid w:val="009B78FA"/>
    <w:rsid w:val="009B7B6A"/>
    <w:rsid w:val="009C0493"/>
    <w:rsid w:val="009C0862"/>
    <w:rsid w:val="009C0E56"/>
    <w:rsid w:val="009C46DC"/>
    <w:rsid w:val="009C5916"/>
    <w:rsid w:val="009C600B"/>
    <w:rsid w:val="009D06D0"/>
    <w:rsid w:val="009D29BD"/>
    <w:rsid w:val="009D2FD5"/>
    <w:rsid w:val="009D3572"/>
    <w:rsid w:val="009D4AB6"/>
    <w:rsid w:val="009D56E0"/>
    <w:rsid w:val="009D6425"/>
    <w:rsid w:val="009E01E4"/>
    <w:rsid w:val="009E11DE"/>
    <w:rsid w:val="009E19F2"/>
    <w:rsid w:val="009E4141"/>
    <w:rsid w:val="009E5400"/>
    <w:rsid w:val="009E618D"/>
    <w:rsid w:val="009E6C35"/>
    <w:rsid w:val="009E754B"/>
    <w:rsid w:val="009E7FC8"/>
    <w:rsid w:val="009F2D9F"/>
    <w:rsid w:val="009F51FE"/>
    <w:rsid w:val="009F55C1"/>
    <w:rsid w:val="009F5DE2"/>
    <w:rsid w:val="009F5FF8"/>
    <w:rsid w:val="009F69B1"/>
    <w:rsid w:val="00A0138B"/>
    <w:rsid w:val="00A0257C"/>
    <w:rsid w:val="00A026BA"/>
    <w:rsid w:val="00A0351F"/>
    <w:rsid w:val="00A05828"/>
    <w:rsid w:val="00A05B5F"/>
    <w:rsid w:val="00A0728D"/>
    <w:rsid w:val="00A07BCC"/>
    <w:rsid w:val="00A12424"/>
    <w:rsid w:val="00A151DB"/>
    <w:rsid w:val="00A154B9"/>
    <w:rsid w:val="00A15FA8"/>
    <w:rsid w:val="00A1619B"/>
    <w:rsid w:val="00A16F18"/>
    <w:rsid w:val="00A17202"/>
    <w:rsid w:val="00A22A6D"/>
    <w:rsid w:val="00A23504"/>
    <w:rsid w:val="00A24964"/>
    <w:rsid w:val="00A24A9A"/>
    <w:rsid w:val="00A24C47"/>
    <w:rsid w:val="00A26BBC"/>
    <w:rsid w:val="00A27082"/>
    <w:rsid w:val="00A27654"/>
    <w:rsid w:val="00A309EB"/>
    <w:rsid w:val="00A31F6F"/>
    <w:rsid w:val="00A3384C"/>
    <w:rsid w:val="00A364F2"/>
    <w:rsid w:val="00A369FB"/>
    <w:rsid w:val="00A36CF5"/>
    <w:rsid w:val="00A4733C"/>
    <w:rsid w:val="00A501BC"/>
    <w:rsid w:val="00A51580"/>
    <w:rsid w:val="00A52541"/>
    <w:rsid w:val="00A5427C"/>
    <w:rsid w:val="00A5500D"/>
    <w:rsid w:val="00A555CB"/>
    <w:rsid w:val="00A568D1"/>
    <w:rsid w:val="00A572A2"/>
    <w:rsid w:val="00A60107"/>
    <w:rsid w:val="00A610D0"/>
    <w:rsid w:val="00A643EB"/>
    <w:rsid w:val="00A64B0A"/>
    <w:rsid w:val="00A650E8"/>
    <w:rsid w:val="00A658E3"/>
    <w:rsid w:val="00A66219"/>
    <w:rsid w:val="00A6794B"/>
    <w:rsid w:val="00A709A7"/>
    <w:rsid w:val="00A70D38"/>
    <w:rsid w:val="00A71888"/>
    <w:rsid w:val="00A71CE9"/>
    <w:rsid w:val="00A71F84"/>
    <w:rsid w:val="00A73089"/>
    <w:rsid w:val="00A73B70"/>
    <w:rsid w:val="00A7401D"/>
    <w:rsid w:val="00A74376"/>
    <w:rsid w:val="00A763D5"/>
    <w:rsid w:val="00A76562"/>
    <w:rsid w:val="00A766D2"/>
    <w:rsid w:val="00A76860"/>
    <w:rsid w:val="00A7706E"/>
    <w:rsid w:val="00A80559"/>
    <w:rsid w:val="00A8297E"/>
    <w:rsid w:val="00A86CD5"/>
    <w:rsid w:val="00A90DC6"/>
    <w:rsid w:val="00A927B3"/>
    <w:rsid w:val="00A9481D"/>
    <w:rsid w:val="00A96E09"/>
    <w:rsid w:val="00AA2E1E"/>
    <w:rsid w:val="00AA5CD9"/>
    <w:rsid w:val="00AA6A40"/>
    <w:rsid w:val="00AA7636"/>
    <w:rsid w:val="00AB4F98"/>
    <w:rsid w:val="00AB5E7B"/>
    <w:rsid w:val="00AB75D5"/>
    <w:rsid w:val="00AC04F9"/>
    <w:rsid w:val="00AC0DC8"/>
    <w:rsid w:val="00AC15F0"/>
    <w:rsid w:val="00AC43A2"/>
    <w:rsid w:val="00AC50E0"/>
    <w:rsid w:val="00AC54C0"/>
    <w:rsid w:val="00AD021C"/>
    <w:rsid w:val="00AD149F"/>
    <w:rsid w:val="00AD1D37"/>
    <w:rsid w:val="00AD21FC"/>
    <w:rsid w:val="00AD240B"/>
    <w:rsid w:val="00AD383D"/>
    <w:rsid w:val="00AD4538"/>
    <w:rsid w:val="00AD50F5"/>
    <w:rsid w:val="00AD5870"/>
    <w:rsid w:val="00AD6488"/>
    <w:rsid w:val="00AE05B9"/>
    <w:rsid w:val="00AE1005"/>
    <w:rsid w:val="00AE287E"/>
    <w:rsid w:val="00AE31E9"/>
    <w:rsid w:val="00AE3AE9"/>
    <w:rsid w:val="00AE3D3E"/>
    <w:rsid w:val="00AE4271"/>
    <w:rsid w:val="00AE4413"/>
    <w:rsid w:val="00AE5C20"/>
    <w:rsid w:val="00AF2371"/>
    <w:rsid w:val="00AF280D"/>
    <w:rsid w:val="00AF38BE"/>
    <w:rsid w:val="00AF5919"/>
    <w:rsid w:val="00AF6165"/>
    <w:rsid w:val="00AF747E"/>
    <w:rsid w:val="00AF76BF"/>
    <w:rsid w:val="00B03AD3"/>
    <w:rsid w:val="00B04DF7"/>
    <w:rsid w:val="00B05A68"/>
    <w:rsid w:val="00B075BE"/>
    <w:rsid w:val="00B100D6"/>
    <w:rsid w:val="00B10F20"/>
    <w:rsid w:val="00B1122A"/>
    <w:rsid w:val="00B11AE4"/>
    <w:rsid w:val="00B1227D"/>
    <w:rsid w:val="00B13AE5"/>
    <w:rsid w:val="00B17332"/>
    <w:rsid w:val="00B178D8"/>
    <w:rsid w:val="00B17BB6"/>
    <w:rsid w:val="00B20F3A"/>
    <w:rsid w:val="00B2160E"/>
    <w:rsid w:val="00B22D88"/>
    <w:rsid w:val="00B232AA"/>
    <w:rsid w:val="00B232AE"/>
    <w:rsid w:val="00B234AF"/>
    <w:rsid w:val="00B2638D"/>
    <w:rsid w:val="00B30EFA"/>
    <w:rsid w:val="00B3159D"/>
    <w:rsid w:val="00B31945"/>
    <w:rsid w:val="00B321BE"/>
    <w:rsid w:val="00B33E8D"/>
    <w:rsid w:val="00B33F69"/>
    <w:rsid w:val="00B35BA0"/>
    <w:rsid w:val="00B363E9"/>
    <w:rsid w:val="00B372E0"/>
    <w:rsid w:val="00B404CE"/>
    <w:rsid w:val="00B43B14"/>
    <w:rsid w:val="00B449B7"/>
    <w:rsid w:val="00B4606A"/>
    <w:rsid w:val="00B4628C"/>
    <w:rsid w:val="00B47157"/>
    <w:rsid w:val="00B47F97"/>
    <w:rsid w:val="00B50C8F"/>
    <w:rsid w:val="00B51D4C"/>
    <w:rsid w:val="00B526FF"/>
    <w:rsid w:val="00B55552"/>
    <w:rsid w:val="00B56141"/>
    <w:rsid w:val="00B564F9"/>
    <w:rsid w:val="00B5781C"/>
    <w:rsid w:val="00B60257"/>
    <w:rsid w:val="00B621F1"/>
    <w:rsid w:val="00B626EB"/>
    <w:rsid w:val="00B63049"/>
    <w:rsid w:val="00B63304"/>
    <w:rsid w:val="00B672EF"/>
    <w:rsid w:val="00B74C7D"/>
    <w:rsid w:val="00B758A1"/>
    <w:rsid w:val="00B7683E"/>
    <w:rsid w:val="00B802A0"/>
    <w:rsid w:val="00B803A0"/>
    <w:rsid w:val="00B80E72"/>
    <w:rsid w:val="00B830E8"/>
    <w:rsid w:val="00B84D31"/>
    <w:rsid w:val="00B86F1A"/>
    <w:rsid w:val="00B872F9"/>
    <w:rsid w:val="00B873BF"/>
    <w:rsid w:val="00B87F16"/>
    <w:rsid w:val="00B906E9"/>
    <w:rsid w:val="00B91864"/>
    <w:rsid w:val="00B92D99"/>
    <w:rsid w:val="00B95397"/>
    <w:rsid w:val="00B95C4A"/>
    <w:rsid w:val="00B95F81"/>
    <w:rsid w:val="00B95FB3"/>
    <w:rsid w:val="00B965DF"/>
    <w:rsid w:val="00BA006D"/>
    <w:rsid w:val="00BA1317"/>
    <w:rsid w:val="00BA22F9"/>
    <w:rsid w:val="00BA2FBE"/>
    <w:rsid w:val="00BA38B2"/>
    <w:rsid w:val="00BA3B31"/>
    <w:rsid w:val="00BA3F4C"/>
    <w:rsid w:val="00BA4AD4"/>
    <w:rsid w:val="00BA55D6"/>
    <w:rsid w:val="00BA56CE"/>
    <w:rsid w:val="00BA58D4"/>
    <w:rsid w:val="00BB04B6"/>
    <w:rsid w:val="00BB0607"/>
    <w:rsid w:val="00BB2CCD"/>
    <w:rsid w:val="00BB38EA"/>
    <w:rsid w:val="00BB3B50"/>
    <w:rsid w:val="00BB5ADA"/>
    <w:rsid w:val="00BB5DCD"/>
    <w:rsid w:val="00BB6D8A"/>
    <w:rsid w:val="00BB7D8B"/>
    <w:rsid w:val="00BC1A8C"/>
    <w:rsid w:val="00BC1D80"/>
    <w:rsid w:val="00BC55E4"/>
    <w:rsid w:val="00BC5DBB"/>
    <w:rsid w:val="00BD1BA2"/>
    <w:rsid w:val="00BD570F"/>
    <w:rsid w:val="00BD69AE"/>
    <w:rsid w:val="00BD77BE"/>
    <w:rsid w:val="00BE12AF"/>
    <w:rsid w:val="00BE17B9"/>
    <w:rsid w:val="00BE3480"/>
    <w:rsid w:val="00BE3A23"/>
    <w:rsid w:val="00BE446C"/>
    <w:rsid w:val="00BE6A1B"/>
    <w:rsid w:val="00BE7787"/>
    <w:rsid w:val="00BE7A05"/>
    <w:rsid w:val="00BE7DB7"/>
    <w:rsid w:val="00BF0705"/>
    <w:rsid w:val="00BF345D"/>
    <w:rsid w:val="00BF48A9"/>
    <w:rsid w:val="00BF53D4"/>
    <w:rsid w:val="00BF6AAC"/>
    <w:rsid w:val="00C0170A"/>
    <w:rsid w:val="00C01C97"/>
    <w:rsid w:val="00C02ABD"/>
    <w:rsid w:val="00C03527"/>
    <w:rsid w:val="00C03FA5"/>
    <w:rsid w:val="00C043A7"/>
    <w:rsid w:val="00C0572D"/>
    <w:rsid w:val="00C0677E"/>
    <w:rsid w:val="00C06E09"/>
    <w:rsid w:val="00C074D8"/>
    <w:rsid w:val="00C07C46"/>
    <w:rsid w:val="00C11B10"/>
    <w:rsid w:val="00C13548"/>
    <w:rsid w:val="00C152AB"/>
    <w:rsid w:val="00C15E31"/>
    <w:rsid w:val="00C170BB"/>
    <w:rsid w:val="00C2116D"/>
    <w:rsid w:val="00C2141D"/>
    <w:rsid w:val="00C21AEB"/>
    <w:rsid w:val="00C21B93"/>
    <w:rsid w:val="00C22420"/>
    <w:rsid w:val="00C2336E"/>
    <w:rsid w:val="00C23390"/>
    <w:rsid w:val="00C24276"/>
    <w:rsid w:val="00C26237"/>
    <w:rsid w:val="00C314AB"/>
    <w:rsid w:val="00C315CE"/>
    <w:rsid w:val="00C324FF"/>
    <w:rsid w:val="00C33B35"/>
    <w:rsid w:val="00C33B75"/>
    <w:rsid w:val="00C33FE7"/>
    <w:rsid w:val="00C34672"/>
    <w:rsid w:val="00C41067"/>
    <w:rsid w:val="00C41C2C"/>
    <w:rsid w:val="00C424B0"/>
    <w:rsid w:val="00C436AD"/>
    <w:rsid w:val="00C454FF"/>
    <w:rsid w:val="00C4567C"/>
    <w:rsid w:val="00C4593E"/>
    <w:rsid w:val="00C4791F"/>
    <w:rsid w:val="00C52DBD"/>
    <w:rsid w:val="00C53FF3"/>
    <w:rsid w:val="00C554B3"/>
    <w:rsid w:val="00C61699"/>
    <w:rsid w:val="00C62F2E"/>
    <w:rsid w:val="00C634F1"/>
    <w:rsid w:val="00C64F27"/>
    <w:rsid w:val="00C65B9A"/>
    <w:rsid w:val="00C66653"/>
    <w:rsid w:val="00C67037"/>
    <w:rsid w:val="00C67CBF"/>
    <w:rsid w:val="00C708F3"/>
    <w:rsid w:val="00C73399"/>
    <w:rsid w:val="00C73A1F"/>
    <w:rsid w:val="00C74534"/>
    <w:rsid w:val="00C74F5C"/>
    <w:rsid w:val="00C75564"/>
    <w:rsid w:val="00C7767F"/>
    <w:rsid w:val="00C81D2C"/>
    <w:rsid w:val="00C82923"/>
    <w:rsid w:val="00C83639"/>
    <w:rsid w:val="00C85257"/>
    <w:rsid w:val="00C86050"/>
    <w:rsid w:val="00C8641F"/>
    <w:rsid w:val="00C86BC8"/>
    <w:rsid w:val="00C87264"/>
    <w:rsid w:val="00C944CD"/>
    <w:rsid w:val="00C94AAF"/>
    <w:rsid w:val="00C953A5"/>
    <w:rsid w:val="00C95D7F"/>
    <w:rsid w:val="00C96BDD"/>
    <w:rsid w:val="00C97CEF"/>
    <w:rsid w:val="00CA139A"/>
    <w:rsid w:val="00CA14E2"/>
    <w:rsid w:val="00CA1ECF"/>
    <w:rsid w:val="00CA3C43"/>
    <w:rsid w:val="00CA6B2B"/>
    <w:rsid w:val="00CA735A"/>
    <w:rsid w:val="00CB0A9E"/>
    <w:rsid w:val="00CB140D"/>
    <w:rsid w:val="00CB218C"/>
    <w:rsid w:val="00CB2DE6"/>
    <w:rsid w:val="00CB2F14"/>
    <w:rsid w:val="00CB30B2"/>
    <w:rsid w:val="00CB3C5A"/>
    <w:rsid w:val="00CB3D8B"/>
    <w:rsid w:val="00CB44E3"/>
    <w:rsid w:val="00CB6FCA"/>
    <w:rsid w:val="00CB72CF"/>
    <w:rsid w:val="00CB77C0"/>
    <w:rsid w:val="00CC16BD"/>
    <w:rsid w:val="00CC20D6"/>
    <w:rsid w:val="00CC21B0"/>
    <w:rsid w:val="00CC3518"/>
    <w:rsid w:val="00CD09A3"/>
    <w:rsid w:val="00CD1168"/>
    <w:rsid w:val="00CD2E22"/>
    <w:rsid w:val="00CD354D"/>
    <w:rsid w:val="00CD390A"/>
    <w:rsid w:val="00CD42D3"/>
    <w:rsid w:val="00CD458C"/>
    <w:rsid w:val="00CD54DD"/>
    <w:rsid w:val="00CD5CAB"/>
    <w:rsid w:val="00CD6251"/>
    <w:rsid w:val="00CD6B0A"/>
    <w:rsid w:val="00CD76D8"/>
    <w:rsid w:val="00CD7A1A"/>
    <w:rsid w:val="00CE215C"/>
    <w:rsid w:val="00CE21AA"/>
    <w:rsid w:val="00CE3C4D"/>
    <w:rsid w:val="00CE7D29"/>
    <w:rsid w:val="00CF0BE8"/>
    <w:rsid w:val="00CF3503"/>
    <w:rsid w:val="00CF5BD1"/>
    <w:rsid w:val="00CF7D4C"/>
    <w:rsid w:val="00CF7FA5"/>
    <w:rsid w:val="00CF7FB9"/>
    <w:rsid w:val="00D0199A"/>
    <w:rsid w:val="00D02F84"/>
    <w:rsid w:val="00D03959"/>
    <w:rsid w:val="00D056F3"/>
    <w:rsid w:val="00D06479"/>
    <w:rsid w:val="00D06D4F"/>
    <w:rsid w:val="00D07BCB"/>
    <w:rsid w:val="00D141E3"/>
    <w:rsid w:val="00D17966"/>
    <w:rsid w:val="00D17B52"/>
    <w:rsid w:val="00D22960"/>
    <w:rsid w:val="00D22FF9"/>
    <w:rsid w:val="00D23A43"/>
    <w:rsid w:val="00D2465B"/>
    <w:rsid w:val="00D24C83"/>
    <w:rsid w:val="00D259DD"/>
    <w:rsid w:val="00D26106"/>
    <w:rsid w:val="00D268B2"/>
    <w:rsid w:val="00D30266"/>
    <w:rsid w:val="00D32B56"/>
    <w:rsid w:val="00D32C3D"/>
    <w:rsid w:val="00D33013"/>
    <w:rsid w:val="00D3336B"/>
    <w:rsid w:val="00D362B3"/>
    <w:rsid w:val="00D4027F"/>
    <w:rsid w:val="00D431C2"/>
    <w:rsid w:val="00D43B83"/>
    <w:rsid w:val="00D44167"/>
    <w:rsid w:val="00D452DE"/>
    <w:rsid w:val="00D45E89"/>
    <w:rsid w:val="00D472D8"/>
    <w:rsid w:val="00D5175A"/>
    <w:rsid w:val="00D54459"/>
    <w:rsid w:val="00D54DAF"/>
    <w:rsid w:val="00D57D7A"/>
    <w:rsid w:val="00D61B0E"/>
    <w:rsid w:val="00D61DE6"/>
    <w:rsid w:val="00D66C3B"/>
    <w:rsid w:val="00D6746A"/>
    <w:rsid w:val="00D73963"/>
    <w:rsid w:val="00D7755A"/>
    <w:rsid w:val="00D80B31"/>
    <w:rsid w:val="00D818A9"/>
    <w:rsid w:val="00D83445"/>
    <w:rsid w:val="00D8492D"/>
    <w:rsid w:val="00D84E53"/>
    <w:rsid w:val="00D87C37"/>
    <w:rsid w:val="00D903C5"/>
    <w:rsid w:val="00D92583"/>
    <w:rsid w:val="00D96B9A"/>
    <w:rsid w:val="00D9717F"/>
    <w:rsid w:val="00DA0109"/>
    <w:rsid w:val="00DA03CE"/>
    <w:rsid w:val="00DA12A9"/>
    <w:rsid w:val="00DA16B9"/>
    <w:rsid w:val="00DA2F18"/>
    <w:rsid w:val="00DA301E"/>
    <w:rsid w:val="00DA41B1"/>
    <w:rsid w:val="00DA4A6A"/>
    <w:rsid w:val="00DA4B2D"/>
    <w:rsid w:val="00DA4F28"/>
    <w:rsid w:val="00DA5E3F"/>
    <w:rsid w:val="00DA6225"/>
    <w:rsid w:val="00DA7551"/>
    <w:rsid w:val="00DB13B6"/>
    <w:rsid w:val="00DB17F8"/>
    <w:rsid w:val="00DB1BDC"/>
    <w:rsid w:val="00DB1DBF"/>
    <w:rsid w:val="00DB2EF4"/>
    <w:rsid w:val="00DB53A4"/>
    <w:rsid w:val="00DB53FE"/>
    <w:rsid w:val="00DB6CB9"/>
    <w:rsid w:val="00DC1D02"/>
    <w:rsid w:val="00DC2139"/>
    <w:rsid w:val="00DC21D2"/>
    <w:rsid w:val="00DC2FB0"/>
    <w:rsid w:val="00DC33AD"/>
    <w:rsid w:val="00DC3790"/>
    <w:rsid w:val="00DC47D8"/>
    <w:rsid w:val="00DC681C"/>
    <w:rsid w:val="00DD0097"/>
    <w:rsid w:val="00DD2639"/>
    <w:rsid w:val="00DD65D8"/>
    <w:rsid w:val="00DD6BB6"/>
    <w:rsid w:val="00DE0550"/>
    <w:rsid w:val="00DE3D32"/>
    <w:rsid w:val="00DE652D"/>
    <w:rsid w:val="00DF06B3"/>
    <w:rsid w:val="00DF0CE3"/>
    <w:rsid w:val="00DF133F"/>
    <w:rsid w:val="00DF21A8"/>
    <w:rsid w:val="00DF5AD6"/>
    <w:rsid w:val="00DF5C71"/>
    <w:rsid w:val="00DF7D7B"/>
    <w:rsid w:val="00E0016D"/>
    <w:rsid w:val="00E00C08"/>
    <w:rsid w:val="00E02D89"/>
    <w:rsid w:val="00E02F35"/>
    <w:rsid w:val="00E02FEA"/>
    <w:rsid w:val="00E03651"/>
    <w:rsid w:val="00E03D22"/>
    <w:rsid w:val="00E04ADE"/>
    <w:rsid w:val="00E07D88"/>
    <w:rsid w:val="00E10160"/>
    <w:rsid w:val="00E11AB4"/>
    <w:rsid w:val="00E11B39"/>
    <w:rsid w:val="00E121DF"/>
    <w:rsid w:val="00E1232B"/>
    <w:rsid w:val="00E12DB8"/>
    <w:rsid w:val="00E1306D"/>
    <w:rsid w:val="00E179DD"/>
    <w:rsid w:val="00E210F6"/>
    <w:rsid w:val="00E21BCA"/>
    <w:rsid w:val="00E2294F"/>
    <w:rsid w:val="00E273DC"/>
    <w:rsid w:val="00E27601"/>
    <w:rsid w:val="00E31888"/>
    <w:rsid w:val="00E31F0B"/>
    <w:rsid w:val="00E323A0"/>
    <w:rsid w:val="00E344B3"/>
    <w:rsid w:val="00E35975"/>
    <w:rsid w:val="00E35B9F"/>
    <w:rsid w:val="00E35E51"/>
    <w:rsid w:val="00E36392"/>
    <w:rsid w:val="00E411B1"/>
    <w:rsid w:val="00E420B6"/>
    <w:rsid w:val="00E42A21"/>
    <w:rsid w:val="00E44585"/>
    <w:rsid w:val="00E45712"/>
    <w:rsid w:val="00E45AE9"/>
    <w:rsid w:val="00E46C5F"/>
    <w:rsid w:val="00E46E41"/>
    <w:rsid w:val="00E47A78"/>
    <w:rsid w:val="00E50146"/>
    <w:rsid w:val="00E50278"/>
    <w:rsid w:val="00E51D05"/>
    <w:rsid w:val="00E52B70"/>
    <w:rsid w:val="00E532E3"/>
    <w:rsid w:val="00E53955"/>
    <w:rsid w:val="00E554A8"/>
    <w:rsid w:val="00E554D5"/>
    <w:rsid w:val="00E55C35"/>
    <w:rsid w:val="00E6093B"/>
    <w:rsid w:val="00E61304"/>
    <w:rsid w:val="00E61C17"/>
    <w:rsid w:val="00E61FEC"/>
    <w:rsid w:val="00E62715"/>
    <w:rsid w:val="00E62BFE"/>
    <w:rsid w:val="00E630EB"/>
    <w:rsid w:val="00E63F6F"/>
    <w:rsid w:val="00E6563C"/>
    <w:rsid w:val="00E66D46"/>
    <w:rsid w:val="00E672E0"/>
    <w:rsid w:val="00E703EA"/>
    <w:rsid w:val="00E70A8C"/>
    <w:rsid w:val="00E72BA9"/>
    <w:rsid w:val="00E73AB8"/>
    <w:rsid w:val="00E74FF1"/>
    <w:rsid w:val="00E75EF5"/>
    <w:rsid w:val="00E76903"/>
    <w:rsid w:val="00E80F6E"/>
    <w:rsid w:val="00E815E8"/>
    <w:rsid w:val="00E833CD"/>
    <w:rsid w:val="00E834D6"/>
    <w:rsid w:val="00E845C3"/>
    <w:rsid w:val="00E84A4D"/>
    <w:rsid w:val="00E85653"/>
    <w:rsid w:val="00E857DC"/>
    <w:rsid w:val="00E90015"/>
    <w:rsid w:val="00E91364"/>
    <w:rsid w:val="00E915F0"/>
    <w:rsid w:val="00E9387A"/>
    <w:rsid w:val="00E95AA9"/>
    <w:rsid w:val="00E95AAB"/>
    <w:rsid w:val="00E97BF2"/>
    <w:rsid w:val="00EA044B"/>
    <w:rsid w:val="00EA262C"/>
    <w:rsid w:val="00EA5502"/>
    <w:rsid w:val="00EA5F56"/>
    <w:rsid w:val="00EA61D3"/>
    <w:rsid w:val="00EA7217"/>
    <w:rsid w:val="00EA7BDE"/>
    <w:rsid w:val="00EB1C91"/>
    <w:rsid w:val="00EB3868"/>
    <w:rsid w:val="00EB44BF"/>
    <w:rsid w:val="00EB4A49"/>
    <w:rsid w:val="00EB63FE"/>
    <w:rsid w:val="00EB64A9"/>
    <w:rsid w:val="00EB671D"/>
    <w:rsid w:val="00EB79F5"/>
    <w:rsid w:val="00EC00A4"/>
    <w:rsid w:val="00EC0978"/>
    <w:rsid w:val="00EC0AEB"/>
    <w:rsid w:val="00EC17AA"/>
    <w:rsid w:val="00EC2467"/>
    <w:rsid w:val="00EC2B71"/>
    <w:rsid w:val="00ED18F1"/>
    <w:rsid w:val="00ED1993"/>
    <w:rsid w:val="00ED316B"/>
    <w:rsid w:val="00ED4F88"/>
    <w:rsid w:val="00ED50E0"/>
    <w:rsid w:val="00ED5BB7"/>
    <w:rsid w:val="00ED5D3A"/>
    <w:rsid w:val="00EE31BC"/>
    <w:rsid w:val="00EE67BA"/>
    <w:rsid w:val="00EE6CEC"/>
    <w:rsid w:val="00EE7957"/>
    <w:rsid w:val="00EF00AE"/>
    <w:rsid w:val="00EF0338"/>
    <w:rsid w:val="00EF15D2"/>
    <w:rsid w:val="00EF1956"/>
    <w:rsid w:val="00EF1E59"/>
    <w:rsid w:val="00EF3557"/>
    <w:rsid w:val="00EF36C9"/>
    <w:rsid w:val="00EF3F2E"/>
    <w:rsid w:val="00EF7191"/>
    <w:rsid w:val="00EF7547"/>
    <w:rsid w:val="00EF78E7"/>
    <w:rsid w:val="00F00E96"/>
    <w:rsid w:val="00F0179D"/>
    <w:rsid w:val="00F0364A"/>
    <w:rsid w:val="00F04A0F"/>
    <w:rsid w:val="00F053EC"/>
    <w:rsid w:val="00F061A1"/>
    <w:rsid w:val="00F10452"/>
    <w:rsid w:val="00F10D0B"/>
    <w:rsid w:val="00F10DFF"/>
    <w:rsid w:val="00F10F44"/>
    <w:rsid w:val="00F11CDD"/>
    <w:rsid w:val="00F124E1"/>
    <w:rsid w:val="00F125D0"/>
    <w:rsid w:val="00F13914"/>
    <w:rsid w:val="00F13ECB"/>
    <w:rsid w:val="00F1429D"/>
    <w:rsid w:val="00F16E1D"/>
    <w:rsid w:val="00F20101"/>
    <w:rsid w:val="00F20AE8"/>
    <w:rsid w:val="00F20EAE"/>
    <w:rsid w:val="00F215DE"/>
    <w:rsid w:val="00F21655"/>
    <w:rsid w:val="00F2167C"/>
    <w:rsid w:val="00F220FC"/>
    <w:rsid w:val="00F22AD4"/>
    <w:rsid w:val="00F23AA7"/>
    <w:rsid w:val="00F23CF7"/>
    <w:rsid w:val="00F24B06"/>
    <w:rsid w:val="00F25347"/>
    <w:rsid w:val="00F25A95"/>
    <w:rsid w:val="00F25D0B"/>
    <w:rsid w:val="00F26F2A"/>
    <w:rsid w:val="00F329E8"/>
    <w:rsid w:val="00F3340E"/>
    <w:rsid w:val="00F34A4F"/>
    <w:rsid w:val="00F35411"/>
    <w:rsid w:val="00F35480"/>
    <w:rsid w:val="00F35E37"/>
    <w:rsid w:val="00F37A17"/>
    <w:rsid w:val="00F37E83"/>
    <w:rsid w:val="00F42D33"/>
    <w:rsid w:val="00F44B48"/>
    <w:rsid w:val="00F44DC2"/>
    <w:rsid w:val="00F46674"/>
    <w:rsid w:val="00F515AE"/>
    <w:rsid w:val="00F52640"/>
    <w:rsid w:val="00F55317"/>
    <w:rsid w:val="00F55B7A"/>
    <w:rsid w:val="00F560A9"/>
    <w:rsid w:val="00F560D8"/>
    <w:rsid w:val="00F61F88"/>
    <w:rsid w:val="00F643BC"/>
    <w:rsid w:val="00F65C5C"/>
    <w:rsid w:val="00F66BE4"/>
    <w:rsid w:val="00F66E16"/>
    <w:rsid w:val="00F72814"/>
    <w:rsid w:val="00F7353A"/>
    <w:rsid w:val="00F7696E"/>
    <w:rsid w:val="00F775FB"/>
    <w:rsid w:val="00F81C66"/>
    <w:rsid w:val="00F82F3B"/>
    <w:rsid w:val="00F83581"/>
    <w:rsid w:val="00F842D7"/>
    <w:rsid w:val="00F85038"/>
    <w:rsid w:val="00F85526"/>
    <w:rsid w:val="00F85C38"/>
    <w:rsid w:val="00F86D2B"/>
    <w:rsid w:val="00F90128"/>
    <w:rsid w:val="00F90260"/>
    <w:rsid w:val="00F90896"/>
    <w:rsid w:val="00F90F6B"/>
    <w:rsid w:val="00F91371"/>
    <w:rsid w:val="00F920AE"/>
    <w:rsid w:val="00F92C5E"/>
    <w:rsid w:val="00F947AC"/>
    <w:rsid w:val="00F95CB1"/>
    <w:rsid w:val="00F95D8D"/>
    <w:rsid w:val="00F967DF"/>
    <w:rsid w:val="00F96A3D"/>
    <w:rsid w:val="00F96F53"/>
    <w:rsid w:val="00F97A78"/>
    <w:rsid w:val="00FA158D"/>
    <w:rsid w:val="00FA15AE"/>
    <w:rsid w:val="00FA21AF"/>
    <w:rsid w:val="00FA2C0A"/>
    <w:rsid w:val="00FA69FD"/>
    <w:rsid w:val="00FB0499"/>
    <w:rsid w:val="00FB0B33"/>
    <w:rsid w:val="00FB26D9"/>
    <w:rsid w:val="00FB2D9F"/>
    <w:rsid w:val="00FB35A9"/>
    <w:rsid w:val="00FB3AF3"/>
    <w:rsid w:val="00FB507E"/>
    <w:rsid w:val="00FB5EEF"/>
    <w:rsid w:val="00FB6565"/>
    <w:rsid w:val="00FB7C4B"/>
    <w:rsid w:val="00FC11C1"/>
    <w:rsid w:val="00FC4728"/>
    <w:rsid w:val="00FC7181"/>
    <w:rsid w:val="00FC7C04"/>
    <w:rsid w:val="00FC7E8D"/>
    <w:rsid w:val="00FD3FE9"/>
    <w:rsid w:val="00FD441B"/>
    <w:rsid w:val="00FD4D4F"/>
    <w:rsid w:val="00FD596F"/>
    <w:rsid w:val="00FD6054"/>
    <w:rsid w:val="00FD63C8"/>
    <w:rsid w:val="00FD6511"/>
    <w:rsid w:val="00FE1473"/>
    <w:rsid w:val="00FE23D2"/>
    <w:rsid w:val="00FE31AA"/>
    <w:rsid w:val="00FE3217"/>
    <w:rsid w:val="00FE3B04"/>
    <w:rsid w:val="00FE42E1"/>
    <w:rsid w:val="00FE5320"/>
    <w:rsid w:val="00FE7162"/>
    <w:rsid w:val="00FF2170"/>
    <w:rsid w:val="00FF26BD"/>
    <w:rsid w:val="00FF3B35"/>
    <w:rsid w:val="00FF6A34"/>
    <w:rsid w:val="00FF6AC9"/>
    <w:rsid w:val="00FF7117"/>
    <w:rsid w:val="00FF7303"/>
    <w:rsid w:val="013FCFB6"/>
    <w:rsid w:val="0170C057"/>
    <w:rsid w:val="017E8C84"/>
    <w:rsid w:val="01A31BF6"/>
    <w:rsid w:val="01C4483C"/>
    <w:rsid w:val="023E72DD"/>
    <w:rsid w:val="029DD2B0"/>
    <w:rsid w:val="02EC6264"/>
    <w:rsid w:val="03092E6D"/>
    <w:rsid w:val="038A1AEE"/>
    <w:rsid w:val="045100D7"/>
    <w:rsid w:val="05D41CB2"/>
    <w:rsid w:val="061EFE45"/>
    <w:rsid w:val="0664C8DF"/>
    <w:rsid w:val="06CAACA0"/>
    <w:rsid w:val="06CEB1BF"/>
    <w:rsid w:val="07778CDB"/>
    <w:rsid w:val="0778BDEB"/>
    <w:rsid w:val="0794B323"/>
    <w:rsid w:val="07B8280E"/>
    <w:rsid w:val="081CD563"/>
    <w:rsid w:val="091AB67A"/>
    <w:rsid w:val="0944B45D"/>
    <w:rsid w:val="09EA5F29"/>
    <w:rsid w:val="09FDDA0E"/>
    <w:rsid w:val="0A35B520"/>
    <w:rsid w:val="0B12155C"/>
    <w:rsid w:val="0BEF6915"/>
    <w:rsid w:val="0C5588FF"/>
    <w:rsid w:val="0C9C489C"/>
    <w:rsid w:val="0CD0676A"/>
    <w:rsid w:val="0CDE3617"/>
    <w:rsid w:val="0D2EE43D"/>
    <w:rsid w:val="0D9DC20C"/>
    <w:rsid w:val="0DFB8102"/>
    <w:rsid w:val="0E5D6C6A"/>
    <w:rsid w:val="0E6F16E4"/>
    <w:rsid w:val="0E91F676"/>
    <w:rsid w:val="0EB79698"/>
    <w:rsid w:val="0F090BE8"/>
    <w:rsid w:val="0F35DD49"/>
    <w:rsid w:val="0F6E2C32"/>
    <w:rsid w:val="0F9A41F3"/>
    <w:rsid w:val="0FF9BACB"/>
    <w:rsid w:val="105427D8"/>
    <w:rsid w:val="105D524D"/>
    <w:rsid w:val="106E40F1"/>
    <w:rsid w:val="1273F94B"/>
    <w:rsid w:val="1314B946"/>
    <w:rsid w:val="1379433B"/>
    <w:rsid w:val="1396E296"/>
    <w:rsid w:val="146CDF3E"/>
    <w:rsid w:val="146EF624"/>
    <w:rsid w:val="15842237"/>
    <w:rsid w:val="158FD39E"/>
    <w:rsid w:val="15D5C6E1"/>
    <w:rsid w:val="15EC5266"/>
    <w:rsid w:val="162D339D"/>
    <w:rsid w:val="16333B88"/>
    <w:rsid w:val="167CB94B"/>
    <w:rsid w:val="16817FA7"/>
    <w:rsid w:val="16C88EAD"/>
    <w:rsid w:val="16FBF3B6"/>
    <w:rsid w:val="1725CC08"/>
    <w:rsid w:val="18CBB671"/>
    <w:rsid w:val="192020D3"/>
    <w:rsid w:val="1988FF72"/>
    <w:rsid w:val="198D072C"/>
    <w:rsid w:val="1A382494"/>
    <w:rsid w:val="1A5E6320"/>
    <w:rsid w:val="1A7A3CCD"/>
    <w:rsid w:val="1B6A173E"/>
    <w:rsid w:val="1B75446D"/>
    <w:rsid w:val="1B955587"/>
    <w:rsid w:val="1C1F3A18"/>
    <w:rsid w:val="1C71C13E"/>
    <w:rsid w:val="1CD07DD6"/>
    <w:rsid w:val="1D23A443"/>
    <w:rsid w:val="1DE15198"/>
    <w:rsid w:val="1E183F89"/>
    <w:rsid w:val="1E18ADC6"/>
    <w:rsid w:val="1E658462"/>
    <w:rsid w:val="1E9B70DE"/>
    <w:rsid w:val="1F9C7581"/>
    <w:rsid w:val="2035CB42"/>
    <w:rsid w:val="206705F4"/>
    <w:rsid w:val="21479051"/>
    <w:rsid w:val="2210C4CF"/>
    <w:rsid w:val="23DAF934"/>
    <w:rsid w:val="2407BBC1"/>
    <w:rsid w:val="2415866D"/>
    <w:rsid w:val="24AC1B7A"/>
    <w:rsid w:val="25C24CD2"/>
    <w:rsid w:val="25ECEADF"/>
    <w:rsid w:val="2673F98A"/>
    <w:rsid w:val="267466CB"/>
    <w:rsid w:val="26894968"/>
    <w:rsid w:val="26D4E0A8"/>
    <w:rsid w:val="274C0677"/>
    <w:rsid w:val="2798B25C"/>
    <w:rsid w:val="27CEF574"/>
    <w:rsid w:val="2829CBC0"/>
    <w:rsid w:val="28B2D625"/>
    <w:rsid w:val="28C82B74"/>
    <w:rsid w:val="28E41099"/>
    <w:rsid w:val="29E5BB4A"/>
    <w:rsid w:val="2A0707F1"/>
    <w:rsid w:val="2A5DAC1F"/>
    <w:rsid w:val="2A78EA85"/>
    <w:rsid w:val="2A7A0687"/>
    <w:rsid w:val="2A7A4F8E"/>
    <w:rsid w:val="2A8CC87E"/>
    <w:rsid w:val="2AAB3ECA"/>
    <w:rsid w:val="2AE9E023"/>
    <w:rsid w:val="2BC9A09D"/>
    <w:rsid w:val="2BDF6896"/>
    <w:rsid w:val="2C538143"/>
    <w:rsid w:val="2C7ACCA2"/>
    <w:rsid w:val="2C80584A"/>
    <w:rsid w:val="2D33DD10"/>
    <w:rsid w:val="2D6C36E5"/>
    <w:rsid w:val="2E114FE2"/>
    <w:rsid w:val="2E6928A1"/>
    <w:rsid w:val="2E6E9E32"/>
    <w:rsid w:val="2EEED1A0"/>
    <w:rsid w:val="2F47CA0E"/>
    <w:rsid w:val="2F481387"/>
    <w:rsid w:val="2F598105"/>
    <w:rsid w:val="2F9DDD69"/>
    <w:rsid w:val="30703007"/>
    <w:rsid w:val="309EE6BD"/>
    <w:rsid w:val="30D2BE5B"/>
    <w:rsid w:val="30DACFAE"/>
    <w:rsid w:val="3128410C"/>
    <w:rsid w:val="314FF27E"/>
    <w:rsid w:val="31D1C7A9"/>
    <w:rsid w:val="31F163EA"/>
    <w:rsid w:val="324FF67C"/>
    <w:rsid w:val="3328C0DC"/>
    <w:rsid w:val="3340129D"/>
    <w:rsid w:val="3346BC2D"/>
    <w:rsid w:val="3363634D"/>
    <w:rsid w:val="336808F2"/>
    <w:rsid w:val="34160655"/>
    <w:rsid w:val="349AA831"/>
    <w:rsid w:val="34C67D2A"/>
    <w:rsid w:val="354F2422"/>
    <w:rsid w:val="35E65CD7"/>
    <w:rsid w:val="3635DB39"/>
    <w:rsid w:val="3736655B"/>
    <w:rsid w:val="37E61136"/>
    <w:rsid w:val="3807C222"/>
    <w:rsid w:val="3831596C"/>
    <w:rsid w:val="3842A9E7"/>
    <w:rsid w:val="38C907E8"/>
    <w:rsid w:val="38D704AA"/>
    <w:rsid w:val="390F0A72"/>
    <w:rsid w:val="3A31086B"/>
    <w:rsid w:val="3A32A099"/>
    <w:rsid w:val="3A601016"/>
    <w:rsid w:val="3AF166DF"/>
    <w:rsid w:val="3BC981CE"/>
    <w:rsid w:val="3C77E8A8"/>
    <w:rsid w:val="3C7870E5"/>
    <w:rsid w:val="3C79E995"/>
    <w:rsid w:val="3CA7F574"/>
    <w:rsid w:val="3CBB6418"/>
    <w:rsid w:val="3CC27A8D"/>
    <w:rsid w:val="3D028D1C"/>
    <w:rsid w:val="3D440F06"/>
    <w:rsid w:val="3D5294F7"/>
    <w:rsid w:val="3D9B308A"/>
    <w:rsid w:val="3DA84BA3"/>
    <w:rsid w:val="3DCBD523"/>
    <w:rsid w:val="3E32360C"/>
    <w:rsid w:val="3F0F6A22"/>
    <w:rsid w:val="3F634217"/>
    <w:rsid w:val="3F7416C0"/>
    <w:rsid w:val="3FAB7940"/>
    <w:rsid w:val="4027F57B"/>
    <w:rsid w:val="40464151"/>
    <w:rsid w:val="413A14A1"/>
    <w:rsid w:val="4152C8D3"/>
    <w:rsid w:val="41A56D01"/>
    <w:rsid w:val="41B4862F"/>
    <w:rsid w:val="4202D9FE"/>
    <w:rsid w:val="42075601"/>
    <w:rsid w:val="42195850"/>
    <w:rsid w:val="423965FA"/>
    <w:rsid w:val="429A094B"/>
    <w:rsid w:val="43AC08E7"/>
    <w:rsid w:val="44230373"/>
    <w:rsid w:val="44CC0755"/>
    <w:rsid w:val="457AD55E"/>
    <w:rsid w:val="45CB42D3"/>
    <w:rsid w:val="45EC8255"/>
    <w:rsid w:val="4600CB85"/>
    <w:rsid w:val="46524773"/>
    <w:rsid w:val="465AC58B"/>
    <w:rsid w:val="46A8A6D3"/>
    <w:rsid w:val="46D55E02"/>
    <w:rsid w:val="46DF9006"/>
    <w:rsid w:val="478EC9C4"/>
    <w:rsid w:val="4800747D"/>
    <w:rsid w:val="481C068E"/>
    <w:rsid w:val="48322791"/>
    <w:rsid w:val="488443A6"/>
    <w:rsid w:val="499B0688"/>
    <w:rsid w:val="4A2288FA"/>
    <w:rsid w:val="4A4585F5"/>
    <w:rsid w:val="4A474AC3"/>
    <w:rsid w:val="4AE219F0"/>
    <w:rsid w:val="4B20AF9A"/>
    <w:rsid w:val="4B5D3539"/>
    <w:rsid w:val="4B9D46BE"/>
    <w:rsid w:val="4B9F3047"/>
    <w:rsid w:val="4C4A9BEA"/>
    <w:rsid w:val="4CE3782A"/>
    <w:rsid w:val="4D298440"/>
    <w:rsid w:val="4D46E1DB"/>
    <w:rsid w:val="4D7C6706"/>
    <w:rsid w:val="4D93FA5F"/>
    <w:rsid w:val="4DE08D6A"/>
    <w:rsid w:val="4E186B01"/>
    <w:rsid w:val="4E63EF05"/>
    <w:rsid w:val="4EC192B6"/>
    <w:rsid w:val="4EEC737E"/>
    <w:rsid w:val="4F3188C8"/>
    <w:rsid w:val="4F3E139A"/>
    <w:rsid w:val="4F414BA7"/>
    <w:rsid w:val="4F56F413"/>
    <w:rsid w:val="4F696161"/>
    <w:rsid w:val="4FFD5275"/>
    <w:rsid w:val="509E1228"/>
    <w:rsid w:val="50B44664"/>
    <w:rsid w:val="51665EC9"/>
    <w:rsid w:val="519FAB8A"/>
    <w:rsid w:val="51B1C8F5"/>
    <w:rsid w:val="520BD27F"/>
    <w:rsid w:val="522BC256"/>
    <w:rsid w:val="52376C54"/>
    <w:rsid w:val="52521B09"/>
    <w:rsid w:val="52669A43"/>
    <w:rsid w:val="53229996"/>
    <w:rsid w:val="53C48A0B"/>
    <w:rsid w:val="53E7A7BD"/>
    <w:rsid w:val="5472ED71"/>
    <w:rsid w:val="55094B1C"/>
    <w:rsid w:val="557B2171"/>
    <w:rsid w:val="55F0B550"/>
    <w:rsid w:val="563FBB60"/>
    <w:rsid w:val="5694B193"/>
    <w:rsid w:val="56B5E75B"/>
    <w:rsid w:val="56F5E56E"/>
    <w:rsid w:val="570C9487"/>
    <w:rsid w:val="5770E9BA"/>
    <w:rsid w:val="578488FD"/>
    <w:rsid w:val="5794EC38"/>
    <w:rsid w:val="579B60B0"/>
    <w:rsid w:val="57A872FE"/>
    <w:rsid w:val="57A92FA2"/>
    <w:rsid w:val="57E396AE"/>
    <w:rsid w:val="586BFF5E"/>
    <w:rsid w:val="5940A9B0"/>
    <w:rsid w:val="5971B0AA"/>
    <w:rsid w:val="59F8D2E6"/>
    <w:rsid w:val="5A20D253"/>
    <w:rsid w:val="5AA1B42C"/>
    <w:rsid w:val="5B1A706F"/>
    <w:rsid w:val="5B7C7FB3"/>
    <w:rsid w:val="5D7AF778"/>
    <w:rsid w:val="5D9C8F0D"/>
    <w:rsid w:val="5D9CA9A2"/>
    <w:rsid w:val="5DA6EFA3"/>
    <w:rsid w:val="5E247D1F"/>
    <w:rsid w:val="5E85A82C"/>
    <w:rsid w:val="5EEEB0DD"/>
    <w:rsid w:val="5F3ECC68"/>
    <w:rsid w:val="603DD49B"/>
    <w:rsid w:val="60454228"/>
    <w:rsid w:val="60CB24C6"/>
    <w:rsid w:val="60DD5459"/>
    <w:rsid w:val="60E052F1"/>
    <w:rsid w:val="621DFD6A"/>
    <w:rsid w:val="627350B5"/>
    <w:rsid w:val="628FD68C"/>
    <w:rsid w:val="6329911F"/>
    <w:rsid w:val="6365CB56"/>
    <w:rsid w:val="63C708A9"/>
    <w:rsid w:val="6447C252"/>
    <w:rsid w:val="64765E99"/>
    <w:rsid w:val="649BAD9C"/>
    <w:rsid w:val="6516051D"/>
    <w:rsid w:val="65849F5E"/>
    <w:rsid w:val="658B17EE"/>
    <w:rsid w:val="65AFE54F"/>
    <w:rsid w:val="65B14D97"/>
    <w:rsid w:val="66452483"/>
    <w:rsid w:val="664C7F36"/>
    <w:rsid w:val="66A22803"/>
    <w:rsid w:val="66A6538B"/>
    <w:rsid w:val="67BE0222"/>
    <w:rsid w:val="682B1E52"/>
    <w:rsid w:val="6937F77B"/>
    <w:rsid w:val="693E293C"/>
    <w:rsid w:val="69485D7C"/>
    <w:rsid w:val="696EEF7F"/>
    <w:rsid w:val="69A1E07B"/>
    <w:rsid w:val="6A17D4C8"/>
    <w:rsid w:val="6A2CFD6D"/>
    <w:rsid w:val="6AFFA902"/>
    <w:rsid w:val="6B8267D9"/>
    <w:rsid w:val="6CA4541F"/>
    <w:rsid w:val="6CA79F28"/>
    <w:rsid w:val="6D8B5EEF"/>
    <w:rsid w:val="6DC54895"/>
    <w:rsid w:val="6DF39696"/>
    <w:rsid w:val="6E28BA75"/>
    <w:rsid w:val="6E28E9A4"/>
    <w:rsid w:val="6E6490E5"/>
    <w:rsid w:val="6EA28DB7"/>
    <w:rsid w:val="6ED94527"/>
    <w:rsid w:val="6F5B9CDE"/>
    <w:rsid w:val="6FCE3F2E"/>
    <w:rsid w:val="71ADE2AF"/>
    <w:rsid w:val="725A545B"/>
    <w:rsid w:val="7266D095"/>
    <w:rsid w:val="727766F9"/>
    <w:rsid w:val="73241326"/>
    <w:rsid w:val="737C2422"/>
    <w:rsid w:val="73BA5FD3"/>
    <w:rsid w:val="740DF217"/>
    <w:rsid w:val="7466CA97"/>
    <w:rsid w:val="75034763"/>
    <w:rsid w:val="7507FE6F"/>
    <w:rsid w:val="7509F6AC"/>
    <w:rsid w:val="750E9567"/>
    <w:rsid w:val="75536011"/>
    <w:rsid w:val="7562B63C"/>
    <w:rsid w:val="76C482D4"/>
    <w:rsid w:val="76F094C7"/>
    <w:rsid w:val="77359BBB"/>
    <w:rsid w:val="774ECE06"/>
    <w:rsid w:val="77B349E8"/>
    <w:rsid w:val="77B6858A"/>
    <w:rsid w:val="7821581B"/>
    <w:rsid w:val="78C33FD2"/>
    <w:rsid w:val="78E24D1A"/>
    <w:rsid w:val="791029FD"/>
    <w:rsid w:val="7AFC4377"/>
    <w:rsid w:val="7B08CDE6"/>
    <w:rsid w:val="7B43AC58"/>
    <w:rsid w:val="7B4B4B6B"/>
    <w:rsid w:val="7B9D87F7"/>
    <w:rsid w:val="7BDE1C4B"/>
    <w:rsid w:val="7C27B75A"/>
    <w:rsid w:val="7CD3F24F"/>
    <w:rsid w:val="7E0EEB82"/>
    <w:rsid w:val="7E5AC5E6"/>
    <w:rsid w:val="7E72E029"/>
    <w:rsid w:val="7ED916B7"/>
    <w:rsid w:val="7F3BB0A6"/>
    <w:rsid w:val="7F6D5EB8"/>
    <w:rsid w:val="7F872763"/>
    <w:rsid w:val="7FF28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462F12CA-8F47-43A6-B11E-4DA0ED1F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00"/>
    <w:rPr>
      <w:rFonts w:ascii="Tahoma" w:hAnsi="Tahoma"/>
    </w:rPr>
  </w:style>
  <w:style w:type="paragraph" w:styleId="Heading2">
    <w:name w:val="heading 2"/>
    <w:basedOn w:val="Normal"/>
    <w:next w:val="Normal"/>
    <w:link w:val="Heading2Char"/>
    <w:qFormat/>
    <w:rsid w:val="00724B4D"/>
    <w:pPr>
      <w:keepNext/>
      <w:spacing w:after="120"/>
      <w:outlineLvl w:val="1"/>
    </w:pPr>
    <w:rPr>
      <w:rFonts w:ascii="Arial" w:eastAsia="Times New Roman" w:hAnsi="Arial"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basedOn w:val="DefaultParagraphFont"/>
    <w:link w:val="Heading2"/>
    <w:rsid w:val="00724B4D"/>
    <w:rPr>
      <w:rFonts w:ascii="Arial" w:eastAsia="Times New Roman" w:hAnsi="Arial" w:cs="Times New Roman"/>
      <w:b/>
      <w:caps/>
      <w:szCs w:val="20"/>
    </w:rPr>
  </w:style>
  <w:style w:type="paragraph" w:styleId="NormalWeb">
    <w:name w:val="Normal (Web)"/>
    <w:basedOn w:val="Normal"/>
    <w:link w:val="NormalWebChar"/>
    <w:uiPriority w:val="99"/>
    <w:rsid w:val="00222787"/>
    <w:pPr>
      <w:spacing w:before="100" w:beforeAutospacing="1" w:after="100" w:afterAutospacing="1"/>
    </w:pPr>
    <w:rPr>
      <w:rFonts w:ascii="Arial" w:eastAsia="Times New Roman" w:hAnsi="Arial" w:cs="Times New Roman"/>
    </w:rPr>
  </w:style>
  <w:style w:type="character" w:customStyle="1" w:styleId="NormalWebChar">
    <w:name w:val="Normal (Web) Char"/>
    <w:link w:val="NormalWeb"/>
    <w:uiPriority w:val="99"/>
    <w:rsid w:val="00222787"/>
    <w:rPr>
      <w:rFonts w:ascii="Arial" w:eastAsia="Times New Roman" w:hAnsi="Arial" w:cs="Times New Roman"/>
    </w:rPr>
  </w:style>
  <w:style w:type="paragraph" w:styleId="BodyText">
    <w:name w:val="Body Text"/>
    <w:aliases w:val="bt"/>
    <w:basedOn w:val="Normal"/>
    <w:link w:val="BodyTextChar"/>
    <w:rsid w:val="009122C2"/>
    <w:pPr>
      <w:jc w:val="both"/>
    </w:pPr>
    <w:rPr>
      <w:rFonts w:ascii="Arial" w:eastAsia="Times New Roman" w:hAnsi="Arial" w:cs="Times New Roman"/>
      <w:i/>
      <w:szCs w:val="20"/>
    </w:rPr>
  </w:style>
  <w:style w:type="character" w:customStyle="1" w:styleId="BodyTextChar">
    <w:name w:val="Body Text Char"/>
    <w:aliases w:val="bt Char"/>
    <w:basedOn w:val="DefaultParagraphFont"/>
    <w:link w:val="BodyText"/>
    <w:rsid w:val="009122C2"/>
    <w:rPr>
      <w:rFonts w:ascii="Arial" w:eastAsia="Times New Roman" w:hAnsi="Arial" w:cs="Times New Roman"/>
      <w:i/>
      <w:szCs w:val="20"/>
    </w:rPr>
  </w:style>
  <w:style w:type="paragraph" w:customStyle="1" w:styleId="Heading">
    <w:name w:val="Heading"/>
    <w:basedOn w:val="Normal"/>
    <w:link w:val="HeadingChar"/>
    <w:qFormat/>
    <w:rsid w:val="00DC47D8"/>
    <w:rPr>
      <w:rFonts w:eastAsia="Calibri" w:cs="Tahoma"/>
      <w:b/>
      <w:bCs/>
      <w:color w:val="000000" w:themeColor="text1"/>
    </w:rPr>
  </w:style>
  <w:style w:type="character" w:customStyle="1" w:styleId="HeadingChar">
    <w:name w:val="Heading Char"/>
    <w:basedOn w:val="DefaultParagraphFont"/>
    <w:link w:val="Heading"/>
    <w:rsid w:val="00DC47D8"/>
    <w:rPr>
      <w:rFonts w:ascii="Tahoma" w:eastAsia="Calibri" w:hAnsi="Tahoma" w:cs="Tahoma"/>
      <w:b/>
      <w:bCs/>
      <w:color w:val="000000" w:themeColor="text1"/>
    </w:rPr>
  </w:style>
  <w:style w:type="character" w:customStyle="1" w:styleId="Style10pt">
    <w:name w:val="Style 10 pt"/>
    <w:uiPriority w:val="99"/>
    <w:rsid w:val="00693D73"/>
    <w:rPr>
      <w:rFonts w:ascii="Arial" w:hAnsi="Arial" w:cs="Times New Roman"/>
      <w:sz w:val="22"/>
    </w:rPr>
  </w:style>
  <w:style w:type="paragraph" w:styleId="DocumentMap">
    <w:name w:val="Document Map"/>
    <w:basedOn w:val="Normal"/>
    <w:link w:val="DocumentMapChar"/>
    <w:semiHidden/>
    <w:rsid w:val="00804B11"/>
    <w:pPr>
      <w:shd w:val="clear" w:color="auto" w:fill="000080"/>
      <w:spacing w:after="120"/>
    </w:pPr>
    <w:rPr>
      <w:rFonts w:eastAsia="Times New Roman" w:cs="Arial"/>
      <w:szCs w:val="20"/>
    </w:rPr>
  </w:style>
  <w:style w:type="character" w:customStyle="1" w:styleId="DocumentMapChar">
    <w:name w:val="Document Map Char"/>
    <w:basedOn w:val="DefaultParagraphFont"/>
    <w:link w:val="DocumentMap"/>
    <w:semiHidden/>
    <w:rsid w:val="00804B11"/>
    <w:rPr>
      <w:rFonts w:ascii="Tahoma" w:eastAsia="Times New Roman" w:hAnsi="Tahoma" w:cs="Arial"/>
      <w:szCs w:val="20"/>
      <w:shd w:val="clear" w:color="auto" w:fill="000080"/>
    </w:rPr>
  </w:style>
  <w:style w:type="table" w:styleId="PlainTable2">
    <w:name w:val="Plain Table 2"/>
    <w:basedOn w:val="TableNormal"/>
    <w:uiPriority w:val="42"/>
    <w:rsid w:val="0023322C"/>
    <w:rPr>
      <w:rFonts w:ascii="Arial" w:eastAsia="Times New Roman" w:hAnsi="Arial" w:cs="Arial"/>
      <w:sz w:val="20"/>
      <w:szCs w:val="20"/>
    </w:r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paragraph" w:styleId="NormalIndent">
    <w:name w:val="Normal Indent"/>
    <w:basedOn w:val="Normal"/>
    <w:uiPriority w:val="99"/>
    <w:unhideWhenUsed/>
    <w:rsid w:val="00CF3503"/>
    <w:pPr>
      <w:spacing w:after="120"/>
      <w:ind w:left="720"/>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151">
      <w:bodyDiv w:val="1"/>
      <w:marLeft w:val="0"/>
      <w:marRight w:val="0"/>
      <w:marTop w:val="0"/>
      <w:marBottom w:val="0"/>
      <w:divBdr>
        <w:top w:val="none" w:sz="0" w:space="0" w:color="auto"/>
        <w:left w:val="none" w:sz="0" w:space="0" w:color="auto"/>
        <w:bottom w:val="none" w:sz="0" w:space="0" w:color="auto"/>
        <w:right w:val="none" w:sz="0" w:space="0" w:color="auto"/>
      </w:divBdr>
      <w:divsChild>
        <w:div w:id="1303926400">
          <w:marLeft w:val="0"/>
          <w:marRight w:val="0"/>
          <w:marTop w:val="0"/>
          <w:marBottom w:val="0"/>
          <w:divBdr>
            <w:top w:val="none" w:sz="0" w:space="0" w:color="auto"/>
            <w:left w:val="none" w:sz="0" w:space="0" w:color="auto"/>
            <w:bottom w:val="none" w:sz="0" w:space="0" w:color="auto"/>
            <w:right w:val="none" w:sz="0" w:space="0" w:color="auto"/>
          </w:divBdr>
        </w:div>
        <w:div w:id="2098011685">
          <w:marLeft w:val="0"/>
          <w:marRight w:val="0"/>
          <w:marTop w:val="0"/>
          <w:marBottom w:val="0"/>
          <w:divBdr>
            <w:top w:val="none" w:sz="0" w:space="0" w:color="auto"/>
            <w:left w:val="none" w:sz="0" w:space="0" w:color="auto"/>
            <w:bottom w:val="none" w:sz="0" w:space="0" w:color="auto"/>
            <w:right w:val="none" w:sz="0" w:space="0" w:color="auto"/>
          </w:divBdr>
        </w:div>
      </w:divsChild>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1750191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2">
          <w:marLeft w:val="0"/>
          <w:marRight w:val="0"/>
          <w:marTop w:val="0"/>
          <w:marBottom w:val="0"/>
          <w:divBdr>
            <w:top w:val="none" w:sz="0" w:space="0" w:color="auto"/>
            <w:left w:val="none" w:sz="0" w:space="0" w:color="auto"/>
            <w:bottom w:val="none" w:sz="0" w:space="0" w:color="auto"/>
            <w:right w:val="none" w:sz="0" w:space="0" w:color="auto"/>
          </w:divBdr>
        </w:div>
        <w:div w:id="306013836">
          <w:marLeft w:val="0"/>
          <w:marRight w:val="0"/>
          <w:marTop w:val="0"/>
          <w:marBottom w:val="0"/>
          <w:divBdr>
            <w:top w:val="none" w:sz="0" w:space="0" w:color="auto"/>
            <w:left w:val="none" w:sz="0" w:space="0" w:color="auto"/>
            <w:bottom w:val="none" w:sz="0" w:space="0" w:color="auto"/>
            <w:right w:val="none" w:sz="0" w:space="0" w:color="auto"/>
          </w:divBdr>
        </w:div>
        <w:div w:id="579757417">
          <w:marLeft w:val="0"/>
          <w:marRight w:val="0"/>
          <w:marTop w:val="0"/>
          <w:marBottom w:val="0"/>
          <w:divBdr>
            <w:top w:val="none" w:sz="0" w:space="0" w:color="auto"/>
            <w:left w:val="none" w:sz="0" w:space="0" w:color="auto"/>
            <w:bottom w:val="none" w:sz="0" w:space="0" w:color="auto"/>
            <w:right w:val="none" w:sz="0" w:space="0" w:color="auto"/>
          </w:divBdr>
        </w:div>
        <w:div w:id="1019892610">
          <w:marLeft w:val="0"/>
          <w:marRight w:val="0"/>
          <w:marTop w:val="0"/>
          <w:marBottom w:val="0"/>
          <w:divBdr>
            <w:top w:val="none" w:sz="0" w:space="0" w:color="auto"/>
            <w:left w:val="none" w:sz="0" w:space="0" w:color="auto"/>
            <w:bottom w:val="none" w:sz="0" w:space="0" w:color="auto"/>
            <w:right w:val="none" w:sz="0" w:space="0" w:color="auto"/>
          </w:divBdr>
        </w:div>
        <w:div w:id="1165363451">
          <w:marLeft w:val="0"/>
          <w:marRight w:val="0"/>
          <w:marTop w:val="0"/>
          <w:marBottom w:val="0"/>
          <w:divBdr>
            <w:top w:val="none" w:sz="0" w:space="0" w:color="auto"/>
            <w:left w:val="none" w:sz="0" w:space="0" w:color="auto"/>
            <w:bottom w:val="none" w:sz="0" w:space="0" w:color="auto"/>
            <w:right w:val="none" w:sz="0" w:space="0" w:color="auto"/>
          </w:divBdr>
        </w:div>
        <w:div w:id="1263343574">
          <w:marLeft w:val="0"/>
          <w:marRight w:val="0"/>
          <w:marTop w:val="0"/>
          <w:marBottom w:val="0"/>
          <w:divBdr>
            <w:top w:val="none" w:sz="0" w:space="0" w:color="auto"/>
            <w:left w:val="none" w:sz="0" w:space="0" w:color="auto"/>
            <w:bottom w:val="none" w:sz="0" w:space="0" w:color="auto"/>
            <w:right w:val="none" w:sz="0" w:space="0" w:color="auto"/>
          </w:divBdr>
        </w:div>
        <w:div w:id="1492676848">
          <w:marLeft w:val="0"/>
          <w:marRight w:val="0"/>
          <w:marTop w:val="0"/>
          <w:marBottom w:val="0"/>
          <w:divBdr>
            <w:top w:val="none" w:sz="0" w:space="0" w:color="auto"/>
            <w:left w:val="none" w:sz="0" w:space="0" w:color="auto"/>
            <w:bottom w:val="none" w:sz="0" w:space="0" w:color="auto"/>
            <w:right w:val="none" w:sz="0" w:space="0" w:color="auto"/>
          </w:divBdr>
        </w:div>
        <w:div w:id="1514877672">
          <w:marLeft w:val="0"/>
          <w:marRight w:val="0"/>
          <w:marTop w:val="0"/>
          <w:marBottom w:val="0"/>
          <w:divBdr>
            <w:top w:val="none" w:sz="0" w:space="0" w:color="auto"/>
            <w:left w:val="none" w:sz="0" w:space="0" w:color="auto"/>
            <w:bottom w:val="none" w:sz="0" w:space="0" w:color="auto"/>
            <w:right w:val="none" w:sz="0" w:space="0" w:color="auto"/>
          </w:divBdr>
        </w:div>
        <w:div w:id="1679845224">
          <w:marLeft w:val="0"/>
          <w:marRight w:val="0"/>
          <w:marTop w:val="0"/>
          <w:marBottom w:val="0"/>
          <w:divBdr>
            <w:top w:val="none" w:sz="0" w:space="0" w:color="auto"/>
            <w:left w:val="none" w:sz="0" w:space="0" w:color="auto"/>
            <w:bottom w:val="none" w:sz="0" w:space="0" w:color="auto"/>
            <w:right w:val="none" w:sz="0" w:space="0" w:color="auto"/>
          </w:divBdr>
        </w:div>
        <w:div w:id="1980573461">
          <w:marLeft w:val="0"/>
          <w:marRight w:val="0"/>
          <w:marTop w:val="0"/>
          <w:marBottom w:val="0"/>
          <w:divBdr>
            <w:top w:val="none" w:sz="0" w:space="0" w:color="auto"/>
            <w:left w:val="none" w:sz="0" w:space="0" w:color="auto"/>
            <w:bottom w:val="none" w:sz="0" w:space="0" w:color="auto"/>
            <w:right w:val="none" w:sz="0" w:space="0" w:color="auto"/>
          </w:divBdr>
          <w:divsChild>
            <w:div w:id="97603472">
              <w:marLeft w:val="-75"/>
              <w:marRight w:val="0"/>
              <w:marTop w:val="30"/>
              <w:marBottom w:val="30"/>
              <w:divBdr>
                <w:top w:val="none" w:sz="0" w:space="0" w:color="auto"/>
                <w:left w:val="none" w:sz="0" w:space="0" w:color="auto"/>
                <w:bottom w:val="none" w:sz="0" w:space="0" w:color="auto"/>
                <w:right w:val="none" w:sz="0" w:space="0" w:color="auto"/>
              </w:divBdr>
              <w:divsChild>
                <w:div w:id="98571672">
                  <w:marLeft w:val="0"/>
                  <w:marRight w:val="0"/>
                  <w:marTop w:val="0"/>
                  <w:marBottom w:val="0"/>
                  <w:divBdr>
                    <w:top w:val="none" w:sz="0" w:space="0" w:color="auto"/>
                    <w:left w:val="none" w:sz="0" w:space="0" w:color="auto"/>
                    <w:bottom w:val="none" w:sz="0" w:space="0" w:color="auto"/>
                    <w:right w:val="none" w:sz="0" w:space="0" w:color="auto"/>
                  </w:divBdr>
                  <w:divsChild>
                    <w:div w:id="1259287939">
                      <w:marLeft w:val="0"/>
                      <w:marRight w:val="0"/>
                      <w:marTop w:val="0"/>
                      <w:marBottom w:val="0"/>
                      <w:divBdr>
                        <w:top w:val="none" w:sz="0" w:space="0" w:color="auto"/>
                        <w:left w:val="none" w:sz="0" w:space="0" w:color="auto"/>
                        <w:bottom w:val="none" w:sz="0" w:space="0" w:color="auto"/>
                        <w:right w:val="none" w:sz="0" w:space="0" w:color="auto"/>
                      </w:divBdr>
                    </w:div>
                  </w:divsChild>
                </w:div>
                <w:div w:id="625888734">
                  <w:marLeft w:val="0"/>
                  <w:marRight w:val="0"/>
                  <w:marTop w:val="0"/>
                  <w:marBottom w:val="0"/>
                  <w:divBdr>
                    <w:top w:val="none" w:sz="0" w:space="0" w:color="auto"/>
                    <w:left w:val="none" w:sz="0" w:space="0" w:color="auto"/>
                    <w:bottom w:val="none" w:sz="0" w:space="0" w:color="auto"/>
                    <w:right w:val="none" w:sz="0" w:space="0" w:color="auto"/>
                  </w:divBdr>
                  <w:divsChild>
                    <w:div w:id="1117719907">
                      <w:marLeft w:val="0"/>
                      <w:marRight w:val="0"/>
                      <w:marTop w:val="0"/>
                      <w:marBottom w:val="0"/>
                      <w:divBdr>
                        <w:top w:val="none" w:sz="0" w:space="0" w:color="auto"/>
                        <w:left w:val="none" w:sz="0" w:space="0" w:color="auto"/>
                        <w:bottom w:val="none" w:sz="0" w:space="0" w:color="auto"/>
                        <w:right w:val="none" w:sz="0" w:space="0" w:color="auto"/>
                      </w:divBdr>
                    </w:div>
                  </w:divsChild>
                </w:div>
                <w:div w:id="711617628">
                  <w:marLeft w:val="0"/>
                  <w:marRight w:val="0"/>
                  <w:marTop w:val="0"/>
                  <w:marBottom w:val="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
                  </w:divsChild>
                </w:div>
                <w:div w:id="752557092">
                  <w:marLeft w:val="0"/>
                  <w:marRight w:val="0"/>
                  <w:marTop w:val="0"/>
                  <w:marBottom w:val="0"/>
                  <w:divBdr>
                    <w:top w:val="none" w:sz="0" w:space="0" w:color="auto"/>
                    <w:left w:val="none" w:sz="0" w:space="0" w:color="auto"/>
                    <w:bottom w:val="none" w:sz="0" w:space="0" w:color="auto"/>
                    <w:right w:val="none" w:sz="0" w:space="0" w:color="auto"/>
                  </w:divBdr>
                  <w:divsChild>
                    <w:div w:id="909730580">
                      <w:marLeft w:val="0"/>
                      <w:marRight w:val="0"/>
                      <w:marTop w:val="0"/>
                      <w:marBottom w:val="0"/>
                      <w:divBdr>
                        <w:top w:val="none" w:sz="0" w:space="0" w:color="auto"/>
                        <w:left w:val="none" w:sz="0" w:space="0" w:color="auto"/>
                        <w:bottom w:val="none" w:sz="0" w:space="0" w:color="auto"/>
                        <w:right w:val="none" w:sz="0" w:space="0" w:color="auto"/>
                      </w:divBdr>
                    </w:div>
                  </w:divsChild>
                </w:div>
                <w:div w:id="798456087">
                  <w:marLeft w:val="0"/>
                  <w:marRight w:val="0"/>
                  <w:marTop w:val="0"/>
                  <w:marBottom w:val="0"/>
                  <w:divBdr>
                    <w:top w:val="none" w:sz="0" w:space="0" w:color="auto"/>
                    <w:left w:val="none" w:sz="0" w:space="0" w:color="auto"/>
                    <w:bottom w:val="none" w:sz="0" w:space="0" w:color="auto"/>
                    <w:right w:val="none" w:sz="0" w:space="0" w:color="auto"/>
                  </w:divBdr>
                  <w:divsChild>
                    <w:div w:id="1721172066">
                      <w:marLeft w:val="0"/>
                      <w:marRight w:val="0"/>
                      <w:marTop w:val="0"/>
                      <w:marBottom w:val="0"/>
                      <w:divBdr>
                        <w:top w:val="none" w:sz="0" w:space="0" w:color="auto"/>
                        <w:left w:val="none" w:sz="0" w:space="0" w:color="auto"/>
                        <w:bottom w:val="none" w:sz="0" w:space="0" w:color="auto"/>
                        <w:right w:val="none" w:sz="0" w:space="0" w:color="auto"/>
                      </w:divBdr>
                    </w:div>
                  </w:divsChild>
                </w:div>
                <w:div w:id="802622639">
                  <w:marLeft w:val="0"/>
                  <w:marRight w:val="0"/>
                  <w:marTop w:val="0"/>
                  <w:marBottom w:val="0"/>
                  <w:divBdr>
                    <w:top w:val="none" w:sz="0" w:space="0" w:color="auto"/>
                    <w:left w:val="none" w:sz="0" w:space="0" w:color="auto"/>
                    <w:bottom w:val="none" w:sz="0" w:space="0" w:color="auto"/>
                    <w:right w:val="none" w:sz="0" w:space="0" w:color="auto"/>
                  </w:divBdr>
                  <w:divsChild>
                    <w:div w:id="224146140">
                      <w:marLeft w:val="0"/>
                      <w:marRight w:val="0"/>
                      <w:marTop w:val="0"/>
                      <w:marBottom w:val="0"/>
                      <w:divBdr>
                        <w:top w:val="none" w:sz="0" w:space="0" w:color="auto"/>
                        <w:left w:val="none" w:sz="0" w:space="0" w:color="auto"/>
                        <w:bottom w:val="none" w:sz="0" w:space="0" w:color="auto"/>
                        <w:right w:val="none" w:sz="0" w:space="0" w:color="auto"/>
                      </w:divBdr>
                    </w:div>
                  </w:divsChild>
                </w:div>
                <w:div w:id="815339168">
                  <w:marLeft w:val="0"/>
                  <w:marRight w:val="0"/>
                  <w:marTop w:val="0"/>
                  <w:marBottom w:val="0"/>
                  <w:divBdr>
                    <w:top w:val="none" w:sz="0" w:space="0" w:color="auto"/>
                    <w:left w:val="none" w:sz="0" w:space="0" w:color="auto"/>
                    <w:bottom w:val="none" w:sz="0" w:space="0" w:color="auto"/>
                    <w:right w:val="none" w:sz="0" w:space="0" w:color="auto"/>
                  </w:divBdr>
                  <w:divsChild>
                    <w:div w:id="1150486566">
                      <w:marLeft w:val="0"/>
                      <w:marRight w:val="0"/>
                      <w:marTop w:val="0"/>
                      <w:marBottom w:val="0"/>
                      <w:divBdr>
                        <w:top w:val="none" w:sz="0" w:space="0" w:color="auto"/>
                        <w:left w:val="none" w:sz="0" w:space="0" w:color="auto"/>
                        <w:bottom w:val="none" w:sz="0" w:space="0" w:color="auto"/>
                        <w:right w:val="none" w:sz="0" w:space="0" w:color="auto"/>
                      </w:divBdr>
                    </w:div>
                  </w:divsChild>
                </w:div>
                <w:div w:id="927808283">
                  <w:marLeft w:val="0"/>
                  <w:marRight w:val="0"/>
                  <w:marTop w:val="0"/>
                  <w:marBottom w:val="0"/>
                  <w:divBdr>
                    <w:top w:val="none" w:sz="0" w:space="0" w:color="auto"/>
                    <w:left w:val="none" w:sz="0" w:space="0" w:color="auto"/>
                    <w:bottom w:val="none" w:sz="0" w:space="0" w:color="auto"/>
                    <w:right w:val="none" w:sz="0" w:space="0" w:color="auto"/>
                  </w:divBdr>
                  <w:divsChild>
                    <w:div w:id="976371898">
                      <w:marLeft w:val="0"/>
                      <w:marRight w:val="0"/>
                      <w:marTop w:val="0"/>
                      <w:marBottom w:val="0"/>
                      <w:divBdr>
                        <w:top w:val="none" w:sz="0" w:space="0" w:color="auto"/>
                        <w:left w:val="none" w:sz="0" w:space="0" w:color="auto"/>
                        <w:bottom w:val="none" w:sz="0" w:space="0" w:color="auto"/>
                        <w:right w:val="none" w:sz="0" w:space="0" w:color="auto"/>
                      </w:divBdr>
                    </w:div>
                  </w:divsChild>
                </w:div>
                <w:div w:id="1011446377">
                  <w:marLeft w:val="0"/>
                  <w:marRight w:val="0"/>
                  <w:marTop w:val="0"/>
                  <w:marBottom w:val="0"/>
                  <w:divBdr>
                    <w:top w:val="none" w:sz="0" w:space="0" w:color="auto"/>
                    <w:left w:val="none" w:sz="0" w:space="0" w:color="auto"/>
                    <w:bottom w:val="none" w:sz="0" w:space="0" w:color="auto"/>
                    <w:right w:val="none" w:sz="0" w:space="0" w:color="auto"/>
                  </w:divBdr>
                  <w:divsChild>
                    <w:div w:id="44454502">
                      <w:marLeft w:val="0"/>
                      <w:marRight w:val="0"/>
                      <w:marTop w:val="0"/>
                      <w:marBottom w:val="0"/>
                      <w:divBdr>
                        <w:top w:val="none" w:sz="0" w:space="0" w:color="auto"/>
                        <w:left w:val="none" w:sz="0" w:space="0" w:color="auto"/>
                        <w:bottom w:val="none" w:sz="0" w:space="0" w:color="auto"/>
                        <w:right w:val="none" w:sz="0" w:space="0" w:color="auto"/>
                      </w:divBdr>
                    </w:div>
                  </w:divsChild>
                </w:div>
                <w:div w:id="1066681082">
                  <w:marLeft w:val="0"/>
                  <w:marRight w:val="0"/>
                  <w:marTop w:val="0"/>
                  <w:marBottom w:val="0"/>
                  <w:divBdr>
                    <w:top w:val="none" w:sz="0" w:space="0" w:color="auto"/>
                    <w:left w:val="none" w:sz="0" w:space="0" w:color="auto"/>
                    <w:bottom w:val="none" w:sz="0" w:space="0" w:color="auto"/>
                    <w:right w:val="none" w:sz="0" w:space="0" w:color="auto"/>
                  </w:divBdr>
                  <w:divsChild>
                    <w:div w:id="63259761">
                      <w:marLeft w:val="0"/>
                      <w:marRight w:val="0"/>
                      <w:marTop w:val="0"/>
                      <w:marBottom w:val="0"/>
                      <w:divBdr>
                        <w:top w:val="none" w:sz="0" w:space="0" w:color="auto"/>
                        <w:left w:val="none" w:sz="0" w:space="0" w:color="auto"/>
                        <w:bottom w:val="none" w:sz="0" w:space="0" w:color="auto"/>
                        <w:right w:val="none" w:sz="0" w:space="0" w:color="auto"/>
                      </w:divBdr>
                    </w:div>
                  </w:divsChild>
                </w:div>
                <w:div w:id="1240947610">
                  <w:marLeft w:val="0"/>
                  <w:marRight w:val="0"/>
                  <w:marTop w:val="0"/>
                  <w:marBottom w:val="0"/>
                  <w:divBdr>
                    <w:top w:val="none" w:sz="0" w:space="0" w:color="auto"/>
                    <w:left w:val="none" w:sz="0" w:space="0" w:color="auto"/>
                    <w:bottom w:val="none" w:sz="0" w:space="0" w:color="auto"/>
                    <w:right w:val="none" w:sz="0" w:space="0" w:color="auto"/>
                  </w:divBdr>
                  <w:divsChild>
                    <w:div w:id="257835014">
                      <w:marLeft w:val="0"/>
                      <w:marRight w:val="0"/>
                      <w:marTop w:val="0"/>
                      <w:marBottom w:val="0"/>
                      <w:divBdr>
                        <w:top w:val="none" w:sz="0" w:space="0" w:color="auto"/>
                        <w:left w:val="none" w:sz="0" w:space="0" w:color="auto"/>
                        <w:bottom w:val="none" w:sz="0" w:space="0" w:color="auto"/>
                        <w:right w:val="none" w:sz="0" w:space="0" w:color="auto"/>
                      </w:divBdr>
                    </w:div>
                  </w:divsChild>
                </w:div>
                <w:div w:id="1249509845">
                  <w:marLeft w:val="0"/>
                  <w:marRight w:val="0"/>
                  <w:marTop w:val="0"/>
                  <w:marBottom w:val="0"/>
                  <w:divBdr>
                    <w:top w:val="none" w:sz="0" w:space="0" w:color="auto"/>
                    <w:left w:val="none" w:sz="0" w:space="0" w:color="auto"/>
                    <w:bottom w:val="none" w:sz="0" w:space="0" w:color="auto"/>
                    <w:right w:val="none" w:sz="0" w:space="0" w:color="auto"/>
                  </w:divBdr>
                  <w:divsChild>
                    <w:div w:id="514466130">
                      <w:marLeft w:val="0"/>
                      <w:marRight w:val="0"/>
                      <w:marTop w:val="0"/>
                      <w:marBottom w:val="0"/>
                      <w:divBdr>
                        <w:top w:val="none" w:sz="0" w:space="0" w:color="auto"/>
                        <w:left w:val="none" w:sz="0" w:space="0" w:color="auto"/>
                        <w:bottom w:val="none" w:sz="0" w:space="0" w:color="auto"/>
                        <w:right w:val="none" w:sz="0" w:space="0" w:color="auto"/>
                      </w:divBdr>
                    </w:div>
                  </w:divsChild>
                </w:div>
                <w:div w:id="1557205295">
                  <w:marLeft w:val="0"/>
                  <w:marRight w:val="0"/>
                  <w:marTop w:val="0"/>
                  <w:marBottom w:val="0"/>
                  <w:divBdr>
                    <w:top w:val="none" w:sz="0" w:space="0" w:color="auto"/>
                    <w:left w:val="none" w:sz="0" w:space="0" w:color="auto"/>
                    <w:bottom w:val="none" w:sz="0" w:space="0" w:color="auto"/>
                    <w:right w:val="none" w:sz="0" w:space="0" w:color="auto"/>
                  </w:divBdr>
                  <w:divsChild>
                    <w:div w:id="440999353">
                      <w:marLeft w:val="0"/>
                      <w:marRight w:val="0"/>
                      <w:marTop w:val="0"/>
                      <w:marBottom w:val="0"/>
                      <w:divBdr>
                        <w:top w:val="none" w:sz="0" w:space="0" w:color="auto"/>
                        <w:left w:val="none" w:sz="0" w:space="0" w:color="auto"/>
                        <w:bottom w:val="none" w:sz="0" w:space="0" w:color="auto"/>
                        <w:right w:val="none" w:sz="0" w:space="0" w:color="auto"/>
                      </w:divBdr>
                    </w:div>
                  </w:divsChild>
                </w:div>
                <w:div w:id="1585070257">
                  <w:marLeft w:val="0"/>
                  <w:marRight w:val="0"/>
                  <w:marTop w:val="0"/>
                  <w:marBottom w:val="0"/>
                  <w:divBdr>
                    <w:top w:val="none" w:sz="0" w:space="0" w:color="auto"/>
                    <w:left w:val="none" w:sz="0" w:space="0" w:color="auto"/>
                    <w:bottom w:val="none" w:sz="0" w:space="0" w:color="auto"/>
                    <w:right w:val="none" w:sz="0" w:space="0" w:color="auto"/>
                  </w:divBdr>
                  <w:divsChild>
                    <w:div w:id="516696940">
                      <w:marLeft w:val="0"/>
                      <w:marRight w:val="0"/>
                      <w:marTop w:val="0"/>
                      <w:marBottom w:val="0"/>
                      <w:divBdr>
                        <w:top w:val="none" w:sz="0" w:space="0" w:color="auto"/>
                        <w:left w:val="none" w:sz="0" w:space="0" w:color="auto"/>
                        <w:bottom w:val="none" w:sz="0" w:space="0" w:color="auto"/>
                        <w:right w:val="none" w:sz="0" w:space="0" w:color="auto"/>
                      </w:divBdr>
                    </w:div>
                  </w:divsChild>
                </w:div>
                <w:div w:id="1691183999">
                  <w:marLeft w:val="0"/>
                  <w:marRight w:val="0"/>
                  <w:marTop w:val="0"/>
                  <w:marBottom w:val="0"/>
                  <w:divBdr>
                    <w:top w:val="none" w:sz="0" w:space="0" w:color="auto"/>
                    <w:left w:val="none" w:sz="0" w:space="0" w:color="auto"/>
                    <w:bottom w:val="none" w:sz="0" w:space="0" w:color="auto"/>
                    <w:right w:val="none" w:sz="0" w:space="0" w:color="auto"/>
                  </w:divBdr>
                  <w:divsChild>
                    <w:div w:id="71975039">
                      <w:marLeft w:val="0"/>
                      <w:marRight w:val="0"/>
                      <w:marTop w:val="0"/>
                      <w:marBottom w:val="0"/>
                      <w:divBdr>
                        <w:top w:val="none" w:sz="0" w:space="0" w:color="auto"/>
                        <w:left w:val="none" w:sz="0" w:space="0" w:color="auto"/>
                        <w:bottom w:val="none" w:sz="0" w:space="0" w:color="auto"/>
                        <w:right w:val="none" w:sz="0" w:space="0" w:color="auto"/>
                      </w:divBdr>
                    </w:div>
                  </w:divsChild>
                </w:div>
                <w:div w:id="1798797027">
                  <w:marLeft w:val="0"/>
                  <w:marRight w:val="0"/>
                  <w:marTop w:val="0"/>
                  <w:marBottom w:val="0"/>
                  <w:divBdr>
                    <w:top w:val="none" w:sz="0" w:space="0" w:color="auto"/>
                    <w:left w:val="none" w:sz="0" w:space="0" w:color="auto"/>
                    <w:bottom w:val="none" w:sz="0" w:space="0" w:color="auto"/>
                    <w:right w:val="none" w:sz="0" w:space="0" w:color="auto"/>
                  </w:divBdr>
                  <w:divsChild>
                    <w:div w:id="1247885382">
                      <w:marLeft w:val="0"/>
                      <w:marRight w:val="0"/>
                      <w:marTop w:val="0"/>
                      <w:marBottom w:val="0"/>
                      <w:divBdr>
                        <w:top w:val="none" w:sz="0" w:space="0" w:color="auto"/>
                        <w:left w:val="none" w:sz="0" w:space="0" w:color="auto"/>
                        <w:bottom w:val="none" w:sz="0" w:space="0" w:color="auto"/>
                        <w:right w:val="none" w:sz="0" w:space="0" w:color="auto"/>
                      </w:divBdr>
                    </w:div>
                  </w:divsChild>
                </w:div>
                <w:div w:id="1934506920">
                  <w:marLeft w:val="0"/>
                  <w:marRight w:val="0"/>
                  <w:marTop w:val="0"/>
                  <w:marBottom w:val="0"/>
                  <w:divBdr>
                    <w:top w:val="none" w:sz="0" w:space="0" w:color="auto"/>
                    <w:left w:val="none" w:sz="0" w:space="0" w:color="auto"/>
                    <w:bottom w:val="none" w:sz="0" w:space="0" w:color="auto"/>
                    <w:right w:val="none" w:sz="0" w:space="0" w:color="auto"/>
                  </w:divBdr>
                  <w:divsChild>
                    <w:div w:id="2022080317">
                      <w:marLeft w:val="0"/>
                      <w:marRight w:val="0"/>
                      <w:marTop w:val="0"/>
                      <w:marBottom w:val="0"/>
                      <w:divBdr>
                        <w:top w:val="none" w:sz="0" w:space="0" w:color="auto"/>
                        <w:left w:val="none" w:sz="0" w:space="0" w:color="auto"/>
                        <w:bottom w:val="none" w:sz="0" w:space="0" w:color="auto"/>
                        <w:right w:val="none" w:sz="0" w:space="0" w:color="auto"/>
                      </w:divBdr>
                    </w:div>
                  </w:divsChild>
                </w:div>
                <w:div w:id="2107336124">
                  <w:marLeft w:val="0"/>
                  <w:marRight w:val="0"/>
                  <w:marTop w:val="0"/>
                  <w:marBottom w:val="0"/>
                  <w:divBdr>
                    <w:top w:val="none" w:sz="0" w:space="0" w:color="auto"/>
                    <w:left w:val="none" w:sz="0" w:space="0" w:color="auto"/>
                    <w:bottom w:val="none" w:sz="0" w:space="0" w:color="auto"/>
                    <w:right w:val="none" w:sz="0" w:space="0" w:color="auto"/>
                  </w:divBdr>
                  <w:divsChild>
                    <w:div w:id="446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6942">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628">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1100102038">
      <w:bodyDiv w:val="1"/>
      <w:marLeft w:val="0"/>
      <w:marRight w:val="0"/>
      <w:marTop w:val="0"/>
      <w:marBottom w:val="0"/>
      <w:divBdr>
        <w:top w:val="none" w:sz="0" w:space="0" w:color="auto"/>
        <w:left w:val="none" w:sz="0" w:space="0" w:color="auto"/>
        <w:bottom w:val="none" w:sz="0" w:space="0" w:color="auto"/>
        <w:right w:val="none" w:sz="0" w:space="0" w:color="auto"/>
      </w:divBdr>
    </w:div>
    <w:div w:id="1122190005">
      <w:bodyDiv w:val="1"/>
      <w:marLeft w:val="0"/>
      <w:marRight w:val="0"/>
      <w:marTop w:val="0"/>
      <w:marBottom w:val="0"/>
      <w:divBdr>
        <w:top w:val="none" w:sz="0" w:space="0" w:color="auto"/>
        <w:left w:val="none" w:sz="0" w:space="0" w:color="auto"/>
        <w:bottom w:val="none" w:sz="0" w:space="0" w:color="auto"/>
        <w:right w:val="none" w:sz="0" w:space="0" w:color="auto"/>
      </w:divBdr>
    </w:div>
    <w:div w:id="1227643670">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561015218">
      <w:bodyDiv w:val="1"/>
      <w:marLeft w:val="0"/>
      <w:marRight w:val="0"/>
      <w:marTop w:val="0"/>
      <w:marBottom w:val="0"/>
      <w:divBdr>
        <w:top w:val="none" w:sz="0" w:space="0" w:color="auto"/>
        <w:left w:val="none" w:sz="0" w:space="0" w:color="auto"/>
        <w:bottom w:val="none" w:sz="0" w:space="0" w:color="auto"/>
        <w:right w:val="none" w:sz="0" w:space="0" w:color="auto"/>
      </w:divBdr>
    </w:div>
    <w:div w:id="1665627880">
      <w:bodyDiv w:val="1"/>
      <w:marLeft w:val="0"/>
      <w:marRight w:val="0"/>
      <w:marTop w:val="0"/>
      <w:marBottom w:val="0"/>
      <w:divBdr>
        <w:top w:val="none" w:sz="0" w:space="0" w:color="auto"/>
        <w:left w:val="none" w:sz="0" w:space="0" w:color="auto"/>
        <w:bottom w:val="none" w:sz="0" w:space="0" w:color="auto"/>
        <w:right w:val="none" w:sz="0" w:space="0" w:color="auto"/>
      </w:divBdr>
    </w:div>
    <w:div w:id="1701861470">
      <w:bodyDiv w:val="1"/>
      <w:marLeft w:val="0"/>
      <w:marRight w:val="0"/>
      <w:marTop w:val="0"/>
      <w:marBottom w:val="0"/>
      <w:divBdr>
        <w:top w:val="none" w:sz="0" w:space="0" w:color="auto"/>
        <w:left w:val="none" w:sz="0" w:space="0" w:color="auto"/>
        <w:bottom w:val="none" w:sz="0" w:space="0" w:color="auto"/>
        <w:right w:val="none" w:sz="0" w:space="0" w:color="auto"/>
      </w:divBdr>
    </w:div>
    <w:div w:id="1726026409">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766537794">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838">
      <w:bodyDiv w:val="1"/>
      <w:marLeft w:val="0"/>
      <w:marRight w:val="0"/>
      <w:marTop w:val="0"/>
      <w:marBottom w:val="0"/>
      <w:divBdr>
        <w:top w:val="none" w:sz="0" w:space="0" w:color="auto"/>
        <w:left w:val="none" w:sz="0" w:space="0" w:color="auto"/>
        <w:bottom w:val="none" w:sz="0" w:space="0" w:color="auto"/>
        <w:right w:val="none" w:sz="0" w:space="0" w:color="auto"/>
      </w:divBdr>
    </w:div>
    <w:div w:id="1950236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Dudek editorial (Steve Taffolla)</DisplayName>
        <AccountId>4898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89496E61-78EC-47B7-AF51-77E52771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67D39-677C-45F0-A310-67C5BE75DAFE}">
  <ds:schemaRefs>
    <ds:schemaRef ds:uri="http://www.w3.org/XML/1998/namespace"/>
    <ds:schemaRef ds:uri="http://purl.org/dc/dcmitype/"/>
    <ds:schemaRef ds:uri="http://schemas.microsoft.com/office/infopath/2007/PartnerControls"/>
    <ds:schemaRef ds:uri="http://schemas.microsoft.com/office/2006/documentManagement/types"/>
    <ds:schemaRef ds:uri="5067c814-4b34-462c-a21d-c185ff6548d2"/>
    <ds:schemaRef ds:uri="http://purl.org/dc/elements/1.1/"/>
    <ds:schemaRef ds:uri="http://purl.org/dc/terms/"/>
    <ds:schemaRef ds:uri="http://schemas.openxmlformats.org/package/2006/metadata/core-properties"/>
    <ds:schemaRef ds:uri="785685f2-c2e1-4352-89aa-3faca8eaba52"/>
    <ds:schemaRef ds:uri="http://schemas.microsoft.com/office/2006/metadata/properties"/>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5256</Characters>
  <Application>Microsoft Office Word</Application>
  <DocSecurity>0</DocSecurity>
  <Lines>43</Lines>
  <Paragraphs>12</Paragraphs>
  <ScaleCrop>false</ScaleCrop>
  <Company>Wobschall Design</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Dyer, Phil@Energy</cp:lastModifiedBy>
  <cp:revision>443</cp:revision>
  <cp:lastPrinted>2019-04-08T16:38:00Z</cp:lastPrinted>
  <dcterms:created xsi:type="dcterms:W3CDTF">2025-01-31T01:16:00Z</dcterms:created>
  <dcterms:modified xsi:type="dcterms:W3CDTF">2026-04-23T23:42:00Z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6b42c2ea-24cb-4967-89a6-77511e296666</vt:lpwstr>
  </property>
</Properties>
</file>