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6E7EE" w14:textId="477B1D3C" w:rsidR="00602F73" w:rsidRPr="00844DFA" w:rsidRDefault="29DBDBCC" w:rsidP="1F7419C0">
      <w:pPr>
        <w:spacing w:after="0" w:line="240" w:lineRule="auto"/>
        <w:rPr>
          <w:rFonts w:ascii="Arial" w:eastAsia="Arial" w:hAnsi="Arial" w:cs="Arial"/>
          <w:color w:val="000000" w:themeColor="text1"/>
          <w:sz w:val="22"/>
          <w:szCs w:val="22"/>
          <w:lang w:val="es-US"/>
        </w:rPr>
      </w:pPr>
      <w:r w:rsidRPr="1F7419C0">
        <w:rPr>
          <w:rFonts w:ascii="Arial" w:eastAsia="Arial" w:hAnsi="Arial" w:cs="Arial"/>
          <w:b/>
          <w:bCs/>
          <w:color w:val="000000" w:themeColor="text1"/>
          <w:sz w:val="22"/>
          <w:szCs w:val="22"/>
          <w:lang w:val="es-AR"/>
        </w:rPr>
        <w:t>Para publicación inmediata</w:t>
      </w:r>
      <w:r w:rsidRPr="1F7419C0">
        <w:rPr>
          <w:rFonts w:ascii="Arial" w:eastAsia="Arial" w:hAnsi="Arial" w:cs="Arial"/>
          <w:b/>
          <w:bCs/>
          <w:color w:val="000000" w:themeColor="text1"/>
          <w:sz w:val="22"/>
          <w:szCs w:val="22"/>
          <w:lang w:val="es-US"/>
        </w:rPr>
        <w:t>:</w:t>
      </w:r>
      <w:r w:rsidRPr="1F7419C0">
        <w:rPr>
          <w:rFonts w:ascii="Arial" w:eastAsia="Arial" w:hAnsi="Arial" w:cs="Arial"/>
          <w:b/>
          <w:bCs/>
          <w:color w:val="FF0000"/>
          <w:sz w:val="22"/>
          <w:szCs w:val="22"/>
          <w:lang w:val="es-US"/>
        </w:rPr>
        <w:t xml:space="preserve"> </w:t>
      </w:r>
      <w:r w:rsidRPr="1F7419C0">
        <w:rPr>
          <w:rFonts w:ascii="Arial" w:eastAsia="Arial" w:hAnsi="Arial" w:cs="Arial"/>
          <w:b/>
          <w:bCs/>
          <w:color w:val="000000" w:themeColor="text1"/>
          <w:sz w:val="22"/>
          <w:szCs w:val="22"/>
          <w:lang w:val="es-US"/>
        </w:rPr>
        <w:t xml:space="preserve">26 de mayo de 2026 </w:t>
      </w:r>
    </w:p>
    <w:p w14:paraId="1E99F0A3" w14:textId="2EADEB7F" w:rsidR="00602F73" w:rsidRPr="00844DFA" w:rsidRDefault="29DBDBCC" w:rsidP="1F7419C0">
      <w:pPr>
        <w:spacing w:after="0" w:line="240" w:lineRule="auto"/>
        <w:rPr>
          <w:rFonts w:ascii="Arial" w:eastAsia="Arial" w:hAnsi="Arial" w:cs="Arial"/>
          <w:color w:val="000000" w:themeColor="text1"/>
          <w:sz w:val="22"/>
          <w:szCs w:val="22"/>
          <w:lang w:val="es-US"/>
        </w:rPr>
      </w:pPr>
      <w:r w:rsidRPr="1F7419C0">
        <w:rPr>
          <w:rFonts w:ascii="Arial" w:eastAsia="Arial" w:hAnsi="Arial" w:cs="Arial"/>
          <w:b/>
          <w:bCs/>
          <w:color w:val="000000" w:themeColor="text1"/>
          <w:sz w:val="22"/>
          <w:szCs w:val="22"/>
          <w:lang w:val="es-US"/>
        </w:rPr>
        <w:t xml:space="preserve">Contacto: </w:t>
      </w:r>
      <w:hyperlink r:id="rId10">
        <w:r w:rsidRPr="1F7419C0">
          <w:rPr>
            <w:rStyle w:val="Hyperlink"/>
            <w:rFonts w:ascii="Arial" w:eastAsia="Arial" w:hAnsi="Arial" w:cs="Arial"/>
            <w:b/>
            <w:bCs/>
            <w:sz w:val="22"/>
            <w:szCs w:val="22"/>
            <w:lang w:val="pt-BR"/>
          </w:rPr>
          <w:t>gilbert.magallon@energy.ca.gov,</w:t>
        </w:r>
      </w:hyperlink>
      <w:r w:rsidRPr="1F7419C0">
        <w:rPr>
          <w:rFonts w:ascii="Arial" w:eastAsia="Arial" w:hAnsi="Arial" w:cs="Arial"/>
          <w:color w:val="000000" w:themeColor="text1"/>
          <w:sz w:val="22"/>
          <w:szCs w:val="22"/>
          <w:lang w:val="pt-BR"/>
        </w:rPr>
        <w:t xml:space="preserve"> (916) 664-1384</w:t>
      </w:r>
    </w:p>
    <w:p w14:paraId="0E06E87E" w14:textId="68F9CBFF" w:rsidR="00602F73" w:rsidRPr="00844DFA" w:rsidRDefault="00602F73" w:rsidP="1F7419C0">
      <w:pPr>
        <w:spacing w:after="0" w:line="240" w:lineRule="auto"/>
        <w:rPr>
          <w:rFonts w:ascii="Arial" w:eastAsia="Arial" w:hAnsi="Arial" w:cs="Arial"/>
          <w:b/>
          <w:bCs/>
          <w:color w:val="000000" w:themeColor="text1"/>
          <w:sz w:val="22"/>
          <w:szCs w:val="22"/>
          <w:lang w:val="es-US"/>
        </w:rPr>
      </w:pPr>
    </w:p>
    <w:p w14:paraId="241A5860" w14:textId="30AD912F" w:rsidR="00602F73" w:rsidRPr="00844DFA" w:rsidRDefault="65A34522" w:rsidP="1F7419C0">
      <w:pPr>
        <w:spacing w:after="0" w:line="240" w:lineRule="auto"/>
        <w:jc w:val="center"/>
        <w:rPr>
          <w:rFonts w:ascii="Arial" w:eastAsia="Arial" w:hAnsi="Arial" w:cs="Arial"/>
          <w:b/>
          <w:bCs/>
          <w:sz w:val="22"/>
          <w:szCs w:val="22"/>
          <w:lang w:val="es-US"/>
        </w:rPr>
      </w:pPr>
      <w:r w:rsidRPr="1F7419C0">
        <w:rPr>
          <w:rFonts w:ascii="Arial" w:eastAsia="Arial" w:hAnsi="Arial" w:cs="Arial"/>
          <w:b/>
          <w:bCs/>
          <w:sz w:val="22"/>
          <w:szCs w:val="22"/>
          <w:lang w:val="es-US"/>
        </w:rPr>
        <w:t xml:space="preserve">La </w:t>
      </w:r>
      <w:r w:rsidR="6BB717DA" w:rsidRPr="1F7419C0">
        <w:rPr>
          <w:rFonts w:ascii="Arial" w:eastAsia="Arial" w:hAnsi="Arial" w:cs="Arial"/>
          <w:b/>
          <w:bCs/>
          <w:color w:val="000000" w:themeColor="text1"/>
          <w:sz w:val="22"/>
          <w:szCs w:val="22"/>
          <w:lang w:val="es-US"/>
        </w:rPr>
        <w:t xml:space="preserve">Comisión de Energía de California </w:t>
      </w:r>
      <w:r w:rsidRPr="1F7419C0">
        <w:rPr>
          <w:rFonts w:ascii="Arial" w:eastAsia="Arial" w:hAnsi="Arial" w:cs="Arial"/>
          <w:b/>
          <w:bCs/>
          <w:sz w:val="22"/>
          <w:szCs w:val="22"/>
          <w:lang w:val="es-US"/>
        </w:rPr>
        <w:t>aprueba el tercer</w:t>
      </w:r>
      <w:r w:rsidR="3679D03F" w:rsidRPr="1F7419C0">
        <w:rPr>
          <w:rFonts w:ascii="Arial" w:eastAsia="Arial" w:hAnsi="Arial" w:cs="Arial"/>
          <w:b/>
          <w:bCs/>
          <w:sz w:val="22"/>
          <w:szCs w:val="22"/>
          <w:lang w:val="es-US"/>
        </w:rPr>
        <w:t xml:space="preserve"> gran</w:t>
      </w:r>
      <w:r w:rsidRPr="1F7419C0">
        <w:rPr>
          <w:rFonts w:ascii="Arial" w:eastAsia="Arial" w:hAnsi="Arial" w:cs="Arial"/>
          <w:b/>
          <w:bCs/>
          <w:sz w:val="22"/>
          <w:szCs w:val="22"/>
          <w:lang w:val="es-US"/>
        </w:rPr>
        <w:t xml:space="preserve"> proyecto de energía limpia bajo el </w:t>
      </w:r>
      <w:r w:rsidRPr="1F7419C0">
        <w:rPr>
          <w:rFonts w:ascii="Arial" w:eastAsia="Arial" w:hAnsi="Arial" w:cs="Arial"/>
          <w:b/>
          <w:bCs/>
          <w:color w:val="000000" w:themeColor="text1"/>
          <w:sz w:val="22"/>
          <w:szCs w:val="22"/>
          <w:lang w:val="es-ES"/>
        </w:rPr>
        <w:t>Programa de Certificación de Inclusión Voluntaria</w:t>
      </w:r>
    </w:p>
    <w:p w14:paraId="68721C28" w14:textId="72199F31" w:rsidR="00602F73" w:rsidRPr="00844DFA" w:rsidRDefault="00602F73" w:rsidP="1F7419C0">
      <w:pPr>
        <w:spacing w:after="0" w:line="240" w:lineRule="auto"/>
        <w:rPr>
          <w:rFonts w:ascii="Arial" w:eastAsia="Arial" w:hAnsi="Arial" w:cs="Arial"/>
          <w:color w:val="000000" w:themeColor="text1"/>
          <w:sz w:val="22"/>
          <w:szCs w:val="22"/>
          <w:lang w:val="es-US"/>
        </w:rPr>
      </w:pPr>
    </w:p>
    <w:p w14:paraId="575FF032" w14:textId="4EE9F064" w:rsidR="00602F73" w:rsidRPr="00844DFA" w:rsidRDefault="4D8B890C" w:rsidP="1F7419C0">
      <w:pPr>
        <w:spacing w:after="0" w:line="240" w:lineRule="auto"/>
        <w:rPr>
          <w:rFonts w:ascii="Arial" w:eastAsia="Arial" w:hAnsi="Arial" w:cs="Arial"/>
          <w:sz w:val="22"/>
          <w:szCs w:val="22"/>
          <w:lang w:val="es-US"/>
        </w:rPr>
      </w:pPr>
      <w:r w:rsidRPr="1F7419C0">
        <w:rPr>
          <w:rFonts w:ascii="Arial" w:eastAsia="Arial" w:hAnsi="Arial" w:cs="Arial"/>
          <w:b/>
          <w:bCs/>
          <w:color w:val="000000" w:themeColor="text1"/>
          <w:sz w:val="22"/>
          <w:szCs w:val="22"/>
          <w:lang w:val="es-US"/>
        </w:rPr>
        <w:t xml:space="preserve">QUÉ DEBE SABER: </w:t>
      </w:r>
      <w:r w:rsidR="4569EED5" w:rsidRPr="1F7419C0">
        <w:rPr>
          <w:rFonts w:ascii="Arial" w:eastAsia="Arial" w:hAnsi="Arial" w:cs="Arial"/>
          <w:sz w:val="22"/>
          <w:szCs w:val="22"/>
          <w:lang w:val="es-US"/>
        </w:rPr>
        <w:t xml:space="preserve">Durante el último año, la </w:t>
      </w:r>
      <w:r w:rsidRPr="1F7419C0">
        <w:rPr>
          <w:rFonts w:ascii="Arial" w:eastAsia="Arial" w:hAnsi="Arial" w:cs="Arial"/>
          <w:color w:val="000000" w:themeColor="text1"/>
          <w:sz w:val="22"/>
          <w:szCs w:val="22"/>
          <w:lang w:val="es-US"/>
        </w:rPr>
        <w:t xml:space="preserve">Comisión de Energía de California </w:t>
      </w:r>
      <w:r w:rsidR="78DCBFE9" w:rsidRPr="1F7419C0">
        <w:rPr>
          <w:rFonts w:ascii="Arial" w:eastAsia="Arial" w:hAnsi="Arial" w:cs="Arial"/>
          <w:color w:val="000000" w:themeColor="text1"/>
          <w:sz w:val="22"/>
          <w:szCs w:val="22"/>
          <w:lang w:val="es-US"/>
        </w:rPr>
        <w:t>h</w:t>
      </w:r>
      <w:r w:rsidRPr="1F7419C0">
        <w:rPr>
          <w:rFonts w:ascii="Arial" w:eastAsia="Arial" w:hAnsi="Arial" w:cs="Arial"/>
          <w:color w:val="000000" w:themeColor="text1"/>
          <w:sz w:val="22"/>
          <w:szCs w:val="22"/>
          <w:lang w:val="es-US"/>
        </w:rPr>
        <w:t xml:space="preserve">a </w:t>
      </w:r>
      <w:r w:rsidRPr="1F7419C0">
        <w:rPr>
          <w:rFonts w:ascii="Arial" w:eastAsia="Arial" w:hAnsi="Arial" w:cs="Arial"/>
          <w:sz w:val="22"/>
          <w:szCs w:val="22"/>
          <w:lang w:val="es-US"/>
        </w:rPr>
        <w:t xml:space="preserve">aprobado tres </w:t>
      </w:r>
      <w:r w:rsidR="0863D641" w:rsidRPr="1F7419C0">
        <w:rPr>
          <w:rFonts w:ascii="Arial" w:eastAsia="Arial" w:hAnsi="Arial" w:cs="Arial"/>
          <w:sz w:val="22"/>
          <w:szCs w:val="22"/>
          <w:lang w:val="es-US"/>
        </w:rPr>
        <w:t>proyectos</w:t>
      </w:r>
      <w:r w:rsidR="3679D03F" w:rsidRPr="1F7419C0">
        <w:rPr>
          <w:rFonts w:ascii="Arial" w:eastAsia="Arial" w:hAnsi="Arial" w:cs="Arial"/>
          <w:sz w:val="22"/>
          <w:szCs w:val="22"/>
          <w:lang w:val="es-US"/>
        </w:rPr>
        <w:t xml:space="preserve"> a gran escala</w:t>
      </w:r>
      <w:r w:rsidR="0863D641" w:rsidRPr="1F7419C0">
        <w:rPr>
          <w:rFonts w:ascii="Arial" w:eastAsia="Arial" w:hAnsi="Arial" w:cs="Arial"/>
          <w:sz w:val="22"/>
          <w:szCs w:val="22"/>
          <w:lang w:val="es-US"/>
        </w:rPr>
        <w:t xml:space="preserve"> de </w:t>
      </w:r>
      <w:r w:rsidR="7655DAC3" w:rsidRPr="1F7419C0">
        <w:rPr>
          <w:rFonts w:ascii="Arial" w:eastAsia="Arial" w:hAnsi="Arial" w:cs="Arial"/>
          <w:sz w:val="22"/>
          <w:szCs w:val="22"/>
          <w:lang w:val="es-US"/>
        </w:rPr>
        <w:t>energía limpia que suman aproximadamente 3,300 megavatios (MW), mediante el programa estatal de Certificación de Inclusión Voluntaria.</w:t>
      </w:r>
    </w:p>
    <w:p w14:paraId="0698F245" w14:textId="438D71E2" w:rsidR="1F7419C0" w:rsidRDefault="1F7419C0" w:rsidP="1F7419C0">
      <w:pPr>
        <w:spacing w:after="0" w:line="240" w:lineRule="auto"/>
        <w:rPr>
          <w:rFonts w:ascii="Arial" w:eastAsia="Arial" w:hAnsi="Arial" w:cs="Arial"/>
          <w:sz w:val="22"/>
          <w:szCs w:val="22"/>
          <w:lang w:val="es-US"/>
        </w:rPr>
      </w:pPr>
    </w:p>
    <w:p w14:paraId="18D26B71" w14:textId="4BDCB8B2" w:rsidR="00602F73" w:rsidRPr="00844DFA" w:rsidRDefault="60BB375B" w:rsidP="1F7419C0">
      <w:pPr>
        <w:spacing w:after="0" w:line="240" w:lineRule="auto"/>
        <w:rPr>
          <w:rFonts w:ascii="Arial" w:eastAsia="Arial" w:hAnsi="Arial" w:cs="Arial"/>
          <w:sz w:val="22"/>
          <w:szCs w:val="22"/>
          <w:lang w:val="es-US"/>
        </w:rPr>
      </w:pPr>
      <w:r w:rsidRPr="1F7419C0">
        <w:rPr>
          <w:rFonts w:ascii="Arial" w:eastAsia="Arial" w:hAnsi="Arial" w:cs="Arial"/>
          <w:b/>
          <w:bCs/>
          <w:color w:val="000000" w:themeColor="text1"/>
          <w:sz w:val="22"/>
          <w:szCs w:val="22"/>
          <w:lang w:val="es-ES"/>
        </w:rPr>
        <w:t>SACRAMENTO —</w:t>
      </w:r>
      <w:r w:rsidR="14CD296D" w:rsidRPr="1F7419C0">
        <w:rPr>
          <w:rFonts w:ascii="Arial" w:eastAsia="Arial" w:hAnsi="Arial" w:cs="Arial"/>
          <w:b/>
          <w:bCs/>
          <w:color w:val="000000" w:themeColor="text1"/>
          <w:sz w:val="22"/>
          <w:szCs w:val="22"/>
          <w:lang w:val="es-ES"/>
        </w:rPr>
        <w:t xml:space="preserve"> </w:t>
      </w:r>
      <w:r w:rsidR="14CD296D" w:rsidRPr="1F7419C0">
        <w:rPr>
          <w:rFonts w:ascii="Arial" w:eastAsia="Arial" w:hAnsi="Arial" w:cs="Arial"/>
          <w:sz w:val="22"/>
          <w:szCs w:val="22"/>
          <w:lang w:val="es-US"/>
        </w:rPr>
        <w:t xml:space="preserve">La </w:t>
      </w:r>
      <w:hyperlink r:id="rId11">
        <w:r w:rsidR="14CD296D" w:rsidRPr="1F7419C0">
          <w:rPr>
            <w:rStyle w:val="Hyperlink"/>
            <w:rFonts w:ascii="Arial" w:eastAsia="Arial" w:hAnsi="Arial" w:cs="Arial"/>
            <w:sz w:val="22"/>
            <w:szCs w:val="22"/>
            <w:lang w:val="es-US"/>
          </w:rPr>
          <w:t>Comisión de Energía de California</w:t>
        </w:r>
      </w:hyperlink>
      <w:r w:rsidR="14CD296D" w:rsidRPr="1F7419C0">
        <w:rPr>
          <w:rFonts w:ascii="Arial" w:eastAsia="Arial" w:hAnsi="Arial" w:cs="Arial"/>
          <w:sz w:val="22"/>
          <w:szCs w:val="22"/>
          <w:lang w:val="es-US"/>
        </w:rPr>
        <w:t xml:space="preserve"> (CEC) aprobó el martes el </w:t>
      </w:r>
      <w:hyperlink r:id="rId12">
        <w:r w:rsidR="14CD296D" w:rsidRPr="1F7419C0">
          <w:rPr>
            <w:rStyle w:val="Hyperlink"/>
            <w:rFonts w:ascii="Arial" w:eastAsia="Arial" w:hAnsi="Arial" w:cs="Arial"/>
            <w:sz w:val="22"/>
            <w:szCs w:val="22"/>
            <w:lang w:val="es-US"/>
          </w:rPr>
          <w:t>Sistema de Almacenamiento de Energía en Baterías Potentia‑Viridi</w:t>
        </w:r>
      </w:hyperlink>
      <w:r w:rsidR="14CD296D" w:rsidRPr="1F7419C0">
        <w:rPr>
          <w:rFonts w:ascii="Arial" w:eastAsia="Arial" w:hAnsi="Arial" w:cs="Arial"/>
          <w:sz w:val="22"/>
          <w:szCs w:val="22"/>
          <w:lang w:val="es-US"/>
        </w:rPr>
        <w:t xml:space="preserve"> mediante su </w:t>
      </w:r>
      <w:hyperlink r:id="rId13">
        <w:r w:rsidR="4E5AFE09" w:rsidRPr="1F7419C0">
          <w:rPr>
            <w:rStyle w:val="Hyperlink"/>
            <w:rFonts w:ascii="Arial" w:eastAsia="Arial" w:hAnsi="Arial" w:cs="Arial"/>
            <w:sz w:val="22"/>
            <w:szCs w:val="22"/>
            <w:lang w:val="es-US"/>
          </w:rPr>
          <w:t>Programa de Certificación de Inclusión Voluntaria</w:t>
        </w:r>
      </w:hyperlink>
      <w:r w:rsidR="14CD296D" w:rsidRPr="1F7419C0">
        <w:rPr>
          <w:rFonts w:ascii="Arial" w:eastAsia="Arial" w:hAnsi="Arial" w:cs="Arial"/>
          <w:sz w:val="22"/>
          <w:szCs w:val="22"/>
          <w:lang w:val="es-US"/>
        </w:rPr>
        <w:t>, lo que marca el tercer</w:t>
      </w:r>
      <w:r w:rsidR="4569EED5" w:rsidRPr="1F7419C0">
        <w:rPr>
          <w:rFonts w:ascii="Arial" w:eastAsia="Arial" w:hAnsi="Arial" w:cs="Arial"/>
          <w:sz w:val="22"/>
          <w:szCs w:val="22"/>
          <w:lang w:val="es-US"/>
        </w:rPr>
        <w:t xml:space="preserve"> gran</w:t>
      </w:r>
      <w:r w:rsidR="14CD296D" w:rsidRPr="1F7419C0">
        <w:rPr>
          <w:rFonts w:ascii="Arial" w:eastAsia="Arial" w:hAnsi="Arial" w:cs="Arial"/>
          <w:sz w:val="22"/>
          <w:szCs w:val="22"/>
          <w:lang w:val="es-US"/>
        </w:rPr>
        <w:t xml:space="preserve"> proyecto de energía limpia aprobado bajo la vía acelerada de permisos en el último año.</w:t>
      </w:r>
    </w:p>
    <w:p w14:paraId="44EC2EBD" w14:textId="170C3A37" w:rsidR="00602F73" w:rsidRPr="00844DFA" w:rsidRDefault="00602F73" w:rsidP="1F7419C0">
      <w:pPr>
        <w:spacing w:after="0" w:line="240" w:lineRule="auto"/>
        <w:rPr>
          <w:rFonts w:ascii="Arial" w:eastAsia="Arial" w:hAnsi="Arial" w:cs="Arial"/>
          <w:sz w:val="22"/>
          <w:szCs w:val="22"/>
          <w:lang w:val="es-US"/>
        </w:rPr>
      </w:pPr>
    </w:p>
    <w:p w14:paraId="039CCFB0" w14:textId="29882389" w:rsidR="00602F73" w:rsidRPr="00844DFA" w:rsidRDefault="14CD296D" w:rsidP="1F7419C0">
      <w:pPr>
        <w:spacing w:after="0" w:line="240" w:lineRule="auto"/>
        <w:rPr>
          <w:rFonts w:ascii="Arial" w:eastAsia="Arial" w:hAnsi="Arial" w:cs="Arial"/>
          <w:sz w:val="22"/>
          <w:szCs w:val="22"/>
          <w:lang w:val="es-US"/>
        </w:rPr>
      </w:pPr>
      <w:r w:rsidRPr="1F7419C0">
        <w:rPr>
          <w:rFonts w:ascii="Arial" w:eastAsia="Arial" w:hAnsi="Arial" w:cs="Arial"/>
          <w:sz w:val="22"/>
          <w:szCs w:val="22"/>
          <w:lang w:val="es-US"/>
        </w:rPr>
        <w:t>Levy Alameda, LLC</w:t>
      </w:r>
      <w:r w:rsidR="655020F1" w:rsidRPr="1F7419C0">
        <w:rPr>
          <w:rFonts w:ascii="Arial" w:eastAsia="Arial" w:hAnsi="Arial" w:cs="Arial"/>
          <w:sz w:val="22"/>
          <w:szCs w:val="22"/>
          <w:lang w:val="es-US"/>
        </w:rPr>
        <w:t xml:space="preserve"> </w:t>
      </w:r>
      <w:r w:rsidR="655020F1" w:rsidRPr="1F7419C0">
        <w:rPr>
          <w:rFonts w:ascii="Arial" w:eastAsia="Arial" w:hAnsi="Arial" w:cs="Arial"/>
          <w:color w:val="000000" w:themeColor="text1"/>
          <w:sz w:val="22"/>
          <w:szCs w:val="22"/>
        </w:rPr>
        <w:t>(Levy Alameda)</w:t>
      </w:r>
      <w:r w:rsidRPr="1F7419C0">
        <w:rPr>
          <w:rFonts w:ascii="Arial" w:eastAsia="Arial" w:hAnsi="Arial" w:cs="Arial"/>
          <w:sz w:val="22"/>
          <w:szCs w:val="22"/>
          <w:lang w:val="es-US"/>
        </w:rPr>
        <w:t>, una subsidiaria de Clearway Energy</w:t>
      </w:r>
      <w:r w:rsidR="7C808EEF" w:rsidRPr="1F7419C0">
        <w:rPr>
          <w:rFonts w:ascii="Arial" w:eastAsia="Arial" w:hAnsi="Arial" w:cs="Arial"/>
          <w:sz w:val="22"/>
          <w:szCs w:val="22"/>
          <w:lang w:val="es-US"/>
        </w:rPr>
        <w:t xml:space="preserve"> Group</w:t>
      </w:r>
      <w:r w:rsidRPr="1F7419C0">
        <w:rPr>
          <w:rFonts w:ascii="Arial" w:eastAsia="Arial" w:hAnsi="Arial" w:cs="Arial"/>
          <w:sz w:val="22"/>
          <w:szCs w:val="22"/>
          <w:lang w:val="es-US"/>
        </w:rPr>
        <w:t>, construirá y operará un sistema de almacenamiento de energía en baterías (BESS) de 400 MW en el este del condado de Alameda. Una vez construido, el proyecto cargará y almacenará energía cuando haya un exceso de energía solar o</w:t>
      </w:r>
      <w:r w:rsidR="4569EED5" w:rsidRPr="1F7419C0">
        <w:rPr>
          <w:rFonts w:ascii="Arial" w:eastAsia="Arial" w:hAnsi="Arial" w:cs="Arial"/>
          <w:sz w:val="22"/>
          <w:szCs w:val="22"/>
          <w:lang w:val="es-US"/>
        </w:rPr>
        <w:t xml:space="preserve"> de</w:t>
      </w:r>
      <w:r w:rsidRPr="1F7419C0">
        <w:rPr>
          <w:rFonts w:ascii="Arial" w:eastAsia="Arial" w:hAnsi="Arial" w:cs="Arial"/>
          <w:sz w:val="22"/>
          <w:szCs w:val="22"/>
          <w:lang w:val="es-US"/>
        </w:rPr>
        <w:t xml:space="preserve"> electricidad de bajo costo en la red, y descargará hasta 3,200 megavatios-hora (MWh) de energía almacenada cuando sea necesario.</w:t>
      </w:r>
    </w:p>
    <w:p w14:paraId="0384C67A" w14:textId="4500C3E3" w:rsidR="00602F73" w:rsidRPr="00844DFA" w:rsidRDefault="00602F73" w:rsidP="1F7419C0">
      <w:pPr>
        <w:spacing w:after="0" w:line="240" w:lineRule="auto"/>
        <w:rPr>
          <w:rFonts w:ascii="Arial" w:eastAsia="Arial" w:hAnsi="Arial" w:cs="Arial"/>
          <w:sz w:val="22"/>
          <w:szCs w:val="22"/>
          <w:lang w:val="es-US"/>
        </w:rPr>
      </w:pPr>
    </w:p>
    <w:p w14:paraId="71F28882" w14:textId="75945EDB" w:rsidR="00602F73" w:rsidRDefault="0B752CA1" w:rsidP="1F7419C0">
      <w:pPr>
        <w:spacing w:after="0" w:line="240" w:lineRule="auto"/>
        <w:rPr>
          <w:rFonts w:ascii="Arial" w:eastAsia="Arial" w:hAnsi="Arial" w:cs="Arial"/>
          <w:sz w:val="22"/>
          <w:szCs w:val="22"/>
          <w:lang w:val="es-ES"/>
        </w:rPr>
      </w:pPr>
      <w:r w:rsidRPr="1F7419C0">
        <w:rPr>
          <w:rFonts w:ascii="Arial" w:eastAsia="Arial" w:hAnsi="Arial" w:cs="Arial"/>
          <w:sz w:val="22"/>
          <w:szCs w:val="22"/>
          <w:lang w:val="es-ES"/>
        </w:rPr>
        <w:t xml:space="preserve">El proyecto fortalecerá la confiabilidad de la red eléctrica en todo el estado y ayudará a que California avance hacia el logro de sus metas de energía limpia y </w:t>
      </w:r>
      <w:r w:rsidR="4569EED5" w:rsidRPr="1F7419C0">
        <w:rPr>
          <w:rFonts w:ascii="Arial" w:eastAsia="Arial" w:hAnsi="Arial" w:cs="Arial"/>
          <w:sz w:val="22"/>
          <w:szCs w:val="22"/>
          <w:lang w:val="es-ES"/>
        </w:rPr>
        <w:t>climáticas</w:t>
      </w:r>
      <w:r w:rsidRPr="1F7419C0">
        <w:rPr>
          <w:rFonts w:ascii="Arial" w:eastAsia="Arial" w:hAnsi="Arial" w:cs="Arial"/>
          <w:sz w:val="22"/>
          <w:szCs w:val="22"/>
          <w:lang w:val="es-ES"/>
        </w:rPr>
        <w:t xml:space="preserve">. </w:t>
      </w:r>
      <w:r w:rsidR="54228EA2" w:rsidRPr="1F7419C0">
        <w:rPr>
          <w:rFonts w:ascii="Arial" w:eastAsia="Arial" w:hAnsi="Arial" w:cs="Arial"/>
          <w:sz w:val="22"/>
          <w:szCs w:val="22"/>
          <w:lang w:val="es-ES"/>
        </w:rPr>
        <w:t>La construcción está prevista para comenzar en mayo de 2027 y durar aproximadamente 18 meses. Durante este periodo, se generaría un promedio de 97 empleos al mes, con una fuerza laboral máxima de 127 trabajadores mensuales durante varios meses.</w:t>
      </w:r>
      <w:r w:rsidR="2EB7D887" w:rsidRPr="1F7419C0">
        <w:rPr>
          <w:rFonts w:ascii="Arial" w:eastAsia="Arial" w:hAnsi="Arial" w:cs="Arial"/>
          <w:sz w:val="22"/>
          <w:szCs w:val="22"/>
          <w:lang w:val="es-ES"/>
        </w:rPr>
        <w:t xml:space="preserve"> El proyecto contaría con 18 empleados de tiempo completo durante los 35 años estimados de vida operativa del proyecto. Además, Levy Alameda firmó dos acuerdos de beneficios comunitarios que proporcionan 925,000 dólares a dos organizaciones comunitarias —Tri-Valley Haven y Tri-Valley Nonprofit Alliance— con la posibilidad de 200,000 dólares adicionales en donaciones, lo que sumaría un total de 1.1 millones de dólares durante 20 años.</w:t>
      </w:r>
      <w:r w:rsidR="4D5CA6A7" w:rsidRPr="1F7419C0">
        <w:rPr>
          <w:rFonts w:ascii="Arial" w:eastAsia="Arial" w:hAnsi="Arial" w:cs="Arial"/>
          <w:sz w:val="22"/>
          <w:szCs w:val="22"/>
          <w:lang w:val="es-ES"/>
        </w:rPr>
        <w:t xml:space="preserve"> </w:t>
      </w:r>
      <w:r w:rsidR="5BCCC53D" w:rsidRPr="1F7419C0">
        <w:rPr>
          <w:rFonts w:ascii="Arial" w:eastAsia="Arial" w:hAnsi="Arial" w:cs="Arial"/>
          <w:sz w:val="22"/>
          <w:szCs w:val="22"/>
          <w:lang w:val="es-ES"/>
        </w:rPr>
        <w:t xml:space="preserve">Tri-Valley Haven ofrece apoyo y servicios esenciales a mujeres y niños que han </w:t>
      </w:r>
      <w:r w:rsidR="5F57AE4E" w:rsidRPr="1F7419C0">
        <w:rPr>
          <w:rFonts w:ascii="Arial" w:eastAsia="Arial" w:hAnsi="Arial" w:cs="Arial"/>
          <w:sz w:val="22"/>
          <w:szCs w:val="22"/>
          <w:lang w:val="es-ES"/>
        </w:rPr>
        <w:t>sufri</w:t>
      </w:r>
      <w:r w:rsidR="5BCCC53D" w:rsidRPr="1F7419C0">
        <w:rPr>
          <w:rFonts w:ascii="Arial" w:eastAsia="Arial" w:hAnsi="Arial" w:cs="Arial"/>
          <w:sz w:val="22"/>
          <w:szCs w:val="22"/>
          <w:lang w:val="es-ES"/>
        </w:rPr>
        <w:t>do abuso y falta de vivienda. Tri-Valley Nonprofit Alliance opera un fondo que respalda a organizaciones locales que trabajan para mejorar la vida de los residentes de Livermore, Dublin, Pleas</w:t>
      </w:r>
      <w:r w:rsidR="1315CA63" w:rsidRPr="1F7419C0">
        <w:rPr>
          <w:rFonts w:ascii="Arial" w:eastAsia="Arial" w:hAnsi="Arial" w:cs="Arial"/>
          <w:sz w:val="22"/>
          <w:szCs w:val="22"/>
          <w:lang w:val="es-ES"/>
        </w:rPr>
        <w:t>a</w:t>
      </w:r>
      <w:r w:rsidR="5BCCC53D" w:rsidRPr="1F7419C0">
        <w:rPr>
          <w:rFonts w:ascii="Arial" w:eastAsia="Arial" w:hAnsi="Arial" w:cs="Arial"/>
          <w:sz w:val="22"/>
          <w:szCs w:val="22"/>
          <w:lang w:val="es-ES"/>
        </w:rPr>
        <w:t>nton, San Ramón y Danville.</w:t>
      </w:r>
    </w:p>
    <w:p w14:paraId="33AD17B6" w14:textId="4F9756EA" w:rsidR="00602F73" w:rsidRDefault="00602F73" w:rsidP="1F7419C0">
      <w:pPr>
        <w:spacing w:after="0" w:line="240" w:lineRule="auto"/>
        <w:rPr>
          <w:rFonts w:ascii="Arial" w:eastAsia="Arial" w:hAnsi="Arial" w:cs="Arial"/>
          <w:sz w:val="22"/>
          <w:szCs w:val="22"/>
          <w:lang w:val="es-ES"/>
        </w:rPr>
      </w:pPr>
    </w:p>
    <w:p w14:paraId="49662460" w14:textId="6CC3C97A" w:rsidR="00602F73" w:rsidRDefault="40E7D62E" w:rsidP="1F7419C0">
      <w:pPr>
        <w:spacing w:after="0" w:line="240" w:lineRule="auto"/>
        <w:rPr>
          <w:rFonts w:ascii="Arial" w:eastAsia="Arial" w:hAnsi="Arial" w:cs="Arial"/>
          <w:sz w:val="22"/>
          <w:szCs w:val="22"/>
        </w:rPr>
      </w:pPr>
      <w:r w:rsidRPr="1F7419C0">
        <w:rPr>
          <w:rFonts w:ascii="Arial" w:eastAsia="Arial" w:hAnsi="Arial" w:cs="Arial"/>
          <w:sz w:val="22"/>
          <w:szCs w:val="22"/>
          <w:lang w:val="es-ES"/>
        </w:rPr>
        <w:t xml:space="preserve">“El programa de </w:t>
      </w:r>
      <w:r w:rsidRPr="1F7419C0">
        <w:rPr>
          <w:rFonts w:ascii="Arial" w:eastAsia="Arial" w:hAnsi="Arial" w:cs="Arial"/>
          <w:color w:val="000000" w:themeColor="text1"/>
          <w:sz w:val="22"/>
          <w:szCs w:val="22"/>
          <w:lang w:val="es-ES"/>
        </w:rPr>
        <w:t>Programa de Certificación de Inclusión Voluntaria</w:t>
      </w:r>
      <w:r w:rsidRPr="1F7419C0">
        <w:rPr>
          <w:rFonts w:ascii="Arial" w:eastAsia="Arial" w:hAnsi="Arial" w:cs="Arial"/>
          <w:sz w:val="22"/>
          <w:szCs w:val="22"/>
          <w:lang w:val="es-ES"/>
        </w:rPr>
        <w:t xml:space="preserve"> demuestra que California puede autorizar infraestructura crítica de energía limpia de manera rápida, mientras mantiene un riguroso proceso de revisión ambiental, transparencia pública, consulta tribal y participación comunitaria</w:t>
      </w:r>
      <w:r w:rsidR="384A7C76" w:rsidRPr="1F7419C0">
        <w:rPr>
          <w:rFonts w:ascii="Arial" w:eastAsia="Arial" w:hAnsi="Arial" w:cs="Arial"/>
          <w:sz w:val="22"/>
          <w:szCs w:val="22"/>
          <w:lang w:val="es-ES"/>
        </w:rPr>
        <w:t>,</w:t>
      </w:r>
      <w:r w:rsidRPr="1F7419C0">
        <w:rPr>
          <w:rFonts w:ascii="Arial" w:eastAsia="Arial" w:hAnsi="Arial" w:cs="Arial"/>
          <w:sz w:val="22"/>
          <w:szCs w:val="22"/>
          <w:lang w:val="es-ES"/>
        </w:rPr>
        <w:t>”</w:t>
      </w:r>
      <w:r w:rsidR="53B3A593" w:rsidRPr="1F7419C0">
        <w:rPr>
          <w:rFonts w:ascii="Arial" w:eastAsia="Arial" w:hAnsi="Arial" w:cs="Arial"/>
          <w:sz w:val="22"/>
          <w:szCs w:val="22"/>
          <w:lang w:val="es-ES"/>
        </w:rPr>
        <w:t xml:space="preserve"> dijo el Comisionado de la CEC, </w:t>
      </w:r>
      <w:hyperlink r:id="rId14">
        <w:r w:rsidR="53B3A593" w:rsidRPr="1F7419C0">
          <w:rPr>
            <w:rStyle w:val="Hyperlink"/>
            <w:rFonts w:ascii="Arial" w:eastAsia="Arial" w:hAnsi="Arial" w:cs="Arial"/>
            <w:sz w:val="22"/>
            <w:szCs w:val="22"/>
            <w:lang w:val="es-ES"/>
          </w:rPr>
          <w:t>Noemi Gallardo</w:t>
        </w:r>
      </w:hyperlink>
      <w:r w:rsidR="53B3A593" w:rsidRPr="1F7419C0">
        <w:rPr>
          <w:rFonts w:ascii="Arial" w:eastAsia="Arial" w:hAnsi="Arial" w:cs="Arial"/>
          <w:sz w:val="22"/>
          <w:szCs w:val="22"/>
          <w:lang w:val="es-ES"/>
        </w:rPr>
        <w:t xml:space="preserve">. </w:t>
      </w:r>
      <w:r w:rsidR="53B3A593" w:rsidRPr="1F7419C0">
        <w:rPr>
          <w:rFonts w:ascii="Arial" w:eastAsia="Arial" w:hAnsi="Arial" w:cs="Arial"/>
          <w:sz w:val="22"/>
          <w:szCs w:val="22"/>
        </w:rPr>
        <w:t>“Solo en el último año, la CEC ha aprobado tres proyectos importantes que suman aproximadamente 3,300 megavatios de recursos de energía limpia — un progreso tangible hacia la construcción de la red moderna y confiable que California necesita.”</w:t>
      </w:r>
    </w:p>
    <w:p w14:paraId="00F56DA6" w14:textId="64D36019" w:rsidR="00602F73" w:rsidRDefault="00602F73" w:rsidP="1F7419C0">
      <w:pPr>
        <w:spacing w:after="0" w:line="240" w:lineRule="auto"/>
        <w:rPr>
          <w:rFonts w:ascii="Arial" w:eastAsia="Arial" w:hAnsi="Arial" w:cs="Arial"/>
          <w:sz w:val="22"/>
          <w:szCs w:val="22"/>
        </w:rPr>
      </w:pPr>
    </w:p>
    <w:p w14:paraId="0628A32D" w14:textId="482A38B3" w:rsidR="00602F73" w:rsidRDefault="0143DC02" w:rsidP="1F7419C0">
      <w:pPr>
        <w:spacing w:after="0" w:line="240" w:lineRule="auto"/>
        <w:jc w:val="center"/>
      </w:pPr>
      <w:r>
        <w:rPr>
          <w:noProof/>
        </w:rPr>
        <w:lastRenderedPageBreak/>
        <w:drawing>
          <wp:inline distT="0" distB="0" distL="0" distR="0" wp14:anchorId="629D4A7D" wp14:editId="32416DC7">
            <wp:extent cx="5810962" cy="3017231"/>
            <wp:effectExtent l="0" t="0" r="0" b="0"/>
            <wp:docPr id="3820865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086581" name="Picture 382086581"/>
                    <pic:cNvPicPr/>
                  </pic:nvPicPr>
                  <pic:blipFill>
                    <a:blip r:embed="rId15">
                      <a:extLst>
                        <a:ext uri="{28A0092B-C50C-407E-A947-70E740481C1C}">
                          <a14:useLocalDpi xmlns:a14="http://schemas.microsoft.com/office/drawing/2010/main"/>
                        </a:ext>
                      </a:extLst>
                    </a:blip>
                    <a:stretch>
                      <a:fillRect/>
                    </a:stretch>
                  </pic:blipFill>
                  <pic:spPr>
                    <a:xfrm>
                      <a:off x="0" y="0"/>
                      <a:ext cx="5810962" cy="3017231"/>
                    </a:xfrm>
                    <a:prstGeom prst="rect">
                      <a:avLst/>
                    </a:prstGeom>
                  </pic:spPr>
                </pic:pic>
              </a:graphicData>
            </a:graphic>
          </wp:inline>
        </w:drawing>
      </w:r>
    </w:p>
    <w:p w14:paraId="574D99B3" w14:textId="7E9F7AE2" w:rsidR="00602F73" w:rsidRDefault="0143DC02" w:rsidP="1F7419C0">
      <w:pPr>
        <w:spacing w:after="0" w:line="240" w:lineRule="auto"/>
        <w:rPr>
          <w:rFonts w:ascii="Aptos" w:eastAsia="Aptos" w:hAnsi="Aptos" w:cs="Aptos"/>
          <w:i/>
          <w:iCs/>
          <w:sz w:val="20"/>
          <w:szCs w:val="20"/>
          <w:lang w:val="es-ES"/>
        </w:rPr>
      </w:pPr>
      <w:r w:rsidRPr="1F7419C0">
        <w:rPr>
          <w:rFonts w:ascii="Aptos" w:eastAsia="Aptos" w:hAnsi="Aptos" w:cs="Aptos"/>
          <w:i/>
          <w:iCs/>
          <w:sz w:val="20"/>
          <w:szCs w:val="20"/>
          <w:lang w:val="es-ES"/>
        </w:rPr>
        <w:t>Una representación del proyecto del Sistema de Almacenamiento de Energía en Baterías Potentia-Viridia aprobado por la CEC (Clearway Energy Group</w:t>
      </w:r>
      <w:r w:rsidR="17412343" w:rsidRPr="1F7419C0">
        <w:rPr>
          <w:rFonts w:ascii="Aptos" w:eastAsia="Aptos" w:hAnsi="Aptos" w:cs="Aptos"/>
          <w:i/>
          <w:iCs/>
          <w:sz w:val="20"/>
          <w:szCs w:val="20"/>
          <w:lang w:val="es-ES"/>
        </w:rPr>
        <w:t>)</w:t>
      </w:r>
    </w:p>
    <w:p w14:paraId="574BAE40" w14:textId="34038302" w:rsidR="00602F73" w:rsidRDefault="00602F73" w:rsidP="1F7419C0">
      <w:pPr>
        <w:spacing w:after="0" w:line="240" w:lineRule="auto"/>
        <w:rPr>
          <w:rFonts w:ascii="Arial" w:eastAsia="Arial" w:hAnsi="Arial" w:cs="Arial"/>
          <w:sz w:val="22"/>
          <w:szCs w:val="22"/>
          <w:lang w:val="es-ES"/>
        </w:rPr>
      </w:pPr>
    </w:p>
    <w:p w14:paraId="4036E679" w14:textId="402EBFB3" w:rsidR="00602F73" w:rsidRDefault="11959534" w:rsidP="1F7419C0">
      <w:pPr>
        <w:spacing w:after="0" w:line="240" w:lineRule="auto"/>
        <w:rPr>
          <w:rFonts w:ascii="Arial" w:eastAsia="Arial" w:hAnsi="Arial" w:cs="Arial"/>
          <w:sz w:val="22"/>
          <w:szCs w:val="22"/>
          <w:highlight w:val="yellow"/>
          <w:lang w:val="es-ES"/>
        </w:rPr>
      </w:pPr>
      <w:r w:rsidRPr="1F7419C0">
        <w:rPr>
          <w:rFonts w:ascii="Arial" w:eastAsia="Arial" w:hAnsi="Arial" w:cs="Arial"/>
          <w:sz w:val="22"/>
          <w:szCs w:val="22"/>
          <w:lang w:val="es-ES"/>
        </w:rPr>
        <w:t xml:space="preserve">En abril de 2026, </w:t>
      </w:r>
      <w:r w:rsidR="4569EED5" w:rsidRPr="1F7419C0">
        <w:rPr>
          <w:rFonts w:ascii="Arial" w:eastAsia="Arial" w:hAnsi="Arial" w:cs="Arial"/>
          <w:sz w:val="22"/>
          <w:szCs w:val="22"/>
          <w:lang w:val="es-ES"/>
        </w:rPr>
        <w:t xml:space="preserve">la CEC </w:t>
      </w:r>
      <w:r w:rsidRPr="1F7419C0">
        <w:rPr>
          <w:rFonts w:ascii="Arial" w:eastAsia="Arial" w:hAnsi="Arial" w:cs="Arial"/>
          <w:sz w:val="22"/>
          <w:szCs w:val="22"/>
          <w:lang w:val="es-ES"/>
        </w:rPr>
        <w:t xml:space="preserve">aprobó el </w:t>
      </w:r>
      <w:hyperlink r:id="rId16">
        <w:r w:rsidRPr="1F7419C0">
          <w:rPr>
            <w:rStyle w:val="Hyperlink"/>
            <w:rFonts w:ascii="Arial" w:eastAsia="Arial" w:hAnsi="Arial" w:cs="Arial"/>
            <w:sz w:val="22"/>
            <w:szCs w:val="22"/>
            <w:lang w:val="es-ES"/>
          </w:rPr>
          <w:t>Proyecto Solar Soda Mountain</w:t>
        </w:r>
      </w:hyperlink>
      <w:r w:rsidRPr="1F7419C0">
        <w:rPr>
          <w:rFonts w:ascii="Arial" w:eastAsia="Arial" w:hAnsi="Arial" w:cs="Arial"/>
          <w:sz w:val="22"/>
          <w:szCs w:val="22"/>
          <w:lang w:val="es-ES"/>
        </w:rPr>
        <w:t xml:space="preserve">, un proyecto de 300 MW de energía solar y 300 MW/1,200 MWh de almacenamiento </w:t>
      </w:r>
      <w:r w:rsidR="01DA8CE2" w:rsidRPr="1F7419C0">
        <w:rPr>
          <w:rFonts w:ascii="Arial" w:eastAsia="Arial" w:hAnsi="Arial" w:cs="Arial"/>
          <w:sz w:val="22"/>
          <w:szCs w:val="22"/>
          <w:lang w:val="es-ES"/>
        </w:rPr>
        <w:t xml:space="preserve">de </w:t>
      </w:r>
      <w:r w:rsidR="01DA8CE2" w:rsidRPr="1F7419C0">
        <w:rPr>
          <w:rFonts w:ascii="Arial" w:eastAsia="Arial" w:hAnsi="Arial" w:cs="Arial"/>
          <w:sz w:val="22"/>
          <w:szCs w:val="22"/>
          <w:lang w:val="es-US"/>
        </w:rPr>
        <w:t>energía</w:t>
      </w:r>
      <w:r w:rsidR="01DA8CE2" w:rsidRPr="1F7419C0">
        <w:rPr>
          <w:rFonts w:ascii="Arial" w:eastAsia="Arial" w:hAnsi="Arial" w:cs="Arial"/>
          <w:sz w:val="22"/>
          <w:szCs w:val="22"/>
          <w:lang w:val="es-ES"/>
        </w:rPr>
        <w:t xml:space="preserve"> </w:t>
      </w:r>
      <w:r w:rsidRPr="1F7419C0">
        <w:rPr>
          <w:rFonts w:ascii="Arial" w:eastAsia="Arial" w:hAnsi="Arial" w:cs="Arial"/>
          <w:sz w:val="22"/>
          <w:szCs w:val="22"/>
          <w:lang w:val="es-ES"/>
        </w:rPr>
        <w:t xml:space="preserve">en baterías en el condado de San Bernardino. El </w:t>
      </w:r>
      <w:hyperlink r:id="rId17">
        <w:r w:rsidRPr="1F7419C0">
          <w:rPr>
            <w:rStyle w:val="Hyperlink"/>
            <w:rFonts w:ascii="Arial" w:eastAsia="Arial" w:hAnsi="Arial" w:cs="Arial"/>
            <w:sz w:val="22"/>
            <w:szCs w:val="22"/>
            <w:lang w:val="es-ES"/>
          </w:rPr>
          <w:t>Proyecto de Energía Limpia Darden</w:t>
        </w:r>
      </w:hyperlink>
      <w:r w:rsidRPr="1F7419C0">
        <w:rPr>
          <w:rFonts w:ascii="Arial" w:eastAsia="Arial" w:hAnsi="Arial" w:cs="Arial"/>
          <w:sz w:val="22"/>
          <w:szCs w:val="22"/>
          <w:lang w:val="es-ES"/>
        </w:rPr>
        <w:t xml:space="preserve">, ubicado en una zona rural del condado de Fresno y aprobado por la CEC en junio de 2025, se encuentra en construcción y, una vez completado, añadirá 1,150 MW de generación solar y 1,150 MW/4,600 MWh de almacenamiento </w:t>
      </w:r>
      <w:r w:rsidR="11C5B5C9" w:rsidRPr="1F7419C0">
        <w:rPr>
          <w:rFonts w:ascii="Arial" w:eastAsia="Arial" w:hAnsi="Arial" w:cs="Arial"/>
          <w:sz w:val="22"/>
          <w:szCs w:val="22"/>
          <w:lang w:val="es-ES"/>
        </w:rPr>
        <w:t xml:space="preserve">de </w:t>
      </w:r>
      <w:r w:rsidR="11C5B5C9" w:rsidRPr="1F7419C0">
        <w:rPr>
          <w:rFonts w:ascii="Arial" w:eastAsia="Arial" w:hAnsi="Arial" w:cs="Arial"/>
          <w:sz w:val="22"/>
          <w:szCs w:val="22"/>
          <w:lang w:val="es-US"/>
        </w:rPr>
        <w:t>energía</w:t>
      </w:r>
      <w:r w:rsidR="11C5B5C9" w:rsidRPr="1F7419C0">
        <w:rPr>
          <w:rFonts w:ascii="Arial" w:eastAsia="Arial" w:hAnsi="Arial" w:cs="Arial"/>
          <w:sz w:val="22"/>
          <w:szCs w:val="22"/>
          <w:lang w:val="es-ES"/>
        </w:rPr>
        <w:t xml:space="preserve"> </w:t>
      </w:r>
      <w:r w:rsidRPr="1F7419C0">
        <w:rPr>
          <w:rFonts w:ascii="Arial" w:eastAsia="Arial" w:hAnsi="Arial" w:cs="Arial"/>
          <w:sz w:val="22"/>
          <w:szCs w:val="22"/>
          <w:lang w:val="es-ES"/>
        </w:rPr>
        <w:t xml:space="preserve">en baterías a la red. </w:t>
      </w:r>
    </w:p>
    <w:p w14:paraId="3AE349F3" w14:textId="5971CCA4" w:rsidR="00602F73" w:rsidRDefault="00602F73" w:rsidP="1F7419C0">
      <w:pPr>
        <w:spacing w:after="0" w:line="240" w:lineRule="auto"/>
        <w:rPr>
          <w:rFonts w:ascii="Arial" w:eastAsia="Arial" w:hAnsi="Arial" w:cs="Arial"/>
          <w:sz w:val="22"/>
          <w:szCs w:val="22"/>
          <w:lang w:val="es-ES"/>
        </w:rPr>
      </w:pPr>
    </w:p>
    <w:p w14:paraId="695BC076" w14:textId="0EC0324A" w:rsidR="00602F73" w:rsidRDefault="71570A18" w:rsidP="1F7419C0">
      <w:pPr>
        <w:spacing w:after="0" w:line="240" w:lineRule="auto"/>
        <w:rPr>
          <w:rFonts w:ascii="Arial" w:eastAsia="Arial" w:hAnsi="Arial" w:cs="Arial"/>
          <w:sz w:val="22"/>
          <w:szCs w:val="22"/>
          <w:lang w:val="es-ES"/>
        </w:rPr>
      </w:pPr>
      <w:r w:rsidRPr="1F7419C0">
        <w:rPr>
          <w:rFonts w:ascii="Arial" w:eastAsia="Arial" w:hAnsi="Arial" w:cs="Arial"/>
          <w:sz w:val="22"/>
          <w:szCs w:val="22"/>
          <w:lang w:val="es-ES"/>
        </w:rPr>
        <w:t xml:space="preserve">Los proyectos que buscan aprobación a través del </w:t>
      </w:r>
      <w:r w:rsidRPr="1F7419C0">
        <w:rPr>
          <w:rFonts w:ascii="Arial" w:eastAsia="Arial" w:hAnsi="Arial" w:cs="Arial"/>
          <w:color w:val="000000" w:themeColor="text1"/>
          <w:sz w:val="22"/>
          <w:szCs w:val="22"/>
          <w:lang w:val="es-ES"/>
        </w:rPr>
        <w:t>Programa de Certificación de Inclusión Voluntaria</w:t>
      </w:r>
      <w:r w:rsidRPr="1F7419C0">
        <w:rPr>
          <w:rFonts w:ascii="Arial" w:eastAsia="Arial" w:hAnsi="Arial" w:cs="Arial"/>
          <w:sz w:val="22"/>
          <w:szCs w:val="22"/>
          <w:lang w:val="es-ES"/>
        </w:rPr>
        <w:t xml:space="preserve"> ofrecen beneficios comunitarios y económicos. En conjunto, estos tres proyectos suman.</w:t>
      </w:r>
    </w:p>
    <w:p w14:paraId="7B2279FA" w14:textId="05B46D0E" w:rsidR="00602F73" w:rsidRDefault="00602F73" w:rsidP="1F7419C0">
      <w:pPr>
        <w:spacing w:after="0" w:line="240" w:lineRule="auto"/>
        <w:rPr>
          <w:rFonts w:ascii="Arial" w:eastAsia="Arial" w:hAnsi="Arial" w:cs="Arial"/>
          <w:sz w:val="22"/>
          <w:szCs w:val="22"/>
          <w:lang w:val="es-ES"/>
        </w:rPr>
      </w:pPr>
    </w:p>
    <w:p w14:paraId="44F94D56" w14:textId="4571B735" w:rsidR="00602F73" w:rsidRDefault="7B75EEB0" w:rsidP="1F7419C0">
      <w:pPr>
        <w:pStyle w:val="ListParagraph"/>
        <w:numPr>
          <w:ilvl w:val="0"/>
          <w:numId w:val="2"/>
        </w:numPr>
        <w:spacing w:after="0" w:line="240" w:lineRule="auto"/>
        <w:contextualSpacing w:val="0"/>
        <w:rPr>
          <w:rFonts w:ascii="Arial" w:eastAsia="Arial" w:hAnsi="Arial" w:cs="Arial"/>
          <w:sz w:val="22"/>
          <w:szCs w:val="22"/>
          <w:lang w:val="es-ES"/>
        </w:rPr>
      </w:pPr>
      <w:r w:rsidRPr="1F7419C0">
        <w:rPr>
          <w:rFonts w:ascii="Arial" w:eastAsia="Arial" w:hAnsi="Arial" w:cs="Arial"/>
          <w:sz w:val="22"/>
          <w:szCs w:val="22"/>
          <w:lang w:val="es-ES"/>
        </w:rPr>
        <w:t>1,450 MW de generación solar y 1,850 MW de almacenamiento, o 9,000 MWh de almacenamiento para mejorar la confiabilidad energética</w:t>
      </w:r>
    </w:p>
    <w:p w14:paraId="3FD9B6C5" w14:textId="1FB65D3E" w:rsidR="00602F73" w:rsidRDefault="7B75EEB0" w:rsidP="1F7419C0">
      <w:pPr>
        <w:pStyle w:val="ListParagraph"/>
        <w:numPr>
          <w:ilvl w:val="0"/>
          <w:numId w:val="2"/>
        </w:numPr>
        <w:spacing w:after="0" w:line="240" w:lineRule="auto"/>
        <w:contextualSpacing w:val="0"/>
        <w:rPr>
          <w:rFonts w:ascii="Arial" w:eastAsia="Arial" w:hAnsi="Arial" w:cs="Arial"/>
          <w:sz w:val="22"/>
          <w:szCs w:val="22"/>
          <w:lang w:val="es-ES"/>
        </w:rPr>
      </w:pPr>
      <w:r w:rsidRPr="1F7419C0">
        <w:rPr>
          <w:rFonts w:ascii="Arial" w:eastAsia="Arial" w:hAnsi="Arial" w:cs="Arial"/>
          <w:sz w:val="22"/>
          <w:szCs w:val="22"/>
          <w:lang w:val="es-ES"/>
        </w:rPr>
        <w:t>Más de 2,300 empleos de construcción en todo el estado y decenas de puestos de trabajo de tiempo completo en operaciones y mantenimiento</w:t>
      </w:r>
    </w:p>
    <w:p w14:paraId="1475242E" w14:textId="4B0E8B2B" w:rsidR="00602F73" w:rsidRDefault="5E079D26" w:rsidP="1F7419C0">
      <w:pPr>
        <w:pStyle w:val="ListParagraph"/>
        <w:numPr>
          <w:ilvl w:val="0"/>
          <w:numId w:val="2"/>
        </w:numPr>
        <w:spacing w:after="0" w:line="240" w:lineRule="auto"/>
        <w:contextualSpacing w:val="0"/>
        <w:rPr>
          <w:rFonts w:ascii="Arial" w:eastAsia="Arial" w:hAnsi="Arial" w:cs="Arial"/>
          <w:sz w:val="22"/>
          <w:szCs w:val="22"/>
          <w:lang w:val="es-ES"/>
        </w:rPr>
      </w:pPr>
      <w:r w:rsidRPr="1F7419C0">
        <w:rPr>
          <w:rFonts w:ascii="Arial" w:eastAsia="Arial" w:hAnsi="Arial" w:cs="Arial"/>
          <w:sz w:val="22"/>
          <w:szCs w:val="22"/>
          <w:lang w:val="es-ES"/>
        </w:rPr>
        <w:t>Más de 3 millones de dólares en beneficios e inversiones directas para la comunidad</w:t>
      </w:r>
    </w:p>
    <w:p w14:paraId="4FC48646" w14:textId="37F33D92" w:rsidR="00602F73" w:rsidRDefault="5E079D26" w:rsidP="1F7419C0">
      <w:pPr>
        <w:pStyle w:val="ListParagraph"/>
        <w:numPr>
          <w:ilvl w:val="0"/>
          <w:numId w:val="2"/>
        </w:numPr>
        <w:spacing w:after="0" w:line="240" w:lineRule="auto"/>
        <w:contextualSpacing w:val="0"/>
        <w:rPr>
          <w:rFonts w:ascii="Arial" w:eastAsia="Arial" w:hAnsi="Arial" w:cs="Arial"/>
          <w:sz w:val="22"/>
          <w:szCs w:val="22"/>
          <w:lang w:val="es-ES"/>
        </w:rPr>
      </w:pPr>
      <w:r w:rsidRPr="1F7419C0">
        <w:rPr>
          <w:rFonts w:ascii="Arial" w:eastAsia="Arial" w:hAnsi="Arial" w:cs="Arial"/>
          <w:sz w:val="22"/>
          <w:szCs w:val="22"/>
          <w:lang w:val="es-ES"/>
        </w:rPr>
        <w:t>Ingresos fiscales significativos a largo plazo para las comunidades locales y otras oportunidades indirectas de negocio y desarrollo económico.</w:t>
      </w:r>
    </w:p>
    <w:p w14:paraId="06DD9E65" w14:textId="7E563DF1" w:rsidR="00602F73" w:rsidRDefault="00602F73" w:rsidP="1F7419C0">
      <w:pPr>
        <w:spacing w:after="0" w:line="240" w:lineRule="auto"/>
        <w:rPr>
          <w:rFonts w:ascii="Arial" w:eastAsia="Arial" w:hAnsi="Arial" w:cs="Arial"/>
          <w:sz w:val="22"/>
          <w:szCs w:val="22"/>
          <w:lang w:val="es-ES"/>
        </w:rPr>
      </w:pPr>
    </w:p>
    <w:p w14:paraId="1A27665D" w14:textId="599DE91D" w:rsidR="00602F73" w:rsidRDefault="63C8F751" w:rsidP="1F7419C0">
      <w:pPr>
        <w:spacing w:after="0" w:line="240" w:lineRule="auto"/>
        <w:rPr>
          <w:rFonts w:ascii="Arial" w:eastAsia="Arial" w:hAnsi="Arial" w:cs="Arial"/>
          <w:sz w:val="22"/>
          <w:szCs w:val="22"/>
          <w:lang w:val="es-ES"/>
        </w:rPr>
      </w:pPr>
      <w:r w:rsidRPr="1F7419C0">
        <w:rPr>
          <w:rFonts w:ascii="Arial" w:eastAsia="Arial" w:hAnsi="Arial" w:cs="Arial"/>
          <w:sz w:val="22"/>
          <w:szCs w:val="22"/>
          <w:lang w:val="es-ES"/>
        </w:rPr>
        <w:t>“La innovación en los procesos es tan importante como la innovación tecnológica, y la certificación</w:t>
      </w:r>
      <w:r w:rsidR="0E1FA8C8" w:rsidRPr="1F7419C0">
        <w:rPr>
          <w:rFonts w:ascii="Arial" w:eastAsia="Arial" w:hAnsi="Arial" w:cs="Arial"/>
          <w:sz w:val="22"/>
          <w:szCs w:val="22"/>
          <w:lang w:val="es-ES"/>
        </w:rPr>
        <w:t xml:space="preserve"> </w:t>
      </w:r>
      <w:r w:rsidR="0E1FA8C8" w:rsidRPr="1F7419C0">
        <w:rPr>
          <w:rFonts w:ascii="Arial" w:eastAsia="Arial" w:hAnsi="Arial" w:cs="Arial"/>
          <w:color w:val="000000" w:themeColor="text1"/>
          <w:sz w:val="22"/>
          <w:szCs w:val="22"/>
          <w:lang w:val="es-ES"/>
        </w:rPr>
        <w:t>de inclusión voluntaria</w:t>
      </w:r>
      <w:r w:rsidRPr="1F7419C0">
        <w:rPr>
          <w:rFonts w:ascii="Arial" w:eastAsia="Arial" w:hAnsi="Arial" w:cs="Arial"/>
          <w:sz w:val="22"/>
          <w:szCs w:val="22"/>
          <w:lang w:val="es-ES"/>
        </w:rPr>
        <w:t xml:space="preserve"> es un ejemplo perfecto del compromiso del gobernador Newsom con construir más y más rápido”, dijo el presidente de la CEC, </w:t>
      </w:r>
      <w:hyperlink r:id="rId18">
        <w:r w:rsidRPr="1F7419C0">
          <w:rPr>
            <w:rStyle w:val="Hyperlink"/>
            <w:rFonts w:ascii="Arial" w:eastAsia="Arial" w:hAnsi="Arial" w:cs="Arial"/>
            <w:sz w:val="22"/>
            <w:szCs w:val="22"/>
            <w:lang w:val="es-ES"/>
          </w:rPr>
          <w:t>David Hochschild</w:t>
        </w:r>
      </w:hyperlink>
      <w:r w:rsidRPr="1F7419C0">
        <w:rPr>
          <w:rFonts w:ascii="Arial" w:eastAsia="Arial" w:hAnsi="Arial" w:cs="Arial"/>
          <w:sz w:val="22"/>
          <w:szCs w:val="22"/>
          <w:lang w:val="es-ES"/>
        </w:rPr>
        <w:t>. “Las metas de energía limpia de California dependen de la capacidad del estado para acelerar de manera responsable la entrega de proyectos de infraestructura crítica.”</w:t>
      </w:r>
    </w:p>
    <w:p w14:paraId="44C3BB1D" w14:textId="75270781" w:rsidR="00602F73" w:rsidRDefault="00602F73" w:rsidP="1F7419C0">
      <w:pPr>
        <w:spacing w:after="0" w:line="240" w:lineRule="auto"/>
        <w:rPr>
          <w:rFonts w:ascii="Arial" w:eastAsia="Arial" w:hAnsi="Arial" w:cs="Arial"/>
          <w:sz w:val="22"/>
          <w:szCs w:val="22"/>
          <w:lang w:val="es-ES"/>
        </w:rPr>
      </w:pPr>
    </w:p>
    <w:p w14:paraId="2B4025FA" w14:textId="6D178E50" w:rsidR="07C5E6A2" w:rsidRDefault="07C5E6A2" w:rsidP="1F7419C0">
      <w:pPr>
        <w:spacing w:after="0" w:line="240" w:lineRule="auto"/>
        <w:rPr>
          <w:rFonts w:ascii="Arial" w:eastAsia="Arial" w:hAnsi="Arial" w:cs="Arial"/>
          <w:sz w:val="22"/>
          <w:szCs w:val="22"/>
          <w:lang w:val="es-ES"/>
        </w:rPr>
      </w:pPr>
      <w:r w:rsidRPr="1F7419C0">
        <w:rPr>
          <w:rFonts w:ascii="Arial" w:eastAsia="Arial" w:hAnsi="Arial" w:cs="Arial"/>
          <w:sz w:val="22"/>
          <w:szCs w:val="22"/>
          <w:lang w:val="es-ES"/>
        </w:rPr>
        <w:t xml:space="preserve">Autorizado por la Asamblea Legislativa mediante el Proyecto de Ley 205 (AB 205), el Programa de Certificación de Inclusión Voluntaria ofrece una opción estatal de permisos consolidada para proyectos de energía limpia que cumplan con los requisitos, apoyando la transición de </w:t>
      </w:r>
      <w:r w:rsidRPr="1F7419C0">
        <w:rPr>
          <w:rFonts w:ascii="Arial" w:eastAsia="Arial" w:hAnsi="Arial" w:cs="Arial"/>
          <w:sz w:val="22"/>
          <w:szCs w:val="22"/>
          <w:lang w:val="es-ES"/>
        </w:rPr>
        <w:lastRenderedPageBreak/>
        <w:t xml:space="preserve">California hacia </w:t>
      </w:r>
      <w:r w:rsidR="24FC3C5F" w:rsidRPr="1F7419C0">
        <w:rPr>
          <w:rFonts w:ascii="Arial" w:eastAsia="Arial" w:hAnsi="Arial" w:cs="Arial"/>
          <w:sz w:val="22"/>
          <w:szCs w:val="22"/>
          <w:lang w:val="es-ES"/>
        </w:rPr>
        <w:t>ventas de electricidad minorista 100 por ciento renovable y libre de carbono para 2045, según lo exige el Proyecto de Ley del Senado 100.</w:t>
      </w:r>
    </w:p>
    <w:p w14:paraId="31FAB221" w14:textId="46B6783D" w:rsidR="1F7419C0" w:rsidRDefault="1F7419C0" w:rsidP="1F7419C0">
      <w:pPr>
        <w:spacing w:after="0" w:line="240" w:lineRule="auto"/>
        <w:rPr>
          <w:rFonts w:ascii="Arial" w:eastAsia="Arial" w:hAnsi="Arial" w:cs="Arial"/>
          <w:color w:val="000000" w:themeColor="text1"/>
          <w:sz w:val="22"/>
          <w:szCs w:val="22"/>
          <w:lang w:val="es-ES"/>
        </w:rPr>
      </w:pPr>
    </w:p>
    <w:p w14:paraId="1F8CAB6A" w14:textId="793FC82E" w:rsidR="00602F73" w:rsidRDefault="07C5E6A2" w:rsidP="1F7419C0">
      <w:pPr>
        <w:spacing w:after="0" w:line="240" w:lineRule="auto"/>
        <w:rPr>
          <w:rFonts w:ascii="Arial" w:eastAsia="Arial" w:hAnsi="Arial" w:cs="Arial"/>
          <w:color w:val="000000" w:themeColor="text1"/>
          <w:sz w:val="22"/>
          <w:szCs w:val="22"/>
          <w:lang w:val="es-ES"/>
        </w:rPr>
      </w:pPr>
      <w:r w:rsidRPr="1F7419C0">
        <w:rPr>
          <w:rFonts w:ascii="Arial" w:eastAsia="Arial" w:hAnsi="Arial" w:cs="Arial"/>
          <w:b/>
          <w:bCs/>
          <w:color w:val="000000" w:themeColor="text1"/>
          <w:sz w:val="22"/>
          <w:szCs w:val="22"/>
          <w:lang w:val="es-ES"/>
        </w:rPr>
        <w:t xml:space="preserve">Acerca del Programa de Certificación de Inclusión Voluntaria </w:t>
      </w:r>
    </w:p>
    <w:p w14:paraId="301C2BA5" w14:textId="4B2D34DA" w:rsidR="00602F73" w:rsidRDefault="00602F73" w:rsidP="1F7419C0">
      <w:pPr>
        <w:spacing w:after="0" w:line="240" w:lineRule="auto"/>
        <w:rPr>
          <w:rFonts w:ascii="Arial" w:eastAsia="Arial" w:hAnsi="Arial" w:cs="Arial"/>
          <w:color w:val="000000" w:themeColor="text1"/>
          <w:sz w:val="22"/>
          <w:szCs w:val="22"/>
          <w:lang w:val="es-ES"/>
        </w:rPr>
      </w:pPr>
    </w:p>
    <w:p w14:paraId="61492898" w14:textId="55CF6C18" w:rsidR="00602F73" w:rsidRDefault="07C5E6A2" w:rsidP="1F7419C0">
      <w:pPr>
        <w:spacing w:after="0" w:line="240" w:lineRule="auto"/>
        <w:rPr>
          <w:rFonts w:ascii="Arial" w:eastAsia="Arial" w:hAnsi="Arial" w:cs="Arial"/>
          <w:color w:val="000000" w:themeColor="text1"/>
          <w:sz w:val="22"/>
          <w:szCs w:val="22"/>
          <w:lang w:val="es-ES"/>
        </w:rPr>
      </w:pPr>
      <w:r w:rsidRPr="1F7419C0">
        <w:rPr>
          <w:rFonts w:ascii="Arial" w:eastAsia="Arial" w:hAnsi="Arial" w:cs="Arial"/>
          <w:color w:val="000000" w:themeColor="text1"/>
          <w:sz w:val="22"/>
          <w:szCs w:val="22"/>
          <w:lang w:val="es-ES"/>
        </w:rPr>
        <w:t xml:space="preserve">Como parte de la agenda del gobernador Gavin Newsom para </w:t>
      </w:r>
      <w:hyperlink r:id="rId19">
        <w:r w:rsidRPr="1F7419C0">
          <w:rPr>
            <w:rStyle w:val="Hyperlink"/>
            <w:rFonts w:ascii="Arial" w:eastAsia="Arial" w:hAnsi="Arial" w:cs="Arial"/>
            <w:sz w:val="22"/>
            <w:szCs w:val="22"/>
            <w:lang w:val="es-ES"/>
          </w:rPr>
          <w:t>construir más y más rápido</w:t>
        </w:r>
      </w:hyperlink>
      <w:r w:rsidRPr="1F7419C0">
        <w:rPr>
          <w:rFonts w:ascii="Arial" w:eastAsia="Arial" w:hAnsi="Arial" w:cs="Arial"/>
          <w:color w:val="000000" w:themeColor="text1"/>
          <w:sz w:val="22"/>
          <w:szCs w:val="22"/>
          <w:lang w:val="es-ES"/>
        </w:rPr>
        <w:t xml:space="preserve">, el estado creó una </w:t>
      </w:r>
      <w:proofErr w:type="gramStart"/>
      <w:r w:rsidRPr="1F7419C0">
        <w:rPr>
          <w:rFonts w:ascii="Arial" w:eastAsia="Arial" w:hAnsi="Arial" w:cs="Arial"/>
          <w:color w:val="000000" w:themeColor="text1"/>
          <w:sz w:val="22"/>
          <w:szCs w:val="22"/>
          <w:lang w:val="es-ES"/>
        </w:rPr>
        <w:t>opción alternativa</w:t>
      </w:r>
      <w:proofErr w:type="gramEnd"/>
      <w:r w:rsidRPr="1F7419C0">
        <w:rPr>
          <w:rFonts w:ascii="Arial" w:eastAsia="Arial" w:hAnsi="Arial" w:cs="Arial"/>
          <w:color w:val="000000" w:themeColor="text1"/>
          <w:sz w:val="22"/>
          <w:szCs w:val="22"/>
          <w:lang w:val="es-ES"/>
        </w:rPr>
        <w:t xml:space="preserve"> de permisos para ciertos proyectos de energía limpia a través del </w:t>
      </w:r>
      <w:r w:rsidR="5CBCC898" w:rsidRPr="1F7419C0">
        <w:rPr>
          <w:rFonts w:ascii="Arial" w:eastAsia="Arial" w:hAnsi="Arial" w:cs="Arial"/>
          <w:color w:val="000000" w:themeColor="text1"/>
          <w:sz w:val="22"/>
          <w:szCs w:val="22"/>
          <w:lang w:val="es-ES"/>
        </w:rPr>
        <w:t>P</w:t>
      </w:r>
      <w:r w:rsidRPr="1F7419C0">
        <w:rPr>
          <w:rFonts w:ascii="Arial" w:eastAsia="Arial" w:hAnsi="Arial" w:cs="Arial"/>
          <w:color w:val="000000" w:themeColor="text1"/>
          <w:sz w:val="22"/>
          <w:szCs w:val="22"/>
          <w:lang w:val="es-ES"/>
        </w:rPr>
        <w:t xml:space="preserve">rograma de Certificación de Inclusión Voluntaria de la CEC. Este programa está diseñado para acelerar el desarrollo de energía limpia en California. Bajo el </w:t>
      </w:r>
      <w:r w:rsidR="5CBCC898" w:rsidRPr="1F7419C0">
        <w:rPr>
          <w:rFonts w:ascii="Arial" w:eastAsia="Arial" w:hAnsi="Arial" w:cs="Arial"/>
          <w:color w:val="000000" w:themeColor="text1"/>
          <w:sz w:val="22"/>
          <w:szCs w:val="22"/>
          <w:lang w:val="es-ES"/>
        </w:rPr>
        <w:t>P</w:t>
      </w:r>
      <w:r w:rsidRPr="1F7419C0">
        <w:rPr>
          <w:rFonts w:ascii="Arial" w:eastAsia="Arial" w:hAnsi="Arial" w:cs="Arial"/>
          <w:color w:val="000000" w:themeColor="text1"/>
          <w:sz w:val="22"/>
          <w:szCs w:val="22"/>
          <w:lang w:val="es-ES"/>
        </w:rPr>
        <w:t xml:space="preserve">rograma de Certificación de Inclusión Voluntaria, la CEC actúa como agencia principal para cumplir con la Ley de Calidad Ambiental de California y llevará a cabo reuniones públicas en o cerca de las ubicaciones propuestas del proyecto para recopilar comentarios sobre los proyectos propuestos. </w:t>
      </w:r>
      <w:r w:rsidR="033B3E0C" w:rsidRPr="1F7419C0">
        <w:rPr>
          <w:rFonts w:ascii="Arial" w:eastAsia="Arial" w:hAnsi="Arial" w:cs="Arial"/>
          <w:sz w:val="22"/>
          <w:szCs w:val="22"/>
          <w:lang w:val="es-ES"/>
        </w:rPr>
        <w:t>Según lo establecido por la ley, la revisión ambiental de un proyecto debe completarse dentro de un plazo de 270 días a partir del momento en que la solicitud del proyecto se considere completa, a menos que surjan ciertas circunstancias</w:t>
      </w:r>
      <w:r w:rsidR="319F73EA" w:rsidRPr="1F7419C0">
        <w:rPr>
          <w:rFonts w:ascii="Arial" w:eastAsia="Arial" w:hAnsi="Arial" w:cs="Arial"/>
          <w:sz w:val="22"/>
          <w:szCs w:val="22"/>
          <w:lang w:val="es-ES"/>
        </w:rPr>
        <w:t xml:space="preserve"> </w:t>
      </w:r>
      <w:r w:rsidR="033B3E0C" w:rsidRPr="1F7419C0">
        <w:rPr>
          <w:rFonts w:ascii="Arial" w:eastAsia="Arial" w:hAnsi="Arial" w:cs="Arial"/>
          <w:sz w:val="22"/>
          <w:szCs w:val="22"/>
          <w:lang w:val="es-ES"/>
        </w:rPr>
        <w:t xml:space="preserve">que requieran más tiempo. </w:t>
      </w:r>
      <w:r w:rsidRPr="1F7419C0">
        <w:rPr>
          <w:rFonts w:ascii="Arial" w:eastAsia="Arial" w:hAnsi="Arial" w:cs="Arial"/>
          <w:color w:val="000000" w:themeColor="text1"/>
          <w:sz w:val="22"/>
          <w:szCs w:val="22"/>
          <w:lang w:val="es-ES"/>
        </w:rPr>
        <w:t>La CEC invitará a las tribus nativas americanas de California a participar en un proceso de consulta, organizará reuniones públicas en la zona local y facilitará y tomará en cuenta los comentarios del público a lo largo del proceso.</w:t>
      </w:r>
    </w:p>
    <w:p w14:paraId="0855588C" w14:textId="7CC241BE" w:rsidR="00602F73" w:rsidRDefault="00602F73" w:rsidP="1F7419C0">
      <w:pPr>
        <w:spacing w:after="0" w:line="240" w:lineRule="auto"/>
        <w:rPr>
          <w:rFonts w:ascii="Arial" w:eastAsia="Arial" w:hAnsi="Arial" w:cs="Arial"/>
          <w:color w:val="000000" w:themeColor="text1"/>
          <w:sz w:val="22"/>
          <w:szCs w:val="22"/>
          <w:lang w:val="es-ES"/>
        </w:rPr>
      </w:pPr>
    </w:p>
    <w:p w14:paraId="131B8ACE" w14:textId="62023089" w:rsidR="00602F73" w:rsidRDefault="07C5E6A2" w:rsidP="1F7419C0">
      <w:pPr>
        <w:spacing w:after="0" w:line="240" w:lineRule="auto"/>
        <w:rPr>
          <w:rFonts w:ascii="Arial" w:eastAsia="Arial" w:hAnsi="Arial" w:cs="Arial"/>
          <w:color w:val="000000" w:themeColor="text1"/>
          <w:sz w:val="22"/>
          <w:szCs w:val="22"/>
          <w:lang w:val="es-ES"/>
        </w:rPr>
      </w:pPr>
      <w:r w:rsidRPr="1F7419C0">
        <w:rPr>
          <w:rFonts w:ascii="Arial" w:eastAsia="Arial" w:hAnsi="Arial" w:cs="Arial"/>
          <w:color w:val="000000" w:themeColor="text1"/>
          <w:sz w:val="22"/>
          <w:szCs w:val="22"/>
          <w:lang w:val="es-ES"/>
        </w:rPr>
        <w:t>Si la CEC aprueba el proyecto, la emisión de un certificado</w:t>
      </w:r>
      <w:r w:rsidR="3B04FF4A" w:rsidRPr="1F7419C0">
        <w:rPr>
          <w:rFonts w:ascii="Arial" w:eastAsia="Arial" w:hAnsi="Arial" w:cs="Arial"/>
          <w:color w:val="000000" w:themeColor="text1"/>
          <w:sz w:val="22"/>
          <w:szCs w:val="22"/>
          <w:lang w:val="es-ES"/>
        </w:rPr>
        <w:t xml:space="preserve">, </w:t>
      </w:r>
      <w:r w:rsidR="3B04FF4A" w:rsidRPr="1F7419C0">
        <w:rPr>
          <w:rFonts w:ascii="Arial" w:eastAsia="Arial" w:hAnsi="Arial" w:cs="Arial"/>
          <w:sz w:val="22"/>
          <w:szCs w:val="22"/>
          <w:lang w:val="es-ES"/>
        </w:rPr>
        <w:t xml:space="preserve">en la mayoría de los casos, </w:t>
      </w:r>
      <w:r w:rsidRPr="1F7419C0">
        <w:rPr>
          <w:rFonts w:ascii="Arial" w:eastAsia="Arial" w:hAnsi="Arial" w:cs="Arial"/>
          <w:color w:val="000000" w:themeColor="text1"/>
          <w:sz w:val="22"/>
          <w:szCs w:val="22"/>
          <w:lang w:val="es-ES"/>
        </w:rPr>
        <w:t>reemplaza la necesidad de pedir permisos, certificados u otros documentos similares requeridos por agencias estatales, locales, regionales o federales, en la medida en que lo permita la ley federal. Si el proyecto es certificado, la CEC supervisará la construcción y operación del proyecto durante toda su vida útil, conforme a las condiciones de certificación establecidas, lo que incluye aplicar sanciones en caso de infracción y llevar a cabo el desmantelamiento cuando sea apropiado.</w:t>
      </w:r>
    </w:p>
    <w:p w14:paraId="6F4E913A" w14:textId="35AEB0C4" w:rsidR="00602F73" w:rsidRDefault="00602F73" w:rsidP="1F7419C0">
      <w:pPr>
        <w:spacing w:after="0" w:line="240" w:lineRule="auto"/>
        <w:rPr>
          <w:rFonts w:ascii="Arial" w:eastAsia="Arial" w:hAnsi="Arial" w:cs="Arial"/>
          <w:color w:val="000000" w:themeColor="text1"/>
          <w:sz w:val="22"/>
          <w:szCs w:val="22"/>
          <w:lang w:val="es-ES"/>
        </w:rPr>
      </w:pPr>
    </w:p>
    <w:p w14:paraId="12E74089" w14:textId="26894751" w:rsidR="00602F73" w:rsidRDefault="07C5E6A2" w:rsidP="1F7419C0">
      <w:pPr>
        <w:spacing w:after="0" w:line="240" w:lineRule="auto"/>
        <w:rPr>
          <w:rFonts w:ascii="Arial" w:eastAsia="Arial" w:hAnsi="Arial" w:cs="Arial"/>
          <w:color w:val="000000" w:themeColor="text1"/>
          <w:sz w:val="22"/>
          <w:szCs w:val="22"/>
          <w:lang w:val="es-ES"/>
        </w:rPr>
      </w:pPr>
      <w:r w:rsidRPr="1F7419C0">
        <w:rPr>
          <w:rFonts w:ascii="Arial" w:eastAsia="Arial" w:hAnsi="Arial" w:cs="Arial"/>
          <w:color w:val="000000" w:themeColor="text1"/>
          <w:sz w:val="22"/>
          <w:szCs w:val="22"/>
          <w:lang w:val="es-US"/>
        </w:rPr>
        <w:t xml:space="preserve">Para obtener más información sobre el programa, visite la página web del </w:t>
      </w:r>
      <w:hyperlink r:id="rId20">
        <w:r w:rsidRPr="1F7419C0">
          <w:rPr>
            <w:rStyle w:val="Hyperlink"/>
            <w:rFonts w:ascii="Arial" w:eastAsia="Arial" w:hAnsi="Arial" w:cs="Arial"/>
            <w:sz w:val="22"/>
            <w:szCs w:val="22"/>
            <w:lang w:val="es-US"/>
          </w:rPr>
          <w:t>Programa de Certificación de Inclusión Voluntaria</w:t>
        </w:r>
      </w:hyperlink>
      <w:r w:rsidRPr="1F7419C0">
        <w:rPr>
          <w:rFonts w:ascii="Arial" w:eastAsia="Arial" w:hAnsi="Arial" w:cs="Arial"/>
          <w:color w:val="000000" w:themeColor="text1"/>
          <w:sz w:val="22"/>
          <w:szCs w:val="22"/>
          <w:lang w:val="es-US"/>
        </w:rPr>
        <w:t>.</w:t>
      </w:r>
    </w:p>
    <w:p w14:paraId="4E83FB8A" w14:textId="3D2B1E8D" w:rsidR="00602F73" w:rsidRDefault="00602F73" w:rsidP="1F7419C0">
      <w:pPr>
        <w:spacing w:after="0" w:line="240" w:lineRule="auto"/>
        <w:rPr>
          <w:rFonts w:ascii="Arial" w:eastAsia="Arial" w:hAnsi="Arial" w:cs="Arial"/>
          <w:color w:val="000000" w:themeColor="text1"/>
          <w:sz w:val="22"/>
          <w:szCs w:val="22"/>
          <w:lang w:val="es-ES"/>
        </w:rPr>
      </w:pPr>
    </w:p>
    <w:p w14:paraId="42325E91" w14:textId="24E606C4" w:rsidR="00602F73" w:rsidRDefault="07C5E6A2" w:rsidP="1F7419C0">
      <w:pPr>
        <w:spacing w:after="0" w:line="240" w:lineRule="auto"/>
        <w:rPr>
          <w:rFonts w:ascii="Arial" w:eastAsia="Arial" w:hAnsi="Arial" w:cs="Arial"/>
          <w:color w:val="000000" w:themeColor="text1"/>
          <w:sz w:val="22"/>
          <w:szCs w:val="22"/>
          <w:lang w:val="es-ES"/>
        </w:rPr>
      </w:pPr>
      <w:r w:rsidRPr="1F7419C0">
        <w:rPr>
          <w:rFonts w:ascii="Arial" w:eastAsia="Arial" w:hAnsi="Arial" w:cs="Arial"/>
          <w:b/>
          <w:bCs/>
          <w:color w:val="000000" w:themeColor="text1"/>
          <w:sz w:val="22"/>
          <w:szCs w:val="22"/>
          <w:lang w:val="es-ES"/>
        </w:rPr>
        <w:t xml:space="preserve">Acerca del Almacenamiento de Energía en Baterías </w:t>
      </w:r>
    </w:p>
    <w:p w14:paraId="4CFD7C82" w14:textId="51E95032" w:rsidR="00602F73" w:rsidRDefault="00602F73" w:rsidP="1F7419C0">
      <w:pPr>
        <w:spacing w:after="0" w:line="240" w:lineRule="auto"/>
        <w:rPr>
          <w:rFonts w:ascii="Arial" w:eastAsia="Arial" w:hAnsi="Arial" w:cs="Arial"/>
          <w:color w:val="000000" w:themeColor="text1"/>
          <w:sz w:val="22"/>
          <w:szCs w:val="22"/>
          <w:lang w:val="es-ES"/>
        </w:rPr>
      </w:pPr>
    </w:p>
    <w:p w14:paraId="2413E749" w14:textId="0CAB986C" w:rsidR="00602F73" w:rsidRDefault="07C5E6A2" w:rsidP="1F7419C0">
      <w:pPr>
        <w:spacing w:after="0" w:line="240" w:lineRule="auto"/>
        <w:rPr>
          <w:rFonts w:ascii="Arial" w:eastAsia="Arial" w:hAnsi="Arial" w:cs="Arial"/>
          <w:color w:val="000000" w:themeColor="text1"/>
          <w:sz w:val="22"/>
          <w:szCs w:val="22"/>
          <w:lang w:val="es-ES"/>
        </w:rPr>
      </w:pPr>
      <w:r w:rsidRPr="1F7419C0">
        <w:rPr>
          <w:rFonts w:ascii="Arial" w:eastAsia="Arial" w:hAnsi="Arial" w:cs="Arial"/>
          <w:color w:val="000000" w:themeColor="text1"/>
          <w:sz w:val="22"/>
          <w:szCs w:val="22"/>
          <w:lang w:val="es-ES"/>
        </w:rPr>
        <w:t xml:space="preserve">El desarrollo y operación segura de los sistemas de almacenamiento de energía en baterías ha sido y sigue siendo una prioridad para las agencias de energía de California. La CEC forma parte de una colaboración entre agencias convocada por el Gobernador Newsom para identificar oportunidades de mejorar la seguridad a medida que avanza la tecnología. Las iniciativas clave incluyen 1) una actualización del Código de Incendios de California que </w:t>
      </w:r>
      <w:r w:rsidRPr="1F7419C0">
        <w:rPr>
          <w:rFonts w:ascii="Arial" w:eastAsia="Arial" w:hAnsi="Arial" w:cs="Arial"/>
          <w:color w:val="000000" w:themeColor="text1"/>
          <w:sz w:val="22"/>
          <w:szCs w:val="22"/>
          <w:lang w:val="es"/>
        </w:rPr>
        <w:t xml:space="preserve">entró en vigor </w:t>
      </w:r>
      <w:r w:rsidRPr="1F7419C0">
        <w:rPr>
          <w:rFonts w:ascii="Arial" w:eastAsia="Arial" w:hAnsi="Arial" w:cs="Arial"/>
          <w:color w:val="000000" w:themeColor="text1"/>
          <w:sz w:val="22"/>
          <w:szCs w:val="22"/>
          <w:lang w:val="es-ES"/>
        </w:rPr>
        <w:t xml:space="preserve">el 1 de enero de 2026, e </w:t>
      </w:r>
      <w:r w:rsidRPr="1F7419C0">
        <w:rPr>
          <w:rFonts w:ascii="Arial" w:eastAsia="Arial" w:hAnsi="Arial" w:cs="Arial"/>
          <w:color w:val="000000" w:themeColor="text1"/>
          <w:sz w:val="22"/>
          <w:szCs w:val="22"/>
          <w:lang w:val="es"/>
        </w:rPr>
        <w:t>incluyó</w:t>
      </w:r>
      <w:r w:rsidRPr="1F7419C0">
        <w:rPr>
          <w:rFonts w:ascii="Arial" w:eastAsia="Arial" w:hAnsi="Arial" w:cs="Arial"/>
          <w:color w:val="000000" w:themeColor="text1"/>
          <w:sz w:val="22"/>
          <w:szCs w:val="22"/>
          <w:lang w:val="es-ES"/>
        </w:rPr>
        <w:t xml:space="preserve"> normas de seguridad mejoradas para los sistemas de almacenamiento de energía en baterías, y 2) nuevos protocolos de seguridad para el mantenimiento y la operación de instalaciones de sistemas de almacenamiento de energía en baterías, aprobados en marzo de 2025 por la Comisión de Servicios Públicos de California. Estas y otras iniciativas en curso se basan en los estudios más recientes y en la consulta con expertos</w:t>
      </w:r>
      <w:r w:rsidR="76AD4A32" w:rsidRPr="1F7419C0">
        <w:rPr>
          <w:rFonts w:ascii="Arial" w:eastAsia="Arial" w:hAnsi="Arial" w:cs="Arial"/>
          <w:color w:val="000000" w:themeColor="text1"/>
          <w:sz w:val="22"/>
          <w:szCs w:val="22"/>
          <w:lang w:val="es-ES"/>
        </w:rPr>
        <w:t xml:space="preserve"> diversos</w:t>
      </w:r>
      <w:r w:rsidRPr="1F7419C0">
        <w:rPr>
          <w:rFonts w:ascii="Arial" w:eastAsia="Arial" w:hAnsi="Arial" w:cs="Arial"/>
          <w:color w:val="000000" w:themeColor="text1"/>
          <w:sz w:val="22"/>
          <w:szCs w:val="22"/>
          <w:lang w:val="es-ES"/>
        </w:rPr>
        <w:t>, con el fin de mantener a California a la vanguardia en el despliegue seguro y confiable de tecnología de almacenamiento de energía en baterías.</w:t>
      </w:r>
    </w:p>
    <w:p w14:paraId="1FB80B6B" w14:textId="6EF4DBAE" w:rsidR="00602F73" w:rsidRPr="00844DFA" w:rsidRDefault="00602F73" w:rsidP="1F7419C0">
      <w:pPr>
        <w:spacing w:after="0" w:line="240" w:lineRule="auto"/>
        <w:rPr>
          <w:rFonts w:ascii="Arial" w:eastAsia="Arial" w:hAnsi="Arial" w:cs="Arial"/>
          <w:color w:val="000000" w:themeColor="text1"/>
          <w:sz w:val="22"/>
          <w:szCs w:val="22"/>
          <w:lang w:val="es-US"/>
        </w:rPr>
      </w:pPr>
    </w:p>
    <w:p w14:paraId="662B6F84" w14:textId="65480F09" w:rsidR="00602F73" w:rsidRDefault="3E6B5560" w:rsidP="1F7419C0">
      <w:pPr>
        <w:spacing w:after="0" w:line="240" w:lineRule="auto"/>
        <w:rPr>
          <w:rFonts w:ascii="Arial" w:eastAsia="Arial" w:hAnsi="Arial" w:cs="Arial"/>
          <w:color w:val="000000" w:themeColor="text1"/>
          <w:sz w:val="22"/>
          <w:szCs w:val="22"/>
          <w:lang w:val="es-ES"/>
        </w:rPr>
      </w:pPr>
      <w:r w:rsidRPr="1F7419C0">
        <w:rPr>
          <w:rFonts w:ascii="Arial" w:eastAsia="Arial" w:hAnsi="Arial" w:cs="Arial"/>
          <w:color w:val="000000" w:themeColor="text1"/>
          <w:sz w:val="22"/>
          <w:szCs w:val="22"/>
          <w:lang w:val="es-US"/>
        </w:rPr>
        <w:t xml:space="preserve">Para obtener la certificación, un sistema de almacenamiento de </w:t>
      </w:r>
      <w:r w:rsidR="07C5E6A2" w:rsidRPr="1F7419C0">
        <w:rPr>
          <w:rFonts w:ascii="Arial" w:eastAsia="Arial" w:hAnsi="Arial" w:cs="Arial"/>
          <w:color w:val="000000" w:themeColor="text1"/>
          <w:sz w:val="22"/>
          <w:szCs w:val="22"/>
          <w:lang w:val="es-US"/>
        </w:rPr>
        <w:t>energía</w:t>
      </w:r>
      <w:r w:rsidR="62B5D761" w:rsidRPr="1F7419C0">
        <w:rPr>
          <w:rFonts w:ascii="Arial" w:eastAsia="Arial" w:hAnsi="Arial" w:cs="Arial"/>
          <w:color w:val="000000" w:themeColor="text1"/>
          <w:sz w:val="22"/>
          <w:szCs w:val="22"/>
          <w:lang w:val="es-US"/>
        </w:rPr>
        <w:t xml:space="preserve"> </w:t>
      </w:r>
      <w:r w:rsidR="07C5E6A2" w:rsidRPr="1F7419C0">
        <w:rPr>
          <w:rFonts w:ascii="Arial" w:eastAsia="Arial" w:hAnsi="Arial" w:cs="Arial"/>
          <w:color w:val="000000" w:themeColor="text1"/>
          <w:sz w:val="22"/>
          <w:szCs w:val="22"/>
          <w:lang w:val="es-US"/>
        </w:rPr>
        <w:t>en</w:t>
      </w:r>
      <w:r w:rsidR="5C77FC42" w:rsidRPr="1F7419C0">
        <w:rPr>
          <w:rFonts w:ascii="Arial" w:eastAsia="Arial" w:hAnsi="Arial" w:cs="Arial"/>
          <w:color w:val="000000" w:themeColor="text1"/>
          <w:sz w:val="22"/>
          <w:szCs w:val="22"/>
          <w:lang w:val="es-US"/>
        </w:rPr>
        <w:t xml:space="preserve"> </w:t>
      </w:r>
      <w:r w:rsidR="07C5E6A2" w:rsidRPr="1F7419C0">
        <w:rPr>
          <w:rFonts w:ascii="Arial" w:eastAsia="Arial" w:hAnsi="Arial" w:cs="Arial"/>
          <w:color w:val="000000" w:themeColor="text1"/>
          <w:sz w:val="22"/>
          <w:szCs w:val="22"/>
          <w:lang w:val="es-US"/>
        </w:rPr>
        <w:t>baterías</w:t>
      </w:r>
      <w:r w:rsidR="6554AC37" w:rsidRPr="1F7419C0">
        <w:rPr>
          <w:rFonts w:ascii="Arial" w:eastAsia="Arial" w:hAnsi="Arial" w:cs="Arial"/>
          <w:color w:val="000000" w:themeColor="text1"/>
          <w:sz w:val="22"/>
          <w:szCs w:val="22"/>
          <w:lang w:val="es-US"/>
        </w:rPr>
        <w:t xml:space="preserve"> </w:t>
      </w:r>
      <w:r w:rsidR="07C5E6A2" w:rsidRPr="1F7419C0">
        <w:rPr>
          <w:rFonts w:ascii="Arial" w:eastAsia="Arial" w:hAnsi="Arial" w:cs="Arial"/>
          <w:color w:val="000000" w:themeColor="text1"/>
          <w:sz w:val="22"/>
          <w:szCs w:val="22"/>
          <w:lang w:val="es-US"/>
        </w:rPr>
        <w:t>deberá</w:t>
      </w:r>
      <w:r w:rsidR="3BBA79B1" w:rsidRPr="1F7419C0">
        <w:rPr>
          <w:rFonts w:ascii="Arial" w:eastAsia="Arial" w:hAnsi="Arial" w:cs="Arial"/>
          <w:color w:val="000000" w:themeColor="text1"/>
          <w:sz w:val="22"/>
          <w:szCs w:val="22"/>
          <w:lang w:val="es-US"/>
        </w:rPr>
        <w:t xml:space="preserve"> </w:t>
      </w:r>
      <w:r w:rsidR="07C5E6A2" w:rsidRPr="1F7419C0">
        <w:rPr>
          <w:rFonts w:ascii="Arial" w:eastAsia="Arial" w:hAnsi="Arial" w:cs="Arial"/>
          <w:color w:val="000000" w:themeColor="text1"/>
          <w:sz w:val="22"/>
          <w:szCs w:val="22"/>
          <w:lang w:val="es-US"/>
        </w:rPr>
        <w:t xml:space="preserve">cumplir con estrictas normas de seguridad y medioambientales. </w:t>
      </w:r>
      <w:r w:rsidR="07C5E6A2" w:rsidRPr="1F7419C0">
        <w:rPr>
          <w:rFonts w:ascii="Arial" w:eastAsia="Arial" w:hAnsi="Arial" w:cs="Arial"/>
          <w:color w:val="000000" w:themeColor="text1"/>
          <w:sz w:val="22"/>
          <w:szCs w:val="22"/>
        </w:rPr>
        <w:t>Los</w:t>
      </w:r>
      <w:r w:rsidR="655AF124" w:rsidRPr="1F7419C0">
        <w:rPr>
          <w:rFonts w:ascii="Arial" w:eastAsia="Arial" w:hAnsi="Arial" w:cs="Arial"/>
          <w:color w:val="000000" w:themeColor="text1"/>
          <w:sz w:val="22"/>
          <w:szCs w:val="22"/>
        </w:rPr>
        <w:t xml:space="preserve"> </w:t>
      </w:r>
      <w:r w:rsidR="07C5E6A2" w:rsidRPr="1F7419C0">
        <w:rPr>
          <w:rFonts w:ascii="Arial" w:eastAsia="Arial" w:hAnsi="Arial" w:cs="Arial"/>
          <w:color w:val="000000" w:themeColor="text1"/>
          <w:sz w:val="22"/>
          <w:szCs w:val="22"/>
        </w:rPr>
        <w:t>posibles</w:t>
      </w:r>
      <w:r w:rsidR="567B0DBE" w:rsidRPr="1F7419C0">
        <w:rPr>
          <w:rFonts w:ascii="Arial" w:eastAsia="Arial" w:hAnsi="Arial" w:cs="Arial"/>
          <w:color w:val="000000" w:themeColor="text1"/>
          <w:sz w:val="22"/>
          <w:szCs w:val="22"/>
        </w:rPr>
        <w:t xml:space="preserve"> </w:t>
      </w:r>
      <w:r w:rsidR="07C5E6A2" w:rsidRPr="1F7419C0">
        <w:rPr>
          <w:rFonts w:ascii="Arial" w:eastAsia="Arial" w:hAnsi="Arial" w:cs="Arial"/>
          <w:color w:val="000000" w:themeColor="text1"/>
          <w:sz w:val="22"/>
          <w:szCs w:val="22"/>
        </w:rPr>
        <w:t>requisitos</w:t>
      </w:r>
      <w:r w:rsidR="03E4F098" w:rsidRPr="1F7419C0">
        <w:rPr>
          <w:rFonts w:ascii="Arial" w:eastAsia="Arial" w:hAnsi="Arial" w:cs="Arial"/>
          <w:color w:val="000000" w:themeColor="text1"/>
          <w:sz w:val="22"/>
          <w:szCs w:val="22"/>
        </w:rPr>
        <w:t xml:space="preserve"> </w:t>
      </w:r>
      <w:r w:rsidR="07C5E6A2" w:rsidRPr="1F7419C0">
        <w:rPr>
          <w:rFonts w:ascii="Arial" w:eastAsia="Arial" w:hAnsi="Arial" w:cs="Arial"/>
          <w:color w:val="000000" w:themeColor="text1"/>
          <w:sz w:val="22"/>
          <w:szCs w:val="22"/>
        </w:rPr>
        <w:t>de</w:t>
      </w:r>
      <w:r w:rsidR="7DD95D03" w:rsidRPr="1F7419C0">
        <w:rPr>
          <w:rFonts w:ascii="Arial" w:eastAsia="Arial" w:hAnsi="Arial" w:cs="Arial"/>
          <w:color w:val="000000" w:themeColor="text1"/>
          <w:sz w:val="22"/>
          <w:szCs w:val="22"/>
        </w:rPr>
        <w:t xml:space="preserve"> </w:t>
      </w:r>
      <w:r w:rsidR="07C5E6A2" w:rsidRPr="1F7419C0">
        <w:rPr>
          <w:rFonts w:ascii="Arial" w:eastAsia="Arial" w:hAnsi="Arial" w:cs="Arial"/>
          <w:color w:val="000000" w:themeColor="text1"/>
          <w:sz w:val="22"/>
          <w:szCs w:val="22"/>
        </w:rPr>
        <w:t>mitigación</w:t>
      </w:r>
      <w:r w:rsidR="76931E20" w:rsidRPr="1F7419C0">
        <w:rPr>
          <w:rFonts w:ascii="Arial" w:eastAsia="Arial" w:hAnsi="Arial" w:cs="Arial"/>
          <w:color w:val="000000" w:themeColor="text1"/>
          <w:sz w:val="22"/>
          <w:szCs w:val="22"/>
        </w:rPr>
        <w:t xml:space="preserve"> </w:t>
      </w:r>
      <w:r w:rsidR="07C5E6A2" w:rsidRPr="1F7419C0">
        <w:rPr>
          <w:rFonts w:ascii="Arial" w:eastAsia="Arial" w:hAnsi="Arial" w:cs="Arial"/>
          <w:color w:val="000000" w:themeColor="text1"/>
          <w:sz w:val="22"/>
          <w:szCs w:val="22"/>
        </w:rPr>
        <w:t>incluyen:</w:t>
      </w:r>
    </w:p>
    <w:p w14:paraId="613003A6" w14:textId="20A1C504" w:rsidR="00602F73" w:rsidRDefault="00602F73" w:rsidP="1F7419C0">
      <w:pPr>
        <w:spacing w:after="0" w:line="240" w:lineRule="auto"/>
        <w:rPr>
          <w:rFonts w:ascii="Arial" w:eastAsia="Arial" w:hAnsi="Arial" w:cs="Arial"/>
          <w:color w:val="000000" w:themeColor="text1"/>
          <w:sz w:val="22"/>
          <w:szCs w:val="22"/>
          <w:lang w:val="es-ES"/>
        </w:rPr>
      </w:pPr>
    </w:p>
    <w:p w14:paraId="0DDB79C9" w14:textId="48F0F7AB" w:rsidR="00602F73" w:rsidRDefault="07C5E6A2" w:rsidP="1F7419C0">
      <w:pPr>
        <w:pStyle w:val="ListParagraph"/>
        <w:numPr>
          <w:ilvl w:val="0"/>
          <w:numId w:val="3"/>
        </w:numPr>
        <w:spacing w:after="0" w:line="240" w:lineRule="auto"/>
        <w:contextualSpacing w:val="0"/>
        <w:rPr>
          <w:rFonts w:ascii="Arial" w:eastAsia="Arial" w:hAnsi="Arial" w:cs="Arial"/>
          <w:color w:val="000000" w:themeColor="text1"/>
          <w:sz w:val="22"/>
          <w:szCs w:val="22"/>
          <w:lang w:val="es-ES"/>
        </w:rPr>
      </w:pPr>
      <w:r w:rsidRPr="1F7419C0">
        <w:rPr>
          <w:rFonts w:ascii="Arial" w:eastAsia="Arial" w:hAnsi="Arial" w:cs="Arial"/>
          <w:color w:val="000000" w:themeColor="text1"/>
          <w:sz w:val="22"/>
          <w:szCs w:val="22"/>
          <w:lang w:val="es-US"/>
        </w:rPr>
        <w:lastRenderedPageBreak/>
        <w:t>Cumplimiento con medidas de seguridad de alto nivel, como el Código de Incendios de California y las normas de la Asociación Nacional de Protección contra Incendios (NFPA 855).</w:t>
      </w:r>
    </w:p>
    <w:p w14:paraId="2CAE6646" w14:textId="71CF4A98" w:rsidR="00602F73" w:rsidRDefault="07C5E6A2" w:rsidP="1F7419C0">
      <w:pPr>
        <w:pStyle w:val="ListParagraph"/>
        <w:numPr>
          <w:ilvl w:val="0"/>
          <w:numId w:val="3"/>
        </w:numPr>
        <w:spacing w:after="0" w:line="240" w:lineRule="auto"/>
        <w:contextualSpacing w:val="0"/>
        <w:rPr>
          <w:rFonts w:ascii="Arial" w:eastAsia="Arial" w:hAnsi="Arial" w:cs="Arial"/>
          <w:color w:val="000000" w:themeColor="text1"/>
          <w:sz w:val="22"/>
          <w:szCs w:val="22"/>
          <w:lang w:val="es-ES"/>
        </w:rPr>
      </w:pPr>
      <w:r w:rsidRPr="1F7419C0">
        <w:rPr>
          <w:rFonts w:ascii="Arial" w:eastAsia="Arial" w:hAnsi="Arial" w:cs="Arial"/>
          <w:color w:val="000000" w:themeColor="text1"/>
          <w:sz w:val="22"/>
          <w:szCs w:val="22"/>
          <w:lang w:val="es-ES"/>
        </w:rPr>
        <w:t>Colaboración continua con el departamento local de bomberos para que el personal local de respuesta inmediata esté completamente preparado para responder ante</w:t>
      </w:r>
      <w:r w:rsidR="50E759D4" w:rsidRPr="1F7419C0">
        <w:rPr>
          <w:rFonts w:ascii="Arial" w:eastAsia="Arial" w:hAnsi="Arial" w:cs="Arial"/>
          <w:color w:val="000000" w:themeColor="text1"/>
          <w:sz w:val="22"/>
          <w:szCs w:val="22"/>
          <w:lang w:val="es-ES"/>
        </w:rPr>
        <w:t xml:space="preserve"> </w:t>
      </w:r>
      <w:r w:rsidRPr="1F7419C0">
        <w:rPr>
          <w:rFonts w:ascii="Arial" w:eastAsia="Arial" w:hAnsi="Arial" w:cs="Arial"/>
          <w:color w:val="000000" w:themeColor="text1"/>
          <w:sz w:val="22"/>
          <w:szCs w:val="22"/>
          <w:lang w:val="es-ES"/>
        </w:rPr>
        <w:t>posibles</w:t>
      </w:r>
      <w:r w:rsidR="20642474" w:rsidRPr="1F7419C0">
        <w:rPr>
          <w:rFonts w:ascii="Arial" w:eastAsia="Arial" w:hAnsi="Arial" w:cs="Arial"/>
          <w:color w:val="000000" w:themeColor="text1"/>
          <w:sz w:val="22"/>
          <w:szCs w:val="22"/>
          <w:lang w:val="es-ES"/>
        </w:rPr>
        <w:t xml:space="preserve"> </w:t>
      </w:r>
      <w:r w:rsidRPr="1F7419C0">
        <w:rPr>
          <w:rFonts w:ascii="Arial" w:eastAsia="Arial" w:hAnsi="Arial" w:cs="Arial"/>
          <w:color w:val="000000" w:themeColor="text1"/>
          <w:sz w:val="22"/>
          <w:szCs w:val="22"/>
          <w:lang w:val="es-ES"/>
        </w:rPr>
        <w:t>incidentes.</w:t>
      </w:r>
    </w:p>
    <w:p w14:paraId="53562B46" w14:textId="3DF77244" w:rsidR="00602F73" w:rsidRDefault="07C5E6A2" w:rsidP="1F7419C0">
      <w:pPr>
        <w:pStyle w:val="ListParagraph"/>
        <w:numPr>
          <w:ilvl w:val="0"/>
          <w:numId w:val="3"/>
        </w:numPr>
        <w:spacing w:after="0" w:line="240" w:lineRule="auto"/>
        <w:contextualSpacing w:val="0"/>
        <w:rPr>
          <w:rFonts w:ascii="Arial" w:eastAsia="Arial" w:hAnsi="Arial" w:cs="Arial"/>
          <w:color w:val="000000" w:themeColor="text1"/>
          <w:sz w:val="22"/>
          <w:szCs w:val="22"/>
          <w:lang w:val="es-ES"/>
        </w:rPr>
      </w:pPr>
      <w:r w:rsidRPr="1F7419C0">
        <w:rPr>
          <w:rFonts w:ascii="Arial" w:eastAsia="Arial" w:hAnsi="Arial" w:cs="Arial"/>
          <w:color w:val="000000" w:themeColor="text1"/>
          <w:sz w:val="22"/>
          <w:szCs w:val="22"/>
          <w:lang w:val="es-US"/>
        </w:rPr>
        <w:t xml:space="preserve">Un centro de mando y control </w:t>
      </w:r>
      <w:r w:rsidR="01364E44" w:rsidRPr="1F7419C0">
        <w:rPr>
          <w:rFonts w:ascii="Arial" w:eastAsia="Arial" w:hAnsi="Arial" w:cs="Arial"/>
          <w:color w:val="000000" w:themeColor="text1"/>
          <w:sz w:val="22"/>
          <w:szCs w:val="22"/>
          <w:lang w:val="es-US"/>
        </w:rPr>
        <w:t>específico</w:t>
      </w:r>
      <w:r w:rsidRPr="1F7419C0">
        <w:rPr>
          <w:rFonts w:ascii="Arial" w:eastAsia="Arial" w:hAnsi="Arial" w:cs="Arial"/>
          <w:color w:val="000000" w:themeColor="text1"/>
          <w:sz w:val="22"/>
          <w:szCs w:val="22"/>
          <w:lang w:val="es-US"/>
        </w:rPr>
        <w:t xml:space="preserve"> para la gestión segura de incidentes</w:t>
      </w:r>
      <w:r w:rsidR="01364E44" w:rsidRPr="1F7419C0">
        <w:rPr>
          <w:rFonts w:ascii="Arial" w:eastAsia="Arial" w:hAnsi="Arial" w:cs="Arial"/>
          <w:color w:val="000000" w:themeColor="text1"/>
          <w:sz w:val="22"/>
          <w:szCs w:val="22"/>
          <w:lang w:val="es-US"/>
        </w:rPr>
        <w:t>, ubicado fuera de la instalación del sistema de almacenamiento de energía en baterías</w:t>
      </w:r>
      <w:r w:rsidRPr="1F7419C0">
        <w:rPr>
          <w:rFonts w:ascii="Arial" w:eastAsia="Arial" w:hAnsi="Arial" w:cs="Arial"/>
          <w:color w:val="000000" w:themeColor="text1"/>
          <w:sz w:val="22"/>
          <w:szCs w:val="22"/>
          <w:lang w:val="es-US"/>
        </w:rPr>
        <w:t>.</w:t>
      </w:r>
    </w:p>
    <w:p w14:paraId="2AE70024" w14:textId="14C55C28" w:rsidR="00602F73" w:rsidRDefault="07C5E6A2" w:rsidP="1F7419C0">
      <w:pPr>
        <w:pStyle w:val="ListParagraph"/>
        <w:numPr>
          <w:ilvl w:val="0"/>
          <w:numId w:val="3"/>
        </w:numPr>
        <w:spacing w:after="0" w:line="240" w:lineRule="auto"/>
        <w:contextualSpacing w:val="0"/>
        <w:rPr>
          <w:rFonts w:ascii="Arial" w:eastAsia="Arial" w:hAnsi="Arial" w:cs="Arial"/>
          <w:color w:val="000000" w:themeColor="text1"/>
          <w:sz w:val="22"/>
          <w:szCs w:val="22"/>
          <w:lang w:val="es-ES"/>
        </w:rPr>
      </w:pPr>
      <w:r w:rsidRPr="1F7419C0">
        <w:rPr>
          <w:rFonts w:ascii="Arial" w:eastAsia="Arial" w:hAnsi="Arial" w:cs="Arial"/>
          <w:color w:val="000000" w:themeColor="text1"/>
          <w:sz w:val="22"/>
          <w:szCs w:val="22"/>
          <w:lang w:val="es-US"/>
        </w:rPr>
        <w:t>Monitoreo ambiental en tiempo real de la calidad del aire y del</w:t>
      </w:r>
      <w:r w:rsidR="690AA3E8" w:rsidRPr="1F7419C0">
        <w:rPr>
          <w:rFonts w:ascii="Arial" w:eastAsia="Arial" w:hAnsi="Arial" w:cs="Arial"/>
          <w:color w:val="000000" w:themeColor="text1"/>
          <w:sz w:val="22"/>
          <w:szCs w:val="22"/>
          <w:lang w:val="es-US"/>
        </w:rPr>
        <w:t xml:space="preserve"> </w:t>
      </w:r>
      <w:r w:rsidRPr="1F7419C0">
        <w:rPr>
          <w:rFonts w:ascii="Arial" w:eastAsia="Arial" w:hAnsi="Arial" w:cs="Arial"/>
          <w:color w:val="000000" w:themeColor="text1"/>
          <w:sz w:val="22"/>
          <w:szCs w:val="22"/>
          <w:lang w:val="es-US"/>
        </w:rPr>
        <w:t>agua</w:t>
      </w:r>
      <w:r w:rsidR="56882A74" w:rsidRPr="1F7419C0">
        <w:rPr>
          <w:rFonts w:ascii="Arial" w:eastAsia="Arial" w:hAnsi="Arial" w:cs="Arial"/>
          <w:color w:val="000000" w:themeColor="text1"/>
          <w:sz w:val="22"/>
          <w:szCs w:val="22"/>
          <w:lang w:val="es-US"/>
        </w:rPr>
        <w:t xml:space="preserve"> </w:t>
      </w:r>
      <w:r w:rsidRPr="1F7419C0">
        <w:rPr>
          <w:rFonts w:ascii="Arial" w:eastAsia="Arial" w:hAnsi="Arial" w:cs="Arial"/>
          <w:color w:val="000000" w:themeColor="text1"/>
          <w:sz w:val="22"/>
          <w:szCs w:val="22"/>
          <w:lang w:val="es-US"/>
        </w:rPr>
        <w:t>en</w:t>
      </w:r>
      <w:r w:rsidR="312B2712" w:rsidRPr="1F7419C0">
        <w:rPr>
          <w:rFonts w:ascii="Arial" w:eastAsia="Arial" w:hAnsi="Arial" w:cs="Arial"/>
          <w:color w:val="000000" w:themeColor="text1"/>
          <w:sz w:val="22"/>
          <w:szCs w:val="22"/>
          <w:lang w:val="es-US"/>
        </w:rPr>
        <w:t xml:space="preserve"> </w:t>
      </w:r>
      <w:r w:rsidRPr="1F7419C0">
        <w:rPr>
          <w:rFonts w:ascii="Arial" w:eastAsia="Arial" w:hAnsi="Arial" w:cs="Arial"/>
          <w:color w:val="000000" w:themeColor="text1"/>
          <w:sz w:val="22"/>
          <w:szCs w:val="22"/>
          <w:lang w:val="es-US"/>
        </w:rPr>
        <w:t>caso</w:t>
      </w:r>
      <w:r w:rsidR="1D6C49A5" w:rsidRPr="1F7419C0">
        <w:rPr>
          <w:rFonts w:ascii="Arial" w:eastAsia="Arial" w:hAnsi="Arial" w:cs="Arial"/>
          <w:color w:val="000000" w:themeColor="text1"/>
          <w:sz w:val="22"/>
          <w:szCs w:val="22"/>
          <w:lang w:val="es-US"/>
        </w:rPr>
        <w:t xml:space="preserve"> </w:t>
      </w:r>
      <w:r w:rsidRPr="1F7419C0">
        <w:rPr>
          <w:rFonts w:ascii="Arial" w:eastAsia="Arial" w:hAnsi="Arial" w:cs="Arial"/>
          <w:color w:val="000000" w:themeColor="text1"/>
          <w:sz w:val="22"/>
          <w:szCs w:val="22"/>
          <w:lang w:val="es-US"/>
        </w:rPr>
        <w:t>de</w:t>
      </w:r>
      <w:r w:rsidR="79455B5E" w:rsidRPr="1F7419C0">
        <w:rPr>
          <w:rFonts w:ascii="Arial" w:eastAsia="Arial" w:hAnsi="Arial" w:cs="Arial"/>
          <w:color w:val="000000" w:themeColor="text1"/>
          <w:sz w:val="22"/>
          <w:szCs w:val="22"/>
          <w:lang w:val="es-US"/>
        </w:rPr>
        <w:t xml:space="preserve"> </w:t>
      </w:r>
      <w:r w:rsidRPr="1F7419C0">
        <w:rPr>
          <w:rFonts w:ascii="Arial" w:eastAsia="Arial" w:hAnsi="Arial" w:cs="Arial"/>
          <w:color w:val="000000" w:themeColor="text1"/>
          <w:sz w:val="22"/>
          <w:szCs w:val="22"/>
          <w:lang w:val="es-US"/>
        </w:rPr>
        <w:t>emergencia.</w:t>
      </w:r>
      <w:r w:rsidR="689DC195" w:rsidRPr="1F7419C0">
        <w:rPr>
          <w:rFonts w:ascii="Arial" w:eastAsia="Arial" w:hAnsi="Arial" w:cs="Arial"/>
          <w:color w:val="000000" w:themeColor="text1"/>
          <w:sz w:val="22"/>
          <w:szCs w:val="22"/>
          <w:lang w:val="es-US"/>
        </w:rPr>
        <w:t xml:space="preserve"> </w:t>
      </w:r>
    </w:p>
    <w:p w14:paraId="084E1F6D" w14:textId="49DDDE92" w:rsidR="00602F73" w:rsidRPr="00844DFA" w:rsidRDefault="07C5E6A2" w:rsidP="1F7419C0">
      <w:pPr>
        <w:pStyle w:val="ListParagraph"/>
        <w:numPr>
          <w:ilvl w:val="0"/>
          <w:numId w:val="3"/>
        </w:numPr>
        <w:spacing w:after="0" w:line="240" w:lineRule="auto"/>
        <w:contextualSpacing w:val="0"/>
        <w:rPr>
          <w:rFonts w:ascii="Arial" w:eastAsia="Arial" w:hAnsi="Arial" w:cs="Arial"/>
          <w:color w:val="000000" w:themeColor="text1"/>
          <w:sz w:val="22"/>
          <w:szCs w:val="22"/>
          <w:lang w:val="es-US"/>
        </w:rPr>
      </w:pPr>
      <w:r w:rsidRPr="1F7419C0">
        <w:rPr>
          <w:rFonts w:ascii="Arial" w:eastAsia="Arial" w:hAnsi="Arial" w:cs="Arial"/>
          <w:color w:val="000000" w:themeColor="text1"/>
          <w:sz w:val="22"/>
          <w:szCs w:val="22"/>
          <w:lang w:val="es-US"/>
        </w:rPr>
        <w:t>Paneles de deflagración para ventilar gases de forma</w:t>
      </w:r>
      <w:r w:rsidR="42CE2775" w:rsidRPr="1F7419C0">
        <w:rPr>
          <w:rFonts w:ascii="Arial" w:eastAsia="Arial" w:hAnsi="Arial" w:cs="Arial"/>
          <w:color w:val="000000" w:themeColor="text1"/>
          <w:sz w:val="22"/>
          <w:szCs w:val="22"/>
          <w:lang w:val="es-US"/>
        </w:rPr>
        <w:t xml:space="preserve"> </w:t>
      </w:r>
      <w:r w:rsidRPr="1F7419C0">
        <w:rPr>
          <w:rFonts w:ascii="Arial" w:eastAsia="Arial" w:hAnsi="Arial" w:cs="Arial"/>
          <w:color w:val="000000" w:themeColor="text1"/>
          <w:sz w:val="22"/>
          <w:szCs w:val="22"/>
          <w:lang w:val="es-US"/>
        </w:rPr>
        <w:t>segura</w:t>
      </w:r>
      <w:r w:rsidR="218054E6" w:rsidRPr="1F7419C0">
        <w:rPr>
          <w:rFonts w:ascii="Arial" w:eastAsia="Arial" w:hAnsi="Arial" w:cs="Arial"/>
          <w:color w:val="000000" w:themeColor="text1"/>
          <w:sz w:val="22"/>
          <w:szCs w:val="22"/>
          <w:lang w:val="es-US"/>
        </w:rPr>
        <w:t xml:space="preserve"> </w:t>
      </w:r>
      <w:r w:rsidRPr="1F7419C0">
        <w:rPr>
          <w:rFonts w:ascii="Arial" w:eastAsia="Arial" w:hAnsi="Arial" w:cs="Arial"/>
          <w:color w:val="000000" w:themeColor="text1"/>
          <w:sz w:val="22"/>
          <w:szCs w:val="22"/>
          <w:lang w:val="es-US"/>
        </w:rPr>
        <w:t>y</w:t>
      </w:r>
      <w:r w:rsidR="09906DA6" w:rsidRPr="1F7419C0">
        <w:rPr>
          <w:rFonts w:ascii="Arial" w:eastAsia="Arial" w:hAnsi="Arial" w:cs="Arial"/>
          <w:color w:val="000000" w:themeColor="text1"/>
          <w:sz w:val="22"/>
          <w:szCs w:val="22"/>
          <w:lang w:val="es-US"/>
        </w:rPr>
        <w:t xml:space="preserve"> </w:t>
      </w:r>
      <w:r w:rsidRPr="1F7419C0">
        <w:rPr>
          <w:rFonts w:ascii="Arial" w:eastAsia="Arial" w:hAnsi="Arial" w:cs="Arial"/>
          <w:color w:val="000000" w:themeColor="text1"/>
          <w:sz w:val="22"/>
          <w:szCs w:val="22"/>
          <w:lang w:val="es-US"/>
        </w:rPr>
        <w:t>minimizar</w:t>
      </w:r>
      <w:r w:rsidR="62E59F6F" w:rsidRPr="1F7419C0">
        <w:rPr>
          <w:rFonts w:ascii="Arial" w:eastAsia="Arial" w:hAnsi="Arial" w:cs="Arial"/>
          <w:color w:val="000000" w:themeColor="text1"/>
          <w:sz w:val="22"/>
          <w:szCs w:val="22"/>
          <w:lang w:val="es-US"/>
        </w:rPr>
        <w:t xml:space="preserve"> </w:t>
      </w:r>
      <w:r w:rsidRPr="1F7419C0">
        <w:rPr>
          <w:rFonts w:ascii="Arial" w:eastAsia="Arial" w:hAnsi="Arial" w:cs="Arial"/>
          <w:color w:val="000000" w:themeColor="text1"/>
          <w:sz w:val="22"/>
          <w:szCs w:val="22"/>
          <w:lang w:val="es-US"/>
        </w:rPr>
        <w:t>riesgos</w:t>
      </w:r>
      <w:r w:rsidR="0B3B96FD" w:rsidRPr="1F7419C0">
        <w:rPr>
          <w:rFonts w:ascii="Arial" w:eastAsia="Arial" w:hAnsi="Arial" w:cs="Arial"/>
          <w:color w:val="000000" w:themeColor="text1"/>
          <w:sz w:val="22"/>
          <w:szCs w:val="22"/>
          <w:lang w:val="es-US"/>
        </w:rPr>
        <w:t xml:space="preserve"> </w:t>
      </w:r>
      <w:r w:rsidRPr="1F7419C0">
        <w:rPr>
          <w:rFonts w:ascii="Arial" w:eastAsia="Arial" w:hAnsi="Arial" w:cs="Arial"/>
          <w:color w:val="000000" w:themeColor="text1"/>
          <w:sz w:val="22"/>
          <w:szCs w:val="22"/>
          <w:lang w:val="es-US"/>
        </w:rPr>
        <w:t>de</w:t>
      </w:r>
      <w:r w:rsidR="2F6DF6DF" w:rsidRPr="1F7419C0">
        <w:rPr>
          <w:rFonts w:ascii="Arial" w:eastAsia="Arial" w:hAnsi="Arial" w:cs="Arial"/>
          <w:color w:val="000000" w:themeColor="text1"/>
          <w:sz w:val="22"/>
          <w:szCs w:val="22"/>
          <w:lang w:val="es-US"/>
        </w:rPr>
        <w:t xml:space="preserve"> </w:t>
      </w:r>
      <w:r w:rsidRPr="1F7419C0">
        <w:rPr>
          <w:rFonts w:ascii="Arial" w:eastAsia="Arial" w:hAnsi="Arial" w:cs="Arial"/>
          <w:color w:val="000000" w:themeColor="text1"/>
          <w:sz w:val="22"/>
          <w:szCs w:val="22"/>
          <w:lang w:val="es-US"/>
        </w:rPr>
        <w:t>incendio</w:t>
      </w:r>
      <w:r w:rsidR="38DACB5F" w:rsidRPr="1F7419C0">
        <w:rPr>
          <w:rFonts w:ascii="Arial" w:eastAsia="Arial" w:hAnsi="Arial" w:cs="Arial"/>
          <w:color w:val="000000" w:themeColor="text1"/>
          <w:sz w:val="22"/>
          <w:szCs w:val="22"/>
          <w:lang w:val="es-US"/>
        </w:rPr>
        <w:t xml:space="preserve">. </w:t>
      </w:r>
    </w:p>
    <w:p w14:paraId="1401CDEE" w14:textId="1C070D00" w:rsidR="00602F73" w:rsidRDefault="07C5E6A2" w:rsidP="1F7419C0">
      <w:pPr>
        <w:pStyle w:val="ListParagraph"/>
        <w:numPr>
          <w:ilvl w:val="0"/>
          <w:numId w:val="3"/>
        </w:numPr>
        <w:spacing w:after="0" w:line="240" w:lineRule="auto"/>
        <w:contextualSpacing w:val="0"/>
        <w:rPr>
          <w:rFonts w:ascii="Arial" w:eastAsia="Arial" w:hAnsi="Arial" w:cs="Arial"/>
          <w:color w:val="000000" w:themeColor="text1"/>
          <w:sz w:val="22"/>
          <w:szCs w:val="22"/>
          <w:lang w:val="es-ES"/>
        </w:rPr>
      </w:pPr>
      <w:r w:rsidRPr="1F7419C0">
        <w:rPr>
          <w:rFonts w:ascii="Arial" w:eastAsia="Arial" w:hAnsi="Arial" w:cs="Arial"/>
          <w:color w:val="000000" w:themeColor="text1"/>
          <w:sz w:val="22"/>
          <w:szCs w:val="22"/>
          <w:lang w:val="es-US"/>
        </w:rPr>
        <w:t>Cámaras térmicas infrarrojas para monitoreo en tiempo real y</w:t>
      </w:r>
      <w:r w:rsidR="17B6D8C2" w:rsidRPr="1F7419C0">
        <w:rPr>
          <w:rFonts w:ascii="Arial" w:eastAsia="Arial" w:hAnsi="Arial" w:cs="Arial"/>
          <w:color w:val="000000" w:themeColor="text1"/>
          <w:sz w:val="22"/>
          <w:szCs w:val="22"/>
          <w:lang w:val="es-US"/>
        </w:rPr>
        <w:t xml:space="preserve"> </w:t>
      </w:r>
      <w:r w:rsidRPr="1F7419C0">
        <w:rPr>
          <w:rFonts w:ascii="Arial" w:eastAsia="Arial" w:hAnsi="Arial" w:cs="Arial"/>
          <w:color w:val="000000" w:themeColor="text1"/>
          <w:sz w:val="22"/>
          <w:szCs w:val="22"/>
          <w:lang w:val="es-US"/>
        </w:rPr>
        <w:t>detección</w:t>
      </w:r>
      <w:r w:rsidR="17015B94" w:rsidRPr="1F7419C0">
        <w:rPr>
          <w:rFonts w:ascii="Arial" w:eastAsia="Arial" w:hAnsi="Arial" w:cs="Arial"/>
          <w:color w:val="000000" w:themeColor="text1"/>
          <w:sz w:val="22"/>
          <w:szCs w:val="22"/>
          <w:lang w:val="es-US"/>
        </w:rPr>
        <w:t xml:space="preserve"> </w:t>
      </w:r>
      <w:r w:rsidRPr="1F7419C0">
        <w:rPr>
          <w:rFonts w:ascii="Arial" w:eastAsia="Arial" w:hAnsi="Arial" w:cs="Arial"/>
          <w:color w:val="000000" w:themeColor="text1"/>
          <w:sz w:val="22"/>
          <w:szCs w:val="22"/>
          <w:lang w:val="es-US"/>
        </w:rPr>
        <w:t>temprana</w:t>
      </w:r>
      <w:r w:rsidR="54092A49" w:rsidRPr="1F7419C0">
        <w:rPr>
          <w:rFonts w:ascii="Arial" w:eastAsia="Arial" w:hAnsi="Arial" w:cs="Arial"/>
          <w:color w:val="000000" w:themeColor="text1"/>
          <w:sz w:val="22"/>
          <w:szCs w:val="22"/>
          <w:lang w:val="es-US"/>
        </w:rPr>
        <w:t xml:space="preserve"> </w:t>
      </w:r>
      <w:r w:rsidRPr="1F7419C0">
        <w:rPr>
          <w:rFonts w:ascii="Arial" w:eastAsia="Arial" w:hAnsi="Arial" w:cs="Arial"/>
          <w:color w:val="000000" w:themeColor="text1"/>
          <w:sz w:val="22"/>
          <w:szCs w:val="22"/>
          <w:lang w:val="es-US"/>
        </w:rPr>
        <w:t>de</w:t>
      </w:r>
      <w:r w:rsidR="354DA3AD" w:rsidRPr="1F7419C0">
        <w:rPr>
          <w:rFonts w:ascii="Arial" w:eastAsia="Arial" w:hAnsi="Arial" w:cs="Arial"/>
          <w:color w:val="000000" w:themeColor="text1"/>
          <w:sz w:val="22"/>
          <w:szCs w:val="22"/>
          <w:lang w:val="es-US"/>
        </w:rPr>
        <w:t xml:space="preserve"> </w:t>
      </w:r>
      <w:r w:rsidRPr="1F7419C0">
        <w:rPr>
          <w:rFonts w:ascii="Arial" w:eastAsia="Arial" w:hAnsi="Arial" w:cs="Arial"/>
          <w:color w:val="000000" w:themeColor="text1"/>
          <w:sz w:val="22"/>
          <w:szCs w:val="22"/>
          <w:lang w:val="es-US"/>
        </w:rPr>
        <w:t>posibles</w:t>
      </w:r>
      <w:r w:rsidR="3F17B69E" w:rsidRPr="1F7419C0">
        <w:rPr>
          <w:rFonts w:ascii="Arial" w:eastAsia="Arial" w:hAnsi="Arial" w:cs="Arial"/>
          <w:color w:val="000000" w:themeColor="text1"/>
          <w:sz w:val="22"/>
          <w:szCs w:val="22"/>
          <w:lang w:val="es-US"/>
        </w:rPr>
        <w:t xml:space="preserve"> </w:t>
      </w:r>
      <w:r w:rsidRPr="1F7419C0">
        <w:rPr>
          <w:rFonts w:ascii="Arial" w:eastAsia="Arial" w:hAnsi="Arial" w:cs="Arial"/>
          <w:color w:val="000000" w:themeColor="text1"/>
          <w:sz w:val="22"/>
          <w:szCs w:val="22"/>
          <w:lang w:val="es-US"/>
        </w:rPr>
        <w:t>incendios.</w:t>
      </w:r>
      <w:r w:rsidR="19F12645">
        <w:br/>
      </w:r>
    </w:p>
    <w:p w14:paraId="6324C21D" w14:textId="65A4E651" w:rsidR="00602F73" w:rsidRDefault="07C5E6A2" w:rsidP="1F7419C0">
      <w:pPr>
        <w:spacing w:after="0" w:line="240" w:lineRule="auto"/>
        <w:rPr>
          <w:rFonts w:ascii="Arial" w:eastAsia="Arial" w:hAnsi="Arial" w:cs="Arial"/>
          <w:color w:val="000000" w:themeColor="text1"/>
          <w:sz w:val="22"/>
          <w:szCs w:val="22"/>
          <w:lang w:val="es-ES"/>
        </w:rPr>
      </w:pPr>
      <w:r w:rsidRPr="1F7419C0">
        <w:rPr>
          <w:rFonts w:ascii="Arial" w:eastAsia="Arial" w:hAnsi="Arial" w:cs="Arial"/>
          <w:color w:val="000000" w:themeColor="text1"/>
          <w:sz w:val="22"/>
          <w:szCs w:val="22"/>
          <w:lang w:val="es-US"/>
        </w:rPr>
        <w:t xml:space="preserve">### </w:t>
      </w:r>
    </w:p>
    <w:p w14:paraId="3F559ED7" w14:textId="051ED2A1" w:rsidR="00602F73" w:rsidRDefault="00602F73" w:rsidP="1F7419C0">
      <w:pPr>
        <w:spacing w:after="0" w:line="240" w:lineRule="auto"/>
        <w:rPr>
          <w:rFonts w:ascii="Arial" w:eastAsia="Arial" w:hAnsi="Arial" w:cs="Arial"/>
          <w:color w:val="000000" w:themeColor="text1"/>
          <w:sz w:val="22"/>
          <w:szCs w:val="22"/>
          <w:lang w:val="es-ES"/>
        </w:rPr>
      </w:pPr>
    </w:p>
    <w:p w14:paraId="777216AE" w14:textId="63CA728D" w:rsidR="00602F73" w:rsidRDefault="07C5E6A2" w:rsidP="1F7419C0">
      <w:pPr>
        <w:spacing w:after="0" w:line="240" w:lineRule="auto"/>
        <w:rPr>
          <w:rFonts w:ascii="Arial" w:eastAsia="Arial" w:hAnsi="Arial" w:cs="Arial"/>
          <w:color w:val="000000" w:themeColor="text1"/>
          <w:sz w:val="22"/>
          <w:szCs w:val="22"/>
          <w:lang w:val="es-ES"/>
        </w:rPr>
      </w:pPr>
      <w:r w:rsidRPr="1F7419C0">
        <w:rPr>
          <w:rFonts w:ascii="Arial" w:eastAsia="Arial" w:hAnsi="Arial" w:cs="Arial"/>
          <w:b/>
          <w:bCs/>
          <w:i/>
          <w:iCs/>
          <w:color w:val="000000" w:themeColor="text1"/>
          <w:sz w:val="22"/>
          <w:szCs w:val="22"/>
          <w:lang w:val="es-US"/>
        </w:rPr>
        <w:t>Acerca de la Comisión de Energía de California</w:t>
      </w:r>
    </w:p>
    <w:p w14:paraId="2AC4ED61" w14:textId="47AD5725" w:rsidR="7176D964" w:rsidRPr="00D43C4B" w:rsidRDefault="07C5E6A2" w:rsidP="00D43C4B">
      <w:pPr>
        <w:spacing w:after="0" w:line="240" w:lineRule="auto"/>
        <w:rPr>
          <w:rFonts w:ascii="Arial" w:eastAsia="Arial" w:hAnsi="Arial" w:cs="Arial"/>
          <w:i/>
          <w:iCs/>
          <w:color w:val="000000" w:themeColor="text1"/>
          <w:sz w:val="22"/>
          <w:szCs w:val="22"/>
          <w:lang w:val="es-ES"/>
        </w:rPr>
      </w:pPr>
      <w:r w:rsidRPr="1F7419C0">
        <w:rPr>
          <w:rFonts w:ascii="Arial" w:eastAsia="Arial" w:hAnsi="Arial" w:cs="Arial"/>
          <w:i/>
          <w:iCs/>
          <w:color w:val="000000" w:themeColor="text1"/>
          <w:sz w:val="22"/>
          <w:szCs w:val="22"/>
          <w:lang w:val="es-ES"/>
        </w:rPr>
        <w:t>La Comisión de Energía de California es la principal</w:t>
      </w:r>
      <w:r w:rsidR="651F4B98" w:rsidRPr="1F7419C0">
        <w:rPr>
          <w:rFonts w:ascii="Arial" w:eastAsia="Arial" w:hAnsi="Arial" w:cs="Arial"/>
          <w:i/>
          <w:iCs/>
          <w:color w:val="000000" w:themeColor="text1"/>
          <w:sz w:val="22"/>
          <w:szCs w:val="22"/>
          <w:lang w:val="es-ES"/>
        </w:rPr>
        <w:t xml:space="preserve"> </w:t>
      </w:r>
      <w:r w:rsidRPr="1F7419C0">
        <w:rPr>
          <w:rFonts w:ascii="Arial" w:eastAsia="Arial" w:hAnsi="Arial" w:cs="Arial"/>
          <w:i/>
          <w:iCs/>
          <w:color w:val="000000" w:themeColor="text1"/>
          <w:sz w:val="22"/>
          <w:szCs w:val="22"/>
          <w:lang w:val="es-ES"/>
        </w:rPr>
        <w:t>agencia</w:t>
      </w:r>
      <w:r w:rsidR="67652050" w:rsidRPr="1F7419C0">
        <w:rPr>
          <w:rFonts w:ascii="Arial" w:eastAsia="Arial" w:hAnsi="Arial" w:cs="Arial"/>
          <w:i/>
          <w:iCs/>
          <w:color w:val="000000" w:themeColor="text1"/>
          <w:sz w:val="22"/>
          <w:szCs w:val="22"/>
          <w:lang w:val="es-ES"/>
        </w:rPr>
        <w:t xml:space="preserve"> </w:t>
      </w:r>
      <w:r w:rsidRPr="1F7419C0">
        <w:rPr>
          <w:rFonts w:ascii="Arial" w:eastAsia="Arial" w:hAnsi="Arial" w:cs="Arial"/>
          <w:i/>
          <w:iCs/>
          <w:color w:val="000000" w:themeColor="text1"/>
          <w:sz w:val="22"/>
          <w:szCs w:val="22"/>
          <w:lang w:val="es-ES"/>
        </w:rPr>
        <w:t>estatal</w:t>
      </w:r>
      <w:r w:rsidR="619D8DEE" w:rsidRPr="1F7419C0">
        <w:rPr>
          <w:rFonts w:ascii="Arial" w:eastAsia="Arial" w:hAnsi="Arial" w:cs="Arial"/>
          <w:i/>
          <w:iCs/>
          <w:color w:val="000000" w:themeColor="text1"/>
          <w:sz w:val="22"/>
          <w:szCs w:val="22"/>
          <w:lang w:val="es-ES"/>
        </w:rPr>
        <w:t xml:space="preserve"> </w:t>
      </w:r>
      <w:r w:rsidRPr="1F7419C0">
        <w:rPr>
          <w:rFonts w:ascii="Arial" w:eastAsia="Arial" w:hAnsi="Arial" w:cs="Arial"/>
          <w:i/>
          <w:iCs/>
          <w:color w:val="000000" w:themeColor="text1"/>
          <w:sz w:val="22"/>
          <w:szCs w:val="22"/>
          <w:lang w:val="es-ES"/>
        </w:rPr>
        <w:t>de</w:t>
      </w:r>
      <w:r w:rsidR="29CCE338" w:rsidRPr="1F7419C0">
        <w:rPr>
          <w:rFonts w:ascii="Arial" w:eastAsia="Arial" w:hAnsi="Arial" w:cs="Arial"/>
          <w:i/>
          <w:iCs/>
          <w:color w:val="000000" w:themeColor="text1"/>
          <w:sz w:val="22"/>
          <w:szCs w:val="22"/>
          <w:lang w:val="es-ES"/>
        </w:rPr>
        <w:t xml:space="preserve"> </w:t>
      </w:r>
      <w:r w:rsidRPr="1F7419C0">
        <w:rPr>
          <w:rFonts w:ascii="Arial" w:eastAsia="Arial" w:hAnsi="Arial" w:cs="Arial"/>
          <w:i/>
          <w:iCs/>
          <w:color w:val="000000" w:themeColor="text1"/>
          <w:sz w:val="22"/>
          <w:szCs w:val="22"/>
          <w:lang w:val="es-ES"/>
        </w:rPr>
        <w:t>planificación</w:t>
      </w:r>
      <w:r w:rsidR="20B1EB90" w:rsidRPr="1F7419C0">
        <w:rPr>
          <w:rFonts w:ascii="Arial" w:eastAsia="Arial" w:hAnsi="Arial" w:cs="Arial"/>
          <w:i/>
          <w:iCs/>
          <w:color w:val="000000" w:themeColor="text1"/>
          <w:sz w:val="22"/>
          <w:szCs w:val="22"/>
          <w:lang w:val="es-ES"/>
        </w:rPr>
        <w:t xml:space="preserve"> </w:t>
      </w:r>
      <w:r w:rsidRPr="1F7419C0">
        <w:rPr>
          <w:rFonts w:ascii="Arial" w:eastAsia="Arial" w:hAnsi="Arial" w:cs="Arial"/>
          <w:i/>
          <w:iCs/>
          <w:color w:val="000000" w:themeColor="text1"/>
          <w:sz w:val="22"/>
          <w:szCs w:val="22"/>
          <w:lang w:val="es-ES"/>
        </w:rPr>
        <w:t>y</w:t>
      </w:r>
      <w:r w:rsidR="2A6289D0" w:rsidRPr="1F7419C0">
        <w:rPr>
          <w:rFonts w:ascii="Arial" w:eastAsia="Arial" w:hAnsi="Arial" w:cs="Arial"/>
          <w:i/>
          <w:iCs/>
          <w:color w:val="000000" w:themeColor="text1"/>
          <w:sz w:val="22"/>
          <w:szCs w:val="22"/>
          <w:lang w:val="es-ES"/>
        </w:rPr>
        <w:t xml:space="preserve"> </w:t>
      </w:r>
      <w:r w:rsidRPr="1F7419C0">
        <w:rPr>
          <w:rFonts w:ascii="Arial" w:eastAsia="Arial" w:hAnsi="Arial" w:cs="Arial"/>
          <w:i/>
          <w:iCs/>
          <w:color w:val="000000" w:themeColor="text1"/>
          <w:sz w:val="22"/>
          <w:szCs w:val="22"/>
          <w:lang w:val="es-ES"/>
        </w:rPr>
        <w:t>política</w:t>
      </w:r>
      <w:r w:rsidR="5D58DC59" w:rsidRPr="1F7419C0">
        <w:rPr>
          <w:rFonts w:ascii="Arial" w:eastAsia="Arial" w:hAnsi="Arial" w:cs="Arial"/>
          <w:i/>
          <w:iCs/>
          <w:color w:val="000000" w:themeColor="text1"/>
          <w:sz w:val="22"/>
          <w:szCs w:val="22"/>
          <w:lang w:val="es-ES"/>
        </w:rPr>
        <w:t xml:space="preserve"> </w:t>
      </w:r>
      <w:r w:rsidR="030A55B5" w:rsidRPr="1F7419C0">
        <w:rPr>
          <w:rFonts w:ascii="Arial" w:eastAsia="Arial" w:hAnsi="Arial" w:cs="Arial"/>
          <w:i/>
          <w:iCs/>
          <w:color w:val="000000" w:themeColor="text1"/>
          <w:sz w:val="22"/>
          <w:szCs w:val="22"/>
          <w:lang w:val="es-ES"/>
        </w:rPr>
        <w:t>energética. Tiene</w:t>
      </w:r>
      <w:r w:rsidRPr="1F7419C0">
        <w:rPr>
          <w:rFonts w:ascii="Arial" w:eastAsia="Arial" w:hAnsi="Arial" w:cs="Arial"/>
          <w:i/>
          <w:iCs/>
          <w:color w:val="000000" w:themeColor="text1"/>
          <w:sz w:val="22"/>
          <w:szCs w:val="22"/>
          <w:lang w:val="es-ES"/>
        </w:rPr>
        <w:t xml:space="preserve"> siete responsabilidades principales: avanzar en la política energética estatal, aumentar la eficiencia energética, certificar plantas eléctricas de energía térmica, invertir en innovación energética, desarrollar energía renovable, transformar el transporte y prepararse para emergencias energéticas.</w:t>
      </w:r>
    </w:p>
    <w:sectPr w:rsidR="7176D964" w:rsidRPr="00D43C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9F1AB" w14:textId="77777777" w:rsidR="00E05DE6" w:rsidRDefault="00E05DE6" w:rsidP="007148D4">
      <w:pPr>
        <w:spacing w:after="0" w:line="240" w:lineRule="auto"/>
      </w:pPr>
      <w:r>
        <w:separator/>
      </w:r>
    </w:p>
  </w:endnote>
  <w:endnote w:type="continuationSeparator" w:id="0">
    <w:p w14:paraId="7257EA8B" w14:textId="77777777" w:rsidR="00E05DE6" w:rsidRDefault="00E05DE6" w:rsidP="00714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2C97C" w14:textId="77777777" w:rsidR="00E05DE6" w:rsidRDefault="00E05DE6" w:rsidP="007148D4">
      <w:pPr>
        <w:spacing w:after="0" w:line="240" w:lineRule="auto"/>
      </w:pPr>
      <w:r>
        <w:separator/>
      </w:r>
    </w:p>
  </w:footnote>
  <w:footnote w:type="continuationSeparator" w:id="0">
    <w:p w14:paraId="78887394" w14:textId="77777777" w:rsidR="00E05DE6" w:rsidRDefault="00E05DE6" w:rsidP="007148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412F"/>
    <w:multiLevelType w:val="hybridMultilevel"/>
    <w:tmpl w:val="3ACAB72A"/>
    <w:lvl w:ilvl="0" w:tplc="4E56CC10">
      <w:start w:val="1"/>
      <w:numFmt w:val="bullet"/>
      <w:lvlText w:val=""/>
      <w:lvlJc w:val="left"/>
      <w:pPr>
        <w:ind w:left="720" w:hanging="360"/>
      </w:pPr>
      <w:rPr>
        <w:rFonts w:ascii="Symbol" w:hAnsi="Symbol" w:hint="default"/>
      </w:rPr>
    </w:lvl>
    <w:lvl w:ilvl="1" w:tplc="23F2532A">
      <w:start w:val="1"/>
      <w:numFmt w:val="bullet"/>
      <w:lvlText w:val="o"/>
      <w:lvlJc w:val="left"/>
      <w:pPr>
        <w:ind w:left="1440" w:hanging="360"/>
      </w:pPr>
      <w:rPr>
        <w:rFonts w:ascii="Courier New" w:hAnsi="Courier New" w:hint="default"/>
      </w:rPr>
    </w:lvl>
    <w:lvl w:ilvl="2" w:tplc="0AAA6144">
      <w:start w:val="1"/>
      <w:numFmt w:val="bullet"/>
      <w:lvlText w:val=""/>
      <w:lvlJc w:val="left"/>
      <w:pPr>
        <w:ind w:left="2160" w:hanging="360"/>
      </w:pPr>
      <w:rPr>
        <w:rFonts w:ascii="Wingdings" w:hAnsi="Wingdings" w:hint="default"/>
      </w:rPr>
    </w:lvl>
    <w:lvl w:ilvl="3" w:tplc="08DAF3A2">
      <w:start w:val="1"/>
      <w:numFmt w:val="bullet"/>
      <w:lvlText w:val=""/>
      <w:lvlJc w:val="left"/>
      <w:pPr>
        <w:ind w:left="2880" w:hanging="360"/>
      </w:pPr>
      <w:rPr>
        <w:rFonts w:ascii="Symbol" w:hAnsi="Symbol" w:hint="default"/>
      </w:rPr>
    </w:lvl>
    <w:lvl w:ilvl="4" w:tplc="418893F4">
      <w:start w:val="1"/>
      <w:numFmt w:val="bullet"/>
      <w:lvlText w:val="o"/>
      <w:lvlJc w:val="left"/>
      <w:pPr>
        <w:ind w:left="3600" w:hanging="360"/>
      </w:pPr>
      <w:rPr>
        <w:rFonts w:ascii="Courier New" w:hAnsi="Courier New" w:hint="default"/>
      </w:rPr>
    </w:lvl>
    <w:lvl w:ilvl="5" w:tplc="A5FAD192">
      <w:start w:val="1"/>
      <w:numFmt w:val="bullet"/>
      <w:lvlText w:val=""/>
      <w:lvlJc w:val="left"/>
      <w:pPr>
        <w:ind w:left="4320" w:hanging="360"/>
      </w:pPr>
      <w:rPr>
        <w:rFonts w:ascii="Wingdings" w:hAnsi="Wingdings" w:hint="default"/>
      </w:rPr>
    </w:lvl>
    <w:lvl w:ilvl="6" w:tplc="64A6AE6E">
      <w:start w:val="1"/>
      <w:numFmt w:val="bullet"/>
      <w:lvlText w:val=""/>
      <w:lvlJc w:val="left"/>
      <w:pPr>
        <w:ind w:left="5040" w:hanging="360"/>
      </w:pPr>
      <w:rPr>
        <w:rFonts w:ascii="Symbol" w:hAnsi="Symbol" w:hint="default"/>
      </w:rPr>
    </w:lvl>
    <w:lvl w:ilvl="7" w:tplc="5A2CAAA2">
      <w:start w:val="1"/>
      <w:numFmt w:val="bullet"/>
      <w:lvlText w:val="o"/>
      <w:lvlJc w:val="left"/>
      <w:pPr>
        <w:ind w:left="5760" w:hanging="360"/>
      </w:pPr>
      <w:rPr>
        <w:rFonts w:ascii="Courier New" w:hAnsi="Courier New" w:hint="default"/>
      </w:rPr>
    </w:lvl>
    <w:lvl w:ilvl="8" w:tplc="96A4B0C2">
      <w:start w:val="1"/>
      <w:numFmt w:val="bullet"/>
      <w:lvlText w:val=""/>
      <w:lvlJc w:val="left"/>
      <w:pPr>
        <w:ind w:left="6480" w:hanging="360"/>
      </w:pPr>
      <w:rPr>
        <w:rFonts w:ascii="Wingdings" w:hAnsi="Wingdings" w:hint="default"/>
      </w:rPr>
    </w:lvl>
  </w:abstractNum>
  <w:abstractNum w:abstractNumId="1" w15:restartNumberingAfterBreak="0">
    <w:nsid w:val="38015D97"/>
    <w:multiLevelType w:val="hybridMultilevel"/>
    <w:tmpl w:val="1DC46A1E"/>
    <w:lvl w:ilvl="0" w:tplc="86780E38">
      <w:start w:val="1"/>
      <w:numFmt w:val="bullet"/>
      <w:lvlText w:val=""/>
      <w:lvlJc w:val="left"/>
      <w:pPr>
        <w:ind w:left="720" w:hanging="360"/>
      </w:pPr>
      <w:rPr>
        <w:rFonts w:ascii="Symbol" w:hAnsi="Symbol" w:hint="default"/>
      </w:rPr>
    </w:lvl>
    <w:lvl w:ilvl="1" w:tplc="E95AD6CC">
      <w:start w:val="1"/>
      <w:numFmt w:val="bullet"/>
      <w:lvlText w:val="o"/>
      <w:lvlJc w:val="left"/>
      <w:pPr>
        <w:ind w:left="1440" w:hanging="360"/>
      </w:pPr>
      <w:rPr>
        <w:rFonts w:ascii="Courier New" w:hAnsi="Courier New" w:hint="default"/>
      </w:rPr>
    </w:lvl>
    <w:lvl w:ilvl="2" w:tplc="EE3AEC7A">
      <w:start w:val="1"/>
      <w:numFmt w:val="bullet"/>
      <w:lvlText w:val=""/>
      <w:lvlJc w:val="left"/>
      <w:pPr>
        <w:ind w:left="2160" w:hanging="360"/>
      </w:pPr>
      <w:rPr>
        <w:rFonts w:ascii="Wingdings" w:hAnsi="Wingdings" w:hint="default"/>
      </w:rPr>
    </w:lvl>
    <w:lvl w:ilvl="3" w:tplc="8632AD2C">
      <w:start w:val="1"/>
      <w:numFmt w:val="bullet"/>
      <w:lvlText w:val=""/>
      <w:lvlJc w:val="left"/>
      <w:pPr>
        <w:ind w:left="2880" w:hanging="360"/>
      </w:pPr>
      <w:rPr>
        <w:rFonts w:ascii="Symbol" w:hAnsi="Symbol" w:hint="default"/>
      </w:rPr>
    </w:lvl>
    <w:lvl w:ilvl="4" w:tplc="F3C2DFBC">
      <w:start w:val="1"/>
      <w:numFmt w:val="bullet"/>
      <w:lvlText w:val="o"/>
      <w:lvlJc w:val="left"/>
      <w:pPr>
        <w:ind w:left="3600" w:hanging="360"/>
      </w:pPr>
      <w:rPr>
        <w:rFonts w:ascii="Courier New" w:hAnsi="Courier New" w:hint="default"/>
      </w:rPr>
    </w:lvl>
    <w:lvl w:ilvl="5" w:tplc="D9BED370">
      <w:start w:val="1"/>
      <w:numFmt w:val="bullet"/>
      <w:lvlText w:val=""/>
      <w:lvlJc w:val="left"/>
      <w:pPr>
        <w:ind w:left="4320" w:hanging="360"/>
      </w:pPr>
      <w:rPr>
        <w:rFonts w:ascii="Wingdings" w:hAnsi="Wingdings" w:hint="default"/>
      </w:rPr>
    </w:lvl>
    <w:lvl w:ilvl="6" w:tplc="1D36F344">
      <w:start w:val="1"/>
      <w:numFmt w:val="bullet"/>
      <w:lvlText w:val=""/>
      <w:lvlJc w:val="left"/>
      <w:pPr>
        <w:ind w:left="5040" w:hanging="360"/>
      </w:pPr>
      <w:rPr>
        <w:rFonts w:ascii="Symbol" w:hAnsi="Symbol" w:hint="default"/>
      </w:rPr>
    </w:lvl>
    <w:lvl w:ilvl="7" w:tplc="2CDC6AAC">
      <w:start w:val="1"/>
      <w:numFmt w:val="bullet"/>
      <w:lvlText w:val="o"/>
      <w:lvlJc w:val="left"/>
      <w:pPr>
        <w:ind w:left="5760" w:hanging="360"/>
      </w:pPr>
      <w:rPr>
        <w:rFonts w:ascii="Courier New" w:hAnsi="Courier New" w:hint="default"/>
      </w:rPr>
    </w:lvl>
    <w:lvl w:ilvl="8" w:tplc="E214B04A">
      <w:start w:val="1"/>
      <w:numFmt w:val="bullet"/>
      <w:lvlText w:val=""/>
      <w:lvlJc w:val="left"/>
      <w:pPr>
        <w:ind w:left="6480" w:hanging="360"/>
      </w:pPr>
      <w:rPr>
        <w:rFonts w:ascii="Wingdings" w:hAnsi="Wingdings" w:hint="default"/>
      </w:rPr>
    </w:lvl>
  </w:abstractNum>
  <w:abstractNum w:abstractNumId="2" w15:restartNumberingAfterBreak="0">
    <w:nsid w:val="481611B8"/>
    <w:multiLevelType w:val="hybridMultilevel"/>
    <w:tmpl w:val="8AD0C60A"/>
    <w:lvl w:ilvl="0" w:tplc="E974B900">
      <w:start w:val="1"/>
      <w:numFmt w:val="bullet"/>
      <w:lvlText w:val=""/>
      <w:lvlJc w:val="left"/>
      <w:pPr>
        <w:ind w:left="720" w:hanging="360"/>
      </w:pPr>
      <w:rPr>
        <w:rFonts w:ascii="Symbol" w:hAnsi="Symbol" w:hint="default"/>
      </w:rPr>
    </w:lvl>
    <w:lvl w:ilvl="1" w:tplc="A836ABBC">
      <w:start w:val="1"/>
      <w:numFmt w:val="bullet"/>
      <w:lvlText w:val="o"/>
      <w:lvlJc w:val="left"/>
      <w:pPr>
        <w:ind w:left="1440" w:hanging="360"/>
      </w:pPr>
      <w:rPr>
        <w:rFonts w:ascii="Courier New" w:hAnsi="Courier New" w:hint="default"/>
      </w:rPr>
    </w:lvl>
    <w:lvl w:ilvl="2" w:tplc="F00ECEFA">
      <w:start w:val="1"/>
      <w:numFmt w:val="bullet"/>
      <w:lvlText w:val=""/>
      <w:lvlJc w:val="left"/>
      <w:pPr>
        <w:ind w:left="2160" w:hanging="360"/>
      </w:pPr>
      <w:rPr>
        <w:rFonts w:ascii="Wingdings" w:hAnsi="Wingdings" w:hint="default"/>
      </w:rPr>
    </w:lvl>
    <w:lvl w:ilvl="3" w:tplc="D506CDE2">
      <w:start w:val="1"/>
      <w:numFmt w:val="bullet"/>
      <w:lvlText w:val=""/>
      <w:lvlJc w:val="left"/>
      <w:pPr>
        <w:ind w:left="2880" w:hanging="360"/>
      </w:pPr>
      <w:rPr>
        <w:rFonts w:ascii="Symbol" w:hAnsi="Symbol" w:hint="default"/>
      </w:rPr>
    </w:lvl>
    <w:lvl w:ilvl="4" w:tplc="F21015C6">
      <w:start w:val="1"/>
      <w:numFmt w:val="bullet"/>
      <w:lvlText w:val="o"/>
      <w:lvlJc w:val="left"/>
      <w:pPr>
        <w:ind w:left="3600" w:hanging="360"/>
      </w:pPr>
      <w:rPr>
        <w:rFonts w:ascii="Courier New" w:hAnsi="Courier New" w:hint="default"/>
      </w:rPr>
    </w:lvl>
    <w:lvl w:ilvl="5" w:tplc="AB767EC0">
      <w:start w:val="1"/>
      <w:numFmt w:val="bullet"/>
      <w:lvlText w:val=""/>
      <w:lvlJc w:val="left"/>
      <w:pPr>
        <w:ind w:left="4320" w:hanging="360"/>
      </w:pPr>
      <w:rPr>
        <w:rFonts w:ascii="Wingdings" w:hAnsi="Wingdings" w:hint="default"/>
      </w:rPr>
    </w:lvl>
    <w:lvl w:ilvl="6" w:tplc="2780C5F8">
      <w:start w:val="1"/>
      <w:numFmt w:val="bullet"/>
      <w:lvlText w:val=""/>
      <w:lvlJc w:val="left"/>
      <w:pPr>
        <w:ind w:left="5040" w:hanging="360"/>
      </w:pPr>
      <w:rPr>
        <w:rFonts w:ascii="Symbol" w:hAnsi="Symbol" w:hint="default"/>
      </w:rPr>
    </w:lvl>
    <w:lvl w:ilvl="7" w:tplc="74BCEC38">
      <w:start w:val="1"/>
      <w:numFmt w:val="bullet"/>
      <w:lvlText w:val="o"/>
      <w:lvlJc w:val="left"/>
      <w:pPr>
        <w:ind w:left="5760" w:hanging="360"/>
      </w:pPr>
      <w:rPr>
        <w:rFonts w:ascii="Courier New" w:hAnsi="Courier New" w:hint="default"/>
      </w:rPr>
    </w:lvl>
    <w:lvl w:ilvl="8" w:tplc="DBDC23CC">
      <w:start w:val="1"/>
      <w:numFmt w:val="bullet"/>
      <w:lvlText w:val=""/>
      <w:lvlJc w:val="left"/>
      <w:pPr>
        <w:ind w:left="6480" w:hanging="360"/>
      </w:pPr>
      <w:rPr>
        <w:rFonts w:ascii="Wingdings" w:hAnsi="Wingdings" w:hint="default"/>
      </w:rPr>
    </w:lvl>
  </w:abstractNum>
  <w:num w:numId="1" w16cid:durableId="558513896">
    <w:abstractNumId w:val="0"/>
  </w:num>
  <w:num w:numId="2" w16cid:durableId="1314069427">
    <w:abstractNumId w:val="1"/>
  </w:num>
  <w:num w:numId="3" w16cid:durableId="44838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49FE62"/>
    <w:rsid w:val="00001E3E"/>
    <w:rsid w:val="001838FD"/>
    <w:rsid w:val="001F7C4C"/>
    <w:rsid w:val="00257038"/>
    <w:rsid w:val="002A12FC"/>
    <w:rsid w:val="003A315A"/>
    <w:rsid w:val="003B2ECA"/>
    <w:rsid w:val="004143E1"/>
    <w:rsid w:val="00435BE8"/>
    <w:rsid w:val="0045135D"/>
    <w:rsid w:val="004A3A09"/>
    <w:rsid w:val="00602F73"/>
    <w:rsid w:val="00660BD6"/>
    <w:rsid w:val="007148D4"/>
    <w:rsid w:val="007A7C84"/>
    <w:rsid w:val="00844DFA"/>
    <w:rsid w:val="008C5B62"/>
    <w:rsid w:val="00925D85"/>
    <w:rsid w:val="00926A07"/>
    <w:rsid w:val="009839D3"/>
    <w:rsid w:val="00A952AE"/>
    <w:rsid w:val="00B358BE"/>
    <w:rsid w:val="00C66A70"/>
    <w:rsid w:val="00D43C4B"/>
    <w:rsid w:val="00E05DE6"/>
    <w:rsid w:val="00F4506E"/>
    <w:rsid w:val="00F46883"/>
    <w:rsid w:val="00F60926"/>
    <w:rsid w:val="00F84599"/>
    <w:rsid w:val="01364E44"/>
    <w:rsid w:val="0143DC02"/>
    <w:rsid w:val="019D63CA"/>
    <w:rsid w:val="01DA8CE2"/>
    <w:rsid w:val="02E1C5A3"/>
    <w:rsid w:val="030A55B5"/>
    <w:rsid w:val="030ADEB2"/>
    <w:rsid w:val="033B3E0C"/>
    <w:rsid w:val="0348F1BD"/>
    <w:rsid w:val="03CED76C"/>
    <w:rsid w:val="03E4F098"/>
    <w:rsid w:val="03F3DAAD"/>
    <w:rsid w:val="0539714B"/>
    <w:rsid w:val="063F940B"/>
    <w:rsid w:val="064DBBD9"/>
    <w:rsid w:val="0670DDF4"/>
    <w:rsid w:val="077545F2"/>
    <w:rsid w:val="07AC05D1"/>
    <w:rsid w:val="07C5E6A2"/>
    <w:rsid w:val="0851AEE9"/>
    <w:rsid w:val="085D8D8B"/>
    <w:rsid w:val="0863D641"/>
    <w:rsid w:val="08EBD8AA"/>
    <w:rsid w:val="09446B11"/>
    <w:rsid w:val="09906DA6"/>
    <w:rsid w:val="0A10187B"/>
    <w:rsid w:val="0B3B96FD"/>
    <w:rsid w:val="0B752CA1"/>
    <w:rsid w:val="0B967045"/>
    <w:rsid w:val="0CB0D27F"/>
    <w:rsid w:val="0CDA8583"/>
    <w:rsid w:val="0D75CD9E"/>
    <w:rsid w:val="0E1FA8C8"/>
    <w:rsid w:val="0F26F6FF"/>
    <w:rsid w:val="0F9B8209"/>
    <w:rsid w:val="0FB3730F"/>
    <w:rsid w:val="109D9D6C"/>
    <w:rsid w:val="10B85171"/>
    <w:rsid w:val="112024D9"/>
    <w:rsid w:val="116A85CF"/>
    <w:rsid w:val="11959534"/>
    <w:rsid w:val="11C5B5C9"/>
    <w:rsid w:val="12829CBA"/>
    <w:rsid w:val="129C0C01"/>
    <w:rsid w:val="12A0891B"/>
    <w:rsid w:val="1315CA63"/>
    <w:rsid w:val="13915209"/>
    <w:rsid w:val="14172616"/>
    <w:rsid w:val="14985E5F"/>
    <w:rsid w:val="14CD296D"/>
    <w:rsid w:val="14F46713"/>
    <w:rsid w:val="16C34BFC"/>
    <w:rsid w:val="17015B94"/>
    <w:rsid w:val="17412343"/>
    <w:rsid w:val="17B6D8C2"/>
    <w:rsid w:val="1897EEBE"/>
    <w:rsid w:val="19E7A4A9"/>
    <w:rsid w:val="19F12645"/>
    <w:rsid w:val="1A77EA7D"/>
    <w:rsid w:val="1B594D8C"/>
    <w:rsid w:val="1CA765DD"/>
    <w:rsid w:val="1D6C49A5"/>
    <w:rsid w:val="1E496E3F"/>
    <w:rsid w:val="1E8591FE"/>
    <w:rsid w:val="1EE63512"/>
    <w:rsid w:val="1F22E0D9"/>
    <w:rsid w:val="1F7419C0"/>
    <w:rsid w:val="1F9F4F32"/>
    <w:rsid w:val="20642474"/>
    <w:rsid w:val="20B1EB90"/>
    <w:rsid w:val="21351ABC"/>
    <w:rsid w:val="217B29C9"/>
    <w:rsid w:val="218054E6"/>
    <w:rsid w:val="2229ABF0"/>
    <w:rsid w:val="224ED0B0"/>
    <w:rsid w:val="22B921A8"/>
    <w:rsid w:val="22D8A6E2"/>
    <w:rsid w:val="23538757"/>
    <w:rsid w:val="23870D6D"/>
    <w:rsid w:val="24B6EAD1"/>
    <w:rsid w:val="24FC3C5F"/>
    <w:rsid w:val="2572158A"/>
    <w:rsid w:val="25831A21"/>
    <w:rsid w:val="26B7E794"/>
    <w:rsid w:val="29642B0B"/>
    <w:rsid w:val="29CCE338"/>
    <w:rsid w:val="29DBDBCC"/>
    <w:rsid w:val="2A6289D0"/>
    <w:rsid w:val="2A651C1D"/>
    <w:rsid w:val="2C3D6A8A"/>
    <w:rsid w:val="2C6B59BD"/>
    <w:rsid w:val="2E2184AF"/>
    <w:rsid w:val="2E452F1C"/>
    <w:rsid w:val="2EB7D887"/>
    <w:rsid w:val="2F4A0522"/>
    <w:rsid w:val="2F66DA51"/>
    <w:rsid w:val="2F6DF6DF"/>
    <w:rsid w:val="2F6FD091"/>
    <w:rsid w:val="312B2712"/>
    <w:rsid w:val="319F73EA"/>
    <w:rsid w:val="31CE53A9"/>
    <w:rsid w:val="326CB3F4"/>
    <w:rsid w:val="32FDF348"/>
    <w:rsid w:val="354DA3AD"/>
    <w:rsid w:val="3679D03F"/>
    <w:rsid w:val="3800256F"/>
    <w:rsid w:val="384A7C76"/>
    <w:rsid w:val="38DACB5F"/>
    <w:rsid w:val="3A12C429"/>
    <w:rsid w:val="3A916B7C"/>
    <w:rsid w:val="3AE201BD"/>
    <w:rsid w:val="3B04FF4A"/>
    <w:rsid w:val="3B848095"/>
    <w:rsid w:val="3B9E22B2"/>
    <w:rsid w:val="3BBA79B1"/>
    <w:rsid w:val="3C183D2C"/>
    <w:rsid w:val="3C86910E"/>
    <w:rsid w:val="3CF5464F"/>
    <w:rsid w:val="3D49FE62"/>
    <w:rsid w:val="3E2DB30A"/>
    <w:rsid w:val="3E6B5560"/>
    <w:rsid w:val="3F17B69E"/>
    <w:rsid w:val="40466C70"/>
    <w:rsid w:val="40C61C9C"/>
    <w:rsid w:val="40DCD4C3"/>
    <w:rsid w:val="40E7D62E"/>
    <w:rsid w:val="40FD19B6"/>
    <w:rsid w:val="4189FFF2"/>
    <w:rsid w:val="41FB46A5"/>
    <w:rsid w:val="42CE2775"/>
    <w:rsid w:val="44B50D5F"/>
    <w:rsid w:val="44DC62E0"/>
    <w:rsid w:val="44F19CA3"/>
    <w:rsid w:val="4569EED5"/>
    <w:rsid w:val="47C4E1D9"/>
    <w:rsid w:val="4931742E"/>
    <w:rsid w:val="49AB6908"/>
    <w:rsid w:val="4B2C9AF6"/>
    <w:rsid w:val="4D5CA6A7"/>
    <w:rsid w:val="4D635A11"/>
    <w:rsid w:val="4D8B890C"/>
    <w:rsid w:val="4E12390B"/>
    <w:rsid w:val="4E5AFE09"/>
    <w:rsid w:val="4E73A8C9"/>
    <w:rsid w:val="4E988C0A"/>
    <w:rsid w:val="4F77BC1D"/>
    <w:rsid w:val="50517C9C"/>
    <w:rsid w:val="50E759D4"/>
    <w:rsid w:val="50E8DBC6"/>
    <w:rsid w:val="51D05C7C"/>
    <w:rsid w:val="5292CBB2"/>
    <w:rsid w:val="53495C74"/>
    <w:rsid w:val="53B3A593"/>
    <w:rsid w:val="54092A49"/>
    <w:rsid w:val="54228EA2"/>
    <w:rsid w:val="54BD8CD9"/>
    <w:rsid w:val="54E025BC"/>
    <w:rsid w:val="567B0DBE"/>
    <w:rsid w:val="56882A74"/>
    <w:rsid w:val="57053A0E"/>
    <w:rsid w:val="5724B272"/>
    <w:rsid w:val="58F95401"/>
    <w:rsid w:val="590F9E14"/>
    <w:rsid w:val="59EC87CC"/>
    <w:rsid w:val="5A037CE5"/>
    <w:rsid w:val="5BCCC53D"/>
    <w:rsid w:val="5C77FC42"/>
    <w:rsid w:val="5CBCC898"/>
    <w:rsid w:val="5D58DC59"/>
    <w:rsid w:val="5D97D901"/>
    <w:rsid w:val="5D9CD63E"/>
    <w:rsid w:val="5DC3A081"/>
    <w:rsid w:val="5E04C5B3"/>
    <w:rsid w:val="5E079D26"/>
    <w:rsid w:val="5E149093"/>
    <w:rsid w:val="5E172F07"/>
    <w:rsid w:val="5E41DBCB"/>
    <w:rsid w:val="5EB590EB"/>
    <w:rsid w:val="5F57AE4E"/>
    <w:rsid w:val="5FA80483"/>
    <w:rsid w:val="6054FB43"/>
    <w:rsid w:val="606ED3E0"/>
    <w:rsid w:val="60BB375B"/>
    <w:rsid w:val="612AC366"/>
    <w:rsid w:val="6184370F"/>
    <w:rsid w:val="619D176F"/>
    <w:rsid w:val="619D8DEE"/>
    <w:rsid w:val="629AD468"/>
    <w:rsid w:val="62B5D761"/>
    <w:rsid w:val="62D4B6EA"/>
    <w:rsid w:val="62E59F6F"/>
    <w:rsid w:val="630A8BCB"/>
    <w:rsid w:val="635B0A98"/>
    <w:rsid w:val="63A5FEBA"/>
    <w:rsid w:val="63C8F751"/>
    <w:rsid w:val="64EE84F4"/>
    <w:rsid w:val="651F4B98"/>
    <w:rsid w:val="655020F1"/>
    <w:rsid w:val="6554AC37"/>
    <w:rsid w:val="655AF124"/>
    <w:rsid w:val="65A34522"/>
    <w:rsid w:val="665FDA7C"/>
    <w:rsid w:val="67652050"/>
    <w:rsid w:val="67D065C0"/>
    <w:rsid w:val="6889ACC8"/>
    <w:rsid w:val="689DC195"/>
    <w:rsid w:val="690AA3E8"/>
    <w:rsid w:val="69870C6C"/>
    <w:rsid w:val="69AC3EA9"/>
    <w:rsid w:val="6AA03B95"/>
    <w:rsid w:val="6AE33538"/>
    <w:rsid w:val="6B779FF0"/>
    <w:rsid w:val="6BB717DA"/>
    <w:rsid w:val="6D7E5B67"/>
    <w:rsid w:val="6DF1CC3C"/>
    <w:rsid w:val="6E13B553"/>
    <w:rsid w:val="6EE1AC8D"/>
    <w:rsid w:val="6F207B8D"/>
    <w:rsid w:val="6F59E85D"/>
    <w:rsid w:val="6F7D4937"/>
    <w:rsid w:val="70646428"/>
    <w:rsid w:val="71570A18"/>
    <w:rsid w:val="7176D964"/>
    <w:rsid w:val="719E7917"/>
    <w:rsid w:val="72435793"/>
    <w:rsid w:val="7258730C"/>
    <w:rsid w:val="7337FD07"/>
    <w:rsid w:val="73C099FE"/>
    <w:rsid w:val="7407C141"/>
    <w:rsid w:val="76098E03"/>
    <w:rsid w:val="7655DAC3"/>
    <w:rsid w:val="76931E20"/>
    <w:rsid w:val="76A0C207"/>
    <w:rsid w:val="76AD4A32"/>
    <w:rsid w:val="76DC05B0"/>
    <w:rsid w:val="772A22D9"/>
    <w:rsid w:val="77E5414D"/>
    <w:rsid w:val="78DCBFE9"/>
    <w:rsid w:val="790F7AAB"/>
    <w:rsid w:val="79455B5E"/>
    <w:rsid w:val="796669CA"/>
    <w:rsid w:val="7994875D"/>
    <w:rsid w:val="7A0461E4"/>
    <w:rsid w:val="7AA2D6E2"/>
    <w:rsid w:val="7ABFD8F3"/>
    <w:rsid w:val="7B75EEB0"/>
    <w:rsid w:val="7C53911F"/>
    <w:rsid w:val="7C808EEF"/>
    <w:rsid w:val="7CA5C67D"/>
    <w:rsid w:val="7CD68D1D"/>
    <w:rsid w:val="7DD95D03"/>
    <w:rsid w:val="7F2CACDC"/>
    <w:rsid w:val="7F6384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9FE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25831A21"/>
    <w:rPr>
      <w:color w:val="467886"/>
      <w:u w:val="single"/>
    </w:rPr>
  </w:style>
  <w:style w:type="paragraph" w:styleId="ListParagraph">
    <w:name w:val="List Paragraph"/>
    <w:basedOn w:val="Normal"/>
    <w:uiPriority w:val="34"/>
    <w:qFormat/>
    <w:rsid w:val="7176D964"/>
    <w:pPr>
      <w:ind w:left="720"/>
      <w:contextualSpacing/>
    </w:pPr>
  </w:style>
  <w:style w:type="paragraph" w:styleId="Revision">
    <w:name w:val="Revision"/>
    <w:hidden/>
    <w:uiPriority w:val="99"/>
    <w:semiHidden/>
    <w:rsid w:val="00926A07"/>
    <w:pPr>
      <w:spacing w:after="0" w:line="240" w:lineRule="auto"/>
    </w:pPr>
  </w:style>
  <w:style w:type="character" w:styleId="CommentReference">
    <w:name w:val="annotation reference"/>
    <w:basedOn w:val="DefaultParagraphFont"/>
    <w:uiPriority w:val="99"/>
    <w:semiHidden/>
    <w:unhideWhenUsed/>
    <w:rsid w:val="00660BD6"/>
    <w:rPr>
      <w:sz w:val="16"/>
      <w:szCs w:val="16"/>
    </w:rPr>
  </w:style>
  <w:style w:type="paragraph" w:styleId="CommentText">
    <w:name w:val="annotation text"/>
    <w:basedOn w:val="Normal"/>
    <w:link w:val="CommentTextChar"/>
    <w:uiPriority w:val="99"/>
    <w:unhideWhenUsed/>
    <w:rsid w:val="00660BD6"/>
    <w:pPr>
      <w:spacing w:line="240" w:lineRule="auto"/>
    </w:pPr>
    <w:rPr>
      <w:sz w:val="20"/>
      <w:szCs w:val="20"/>
    </w:rPr>
  </w:style>
  <w:style w:type="character" w:customStyle="1" w:styleId="CommentTextChar">
    <w:name w:val="Comment Text Char"/>
    <w:basedOn w:val="DefaultParagraphFont"/>
    <w:link w:val="CommentText"/>
    <w:uiPriority w:val="99"/>
    <w:rsid w:val="00660BD6"/>
    <w:rPr>
      <w:sz w:val="20"/>
      <w:szCs w:val="20"/>
    </w:rPr>
  </w:style>
  <w:style w:type="paragraph" w:styleId="CommentSubject">
    <w:name w:val="annotation subject"/>
    <w:basedOn w:val="CommentText"/>
    <w:next w:val="CommentText"/>
    <w:link w:val="CommentSubjectChar"/>
    <w:uiPriority w:val="99"/>
    <w:semiHidden/>
    <w:unhideWhenUsed/>
    <w:rsid w:val="00660BD6"/>
    <w:rPr>
      <w:b/>
      <w:bCs/>
    </w:rPr>
  </w:style>
  <w:style w:type="character" w:customStyle="1" w:styleId="CommentSubjectChar">
    <w:name w:val="Comment Subject Char"/>
    <w:basedOn w:val="CommentTextChar"/>
    <w:link w:val="CommentSubject"/>
    <w:uiPriority w:val="99"/>
    <w:semiHidden/>
    <w:rsid w:val="00660BD6"/>
    <w:rPr>
      <w:b/>
      <w:bCs/>
      <w:sz w:val="20"/>
      <w:szCs w:val="20"/>
    </w:rPr>
  </w:style>
  <w:style w:type="paragraph" w:styleId="Header">
    <w:name w:val="header"/>
    <w:basedOn w:val="Normal"/>
    <w:link w:val="HeaderChar"/>
    <w:uiPriority w:val="99"/>
    <w:unhideWhenUsed/>
    <w:rsid w:val="007148D4"/>
    <w:pPr>
      <w:tabs>
        <w:tab w:val="center" w:pos="4252"/>
        <w:tab w:val="right" w:pos="8504"/>
      </w:tabs>
      <w:spacing w:after="0" w:line="240" w:lineRule="auto"/>
    </w:pPr>
  </w:style>
  <w:style w:type="character" w:customStyle="1" w:styleId="HeaderChar">
    <w:name w:val="Header Char"/>
    <w:basedOn w:val="DefaultParagraphFont"/>
    <w:link w:val="Header"/>
    <w:uiPriority w:val="99"/>
    <w:rsid w:val="007148D4"/>
  </w:style>
  <w:style w:type="paragraph" w:styleId="Footer">
    <w:name w:val="footer"/>
    <w:basedOn w:val="Normal"/>
    <w:link w:val="FooterChar"/>
    <w:uiPriority w:val="99"/>
    <w:unhideWhenUsed/>
    <w:rsid w:val="007148D4"/>
    <w:pPr>
      <w:tabs>
        <w:tab w:val="center" w:pos="4252"/>
        <w:tab w:val="right" w:pos="8504"/>
      </w:tabs>
      <w:spacing w:after="0" w:line="240" w:lineRule="auto"/>
    </w:pPr>
  </w:style>
  <w:style w:type="character" w:customStyle="1" w:styleId="FooterChar">
    <w:name w:val="Footer Char"/>
    <w:basedOn w:val="DefaultParagraphFont"/>
    <w:link w:val="Footer"/>
    <w:uiPriority w:val="99"/>
    <w:rsid w:val="007148D4"/>
  </w:style>
  <w:style w:type="paragraph" w:styleId="BalloonText">
    <w:name w:val="Balloon Text"/>
    <w:basedOn w:val="Normal"/>
    <w:link w:val="BalloonTextChar"/>
    <w:uiPriority w:val="99"/>
    <w:semiHidden/>
    <w:unhideWhenUsed/>
    <w:rsid w:val="00C66A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A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nergy.ca.gov/programs-and-topics/topics/power-plants/opt-certification-program" TargetMode="External"/><Relationship Id="rId18" Type="http://schemas.openxmlformats.org/officeDocument/2006/relationships/hyperlink" Target="https://www.energy.ca.gov/about/commissioners/david-hochschil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nergy.ca.gov/powerplant/battery-storage-system/potentia-viridi-battery-energy-storage-system" TargetMode="External"/><Relationship Id="rId17" Type="http://schemas.openxmlformats.org/officeDocument/2006/relationships/hyperlink" Target="https://www.energy.ca.gov/powerplant/solar-photovoltaic-pv-battery-energy-storage/darden-clean-energy-project" TargetMode="External"/><Relationship Id="rId2" Type="http://schemas.openxmlformats.org/officeDocument/2006/relationships/customXml" Target="../customXml/item2.xml"/><Relationship Id="rId16" Type="http://schemas.openxmlformats.org/officeDocument/2006/relationships/hyperlink" Target="https://www.energy.ca.gov/powerplant/solar-photovoltaic-pv-battery-energy-storage/darden-clean-energy-project" TargetMode="External"/><Relationship Id="rId20" Type="http://schemas.openxmlformats.org/officeDocument/2006/relationships/hyperlink" Target="https://www.energy.ca.gov/programs-and-topics/topics/power-plants/opt-certification-progra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ergy.ca.gov/"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mailto:gilbert.magallon@energy.ca.gov" TargetMode="External"/><Relationship Id="rId19" Type="http://schemas.openxmlformats.org/officeDocument/2006/relationships/hyperlink" Target="https://build.ca.gov/abou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nergy.ca.gov/about/commissioners/noemi-otilia-osuna-gallard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tems xmlns="785685f2-c2e1-4352-89aa-3faca8eaba52" xsi:nil="true"/>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0" ma:contentTypeDescription="Create a new document." ma:contentTypeScope="" ma:versionID="5270a4934224f2d9615dc5af189d4d0e">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15392fbb4d98a17c77db59c108d17c00"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Item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Items" ma:index="24" nillable="true" ma:displayName="Items" ma:format="Dropdown" ma:internalName="Items" ma:percentage="FALSE">
      <xsd:simpleType>
        <xsd:restriction base="dms:Number"/>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b28b472-9dc7-4adc-878e-396f3faf2164}"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6CB64-0AFF-4D13-B555-BBEFA48BD518}">
  <ds:schemaRefs>
    <ds:schemaRef ds:uri="http://schemas.microsoft.com/office/2006/metadata/properties"/>
    <ds:schemaRef ds:uri="http://schemas.microsoft.com/office/infopath/2007/PartnerControls"/>
    <ds:schemaRef ds:uri="785685f2-c2e1-4352-89aa-3faca8eaba52"/>
    <ds:schemaRef ds:uri="5067c814-4b34-462c-a21d-c185ff6548d2"/>
  </ds:schemaRefs>
</ds:datastoreItem>
</file>

<file path=customXml/itemProps2.xml><?xml version="1.0" encoding="utf-8"?>
<ds:datastoreItem xmlns:ds="http://schemas.openxmlformats.org/officeDocument/2006/customXml" ds:itemID="{F8A141ED-BC49-4313-8CCC-97D351EE5E47}">
  <ds:schemaRefs>
    <ds:schemaRef ds:uri="http://schemas.microsoft.com/sharepoint/v3/contenttype/forms"/>
  </ds:schemaRefs>
</ds:datastoreItem>
</file>

<file path=customXml/itemProps3.xml><?xml version="1.0" encoding="utf-8"?>
<ds:datastoreItem xmlns:ds="http://schemas.openxmlformats.org/officeDocument/2006/customXml" ds:itemID="{D5DAC09A-01EC-40EF-8580-4CEB03580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1638</Words>
  <Characters>8982</Characters>
  <Application>Microsoft Office Word</Application>
  <DocSecurity>0</DocSecurity>
  <Lines>154</Lines>
  <Paragraphs>39</Paragraphs>
  <ScaleCrop>false</ScaleCrop>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2026-05-21T19:44:00Z</dcterms:created>
  <dcterms:modified xsi:type="dcterms:W3CDTF">2026-05-26T21:40:00Z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4893f836-200c-42b3-b959-7da681d2686f</vt:lpwstr>
  </property>
  <property fmtid="{D5CDD505-2E9C-101B-9397-08002B2CF9AE}" pid="3" name="ContentTypeId">
    <vt:lpwstr>0x01010061DC9A153AAEEE45BACE06E01F8272AC</vt:lpwstr>
  </property>
  <property fmtid="{D5CDD505-2E9C-101B-9397-08002B2CF9AE}" pid="4" name="MediaServiceImageTags">
    <vt:lpwstr/>
  </property>
  <property fmtid="{D5CDD505-2E9C-101B-9397-08002B2CF9AE}" pid="5" name="docLang">
    <vt:lpwstr>es</vt:lpwstr>
  </property>
</Properties>
</file>