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4C9D" w14:textId="02F6440E" w:rsidR="3E480488" w:rsidRPr="00A71CB7" w:rsidRDefault="3E480488" w:rsidP="00902FE0">
      <w:pPr>
        <w:pStyle w:val="Default"/>
        <w:spacing w:line="360" w:lineRule="auto"/>
        <w:jc w:val="center"/>
        <w:rPr>
          <w:rFonts w:eastAsia="Arial"/>
          <w:color w:val="auto"/>
          <w:sz w:val="22"/>
          <w:szCs w:val="22"/>
        </w:rPr>
      </w:pPr>
      <w:r w:rsidRPr="00A71CB7">
        <w:rPr>
          <w:rFonts w:eastAsia="Arial"/>
          <w:b/>
          <w:bCs/>
          <w:color w:val="auto"/>
          <w:sz w:val="22"/>
          <w:szCs w:val="22"/>
        </w:rPr>
        <w:t>GFO-</w:t>
      </w:r>
      <w:r w:rsidR="00EE6A99" w:rsidRPr="00A71CB7">
        <w:rPr>
          <w:rFonts w:eastAsia="Arial"/>
          <w:b/>
          <w:bCs/>
          <w:color w:val="auto"/>
          <w:sz w:val="22"/>
          <w:szCs w:val="22"/>
        </w:rPr>
        <w:t>21</w:t>
      </w:r>
      <w:r w:rsidRPr="00A71CB7">
        <w:rPr>
          <w:rFonts w:eastAsia="Arial"/>
          <w:b/>
          <w:bCs/>
          <w:color w:val="auto"/>
          <w:sz w:val="22"/>
          <w:szCs w:val="22"/>
        </w:rPr>
        <w:t>-</w:t>
      </w:r>
      <w:r w:rsidR="00EE6A99" w:rsidRPr="00A71CB7">
        <w:rPr>
          <w:rFonts w:eastAsia="Arial"/>
          <w:b/>
          <w:bCs/>
          <w:color w:val="auto"/>
          <w:sz w:val="22"/>
          <w:szCs w:val="22"/>
        </w:rPr>
        <w:t>901</w:t>
      </w:r>
    </w:p>
    <w:p w14:paraId="27350347" w14:textId="77339F86" w:rsidR="3E480488" w:rsidRPr="00A71CB7" w:rsidRDefault="3E480488" w:rsidP="00902FE0">
      <w:pPr>
        <w:pStyle w:val="Default"/>
        <w:spacing w:line="360" w:lineRule="auto"/>
        <w:jc w:val="center"/>
        <w:rPr>
          <w:rFonts w:eastAsia="Arial"/>
          <w:color w:val="auto"/>
          <w:sz w:val="22"/>
          <w:szCs w:val="22"/>
        </w:rPr>
      </w:pPr>
      <w:r w:rsidRPr="00A71CB7">
        <w:rPr>
          <w:rFonts w:eastAsia="Arial"/>
          <w:b/>
          <w:bCs/>
          <w:color w:val="auto"/>
          <w:sz w:val="22"/>
          <w:szCs w:val="22"/>
        </w:rPr>
        <w:t>Addendum #</w:t>
      </w:r>
      <w:r w:rsidR="00EE6A99" w:rsidRPr="00A71CB7">
        <w:rPr>
          <w:rFonts w:eastAsia="Arial"/>
          <w:b/>
          <w:bCs/>
          <w:color w:val="auto"/>
          <w:sz w:val="22"/>
          <w:szCs w:val="22"/>
        </w:rPr>
        <w:t>3</w:t>
      </w:r>
      <w:r w:rsidR="00815BB2">
        <w:rPr>
          <w:rFonts w:eastAsia="Arial"/>
          <w:b/>
          <w:bCs/>
          <w:color w:val="auto"/>
          <w:sz w:val="22"/>
          <w:szCs w:val="22"/>
        </w:rPr>
        <w:t>5</w:t>
      </w:r>
    </w:p>
    <w:p w14:paraId="1B5AB3CA" w14:textId="54336AD2" w:rsidR="3E480488" w:rsidRPr="00A71CB7" w:rsidRDefault="00815BB2" w:rsidP="00902FE0">
      <w:pPr>
        <w:pStyle w:val="Default"/>
        <w:spacing w:line="360" w:lineRule="auto"/>
        <w:jc w:val="center"/>
        <w:rPr>
          <w:rFonts w:eastAsia="Arial"/>
          <w:color w:val="auto"/>
          <w:sz w:val="22"/>
          <w:szCs w:val="22"/>
        </w:rPr>
      </w:pPr>
      <w:r>
        <w:rPr>
          <w:rFonts w:eastAsia="Arial"/>
          <w:b/>
          <w:bCs/>
          <w:color w:val="auto"/>
          <w:sz w:val="22"/>
          <w:szCs w:val="22"/>
        </w:rPr>
        <w:t>May</w:t>
      </w:r>
      <w:r w:rsidR="00EE6A99" w:rsidRPr="00A71CB7">
        <w:rPr>
          <w:rFonts w:eastAsia="Arial"/>
          <w:b/>
          <w:bCs/>
          <w:color w:val="auto"/>
          <w:sz w:val="22"/>
          <w:szCs w:val="22"/>
        </w:rPr>
        <w:t xml:space="preserve"> </w:t>
      </w:r>
      <w:r w:rsidR="00B91F40">
        <w:rPr>
          <w:rFonts w:eastAsia="Arial"/>
          <w:b/>
          <w:bCs/>
          <w:color w:val="auto"/>
          <w:sz w:val="22"/>
          <w:szCs w:val="22"/>
        </w:rPr>
        <w:t>13</w:t>
      </w:r>
      <w:r w:rsidR="00EE6A99" w:rsidRPr="00A71CB7">
        <w:rPr>
          <w:rFonts w:eastAsia="Arial"/>
          <w:b/>
          <w:bCs/>
          <w:color w:val="auto"/>
          <w:sz w:val="22"/>
          <w:szCs w:val="22"/>
        </w:rPr>
        <w:t>, 2026</w:t>
      </w:r>
    </w:p>
    <w:p w14:paraId="0FA7D40A" w14:textId="28593FBD" w:rsidR="2B229E13" w:rsidRPr="00A71CB7" w:rsidRDefault="2B229E13" w:rsidP="2B229E13">
      <w:pPr>
        <w:rPr>
          <w:rFonts w:ascii="Arial" w:eastAsia="Arial" w:hAnsi="Arial" w:cs="Arial"/>
          <w:sz w:val="22"/>
          <w:szCs w:val="22"/>
        </w:rPr>
      </w:pPr>
    </w:p>
    <w:p w14:paraId="129B73F1" w14:textId="0370F0FB" w:rsidR="3E480488" w:rsidRPr="00A71CB7" w:rsidRDefault="00F51FC4" w:rsidP="2B229E13">
      <w:pPr>
        <w:pStyle w:val="Default"/>
        <w:jc w:val="center"/>
        <w:rPr>
          <w:rFonts w:eastAsia="Arial"/>
          <w:color w:val="auto"/>
          <w:sz w:val="22"/>
          <w:szCs w:val="22"/>
        </w:rPr>
      </w:pPr>
      <w:r w:rsidRPr="00A71CB7">
        <w:rPr>
          <w:rFonts w:eastAsia="Arial"/>
          <w:b/>
          <w:bCs/>
          <w:color w:val="auto"/>
          <w:sz w:val="22"/>
          <w:szCs w:val="22"/>
        </w:rPr>
        <w:t>Cost Share for Federal Clean Energy Funding Opportunities</w:t>
      </w:r>
    </w:p>
    <w:p w14:paraId="610B11F5" w14:textId="5077CC1F" w:rsidR="2B229E13" w:rsidRDefault="2B229E13" w:rsidP="2B229E13">
      <w:pPr>
        <w:jc w:val="center"/>
        <w:rPr>
          <w:rFonts w:ascii="Arial" w:eastAsia="Arial" w:hAnsi="Arial" w:cs="Arial"/>
          <w:color w:val="0070C0"/>
          <w:sz w:val="22"/>
          <w:szCs w:val="22"/>
        </w:rPr>
      </w:pPr>
    </w:p>
    <w:p w14:paraId="62BCB38B" w14:textId="40CC2BCC" w:rsidR="3E480488" w:rsidRDefault="3E480488" w:rsidP="2B229E13">
      <w:pPr>
        <w:jc w:val="center"/>
        <w:rPr>
          <w:rFonts w:ascii="Arial" w:eastAsia="Arial" w:hAnsi="Arial" w:cs="Arial"/>
          <w:color w:val="000000" w:themeColor="text1"/>
          <w:sz w:val="22"/>
          <w:szCs w:val="22"/>
        </w:rPr>
      </w:pPr>
      <w:r w:rsidRPr="2B229E13">
        <w:rPr>
          <w:rStyle w:val="normaltextrun"/>
          <w:rFonts w:ascii="Arial" w:eastAsia="Arial" w:hAnsi="Arial" w:cs="Arial"/>
          <w:color w:val="000000" w:themeColor="text1"/>
          <w:sz w:val="22"/>
          <w:szCs w:val="22"/>
        </w:rPr>
        <w:t xml:space="preserve">Please Note: Added language appears in </w:t>
      </w:r>
      <w:r w:rsidRPr="2B229E13">
        <w:rPr>
          <w:rStyle w:val="normaltextrun"/>
          <w:rFonts w:ascii="Arial" w:eastAsia="Arial" w:hAnsi="Arial" w:cs="Arial"/>
          <w:b/>
          <w:bCs/>
          <w:color w:val="000000" w:themeColor="text1"/>
          <w:sz w:val="22"/>
          <w:szCs w:val="22"/>
          <w:u w:val="single"/>
        </w:rPr>
        <w:t>bold underlined</w:t>
      </w:r>
      <w:r w:rsidRPr="2B229E13">
        <w:rPr>
          <w:rStyle w:val="normaltextrun"/>
          <w:rFonts w:ascii="Arial" w:eastAsia="Arial" w:hAnsi="Arial" w:cs="Arial"/>
          <w:color w:val="000000" w:themeColor="text1"/>
          <w:sz w:val="22"/>
          <w:szCs w:val="22"/>
          <w:u w:val="single"/>
        </w:rPr>
        <w:t xml:space="preserve"> </w:t>
      </w:r>
      <w:r w:rsidRPr="2B229E13">
        <w:rPr>
          <w:rStyle w:val="normaltextrun"/>
          <w:rFonts w:ascii="Arial" w:eastAsia="Arial" w:hAnsi="Arial" w:cs="Arial"/>
          <w:color w:val="000000" w:themeColor="text1"/>
          <w:sz w:val="22"/>
          <w:szCs w:val="22"/>
        </w:rPr>
        <w:t xml:space="preserve">font. Deleted language appears in </w:t>
      </w:r>
      <w:r w:rsidRPr="2B229E13">
        <w:rPr>
          <w:rStyle w:val="normaltextrun"/>
          <w:rFonts w:ascii="Arial" w:eastAsia="Arial" w:hAnsi="Arial" w:cs="Arial"/>
          <w:strike/>
          <w:color w:val="000000" w:themeColor="text1"/>
          <w:sz w:val="22"/>
          <w:szCs w:val="22"/>
        </w:rPr>
        <w:t>[strikethrough]</w:t>
      </w:r>
      <w:r w:rsidRPr="2B229E13">
        <w:rPr>
          <w:rStyle w:val="normaltextrun"/>
          <w:rFonts w:ascii="Arial" w:eastAsia="Arial" w:hAnsi="Arial" w:cs="Arial"/>
          <w:color w:val="000000" w:themeColor="text1"/>
          <w:sz w:val="22"/>
          <w:szCs w:val="22"/>
        </w:rPr>
        <w:t xml:space="preserve"> and within square brackets.  </w:t>
      </w:r>
    </w:p>
    <w:p w14:paraId="2D6D291D" w14:textId="73A0793E" w:rsidR="3E480488" w:rsidRDefault="3E480488" w:rsidP="2B229E13">
      <w:pPr>
        <w:jc w:val="center"/>
        <w:rPr>
          <w:rFonts w:ascii="Arial" w:eastAsia="Arial" w:hAnsi="Arial" w:cs="Arial"/>
          <w:color w:val="000000" w:themeColor="text1"/>
          <w:sz w:val="22"/>
          <w:szCs w:val="22"/>
        </w:rPr>
      </w:pPr>
      <w:r w:rsidRPr="2B229E13">
        <w:rPr>
          <w:rStyle w:val="eop"/>
          <w:rFonts w:ascii="Arial" w:eastAsia="Arial" w:hAnsi="Arial" w:cs="Arial"/>
          <w:color w:val="000000" w:themeColor="text1"/>
          <w:sz w:val="22"/>
          <w:szCs w:val="22"/>
        </w:rPr>
        <w:t> </w:t>
      </w:r>
    </w:p>
    <w:p w14:paraId="0C782FB0" w14:textId="328D65F1" w:rsidR="2B229E13" w:rsidRDefault="2B229E13" w:rsidP="2B229E13">
      <w:pPr>
        <w:rPr>
          <w:rFonts w:ascii="Arial" w:eastAsia="Arial" w:hAnsi="Arial" w:cs="Arial"/>
          <w:color w:val="000000" w:themeColor="text1"/>
          <w:sz w:val="22"/>
          <w:szCs w:val="22"/>
        </w:rPr>
      </w:pPr>
    </w:p>
    <w:p w14:paraId="5A8F3399" w14:textId="724C8EE7" w:rsidR="3E480488" w:rsidRDefault="3E480488" w:rsidP="2B229E13">
      <w:pPr>
        <w:pStyle w:val="Default"/>
        <w:rPr>
          <w:rFonts w:eastAsia="Arial"/>
          <w:color w:val="000000" w:themeColor="text1"/>
          <w:sz w:val="22"/>
          <w:szCs w:val="22"/>
        </w:rPr>
      </w:pPr>
      <w:r w:rsidRPr="2B229E13">
        <w:rPr>
          <w:rFonts w:eastAsia="Arial"/>
          <w:color w:val="000000" w:themeColor="text1"/>
          <w:sz w:val="22"/>
          <w:szCs w:val="22"/>
        </w:rPr>
        <w:t xml:space="preserve">The </w:t>
      </w:r>
      <w:r w:rsidRPr="00A71CB7">
        <w:rPr>
          <w:rFonts w:eastAsia="Arial"/>
          <w:color w:val="auto"/>
          <w:sz w:val="22"/>
          <w:szCs w:val="22"/>
        </w:rPr>
        <w:t>purpose of this addendum is to notify potential applicants of changes that have been made to the solicitation manual for GFO-</w:t>
      </w:r>
      <w:r w:rsidR="002B5144" w:rsidRPr="00A71CB7">
        <w:rPr>
          <w:rFonts w:eastAsia="Arial"/>
          <w:color w:val="auto"/>
          <w:sz w:val="22"/>
          <w:szCs w:val="22"/>
        </w:rPr>
        <w:t>21</w:t>
      </w:r>
      <w:r w:rsidRPr="00A71CB7">
        <w:rPr>
          <w:rFonts w:eastAsia="Arial"/>
          <w:color w:val="auto"/>
          <w:sz w:val="22"/>
          <w:szCs w:val="22"/>
        </w:rPr>
        <w:t>-</w:t>
      </w:r>
      <w:r w:rsidR="002B5144" w:rsidRPr="00A71CB7">
        <w:rPr>
          <w:rFonts w:eastAsia="Arial"/>
          <w:color w:val="auto"/>
          <w:sz w:val="22"/>
          <w:szCs w:val="22"/>
        </w:rPr>
        <w:t>901.</w:t>
      </w:r>
      <w:r w:rsidRPr="00A71CB7">
        <w:rPr>
          <w:rFonts w:eastAsia="Arial"/>
          <w:color w:val="auto"/>
          <w:sz w:val="22"/>
          <w:szCs w:val="22"/>
        </w:rPr>
        <w:t xml:space="preserve"> The </w:t>
      </w:r>
      <w:r w:rsidRPr="2B229E13">
        <w:rPr>
          <w:rFonts w:eastAsia="Arial"/>
          <w:color w:val="000000" w:themeColor="text1"/>
          <w:sz w:val="22"/>
          <w:szCs w:val="22"/>
        </w:rPr>
        <w:t xml:space="preserve">addendum includes the following revisions to the Solicitation Manual. Added language appears in </w:t>
      </w:r>
      <w:r w:rsidRPr="2B229E13">
        <w:rPr>
          <w:rFonts w:eastAsia="Arial"/>
          <w:b/>
          <w:bCs/>
          <w:color w:val="000000" w:themeColor="text1"/>
          <w:sz w:val="22"/>
          <w:szCs w:val="22"/>
          <w:u w:val="single"/>
        </w:rPr>
        <w:t>bold underline</w:t>
      </w:r>
      <w:r w:rsidRPr="2B229E13">
        <w:rPr>
          <w:rFonts w:eastAsia="Arial"/>
          <w:color w:val="000000" w:themeColor="text1"/>
          <w:sz w:val="22"/>
          <w:szCs w:val="22"/>
        </w:rPr>
        <w:t>, and deleted language appears in [</w:t>
      </w:r>
      <w:r w:rsidRPr="2B229E13">
        <w:rPr>
          <w:rFonts w:eastAsia="Arial"/>
          <w:strike/>
          <w:color w:val="000000" w:themeColor="text1"/>
          <w:sz w:val="22"/>
          <w:szCs w:val="22"/>
        </w:rPr>
        <w:t>strikethrough]</w:t>
      </w:r>
      <w:r w:rsidRPr="2B229E13">
        <w:rPr>
          <w:rFonts w:eastAsia="Arial"/>
          <w:color w:val="000000" w:themeColor="text1"/>
          <w:sz w:val="22"/>
          <w:szCs w:val="22"/>
        </w:rPr>
        <w:t xml:space="preserve"> and within square brackets.</w:t>
      </w:r>
    </w:p>
    <w:p w14:paraId="127CD2AA" w14:textId="35972E26" w:rsidR="2B229E13" w:rsidRDefault="2B229E13" w:rsidP="2B229E13">
      <w:pPr>
        <w:rPr>
          <w:rFonts w:ascii="Arial" w:eastAsia="Arial" w:hAnsi="Arial" w:cs="Arial"/>
          <w:color w:val="000000" w:themeColor="text1"/>
          <w:sz w:val="22"/>
          <w:szCs w:val="22"/>
        </w:rPr>
      </w:pPr>
    </w:p>
    <w:p w14:paraId="04BF3A8D" w14:textId="6549831F" w:rsidR="3E480488" w:rsidRDefault="3E480488" w:rsidP="2B229E13">
      <w:pPr>
        <w:pStyle w:val="Default"/>
        <w:rPr>
          <w:rFonts w:eastAsia="Arial"/>
          <w:color w:val="0070C0"/>
          <w:sz w:val="22"/>
          <w:szCs w:val="22"/>
        </w:rPr>
      </w:pPr>
      <w:r w:rsidRPr="004C6752">
        <w:rPr>
          <w:rFonts w:eastAsia="Arial"/>
          <w:b/>
          <w:bCs/>
          <w:color w:val="000000" w:themeColor="text1"/>
          <w:sz w:val="22"/>
          <w:szCs w:val="22"/>
        </w:rPr>
        <w:t>Solicitation Manual</w:t>
      </w:r>
    </w:p>
    <w:p w14:paraId="648EDF48" w14:textId="0295A3A7" w:rsidR="2B229E13" w:rsidRDefault="2B229E13" w:rsidP="2B229E13">
      <w:pPr>
        <w:rPr>
          <w:rFonts w:ascii="Arial" w:eastAsia="Arial" w:hAnsi="Arial" w:cs="Arial"/>
          <w:color w:val="000000" w:themeColor="text1"/>
          <w:sz w:val="22"/>
          <w:szCs w:val="22"/>
        </w:rPr>
      </w:pPr>
    </w:p>
    <w:p w14:paraId="54B41523" w14:textId="3A06B581" w:rsidR="007E75CA" w:rsidRPr="00012045" w:rsidRDefault="007E75CA" w:rsidP="007E75CA">
      <w:pPr>
        <w:pStyle w:val="Default"/>
        <w:rPr>
          <w:rFonts w:eastAsia="Arial"/>
          <w:color w:val="auto"/>
          <w:sz w:val="22"/>
          <w:szCs w:val="22"/>
        </w:rPr>
      </w:pPr>
      <w:r w:rsidRPr="00012045">
        <w:rPr>
          <w:rFonts w:eastAsia="Arial"/>
          <w:b/>
          <w:bCs/>
          <w:color w:val="auto"/>
          <w:sz w:val="22"/>
          <w:szCs w:val="22"/>
        </w:rPr>
        <w:t>Section</w:t>
      </w:r>
      <w:r w:rsidR="00901D4F" w:rsidRPr="00012045">
        <w:rPr>
          <w:rFonts w:eastAsia="Arial"/>
          <w:b/>
          <w:bCs/>
          <w:color w:val="auto"/>
          <w:sz w:val="22"/>
          <w:szCs w:val="22"/>
        </w:rPr>
        <w:t xml:space="preserve"> I</w:t>
      </w:r>
      <w:r w:rsidRPr="00012045">
        <w:rPr>
          <w:rFonts w:eastAsia="Arial"/>
          <w:b/>
          <w:bCs/>
          <w:color w:val="auto"/>
          <w:sz w:val="22"/>
          <w:szCs w:val="22"/>
        </w:rPr>
        <w:t>I</w:t>
      </w:r>
    </w:p>
    <w:p w14:paraId="1B9BCB3D" w14:textId="77777777" w:rsidR="007E75CA" w:rsidRPr="00012045" w:rsidRDefault="007E75CA" w:rsidP="007E75CA">
      <w:pPr>
        <w:rPr>
          <w:rFonts w:ascii="Arial" w:eastAsia="Arial" w:hAnsi="Arial" w:cs="Arial"/>
          <w:sz w:val="22"/>
          <w:szCs w:val="22"/>
        </w:rPr>
      </w:pPr>
    </w:p>
    <w:p w14:paraId="42D0AFBD" w14:textId="20B5C2DB" w:rsidR="007E75CA" w:rsidRPr="00012045" w:rsidRDefault="007E75CA" w:rsidP="007E75CA">
      <w:pPr>
        <w:pStyle w:val="Default"/>
        <w:numPr>
          <w:ilvl w:val="0"/>
          <w:numId w:val="2"/>
        </w:numPr>
        <w:rPr>
          <w:rFonts w:eastAsia="Arial"/>
          <w:color w:val="auto"/>
          <w:sz w:val="22"/>
          <w:szCs w:val="22"/>
        </w:rPr>
      </w:pPr>
      <w:r w:rsidRPr="00012045">
        <w:rPr>
          <w:rFonts w:eastAsia="Arial"/>
          <w:color w:val="auto"/>
          <w:sz w:val="22"/>
          <w:szCs w:val="22"/>
        </w:rPr>
        <w:t>Page #</w:t>
      </w:r>
      <w:r w:rsidR="00A5052D" w:rsidRPr="00012045">
        <w:rPr>
          <w:rFonts w:eastAsia="Arial"/>
          <w:color w:val="auto"/>
          <w:sz w:val="22"/>
          <w:szCs w:val="22"/>
        </w:rPr>
        <w:t>2</w:t>
      </w:r>
      <w:r w:rsidR="00815BB2">
        <w:rPr>
          <w:rFonts w:eastAsia="Arial"/>
          <w:color w:val="auto"/>
          <w:sz w:val="22"/>
          <w:szCs w:val="22"/>
        </w:rPr>
        <w:t>1</w:t>
      </w:r>
      <w:r w:rsidRPr="00012045">
        <w:rPr>
          <w:rFonts w:eastAsia="Arial"/>
          <w:color w:val="auto"/>
          <w:sz w:val="22"/>
          <w:szCs w:val="22"/>
        </w:rPr>
        <w:t xml:space="preserve">, Section </w:t>
      </w:r>
      <w:r w:rsidR="00273F61" w:rsidRPr="00012045">
        <w:rPr>
          <w:rFonts w:eastAsia="Arial"/>
          <w:color w:val="auto"/>
          <w:sz w:val="22"/>
          <w:szCs w:val="22"/>
        </w:rPr>
        <w:t>A</w:t>
      </w:r>
      <w:r w:rsidRPr="00012045">
        <w:rPr>
          <w:rFonts w:eastAsia="Arial"/>
          <w:color w:val="auto"/>
          <w:sz w:val="22"/>
          <w:szCs w:val="22"/>
        </w:rPr>
        <w:t xml:space="preserve">. </w:t>
      </w:r>
      <w:r w:rsidR="00AE6E99" w:rsidRPr="00012045">
        <w:rPr>
          <w:rFonts w:eastAsia="Arial"/>
          <w:color w:val="auto"/>
          <w:sz w:val="22"/>
          <w:szCs w:val="22"/>
        </w:rPr>
        <w:t>Eligible Federal Funding Opportun</w:t>
      </w:r>
      <w:r w:rsidR="00B80FF8" w:rsidRPr="00012045">
        <w:rPr>
          <w:rFonts w:eastAsia="Arial"/>
          <w:color w:val="auto"/>
          <w:sz w:val="22"/>
          <w:szCs w:val="22"/>
        </w:rPr>
        <w:t>ities</w:t>
      </w:r>
    </w:p>
    <w:p w14:paraId="1DFE2217" w14:textId="11AC2A52" w:rsidR="00131C7C" w:rsidRPr="00012045" w:rsidRDefault="00D12411" w:rsidP="00131C7C">
      <w:pPr>
        <w:pStyle w:val="Default"/>
        <w:ind w:left="360"/>
        <w:rPr>
          <w:rFonts w:eastAsia="Arial"/>
          <w:color w:val="auto"/>
          <w:sz w:val="22"/>
          <w:szCs w:val="22"/>
        </w:rPr>
      </w:pPr>
      <w:r w:rsidRPr="00012045">
        <w:rPr>
          <w:rFonts w:eastAsia="Arial"/>
          <w:color w:val="auto"/>
          <w:sz w:val="22"/>
          <w:szCs w:val="22"/>
        </w:rPr>
        <w:t>DE-FOA-0003</w:t>
      </w:r>
      <w:r w:rsidR="00815BB2">
        <w:rPr>
          <w:rFonts w:eastAsia="Arial"/>
          <w:color w:val="auto"/>
          <w:sz w:val="22"/>
          <w:szCs w:val="22"/>
        </w:rPr>
        <w:t>589</w:t>
      </w:r>
      <w:r w:rsidRPr="00012045">
        <w:rPr>
          <w:rFonts w:eastAsia="Arial"/>
          <w:color w:val="auto"/>
          <w:sz w:val="22"/>
          <w:szCs w:val="22"/>
        </w:rPr>
        <w:t xml:space="preserve">, Topic Area </w:t>
      </w:r>
      <w:r w:rsidR="00815BB2">
        <w:rPr>
          <w:rFonts w:eastAsia="Arial"/>
          <w:color w:val="auto"/>
          <w:sz w:val="22"/>
          <w:szCs w:val="22"/>
        </w:rPr>
        <w:t>3B</w:t>
      </w:r>
      <w:r w:rsidRPr="00012045">
        <w:rPr>
          <w:rFonts w:eastAsia="Arial"/>
          <w:color w:val="auto"/>
          <w:sz w:val="22"/>
          <w:szCs w:val="22"/>
        </w:rPr>
        <w:t xml:space="preserve"> added as a new supported FOA</w:t>
      </w:r>
    </w:p>
    <w:p w14:paraId="5AF2B190" w14:textId="77777777" w:rsidR="007E75CA" w:rsidRPr="00012045" w:rsidRDefault="007E75CA" w:rsidP="007E75CA">
      <w:pPr>
        <w:ind w:left="360"/>
        <w:rPr>
          <w:rFonts w:ascii="Arial" w:eastAsia="Arial" w:hAnsi="Arial" w:cs="Arial"/>
          <w:sz w:val="22"/>
          <w:szCs w:val="22"/>
        </w:rPr>
      </w:pPr>
    </w:p>
    <w:tbl>
      <w:tblPr>
        <w:tblStyle w:val="TableGrid4"/>
        <w:tblW w:w="5872" w:type="pct"/>
        <w:tblInd w:w="-815" w:type="dxa"/>
        <w:tblLayout w:type="fixed"/>
        <w:tblLook w:val="04A0" w:firstRow="1" w:lastRow="0" w:firstColumn="1" w:lastColumn="0" w:noHBand="0" w:noVBand="1"/>
      </w:tblPr>
      <w:tblGrid>
        <w:gridCol w:w="1891"/>
        <w:gridCol w:w="1440"/>
        <w:gridCol w:w="1800"/>
        <w:gridCol w:w="1798"/>
        <w:gridCol w:w="1352"/>
        <w:gridCol w:w="1960"/>
      </w:tblGrid>
      <w:tr w:rsidR="007F469E" w:rsidRPr="007F469E" w14:paraId="4C0D5A89" w14:textId="77777777" w:rsidTr="000C39BF">
        <w:tc>
          <w:tcPr>
            <w:tcW w:w="923" w:type="pct"/>
            <w:tcBorders>
              <w:bottom w:val="single" w:sz="4" w:space="0" w:color="auto"/>
            </w:tcBorders>
            <w:shd w:val="clear" w:color="auto" w:fill="D9D9D9"/>
          </w:tcPr>
          <w:p w14:paraId="357143E6" w14:textId="77777777" w:rsidR="007F469E" w:rsidRPr="007F469E" w:rsidRDefault="007F469E" w:rsidP="007F469E">
            <w:pPr>
              <w:spacing w:after="120"/>
              <w:rPr>
                <w:rFonts w:eastAsia="Arial"/>
                <w:sz w:val="22"/>
              </w:rPr>
            </w:pPr>
            <w:bookmarkStart w:id="0" w:name="_Hlk116487580"/>
            <w:r w:rsidRPr="007F469E">
              <w:rPr>
                <w:rFonts w:eastAsia="Arial"/>
                <w:b/>
                <w:sz w:val="22"/>
              </w:rPr>
              <w:t>Funding Opportunity Announcement (FOA) Number and Title</w:t>
            </w:r>
          </w:p>
        </w:tc>
        <w:tc>
          <w:tcPr>
            <w:tcW w:w="703" w:type="pct"/>
            <w:tcBorders>
              <w:bottom w:val="single" w:sz="4" w:space="0" w:color="auto"/>
            </w:tcBorders>
            <w:shd w:val="clear" w:color="auto" w:fill="D9D9D9"/>
          </w:tcPr>
          <w:p w14:paraId="55469151" w14:textId="77777777" w:rsidR="007F469E" w:rsidRPr="007F469E" w:rsidRDefault="007F469E" w:rsidP="007F469E">
            <w:pPr>
              <w:spacing w:after="120"/>
              <w:rPr>
                <w:rFonts w:eastAsia="Arial"/>
                <w:sz w:val="22"/>
                <w:szCs w:val="22"/>
              </w:rPr>
            </w:pPr>
            <w:r w:rsidRPr="007F469E">
              <w:rPr>
                <w:rFonts w:eastAsia="Arial"/>
                <w:b/>
                <w:sz w:val="22"/>
                <w:szCs w:val="22"/>
              </w:rPr>
              <w:t>CEC Application Due Date (Phase One – Pre Federal Award)</w:t>
            </w:r>
          </w:p>
        </w:tc>
        <w:tc>
          <w:tcPr>
            <w:tcW w:w="879" w:type="pct"/>
            <w:tcBorders>
              <w:bottom w:val="single" w:sz="4" w:space="0" w:color="auto"/>
            </w:tcBorders>
            <w:shd w:val="clear" w:color="auto" w:fill="D9D9D9"/>
          </w:tcPr>
          <w:p w14:paraId="0F41A433" w14:textId="77777777" w:rsidR="007F469E" w:rsidRPr="007F469E" w:rsidRDefault="007F469E" w:rsidP="007F469E">
            <w:pPr>
              <w:spacing w:after="120" w:line="259" w:lineRule="auto"/>
              <w:rPr>
                <w:rFonts w:eastAsia="Arial"/>
                <w:b/>
                <w:sz w:val="22"/>
              </w:rPr>
            </w:pPr>
            <w:r w:rsidRPr="007F469E">
              <w:rPr>
                <w:rFonts w:eastAsia="Arial"/>
                <w:b/>
                <w:sz w:val="22"/>
              </w:rPr>
              <w:t>Recommended Minimum CEC Cost Share Award*</w:t>
            </w:r>
          </w:p>
          <w:p w14:paraId="6444EED9" w14:textId="77777777" w:rsidR="007F469E" w:rsidRPr="007F469E" w:rsidRDefault="007F469E" w:rsidP="007F469E">
            <w:pPr>
              <w:spacing w:after="120"/>
              <w:rPr>
                <w:rFonts w:eastAsia="Arial"/>
                <w:b/>
                <w:sz w:val="22"/>
                <w:szCs w:val="22"/>
              </w:rPr>
            </w:pPr>
          </w:p>
        </w:tc>
        <w:tc>
          <w:tcPr>
            <w:tcW w:w="878" w:type="pct"/>
            <w:tcBorders>
              <w:bottom w:val="single" w:sz="4" w:space="0" w:color="auto"/>
            </w:tcBorders>
            <w:shd w:val="clear" w:color="auto" w:fill="D9D9D9"/>
          </w:tcPr>
          <w:p w14:paraId="438BEF1F" w14:textId="77777777" w:rsidR="007F469E" w:rsidRPr="007F469E" w:rsidRDefault="007F469E" w:rsidP="007F469E">
            <w:pPr>
              <w:spacing w:after="120" w:line="259" w:lineRule="auto"/>
              <w:rPr>
                <w:rFonts w:eastAsia="Arial"/>
                <w:b/>
                <w:sz w:val="22"/>
              </w:rPr>
            </w:pPr>
            <w:r w:rsidRPr="007F469E">
              <w:rPr>
                <w:rFonts w:eastAsia="Arial"/>
                <w:b/>
                <w:sz w:val="22"/>
              </w:rPr>
              <w:t>Recommended Maximum CEC Cost Share Award*</w:t>
            </w:r>
          </w:p>
        </w:tc>
        <w:tc>
          <w:tcPr>
            <w:tcW w:w="660" w:type="pct"/>
            <w:tcBorders>
              <w:bottom w:val="single" w:sz="4" w:space="0" w:color="auto"/>
            </w:tcBorders>
            <w:shd w:val="clear" w:color="auto" w:fill="D9D9D9"/>
          </w:tcPr>
          <w:p w14:paraId="6A614E80" w14:textId="77777777" w:rsidR="007F469E" w:rsidRPr="007F469E" w:rsidRDefault="007F469E" w:rsidP="007F469E">
            <w:pPr>
              <w:spacing w:after="120"/>
              <w:rPr>
                <w:rFonts w:eastAsia="Arial"/>
                <w:b/>
                <w:sz w:val="22"/>
              </w:rPr>
            </w:pPr>
            <w:r w:rsidRPr="007F469E">
              <w:rPr>
                <w:rFonts w:eastAsia="Arial"/>
                <w:b/>
                <w:sz w:val="22"/>
              </w:rPr>
              <w:t>Maximum Total CEC Cost Share Across Awards</w:t>
            </w:r>
          </w:p>
        </w:tc>
        <w:tc>
          <w:tcPr>
            <w:tcW w:w="957" w:type="pct"/>
            <w:tcBorders>
              <w:bottom w:val="single" w:sz="4" w:space="0" w:color="auto"/>
            </w:tcBorders>
            <w:shd w:val="clear" w:color="auto" w:fill="D9D9D9"/>
          </w:tcPr>
          <w:p w14:paraId="320D8753" w14:textId="77777777" w:rsidR="007F469E" w:rsidRPr="007F469E" w:rsidRDefault="007F469E" w:rsidP="007F469E">
            <w:pPr>
              <w:spacing w:after="120"/>
              <w:rPr>
                <w:rFonts w:eastAsia="Arial"/>
                <w:b/>
                <w:sz w:val="22"/>
              </w:rPr>
            </w:pPr>
            <w:r w:rsidRPr="007F469E">
              <w:rPr>
                <w:rFonts w:eastAsia="Arial"/>
                <w:b/>
                <w:sz w:val="22"/>
              </w:rPr>
              <w:t>Eligible Topic Area/Areas of Interest</w:t>
            </w:r>
          </w:p>
        </w:tc>
      </w:tr>
      <w:tr w:rsidR="007F469E" w:rsidRPr="007F469E" w14:paraId="13CA848E" w14:textId="77777777" w:rsidTr="000C39BF">
        <w:tc>
          <w:tcPr>
            <w:tcW w:w="923" w:type="pct"/>
          </w:tcPr>
          <w:p w14:paraId="37571C60" w14:textId="77777777" w:rsidR="007F469E" w:rsidRPr="007F469E" w:rsidRDefault="007F469E" w:rsidP="007F469E">
            <w:pPr>
              <w:spacing w:after="120"/>
              <w:rPr>
                <w:rFonts w:eastAsia="Arial"/>
                <w:b/>
                <w:sz w:val="22"/>
                <w:u w:val="single"/>
              </w:rPr>
            </w:pPr>
            <w:r w:rsidRPr="007F469E">
              <w:rPr>
                <w:rFonts w:eastAsia="Arial"/>
                <w:b/>
                <w:sz w:val="22"/>
                <w:u w:val="single"/>
              </w:rPr>
              <w:t>DE-FOA-0003589 Critical Minerals and Materials Accelerator</w:t>
            </w:r>
          </w:p>
        </w:tc>
        <w:tc>
          <w:tcPr>
            <w:tcW w:w="703" w:type="pct"/>
          </w:tcPr>
          <w:p w14:paraId="23E86A37" w14:textId="4E09BEA7" w:rsidR="007F469E" w:rsidRPr="007F469E" w:rsidRDefault="007F469E" w:rsidP="007F469E">
            <w:pPr>
              <w:spacing w:after="120"/>
              <w:rPr>
                <w:rFonts w:eastAsia="Arial"/>
                <w:b/>
                <w:sz w:val="22"/>
                <w:szCs w:val="22"/>
                <w:u w:val="single"/>
              </w:rPr>
            </w:pPr>
            <w:r w:rsidRPr="007F469E">
              <w:rPr>
                <w:rFonts w:eastAsia="Arial"/>
                <w:b/>
                <w:sz w:val="22"/>
                <w:szCs w:val="22"/>
                <w:u w:val="single"/>
              </w:rPr>
              <w:t xml:space="preserve">June </w:t>
            </w:r>
            <w:r w:rsidR="00BC2E48">
              <w:rPr>
                <w:rFonts w:eastAsia="Arial"/>
                <w:b/>
                <w:sz w:val="22"/>
                <w:szCs w:val="22"/>
                <w:u w:val="single"/>
              </w:rPr>
              <w:t>2</w:t>
            </w:r>
            <w:r w:rsidRPr="007F469E">
              <w:rPr>
                <w:rFonts w:eastAsia="Arial"/>
                <w:b/>
                <w:sz w:val="22"/>
                <w:szCs w:val="22"/>
                <w:u w:val="single"/>
              </w:rPr>
              <w:t>, 2026</w:t>
            </w:r>
          </w:p>
        </w:tc>
        <w:tc>
          <w:tcPr>
            <w:tcW w:w="879" w:type="pct"/>
          </w:tcPr>
          <w:p w14:paraId="263F8391" w14:textId="6E4F920E" w:rsidR="007F469E" w:rsidRPr="007F469E" w:rsidRDefault="007F469E" w:rsidP="007F469E">
            <w:pPr>
              <w:spacing w:after="120" w:line="259" w:lineRule="auto"/>
              <w:rPr>
                <w:rFonts w:eastAsia="Arial"/>
                <w:b/>
                <w:sz w:val="22"/>
                <w:u w:val="single"/>
              </w:rPr>
            </w:pPr>
            <w:r w:rsidRPr="007F469E">
              <w:rPr>
                <w:rFonts w:eastAsia="Arial"/>
                <w:b/>
                <w:sz w:val="22"/>
                <w:u w:val="single"/>
              </w:rPr>
              <w:t>$</w:t>
            </w:r>
            <w:r w:rsidR="000C39BF">
              <w:rPr>
                <w:rFonts w:eastAsia="Arial"/>
                <w:b/>
                <w:sz w:val="22"/>
                <w:u w:val="single"/>
              </w:rPr>
              <w:t>2</w:t>
            </w:r>
            <w:r w:rsidRPr="007F469E">
              <w:rPr>
                <w:rFonts w:eastAsia="Arial"/>
                <w:b/>
                <w:sz w:val="22"/>
                <w:u w:val="single"/>
              </w:rPr>
              <w:t>00,000</w:t>
            </w:r>
          </w:p>
        </w:tc>
        <w:tc>
          <w:tcPr>
            <w:tcW w:w="878" w:type="pct"/>
          </w:tcPr>
          <w:p w14:paraId="6DA7255E" w14:textId="77777777" w:rsidR="007F469E" w:rsidRPr="007F469E" w:rsidRDefault="007F469E" w:rsidP="007F469E">
            <w:pPr>
              <w:spacing w:after="120" w:line="259" w:lineRule="auto"/>
              <w:rPr>
                <w:rFonts w:eastAsia="Arial"/>
                <w:b/>
                <w:sz w:val="22"/>
                <w:u w:val="single"/>
              </w:rPr>
            </w:pPr>
            <w:r w:rsidRPr="007F469E">
              <w:rPr>
                <w:rFonts w:eastAsia="Arial"/>
                <w:b/>
                <w:sz w:val="22"/>
                <w:u w:val="single"/>
              </w:rPr>
              <w:t>$750,000</w:t>
            </w:r>
          </w:p>
        </w:tc>
        <w:tc>
          <w:tcPr>
            <w:tcW w:w="660" w:type="pct"/>
          </w:tcPr>
          <w:p w14:paraId="4051833B" w14:textId="40F6B442" w:rsidR="007F469E" w:rsidRPr="007F469E" w:rsidRDefault="000C39BF" w:rsidP="007F469E">
            <w:pPr>
              <w:spacing w:after="120"/>
              <w:rPr>
                <w:rFonts w:eastAsia="Arial"/>
                <w:b/>
                <w:sz w:val="22"/>
                <w:u w:val="single"/>
              </w:rPr>
            </w:pPr>
            <w:r>
              <w:rPr>
                <w:rFonts w:eastAsia="Arial"/>
                <w:b/>
                <w:sz w:val="22"/>
                <w:u w:val="single"/>
              </w:rPr>
              <w:t>$2,000,000</w:t>
            </w:r>
          </w:p>
        </w:tc>
        <w:tc>
          <w:tcPr>
            <w:tcW w:w="957" w:type="pct"/>
          </w:tcPr>
          <w:p w14:paraId="1224407C" w14:textId="77777777" w:rsidR="007F469E" w:rsidRPr="007F469E" w:rsidRDefault="007F469E" w:rsidP="007F469E">
            <w:pPr>
              <w:spacing w:after="120"/>
              <w:rPr>
                <w:rFonts w:eastAsia="Arial"/>
                <w:b/>
                <w:sz w:val="22"/>
                <w:u w:val="single"/>
              </w:rPr>
            </w:pPr>
            <w:r w:rsidRPr="007F469E">
              <w:rPr>
                <w:rFonts w:eastAsia="Arial"/>
                <w:b/>
                <w:sz w:val="22"/>
                <w:u w:val="single"/>
              </w:rPr>
              <w:t>Topic Area 3B: Advancing pre- post- treatment and disposal technologies for direct lithium extraction from geothermal brines</w:t>
            </w:r>
          </w:p>
        </w:tc>
      </w:tr>
      <w:tr w:rsidR="007F469E" w:rsidRPr="007F469E" w14:paraId="68F61D69" w14:textId="77777777" w:rsidTr="00235F35">
        <w:trPr>
          <w:cantSplit/>
        </w:trPr>
        <w:tc>
          <w:tcPr>
            <w:tcW w:w="923" w:type="pct"/>
          </w:tcPr>
          <w:p w14:paraId="5B4BF534"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lastRenderedPageBreak/>
              <w:t>DE-FOA-0003472 Next-Generation Geothermal Field Tests and Geothermal Resource Characterization and Confirmation</w:t>
            </w:r>
          </w:p>
        </w:tc>
        <w:tc>
          <w:tcPr>
            <w:tcW w:w="703" w:type="pct"/>
          </w:tcPr>
          <w:p w14:paraId="0C0ABFE2"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April 1, 2026</w:t>
            </w:r>
          </w:p>
        </w:tc>
        <w:tc>
          <w:tcPr>
            <w:tcW w:w="879" w:type="pct"/>
          </w:tcPr>
          <w:p w14:paraId="136FFB79"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Area 1: $1,000,000 </w:t>
            </w:r>
          </w:p>
          <w:p w14:paraId="4A0F178A" w14:textId="77777777" w:rsidR="007F469E" w:rsidRPr="007F469E" w:rsidRDefault="007F469E" w:rsidP="007F469E">
            <w:pPr>
              <w:spacing w:after="120"/>
              <w:rPr>
                <w:color w:val="201F1E"/>
                <w:sz w:val="22"/>
                <w:szCs w:val="22"/>
                <w:bdr w:val="none" w:sz="0" w:space="0" w:color="auto" w:frame="1"/>
              </w:rPr>
            </w:pPr>
          </w:p>
        </w:tc>
        <w:tc>
          <w:tcPr>
            <w:tcW w:w="878" w:type="pct"/>
          </w:tcPr>
          <w:p w14:paraId="4006E705"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Topic Area 1: $2,500,000</w:t>
            </w:r>
          </w:p>
        </w:tc>
        <w:tc>
          <w:tcPr>
            <w:tcW w:w="660" w:type="pct"/>
          </w:tcPr>
          <w:p w14:paraId="63D97525"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Topic Area 1: $5,000,000</w:t>
            </w:r>
          </w:p>
        </w:tc>
        <w:tc>
          <w:tcPr>
            <w:tcW w:w="957" w:type="pct"/>
          </w:tcPr>
          <w:p w14:paraId="286FED7A"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Topic Area 1: EGS Field Tests</w:t>
            </w:r>
          </w:p>
        </w:tc>
      </w:tr>
      <w:tr w:rsidR="007F469E" w:rsidRPr="007F469E" w14:paraId="1AB7AF7A" w14:textId="77777777" w:rsidTr="000C39BF">
        <w:tc>
          <w:tcPr>
            <w:tcW w:w="923" w:type="pct"/>
          </w:tcPr>
          <w:p w14:paraId="44D338E9"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DE-FOA-0003334 Offshore Wind National and Regional Research and Development</w:t>
            </w:r>
          </w:p>
        </w:tc>
        <w:tc>
          <w:tcPr>
            <w:tcW w:w="703" w:type="pct"/>
          </w:tcPr>
          <w:p w14:paraId="763B0E78" w14:textId="77777777" w:rsidR="007F469E" w:rsidRPr="007F469E" w:rsidRDefault="007F469E" w:rsidP="007F469E">
            <w:pPr>
              <w:spacing w:after="120"/>
              <w:rPr>
                <w:bCs/>
                <w:color w:val="201F1E"/>
                <w:sz w:val="22"/>
                <w:szCs w:val="22"/>
                <w:u w:val="single"/>
                <w:bdr w:val="none" w:sz="0" w:space="0" w:color="auto" w:frame="1"/>
              </w:rPr>
            </w:pPr>
            <w:r w:rsidRPr="007F469E">
              <w:rPr>
                <w:bCs/>
                <w:color w:val="201F1E"/>
                <w:sz w:val="22"/>
                <w:szCs w:val="22"/>
                <w:bdr w:val="none" w:sz="0" w:space="0" w:color="auto" w:frame="1"/>
              </w:rPr>
              <w:t>October 1, 2024</w:t>
            </w:r>
          </w:p>
        </w:tc>
        <w:tc>
          <w:tcPr>
            <w:tcW w:w="879" w:type="pct"/>
          </w:tcPr>
          <w:p w14:paraId="52A70AE7"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1a: $250,000   </w:t>
            </w:r>
          </w:p>
          <w:p w14:paraId="6D5A1CC0"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1b: $62,500 </w:t>
            </w:r>
          </w:p>
          <w:p w14:paraId="350DF3FA"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3:  </w:t>
            </w:r>
          </w:p>
          <w:p w14:paraId="73558BF8"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$125,000</w:t>
            </w:r>
          </w:p>
        </w:tc>
        <w:tc>
          <w:tcPr>
            <w:tcW w:w="878" w:type="pct"/>
          </w:tcPr>
          <w:p w14:paraId="33E7943E"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1a: $500,000  </w:t>
            </w:r>
          </w:p>
          <w:p w14:paraId="562EDEC5"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1b: $187,500 </w:t>
            </w:r>
          </w:p>
          <w:p w14:paraId="5F251A02"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3:  </w:t>
            </w:r>
          </w:p>
          <w:p w14:paraId="2D63B4E4"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$375,000</w:t>
            </w:r>
          </w:p>
        </w:tc>
        <w:tc>
          <w:tcPr>
            <w:tcW w:w="660" w:type="pct"/>
          </w:tcPr>
          <w:p w14:paraId="651F5376"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 $1,875,000   </w:t>
            </w:r>
          </w:p>
          <w:p w14:paraId="7DD1BE64"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3:  </w:t>
            </w:r>
          </w:p>
          <w:p w14:paraId="7281EB13"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$750,000</w:t>
            </w:r>
          </w:p>
        </w:tc>
        <w:tc>
          <w:tcPr>
            <w:tcW w:w="957" w:type="pct"/>
          </w:tcPr>
          <w:p w14:paraId="7D2435B4"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1a: Refinement and Innovation in Floating Platform Design, Manufacturing, and Deployment </w:t>
            </w:r>
          </w:p>
          <w:p w14:paraId="712D39B1"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 xml:space="preserve">Topic 1b: Next-Generation Integrated Turbine/Platform Research </w:t>
            </w:r>
          </w:p>
          <w:p w14:paraId="6F0B2C84" w14:textId="77777777" w:rsidR="007F469E" w:rsidRPr="007F469E" w:rsidRDefault="007F469E" w:rsidP="007F469E">
            <w:pPr>
              <w:spacing w:after="120"/>
              <w:rPr>
                <w:color w:val="201F1E"/>
                <w:sz w:val="22"/>
                <w:szCs w:val="22"/>
                <w:bdr w:val="none" w:sz="0" w:space="0" w:color="auto" w:frame="1"/>
              </w:rPr>
            </w:pPr>
            <w:r w:rsidRPr="007F469E">
              <w:rPr>
                <w:color w:val="201F1E"/>
                <w:sz w:val="22"/>
                <w:szCs w:val="22"/>
                <w:bdr w:val="none" w:sz="0" w:space="0" w:color="auto" w:frame="1"/>
              </w:rPr>
              <w:t>Topic 3: Technology Advancement to Inform Risk to Birds and Bats from Offshore Wind Energy</w:t>
            </w:r>
          </w:p>
        </w:tc>
      </w:tr>
      <w:bookmarkEnd w:id="0"/>
    </w:tbl>
    <w:p w14:paraId="2B92BB3A" w14:textId="3F4A9D68" w:rsidR="007E75CA" w:rsidRDefault="007E75CA" w:rsidP="00012045">
      <w:pPr>
        <w:pStyle w:val="Default"/>
        <w:rPr>
          <w:rFonts w:eastAsia="Arial"/>
          <w:color w:val="0070C0"/>
          <w:sz w:val="22"/>
          <w:szCs w:val="22"/>
        </w:rPr>
      </w:pPr>
    </w:p>
    <w:p w14:paraId="25DF5965" w14:textId="77777777" w:rsidR="00A1116D" w:rsidRDefault="00A1116D" w:rsidP="0037419A">
      <w:pPr>
        <w:pStyle w:val="Default"/>
        <w:rPr>
          <w:rFonts w:eastAsia="Arial"/>
          <w:b/>
          <w:bCs/>
          <w:color w:val="auto"/>
          <w:sz w:val="22"/>
          <w:szCs w:val="22"/>
        </w:rPr>
      </w:pPr>
    </w:p>
    <w:p w14:paraId="33001FE1" w14:textId="77777777" w:rsidR="003663C8" w:rsidRPr="003663C8" w:rsidRDefault="003663C8" w:rsidP="003663C8"/>
    <w:p w14:paraId="16B4D22D" w14:textId="77777777" w:rsidR="00551257" w:rsidRPr="003663C8" w:rsidRDefault="00551257" w:rsidP="00551257">
      <w:pPr>
        <w:pStyle w:val="Default"/>
        <w:ind w:left="720"/>
        <w:rPr>
          <w:rFonts w:eastAsia="Arial"/>
          <w:color w:val="auto"/>
          <w:sz w:val="22"/>
          <w:szCs w:val="22"/>
        </w:rPr>
      </w:pPr>
    </w:p>
    <w:p w14:paraId="1EEC40D3" w14:textId="3AFD0ADE" w:rsidR="2B229E13" w:rsidRPr="003663C8" w:rsidRDefault="2B229E13" w:rsidP="2B229E13">
      <w:pPr>
        <w:ind w:left="720"/>
        <w:rPr>
          <w:rFonts w:ascii="Arial" w:eastAsia="Arial" w:hAnsi="Arial" w:cs="Arial"/>
          <w:sz w:val="22"/>
          <w:szCs w:val="22"/>
        </w:rPr>
      </w:pPr>
    </w:p>
    <w:p w14:paraId="7F1EA2F3" w14:textId="2F7F9279" w:rsidR="3E480488" w:rsidRPr="003663C8" w:rsidRDefault="00B30D31" w:rsidP="2B229E13">
      <w:pPr>
        <w:pStyle w:val="Default"/>
        <w:spacing w:line="259" w:lineRule="auto"/>
        <w:ind w:left="3780"/>
        <w:rPr>
          <w:rFonts w:eastAsia="Arial"/>
          <w:color w:val="auto"/>
          <w:sz w:val="22"/>
          <w:szCs w:val="22"/>
        </w:rPr>
      </w:pPr>
      <w:r w:rsidRPr="003663C8">
        <w:rPr>
          <w:rFonts w:eastAsia="Arial"/>
          <w:b/>
          <w:bCs/>
          <w:color w:val="auto"/>
          <w:sz w:val="22"/>
          <w:szCs w:val="22"/>
        </w:rPr>
        <w:t>Marissa Sutton</w:t>
      </w:r>
    </w:p>
    <w:p w14:paraId="0F217F16" w14:textId="428BCE7F" w:rsidR="3E480488" w:rsidRPr="003663C8" w:rsidRDefault="3E480488" w:rsidP="2B229E13">
      <w:pPr>
        <w:pStyle w:val="Default"/>
        <w:ind w:left="3780"/>
        <w:rPr>
          <w:rFonts w:eastAsia="Arial"/>
          <w:color w:val="auto"/>
          <w:sz w:val="22"/>
          <w:szCs w:val="22"/>
        </w:rPr>
      </w:pPr>
      <w:r w:rsidRPr="003663C8">
        <w:rPr>
          <w:rFonts w:eastAsia="Arial"/>
          <w:b/>
          <w:bCs/>
          <w:color w:val="auto"/>
          <w:sz w:val="22"/>
          <w:szCs w:val="22"/>
        </w:rPr>
        <w:t>Commission Agreement Officer</w:t>
      </w:r>
    </w:p>
    <w:p w14:paraId="0F1D403D" w14:textId="611DC6A9" w:rsidR="2B229E13" w:rsidRDefault="2B229E13" w:rsidP="2B229E13">
      <w:pPr>
        <w:rPr>
          <w:rStyle w:val="eop"/>
          <w:rFonts w:ascii="Arial" w:hAnsi="Arial" w:cs="Arial"/>
        </w:rPr>
      </w:pPr>
    </w:p>
    <w:p w14:paraId="6AEDE6BC" w14:textId="77777777" w:rsidR="7ED56795" w:rsidRDefault="7ED56795" w:rsidP="7ED56795">
      <w:pPr>
        <w:pStyle w:val="paragraph"/>
        <w:ind w:left="4320"/>
        <w:rPr>
          <w:rStyle w:val="eop"/>
          <w:rFonts w:ascii="Arial" w:hAnsi="Arial" w:cs="Arial"/>
        </w:rPr>
      </w:pPr>
    </w:p>
    <w:sectPr w:rsidR="7ED56795" w:rsidSect="003E3B7B">
      <w:headerReference w:type="default" r:id="rId11"/>
      <w:footerReference w:type="default" r:id="rId12"/>
      <w:headerReference w:type="first" r:id="rId13"/>
      <w:footerReference w:type="first" r:id="rId14"/>
      <w:pgSz w:w="12240" w:h="15840"/>
      <w:pgMar w:top="2160" w:right="1800" w:bottom="1440" w:left="171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3782" w14:textId="77777777" w:rsidR="00B70314" w:rsidRDefault="00B70314" w:rsidP="00F86D2B">
      <w:r>
        <w:separator/>
      </w:r>
    </w:p>
  </w:endnote>
  <w:endnote w:type="continuationSeparator" w:id="0">
    <w:p w14:paraId="1BC94FD9" w14:textId="77777777" w:rsidR="00B70314" w:rsidRDefault="00B70314" w:rsidP="00F86D2B">
      <w:r>
        <w:continuationSeparator/>
      </w:r>
    </w:p>
  </w:endnote>
  <w:endnote w:type="continuationNotice" w:id="1">
    <w:p w14:paraId="1299C2FA" w14:textId="77777777" w:rsidR="00B70314" w:rsidRDefault="00B70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597395055" name="Picture 1597395055"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BAA0" w14:textId="77777777" w:rsidR="00B70314" w:rsidRDefault="00B70314" w:rsidP="00F86D2B">
      <w:r>
        <w:separator/>
      </w:r>
    </w:p>
  </w:footnote>
  <w:footnote w:type="continuationSeparator" w:id="0">
    <w:p w14:paraId="37AD423F" w14:textId="77777777" w:rsidR="00B70314" w:rsidRDefault="00B70314" w:rsidP="00F86D2B">
      <w:r>
        <w:continuationSeparator/>
      </w:r>
    </w:p>
  </w:footnote>
  <w:footnote w:type="continuationNotice" w:id="1">
    <w:p w14:paraId="211FD850" w14:textId="77777777" w:rsidR="00B70314" w:rsidRDefault="00B70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DD2B" w14:textId="77777777" w:rsidR="006649BF" w:rsidRDefault="006649BF" w:rsidP="00E210F6">
    <w:pPr>
      <w:rPr>
        <w:rFonts w:ascii="Arial" w:hAnsi="Arial" w:cs="Arial"/>
        <w:color w:val="4F81BD" w:themeColor="accent1"/>
      </w:rPr>
    </w:pPr>
  </w:p>
  <w:p w14:paraId="5ECD66BC" w14:textId="77777777" w:rsidR="006649BF" w:rsidRDefault="006649BF" w:rsidP="00E210F6">
    <w:pPr>
      <w:rPr>
        <w:rFonts w:ascii="Arial" w:hAnsi="Arial" w:cs="Arial"/>
        <w:color w:val="4F81BD" w:themeColor="accent1"/>
      </w:rPr>
    </w:pPr>
  </w:p>
  <w:p w14:paraId="3DBE5E8A" w14:textId="77777777" w:rsidR="00433658" w:rsidRDefault="00433658" w:rsidP="00E210F6">
    <w:pPr>
      <w:rPr>
        <w:rFonts w:ascii="Arial" w:hAnsi="Arial" w:cs="Arial"/>
        <w:color w:val="4F81BD" w:themeColor="accent1"/>
      </w:rPr>
    </w:pPr>
  </w:p>
  <w:p w14:paraId="2859107E" w14:textId="23C79C42" w:rsidR="001F3E83" w:rsidRPr="00CB651E" w:rsidRDefault="000A5093" w:rsidP="00290FF8">
    <w:pPr>
      <w:rPr>
        <w:rFonts w:ascii="Arial" w:hAnsi="Arial" w:cs="Arial"/>
        <w:sz w:val="22"/>
        <w:szCs w:val="22"/>
      </w:rPr>
    </w:pPr>
    <w:r w:rsidRPr="00CB651E">
      <w:rPr>
        <w:rFonts w:ascii="Arial" w:hAnsi="Arial" w:cs="Arial"/>
        <w:sz w:val="22"/>
        <w:szCs w:val="22"/>
      </w:rPr>
      <w:t>March 12, 2026</w:t>
    </w:r>
  </w:p>
  <w:p w14:paraId="736D9520" w14:textId="48C4D94B" w:rsidR="003E0D2D" w:rsidRPr="001F3E83" w:rsidRDefault="001F3E83" w:rsidP="00290FF8">
    <w:pPr>
      <w:rPr>
        <w:rFonts w:ascii="Arial" w:hAnsi="Arial" w:cs="Arial"/>
        <w:color w:val="4F81BD" w:themeColor="accent1"/>
        <w:sz w:val="22"/>
        <w:szCs w:val="22"/>
      </w:rPr>
    </w:pPr>
    <w:r w:rsidRPr="001F3E83">
      <w:rPr>
        <w:rFonts w:ascii="Arial" w:eastAsiaTheme="majorEastAsia" w:hAnsi="Arial" w:cs="Arial"/>
        <w:noProof/>
        <w:sz w:val="22"/>
        <w:szCs w:val="22"/>
      </w:rPr>
      <w:t xml:space="preserve">Page </w:t>
    </w:r>
    <w:r w:rsidRPr="001F3E83">
      <w:rPr>
        <w:rFonts w:ascii="Arial" w:eastAsiaTheme="majorEastAsia" w:hAnsi="Arial" w:cs="Arial"/>
        <w:noProof/>
        <w:sz w:val="22"/>
        <w:szCs w:val="22"/>
      </w:rPr>
      <w:fldChar w:fldCharType="begin"/>
    </w:r>
    <w:r w:rsidRPr="001F3E83">
      <w:rPr>
        <w:rFonts w:ascii="Arial" w:eastAsiaTheme="majorEastAsia" w:hAnsi="Arial" w:cs="Arial"/>
        <w:noProof/>
        <w:sz w:val="22"/>
        <w:szCs w:val="22"/>
      </w:rPr>
      <w:instrText xml:space="preserve"> PAGE  \* Arabic  \* MERGEFORMAT </w:instrText>
    </w:r>
    <w:r w:rsidRPr="001F3E83">
      <w:rPr>
        <w:rFonts w:ascii="Arial" w:eastAsiaTheme="majorEastAsia" w:hAnsi="Arial" w:cs="Arial"/>
        <w:noProof/>
        <w:sz w:val="22"/>
        <w:szCs w:val="22"/>
      </w:rPr>
      <w:fldChar w:fldCharType="separate"/>
    </w:r>
    <w:r w:rsidRPr="001F3E83">
      <w:rPr>
        <w:rFonts w:ascii="Arial" w:eastAsiaTheme="majorEastAsia" w:hAnsi="Arial" w:cs="Arial"/>
        <w:noProof/>
        <w:sz w:val="22"/>
        <w:szCs w:val="22"/>
      </w:rPr>
      <w:t>1</w:t>
    </w:r>
    <w:r w:rsidRPr="001F3E83">
      <w:rPr>
        <w:rFonts w:ascii="Arial" w:eastAsiaTheme="majorEastAsia"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4A874F0F" w:rsidR="00C01C97" w:rsidRDefault="00B12858" w:rsidP="002D11A5">
    <w:pPr>
      <w:pStyle w:val="Header"/>
      <w:ind w:hanging="1800"/>
    </w:pPr>
    <w:r>
      <w:rPr>
        <w:noProof/>
      </w:rPr>
      <w:drawing>
        <wp:anchor distT="0" distB="0" distL="114300" distR="114300" simplePos="0" relativeHeight="251659264" behindDoc="0" locked="0" layoutInCell="1" allowOverlap="1" wp14:anchorId="247E29CD" wp14:editId="63155C9B">
          <wp:simplePos x="0" y="0"/>
          <wp:positionH relativeFrom="column">
            <wp:posOffset>323850</wp:posOffset>
          </wp:positionH>
          <wp:positionV relativeFrom="paragraph">
            <wp:posOffset>291465</wp:posOffset>
          </wp:positionV>
          <wp:extent cx="5543550" cy="742445"/>
          <wp:effectExtent l="0" t="0" r="0" b="635"/>
          <wp:wrapSquare wrapText="bothSides"/>
          <wp:docPr id="1510137153" name="Picture 1510137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37153" name="Picture 1510137153">
                    <a:extLst>
                      <a:ext uri="{C183D7F6-B498-43B3-948B-1728B52AA6E4}">
                        <adec:decorative xmlns:adec="http://schemas.microsoft.com/office/drawing/2017/decorative" val="1"/>
                      </a:ext>
                    </a:extLst>
                  </pic:cNvPr>
                  <pic:cNvPicPr/>
                </pic:nvPicPr>
                <pic:blipFill rotWithShape="1">
                  <a:blip r:embed="rId1"/>
                  <a:srcRect l="16078"/>
                  <a:stretch>
                    <a:fillRect/>
                  </a:stretch>
                </pic:blipFill>
                <pic:spPr bwMode="auto">
                  <a:xfrm>
                    <a:off x="0" y="0"/>
                    <a:ext cx="5543550" cy="742445"/>
                  </a:xfrm>
                  <a:prstGeom prst="rect">
                    <a:avLst/>
                  </a:prstGeom>
                  <a:ln>
                    <a:noFill/>
                  </a:ln>
                  <a:extLst>
                    <a:ext uri="{53640926-AAD7-44D8-BBD7-CCE9431645EC}">
                      <a14:shadowObscured xmlns:a14="http://schemas.microsoft.com/office/drawing/2010/main"/>
                    </a:ext>
                  </a:extLst>
                </pic:spPr>
              </pic:pic>
            </a:graphicData>
          </a:graphic>
        </wp:anchor>
      </w:drawing>
    </w:r>
  </w:p>
  <w:p w14:paraId="0CC19A77" w14:textId="0949F6A5" w:rsidR="00E210F6" w:rsidRDefault="008E2D0F" w:rsidP="00B12858">
    <w:pPr>
      <w:pStyle w:val="NormalWeb"/>
    </w:pPr>
    <w:r>
      <w:rPr>
        <w:noProof/>
      </w:rPr>
      <w:drawing>
        <wp:anchor distT="0" distB="0" distL="114300" distR="114300" simplePos="0" relativeHeight="251658240" behindDoc="0" locked="0" layoutInCell="1" allowOverlap="1" wp14:anchorId="2B9B84B6" wp14:editId="6BE7A042">
          <wp:simplePos x="0" y="0"/>
          <wp:positionH relativeFrom="column">
            <wp:posOffset>-476250</wp:posOffset>
          </wp:positionH>
          <wp:positionV relativeFrom="paragraph">
            <wp:posOffset>122555</wp:posOffset>
          </wp:positionV>
          <wp:extent cx="704850" cy="704850"/>
          <wp:effectExtent l="0" t="0" r="0" b="0"/>
          <wp:wrapSquare wrapText="bothSides"/>
          <wp:docPr id="7" name="Picture 6" descr="A picture containing text,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outdo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6FC3"/>
    <w:multiLevelType w:val="hybridMultilevel"/>
    <w:tmpl w:val="3EF49090"/>
    <w:lvl w:ilvl="0" w:tplc="1BD4D9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C2194"/>
    <w:multiLevelType w:val="hybridMultilevel"/>
    <w:tmpl w:val="B138504C"/>
    <w:lvl w:ilvl="0" w:tplc="ABAA13A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E781B"/>
    <w:multiLevelType w:val="hybridMultilevel"/>
    <w:tmpl w:val="02C0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8"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2728D"/>
    <w:multiLevelType w:val="hybridMultilevel"/>
    <w:tmpl w:val="9F7A8468"/>
    <w:lvl w:ilvl="0" w:tplc="8B80281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13" w15:restartNumberingAfterBreak="0">
    <w:nsid w:val="58066646"/>
    <w:multiLevelType w:val="hybridMultilevel"/>
    <w:tmpl w:val="441673A8"/>
    <w:lvl w:ilvl="0" w:tplc="76F067DE">
      <w:start w:val="1"/>
      <w:numFmt w:val="bullet"/>
      <w:lvlText w:val=""/>
      <w:lvlJc w:val="left"/>
      <w:pPr>
        <w:ind w:left="720" w:hanging="360"/>
      </w:pPr>
      <w:rPr>
        <w:rFonts w:ascii="Symbol" w:hAnsi="Symbol" w:hint="default"/>
      </w:rPr>
    </w:lvl>
    <w:lvl w:ilvl="1" w:tplc="2C528D98">
      <w:start w:val="1"/>
      <w:numFmt w:val="bullet"/>
      <w:lvlText w:val="o"/>
      <w:lvlJc w:val="left"/>
      <w:pPr>
        <w:ind w:left="1440" w:hanging="360"/>
      </w:pPr>
      <w:rPr>
        <w:rFonts w:ascii="Courier New" w:hAnsi="Courier New" w:hint="default"/>
      </w:rPr>
    </w:lvl>
    <w:lvl w:ilvl="2" w:tplc="905E0DEC">
      <w:start w:val="1"/>
      <w:numFmt w:val="bullet"/>
      <w:lvlText w:val=""/>
      <w:lvlJc w:val="left"/>
      <w:pPr>
        <w:ind w:left="2160" w:hanging="360"/>
      </w:pPr>
      <w:rPr>
        <w:rFonts w:ascii="Wingdings" w:hAnsi="Wingdings" w:hint="default"/>
      </w:rPr>
    </w:lvl>
    <w:lvl w:ilvl="3" w:tplc="8EB64404">
      <w:start w:val="1"/>
      <w:numFmt w:val="bullet"/>
      <w:lvlText w:val=""/>
      <w:lvlJc w:val="left"/>
      <w:pPr>
        <w:ind w:left="2880" w:hanging="360"/>
      </w:pPr>
      <w:rPr>
        <w:rFonts w:ascii="Symbol" w:hAnsi="Symbol" w:hint="default"/>
      </w:rPr>
    </w:lvl>
    <w:lvl w:ilvl="4" w:tplc="98A8F2E2">
      <w:start w:val="1"/>
      <w:numFmt w:val="bullet"/>
      <w:lvlText w:val="o"/>
      <w:lvlJc w:val="left"/>
      <w:pPr>
        <w:ind w:left="3600" w:hanging="360"/>
      </w:pPr>
      <w:rPr>
        <w:rFonts w:ascii="Courier New" w:hAnsi="Courier New" w:hint="default"/>
      </w:rPr>
    </w:lvl>
    <w:lvl w:ilvl="5" w:tplc="8C28739A">
      <w:start w:val="1"/>
      <w:numFmt w:val="bullet"/>
      <w:lvlText w:val=""/>
      <w:lvlJc w:val="left"/>
      <w:pPr>
        <w:ind w:left="4320" w:hanging="360"/>
      </w:pPr>
      <w:rPr>
        <w:rFonts w:ascii="Wingdings" w:hAnsi="Wingdings" w:hint="default"/>
      </w:rPr>
    </w:lvl>
    <w:lvl w:ilvl="6" w:tplc="58204E82">
      <w:start w:val="1"/>
      <w:numFmt w:val="bullet"/>
      <w:lvlText w:val=""/>
      <w:lvlJc w:val="left"/>
      <w:pPr>
        <w:ind w:left="5040" w:hanging="360"/>
      </w:pPr>
      <w:rPr>
        <w:rFonts w:ascii="Symbol" w:hAnsi="Symbol" w:hint="default"/>
      </w:rPr>
    </w:lvl>
    <w:lvl w:ilvl="7" w:tplc="65526A36">
      <w:start w:val="1"/>
      <w:numFmt w:val="bullet"/>
      <w:lvlText w:val="o"/>
      <w:lvlJc w:val="left"/>
      <w:pPr>
        <w:ind w:left="5760" w:hanging="360"/>
      </w:pPr>
      <w:rPr>
        <w:rFonts w:ascii="Courier New" w:hAnsi="Courier New" w:hint="default"/>
      </w:rPr>
    </w:lvl>
    <w:lvl w:ilvl="8" w:tplc="2F842A62">
      <w:start w:val="1"/>
      <w:numFmt w:val="bullet"/>
      <w:lvlText w:val=""/>
      <w:lvlJc w:val="left"/>
      <w:pPr>
        <w:ind w:left="6480" w:hanging="360"/>
      </w:pPr>
      <w:rPr>
        <w:rFonts w:ascii="Wingdings" w:hAnsi="Wingdings" w:hint="default"/>
      </w:rPr>
    </w:lvl>
  </w:abstractNum>
  <w:abstractNum w:abstractNumId="1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num w:numId="1" w16cid:durableId="1131482644">
    <w:abstractNumId w:val="1"/>
  </w:num>
  <w:num w:numId="2" w16cid:durableId="1682121015">
    <w:abstractNumId w:val="13"/>
  </w:num>
  <w:num w:numId="3" w16cid:durableId="560793807">
    <w:abstractNumId w:val="6"/>
  </w:num>
  <w:num w:numId="4" w16cid:durableId="1047528965">
    <w:abstractNumId w:val="14"/>
  </w:num>
  <w:num w:numId="5" w16cid:durableId="1767071501">
    <w:abstractNumId w:val="12"/>
  </w:num>
  <w:num w:numId="6" w16cid:durableId="2081707478">
    <w:abstractNumId w:val="8"/>
  </w:num>
  <w:num w:numId="7" w16cid:durableId="21364086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826369">
    <w:abstractNumId w:val="2"/>
  </w:num>
  <w:num w:numId="9" w16cid:durableId="1727680040">
    <w:abstractNumId w:val="0"/>
  </w:num>
  <w:num w:numId="10" w16cid:durableId="2074110540">
    <w:abstractNumId w:val="4"/>
  </w:num>
  <w:num w:numId="11" w16cid:durableId="441532170">
    <w:abstractNumId w:val="10"/>
  </w:num>
  <w:num w:numId="12" w16cid:durableId="1519193851">
    <w:abstractNumId w:val="15"/>
  </w:num>
  <w:num w:numId="13" w16cid:durableId="1788233920">
    <w:abstractNumId w:val="3"/>
  </w:num>
  <w:num w:numId="14" w16cid:durableId="1053847761">
    <w:abstractNumId w:val="9"/>
  </w:num>
  <w:num w:numId="15" w16cid:durableId="2048294148">
    <w:abstractNumId w:val="11"/>
  </w:num>
  <w:num w:numId="16" w16cid:durableId="7104963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181557">
    <w:abstractNumId w:val="16"/>
  </w:num>
  <w:num w:numId="18" w16cid:durableId="664016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2045"/>
    <w:rsid w:val="00015969"/>
    <w:rsid w:val="00024F25"/>
    <w:rsid w:val="000264B6"/>
    <w:rsid w:val="00027125"/>
    <w:rsid w:val="00045719"/>
    <w:rsid w:val="0004657D"/>
    <w:rsid w:val="000557AC"/>
    <w:rsid w:val="00063B9D"/>
    <w:rsid w:val="0007440A"/>
    <w:rsid w:val="0009064B"/>
    <w:rsid w:val="00093579"/>
    <w:rsid w:val="00094245"/>
    <w:rsid w:val="00094EBF"/>
    <w:rsid w:val="000A5093"/>
    <w:rsid w:val="000A6CE7"/>
    <w:rsid w:val="000C16AE"/>
    <w:rsid w:val="000C39BF"/>
    <w:rsid w:val="000C3F91"/>
    <w:rsid w:val="000E31D6"/>
    <w:rsid w:val="00100065"/>
    <w:rsid w:val="001226E9"/>
    <w:rsid w:val="0012428F"/>
    <w:rsid w:val="001247C6"/>
    <w:rsid w:val="00131C7C"/>
    <w:rsid w:val="0014043C"/>
    <w:rsid w:val="0014731B"/>
    <w:rsid w:val="00153C79"/>
    <w:rsid w:val="0017624C"/>
    <w:rsid w:val="00192D44"/>
    <w:rsid w:val="001A7FA2"/>
    <w:rsid w:val="001B6404"/>
    <w:rsid w:val="001C5B37"/>
    <w:rsid w:val="001D5701"/>
    <w:rsid w:val="001E377F"/>
    <w:rsid w:val="001F3E83"/>
    <w:rsid w:val="001F62F3"/>
    <w:rsid w:val="00203587"/>
    <w:rsid w:val="00204C16"/>
    <w:rsid w:val="002109CA"/>
    <w:rsid w:val="00225782"/>
    <w:rsid w:val="00235167"/>
    <w:rsid w:val="00235F35"/>
    <w:rsid w:val="00273F61"/>
    <w:rsid w:val="002747CF"/>
    <w:rsid w:val="00290FF8"/>
    <w:rsid w:val="002A5868"/>
    <w:rsid w:val="002A5F7A"/>
    <w:rsid w:val="002B49E9"/>
    <w:rsid w:val="002B5144"/>
    <w:rsid w:val="002D11A5"/>
    <w:rsid w:val="002E2C86"/>
    <w:rsid w:val="002E6E9E"/>
    <w:rsid w:val="00300FB1"/>
    <w:rsid w:val="00306C82"/>
    <w:rsid w:val="00314903"/>
    <w:rsid w:val="003229E2"/>
    <w:rsid w:val="00333423"/>
    <w:rsid w:val="003663C8"/>
    <w:rsid w:val="00372825"/>
    <w:rsid w:val="0037419A"/>
    <w:rsid w:val="003B54C2"/>
    <w:rsid w:val="003E0AD6"/>
    <w:rsid w:val="003E0D2D"/>
    <w:rsid w:val="003E3B7B"/>
    <w:rsid w:val="003E404F"/>
    <w:rsid w:val="00403296"/>
    <w:rsid w:val="00410AC7"/>
    <w:rsid w:val="00415DE9"/>
    <w:rsid w:val="00425AA1"/>
    <w:rsid w:val="00430859"/>
    <w:rsid w:val="00433658"/>
    <w:rsid w:val="004379A5"/>
    <w:rsid w:val="00437D5F"/>
    <w:rsid w:val="00447B10"/>
    <w:rsid w:val="004504D5"/>
    <w:rsid w:val="00475B35"/>
    <w:rsid w:val="00493781"/>
    <w:rsid w:val="00496ACC"/>
    <w:rsid w:val="004A1AAA"/>
    <w:rsid w:val="004A1DB3"/>
    <w:rsid w:val="004A4C18"/>
    <w:rsid w:val="004C6752"/>
    <w:rsid w:val="004D128F"/>
    <w:rsid w:val="004E0533"/>
    <w:rsid w:val="004F285A"/>
    <w:rsid w:val="005014F5"/>
    <w:rsid w:val="005100D5"/>
    <w:rsid w:val="00522C01"/>
    <w:rsid w:val="00524A66"/>
    <w:rsid w:val="00524EA9"/>
    <w:rsid w:val="00524EB1"/>
    <w:rsid w:val="00525E2C"/>
    <w:rsid w:val="00527817"/>
    <w:rsid w:val="00530A13"/>
    <w:rsid w:val="00534797"/>
    <w:rsid w:val="00545BCA"/>
    <w:rsid w:val="00551257"/>
    <w:rsid w:val="00552A98"/>
    <w:rsid w:val="005568CA"/>
    <w:rsid w:val="00566D9C"/>
    <w:rsid w:val="005742C5"/>
    <w:rsid w:val="00577D95"/>
    <w:rsid w:val="00584DE5"/>
    <w:rsid w:val="005930AE"/>
    <w:rsid w:val="00594C9E"/>
    <w:rsid w:val="0059609D"/>
    <w:rsid w:val="005A70D1"/>
    <w:rsid w:val="005E6FA2"/>
    <w:rsid w:val="005F23E3"/>
    <w:rsid w:val="00604666"/>
    <w:rsid w:val="00615D9B"/>
    <w:rsid w:val="006263E4"/>
    <w:rsid w:val="006414B9"/>
    <w:rsid w:val="00644E7A"/>
    <w:rsid w:val="006511D6"/>
    <w:rsid w:val="00654BE4"/>
    <w:rsid w:val="006649BF"/>
    <w:rsid w:val="00674098"/>
    <w:rsid w:val="00693454"/>
    <w:rsid w:val="006A57AF"/>
    <w:rsid w:val="006B0194"/>
    <w:rsid w:val="006B13F0"/>
    <w:rsid w:val="006C6F2F"/>
    <w:rsid w:val="006D2D23"/>
    <w:rsid w:val="006D3827"/>
    <w:rsid w:val="006E146A"/>
    <w:rsid w:val="006E5FDA"/>
    <w:rsid w:val="006F4833"/>
    <w:rsid w:val="007134AE"/>
    <w:rsid w:val="007211FC"/>
    <w:rsid w:val="00722322"/>
    <w:rsid w:val="007304CE"/>
    <w:rsid w:val="0073279A"/>
    <w:rsid w:val="00733B0B"/>
    <w:rsid w:val="00751C0F"/>
    <w:rsid w:val="007530D2"/>
    <w:rsid w:val="007554CF"/>
    <w:rsid w:val="00761F8B"/>
    <w:rsid w:val="00767D4C"/>
    <w:rsid w:val="007710EB"/>
    <w:rsid w:val="0077265A"/>
    <w:rsid w:val="007768A2"/>
    <w:rsid w:val="00777798"/>
    <w:rsid w:val="007803F3"/>
    <w:rsid w:val="0078154A"/>
    <w:rsid w:val="007818E0"/>
    <w:rsid w:val="00783717"/>
    <w:rsid w:val="007838D0"/>
    <w:rsid w:val="007A357B"/>
    <w:rsid w:val="007B2368"/>
    <w:rsid w:val="007D416B"/>
    <w:rsid w:val="007D545A"/>
    <w:rsid w:val="007E75CA"/>
    <w:rsid w:val="007F469E"/>
    <w:rsid w:val="0081533B"/>
    <w:rsid w:val="00815BB2"/>
    <w:rsid w:val="008239AA"/>
    <w:rsid w:val="0082683F"/>
    <w:rsid w:val="00826A42"/>
    <w:rsid w:val="008306C4"/>
    <w:rsid w:val="00841370"/>
    <w:rsid w:val="00846985"/>
    <w:rsid w:val="008541C6"/>
    <w:rsid w:val="008549B2"/>
    <w:rsid w:val="00865CEF"/>
    <w:rsid w:val="00874988"/>
    <w:rsid w:val="00877171"/>
    <w:rsid w:val="00891290"/>
    <w:rsid w:val="00891410"/>
    <w:rsid w:val="00893164"/>
    <w:rsid w:val="008A018C"/>
    <w:rsid w:val="008A7472"/>
    <w:rsid w:val="008B6BD8"/>
    <w:rsid w:val="008C264B"/>
    <w:rsid w:val="008C6D04"/>
    <w:rsid w:val="008E1433"/>
    <w:rsid w:val="008E1D26"/>
    <w:rsid w:val="008E2D0F"/>
    <w:rsid w:val="008E3926"/>
    <w:rsid w:val="008E7852"/>
    <w:rsid w:val="008F387A"/>
    <w:rsid w:val="008F7149"/>
    <w:rsid w:val="008F7BB2"/>
    <w:rsid w:val="00901D4F"/>
    <w:rsid w:val="00902FE0"/>
    <w:rsid w:val="0090493D"/>
    <w:rsid w:val="0090646F"/>
    <w:rsid w:val="00910710"/>
    <w:rsid w:val="00917329"/>
    <w:rsid w:val="00927CB3"/>
    <w:rsid w:val="009407F5"/>
    <w:rsid w:val="00943EC8"/>
    <w:rsid w:val="00950AF4"/>
    <w:rsid w:val="0095113C"/>
    <w:rsid w:val="00984441"/>
    <w:rsid w:val="009E2DCD"/>
    <w:rsid w:val="009E6C35"/>
    <w:rsid w:val="009E754B"/>
    <w:rsid w:val="009F0354"/>
    <w:rsid w:val="009F16C6"/>
    <w:rsid w:val="00A10AFB"/>
    <w:rsid w:val="00A1116D"/>
    <w:rsid w:val="00A15D66"/>
    <w:rsid w:val="00A15FA8"/>
    <w:rsid w:val="00A17202"/>
    <w:rsid w:val="00A2503D"/>
    <w:rsid w:val="00A322DA"/>
    <w:rsid w:val="00A3384C"/>
    <w:rsid w:val="00A36CF5"/>
    <w:rsid w:val="00A5052D"/>
    <w:rsid w:val="00A564F1"/>
    <w:rsid w:val="00A71CB7"/>
    <w:rsid w:val="00A73089"/>
    <w:rsid w:val="00A76491"/>
    <w:rsid w:val="00A81AD2"/>
    <w:rsid w:val="00A90DC6"/>
    <w:rsid w:val="00AA78AF"/>
    <w:rsid w:val="00AD21FC"/>
    <w:rsid w:val="00AD5870"/>
    <w:rsid w:val="00AE05B9"/>
    <w:rsid w:val="00AE6E99"/>
    <w:rsid w:val="00AF4AB8"/>
    <w:rsid w:val="00B03AD3"/>
    <w:rsid w:val="00B12858"/>
    <w:rsid w:val="00B15A8A"/>
    <w:rsid w:val="00B30D31"/>
    <w:rsid w:val="00B56902"/>
    <w:rsid w:val="00B619B1"/>
    <w:rsid w:val="00B70314"/>
    <w:rsid w:val="00B80E72"/>
    <w:rsid w:val="00B80FF8"/>
    <w:rsid w:val="00B84D31"/>
    <w:rsid w:val="00B906E9"/>
    <w:rsid w:val="00B9151A"/>
    <w:rsid w:val="00B91F40"/>
    <w:rsid w:val="00BA1317"/>
    <w:rsid w:val="00BA3F4C"/>
    <w:rsid w:val="00BB5DCD"/>
    <w:rsid w:val="00BC2E48"/>
    <w:rsid w:val="00BC38F9"/>
    <w:rsid w:val="00BC3908"/>
    <w:rsid w:val="00BF04F4"/>
    <w:rsid w:val="00C01C97"/>
    <w:rsid w:val="00C0248B"/>
    <w:rsid w:val="00C03527"/>
    <w:rsid w:val="00C054B2"/>
    <w:rsid w:val="00C0712F"/>
    <w:rsid w:val="00C158CC"/>
    <w:rsid w:val="00C2336E"/>
    <w:rsid w:val="00C303E6"/>
    <w:rsid w:val="00C32D3F"/>
    <w:rsid w:val="00C341E8"/>
    <w:rsid w:val="00C353E0"/>
    <w:rsid w:val="00C445F7"/>
    <w:rsid w:val="00C52AD6"/>
    <w:rsid w:val="00C67037"/>
    <w:rsid w:val="00C83E03"/>
    <w:rsid w:val="00C96BDD"/>
    <w:rsid w:val="00CA6B2B"/>
    <w:rsid w:val="00CB651E"/>
    <w:rsid w:val="00D11E2D"/>
    <w:rsid w:val="00D12411"/>
    <w:rsid w:val="00D21AE9"/>
    <w:rsid w:val="00D3236D"/>
    <w:rsid w:val="00D32C3D"/>
    <w:rsid w:val="00D33013"/>
    <w:rsid w:val="00D431C2"/>
    <w:rsid w:val="00D43B83"/>
    <w:rsid w:val="00D463BD"/>
    <w:rsid w:val="00D46E30"/>
    <w:rsid w:val="00D63FF7"/>
    <w:rsid w:val="00D754C7"/>
    <w:rsid w:val="00D824C5"/>
    <w:rsid w:val="00D8637F"/>
    <w:rsid w:val="00DA1B9D"/>
    <w:rsid w:val="00DA287C"/>
    <w:rsid w:val="00DA5554"/>
    <w:rsid w:val="00DB3150"/>
    <w:rsid w:val="00DD0EEF"/>
    <w:rsid w:val="00DE6C90"/>
    <w:rsid w:val="00DF08E3"/>
    <w:rsid w:val="00E210F6"/>
    <w:rsid w:val="00E31D4A"/>
    <w:rsid w:val="00E62715"/>
    <w:rsid w:val="00E8003B"/>
    <w:rsid w:val="00E83320"/>
    <w:rsid w:val="00E95AA9"/>
    <w:rsid w:val="00EA6FCD"/>
    <w:rsid w:val="00EA7BDE"/>
    <w:rsid w:val="00EB531D"/>
    <w:rsid w:val="00EC0D07"/>
    <w:rsid w:val="00EC5503"/>
    <w:rsid w:val="00ED18F1"/>
    <w:rsid w:val="00ED61B0"/>
    <w:rsid w:val="00ED61C7"/>
    <w:rsid w:val="00EE44F6"/>
    <w:rsid w:val="00EE4BF1"/>
    <w:rsid w:val="00EE6A99"/>
    <w:rsid w:val="00F03B3F"/>
    <w:rsid w:val="00F053EC"/>
    <w:rsid w:val="00F10DFF"/>
    <w:rsid w:val="00F14645"/>
    <w:rsid w:val="00F17525"/>
    <w:rsid w:val="00F2182A"/>
    <w:rsid w:val="00F220FC"/>
    <w:rsid w:val="00F22AD4"/>
    <w:rsid w:val="00F2703C"/>
    <w:rsid w:val="00F51FC4"/>
    <w:rsid w:val="00F55EC5"/>
    <w:rsid w:val="00F58332"/>
    <w:rsid w:val="00F602D4"/>
    <w:rsid w:val="00F7011A"/>
    <w:rsid w:val="00F72A9A"/>
    <w:rsid w:val="00F72ADC"/>
    <w:rsid w:val="00F7696E"/>
    <w:rsid w:val="00F86D2B"/>
    <w:rsid w:val="00F90F6B"/>
    <w:rsid w:val="00F947AC"/>
    <w:rsid w:val="00F95D8D"/>
    <w:rsid w:val="00F967DF"/>
    <w:rsid w:val="00F97E4A"/>
    <w:rsid w:val="00FC24B9"/>
    <w:rsid w:val="00FC5E3A"/>
    <w:rsid w:val="00FD27F8"/>
    <w:rsid w:val="00FD3B88"/>
    <w:rsid w:val="00FE5320"/>
    <w:rsid w:val="00FE613F"/>
    <w:rsid w:val="00FF10FF"/>
    <w:rsid w:val="00FF7303"/>
    <w:rsid w:val="02E8DBE6"/>
    <w:rsid w:val="03734D72"/>
    <w:rsid w:val="03F18A8C"/>
    <w:rsid w:val="0739FD48"/>
    <w:rsid w:val="0A6D6815"/>
    <w:rsid w:val="0B9C5A50"/>
    <w:rsid w:val="0C59C59D"/>
    <w:rsid w:val="0CDE3617"/>
    <w:rsid w:val="0FF1594D"/>
    <w:rsid w:val="1050A3F8"/>
    <w:rsid w:val="1251D4D5"/>
    <w:rsid w:val="13B49FA6"/>
    <w:rsid w:val="1434F42F"/>
    <w:rsid w:val="15E2B012"/>
    <w:rsid w:val="169C22FA"/>
    <w:rsid w:val="170407E1"/>
    <w:rsid w:val="1C1F3A18"/>
    <w:rsid w:val="20319798"/>
    <w:rsid w:val="2407BBC1"/>
    <w:rsid w:val="25B503AF"/>
    <w:rsid w:val="29973678"/>
    <w:rsid w:val="2B229E13"/>
    <w:rsid w:val="2BCF7C43"/>
    <w:rsid w:val="2D1C3E1B"/>
    <w:rsid w:val="2D47973F"/>
    <w:rsid w:val="2E913E51"/>
    <w:rsid w:val="3340129D"/>
    <w:rsid w:val="33CB7650"/>
    <w:rsid w:val="341112F6"/>
    <w:rsid w:val="376325B6"/>
    <w:rsid w:val="3E480488"/>
    <w:rsid w:val="429C2237"/>
    <w:rsid w:val="45746B23"/>
    <w:rsid w:val="4D7C6706"/>
    <w:rsid w:val="4E6316F6"/>
    <w:rsid w:val="4FEF2AFE"/>
    <w:rsid w:val="52521B09"/>
    <w:rsid w:val="537EBC70"/>
    <w:rsid w:val="5489042C"/>
    <w:rsid w:val="5770E9BA"/>
    <w:rsid w:val="5825F6C8"/>
    <w:rsid w:val="59AA3195"/>
    <w:rsid w:val="5BB8EBE2"/>
    <w:rsid w:val="5CEF28DE"/>
    <w:rsid w:val="603108AD"/>
    <w:rsid w:val="616F13CE"/>
    <w:rsid w:val="63C3B749"/>
    <w:rsid w:val="64F4E5A8"/>
    <w:rsid w:val="65B14D97"/>
    <w:rsid w:val="67A110EA"/>
    <w:rsid w:val="6838974B"/>
    <w:rsid w:val="6DACF009"/>
    <w:rsid w:val="6FD5C76E"/>
    <w:rsid w:val="71E005F9"/>
    <w:rsid w:val="72F576E6"/>
    <w:rsid w:val="73241326"/>
    <w:rsid w:val="740F1D47"/>
    <w:rsid w:val="749ABA24"/>
    <w:rsid w:val="74ADB8FD"/>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1BCCE533-E43B-44E0-9AA3-7A6AD715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link w:val="ListParagraphChar"/>
    <w:uiPriority w:val="34"/>
    <w:qFormat/>
    <w:rsid w:val="00A15D66"/>
    <w:pPr>
      <w:ind w:left="720"/>
      <w:contextualSpacing/>
    </w:pPr>
  </w:style>
  <w:style w:type="paragraph" w:styleId="NormalWeb">
    <w:name w:val="Normal (Web)"/>
    <w:basedOn w:val="Normal"/>
    <w:uiPriority w:val="99"/>
    <w:unhideWhenUsed/>
    <w:rsid w:val="003E3B7B"/>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F7011A"/>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6E5FDA"/>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6E5FDA"/>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6E5FDA"/>
    <w:rPr>
      <w:rFonts w:cs="Times New Roman"/>
      <w:vertAlign w:val="superscript"/>
    </w:rPr>
  </w:style>
  <w:style w:type="character" w:customStyle="1" w:styleId="Style10pt">
    <w:name w:val="Style 10 pt"/>
    <w:basedOn w:val="DefaultParagraphFont"/>
    <w:uiPriority w:val="99"/>
    <w:rsid w:val="00F2703C"/>
    <w:rPr>
      <w:rFonts w:ascii="Arial" w:hAnsi="Arial" w:cs="Times New Roman"/>
      <w:sz w:val="22"/>
    </w:rPr>
  </w:style>
  <w:style w:type="table" w:customStyle="1" w:styleId="TableGrid4">
    <w:name w:val="Table Grid4"/>
    <w:basedOn w:val="TableNormal"/>
    <w:next w:val="TableGrid"/>
    <w:uiPriority w:val="59"/>
    <w:rsid w:val="007838D0"/>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86BD0-597A-45D2-86AD-83C85AD2E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282</Words>
  <Characters>1737</Characters>
  <Application>Microsoft Office Word</Application>
  <DocSecurity>0</DocSecurity>
  <Lines>157</Lines>
  <Paragraphs>53</Paragraphs>
  <ScaleCrop>false</ScaleCrop>
  <Company>Wobschall Design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116</cp:revision>
  <cp:lastPrinted>2019-04-08T16:38:00Z</cp:lastPrinted>
  <dcterms:created xsi:type="dcterms:W3CDTF">2026-03-12T21:24:00Z</dcterms:created>
  <dcterms:modified xsi:type="dcterms:W3CDTF">2026-05-13T21:52:00Z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