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DD0F9" w14:textId="41559DF0" w:rsidR="0067255B" w:rsidRPr="00B84206" w:rsidRDefault="00106237" w:rsidP="0067255B">
      <w:pPr>
        <w:pStyle w:val="Heading1"/>
        <w:jc w:val="center"/>
        <w:rPr>
          <w:rFonts w:ascii="Arial" w:hAnsi="Arial" w:cs="Arial"/>
          <w:b/>
          <w:bCs/>
          <w:color w:val="000000" w:themeColor="text1"/>
        </w:rPr>
      </w:pPr>
      <w:r>
        <w:rPr>
          <w:rFonts w:ascii="Arial" w:hAnsi="Arial" w:cs="Arial"/>
          <w:bCs/>
          <w:color w:val="000000" w:themeColor="text1"/>
        </w:rPr>
        <w:t xml:space="preserve"> </w:t>
      </w:r>
      <w:r w:rsidR="0067255B" w:rsidRPr="00B84206">
        <w:rPr>
          <w:rFonts w:ascii="Arial" w:hAnsi="Arial" w:cs="Arial"/>
          <w:bCs/>
          <w:color w:val="000000" w:themeColor="text1"/>
        </w:rPr>
        <w:t>Questions and Answers</w:t>
      </w:r>
    </w:p>
    <w:p w14:paraId="4DD6A5B1" w14:textId="64EAFBE7" w:rsidR="0067255B" w:rsidRPr="00B84206" w:rsidRDefault="0067255B" w:rsidP="0067255B">
      <w:pPr>
        <w:jc w:val="center"/>
        <w:rPr>
          <w:rFonts w:ascii="Arial" w:hAnsi="Arial" w:cs="Arial"/>
          <w:b/>
          <w:bCs/>
          <w:szCs w:val="24"/>
        </w:rPr>
      </w:pPr>
      <w:r w:rsidRPr="00B84206">
        <w:rPr>
          <w:rFonts w:ascii="Arial" w:hAnsi="Arial" w:cs="Arial"/>
          <w:b/>
          <w:bCs/>
          <w:szCs w:val="24"/>
        </w:rPr>
        <w:t>California’s National Electric Vehicle Infrastructure Formula Program</w:t>
      </w:r>
      <w:r w:rsidRPr="00B84206">
        <w:rPr>
          <w:rFonts w:ascii="Arial" w:hAnsi="Arial" w:cs="Arial"/>
          <w:b/>
          <w:bCs/>
          <w:szCs w:val="24"/>
        </w:rPr>
        <w:br/>
        <w:t xml:space="preserve">Solicitation </w:t>
      </w:r>
      <w:r w:rsidR="002C7EEB" w:rsidRPr="00B84206">
        <w:rPr>
          <w:rFonts w:ascii="Arial" w:hAnsi="Arial" w:cs="Arial"/>
          <w:b/>
          <w:bCs/>
          <w:szCs w:val="24"/>
        </w:rPr>
        <w:t>5</w:t>
      </w:r>
    </w:p>
    <w:p w14:paraId="3E9F4AD9" w14:textId="08697DE8" w:rsidR="0067255B" w:rsidRPr="00B84206" w:rsidRDefault="0067255B" w:rsidP="00A15332">
      <w:pPr>
        <w:jc w:val="center"/>
        <w:rPr>
          <w:rFonts w:ascii="Arial" w:hAnsi="Arial" w:cs="Arial"/>
          <w:b/>
          <w:szCs w:val="24"/>
        </w:rPr>
      </w:pPr>
      <w:r w:rsidRPr="00B84206">
        <w:rPr>
          <w:rFonts w:ascii="Arial" w:hAnsi="Arial" w:cs="Arial"/>
          <w:b/>
          <w:szCs w:val="24"/>
        </w:rPr>
        <w:t>GFO-25-60</w:t>
      </w:r>
      <w:r w:rsidR="002C7EEB" w:rsidRPr="00B84206">
        <w:rPr>
          <w:rFonts w:ascii="Arial" w:hAnsi="Arial" w:cs="Arial"/>
          <w:b/>
          <w:szCs w:val="24"/>
        </w:rPr>
        <w:t>6</w:t>
      </w:r>
    </w:p>
    <w:p w14:paraId="3D61C82B" w14:textId="00FB4E67" w:rsidR="00B5100E" w:rsidRPr="00B84206" w:rsidRDefault="000E062C" w:rsidP="00A15332">
      <w:pPr>
        <w:jc w:val="center"/>
        <w:rPr>
          <w:rFonts w:ascii="Arial" w:hAnsi="Arial" w:cs="Arial"/>
          <w:b/>
          <w:bCs/>
          <w:szCs w:val="24"/>
        </w:rPr>
      </w:pPr>
      <w:r w:rsidRPr="00B84206">
        <w:rPr>
          <w:rFonts w:ascii="Arial" w:hAnsi="Arial" w:cs="Arial"/>
          <w:b/>
          <w:bCs/>
          <w:szCs w:val="24"/>
        </w:rPr>
        <w:t>Ma</w:t>
      </w:r>
      <w:r w:rsidR="001F0A35" w:rsidRPr="00B84206">
        <w:rPr>
          <w:rFonts w:ascii="Arial" w:hAnsi="Arial" w:cs="Arial"/>
          <w:b/>
          <w:bCs/>
          <w:szCs w:val="24"/>
        </w:rPr>
        <w:t xml:space="preserve">y </w:t>
      </w:r>
      <w:r w:rsidR="00157355">
        <w:rPr>
          <w:rFonts w:ascii="Arial" w:hAnsi="Arial" w:cs="Arial"/>
          <w:b/>
          <w:bCs/>
          <w:szCs w:val="24"/>
        </w:rPr>
        <w:t>4</w:t>
      </w:r>
      <w:r w:rsidR="0067255B" w:rsidRPr="00B84206">
        <w:rPr>
          <w:rFonts w:ascii="Arial" w:hAnsi="Arial" w:cs="Arial"/>
          <w:b/>
          <w:bCs/>
          <w:szCs w:val="24"/>
        </w:rPr>
        <w:t>, 2026</w:t>
      </w:r>
    </w:p>
    <w:p w14:paraId="11F77998" w14:textId="77777777" w:rsidR="00781D4B" w:rsidRPr="00B84206" w:rsidRDefault="00781D4B" w:rsidP="0067255B">
      <w:pPr>
        <w:ind w:left="2880" w:firstLine="720"/>
        <w:rPr>
          <w:rFonts w:ascii="Arial" w:hAnsi="Arial" w:cs="Arial"/>
          <w:b/>
          <w:bCs/>
          <w:szCs w:val="24"/>
        </w:rPr>
      </w:pPr>
    </w:p>
    <w:p w14:paraId="1E7506A5" w14:textId="77777777" w:rsidR="00781D4B" w:rsidRPr="00B84206" w:rsidRDefault="00781D4B" w:rsidP="00781D4B">
      <w:pPr>
        <w:rPr>
          <w:rFonts w:ascii="Arial" w:hAnsi="Arial" w:cs="Arial"/>
          <w:szCs w:val="24"/>
        </w:rPr>
      </w:pPr>
      <w:r w:rsidRPr="00B84206">
        <w:rPr>
          <w:rFonts w:ascii="Arial" w:hAnsi="Arial" w:cs="Arial"/>
          <w:szCs w:val="24"/>
        </w:rPr>
        <w:t>The following answers are based on California Energy Commission (CEC) staff’s interpretation of the questions received. Some questions have been edited for clarity. It is the Applicant’s responsibility to review the solicitation and to determine whether their proposed project is eligible for funding per the Eligibility Requirements within the solicitation. The CEC cannot give advice as to whether a particular project is eligible for funding, because not all proposal details are known.</w:t>
      </w:r>
    </w:p>
    <w:p w14:paraId="0A8CBAF7" w14:textId="77777777" w:rsidR="00781D4B" w:rsidRPr="00B84206" w:rsidRDefault="00781D4B" w:rsidP="00781D4B">
      <w:pPr>
        <w:rPr>
          <w:rFonts w:ascii="Arial" w:hAnsi="Arial" w:cs="Arial"/>
          <w:highlight w:val="yellow"/>
        </w:rPr>
      </w:pPr>
    </w:p>
    <w:p w14:paraId="53ED5319" w14:textId="77777777" w:rsidR="00781D4B" w:rsidRPr="00B84206" w:rsidRDefault="00781D4B" w:rsidP="00781D4B">
      <w:pPr>
        <w:pStyle w:val="Heading2"/>
        <w:rPr>
          <w:rFonts w:ascii="Arial" w:hAnsi="Arial" w:cs="Arial"/>
        </w:rPr>
      </w:pPr>
      <w:r w:rsidRPr="00B84206">
        <w:rPr>
          <w:rFonts w:ascii="Arial" w:hAnsi="Arial" w:cs="Arial"/>
        </w:rPr>
        <w:t>Project Requirements</w:t>
      </w:r>
    </w:p>
    <w:p w14:paraId="1412B30D" w14:textId="0CE70866" w:rsidR="002C7EEB" w:rsidRPr="00B84206" w:rsidRDefault="002C7EEB" w:rsidP="002C7EEB">
      <w:pPr>
        <w:rPr>
          <w:rFonts w:ascii="Arial" w:hAnsi="Arial" w:cs="Arial"/>
          <w:b/>
          <w:bCs/>
        </w:rPr>
      </w:pPr>
      <w:r w:rsidRPr="00B84206">
        <w:rPr>
          <w:rFonts w:ascii="Arial" w:hAnsi="Arial" w:cs="Arial"/>
          <w:b/>
          <w:bCs/>
        </w:rPr>
        <w:t>Q1</w:t>
      </w:r>
      <w:r w:rsidR="00435415" w:rsidRPr="00B84206">
        <w:rPr>
          <w:rFonts w:ascii="Arial" w:hAnsi="Arial" w:cs="Arial"/>
          <w:b/>
          <w:bCs/>
        </w:rPr>
        <w:t>:</w:t>
      </w:r>
      <w:r w:rsidRPr="00B84206">
        <w:rPr>
          <w:rFonts w:ascii="Arial" w:hAnsi="Arial" w:cs="Arial"/>
          <w:b/>
          <w:bCs/>
        </w:rPr>
        <w:t xml:space="preserve"> During the webinar, it was stated that a pre-condition to grant approval is that the land in question must be "previously disturbed."</w:t>
      </w:r>
      <w:r w:rsidR="00DE2AF7" w:rsidRPr="00B84206">
        <w:rPr>
          <w:rFonts w:ascii="Arial" w:hAnsi="Arial" w:cs="Arial"/>
          <w:b/>
          <w:bCs/>
        </w:rPr>
        <w:t xml:space="preserve"> </w:t>
      </w:r>
      <w:r w:rsidRPr="00B84206">
        <w:rPr>
          <w:rFonts w:ascii="Arial" w:hAnsi="Arial" w:cs="Arial"/>
          <w:b/>
          <w:bCs/>
        </w:rPr>
        <w:t xml:space="preserve">Our 100 acres of land has I-15 running right through the middle of it and the onramps/offramps and </w:t>
      </w:r>
      <w:proofErr w:type="gramStart"/>
      <w:r w:rsidRPr="00B84206">
        <w:rPr>
          <w:rFonts w:ascii="Arial" w:hAnsi="Arial" w:cs="Arial"/>
          <w:b/>
          <w:bCs/>
        </w:rPr>
        <w:t>overpass</w:t>
      </w:r>
      <w:proofErr w:type="gramEnd"/>
      <w:r w:rsidRPr="00B84206">
        <w:rPr>
          <w:rFonts w:ascii="Arial" w:hAnsi="Arial" w:cs="Arial"/>
          <w:b/>
          <w:bCs/>
        </w:rPr>
        <w:t xml:space="preserve"> </w:t>
      </w:r>
      <w:r w:rsidR="00B86AA1" w:rsidRPr="00B84206">
        <w:rPr>
          <w:rFonts w:ascii="Arial" w:hAnsi="Arial" w:cs="Arial"/>
          <w:b/>
          <w:bCs/>
        </w:rPr>
        <w:t>are included within our land</w:t>
      </w:r>
      <w:r w:rsidRPr="00B84206">
        <w:rPr>
          <w:rFonts w:ascii="Arial" w:hAnsi="Arial" w:cs="Arial"/>
          <w:b/>
          <w:bCs/>
        </w:rPr>
        <w:t>.</w:t>
      </w:r>
      <w:r w:rsidR="00DE2AF7" w:rsidRPr="00B84206">
        <w:rPr>
          <w:rFonts w:ascii="Arial" w:hAnsi="Arial" w:cs="Arial"/>
          <w:b/>
          <w:bCs/>
        </w:rPr>
        <w:t xml:space="preserve"> </w:t>
      </w:r>
      <w:r w:rsidRPr="00B84206">
        <w:rPr>
          <w:rFonts w:ascii="Arial" w:hAnsi="Arial" w:cs="Arial"/>
          <w:b/>
          <w:bCs/>
        </w:rPr>
        <w:t xml:space="preserve">Our actual </w:t>
      </w:r>
      <w:r w:rsidR="009A0859" w:rsidRPr="00B84206">
        <w:rPr>
          <w:rFonts w:ascii="Arial" w:hAnsi="Arial" w:cs="Arial"/>
          <w:b/>
          <w:bCs/>
        </w:rPr>
        <w:t>three</w:t>
      </w:r>
      <w:r w:rsidRPr="00B84206">
        <w:rPr>
          <w:rFonts w:ascii="Arial" w:hAnsi="Arial" w:cs="Arial"/>
          <w:b/>
          <w:bCs/>
        </w:rPr>
        <w:t xml:space="preserve"> land parcels are virgin desert land that is ideal for a travel center.</w:t>
      </w:r>
      <w:r w:rsidR="00DE2AF7" w:rsidRPr="00B84206">
        <w:rPr>
          <w:rFonts w:ascii="Arial" w:hAnsi="Arial" w:cs="Arial"/>
          <w:b/>
          <w:bCs/>
        </w:rPr>
        <w:t xml:space="preserve"> </w:t>
      </w:r>
      <w:r w:rsidRPr="00B84206">
        <w:rPr>
          <w:rFonts w:ascii="Arial" w:hAnsi="Arial" w:cs="Arial"/>
          <w:b/>
          <w:bCs/>
        </w:rPr>
        <w:t>The question is whether the land would be considered "previously disturbed."</w:t>
      </w:r>
    </w:p>
    <w:p w14:paraId="2A14EC02" w14:textId="77777777" w:rsidR="002C7EEB" w:rsidRPr="00B84206" w:rsidRDefault="002C7EEB" w:rsidP="002C7EEB">
      <w:pPr>
        <w:rPr>
          <w:rFonts w:ascii="Arial" w:hAnsi="Arial" w:cs="Arial"/>
          <w:b/>
          <w:bCs/>
        </w:rPr>
      </w:pPr>
    </w:p>
    <w:p w14:paraId="77ABE434" w14:textId="43FB6BDB" w:rsidR="002C7EEB" w:rsidRPr="00B84206" w:rsidRDefault="735A5D66" w:rsidP="002C7EEB">
      <w:pPr>
        <w:rPr>
          <w:rFonts w:ascii="Arial" w:hAnsi="Arial" w:cs="Arial"/>
        </w:rPr>
      </w:pPr>
      <w:r w:rsidRPr="00B84206">
        <w:rPr>
          <w:rFonts w:ascii="Arial" w:hAnsi="Arial" w:cs="Arial"/>
        </w:rPr>
        <w:t>A1</w:t>
      </w:r>
      <w:r w:rsidR="00435415" w:rsidRPr="00B84206">
        <w:rPr>
          <w:rFonts w:ascii="Arial" w:hAnsi="Arial" w:cs="Arial"/>
        </w:rPr>
        <w:t>:</w:t>
      </w:r>
      <w:r w:rsidRPr="00B84206">
        <w:rPr>
          <w:rFonts w:ascii="Arial" w:hAnsi="Arial" w:cs="Arial"/>
        </w:rPr>
        <w:t xml:space="preserve"> </w:t>
      </w:r>
      <w:r w:rsidR="009A3575" w:rsidRPr="00B84206">
        <w:rPr>
          <w:rFonts w:ascii="Arial" w:hAnsi="Arial" w:cs="Arial"/>
        </w:rPr>
        <w:t xml:space="preserve">The </w:t>
      </w:r>
      <w:r w:rsidR="00054689" w:rsidRPr="00B84206">
        <w:rPr>
          <w:rFonts w:ascii="Arial" w:hAnsi="Arial" w:cs="Arial"/>
        </w:rPr>
        <w:t xml:space="preserve">CEC cannot give advice as to whether a particular project is eligible for funding because not all proposal details are known. </w:t>
      </w:r>
      <w:proofErr w:type="gramStart"/>
      <w:r w:rsidR="003342EB" w:rsidRPr="00B84206">
        <w:rPr>
          <w:rFonts w:ascii="Arial" w:hAnsi="Arial" w:cs="Arial"/>
        </w:rPr>
        <w:t>That said, i</w:t>
      </w:r>
      <w:r w:rsidR="00301CC0" w:rsidRPr="00B84206">
        <w:rPr>
          <w:rFonts w:ascii="Arial" w:hAnsi="Arial" w:cs="Arial"/>
        </w:rPr>
        <w:t>f</w:t>
      </w:r>
      <w:proofErr w:type="gramEnd"/>
      <w:r w:rsidR="00301CC0" w:rsidRPr="00B84206">
        <w:rPr>
          <w:rFonts w:ascii="Arial" w:hAnsi="Arial" w:cs="Arial"/>
        </w:rPr>
        <w:t xml:space="preserve"> the </w:t>
      </w:r>
      <w:r w:rsidR="005833AC" w:rsidRPr="00B84206">
        <w:rPr>
          <w:rFonts w:ascii="Arial" w:hAnsi="Arial" w:cs="Arial"/>
        </w:rPr>
        <w:t>site</w:t>
      </w:r>
      <w:r w:rsidR="00301CC0" w:rsidRPr="00B84206">
        <w:rPr>
          <w:rFonts w:ascii="Arial" w:hAnsi="Arial" w:cs="Arial"/>
        </w:rPr>
        <w:t xml:space="preserve"> on which the </w:t>
      </w:r>
      <w:r w:rsidR="002E3000" w:rsidRPr="00B84206">
        <w:rPr>
          <w:rFonts w:ascii="Arial" w:hAnsi="Arial" w:cs="Arial"/>
        </w:rPr>
        <w:t>electric vehicle (</w:t>
      </w:r>
      <w:r w:rsidR="00301CC0" w:rsidRPr="00B84206">
        <w:rPr>
          <w:rFonts w:ascii="Arial" w:hAnsi="Arial" w:cs="Arial"/>
        </w:rPr>
        <w:t>EV</w:t>
      </w:r>
      <w:r w:rsidR="002E3000" w:rsidRPr="00B84206">
        <w:rPr>
          <w:rFonts w:ascii="Arial" w:hAnsi="Arial" w:cs="Arial"/>
        </w:rPr>
        <w:t>)</w:t>
      </w:r>
      <w:r w:rsidR="00301CC0" w:rsidRPr="00B84206">
        <w:rPr>
          <w:rFonts w:ascii="Arial" w:hAnsi="Arial" w:cs="Arial"/>
        </w:rPr>
        <w:t xml:space="preserve"> charging </w:t>
      </w:r>
      <w:r w:rsidR="009409F9" w:rsidRPr="00B84206">
        <w:rPr>
          <w:rFonts w:ascii="Arial" w:hAnsi="Arial" w:cs="Arial"/>
        </w:rPr>
        <w:t xml:space="preserve">station would be built is virgin desert, meaning never </w:t>
      </w:r>
      <w:r w:rsidR="007F0354" w:rsidRPr="00B84206">
        <w:rPr>
          <w:rFonts w:ascii="Arial" w:hAnsi="Arial" w:cs="Arial"/>
        </w:rPr>
        <w:t>altered by human activity</w:t>
      </w:r>
      <w:r w:rsidR="00993CA4" w:rsidRPr="00B84206">
        <w:rPr>
          <w:rFonts w:ascii="Arial" w:hAnsi="Arial" w:cs="Arial"/>
        </w:rPr>
        <w:t>, then it would likely not be eligible under this solicitation</w:t>
      </w:r>
      <w:r w:rsidR="7C43868E" w:rsidRPr="00B84206">
        <w:rPr>
          <w:rFonts w:ascii="Arial" w:hAnsi="Arial" w:cs="Arial"/>
        </w:rPr>
        <w:t xml:space="preserve">. The GFO-25-606 </w:t>
      </w:r>
      <w:r w:rsidR="00A336B3" w:rsidRPr="00B84206">
        <w:rPr>
          <w:rFonts w:ascii="Arial" w:hAnsi="Arial" w:cs="Arial"/>
        </w:rPr>
        <w:t>S</w:t>
      </w:r>
      <w:r w:rsidR="7C43868E" w:rsidRPr="00B84206">
        <w:rPr>
          <w:rFonts w:ascii="Arial" w:hAnsi="Arial" w:cs="Arial"/>
        </w:rPr>
        <w:t xml:space="preserve">olicitation </w:t>
      </w:r>
      <w:r w:rsidR="00A336B3" w:rsidRPr="00B84206">
        <w:rPr>
          <w:rFonts w:ascii="Arial" w:hAnsi="Arial" w:cs="Arial"/>
        </w:rPr>
        <w:t>M</w:t>
      </w:r>
      <w:r w:rsidR="7C43868E" w:rsidRPr="00B84206">
        <w:rPr>
          <w:rFonts w:ascii="Arial" w:hAnsi="Arial" w:cs="Arial"/>
        </w:rPr>
        <w:t>anual</w:t>
      </w:r>
      <w:r w:rsidR="00A336B3" w:rsidRPr="00B84206">
        <w:rPr>
          <w:rFonts w:ascii="Arial" w:hAnsi="Arial" w:cs="Arial"/>
        </w:rPr>
        <w:t>, in Section I</w:t>
      </w:r>
      <w:r w:rsidR="00197D1B" w:rsidRPr="00B84206">
        <w:rPr>
          <w:rFonts w:ascii="Arial" w:hAnsi="Arial" w:cs="Arial"/>
        </w:rPr>
        <w:t>I</w:t>
      </w:r>
      <w:r w:rsidR="00A336B3" w:rsidRPr="00B84206">
        <w:rPr>
          <w:rFonts w:ascii="Arial" w:hAnsi="Arial" w:cs="Arial"/>
        </w:rPr>
        <w:t>.</w:t>
      </w:r>
      <w:r w:rsidR="00197D1B" w:rsidRPr="00B84206">
        <w:rPr>
          <w:rFonts w:ascii="Arial" w:hAnsi="Arial" w:cs="Arial"/>
        </w:rPr>
        <w:t>B</w:t>
      </w:r>
      <w:r w:rsidR="00811A18" w:rsidRPr="00B84206">
        <w:rPr>
          <w:rFonts w:ascii="Arial" w:hAnsi="Arial" w:cs="Arial"/>
        </w:rPr>
        <w:t>.</w:t>
      </w:r>
      <w:r w:rsidR="00197D1B" w:rsidRPr="00B84206">
        <w:rPr>
          <w:rFonts w:ascii="Arial" w:hAnsi="Arial" w:cs="Arial"/>
        </w:rPr>
        <w:t>2</w:t>
      </w:r>
      <w:r w:rsidR="00A336B3" w:rsidRPr="00B84206">
        <w:rPr>
          <w:rFonts w:ascii="Arial" w:hAnsi="Arial" w:cs="Arial"/>
        </w:rPr>
        <w:t xml:space="preserve">, </w:t>
      </w:r>
      <w:r w:rsidR="7C43868E" w:rsidRPr="00B84206">
        <w:rPr>
          <w:rFonts w:ascii="Arial" w:hAnsi="Arial" w:cs="Arial"/>
        </w:rPr>
        <w:t>defines "previously disturbed or developed" land as areas changed such that their functioning ecological processes have been and remain altered by human activity. This includes sites transformed from natural cover to non-native species or a managed state, such as utility corridors, rights-of-way, and areas with active utilities and currently used roads (citing 10 CFR 1021.102(g)(1)).</w:t>
      </w:r>
    </w:p>
    <w:p w14:paraId="6994B910" w14:textId="524BB266" w:rsidR="56792D12" w:rsidRPr="00B84206" w:rsidRDefault="56792D12">
      <w:pPr>
        <w:rPr>
          <w:rFonts w:ascii="Arial" w:hAnsi="Arial" w:cs="Arial"/>
        </w:rPr>
      </w:pPr>
    </w:p>
    <w:p w14:paraId="34D3291C" w14:textId="03025FCA" w:rsidR="1D19F693" w:rsidRPr="00B84206" w:rsidRDefault="1D19F693" w:rsidP="56792D12">
      <w:pPr>
        <w:pStyle w:val="Heading2"/>
        <w:rPr>
          <w:rFonts w:ascii="Arial" w:hAnsi="Arial" w:cs="Arial"/>
        </w:rPr>
      </w:pPr>
      <w:r w:rsidRPr="00B84206">
        <w:rPr>
          <w:rFonts w:ascii="Arial" w:hAnsi="Arial" w:cs="Arial"/>
        </w:rPr>
        <w:t xml:space="preserve">Environmental Review </w:t>
      </w:r>
    </w:p>
    <w:p w14:paraId="0D39D3B8" w14:textId="1F65915F" w:rsidR="624F93A5" w:rsidRPr="00B84206" w:rsidRDefault="660EA73A" w:rsidP="4F7C2900">
      <w:pPr>
        <w:shd w:val="clear" w:color="auto" w:fill="FFFFFF" w:themeFill="background1"/>
        <w:rPr>
          <w:rFonts w:ascii="Arial" w:eastAsia="Tahoma" w:hAnsi="Arial" w:cs="Arial"/>
          <w:b/>
          <w:bCs/>
          <w:color w:val="000000" w:themeColor="text1"/>
          <w:szCs w:val="24"/>
        </w:rPr>
      </w:pPr>
      <w:r w:rsidRPr="00B84206">
        <w:rPr>
          <w:rFonts w:ascii="Arial" w:eastAsia="Tahoma" w:hAnsi="Arial" w:cs="Arial"/>
          <w:b/>
          <w:bCs/>
          <w:color w:val="000000" w:themeColor="text1"/>
          <w:szCs w:val="24"/>
        </w:rPr>
        <w:t>Q</w:t>
      </w:r>
      <w:r w:rsidR="00435415" w:rsidRPr="00B84206">
        <w:rPr>
          <w:rFonts w:ascii="Arial" w:eastAsia="Tahoma" w:hAnsi="Arial" w:cs="Arial"/>
          <w:b/>
          <w:bCs/>
          <w:color w:val="000000" w:themeColor="text1"/>
          <w:szCs w:val="24"/>
        </w:rPr>
        <w:t>2</w:t>
      </w:r>
      <w:r w:rsidRPr="00B84206">
        <w:rPr>
          <w:rFonts w:ascii="Arial" w:eastAsia="Tahoma" w:hAnsi="Arial" w:cs="Arial"/>
          <w:b/>
          <w:bCs/>
          <w:color w:val="000000" w:themeColor="text1"/>
          <w:szCs w:val="24"/>
        </w:rPr>
        <w:t>: If no federal land is involved is any N</w:t>
      </w:r>
      <w:r w:rsidR="009A0859" w:rsidRPr="00B84206">
        <w:rPr>
          <w:rFonts w:ascii="Arial" w:eastAsia="Tahoma" w:hAnsi="Arial" w:cs="Arial"/>
          <w:b/>
          <w:bCs/>
          <w:color w:val="000000" w:themeColor="text1"/>
          <w:szCs w:val="24"/>
        </w:rPr>
        <w:t>ational Environmental Policy Act (N</w:t>
      </w:r>
      <w:r w:rsidRPr="00B84206">
        <w:rPr>
          <w:rFonts w:ascii="Arial" w:eastAsia="Tahoma" w:hAnsi="Arial" w:cs="Arial"/>
          <w:b/>
          <w:bCs/>
          <w:color w:val="000000" w:themeColor="text1"/>
          <w:szCs w:val="24"/>
        </w:rPr>
        <w:t>EPA</w:t>
      </w:r>
      <w:r w:rsidR="009A0859" w:rsidRPr="00B84206">
        <w:rPr>
          <w:rFonts w:ascii="Arial" w:eastAsia="Tahoma" w:hAnsi="Arial" w:cs="Arial"/>
          <w:b/>
          <w:bCs/>
          <w:color w:val="000000" w:themeColor="text1"/>
          <w:szCs w:val="24"/>
        </w:rPr>
        <w:t>)</w:t>
      </w:r>
      <w:r w:rsidRPr="00B84206">
        <w:rPr>
          <w:rFonts w:ascii="Arial" w:eastAsia="Tahoma" w:hAnsi="Arial" w:cs="Arial"/>
          <w:b/>
          <w:bCs/>
          <w:color w:val="000000" w:themeColor="text1"/>
          <w:szCs w:val="24"/>
        </w:rPr>
        <w:t xml:space="preserve"> compliance required?</w:t>
      </w:r>
    </w:p>
    <w:p w14:paraId="7DAE2D2F" w14:textId="7DAA2F5F" w:rsidR="56792D12" w:rsidRPr="00B84206" w:rsidRDefault="56792D12" w:rsidP="4F7C2900">
      <w:pPr>
        <w:shd w:val="clear" w:color="auto" w:fill="FFFFFF" w:themeFill="background1"/>
        <w:rPr>
          <w:rFonts w:ascii="Arial" w:eastAsia="Tahoma" w:hAnsi="Arial" w:cs="Arial"/>
          <w:b/>
          <w:bCs/>
          <w:color w:val="000000" w:themeColor="text1"/>
          <w:szCs w:val="24"/>
        </w:rPr>
      </w:pPr>
    </w:p>
    <w:p w14:paraId="30C0322C" w14:textId="6C3400EF" w:rsidR="34573505" w:rsidRPr="00B84206" w:rsidRDefault="75AEFC18" w:rsidP="4F7C2900">
      <w:pPr>
        <w:shd w:val="clear" w:color="auto" w:fill="FFFFFF" w:themeFill="background1"/>
        <w:rPr>
          <w:rFonts w:ascii="Arial" w:eastAsia="Tahoma" w:hAnsi="Arial" w:cs="Arial"/>
          <w:szCs w:val="24"/>
        </w:rPr>
      </w:pPr>
      <w:r w:rsidRPr="00B84206">
        <w:rPr>
          <w:rFonts w:ascii="Arial" w:eastAsia="Tahoma" w:hAnsi="Arial" w:cs="Arial"/>
          <w:color w:val="000000" w:themeColor="text1"/>
          <w:szCs w:val="24"/>
        </w:rPr>
        <w:t>A</w:t>
      </w:r>
      <w:r w:rsidR="00435415" w:rsidRPr="00B84206">
        <w:rPr>
          <w:rFonts w:ascii="Arial" w:eastAsia="Tahoma" w:hAnsi="Arial" w:cs="Arial"/>
          <w:color w:val="000000" w:themeColor="text1"/>
          <w:szCs w:val="24"/>
        </w:rPr>
        <w:t>2</w:t>
      </w:r>
      <w:r w:rsidR="34020438" w:rsidRPr="00B84206">
        <w:rPr>
          <w:rFonts w:ascii="Arial" w:eastAsia="Tahoma" w:hAnsi="Arial" w:cs="Arial"/>
          <w:color w:val="000000" w:themeColor="text1"/>
          <w:szCs w:val="24"/>
        </w:rPr>
        <w:t xml:space="preserve">: </w:t>
      </w:r>
      <w:r w:rsidR="34020438" w:rsidRPr="00B84206">
        <w:rPr>
          <w:rFonts w:ascii="Arial" w:eastAsia="Tahoma" w:hAnsi="Arial" w:cs="Arial"/>
          <w:szCs w:val="24"/>
        </w:rPr>
        <w:t xml:space="preserve">Yes, </w:t>
      </w:r>
      <w:r w:rsidR="009A0859" w:rsidRPr="00B84206">
        <w:rPr>
          <w:rFonts w:ascii="Arial" w:eastAsia="Tahoma" w:hAnsi="Arial" w:cs="Arial"/>
          <w:szCs w:val="24"/>
        </w:rPr>
        <w:t>NEPA compliance</w:t>
      </w:r>
      <w:r w:rsidR="34020438" w:rsidRPr="00B84206">
        <w:rPr>
          <w:rFonts w:ascii="Arial" w:eastAsia="Tahoma" w:hAnsi="Arial" w:cs="Arial"/>
          <w:szCs w:val="24"/>
        </w:rPr>
        <w:t xml:space="preserve"> is required</w:t>
      </w:r>
      <w:r w:rsidR="00DE2AF7" w:rsidRPr="00B84206">
        <w:rPr>
          <w:rFonts w:ascii="Arial" w:eastAsia="Tahoma" w:hAnsi="Arial" w:cs="Arial"/>
          <w:szCs w:val="24"/>
        </w:rPr>
        <w:t xml:space="preserve"> for all NEVI-funded projects</w:t>
      </w:r>
      <w:r w:rsidR="34020438" w:rsidRPr="00B84206">
        <w:rPr>
          <w:rFonts w:ascii="Arial" w:eastAsia="Tahoma" w:hAnsi="Arial" w:cs="Arial"/>
          <w:szCs w:val="24"/>
        </w:rPr>
        <w:t>.</w:t>
      </w:r>
    </w:p>
    <w:p w14:paraId="747D0229" w14:textId="7ED77913" w:rsidR="624F93A5" w:rsidRPr="00B84206" w:rsidRDefault="660EA73A" w:rsidP="4F7C2900">
      <w:pPr>
        <w:shd w:val="clear" w:color="auto" w:fill="FFFFFF" w:themeFill="background1"/>
        <w:rPr>
          <w:rFonts w:ascii="Arial" w:eastAsia="Tahoma" w:hAnsi="Arial" w:cs="Arial"/>
          <w:color w:val="000000" w:themeColor="text1"/>
          <w:szCs w:val="24"/>
        </w:rPr>
      </w:pPr>
      <w:r w:rsidRPr="00B84206">
        <w:rPr>
          <w:rFonts w:ascii="Arial" w:eastAsia="Tahoma" w:hAnsi="Arial" w:cs="Arial"/>
          <w:color w:val="000000" w:themeColor="text1"/>
          <w:szCs w:val="24"/>
        </w:rPr>
        <w:t xml:space="preserve"> </w:t>
      </w:r>
    </w:p>
    <w:p w14:paraId="7FD20891" w14:textId="16869C2B" w:rsidR="624F93A5" w:rsidRPr="00B84206" w:rsidRDefault="660EA73A" w:rsidP="4F7C2900">
      <w:pPr>
        <w:shd w:val="clear" w:color="auto" w:fill="FFFFFF" w:themeFill="background1"/>
        <w:rPr>
          <w:rFonts w:ascii="Arial" w:eastAsia="Tahoma" w:hAnsi="Arial" w:cs="Arial"/>
          <w:b/>
          <w:bCs/>
          <w:color w:val="000000" w:themeColor="text1"/>
          <w:szCs w:val="24"/>
        </w:rPr>
      </w:pPr>
      <w:r w:rsidRPr="00B84206">
        <w:rPr>
          <w:rFonts w:ascii="Arial" w:eastAsia="Tahoma" w:hAnsi="Arial" w:cs="Arial"/>
          <w:b/>
          <w:bCs/>
          <w:color w:val="000000" w:themeColor="text1"/>
          <w:szCs w:val="24"/>
        </w:rPr>
        <w:t>Q</w:t>
      </w:r>
      <w:r w:rsidR="00435415" w:rsidRPr="00B84206">
        <w:rPr>
          <w:rFonts w:ascii="Arial" w:eastAsia="Tahoma" w:hAnsi="Arial" w:cs="Arial"/>
          <w:b/>
          <w:bCs/>
          <w:color w:val="000000" w:themeColor="text1"/>
          <w:szCs w:val="24"/>
        </w:rPr>
        <w:t>3</w:t>
      </w:r>
      <w:r w:rsidRPr="00B84206">
        <w:rPr>
          <w:rFonts w:ascii="Arial" w:eastAsia="Tahoma" w:hAnsi="Arial" w:cs="Arial"/>
          <w:b/>
          <w:bCs/>
          <w:color w:val="000000" w:themeColor="text1"/>
          <w:szCs w:val="24"/>
        </w:rPr>
        <w:t xml:space="preserve">: Does the fact that federal funds may be involved in providing the grant contemplated by GFO-25-606 require </w:t>
      </w:r>
      <w:proofErr w:type="gramStart"/>
      <w:r w:rsidRPr="00B84206">
        <w:rPr>
          <w:rFonts w:ascii="Arial" w:eastAsia="Tahoma" w:hAnsi="Arial" w:cs="Arial"/>
          <w:b/>
          <w:bCs/>
          <w:color w:val="000000" w:themeColor="text1"/>
          <w:szCs w:val="24"/>
        </w:rPr>
        <w:t>some sort of NEPA</w:t>
      </w:r>
      <w:proofErr w:type="gramEnd"/>
      <w:r w:rsidRPr="00B84206">
        <w:rPr>
          <w:rFonts w:ascii="Arial" w:eastAsia="Tahoma" w:hAnsi="Arial" w:cs="Arial"/>
          <w:b/>
          <w:bCs/>
          <w:color w:val="000000" w:themeColor="text1"/>
          <w:szCs w:val="24"/>
        </w:rPr>
        <w:t xml:space="preserve"> compliance?</w:t>
      </w:r>
    </w:p>
    <w:p w14:paraId="515F9B1A" w14:textId="025CE02A" w:rsidR="56792D12" w:rsidRPr="00B84206" w:rsidRDefault="56792D12" w:rsidP="4F7C2900">
      <w:pPr>
        <w:shd w:val="clear" w:color="auto" w:fill="FFFFFF" w:themeFill="background1"/>
        <w:rPr>
          <w:rFonts w:ascii="Arial" w:eastAsia="Tahoma" w:hAnsi="Arial" w:cs="Arial"/>
          <w:b/>
          <w:bCs/>
          <w:szCs w:val="24"/>
        </w:rPr>
      </w:pPr>
    </w:p>
    <w:p w14:paraId="4AD94094" w14:textId="76D86662" w:rsidR="041EDCCC" w:rsidRPr="00B84206" w:rsidRDefault="7F954469" w:rsidP="4F7C2900">
      <w:pPr>
        <w:shd w:val="clear" w:color="auto" w:fill="FFFFFF" w:themeFill="background1"/>
        <w:rPr>
          <w:rFonts w:ascii="Arial" w:eastAsia="Tahoma" w:hAnsi="Arial" w:cs="Arial"/>
          <w:szCs w:val="24"/>
        </w:rPr>
      </w:pPr>
      <w:r w:rsidRPr="00B84206">
        <w:rPr>
          <w:rFonts w:ascii="Arial" w:eastAsia="Tahoma" w:hAnsi="Arial" w:cs="Arial"/>
          <w:szCs w:val="24"/>
        </w:rPr>
        <w:lastRenderedPageBreak/>
        <w:t>A</w:t>
      </w:r>
      <w:r w:rsidR="00435415" w:rsidRPr="00B84206">
        <w:rPr>
          <w:rFonts w:ascii="Arial" w:eastAsia="Tahoma" w:hAnsi="Arial" w:cs="Arial"/>
          <w:szCs w:val="24"/>
        </w:rPr>
        <w:t>3</w:t>
      </w:r>
      <w:r w:rsidRPr="00B84206">
        <w:rPr>
          <w:rFonts w:ascii="Arial" w:eastAsia="Tahoma" w:hAnsi="Arial" w:cs="Arial"/>
          <w:szCs w:val="24"/>
        </w:rPr>
        <w:t xml:space="preserve">: Yes, </w:t>
      </w:r>
      <w:r w:rsidR="00594974" w:rsidRPr="00B84206">
        <w:rPr>
          <w:rFonts w:ascii="Arial" w:eastAsia="Tahoma" w:hAnsi="Arial" w:cs="Arial"/>
          <w:szCs w:val="24"/>
        </w:rPr>
        <w:t xml:space="preserve">the provision of federal funds (which will be a part of any grant </w:t>
      </w:r>
      <w:r w:rsidR="008E1389">
        <w:rPr>
          <w:rFonts w:ascii="Arial" w:eastAsia="Tahoma" w:hAnsi="Arial" w:cs="Arial"/>
          <w:szCs w:val="24"/>
        </w:rPr>
        <w:t xml:space="preserve">agreement </w:t>
      </w:r>
      <w:r w:rsidR="00C42023">
        <w:rPr>
          <w:rFonts w:ascii="Arial" w:eastAsia="Tahoma" w:hAnsi="Arial" w:cs="Arial"/>
          <w:szCs w:val="24"/>
        </w:rPr>
        <w:t xml:space="preserve">awarded </w:t>
      </w:r>
      <w:r w:rsidR="00594974" w:rsidRPr="00B84206">
        <w:rPr>
          <w:rFonts w:ascii="Arial" w:eastAsia="Tahoma" w:hAnsi="Arial" w:cs="Arial"/>
          <w:szCs w:val="24"/>
        </w:rPr>
        <w:t>under this solicitation)</w:t>
      </w:r>
      <w:r w:rsidR="00C55FAF" w:rsidRPr="00B84206">
        <w:rPr>
          <w:rFonts w:ascii="Arial" w:eastAsia="Tahoma" w:hAnsi="Arial" w:cs="Arial"/>
          <w:szCs w:val="24"/>
        </w:rPr>
        <w:t xml:space="preserve"> will require </w:t>
      </w:r>
      <w:r w:rsidRPr="00B84206">
        <w:rPr>
          <w:rFonts w:ascii="Arial" w:eastAsia="Tahoma" w:hAnsi="Arial" w:cs="Arial"/>
          <w:szCs w:val="24"/>
        </w:rPr>
        <w:t>NEPA</w:t>
      </w:r>
      <w:r w:rsidR="00C55FAF" w:rsidRPr="00B84206">
        <w:rPr>
          <w:rFonts w:ascii="Arial" w:eastAsia="Tahoma" w:hAnsi="Arial" w:cs="Arial"/>
          <w:szCs w:val="24"/>
        </w:rPr>
        <w:t xml:space="preserve"> compliance</w:t>
      </w:r>
      <w:r w:rsidRPr="00B84206">
        <w:rPr>
          <w:rFonts w:ascii="Arial" w:eastAsia="Tahoma" w:hAnsi="Arial" w:cs="Arial"/>
          <w:szCs w:val="24"/>
        </w:rPr>
        <w:t>.</w:t>
      </w:r>
    </w:p>
    <w:p w14:paraId="3251977F" w14:textId="30408F1B" w:rsidR="624F93A5" w:rsidRPr="00B84206" w:rsidRDefault="660EA73A" w:rsidP="4F7C2900">
      <w:pPr>
        <w:shd w:val="clear" w:color="auto" w:fill="FFFFFF" w:themeFill="background1"/>
        <w:rPr>
          <w:rFonts w:ascii="Arial" w:eastAsia="Tahoma" w:hAnsi="Arial" w:cs="Arial"/>
          <w:color w:val="000000" w:themeColor="text1"/>
          <w:szCs w:val="24"/>
        </w:rPr>
      </w:pPr>
      <w:r w:rsidRPr="00B84206">
        <w:rPr>
          <w:rFonts w:ascii="Arial" w:eastAsia="Tahoma" w:hAnsi="Arial" w:cs="Arial"/>
          <w:color w:val="000000" w:themeColor="text1"/>
          <w:szCs w:val="24"/>
        </w:rPr>
        <w:t xml:space="preserve"> </w:t>
      </w:r>
    </w:p>
    <w:p w14:paraId="3607C830" w14:textId="4521C901" w:rsidR="624F93A5" w:rsidRPr="00B84206" w:rsidRDefault="660EA73A" w:rsidP="4F7C2900">
      <w:pPr>
        <w:shd w:val="clear" w:color="auto" w:fill="FFFFFF" w:themeFill="background1"/>
        <w:rPr>
          <w:rFonts w:ascii="Arial" w:eastAsia="Tahoma" w:hAnsi="Arial" w:cs="Arial"/>
          <w:b/>
          <w:bCs/>
          <w:color w:val="000000" w:themeColor="text1"/>
          <w:szCs w:val="24"/>
        </w:rPr>
      </w:pPr>
      <w:r w:rsidRPr="00B84206">
        <w:rPr>
          <w:rFonts w:ascii="Arial" w:eastAsia="Tahoma" w:hAnsi="Arial" w:cs="Arial"/>
          <w:b/>
          <w:bCs/>
          <w:color w:val="000000" w:themeColor="text1"/>
          <w:szCs w:val="24"/>
        </w:rPr>
        <w:t>Q</w:t>
      </w:r>
      <w:r w:rsidR="00435415" w:rsidRPr="00B84206">
        <w:rPr>
          <w:rFonts w:ascii="Arial" w:eastAsia="Tahoma" w:hAnsi="Arial" w:cs="Arial"/>
          <w:b/>
          <w:bCs/>
          <w:color w:val="000000" w:themeColor="text1"/>
          <w:szCs w:val="24"/>
        </w:rPr>
        <w:t>4</w:t>
      </w:r>
      <w:r w:rsidRPr="00B84206">
        <w:rPr>
          <w:rFonts w:ascii="Arial" w:eastAsia="Tahoma" w:hAnsi="Arial" w:cs="Arial"/>
          <w:b/>
          <w:bCs/>
          <w:color w:val="000000" w:themeColor="text1"/>
          <w:szCs w:val="24"/>
        </w:rPr>
        <w:t xml:space="preserve">: If NEPA compliance is indicated, what agency will </w:t>
      </w:r>
      <w:proofErr w:type="gramStart"/>
      <w:r w:rsidRPr="00B84206">
        <w:rPr>
          <w:rFonts w:ascii="Arial" w:eastAsia="Tahoma" w:hAnsi="Arial" w:cs="Arial"/>
          <w:b/>
          <w:bCs/>
          <w:color w:val="000000" w:themeColor="text1"/>
          <w:szCs w:val="24"/>
        </w:rPr>
        <w:t>be in charge of</w:t>
      </w:r>
      <w:proofErr w:type="gramEnd"/>
      <w:r w:rsidRPr="00B84206">
        <w:rPr>
          <w:rFonts w:ascii="Arial" w:eastAsia="Tahoma" w:hAnsi="Arial" w:cs="Arial"/>
          <w:b/>
          <w:bCs/>
          <w:color w:val="000000" w:themeColor="text1"/>
          <w:szCs w:val="24"/>
        </w:rPr>
        <w:t xml:space="preserve"> sponsoring this compliance?</w:t>
      </w:r>
    </w:p>
    <w:p w14:paraId="36121503" w14:textId="26FDF89E" w:rsidR="56792D12" w:rsidRPr="00B84206" w:rsidRDefault="56792D12" w:rsidP="4F7C2900">
      <w:pPr>
        <w:shd w:val="clear" w:color="auto" w:fill="FFFFFF" w:themeFill="background1"/>
        <w:rPr>
          <w:rFonts w:ascii="Arial" w:eastAsia="Tahoma" w:hAnsi="Arial" w:cs="Arial"/>
          <w:b/>
          <w:bCs/>
          <w:color w:val="000000" w:themeColor="text1"/>
          <w:szCs w:val="24"/>
        </w:rPr>
      </w:pPr>
    </w:p>
    <w:p w14:paraId="4B9B5A1D" w14:textId="472FBDF3" w:rsidR="3D8B4B86" w:rsidRPr="00B84206" w:rsidRDefault="6DFB4317" w:rsidP="4F7C2900">
      <w:pPr>
        <w:shd w:val="clear" w:color="auto" w:fill="FFFFFF" w:themeFill="background1"/>
        <w:rPr>
          <w:rFonts w:ascii="Arial" w:eastAsia="Tahoma" w:hAnsi="Arial" w:cs="Arial"/>
          <w:color w:val="000000" w:themeColor="text1"/>
        </w:rPr>
      </w:pPr>
      <w:r w:rsidRPr="00B84206">
        <w:rPr>
          <w:rFonts w:ascii="Arial" w:eastAsia="Tahoma" w:hAnsi="Arial" w:cs="Arial"/>
          <w:color w:val="000000" w:themeColor="text1"/>
        </w:rPr>
        <w:t>A</w:t>
      </w:r>
      <w:r w:rsidR="00435415" w:rsidRPr="00B84206">
        <w:rPr>
          <w:rFonts w:ascii="Arial" w:eastAsia="Tahoma" w:hAnsi="Arial" w:cs="Arial"/>
          <w:color w:val="000000" w:themeColor="text1"/>
        </w:rPr>
        <w:t>4</w:t>
      </w:r>
      <w:r w:rsidRPr="00B84206">
        <w:rPr>
          <w:rFonts w:ascii="Arial" w:eastAsia="Tahoma" w:hAnsi="Arial" w:cs="Arial"/>
          <w:color w:val="000000" w:themeColor="text1"/>
        </w:rPr>
        <w:t xml:space="preserve">: </w:t>
      </w:r>
      <w:r w:rsidR="679A4AEF" w:rsidRPr="00B84206">
        <w:rPr>
          <w:rFonts w:ascii="Arial" w:eastAsia="Tahoma" w:hAnsi="Arial" w:cs="Arial"/>
          <w:color w:val="000000" w:themeColor="text1"/>
        </w:rPr>
        <w:t xml:space="preserve">Caltrans is responsible for </w:t>
      </w:r>
      <w:r w:rsidR="00A23B81" w:rsidRPr="00B84206">
        <w:rPr>
          <w:rFonts w:ascii="Arial" w:eastAsia="Tahoma" w:hAnsi="Arial" w:cs="Arial"/>
          <w:color w:val="000000" w:themeColor="text1"/>
        </w:rPr>
        <w:t xml:space="preserve">reviewing project information provided by the </w:t>
      </w:r>
      <w:r w:rsidR="00AB77F3" w:rsidRPr="00B84206">
        <w:rPr>
          <w:rFonts w:ascii="Arial" w:eastAsia="Tahoma" w:hAnsi="Arial" w:cs="Arial"/>
          <w:color w:val="000000" w:themeColor="text1"/>
        </w:rPr>
        <w:t>recipient</w:t>
      </w:r>
      <w:r w:rsidR="00910934" w:rsidRPr="00B84206">
        <w:rPr>
          <w:rFonts w:ascii="Arial" w:eastAsia="Tahoma" w:hAnsi="Arial" w:cs="Arial"/>
          <w:color w:val="000000" w:themeColor="text1"/>
        </w:rPr>
        <w:t xml:space="preserve"> (</w:t>
      </w:r>
      <w:r w:rsidR="00B85C39" w:rsidRPr="00B84206">
        <w:rPr>
          <w:rFonts w:ascii="Arial" w:eastAsia="Tahoma" w:hAnsi="Arial" w:cs="Arial"/>
          <w:color w:val="000000" w:themeColor="text1"/>
        </w:rPr>
        <w:t>i.e.,</w:t>
      </w:r>
      <w:r w:rsidR="00910934" w:rsidRPr="00B84206">
        <w:rPr>
          <w:rFonts w:ascii="Arial" w:eastAsia="Tahoma" w:hAnsi="Arial" w:cs="Arial"/>
          <w:color w:val="000000" w:themeColor="text1"/>
        </w:rPr>
        <w:t xml:space="preserve"> </w:t>
      </w:r>
      <w:r w:rsidR="00B85C39" w:rsidRPr="00B84206">
        <w:rPr>
          <w:rFonts w:ascii="Arial" w:eastAsia="Tahoma" w:hAnsi="Arial" w:cs="Arial"/>
          <w:color w:val="000000" w:themeColor="text1"/>
        </w:rPr>
        <w:t>the applicant awarded under this solicitation)</w:t>
      </w:r>
      <w:r w:rsidR="00A23B81" w:rsidRPr="00B84206">
        <w:rPr>
          <w:rFonts w:ascii="Arial" w:eastAsia="Tahoma" w:hAnsi="Arial" w:cs="Arial"/>
          <w:color w:val="000000" w:themeColor="text1"/>
        </w:rPr>
        <w:t xml:space="preserve"> for </w:t>
      </w:r>
      <w:r w:rsidR="00AB77F3" w:rsidRPr="00B84206">
        <w:rPr>
          <w:rFonts w:ascii="Arial" w:eastAsia="Tahoma" w:hAnsi="Arial" w:cs="Arial"/>
          <w:color w:val="000000" w:themeColor="text1"/>
        </w:rPr>
        <w:t>compliance with</w:t>
      </w:r>
      <w:r w:rsidR="679A4AEF" w:rsidRPr="00B84206">
        <w:rPr>
          <w:rFonts w:ascii="Arial" w:eastAsia="Tahoma" w:hAnsi="Arial" w:cs="Arial"/>
          <w:color w:val="000000" w:themeColor="text1"/>
        </w:rPr>
        <w:t xml:space="preserve"> NEPA. </w:t>
      </w:r>
      <w:r w:rsidR="006F0C9E" w:rsidRPr="00B84206">
        <w:rPr>
          <w:rFonts w:ascii="Arial" w:eastAsia="Tahoma" w:hAnsi="Arial" w:cs="Arial"/>
          <w:color w:val="000000" w:themeColor="text1"/>
        </w:rPr>
        <w:t>Caltrans staff</w:t>
      </w:r>
      <w:r w:rsidR="679A4AEF" w:rsidRPr="00B84206">
        <w:rPr>
          <w:rFonts w:ascii="Arial" w:eastAsia="Tahoma" w:hAnsi="Arial" w:cs="Arial"/>
          <w:color w:val="000000" w:themeColor="text1"/>
        </w:rPr>
        <w:t xml:space="preserve"> will evaluate</w:t>
      </w:r>
      <w:r w:rsidR="00F949CE" w:rsidRPr="00B84206">
        <w:rPr>
          <w:rFonts w:ascii="Arial" w:eastAsia="Tahoma" w:hAnsi="Arial" w:cs="Arial"/>
          <w:color w:val="000000" w:themeColor="text1"/>
        </w:rPr>
        <w:t xml:space="preserve"> </w:t>
      </w:r>
      <w:r w:rsidR="679A4AEF" w:rsidRPr="00B84206">
        <w:rPr>
          <w:rFonts w:ascii="Arial" w:eastAsia="Tahoma" w:hAnsi="Arial" w:cs="Arial"/>
          <w:color w:val="000000" w:themeColor="text1"/>
        </w:rPr>
        <w:t xml:space="preserve">the recipient’s submitted </w:t>
      </w:r>
      <w:r w:rsidR="006E1470" w:rsidRPr="00B84206">
        <w:rPr>
          <w:rFonts w:ascii="Arial" w:eastAsia="Tahoma" w:hAnsi="Arial" w:cs="Arial"/>
          <w:color w:val="000000" w:themeColor="text1"/>
        </w:rPr>
        <w:t xml:space="preserve">Pilot NEPA </w:t>
      </w:r>
      <w:r w:rsidR="679A4AEF" w:rsidRPr="00B84206">
        <w:rPr>
          <w:rFonts w:ascii="Arial" w:eastAsia="Tahoma" w:hAnsi="Arial" w:cs="Arial"/>
          <w:color w:val="000000" w:themeColor="text1"/>
        </w:rPr>
        <w:t xml:space="preserve">Preliminary Environmental Study (PES) </w:t>
      </w:r>
      <w:r w:rsidR="00FF53A9" w:rsidRPr="00B84206">
        <w:rPr>
          <w:rFonts w:ascii="Arial" w:eastAsia="Tahoma" w:hAnsi="Arial" w:cs="Arial"/>
          <w:color w:val="000000" w:themeColor="text1"/>
        </w:rPr>
        <w:t>F</w:t>
      </w:r>
      <w:r w:rsidR="007173EB" w:rsidRPr="00B84206">
        <w:rPr>
          <w:rFonts w:ascii="Arial" w:eastAsia="Tahoma" w:hAnsi="Arial" w:cs="Arial"/>
          <w:color w:val="000000" w:themeColor="text1"/>
        </w:rPr>
        <w:t xml:space="preserve">orm </w:t>
      </w:r>
      <w:r w:rsidR="679A4AEF" w:rsidRPr="00B84206">
        <w:rPr>
          <w:rFonts w:ascii="Arial" w:eastAsia="Tahoma" w:hAnsi="Arial" w:cs="Arial"/>
          <w:color w:val="000000" w:themeColor="text1"/>
        </w:rPr>
        <w:t>to determine what additional environmental studies, if any, are required</w:t>
      </w:r>
      <w:r w:rsidR="00F54CDA" w:rsidRPr="00B84206">
        <w:rPr>
          <w:rFonts w:ascii="Arial" w:eastAsia="Tahoma" w:hAnsi="Arial" w:cs="Arial"/>
          <w:color w:val="000000" w:themeColor="text1"/>
        </w:rPr>
        <w:t xml:space="preserve"> to satisfy NEPA</w:t>
      </w:r>
      <w:r w:rsidR="679A4AEF" w:rsidRPr="00B84206">
        <w:rPr>
          <w:rFonts w:ascii="Arial" w:eastAsia="Tahoma" w:hAnsi="Arial" w:cs="Arial"/>
          <w:color w:val="000000" w:themeColor="text1"/>
        </w:rPr>
        <w:t>. Once all necessary studies have been completed and approved, Caltrans will issue the</w:t>
      </w:r>
      <w:r w:rsidR="00FE60B6" w:rsidRPr="00B84206">
        <w:rPr>
          <w:rFonts w:ascii="Arial" w:eastAsia="Tahoma" w:hAnsi="Arial" w:cs="Arial"/>
          <w:color w:val="000000" w:themeColor="text1"/>
        </w:rPr>
        <w:t xml:space="preserve"> NEPA determination, </w:t>
      </w:r>
      <w:r w:rsidR="009A1E24" w:rsidRPr="00B84206">
        <w:rPr>
          <w:rFonts w:ascii="Arial" w:eastAsia="Tahoma" w:hAnsi="Arial" w:cs="Arial"/>
          <w:color w:val="000000" w:themeColor="text1"/>
        </w:rPr>
        <w:t>which</w:t>
      </w:r>
      <w:r w:rsidR="007F44D9" w:rsidRPr="00B84206">
        <w:rPr>
          <w:rFonts w:ascii="Arial" w:eastAsia="Tahoma" w:hAnsi="Arial" w:cs="Arial"/>
          <w:color w:val="000000" w:themeColor="text1"/>
        </w:rPr>
        <w:t>, for an EV charging station complying with the solicitation’s requirements,</w:t>
      </w:r>
      <w:r w:rsidR="009A1E24" w:rsidRPr="00B84206">
        <w:rPr>
          <w:rFonts w:ascii="Arial" w:eastAsia="Tahoma" w:hAnsi="Arial" w:cs="Arial"/>
          <w:color w:val="000000" w:themeColor="text1"/>
        </w:rPr>
        <w:t xml:space="preserve"> </w:t>
      </w:r>
      <w:r w:rsidR="00D446D9" w:rsidRPr="00B84206">
        <w:rPr>
          <w:rFonts w:ascii="Arial" w:eastAsia="Tahoma" w:hAnsi="Arial" w:cs="Arial"/>
          <w:color w:val="000000" w:themeColor="text1"/>
        </w:rPr>
        <w:t>should be a categorical exclusion</w:t>
      </w:r>
      <w:r w:rsidR="679A4AEF" w:rsidRPr="00B84206">
        <w:rPr>
          <w:rFonts w:ascii="Arial" w:eastAsia="Tahoma" w:hAnsi="Arial" w:cs="Arial"/>
          <w:color w:val="000000" w:themeColor="text1"/>
        </w:rPr>
        <w:t>.</w:t>
      </w:r>
    </w:p>
    <w:p w14:paraId="75E1FE6D" w14:textId="767629A4" w:rsidR="56792D12" w:rsidRPr="00B84206" w:rsidRDefault="56792D12" w:rsidP="4F7C2900">
      <w:pPr>
        <w:shd w:val="clear" w:color="auto" w:fill="FFFFFF" w:themeFill="background1"/>
        <w:rPr>
          <w:rFonts w:ascii="Arial" w:eastAsia="Tahoma" w:hAnsi="Arial" w:cs="Arial"/>
          <w:color w:val="000000" w:themeColor="text1"/>
          <w:szCs w:val="24"/>
        </w:rPr>
      </w:pPr>
    </w:p>
    <w:p w14:paraId="0D55CDE6" w14:textId="3C290BB9" w:rsidR="624F93A5" w:rsidRPr="00B84206" w:rsidRDefault="660EA73A" w:rsidP="4F7C2900">
      <w:pPr>
        <w:shd w:val="clear" w:color="auto" w:fill="FFFFFF" w:themeFill="background1"/>
        <w:rPr>
          <w:rFonts w:ascii="Arial" w:eastAsia="Tahoma" w:hAnsi="Arial" w:cs="Arial"/>
          <w:b/>
          <w:bCs/>
          <w:color w:val="000000" w:themeColor="text1"/>
          <w:szCs w:val="24"/>
        </w:rPr>
      </w:pPr>
      <w:r w:rsidRPr="00B84206">
        <w:rPr>
          <w:rFonts w:ascii="Arial" w:eastAsia="Tahoma" w:hAnsi="Arial" w:cs="Arial"/>
          <w:b/>
          <w:bCs/>
          <w:color w:val="000000" w:themeColor="text1"/>
          <w:szCs w:val="24"/>
        </w:rPr>
        <w:t>Q</w:t>
      </w:r>
      <w:r w:rsidR="00435415" w:rsidRPr="00B84206">
        <w:rPr>
          <w:rFonts w:ascii="Arial" w:eastAsia="Tahoma" w:hAnsi="Arial" w:cs="Arial"/>
          <w:b/>
          <w:bCs/>
          <w:color w:val="000000" w:themeColor="text1"/>
          <w:szCs w:val="24"/>
        </w:rPr>
        <w:t>5</w:t>
      </w:r>
      <w:r w:rsidRPr="00B84206">
        <w:rPr>
          <w:rFonts w:ascii="Arial" w:eastAsia="Tahoma" w:hAnsi="Arial" w:cs="Arial"/>
          <w:b/>
          <w:bCs/>
          <w:color w:val="000000" w:themeColor="text1"/>
          <w:szCs w:val="24"/>
        </w:rPr>
        <w:t xml:space="preserve">: If NEPA action is required of the grant applicant, is it enough for purposes of </w:t>
      </w:r>
      <w:r w:rsidR="00BE785A" w:rsidRPr="00B84206">
        <w:rPr>
          <w:rFonts w:ascii="Arial" w:eastAsia="Tahoma" w:hAnsi="Arial" w:cs="Arial"/>
          <w:b/>
          <w:bCs/>
          <w:color w:val="000000" w:themeColor="text1"/>
          <w:szCs w:val="24"/>
        </w:rPr>
        <w:t xml:space="preserve">Attachment </w:t>
      </w:r>
      <w:r w:rsidRPr="00B84206">
        <w:rPr>
          <w:rFonts w:ascii="Arial" w:eastAsia="Tahoma" w:hAnsi="Arial" w:cs="Arial"/>
          <w:b/>
          <w:bCs/>
          <w:color w:val="000000" w:themeColor="text1"/>
          <w:szCs w:val="24"/>
        </w:rPr>
        <w:t>7 to provide that NEPA compliance will be completed as a condition of funding the grant?</w:t>
      </w:r>
      <w:r w:rsidR="2D811E74" w:rsidRPr="00B84206">
        <w:rPr>
          <w:rFonts w:ascii="Arial" w:eastAsia="Tahoma" w:hAnsi="Arial" w:cs="Arial"/>
          <w:b/>
          <w:bCs/>
          <w:color w:val="000000" w:themeColor="text1"/>
          <w:szCs w:val="24"/>
        </w:rPr>
        <w:t xml:space="preserve"> </w:t>
      </w:r>
    </w:p>
    <w:p w14:paraId="0BF1C2BA" w14:textId="7E14DEF1" w:rsidR="56792D12" w:rsidRPr="00B84206" w:rsidRDefault="56792D12" w:rsidP="4F7C2900">
      <w:pPr>
        <w:shd w:val="clear" w:color="auto" w:fill="FFFFFF" w:themeFill="background1"/>
        <w:rPr>
          <w:rFonts w:ascii="Arial" w:eastAsia="Tahoma" w:hAnsi="Arial" w:cs="Arial"/>
          <w:color w:val="000000" w:themeColor="text1"/>
          <w:szCs w:val="24"/>
        </w:rPr>
      </w:pPr>
    </w:p>
    <w:p w14:paraId="38256D2E" w14:textId="43B82608" w:rsidR="739C18EC" w:rsidRPr="00B84206" w:rsidRDefault="2D811E74" w:rsidP="4F7C2900">
      <w:pPr>
        <w:shd w:val="clear" w:color="auto" w:fill="FFFFFF" w:themeFill="background1"/>
        <w:rPr>
          <w:rFonts w:ascii="Arial" w:eastAsia="Tahoma" w:hAnsi="Arial" w:cs="Arial"/>
          <w:color w:val="000000" w:themeColor="text1"/>
          <w:szCs w:val="24"/>
        </w:rPr>
      </w:pPr>
      <w:r w:rsidRPr="00B84206">
        <w:rPr>
          <w:rFonts w:ascii="Arial" w:eastAsia="Tahoma" w:hAnsi="Arial" w:cs="Arial"/>
          <w:color w:val="000000" w:themeColor="text1"/>
          <w:szCs w:val="24"/>
        </w:rPr>
        <w:t>A</w:t>
      </w:r>
      <w:r w:rsidR="00435415" w:rsidRPr="00B84206">
        <w:rPr>
          <w:rFonts w:ascii="Arial" w:eastAsia="Tahoma" w:hAnsi="Arial" w:cs="Arial"/>
          <w:color w:val="000000" w:themeColor="text1"/>
          <w:szCs w:val="24"/>
        </w:rPr>
        <w:t>5</w:t>
      </w:r>
      <w:r w:rsidRPr="00B84206">
        <w:rPr>
          <w:rFonts w:ascii="Arial" w:eastAsia="Tahoma" w:hAnsi="Arial" w:cs="Arial"/>
          <w:color w:val="000000" w:themeColor="text1"/>
          <w:szCs w:val="24"/>
        </w:rPr>
        <w:t xml:space="preserve">: No, that response would not be sufficient for Attachment 7. For the </w:t>
      </w:r>
      <w:r w:rsidR="00FF53A9" w:rsidRPr="00B84206">
        <w:rPr>
          <w:rFonts w:ascii="Arial" w:eastAsia="Tahoma" w:hAnsi="Arial" w:cs="Arial"/>
          <w:color w:val="000000" w:themeColor="text1"/>
          <w:szCs w:val="24"/>
        </w:rPr>
        <w:t xml:space="preserve">Pilot </w:t>
      </w:r>
      <w:r w:rsidRPr="00B84206">
        <w:rPr>
          <w:rFonts w:ascii="Arial" w:eastAsia="Tahoma" w:hAnsi="Arial" w:cs="Arial"/>
          <w:color w:val="000000" w:themeColor="text1"/>
          <w:szCs w:val="24"/>
        </w:rPr>
        <w:t xml:space="preserve">NEPA PES Form, the applicant must fully complete and submit the </w:t>
      </w:r>
      <w:r w:rsidR="001D1BAA" w:rsidRPr="00B84206">
        <w:rPr>
          <w:rFonts w:ascii="Arial" w:eastAsia="Tahoma" w:hAnsi="Arial" w:cs="Arial"/>
          <w:color w:val="000000" w:themeColor="text1"/>
          <w:szCs w:val="24"/>
        </w:rPr>
        <w:t xml:space="preserve">Pilot NEPA </w:t>
      </w:r>
      <w:r w:rsidR="00CE0C24" w:rsidRPr="00B84206">
        <w:rPr>
          <w:rFonts w:ascii="Arial" w:eastAsia="Tahoma" w:hAnsi="Arial" w:cs="Arial"/>
          <w:color w:val="000000" w:themeColor="text1"/>
          <w:szCs w:val="24"/>
        </w:rPr>
        <w:t xml:space="preserve">PES </w:t>
      </w:r>
      <w:r w:rsidR="001D1BAA" w:rsidRPr="00B84206">
        <w:rPr>
          <w:rFonts w:ascii="Arial" w:eastAsia="Tahoma" w:hAnsi="Arial" w:cs="Arial"/>
          <w:color w:val="000000" w:themeColor="text1"/>
          <w:szCs w:val="24"/>
        </w:rPr>
        <w:t>F</w:t>
      </w:r>
      <w:r w:rsidRPr="00B84206">
        <w:rPr>
          <w:rFonts w:ascii="Arial" w:eastAsia="Tahoma" w:hAnsi="Arial" w:cs="Arial"/>
          <w:color w:val="000000" w:themeColor="text1"/>
          <w:szCs w:val="24"/>
        </w:rPr>
        <w:t>orm with the application</w:t>
      </w:r>
      <w:r w:rsidR="75A82138" w:rsidRPr="00B84206">
        <w:rPr>
          <w:rFonts w:ascii="Arial" w:eastAsia="Tahoma" w:hAnsi="Arial" w:cs="Arial"/>
          <w:color w:val="000000" w:themeColor="text1"/>
          <w:szCs w:val="24"/>
        </w:rPr>
        <w:t>.</w:t>
      </w:r>
      <w:r w:rsidR="7277FA58" w:rsidRPr="00B84206">
        <w:rPr>
          <w:rFonts w:ascii="Arial" w:eastAsia="Tahoma" w:hAnsi="Arial" w:cs="Arial"/>
          <w:color w:val="000000" w:themeColor="text1"/>
          <w:szCs w:val="24"/>
        </w:rPr>
        <w:t xml:space="preserve"> </w:t>
      </w:r>
      <w:r w:rsidR="006137C8" w:rsidRPr="00B84206">
        <w:rPr>
          <w:rFonts w:ascii="Arial" w:eastAsia="Tahoma" w:hAnsi="Arial" w:cs="Arial"/>
          <w:color w:val="000000" w:themeColor="text1"/>
          <w:szCs w:val="24"/>
        </w:rPr>
        <w:t xml:space="preserve">Please review </w:t>
      </w:r>
      <w:r w:rsidR="003A4C07" w:rsidRPr="00B84206">
        <w:rPr>
          <w:rFonts w:ascii="Arial" w:eastAsia="Tahoma" w:hAnsi="Arial" w:cs="Arial"/>
          <w:color w:val="000000" w:themeColor="text1"/>
          <w:szCs w:val="24"/>
        </w:rPr>
        <w:t xml:space="preserve">Solicitation Manual Section </w:t>
      </w:r>
      <w:r w:rsidR="006178B6" w:rsidRPr="00B84206">
        <w:rPr>
          <w:rFonts w:ascii="Arial" w:eastAsia="Tahoma" w:hAnsi="Arial" w:cs="Arial"/>
          <w:color w:val="000000" w:themeColor="text1"/>
          <w:szCs w:val="24"/>
        </w:rPr>
        <w:t>III.</w:t>
      </w:r>
      <w:r w:rsidR="00660D3B" w:rsidRPr="00B84206">
        <w:rPr>
          <w:rFonts w:ascii="Arial" w:eastAsia="Tahoma" w:hAnsi="Arial" w:cs="Arial"/>
          <w:color w:val="000000" w:themeColor="text1"/>
          <w:szCs w:val="24"/>
        </w:rPr>
        <w:t>D.</w:t>
      </w:r>
      <w:r w:rsidR="006178B6" w:rsidRPr="00B84206">
        <w:rPr>
          <w:rFonts w:ascii="Arial" w:eastAsia="Tahoma" w:hAnsi="Arial" w:cs="Arial"/>
          <w:color w:val="000000" w:themeColor="text1"/>
          <w:szCs w:val="24"/>
        </w:rPr>
        <w:t>8</w:t>
      </w:r>
      <w:r w:rsidR="00660D3B" w:rsidRPr="00B84206">
        <w:rPr>
          <w:rFonts w:ascii="Arial" w:eastAsia="Tahoma" w:hAnsi="Arial" w:cs="Arial"/>
          <w:color w:val="000000" w:themeColor="text1"/>
          <w:szCs w:val="24"/>
        </w:rPr>
        <w:t xml:space="preserve"> and Attachment 7 itself for instructions on completing the form. </w:t>
      </w:r>
      <w:r w:rsidRPr="00B84206">
        <w:rPr>
          <w:rFonts w:ascii="Arial" w:eastAsia="Tahoma" w:hAnsi="Arial" w:cs="Arial"/>
          <w:color w:val="000000" w:themeColor="text1"/>
          <w:szCs w:val="24"/>
        </w:rPr>
        <w:t xml:space="preserve">The </w:t>
      </w:r>
      <w:r w:rsidR="001D1BAA" w:rsidRPr="00B84206">
        <w:rPr>
          <w:rFonts w:ascii="Arial" w:eastAsia="Tahoma" w:hAnsi="Arial" w:cs="Arial"/>
          <w:color w:val="000000" w:themeColor="text1"/>
          <w:szCs w:val="24"/>
        </w:rPr>
        <w:t xml:space="preserve">Pilot NEPA </w:t>
      </w:r>
      <w:r w:rsidRPr="00B84206">
        <w:rPr>
          <w:rFonts w:ascii="Arial" w:eastAsia="Tahoma" w:hAnsi="Arial" w:cs="Arial"/>
          <w:color w:val="000000" w:themeColor="text1"/>
          <w:szCs w:val="24"/>
        </w:rPr>
        <w:t>PES</w:t>
      </w:r>
      <w:r w:rsidR="003C4486" w:rsidRPr="00B84206">
        <w:rPr>
          <w:rFonts w:ascii="Arial" w:eastAsia="Tahoma" w:hAnsi="Arial" w:cs="Arial"/>
          <w:color w:val="000000" w:themeColor="text1"/>
          <w:szCs w:val="24"/>
        </w:rPr>
        <w:t xml:space="preserve"> </w:t>
      </w:r>
      <w:r w:rsidR="001D1BAA" w:rsidRPr="00B84206">
        <w:rPr>
          <w:rFonts w:ascii="Arial" w:eastAsia="Tahoma" w:hAnsi="Arial" w:cs="Arial"/>
          <w:color w:val="000000" w:themeColor="text1"/>
          <w:szCs w:val="24"/>
        </w:rPr>
        <w:t>F</w:t>
      </w:r>
      <w:r w:rsidR="003C4486" w:rsidRPr="00B84206">
        <w:rPr>
          <w:rFonts w:ascii="Arial" w:eastAsia="Tahoma" w:hAnsi="Arial" w:cs="Arial"/>
          <w:color w:val="000000" w:themeColor="text1"/>
          <w:szCs w:val="24"/>
        </w:rPr>
        <w:t>orm</w:t>
      </w:r>
      <w:r w:rsidRPr="00B84206">
        <w:rPr>
          <w:rFonts w:ascii="Arial" w:eastAsia="Tahoma" w:hAnsi="Arial" w:cs="Arial"/>
          <w:color w:val="000000" w:themeColor="text1"/>
          <w:szCs w:val="24"/>
        </w:rPr>
        <w:t xml:space="preserve"> is needed at the application stage so </w:t>
      </w:r>
      <w:r w:rsidR="00660D3B" w:rsidRPr="00B84206">
        <w:rPr>
          <w:rFonts w:ascii="Arial" w:eastAsia="Tahoma" w:hAnsi="Arial" w:cs="Arial"/>
          <w:color w:val="000000" w:themeColor="text1"/>
          <w:szCs w:val="24"/>
        </w:rPr>
        <w:t xml:space="preserve">that </w:t>
      </w:r>
      <w:r w:rsidRPr="00B84206">
        <w:rPr>
          <w:rFonts w:ascii="Arial" w:eastAsia="Tahoma" w:hAnsi="Arial" w:cs="Arial"/>
          <w:color w:val="000000" w:themeColor="text1"/>
          <w:szCs w:val="24"/>
        </w:rPr>
        <w:t xml:space="preserve">the CEC can </w:t>
      </w:r>
      <w:r w:rsidR="007A709A" w:rsidRPr="00B84206">
        <w:rPr>
          <w:rFonts w:ascii="Arial" w:eastAsia="Tahoma" w:hAnsi="Arial" w:cs="Arial"/>
          <w:color w:val="000000" w:themeColor="text1"/>
          <w:szCs w:val="24"/>
        </w:rPr>
        <w:t>evaluate</w:t>
      </w:r>
      <w:r w:rsidRPr="00B84206">
        <w:rPr>
          <w:rFonts w:ascii="Arial" w:eastAsia="Tahoma" w:hAnsi="Arial" w:cs="Arial"/>
          <w:color w:val="000000" w:themeColor="text1"/>
          <w:szCs w:val="24"/>
        </w:rPr>
        <w:t xml:space="preserve"> project-specific environmental considerations</w:t>
      </w:r>
      <w:r w:rsidR="007B454F" w:rsidRPr="00B84206">
        <w:rPr>
          <w:rFonts w:ascii="Arial" w:eastAsia="Tahoma" w:hAnsi="Arial" w:cs="Arial"/>
          <w:color w:val="000000" w:themeColor="text1"/>
          <w:szCs w:val="24"/>
        </w:rPr>
        <w:t xml:space="preserve"> affecting project readiness</w:t>
      </w:r>
      <w:r w:rsidR="00EE1E42" w:rsidRPr="00B84206">
        <w:rPr>
          <w:rFonts w:ascii="Arial" w:eastAsia="Tahoma" w:hAnsi="Arial" w:cs="Arial"/>
          <w:color w:val="000000" w:themeColor="text1"/>
          <w:szCs w:val="24"/>
        </w:rPr>
        <w:t xml:space="preserve"> (Solicitation </w:t>
      </w:r>
      <w:proofErr w:type="gramStart"/>
      <w:r w:rsidR="00EE1E42" w:rsidRPr="00B84206">
        <w:rPr>
          <w:rFonts w:ascii="Arial" w:eastAsia="Tahoma" w:hAnsi="Arial" w:cs="Arial"/>
          <w:color w:val="000000" w:themeColor="text1"/>
          <w:szCs w:val="24"/>
        </w:rPr>
        <w:t>Manual Section</w:t>
      </w:r>
      <w:proofErr w:type="gramEnd"/>
      <w:r w:rsidR="00EE1E42" w:rsidRPr="00B84206">
        <w:rPr>
          <w:rFonts w:ascii="Arial" w:eastAsia="Tahoma" w:hAnsi="Arial" w:cs="Arial"/>
          <w:color w:val="000000" w:themeColor="text1"/>
          <w:szCs w:val="24"/>
        </w:rPr>
        <w:t xml:space="preserve"> IV.E.2)</w:t>
      </w:r>
      <w:r w:rsidR="0339938E" w:rsidRPr="00B84206">
        <w:rPr>
          <w:rFonts w:ascii="Arial" w:eastAsia="Tahoma" w:hAnsi="Arial" w:cs="Arial"/>
          <w:color w:val="000000" w:themeColor="text1"/>
          <w:szCs w:val="24"/>
        </w:rPr>
        <w:t xml:space="preserve">. </w:t>
      </w:r>
      <w:r w:rsidRPr="00B84206">
        <w:rPr>
          <w:rFonts w:ascii="Arial" w:eastAsia="Tahoma" w:hAnsi="Arial" w:cs="Arial"/>
          <w:color w:val="000000" w:themeColor="text1"/>
          <w:szCs w:val="24"/>
        </w:rPr>
        <w:t>A</w:t>
      </w:r>
      <w:r w:rsidR="418943E6" w:rsidRPr="00B84206">
        <w:rPr>
          <w:rFonts w:ascii="Arial" w:eastAsia="Tahoma" w:hAnsi="Arial" w:cs="Arial"/>
          <w:color w:val="000000" w:themeColor="text1"/>
          <w:szCs w:val="24"/>
        </w:rPr>
        <w:t xml:space="preserve">dditional </w:t>
      </w:r>
      <w:r w:rsidRPr="00B84206">
        <w:rPr>
          <w:rFonts w:ascii="Arial" w:eastAsia="Tahoma" w:hAnsi="Arial" w:cs="Arial"/>
          <w:color w:val="000000" w:themeColor="text1"/>
          <w:szCs w:val="24"/>
        </w:rPr>
        <w:t>NEPA stud</w:t>
      </w:r>
      <w:r w:rsidR="39E3ACF0" w:rsidRPr="00B84206">
        <w:rPr>
          <w:rFonts w:ascii="Arial" w:eastAsia="Tahoma" w:hAnsi="Arial" w:cs="Arial"/>
          <w:color w:val="000000" w:themeColor="text1"/>
          <w:szCs w:val="24"/>
        </w:rPr>
        <w:t>ies</w:t>
      </w:r>
      <w:r w:rsidRPr="00B84206">
        <w:rPr>
          <w:rFonts w:ascii="Arial" w:eastAsia="Tahoma" w:hAnsi="Arial" w:cs="Arial"/>
          <w:color w:val="000000" w:themeColor="text1"/>
          <w:szCs w:val="24"/>
        </w:rPr>
        <w:t xml:space="preserve"> will only be required if the </w:t>
      </w:r>
      <w:r w:rsidR="36AB134C" w:rsidRPr="00B84206">
        <w:rPr>
          <w:rFonts w:ascii="Arial" w:eastAsia="Tahoma" w:hAnsi="Arial" w:cs="Arial"/>
          <w:color w:val="000000" w:themeColor="text1"/>
          <w:szCs w:val="24"/>
        </w:rPr>
        <w:t xml:space="preserve">application </w:t>
      </w:r>
      <w:r w:rsidRPr="00B84206">
        <w:rPr>
          <w:rFonts w:ascii="Arial" w:eastAsia="Tahoma" w:hAnsi="Arial" w:cs="Arial"/>
          <w:color w:val="000000" w:themeColor="text1"/>
          <w:szCs w:val="24"/>
        </w:rPr>
        <w:t xml:space="preserve">is selected </w:t>
      </w:r>
      <w:r w:rsidR="671630B3" w:rsidRPr="00B84206">
        <w:rPr>
          <w:rFonts w:ascii="Arial" w:eastAsia="Tahoma" w:hAnsi="Arial" w:cs="Arial"/>
          <w:color w:val="000000" w:themeColor="text1"/>
          <w:szCs w:val="24"/>
        </w:rPr>
        <w:t xml:space="preserve">and </w:t>
      </w:r>
      <w:r w:rsidR="00AE1D73" w:rsidRPr="00B84206">
        <w:rPr>
          <w:rFonts w:ascii="Arial" w:eastAsia="Tahoma" w:hAnsi="Arial" w:cs="Arial"/>
          <w:color w:val="000000" w:themeColor="text1"/>
          <w:szCs w:val="24"/>
        </w:rPr>
        <w:t xml:space="preserve">the </w:t>
      </w:r>
      <w:r w:rsidR="671630B3" w:rsidRPr="00B84206">
        <w:rPr>
          <w:rFonts w:ascii="Arial" w:eastAsia="Tahoma" w:hAnsi="Arial" w:cs="Arial"/>
          <w:color w:val="000000" w:themeColor="text1"/>
          <w:szCs w:val="24"/>
        </w:rPr>
        <w:t>site</w:t>
      </w:r>
      <w:r w:rsidR="009A00A3" w:rsidRPr="00B84206">
        <w:rPr>
          <w:rFonts w:ascii="Arial" w:eastAsia="Tahoma" w:hAnsi="Arial" w:cs="Arial"/>
          <w:color w:val="000000" w:themeColor="text1"/>
          <w:szCs w:val="24"/>
        </w:rPr>
        <w:t>(</w:t>
      </w:r>
      <w:r w:rsidR="671630B3" w:rsidRPr="00B84206">
        <w:rPr>
          <w:rFonts w:ascii="Arial" w:eastAsia="Tahoma" w:hAnsi="Arial" w:cs="Arial"/>
          <w:color w:val="000000" w:themeColor="text1"/>
          <w:szCs w:val="24"/>
        </w:rPr>
        <w:t>s</w:t>
      </w:r>
      <w:r w:rsidR="009A00A3" w:rsidRPr="00B84206">
        <w:rPr>
          <w:rFonts w:ascii="Arial" w:eastAsia="Tahoma" w:hAnsi="Arial" w:cs="Arial"/>
          <w:color w:val="000000" w:themeColor="text1"/>
          <w:szCs w:val="24"/>
        </w:rPr>
        <w:t>)</w:t>
      </w:r>
      <w:r w:rsidR="671630B3" w:rsidRPr="00B84206">
        <w:rPr>
          <w:rFonts w:ascii="Arial" w:eastAsia="Tahoma" w:hAnsi="Arial" w:cs="Arial"/>
          <w:color w:val="000000" w:themeColor="text1"/>
          <w:szCs w:val="24"/>
        </w:rPr>
        <w:t xml:space="preserve"> trigger additional NEPA studies. </w:t>
      </w:r>
      <w:r w:rsidRPr="00B84206">
        <w:rPr>
          <w:rFonts w:ascii="Arial" w:eastAsia="Tahoma" w:hAnsi="Arial" w:cs="Arial"/>
          <w:color w:val="000000" w:themeColor="text1"/>
          <w:szCs w:val="24"/>
        </w:rPr>
        <w:t>If selected for award, the recipient may include the cost of any required NEPA studies in the project budget</w:t>
      </w:r>
      <w:r w:rsidR="499944DA" w:rsidRPr="00B84206">
        <w:rPr>
          <w:rFonts w:ascii="Arial" w:eastAsia="Tahoma" w:hAnsi="Arial" w:cs="Arial"/>
          <w:color w:val="000000" w:themeColor="text1"/>
          <w:szCs w:val="24"/>
        </w:rPr>
        <w:t xml:space="preserve">. </w:t>
      </w:r>
    </w:p>
    <w:p w14:paraId="39B0F024" w14:textId="41E654A7" w:rsidR="56792D12" w:rsidRPr="00B84206" w:rsidRDefault="56792D12" w:rsidP="0D12C89F">
      <w:pPr>
        <w:shd w:val="clear" w:color="auto" w:fill="FFFFFF" w:themeFill="background1"/>
        <w:rPr>
          <w:rFonts w:ascii="Arial" w:eastAsia="Tahoma" w:hAnsi="Arial" w:cs="Arial"/>
          <w:color w:val="000000" w:themeColor="text1"/>
          <w:szCs w:val="24"/>
        </w:rPr>
      </w:pPr>
    </w:p>
    <w:p w14:paraId="06E023CF" w14:textId="77777777" w:rsidR="002C6492" w:rsidRPr="00B84206" w:rsidRDefault="1F6DD450" w:rsidP="002C6492">
      <w:pPr>
        <w:pStyle w:val="Heading2"/>
        <w:rPr>
          <w:rFonts w:ascii="Arial" w:hAnsi="Arial" w:cs="Arial"/>
        </w:rPr>
      </w:pPr>
      <w:r w:rsidRPr="00B84206">
        <w:rPr>
          <w:rFonts w:ascii="Arial" w:hAnsi="Arial" w:cs="Arial"/>
        </w:rPr>
        <w:t>Applicant Requirements</w:t>
      </w:r>
    </w:p>
    <w:p w14:paraId="184D2198" w14:textId="0A97D5E1" w:rsidR="3E7EBAE8" w:rsidRPr="00B84206" w:rsidRDefault="3E7EBAE8" w:rsidP="00822305">
      <w:pPr>
        <w:rPr>
          <w:rFonts w:ascii="Arial" w:eastAsia="Aptos" w:hAnsi="Arial" w:cs="Arial"/>
          <w:b/>
          <w:bCs/>
        </w:rPr>
      </w:pPr>
      <w:r w:rsidRPr="00B84206">
        <w:rPr>
          <w:rFonts w:ascii="Arial" w:hAnsi="Arial" w:cs="Arial"/>
          <w:b/>
          <w:bCs/>
        </w:rPr>
        <w:t>Q</w:t>
      </w:r>
      <w:r w:rsidR="00435415" w:rsidRPr="00B84206">
        <w:rPr>
          <w:rFonts w:ascii="Arial" w:hAnsi="Arial" w:cs="Arial"/>
          <w:b/>
          <w:bCs/>
        </w:rPr>
        <w:t>6</w:t>
      </w:r>
      <w:r w:rsidRPr="00B84206">
        <w:rPr>
          <w:rFonts w:ascii="Arial" w:hAnsi="Arial" w:cs="Arial"/>
          <w:b/>
          <w:bCs/>
        </w:rPr>
        <w:t xml:space="preserve">: </w:t>
      </w:r>
      <w:r w:rsidRPr="00B84206">
        <w:rPr>
          <w:rFonts w:ascii="Arial" w:eastAsia="Aptos" w:hAnsi="Arial" w:cs="Arial"/>
          <w:b/>
          <w:bCs/>
        </w:rPr>
        <w:t xml:space="preserve">Our question pertains to the section of GFO-25-602, 603, and 606 where the eligible applicants are described as </w:t>
      </w:r>
      <w:r w:rsidR="0014106E" w:rsidRPr="00B84206">
        <w:rPr>
          <w:rFonts w:ascii="Arial" w:eastAsia="Aptos" w:hAnsi="Arial" w:cs="Arial"/>
          <w:b/>
          <w:bCs/>
        </w:rPr>
        <w:t xml:space="preserve">follows: </w:t>
      </w:r>
      <w:r w:rsidRPr="00B84206">
        <w:rPr>
          <w:rFonts w:ascii="Arial" w:eastAsia="Aptos" w:hAnsi="Arial" w:cs="Arial"/>
          <w:b/>
          <w:bCs/>
        </w:rPr>
        <w:t xml:space="preserve">"This solicitation is open to all private entities, excluding investor-owned utilities, and is also open to California Tribal Organizations serving California Native American Tribes." </w:t>
      </w:r>
    </w:p>
    <w:p w14:paraId="433E092A" w14:textId="7F5FF382" w:rsidR="3E7EBAE8" w:rsidRPr="00B84206" w:rsidRDefault="3E7EBAE8" w:rsidP="00822305">
      <w:pPr>
        <w:rPr>
          <w:rFonts w:ascii="Arial" w:eastAsia="Aptos" w:hAnsi="Arial" w:cs="Arial"/>
          <w:b/>
          <w:bCs/>
        </w:rPr>
      </w:pPr>
    </w:p>
    <w:p w14:paraId="07472BE7" w14:textId="4FDA0EA5" w:rsidR="3E7EBAE8" w:rsidRPr="00B84206" w:rsidRDefault="3E7EBAE8" w:rsidP="00822305">
      <w:pPr>
        <w:rPr>
          <w:rFonts w:ascii="Arial" w:eastAsia="Aptos" w:hAnsi="Arial" w:cs="Arial"/>
          <w:b/>
          <w:bCs/>
        </w:rPr>
      </w:pPr>
      <w:r w:rsidRPr="00B84206">
        <w:rPr>
          <w:rFonts w:ascii="Arial" w:eastAsia="Aptos" w:hAnsi="Arial" w:cs="Arial"/>
          <w:b/>
          <w:bCs/>
        </w:rPr>
        <w:t xml:space="preserve">We wanted to know if </w:t>
      </w:r>
      <w:r w:rsidR="00E51480" w:rsidRPr="00B84206">
        <w:rPr>
          <w:rFonts w:ascii="Arial" w:eastAsia="Aptos" w:hAnsi="Arial" w:cs="Arial"/>
          <w:b/>
          <w:bCs/>
        </w:rPr>
        <w:t xml:space="preserve">a private entity </w:t>
      </w:r>
      <w:proofErr w:type="gramStart"/>
      <w:r w:rsidR="00E51480" w:rsidRPr="00B84206">
        <w:rPr>
          <w:rFonts w:ascii="Arial" w:eastAsia="Aptos" w:hAnsi="Arial" w:cs="Arial"/>
          <w:b/>
          <w:bCs/>
        </w:rPr>
        <w:t>is able to</w:t>
      </w:r>
      <w:proofErr w:type="gramEnd"/>
      <w:r w:rsidR="00E51480" w:rsidRPr="00B84206">
        <w:rPr>
          <w:rFonts w:ascii="Arial" w:eastAsia="Aptos" w:hAnsi="Arial" w:cs="Arial"/>
          <w:b/>
          <w:bCs/>
        </w:rPr>
        <w:t xml:space="preserve"> partner with</w:t>
      </w:r>
      <w:r w:rsidRPr="00B84206">
        <w:rPr>
          <w:rFonts w:ascii="Arial" w:eastAsia="Aptos" w:hAnsi="Arial" w:cs="Arial"/>
          <w:b/>
          <w:bCs/>
        </w:rPr>
        <w:t xml:space="preserve"> school districts</w:t>
      </w:r>
      <w:r w:rsidRPr="00B84206">
        <w:rPr>
          <w:rFonts w:ascii="Arial" w:eastAsia="Aptos" w:hAnsi="Arial" w:cs="Arial"/>
          <w:b/>
          <w:bCs/>
          <w:color w:val="242424"/>
        </w:rPr>
        <w:t xml:space="preserve"> and</w:t>
      </w:r>
      <w:r w:rsidRPr="00B84206">
        <w:rPr>
          <w:rFonts w:ascii="Arial" w:eastAsia="Aptos" w:hAnsi="Arial" w:cs="Arial"/>
          <w:b/>
          <w:bCs/>
        </w:rPr>
        <w:t xml:space="preserve"> community colleges </w:t>
      </w:r>
      <w:r w:rsidR="00B22D48" w:rsidRPr="00B84206">
        <w:rPr>
          <w:rFonts w:ascii="Arial" w:eastAsia="Aptos" w:hAnsi="Arial" w:cs="Arial"/>
          <w:b/>
          <w:bCs/>
        </w:rPr>
        <w:t>and</w:t>
      </w:r>
      <w:r w:rsidR="004F2273" w:rsidRPr="00B84206">
        <w:rPr>
          <w:rFonts w:ascii="Arial" w:eastAsia="Aptos" w:hAnsi="Arial" w:cs="Arial"/>
          <w:b/>
          <w:bCs/>
        </w:rPr>
        <w:t xml:space="preserve"> </w:t>
      </w:r>
      <w:r w:rsidRPr="00B84206">
        <w:rPr>
          <w:rFonts w:ascii="Arial" w:eastAsia="Aptos" w:hAnsi="Arial" w:cs="Arial"/>
          <w:b/>
          <w:bCs/>
        </w:rPr>
        <w:t>apply</w:t>
      </w:r>
      <w:r w:rsidRPr="00B84206">
        <w:rPr>
          <w:rFonts w:ascii="Arial" w:eastAsia="Aptos" w:hAnsi="Arial" w:cs="Arial"/>
          <w:b/>
          <w:bCs/>
          <w:color w:val="242424"/>
        </w:rPr>
        <w:t xml:space="preserve"> as project partners</w:t>
      </w:r>
      <w:r w:rsidR="00B05C8E" w:rsidRPr="00B84206">
        <w:rPr>
          <w:rFonts w:ascii="Arial" w:eastAsia="Aptos" w:hAnsi="Arial" w:cs="Arial"/>
          <w:b/>
          <w:bCs/>
          <w:color w:val="242424"/>
        </w:rPr>
        <w:t>,</w:t>
      </w:r>
      <w:r w:rsidRPr="00B84206">
        <w:rPr>
          <w:rFonts w:ascii="Arial" w:eastAsia="Aptos" w:hAnsi="Arial" w:cs="Arial"/>
          <w:b/>
          <w:bCs/>
        </w:rPr>
        <w:t xml:space="preserve"> provided </w:t>
      </w:r>
      <w:r w:rsidR="00B05C8E" w:rsidRPr="00B84206">
        <w:rPr>
          <w:rFonts w:ascii="Arial" w:eastAsia="Aptos" w:hAnsi="Arial" w:cs="Arial"/>
          <w:b/>
          <w:bCs/>
        </w:rPr>
        <w:t xml:space="preserve">that </w:t>
      </w:r>
      <w:r w:rsidR="004F2273" w:rsidRPr="00B84206">
        <w:rPr>
          <w:rFonts w:ascii="Arial" w:eastAsia="Aptos" w:hAnsi="Arial" w:cs="Arial"/>
          <w:b/>
          <w:bCs/>
        </w:rPr>
        <w:t>the private entity</w:t>
      </w:r>
      <w:r w:rsidRPr="00B84206">
        <w:rPr>
          <w:rFonts w:ascii="Arial" w:eastAsia="Aptos" w:hAnsi="Arial" w:cs="Arial"/>
          <w:b/>
          <w:bCs/>
        </w:rPr>
        <w:t xml:space="preserve"> designs, installs, operates</w:t>
      </w:r>
      <w:r w:rsidR="00B05C8E" w:rsidRPr="00B84206">
        <w:rPr>
          <w:rFonts w:ascii="Arial" w:eastAsia="Aptos" w:hAnsi="Arial" w:cs="Arial"/>
          <w:b/>
          <w:bCs/>
        </w:rPr>
        <w:t>,</w:t>
      </w:r>
      <w:r w:rsidRPr="00B84206">
        <w:rPr>
          <w:rFonts w:ascii="Arial" w:eastAsia="Aptos" w:hAnsi="Arial" w:cs="Arial"/>
          <w:b/>
          <w:bCs/>
        </w:rPr>
        <w:t xml:space="preserve"> and maintains the equipment, and </w:t>
      </w:r>
      <w:r w:rsidR="004F2273" w:rsidRPr="00B84206">
        <w:rPr>
          <w:rFonts w:ascii="Arial" w:eastAsia="Aptos" w:hAnsi="Arial" w:cs="Arial"/>
          <w:b/>
          <w:bCs/>
        </w:rPr>
        <w:t>the private entity</w:t>
      </w:r>
      <w:r w:rsidRPr="00B84206">
        <w:rPr>
          <w:rFonts w:ascii="Arial" w:eastAsia="Aptos" w:hAnsi="Arial" w:cs="Arial"/>
          <w:b/>
          <w:bCs/>
        </w:rPr>
        <w:t xml:space="preserve"> is the main applicant</w:t>
      </w:r>
      <w:r w:rsidR="00B05C8E" w:rsidRPr="00B84206">
        <w:rPr>
          <w:rFonts w:ascii="Arial" w:eastAsia="Aptos" w:hAnsi="Arial" w:cs="Arial"/>
          <w:b/>
          <w:bCs/>
        </w:rPr>
        <w:t>?</w:t>
      </w:r>
    </w:p>
    <w:p w14:paraId="7BE091A9" w14:textId="55ED12EC" w:rsidR="29665309" w:rsidRPr="00B84206" w:rsidRDefault="29665309" w:rsidP="29665309">
      <w:pPr>
        <w:shd w:val="clear" w:color="auto" w:fill="FFFFFF" w:themeFill="background1"/>
        <w:rPr>
          <w:rFonts w:ascii="Arial" w:eastAsia="Aptos" w:hAnsi="Arial" w:cs="Arial"/>
          <w:color w:val="000000" w:themeColor="text1"/>
          <w:szCs w:val="24"/>
        </w:rPr>
      </w:pPr>
    </w:p>
    <w:p w14:paraId="72FD1563" w14:textId="7A96FF65" w:rsidR="3E7EBAE8" w:rsidRPr="00B84206" w:rsidRDefault="3E7EBAE8" w:rsidP="00B75417">
      <w:pPr>
        <w:rPr>
          <w:rFonts w:ascii="Arial" w:hAnsi="Arial" w:cs="Arial"/>
        </w:rPr>
      </w:pPr>
      <w:r w:rsidRPr="00B84206">
        <w:rPr>
          <w:rFonts w:ascii="Arial" w:eastAsia="Aptos" w:hAnsi="Arial" w:cs="Arial"/>
          <w:color w:val="000000" w:themeColor="text1"/>
        </w:rPr>
        <w:t>A</w:t>
      </w:r>
      <w:r w:rsidR="00435415" w:rsidRPr="00B84206">
        <w:rPr>
          <w:rFonts w:ascii="Arial" w:eastAsia="Aptos" w:hAnsi="Arial" w:cs="Arial"/>
          <w:color w:val="000000" w:themeColor="text1"/>
        </w:rPr>
        <w:t>6</w:t>
      </w:r>
      <w:r w:rsidRPr="00B84206">
        <w:rPr>
          <w:rFonts w:ascii="Arial" w:eastAsia="Aptos" w:hAnsi="Arial" w:cs="Arial"/>
          <w:color w:val="000000" w:themeColor="text1"/>
        </w:rPr>
        <w:t>:</w:t>
      </w:r>
      <w:r w:rsidR="00B75417" w:rsidRPr="00B84206">
        <w:rPr>
          <w:rFonts w:ascii="Arial" w:eastAsia="Aptos" w:hAnsi="Arial" w:cs="Arial"/>
          <w:color w:val="000000" w:themeColor="text1"/>
        </w:rPr>
        <w:t xml:space="preserve"> </w:t>
      </w:r>
      <w:r w:rsidRPr="00B84206">
        <w:rPr>
          <w:rFonts w:ascii="Arial" w:eastAsia="Aptos" w:hAnsi="Arial" w:cs="Arial"/>
        </w:rPr>
        <w:t xml:space="preserve">Yes, </w:t>
      </w:r>
      <w:r w:rsidR="00780F25" w:rsidRPr="00B84206">
        <w:rPr>
          <w:rFonts w:ascii="Arial" w:eastAsia="Aptos" w:hAnsi="Arial" w:cs="Arial"/>
        </w:rPr>
        <w:t xml:space="preserve">a </w:t>
      </w:r>
      <w:r w:rsidRPr="00B84206">
        <w:rPr>
          <w:rFonts w:ascii="Arial" w:eastAsia="Aptos" w:hAnsi="Arial" w:cs="Arial"/>
        </w:rPr>
        <w:t>private entit</w:t>
      </w:r>
      <w:r w:rsidR="00780F25" w:rsidRPr="00B84206">
        <w:rPr>
          <w:rFonts w:ascii="Arial" w:eastAsia="Aptos" w:hAnsi="Arial" w:cs="Arial"/>
        </w:rPr>
        <w:t>y</w:t>
      </w:r>
      <w:r w:rsidRPr="00B84206">
        <w:rPr>
          <w:rFonts w:ascii="Arial" w:eastAsia="Aptos" w:hAnsi="Arial" w:cs="Arial"/>
        </w:rPr>
        <w:t xml:space="preserve"> </w:t>
      </w:r>
      <w:r w:rsidR="00780F25" w:rsidRPr="00B84206">
        <w:rPr>
          <w:rFonts w:ascii="Arial" w:eastAsia="Aptos" w:hAnsi="Arial" w:cs="Arial"/>
        </w:rPr>
        <w:t>that is</w:t>
      </w:r>
      <w:r w:rsidRPr="00B84206">
        <w:rPr>
          <w:rFonts w:ascii="Arial" w:eastAsia="Aptos" w:hAnsi="Arial" w:cs="Arial"/>
        </w:rPr>
        <w:t xml:space="preserve"> the primary applicant </w:t>
      </w:r>
      <w:r w:rsidR="00E7510C" w:rsidRPr="00B84206">
        <w:rPr>
          <w:rFonts w:ascii="Arial" w:eastAsia="Aptos" w:hAnsi="Arial" w:cs="Arial"/>
        </w:rPr>
        <w:t>is</w:t>
      </w:r>
      <w:r w:rsidRPr="00B84206">
        <w:rPr>
          <w:rFonts w:ascii="Arial" w:eastAsia="Aptos" w:hAnsi="Arial" w:cs="Arial"/>
        </w:rPr>
        <w:t xml:space="preserve"> allowed to partner with </w:t>
      </w:r>
      <w:r w:rsidR="00780F25" w:rsidRPr="00B84206">
        <w:rPr>
          <w:rFonts w:ascii="Arial" w:eastAsia="Aptos" w:hAnsi="Arial" w:cs="Arial"/>
        </w:rPr>
        <w:t xml:space="preserve">both </w:t>
      </w:r>
      <w:r w:rsidRPr="00B84206">
        <w:rPr>
          <w:rFonts w:ascii="Arial" w:eastAsia="Aptos" w:hAnsi="Arial" w:cs="Arial"/>
        </w:rPr>
        <w:t xml:space="preserve">public and private entities. </w:t>
      </w:r>
    </w:p>
    <w:p w14:paraId="4340CD56" w14:textId="2B70E023" w:rsidR="29665309" w:rsidRPr="00B84206" w:rsidRDefault="29665309" w:rsidP="29665309">
      <w:pPr>
        <w:shd w:val="clear" w:color="auto" w:fill="FFFFFF" w:themeFill="background1"/>
        <w:rPr>
          <w:rFonts w:ascii="Arial" w:eastAsia="Aptos" w:hAnsi="Arial" w:cs="Arial"/>
          <w:b/>
          <w:bCs/>
          <w:color w:val="000000" w:themeColor="text1"/>
          <w:szCs w:val="24"/>
        </w:rPr>
      </w:pPr>
    </w:p>
    <w:p w14:paraId="38943EB3" w14:textId="77777777" w:rsidR="00141E2F" w:rsidRPr="00B84206" w:rsidRDefault="28C1BF10" w:rsidP="00141E2F">
      <w:pPr>
        <w:pStyle w:val="Heading2"/>
        <w:rPr>
          <w:rFonts w:ascii="Arial" w:hAnsi="Arial" w:cs="Arial"/>
        </w:rPr>
      </w:pPr>
      <w:r w:rsidRPr="00B84206">
        <w:rPr>
          <w:rFonts w:ascii="Arial" w:hAnsi="Arial" w:cs="Arial"/>
        </w:rPr>
        <w:lastRenderedPageBreak/>
        <w:t>Application Evaluation</w:t>
      </w:r>
    </w:p>
    <w:p w14:paraId="178B3605" w14:textId="74F8AACF" w:rsidR="63383F1F" w:rsidRPr="00B84206" w:rsidRDefault="63383F1F" w:rsidP="4F7C2900">
      <w:pPr>
        <w:shd w:val="clear" w:color="auto" w:fill="FFFFFF" w:themeFill="background1"/>
        <w:rPr>
          <w:rFonts w:ascii="Arial" w:eastAsia="Tahoma" w:hAnsi="Arial" w:cs="Arial"/>
          <w:b/>
          <w:bCs/>
          <w:color w:val="242424"/>
          <w:szCs w:val="24"/>
        </w:rPr>
      </w:pPr>
      <w:r w:rsidRPr="00B84206">
        <w:rPr>
          <w:rFonts w:ascii="Arial" w:eastAsia="Tahoma" w:hAnsi="Arial" w:cs="Arial"/>
          <w:b/>
          <w:bCs/>
        </w:rPr>
        <w:t>Q</w:t>
      </w:r>
      <w:r w:rsidR="00435415" w:rsidRPr="00B84206">
        <w:rPr>
          <w:rFonts w:ascii="Arial" w:eastAsia="Tahoma" w:hAnsi="Arial" w:cs="Arial"/>
          <w:b/>
          <w:bCs/>
        </w:rPr>
        <w:t>7</w:t>
      </w:r>
      <w:r w:rsidRPr="00B84206">
        <w:rPr>
          <w:rFonts w:ascii="Arial" w:eastAsia="Tahoma" w:hAnsi="Arial" w:cs="Arial"/>
          <w:b/>
          <w:bCs/>
        </w:rPr>
        <w:t xml:space="preserve">: </w:t>
      </w:r>
      <w:r w:rsidR="00D25571" w:rsidRPr="00B84206">
        <w:rPr>
          <w:rFonts w:ascii="Arial" w:eastAsia="Tahoma" w:hAnsi="Arial" w:cs="Arial"/>
          <w:b/>
          <w:bCs/>
        </w:rPr>
        <w:t>This</w:t>
      </w:r>
      <w:r w:rsidRPr="00B84206">
        <w:rPr>
          <w:rFonts w:ascii="Arial" w:eastAsia="Tahoma" w:hAnsi="Arial" w:cs="Arial"/>
          <w:b/>
          <w:bCs/>
          <w:color w:val="242424"/>
          <w:szCs w:val="24"/>
        </w:rPr>
        <w:t xml:space="preserve"> question </w:t>
      </w:r>
      <w:r w:rsidR="00D25571" w:rsidRPr="00B84206">
        <w:rPr>
          <w:rFonts w:ascii="Arial" w:eastAsia="Tahoma" w:hAnsi="Arial" w:cs="Arial"/>
          <w:b/>
          <w:bCs/>
          <w:color w:val="242424"/>
          <w:szCs w:val="24"/>
        </w:rPr>
        <w:t xml:space="preserve">is </w:t>
      </w:r>
      <w:r w:rsidRPr="00B84206">
        <w:rPr>
          <w:rFonts w:ascii="Arial" w:eastAsia="Tahoma" w:hAnsi="Arial" w:cs="Arial"/>
          <w:b/>
          <w:bCs/>
          <w:color w:val="242424"/>
          <w:szCs w:val="24"/>
        </w:rPr>
        <w:t xml:space="preserve">regarding the calculations for </w:t>
      </w:r>
      <w:r w:rsidR="00B1358C" w:rsidRPr="00B84206">
        <w:rPr>
          <w:rFonts w:ascii="Arial" w:eastAsia="Tahoma" w:hAnsi="Arial" w:cs="Arial"/>
          <w:b/>
          <w:bCs/>
          <w:color w:val="242424"/>
          <w:szCs w:val="24"/>
        </w:rPr>
        <w:t xml:space="preserve">the </w:t>
      </w:r>
      <w:r w:rsidRPr="00B84206">
        <w:rPr>
          <w:rFonts w:ascii="Arial" w:eastAsia="Tahoma" w:hAnsi="Arial" w:cs="Arial"/>
          <w:b/>
          <w:bCs/>
          <w:color w:val="242424"/>
          <w:szCs w:val="24"/>
        </w:rPr>
        <w:t>(1) Cost</w:t>
      </w:r>
      <w:r w:rsidR="00D33D73" w:rsidRPr="00B84206">
        <w:rPr>
          <w:rFonts w:ascii="Arial" w:eastAsia="Tahoma" w:hAnsi="Arial" w:cs="Arial"/>
          <w:b/>
          <w:bCs/>
          <w:color w:val="242424"/>
          <w:szCs w:val="24"/>
        </w:rPr>
        <w:t>-</w:t>
      </w:r>
      <w:r w:rsidRPr="00B84206">
        <w:rPr>
          <w:rFonts w:ascii="Arial" w:eastAsia="Tahoma" w:hAnsi="Arial" w:cs="Arial"/>
          <w:b/>
          <w:bCs/>
          <w:color w:val="242424"/>
          <w:szCs w:val="24"/>
        </w:rPr>
        <w:t>per</w:t>
      </w:r>
      <w:r w:rsidR="00D33D73" w:rsidRPr="00B84206">
        <w:rPr>
          <w:rFonts w:ascii="Arial" w:eastAsia="Tahoma" w:hAnsi="Arial" w:cs="Arial"/>
          <w:b/>
          <w:bCs/>
          <w:color w:val="242424"/>
          <w:szCs w:val="24"/>
        </w:rPr>
        <w:t>-</w:t>
      </w:r>
      <w:r w:rsidRPr="00B84206">
        <w:rPr>
          <w:rFonts w:ascii="Arial" w:eastAsia="Tahoma" w:hAnsi="Arial" w:cs="Arial"/>
          <w:b/>
          <w:bCs/>
          <w:color w:val="242424"/>
          <w:szCs w:val="24"/>
        </w:rPr>
        <w:t>new</w:t>
      </w:r>
      <w:r w:rsidR="00D33D73" w:rsidRPr="00B84206">
        <w:rPr>
          <w:rFonts w:ascii="Arial" w:eastAsia="Tahoma" w:hAnsi="Arial" w:cs="Arial"/>
          <w:b/>
          <w:bCs/>
          <w:color w:val="242424"/>
          <w:szCs w:val="24"/>
        </w:rPr>
        <w:t>-CCS-</w:t>
      </w:r>
      <w:r w:rsidRPr="00B84206">
        <w:rPr>
          <w:rFonts w:ascii="Arial" w:eastAsia="Tahoma" w:hAnsi="Arial" w:cs="Arial"/>
          <w:b/>
          <w:bCs/>
          <w:color w:val="242424"/>
          <w:szCs w:val="24"/>
        </w:rPr>
        <w:t>Port and (2) Cost</w:t>
      </w:r>
      <w:r w:rsidR="002E6593" w:rsidRPr="00B84206">
        <w:rPr>
          <w:rFonts w:ascii="Arial" w:eastAsia="Tahoma" w:hAnsi="Arial" w:cs="Arial"/>
          <w:b/>
          <w:bCs/>
          <w:color w:val="242424"/>
          <w:szCs w:val="24"/>
        </w:rPr>
        <w:t>-</w:t>
      </w:r>
      <w:r w:rsidRPr="00B84206">
        <w:rPr>
          <w:rFonts w:ascii="Arial" w:eastAsia="Tahoma" w:hAnsi="Arial" w:cs="Arial"/>
          <w:b/>
          <w:bCs/>
          <w:color w:val="242424"/>
          <w:szCs w:val="24"/>
        </w:rPr>
        <w:t>per</w:t>
      </w:r>
      <w:r w:rsidR="002E6593" w:rsidRPr="00B84206">
        <w:rPr>
          <w:rFonts w:ascii="Arial" w:eastAsia="Tahoma" w:hAnsi="Arial" w:cs="Arial"/>
          <w:b/>
          <w:bCs/>
          <w:color w:val="242424"/>
          <w:szCs w:val="24"/>
        </w:rPr>
        <w:t>-kW of New Capacity</w:t>
      </w:r>
      <w:r w:rsidR="00B1358C" w:rsidRPr="00B84206">
        <w:rPr>
          <w:rFonts w:ascii="Arial" w:eastAsia="Tahoma" w:hAnsi="Arial" w:cs="Arial"/>
          <w:b/>
          <w:bCs/>
          <w:color w:val="242424"/>
          <w:szCs w:val="24"/>
        </w:rPr>
        <w:t xml:space="preserve"> </w:t>
      </w:r>
      <w:r w:rsidRPr="00B84206">
        <w:rPr>
          <w:rFonts w:ascii="Arial" w:eastAsia="Tahoma" w:hAnsi="Arial" w:cs="Arial"/>
          <w:b/>
          <w:bCs/>
          <w:color w:val="242424"/>
          <w:szCs w:val="24"/>
        </w:rPr>
        <w:t>evaluation metrics</w:t>
      </w:r>
      <w:r w:rsidR="00FC0DEB" w:rsidRPr="00B84206">
        <w:rPr>
          <w:rFonts w:ascii="Arial" w:eastAsia="Tahoma" w:hAnsi="Arial" w:cs="Arial"/>
          <w:b/>
          <w:bCs/>
          <w:color w:val="242424"/>
          <w:szCs w:val="24"/>
        </w:rPr>
        <w:t xml:space="preserve">. </w:t>
      </w:r>
      <w:r w:rsidRPr="00B84206">
        <w:rPr>
          <w:rFonts w:ascii="Arial" w:eastAsia="Tahoma" w:hAnsi="Arial" w:cs="Arial"/>
          <w:b/>
          <w:bCs/>
          <w:color w:val="242424"/>
          <w:szCs w:val="24"/>
        </w:rPr>
        <w:t>Our project is specifically aiming to provide</w:t>
      </w:r>
      <w:r w:rsidR="008A449D" w:rsidRPr="00B84206">
        <w:rPr>
          <w:rFonts w:ascii="Arial" w:eastAsia="Tahoma" w:hAnsi="Arial" w:cs="Arial"/>
          <w:b/>
          <w:bCs/>
          <w:color w:val="242424"/>
          <w:szCs w:val="24"/>
        </w:rPr>
        <w:t xml:space="preserve"> medium- and heavy-duty</w:t>
      </w:r>
      <w:r w:rsidRPr="00B84206">
        <w:rPr>
          <w:rFonts w:ascii="Arial" w:eastAsia="Tahoma" w:hAnsi="Arial" w:cs="Arial"/>
          <w:b/>
          <w:bCs/>
          <w:color w:val="242424"/>
          <w:szCs w:val="24"/>
        </w:rPr>
        <w:t xml:space="preserve"> </w:t>
      </w:r>
      <w:r w:rsidR="008A449D" w:rsidRPr="00B84206">
        <w:rPr>
          <w:rFonts w:ascii="Arial" w:eastAsia="Tahoma" w:hAnsi="Arial" w:cs="Arial"/>
          <w:b/>
          <w:bCs/>
          <w:color w:val="242424"/>
          <w:szCs w:val="24"/>
        </w:rPr>
        <w:t>(</w:t>
      </w:r>
      <w:r w:rsidRPr="00B84206">
        <w:rPr>
          <w:rFonts w:ascii="Arial" w:eastAsia="Tahoma" w:hAnsi="Arial" w:cs="Arial"/>
          <w:b/>
          <w:bCs/>
          <w:color w:val="242424"/>
          <w:szCs w:val="24"/>
        </w:rPr>
        <w:t>MDHD</w:t>
      </w:r>
      <w:r w:rsidR="008A449D" w:rsidRPr="00B84206">
        <w:rPr>
          <w:rFonts w:ascii="Arial" w:eastAsia="Tahoma" w:hAnsi="Arial" w:cs="Arial"/>
          <w:b/>
          <w:bCs/>
          <w:color w:val="242424"/>
          <w:szCs w:val="24"/>
        </w:rPr>
        <w:t>)</w:t>
      </w:r>
      <w:r w:rsidRPr="00B84206">
        <w:rPr>
          <w:rFonts w:ascii="Arial" w:eastAsia="Tahoma" w:hAnsi="Arial" w:cs="Arial"/>
          <w:b/>
          <w:bCs/>
          <w:color w:val="242424"/>
          <w:szCs w:val="24"/>
        </w:rPr>
        <w:t xml:space="preserve"> EV charging powered from solar and battery sources independent of the </w:t>
      </w:r>
      <w:r w:rsidR="00234400" w:rsidRPr="00B84206">
        <w:rPr>
          <w:rFonts w:ascii="Arial" w:eastAsia="Tahoma" w:hAnsi="Arial" w:cs="Arial"/>
          <w:b/>
          <w:bCs/>
          <w:color w:val="242424"/>
          <w:szCs w:val="24"/>
        </w:rPr>
        <w:t>California</w:t>
      </w:r>
      <w:r w:rsidRPr="00B84206">
        <w:rPr>
          <w:rFonts w:ascii="Arial" w:eastAsia="Tahoma" w:hAnsi="Arial" w:cs="Arial"/>
          <w:b/>
          <w:bCs/>
          <w:color w:val="242424"/>
          <w:szCs w:val="24"/>
        </w:rPr>
        <w:t xml:space="preserve"> power grid. This will require more investment on the front end, but in addition to being fully renewable, will provide for a fixed and defined cost of energy over the life of the project, insulating against future electricity price hikes and contributing to less overall strain on the grid</w:t>
      </w:r>
      <w:r w:rsidR="00E96898" w:rsidRPr="00B84206">
        <w:rPr>
          <w:rFonts w:ascii="Arial" w:eastAsia="Tahoma" w:hAnsi="Arial" w:cs="Arial"/>
          <w:b/>
          <w:bCs/>
          <w:color w:val="242424"/>
          <w:szCs w:val="24"/>
        </w:rPr>
        <w:t xml:space="preserve"> – </w:t>
      </w:r>
      <w:r w:rsidRPr="00B84206">
        <w:rPr>
          <w:rFonts w:ascii="Arial" w:eastAsia="Tahoma" w:hAnsi="Arial" w:cs="Arial"/>
          <w:b/>
          <w:bCs/>
          <w:color w:val="242424"/>
          <w:szCs w:val="24"/>
        </w:rPr>
        <w:t xml:space="preserve">particularly during peak times. Will the two enumerated criteria be scored in a way that considers energy cost over the useful life of the charging stations along with potential impacts to the energy grid/ overall environment, or will it be a simpler calculation using the upfront investment and favoring an existing tie </w:t>
      </w:r>
      <w:proofErr w:type="gramStart"/>
      <w:r w:rsidRPr="00B84206">
        <w:rPr>
          <w:rFonts w:ascii="Arial" w:eastAsia="Tahoma" w:hAnsi="Arial" w:cs="Arial"/>
          <w:b/>
          <w:bCs/>
          <w:color w:val="242424"/>
          <w:szCs w:val="24"/>
        </w:rPr>
        <w:t>in to</w:t>
      </w:r>
      <w:proofErr w:type="gramEnd"/>
      <w:r w:rsidRPr="00B84206">
        <w:rPr>
          <w:rFonts w:ascii="Arial" w:eastAsia="Tahoma" w:hAnsi="Arial" w:cs="Arial"/>
          <w:b/>
          <w:bCs/>
          <w:color w:val="242424"/>
          <w:szCs w:val="24"/>
        </w:rPr>
        <w:t xml:space="preserve"> the electrical grid?</w:t>
      </w:r>
    </w:p>
    <w:p w14:paraId="7DFC889B" w14:textId="1E1F07B7" w:rsidR="4F7C2900" w:rsidRPr="00B84206" w:rsidRDefault="4F7C2900" w:rsidP="4F7C2900">
      <w:pPr>
        <w:shd w:val="clear" w:color="auto" w:fill="FFFFFF" w:themeFill="background1"/>
        <w:rPr>
          <w:rFonts w:ascii="Arial" w:eastAsia="Tahoma" w:hAnsi="Arial" w:cs="Arial"/>
          <w:b/>
          <w:bCs/>
          <w:color w:val="242424"/>
          <w:szCs w:val="24"/>
        </w:rPr>
      </w:pPr>
    </w:p>
    <w:p w14:paraId="29560248" w14:textId="0DB38251" w:rsidR="63383F1F" w:rsidRPr="00B84206" w:rsidRDefault="63383F1F" w:rsidP="4F7C2900">
      <w:pPr>
        <w:shd w:val="clear" w:color="auto" w:fill="FFFFFF" w:themeFill="background1"/>
        <w:rPr>
          <w:rFonts w:ascii="Arial" w:eastAsia="Tahoma" w:hAnsi="Arial" w:cs="Arial"/>
          <w:color w:val="242424"/>
          <w:szCs w:val="24"/>
        </w:rPr>
      </w:pPr>
      <w:r w:rsidRPr="00B84206">
        <w:rPr>
          <w:rFonts w:ascii="Arial" w:eastAsia="Tahoma" w:hAnsi="Arial" w:cs="Arial"/>
          <w:color w:val="242424"/>
          <w:szCs w:val="24"/>
        </w:rPr>
        <w:t>A</w:t>
      </w:r>
      <w:r w:rsidR="00435415" w:rsidRPr="00B84206">
        <w:rPr>
          <w:rFonts w:ascii="Arial" w:eastAsia="Tahoma" w:hAnsi="Arial" w:cs="Arial"/>
          <w:color w:val="242424"/>
          <w:szCs w:val="24"/>
        </w:rPr>
        <w:t>7</w:t>
      </w:r>
      <w:r w:rsidRPr="00B84206">
        <w:rPr>
          <w:rFonts w:ascii="Arial" w:eastAsia="Tahoma" w:hAnsi="Arial" w:cs="Arial"/>
          <w:color w:val="242424"/>
          <w:szCs w:val="24"/>
        </w:rPr>
        <w:t>:</w:t>
      </w:r>
      <w:r w:rsidR="0BBA9F39" w:rsidRPr="00B84206">
        <w:rPr>
          <w:rFonts w:ascii="Arial" w:eastAsia="Tahoma" w:hAnsi="Arial" w:cs="Arial"/>
          <w:color w:val="242424"/>
          <w:szCs w:val="24"/>
        </w:rPr>
        <w:t xml:space="preserve"> The “</w:t>
      </w:r>
      <w:r w:rsidR="00F65EAF" w:rsidRPr="00B84206">
        <w:rPr>
          <w:rFonts w:ascii="Arial" w:eastAsia="Tahoma" w:hAnsi="Arial" w:cs="Arial"/>
          <w:color w:val="242424"/>
          <w:szCs w:val="24"/>
        </w:rPr>
        <w:t>C</w:t>
      </w:r>
      <w:r w:rsidR="0BBA9F39" w:rsidRPr="00B84206">
        <w:rPr>
          <w:rFonts w:ascii="Arial" w:eastAsia="Tahoma" w:hAnsi="Arial" w:cs="Arial"/>
          <w:color w:val="242424"/>
          <w:szCs w:val="24"/>
        </w:rPr>
        <w:t>ost</w:t>
      </w:r>
      <w:r w:rsidR="00B04501" w:rsidRPr="00B84206">
        <w:rPr>
          <w:rFonts w:ascii="Arial" w:eastAsia="Tahoma" w:hAnsi="Arial" w:cs="Arial"/>
          <w:color w:val="242424"/>
          <w:szCs w:val="24"/>
        </w:rPr>
        <w:t>-</w:t>
      </w:r>
      <w:r w:rsidR="0BBA9F39" w:rsidRPr="00B84206">
        <w:rPr>
          <w:rFonts w:ascii="Arial" w:eastAsia="Tahoma" w:hAnsi="Arial" w:cs="Arial"/>
          <w:color w:val="242424"/>
          <w:szCs w:val="24"/>
        </w:rPr>
        <w:t>per</w:t>
      </w:r>
      <w:r w:rsidR="006710BC" w:rsidRPr="00B84206">
        <w:rPr>
          <w:rFonts w:ascii="Arial" w:eastAsia="Tahoma" w:hAnsi="Arial" w:cs="Arial"/>
          <w:color w:val="242424"/>
          <w:szCs w:val="24"/>
        </w:rPr>
        <w:t>-</w:t>
      </w:r>
      <w:r w:rsidR="0BBA9F39" w:rsidRPr="00B84206">
        <w:rPr>
          <w:rFonts w:ascii="Arial" w:eastAsia="Tahoma" w:hAnsi="Arial" w:cs="Arial"/>
          <w:color w:val="242424"/>
          <w:szCs w:val="24"/>
        </w:rPr>
        <w:t>new</w:t>
      </w:r>
      <w:r w:rsidR="00F65EAF" w:rsidRPr="00B84206">
        <w:rPr>
          <w:rFonts w:ascii="Arial" w:eastAsia="Tahoma" w:hAnsi="Arial" w:cs="Arial"/>
          <w:color w:val="242424"/>
          <w:szCs w:val="24"/>
        </w:rPr>
        <w:t>-CCS-Port</w:t>
      </w:r>
      <w:r w:rsidR="0BBA9F39" w:rsidRPr="00B84206">
        <w:rPr>
          <w:rFonts w:ascii="Arial" w:eastAsia="Tahoma" w:hAnsi="Arial" w:cs="Arial"/>
          <w:color w:val="242424"/>
          <w:szCs w:val="24"/>
        </w:rPr>
        <w:t>” and “</w:t>
      </w:r>
      <w:r w:rsidR="00F65EAF" w:rsidRPr="00B84206">
        <w:rPr>
          <w:rFonts w:ascii="Arial" w:eastAsia="Tahoma" w:hAnsi="Arial" w:cs="Arial"/>
          <w:color w:val="242424"/>
          <w:szCs w:val="24"/>
        </w:rPr>
        <w:t>C</w:t>
      </w:r>
      <w:r w:rsidR="0BBA9F39" w:rsidRPr="00B84206">
        <w:rPr>
          <w:rFonts w:ascii="Arial" w:eastAsia="Tahoma" w:hAnsi="Arial" w:cs="Arial"/>
          <w:color w:val="242424"/>
          <w:szCs w:val="24"/>
        </w:rPr>
        <w:t>ost</w:t>
      </w:r>
      <w:r w:rsidR="00F65EAF" w:rsidRPr="00B84206">
        <w:rPr>
          <w:rFonts w:ascii="Arial" w:eastAsia="Tahoma" w:hAnsi="Arial" w:cs="Arial"/>
          <w:color w:val="242424"/>
          <w:szCs w:val="24"/>
        </w:rPr>
        <w:t>-</w:t>
      </w:r>
      <w:r w:rsidR="0BBA9F39" w:rsidRPr="00B84206">
        <w:rPr>
          <w:rFonts w:ascii="Arial" w:eastAsia="Tahoma" w:hAnsi="Arial" w:cs="Arial"/>
          <w:color w:val="242424"/>
          <w:szCs w:val="24"/>
        </w:rPr>
        <w:t>per</w:t>
      </w:r>
      <w:r w:rsidR="00F65EAF" w:rsidRPr="00B84206">
        <w:rPr>
          <w:rFonts w:ascii="Arial" w:eastAsia="Tahoma" w:hAnsi="Arial" w:cs="Arial"/>
          <w:color w:val="242424"/>
          <w:szCs w:val="24"/>
        </w:rPr>
        <w:t>-kW of New Capacity</w:t>
      </w:r>
      <w:r w:rsidR="0BBA9F39" w:rsidRPr="00B84206">
        <w:rPr>
          <w:rFonts w:ascii="Arial" w:eastAsia="Tahoma" w:hAnsi="Arial" w:cs="Arial"/>
          <w:color w:val="242424"/>
          <w:szCs w:val="24"/>
        </w:rPr>
        <w:t>” metrics are calculated as upfront-cost ratios</w:t>
      </w:r>
      <w:r w:rsidR="00D96686" w:rsidRPr="00B84206">
        <w:rPr>
          <w:rFonts w:ascii="Arial" w:eastAsia="Tahoma" w:hAnsi="Arial" w:cs="Arial"/>
          <w:color w:val="242424"/>
          <w:szCs w:val="24"/>
        </w:rPr>
        <w:t>. That is, the Cost-per-new-CCS-Port is the</w:t>
      </w:r>
      <w:r w:rsidR="0BBA9F39" w:rsidRPr="00B84206">
        <w:rPr>
          <w:rFonts w:ascii="Arial" w:eastAsia="Tahoma" w:hAnsi="Arial" w:cs="Arial"/>
          <w:color w:val="242424"/>
          <w:szCs w:val="24"/>
        </w:rPr>
        <w:t xml:space="preserve"> total </w:t>
      </w:r>
      <w:r w:rsidR="00975DF4" w:rsidRPr="00B84206">
        <w:rPr>
          <w:rFonts w:ascii="Arial" w:eastAsia="Tahoma" w:hAnsi="Arial" w:cs="Arial"/>
          <w:color w:val="242424"/>
          <w:szCs w:val="24"/>
        </w:rPr>
        <w:t>CEC dollars requested</w:t>
      </w:r>
      <w:r w:rsidR="0BBA9F39" w:rsidRPr="00B84206">
        <w:rPr>
          <w:rFonts w:ascii="Arial" w:eastAsia="Tahoma" w:hAnsi="Arial" w:cs="Arial"/>
          <w:color w:val="242424"/>
          <w:szCs w:val="24"/>
        </w:rPr>
        <w:t xml:space="preserve"> divided by the number of new CCS ports</w:t>
      </w:r>
      <w:r w:rsidR="00DB25D6" w:rsidRPr="00B84206">
        <w:rPr>
          <w:rFonts w:ascii="Arial" w:eastAsia="Tahoma" w:hAnsi="Arial" w:cs="Arial"/>
          <w:color w:val="242424"/>
          <w:szCs w:val="24"/>
        </w:rPr>
        <w:t>. The Cost-per-kW of New Capacity is the</w:t>
      </w:r>
      <w:r w:rsidR="0069545F" w:rsidRPr="00B84206">
        <w:rPr>
          <w:rFonts w:ascii="Arial" w:eastAsia="Tahoma" w:hAnsi="Arial" w:cs="Arial"/>
          <w:color w:val="242424"/>
          <w:szCs w:val="24"/>
        </w:rPr>
        <w:t xml:space="preserve"> </w:t>
      </w:r>
      <w:r w:rsidR="000B7016" w:rsidRPr="00B84206">
        <w:rPr>
          <w:rFonts w:ascii="Arial" w:eastAsia="Tahoma" w:hAnsi="Arial" w:cs="Arial"/>
          <w:color w:val="242424"/>
          <w:szCs w:val="24"/>
        </w:rPr>
        <w:t xml:space="preserve">total CEC </w:t>
      </w:r>
      <w:r w:rsidR="00717996" w:rsidRPr="00B84206">
        <w:rPr>
          <w:rFonts w:ascii="Arial" w:eastAsia="Tahoma" w:hAnsi="Arial" w:cs="Arial"/>
          <w:color w:val="242424"/>
          <w:szCs w:val="24"/>
        </w:rPr>
        <w:t xml:space="preserve">dollars requested divided by the </w:t>
      </w:r>
      <w:r w:rsidR="00086643" w:rsidRPr="00B84206">
        <w:rPr>
          <w:rFonts w:ascii="Arial" w:eastAsia="Tahoma" w:hAnsi="Arial" w:cs="Arial"/>
          <w:color w:val="242424"/>
          <w:szCs w:val="24"/>
        </w:rPr>
        <w:t>total new capacity. These calculations</w:t>
      </w:r>
      <w:r w:rsidR="002F6949" w:rsidRPr="00B84206">
        <w:rPr>
          <w:rFonts w:ascii="Arial" w:eastAsia="Tahoma" w:hAnsi="Arial" w:cs="Arial"/>
          <w:color w:val="242424"/>
          <w:szCs w:val="24"/>
        </w:rPr>
        <w:t xml:space="preserve">, found in Solicitation Manual Section IV.A.7, </w:t>
      </w:r>
      <w:r w:rsidR="0BBA9F39" w:rsidRPr="00B84206">
        <w:rPr>
          <w:rFonts w:ascii="Arial" w:eastAsia="Tahoma" w:hAnsi="Arial" w:cs="Arial"/>
          <w:color w:val="242424"/>
          <w:szCs w:val="24"/>
        </w:rPr>
        <w:t>do not factor in lifecycle energy costs, future electricity price risk, or modeled grid/environmental benefits</w:t>
      </w:r>
      <w:r w:rsidR="00BE6BD0">
        <w:rPr>
          <w:rFonts w:ascii="Arial" w:eastAsia="Tahoma" w:hAnsi="Arial" w:cs="Arial"/>
          <w:color w:val="242424"/>
          <w:szCs w:val="24"/>
        </w:rPr>
        <w:t>.</w:t>
      </w:r>
      <w:r w:rsidR="0BBA9F39" w:rsidRPr="00B84206">
        <w:rPr>
          <w:rFonts w:ascii="Arial" w:eastAsia="Tahoma" w:hAnsi="Arial" w:cs="Arial"/>
          <w:color w:val="242424"/>
          <w:szCs w:val="24"/>
        </w:rPr>
        <w:t xml:space="preserve"> </w:t>
      </w:r>
      <w:r w:rsidR="00BE6BD0">
        <w:rPr>
          <w:rFonts w:ascii="Arial" w:eastAsia="Tahoma" w:hAnsi="Arial" w:cs="Arial"/>
          <w:color w:val="242424"/>
          <w:szCs w:val="24"/>
        </w:rPr>
        <w:t>T</w:t>
      </w:r>
      <w:r w:rsidR="0BBA9F39" w:rsidRPr="00B84206">
        <w:rPr>
          <w:rFonts w:ascii="Arial" w:eastAsia="Tahoma" w:hAnsi="Arial" w:cs="Arial"/>
          <w:color w:val="242424"/>
          <w:szCs w:val="24"/>
        </w:rPr>
        <w:t>hose longer-term benefits of a</w:t>
      </w:r>
      <w:r w:rsidR="005A563A" w:rsidRPr="00B84206">
        <w:rPr>
          <w:rFonts w:ascii="Arial" w:eastAsia="Tahoma" w:hAnsi="Arial" w:cs="Arial"/>
          <w:color w:val="242424"/>
          <w:szCs w:val="24"/>
        </w:rPr>
        <w:t xml:space="preserve"> solar plus battery storage</w:t>
      </w:r>
      <w:r w:rsidR="0BBA9F39" w:rsidRPr="00B84206">
        <w:rPr>
          <w:rFonts w:ascii="Arial" w:eastAsia="Tahoma" w:hAnsi="Arial" w:cs="Arial"/>
          <w:color w:val="242424"/>
          <w:szCs w:val="24"/>
        </w:rPr>
        <w:t xml:space="preserve"> MDHD project </w:t>
      </w:r>
      <w:r w:rsidR="00BE6BD0">
        <w:rPr>
          <w:rFonts w:ascii="Arial" w:eastAsia="Tahoma" w:hAnsi="Arial" w:cs="Arial"/>
          <w:color w:val="242424"/>
          <w:szCs w:val="24"/>
        </w:rPr>
        <w:t>may</w:t>
      </w:r>
      <w:r w:rsidR="0BBA9F39" w:rsidRPr="00B84206">
        <w:rPr>
          <w:rFonts w:ascii="Arial" w:eastAsia="Tahoma" w:hAnsi="Arial" w:cs="Arial"/>
          <w:color w:val="242424"/>
          <w:szCs w:val="24"/>
        </w:rPr>
        <w:t xml:space="preserve"> be articulated and justified in the </w:t>
      </w:r>
      <w:r w:rsidR="00F05C9F" w:rsidRPr="00B84206">
        <w:rPr>
          <w:rFonts w:ascii="Arial" w:eastAsia="Tahoma" w:hAnsi="Arial" w:cs="Arial"/>
          <w:color w:val="242424"/>
          <w:szCs w:val="24"/>
        </w:rPr>
        <w:t>P</w:t>
      </w:r>
      <w:r w:rsidR="00A2280B" w:rsidRPr="00B84206">
        <w:rPr>
          <w:rFonts w:ascii="Arial" w:eastAsia="Tahoma" w:hAnsi="Arial" w:cs="Arial"/>
          <w:color w:val="242424"/>
          <w:szCs w:val="24"/>
        </w:rPr>
        <w:t xml:space="preserve">roject </w:t>
      </w:r>
      <w:r w:rsidR="00F05C9F" w:rsidRPr="00B84206">
        <w:rPr>
          <w:rFonts w:ascii="Arial" w:eastAsia="Tahoma" w:hAnsi="Arial" w:cs="Arial"/>
          <w:color w:val="242424"/>
          <w:szCs w:val="24"/>
        </w:rPr>
        <w:t>N</w:t>
      </w:r>
      <w:r w:rsidR="00A2280B" w:rsidRPr="00B84206">
        <w:rPr>
          <w:rFonts w:ascii="Arial" w:eastAsia="Tahoma" w:hAnsi="Arial" w:cs="Arial"/>
          <w:color w:val="242424"/>
          <w:szCs w:val="24"/>
        </w:rPr>
        <w:t xml:space="preserve">arrative </w:t>
      </w:r>
      <w:r w:rsidR="00F05C9F" w:rsidRPr="00B84206">
        <w:rPr>
          <w:rFonts w:ascii="Arial" w:eastAsia="Tahoma" w:hAnsi="Arial" w:cs="Arial"/>
          <w:color w:val="242424"/>
          <w:szCs w:val="24"/>
        </w:rPr>
        <w:t xml:space="preserve">(Attachment 1) </w:t>
      </w:r>
      <w:r w:rsidR="00A2280B" w:rsidRPr="00B84206">
        <w:rPr>
          <w:rFonts w:ascii="Arial" w:eastAsia="Tahoma" w:hAnsi="Arial" w:cs="Arial"/>
          <w:color w:val="242424"/>
          <w:szCs w:val="24"/>
        </w:rPr>
        <w:t xml:space="preserve">in response to technical evaluation criteria such as </w:t>
      </w:r>
      <w:r w:rsidR="00D0224B" w:rsidRPr="00B84206">
        <w:rPr>
          <w:rFonts w:ascii="Arial" w:eastAsia="Tahoma" w:hAnsi="Arial" w:cs="Arial"/>
          <w:color w:val="242424"/>
          <w:szCs w:val="24"/>
        </w:rPr>
        <w:t xml:space="preserve">EV Charging Station Location and Equipment, </w:t>
      </w:r>
      <w:r w:rsidR="00B84CB6" w:rsidRPr="00B84206">
        <w:rPr>
          <w:rFonts w:ascii="Arial" w:eastAsia="Tahoma" w:hAnsi="Arial" w:cs="Arial"/>
          <w:color w:val="242424"/>
          <w:szCs w:val="24"/>
        </w:rPr>
        <w:t xml:space="preserve">Project Readiness, Expected Project Benefits, and </w:t>
      </w:r>
      <w:r w:rsidR="00CF594F" w:rsidRPr="00B84206">
        <w:rPr>
          <w:rFonts w:ascii="Arial" w:eastAsia="Tahoma" w:hAnsi="Arial" w:cs="Arial"/>
          <w:color w:val="242424"/>
          <w:szCs w:val="24"/>
        </w:rPr>
        <w:t>Project Budget and Finances</w:t>
      </w:r>
      <w:r w:rsidR="003D6A60" w:rsidRPr="00B84206">
        <w:rPr>
          <w:rFonts w:ascii="Arial" w:eastAsia="Tahoma" w:hAnsi="Arial" w:cs="Arial"/>
          <w:color w:val="242424"/>
          <w:szCs w:val="24"/>
        </w:rPr>
        <w:t xml:space="preserve"> (Solicitation Manual Section</w:t>
      </w:r>
      <w:r w:rsidR="00F05C9F" w:rsidRPr="00B84206">
        <w:rPr>
          <w:rFonts w:ascii="Arial" w:eastAsia="Tahoma" w:hAnsi="Arial" w:cs="Arial"/>
          <w:color w:val="242424"/>
          <w:szCs w:val="24"/>
        </w:rPr>
        <w:t xml:space="preserve"> IV.E.)</w:t>
      </w:r>
      <w:r w:rsidR="0BBA9F39" w:rsidRPr="00B84206">
        <w:rPr>
          <w:rFonts w:ascii="Arial" w:eastAsia="Tahoma" w:hAnsi="Arial" w:cs="Arial"/>
          <w:color w:val="242424"/>
          <w:szCs w:val="24"/>
        </w:rPr>
        <w:t>.</w:t>
      </w:r>
    </w:p>
    <w:p w14:paraId="582D8218" w14:textId="77777777" w:rsidR="00E85BF6" w:rsidRPr="00B84206" w:rsidRDefault="00E85BF6" w:rsidP="4F7C2900">
      <w:pPr>
        <w:shd w:val="clear" w:color="auto" w:fill="FFFFFF" w:themeFill="background1"/>
        <w:rPr>
          <w:rFonts w:ascii="Arial" w:hAnsi="Arial" w:cs="Arial"/>
        </w:rPr>
      </w:pPr>
    </w:p>
    <w:p w14:paraId="729AE7B9" w14:textId="2ADF6B8B" w:rsidR="00E85BF6" w:rsidRPr="00B84206" w:rsidRDefault="00E85BF6" w:rsidP="4F7C2900">
      <w:pPr>
        <w:shd w:val="clear" w:color="auto" w:fill="FFFFFF" w:themeFill="background1"/>
        <w:rPr>
          <w:rFonts w:ascii="Arial" w:eastAsia="Tahoma" w:hAnsi="Arial" w:cs="Arial"/>
          <w:color w:val="242424"/>
          <w:szCs w:val="24"/>
        </w:rPr>
      </w:pPr>
      <w:r w:rsidRPr="00B84206">
        <w:rPr>
          <w:rFonts w:ascii="Arial" w:hAnsi="Arial" w:cs="Arial"/>
        </w:rPr>
        <w:t>Not all costs associated with the installation of the charging infrastructure need to be included within the project budget, which is divided between CEC dollars (80% of the project budget) and match dollars (20% of the project budget). It is at the applicant’s discretion to structure their budget(s) as needed to make their application(s) competitive.</w:t>
      </w:r>
    </w:p>
    <w:p w14:paraId="7B056194" w14:textId="77777777" w:rsidR="00FC6D06" w:rsidRPr="00B84206" w:rsidRDefault="00FC6D06" w:rsidP="4F7C2900">
      <w:pPr>
        <w:shd w:val="clear" w:color="auto" w:fill="FFFFFF" w:themeFill="background1"/>
        <w:rPr>
          <w:rFonts w:ascii="Arial" w:hAnsi="Arial" w:cs="Arial"/>
        </w:rPr>
      </w:pPr>
    </w:p>
    <w:p w14:paraId="63DE581F" w14:textId="08013EEB" w:rsidR="000E0AFE" w:rsidRPr="00B84206" w:rsidRDefault="3E3082B0" w:rsidP="000E0AFE">
      <w:pPr>
        <w:pStyle w:val="Heading2"/>
        <w:rPr>
          <w:rFonts w:ascii="Arial" w:hAnsi="Arial" w:cs="Arial"/>
        </w:rPr>
      </w:pPr>
      <w:r w:rsidRPr="00B84206">
        <w:rPr>
          <w:rFonts w:ascii="Arial" w:hAnsi="Arial" w:cs="Arial"/>
        </w:rPr>
        <w:t>Eligible Costs</w:t>
      </w:r>
      <w:r w:rsidR="7CE943F9" w:rsidRPr="00B84206">
        <w:rPr>
          <w:rFonts w:ascii="Arial" w:hAnsi="Arial" w:cs="Arial"/>
        </w:rPr>
        <w:t>, Reimbursement, and Match</w:t>
      </w:r>
    </w:p>
    <w:p w14:paraId="5F34FED4" w14:textId="33CA52A3" w:rsidR="65E089BB" w:rsidRPr="00B84206" w:rsidRDefault="408D80E7" w:rsidP="003F6F9C">
      <w:pPr>
        <w:rPr>
          <w:rFonts w:ascii="Arial" w:eastAsia="Tahoma" w:hAnsi="Arial" w:cs="Arial"/>
          <w:b/>
          <w:bCs/>
        </w:rPr>
      </w:pPr>
      <w:r w:rsidRPr="00B84206">
        <w:rPr>
          <w:rFonts w:ascii="Arial" w:eastAsia="Tahoma" w:hAnsi="Arial" w:cs="Arial"/>
          <w:b/>
          <w:bCs/>
        </w:rPr>
        <w:t>Q</w:t>
      </w:r>
      <w:r w:rsidR="00FB5C26" w:rsidRPr="00B84206">
        <w:rPr>
          <w:rFonts w:ascii="Arial" w:eastAsia="Tahoma" w:hAnsi="Arial" w:cs="Arial"/>
          <w:b/>
          <w:bCs/>
        </w:rPr>
        <w:t>8</w:t>
      </w:r>
      <w:r w:rsidRPr="00B84206">
        <w:rPr>
          <w:rFonts w:ascii="Arial" w:eastAsia="Tahoma" w:hAnsi="Arial" w:cs="Arial"/>
          <w:b/>
          <w:bCs/>
        </w:rPr>
        <w:t xml:space="preserve">: Is the $8 million cap meaning that the total project amount can be $10 </w:t>
      </w:r>
      <w:r w:rsidRPr="00B84206">
        <w:rPr>
          <w:rFonts w:ascii="Arial" w:eastAsiaTheme="minorEastAsia" w:hAnsi="Arial" w:cs="Arial"/>
          <w:b/>
          <w:bCs/>
        </w:rPr>
        <w:t xml:space="preserve">million with the matching funds being $2 million? Or is the project </w:t>
      </w:r>
      <w:proofErr w:type="gramStart"/>
      <w:r w:rsidRPr="00B84206">
        <w:rPr>
          <w:rFonts w:ascii="Arial" w:eastAsiaTheme="minorEastAsia" w:hAnsi="Arial" w:cs="Arial"/>
          <w:b/>
          <w:bCs/>
        </w:rPr>
        <w:t>total</w:t>
      </w:r>
      <w:proofErr w:type="gramEnd"/>
      <w:r w:rsidRPr="00B84206">
        <w:rPr>
          <w:rFonts w:ascii="Arial" w:eastAsiaTheme="minorEastAsia" w:hAnsi="Arial" w:cs="Arial"/>
          <w:b/>
          <w:bCs/>
        </w:rPr>
        <w:t xml:space="preserve"> $8 million and </w:t>
      </w:r>
      <w:proofErr w:type="gramStart"/>
      <w:r w:rsidRPr="00B84206">
        <w:rPr>
          <w:rFonts w:ascii="Arial" w:eastAsiaTheme="minorEastAsia" w:hAnsi="Arial" w:cs="Arial"/>
          <w:b/>
          <w:bCs/>
        </w:rPr>
        <w:t>we would</w:t>
      </w:r>
      <w:proofErr w:type="gramEnd"/>
      <w:r w:rsidRPr="00B84206">
        <w:rPr>
          <w:rFonts w:ascii="Arial" w:eastAsiaTheme="minorEastAsia" w:hAnsi="Arial" w:cs="Arial"/>
          <w:b/>
          <w:bCs/>
        </w:rPr>
        <w:t xml:space="preserve"> do the matching funds of 20% of that amount? </w:t>
      </w:r>
    </w:p>
    <w:p w14:paraId="1B4A0095" w14:textId="2BAB11C3" w:rsidR="56792D12" w:rsidRPr="00B84206" w:rsidRDefault="56792D12" w:rsidP="4F7C2900">
      <w:pPr>
        <w:rPr>
          <w:rFonts w:ascii="Arial" w:eastAsia="Tahoma" w:hAnsi="Arial" w:cs="Arial"/>
          <w:b/>
          <w:bCs/>
          <w:color w:val="000000" w:themeColor="text1"/>
          <w:szCs w:val="24"/>
        </w:rPr>
      </w:pPr>
    </w:p>
    <w:p w14:paraId="5DAF0434" w14:textId="387742B8" w:rsidR="65E089BB" w:rsidRPr="00B84206" w:rsidRDefault="408D80E7" w:rsidP="4F7C2900">
      <w:pPr>
        <w:rPr>
          <w:rFonts w:ascii="Arial" w:eastAsia="Tahoma" w:hAnsi="Arial" w:cs="Arial"/>
          <w:color w:val="000000" w:themeColor="text1"/>
          <w:szCs w:val="24"/>
        </w:rPr>
      </w:pPr>
      <w:r w:rsidRPr="00B84206">
        <w:rPr>
          <w:rFonts w:ascii="Arial" w:eastAsia="Tahoma" w:hAnsi="Arial" w:cs="Arial"/>
          <w:color w:val="000000" w:themeColor="text1"/>
          <w:szCs w:val="24"/>
        </w:rPr>
        <w:t>A</w:t>
      </w:r>
      <w:r w:rsidR="00FB5C26" w:rsidRPr="00B84206">
        <w:rPr>
          <w:rFonts w:ascii="Arial" w:eastAsia="Tahoma" w:hAnsi="Arial" w:cs="Arial"/>
          <w:color w:val="000000" w:themeColor="text1"/>
          <w:szCs w:val="24"/>
        </w:rPr>
        <w:t>8</w:t>
      </w:r>
      <w:r w:rsidRPr="00B84206">
        <w:rPr>
          <w:rFonts w:ascii="Arial" w:eastAsia="Tahoma" w:hAnsi="Arial" w:cs="Arial"/>
          <w:color w:val="000000" w:themeColor="text1"/>
          <w:szCs w:val="24"/>
        </w:rPr>
        <w:t xml:space="preserve">: </w:t>
      </w:r>
      <w:r w:rsidR="0430E631" w:rsidRPr="00B84206">
        <w:rPr>
          <w:rFonts w:ascii="Arial" w:eastAsia="Tahoma" w:hAnsi="Arial" w:cs="Arial"/>
          <w:color w:val="000000" w:themeColor="text1"/>
          <w:szCs w:val="24"/>
        </w:rPr>
        <w:t>T</w:t>
      </w:r>
      <w:r w:rsidR="452746F4" w:rsidRPr="00B84206">
        <w:rPr>
          <w:rFonts w:ascii="Arial" w:eastAsia="Tahoma" w:hAnsi="Arial" w:cs="Arial"/>
          <w:color w:val="000000" w:themeColor="text1"/>
          <w:szCs w:val="24"/>
        </w:rPr>
        <w:t xml:space="preserve">he $8 million figure is </w:t>
      </w:r>
      <w:r w:rsidR="000B5EED" w:rsidRPr="00B84206">
        <w:rPr>
          <w:rFonts w:ascii="Arial" w:eastAsia="Tahoma" w:hAnsi="Arial" w:cs="Arial"/>
          <w:color w:val="000000" w:themeColor="text1"/>
          <w:szCs w:val="24"/>
        </w:rPr>
        <w:t>the</w:t>
      </w:r>
      <w:r w:rsidR="452746F4" w:rsidRPr="00B84206">
        <w:rPr>
          <w:rFonts w:ascii="Arial" w:eastAsia="Tahoma" w:hAnsi="Arial" w:cs="Arial"/>
          <w:color w:val="000000" w:themeColor="text1"/>
          <w:szCs w:val="24"/>
        </w:rPr>
        <w:t xml:space="preserve"> cap on the CEC’s reimbursable share, not on the total project cost. Projects are eligible for 80 percent of the total allowable project cost, or $8 million, whichever is less.</w:t>
      </w:r>
      <w:r w:rsidR="4C019564" w:rsidRPr="00B84206">
        <w:rPr>
          <w:rFonts w:ascii="Arial" w:eastAsia="Tahoma" w:hAnsi="Arial" w:cs="Arial"/>
          <w:color w:val="000000" w:themeColor="text1"/>
          <w:szCs w:val="24"/>
        </w:rPr>
        <w:t xml:space="preserve"> </w:t>
      </w:r>
      <w:r w:rsidR="00D76430" w:rsidRPr="00B84206">
        <w:rPr>
          <w:rFonts w:ascii="Arial" w:eastAsia="Tahoma" w:hAnsi="Arial" w:cs="Arial"/>
          <w:color w:val="000000" w:themeColor="text1"/>
          <w:szCs w:val="24"/>
        </w:rPr>
        <w:t xml:space="preserve">Therefore, </w:t>
      </w:r>
      <w:r w:rsidR="4C019564" w:rsidRPr="00B84206">
        <w:rPr>
          <w:rFonts w:ascii="Arial" w:eastAsia="Tahoma" w:hAnsi="Arial" w:cs="Arial"/>
          <w:color w:val="000000" w:themeColor="text1"/>
          <w:szCs w:val="24"/>
        </w:rPr>
        <w:t xml:space="preserve">the maximum </w:t>
      </w:r>
      <w:r w:rsidR="00803FCB" w:rsidRPr="00B84206">
        <w:rPr>
          <w:rFonts w:ascii="Arial" w:eastAsia="Tahoma" w:hAnsi="Arial" w:cs="Arial"/>
          <w:color w:val="000000" w:themeColor="text1"/>
          <w:szCs w:val="24"/>
        </w:rPr>
        <w:t xml:space="preserve">total </w:t>
      </w:r>
      <w:r w:rsidR="4C019564" w:rsidRPr="00B84206">
        <w:rPr>
          <w:rFonts w:ascii="Arial" w:eastAsia="Tahoma" w:hAnsi="Arial" w:cs="Arial"/>
          <w:color w:val="000000" w:themeColor="text1"/>
          <w:szCs w:val="24"/>
        </w:rPr>
        <w:t xml:space="preserve">project </w:t>
      </w:r>
      <w:r w:rsidR="00803FCB" w:rsidRPr="00B84206">
        <w:rPr>
          <w:rFonts w:ascii="Arial" w:eastAsia="Tahoma" w:hAnsi="Arial" w:cs="Arial"/>
          <w:color w:val="000000" w:themeColor="text1"/>
          <w:szCs w:val="24"/>
        </w:rPr>
        <w:t>cost</w:t>
      </w:r>
      <w:r w:rsidR="4C019564" w:rsidRPr="00B84206">
        <w:rPr>
          <w:rFonts w:ascii="Arial" w:eastAsia="Tahoma" w:hAnsi="Arial" w:cs="Arial"/>
          <w:color w:val="000000" w:themeColor="text1"/>
          <w:szCs w:val="24"/>
        </w:rPr>
        <w:t xml:space="preserve"> under this solicitation is $10 million, with $8 million from the CEC and $2 million (20 percent) </w:t>
      </w:r>
      <w:proofErr w:type="gramStart"/>
      <w:r w:rsidR="4C019564" w:rsidRPr="00B84206">
        <w:rPr>
          <w:rFonts w:ascii="Arial" w:eastAsia="Tahoma" w:hAnsi="Arial" w:cs="Arial"/>
          <w:color w:val="000000" w:themeColor="text1"/>
          <w:szCs w:val="24"/>
        </w:rPr>
        <w:t>in required</w:t>
      </w:r>
      <w:proofErr w:type="gramEnd"/>
      <w:r w:rsidR="4C019564" w:rsidRPr="00B84206">
        <w:rPr>
          <w:rFonts w:ascii="Arial" w:eastAsia="Tahoma" w:hAnsi="Arial" w:cs="Arial"/>
          <w:color w:val="000000" w:themeColor="text1"/>
          <w:szCs w:val="24"/>
        </w:rPr>
        <w:t xml:space="preserve"> </w:t>
      </w:r>
      <w:proofErr w:type="gramStart"/>
      <w:r w:rsidR="4C019564" w:rsidRPr="00B84206">
        <w:rPr>
          <w:rFonts w:ascii="Arial" w:eastAsia="Tahoma" w:hAnsi="Arial" w:cs="Arial"/>
          <w:color w:val="000000" w:themeColor="text1"/>
          <w:szCs w:val="24"/>
        </w:rPr>
        <w:t>match</w:t>
      </w:r>
      <w:proofErr w:type="gramEnd"/>
      <w:r w:rsidR="4C019564" w:rsidRPr="00B84206">
        <w:rPr>
          <w:rFonts w:ascii="Arial" w:eastAsia="Tahoma" w:hAnsi="Arial" w:cs="Arial"/>
          <w:color w:val="000000" w:themeColor="text1"/>
          <w:szCs w:val="24"/>
        </w:rPr>
        <w:t>.</w:t>
      </w:r>
    </w:p>
    <w:p w14:paraId="066C7DFB" w14:textId="77777777" w:rsidR="00BB4434" w:rsidRPr="00B84206" w:rsidRDefault="00BB4434" w:rsidP="4F7C2900">
      <w:pPr>
        <w:rPr>
          <w:rFonts w:ascii="Arial" w:eastAsia="Tahoma" w:hAnsi="Arial" w:cs="Arial"/>
          <w:color w:val="000000" w:themeColor="text1"/>
          <w:szCs w:val="24"/>
        </w:rPr>
      </w:pPr>
    </w:p>
    <w:p w14:paraId="5A31C0A9" w14:textId="52474E41" w:rsidR="00BB4434" w:rsidRPr="00B84206" w:rsidRDefault="00BB4434" w:rsidP="4F7C2900">
      <w:pPr>
        <w:rPr>
          <w:rFonts w:ascii="Arial" w:eastAsiaTheme="minorEastAsia" w:hAnsi="Arial" w:cs="Arial"/>
          <w:b/>
          <w:bCs/>
        </w:rPr>
      </w:pPr>
      <w:r w:rsidRPr="008F2FAF">
        <w:rPr>
          <w:rFonts w:ascii="Arial" w:eastAsiaTheme="minorEastAsia" w:hAnsi="Arial" w:cs="Arial"/>
          <w:b/>
          <w:bCs/>
        </w:rPr>
        <w:lastRenderedPageBreak/>
        <w:t>Q</w:t>
      </w:r>
      <w:r w:rsidR="00FB5C26" w:rsidRPr="008F2FAF">
        <w:rPr>
          <w:rFonts w:ascii="Arial" w:eastAsiaTheme="minorEastAsia" w:hAnsi="Arial" w:cs="Arial"/>
          <w:b/>
          <w:bCs/>
        </w:rPr>
        <w:t>9</w:t>
      </w:r>
      <w:r w:rsidRPr="008F2FAF">
        <w:rPr>
          <w:rFonts w:ascii="Arial" w:eastAsiaTheme="minorEastAsia" w:hAnsi="Arial" w:cs="Arial"/>
          <w:b/>
          <w:bCs/>
        </w:rPr>
        <w:t>:</w:t>
      </w:r>
      <w:r w:rsidRPr="00B84206">
        <w:rPr>
          <w:rFonts w:ascii="Arial" w:eastAsiaTheme="minorEastAsia" w:hAnsi="Arial" w:cs="Arial"/>
          <w:b/>
          <w:bCs/>
        </w:rPr>
        <w:t xml:space="preserve"> Can matching funds be used for purchasing additional land that is attached to the project location?</w:t>
      </w:r>
    </w:p>
    <w:p w14:paraId="41C4D406" w14:textId="0D75BF5A" w:rsidR="00740EA0" w:rsidRPr="00B84206" w:rsidRDefault="00740EA0" w:rsidP="4F7C2900">
      <w:pPr>
        <w:rPr>
          <w:rFonts w:ascii="Arial" w:eastAsiaTheme="minorEastAsia" w:hAnsi="Arial" w:cs="Arial"/>
          <w:b/>
          <w:bCs/>
        </w:rPr>
      </w:pPr>
    </w:p>
    <w:p w14:paraId="1A13800F" w14:textId="409986EC" w:rsidR="00740EA0" w:rsidRPr="00B84206" w:rsidRDefault="00740EA0" w:rsidP="4F7C2900">
      <w:pPr>
        <w:rPr>
          <w:rFonts w:ascii="Arial" w:eastAsia="Tahoma" w:hAnsi="Arial" w:cs="Arial"/>
          <w:color w:val="000000" w:themeColor="text1"/>
          <w:szCs w:val="24"/>
        </w:rPr>
      </w:pPr>
      <w:r w:rsidRPr="00B84206">
        <w:rPr>
          <w:rFonts w:ascii="Arial" w:eastAsiaTheme="minorEastAsia" w:hAnsi="Arial" w:cs="Arial"/>
        </w:rPr>
        <w:t>A</w:t>
      </w:r>
      <w:r w:rsidR="00FB5C26" w:rsidRPr="00B84206">
        <w:rPr>
          <w:rFonts w:ascii="Arial" w:eastAsiaTheme="minorEastAsia" w:hAnsi="Arial" w:cs="Arial"/>
        </w:rPr>
        <w:t>9</w:t>
      </w:r>
      <w:r w:rsidRPr="00B84206">
        <w:rPr>
          <w:rFonts w:ascii="Arial" w:eastAsiaTheme="minorEastAsia" w:hAnsi="Arial" w:cs="Arial"/>
        </w:rPr>
        <w:t xml:space="preserve">: No. </w:t>
      </w:r>
      <w:r w:rsidR="00B87C08" w:rsidRPr="00B84206">
        <w:rPr>
          <w:rFonts w:ascii="Arial" w:eastAsiaTheme="minorEastAsia" w:hAnsi="Arial" w:cs="Arial"/>
        </w:rPr>
        <w:t xml:space="preserve">“Land acquisition and lease costs” are </w:t>
      </w:r>
      <w:r w:rsidR="0076186C" w:rsidRPr="00B84206">
        <w:rPr>
          <w:rFonts w:ascii="Arial" w:eastAsiaTheme="minorEastAsia" w:hAnsi="Arial" w:cs="Arial"/>
        </w:rPr>
        <w:t xml:space="preserve">not eligible as either CEC reimbursable or match </w:t>
      </w:r>
      <w:r w:rsidR="00220764" w:rsidRPr="00B84206">
        <w:rPr>
          <w:rFonts w:ascii="Arial" w:eastAsiaTheme="minorEastAsia" w:hAnsi="Arial" w:cs="Arial"/>
        </w:rPr>
        <w:t xml:space="preserve">share costs. See </w:t>
      </w:r>
      <w:r w:rsidR="00664260" w:rsidRPr="00B84206">
        <w:rPr>
          <w:rFonts w:ascii="Arial" w:eastAsiaTheme="minorEastAsia" w:hAnsi="Arial" w:cs="Arial"/>
        </w:rPr>
        <w:t xml:space="preserve">Solicitation Manual </w:t>
      </w:r>
      <w:r w:rsidR="00771012" w:rsidRPr="00B84206">
        <w:rPr>
          <w:rFonts w:ascii="Arial" w:eastAsiaTheme="minorEastAsia" w:hAnsi="Arial" w:cs="Arial"/>
        </w:rPr>
        <w:t xml:space="preserve">Section II. B. </w:t>
      </w:r>
      <w:r w:rsidR="00EA710E" w:rsidRPr="00B84206">
        <w:rPr>
          <w:rFonts w:ascii="Arial" w:eastAsiaTheme="minorEastAsia" w:hAnsi="Arial" w:cs="Arial"/>
        </w:rPr>
        <w:t>16. “Eligible Project Costs.”</w:t>
      </w:r>
    </w:p>
    <w:p w14:paraId="5A5E7EEF" w14:textId="211A693D" w:rsidR="0056339D" w:rsidRPr="00B84206" w:rsidRDefault="0056339D" w:rsidP="2CD40448">
      <w:pPr>
        <w:rPr>
          <w:rFonts w:ascii="Arial" w:eastAsia="Tahoma" w:hAnsi="Arial" w:cs="Arial"/>
          <w:color w:val="000000" w:themeColor="text1"/>
          <w:szCs w:val="24"/>
        </w:rPr>
      </w:pPr>
    </w:p>
    <w:p w14:paraId="1D114305" w14:textId="77777777" w:rsidR="001A5F19" w:rsidRPr="00B84206" w:rsidRDefault="001A5F19" w:rsidP="001A5F19">
      <w:pPr>
        <w:pStyle w:val="Heading2"/>
        <w:rPr>
          <w:rFonts w:ascii="Arial" w:hAnsi="Arial" w:cs="Arial"/>
        </w:rPr>
      </w:pPr>
      <w:r w:rsidRPr="00B84206">
        <w:rPr>
          <w:rFonts w:ascii="Arial" w:hAnsi="Arial" w:cs="Arial"/>
        </w:rPr>
        <w:t>Miscellaneous</w:t>
      </w:r>
    </w:p>
    <w:p w14:paraId="3A44DF59" w14:textId="2B7D4A47" w:rsidR="001A5F19" w:rsidRPr="00B84206" w:rsidRDefault="001A5F19" w:rsidP="001A5F19">
      <w:pPr>
        <w:rPr>
          <w:rFonts w:ascii="Arial" w:hAnsi="Arial" w:cs="Arial"/>
          <w:b/>
          <w:bCs/>
        </w:rPr>
      </w:pPr>
      <w:r w:rsidRPr="00B84206">
        <w:rPr>
          <w:rFonts w:ascii="Arial" w:hAnsi="Arial" w:cs="Arial"/>
          <w:b/>
          <w:bCs/>
        </w:rPr>
        <w:t>Q</w:t>
      </w:r>
      <w:r w:rsidR="00435415" w:rsidRPr="00B84206">
        <w:rPr>
          <w:rFonts w:ascii="Arial" w:hAnsi="Arial" w:cs="Arial"/>
          <w:b/>
          <w:bCs/>
        </w:rPr>
        <w:t>10</w:t>
      </w:r>
      <w:r w:rsidRPr="00B84206">
        <w:rPr>
          <w:rFonts w:ascii="Arial" w:hAnsi="Arial" w:cs="Arial"/>
          <w:b/>
          <w:bCs/>
        </w:rPr>
        <w:t xml:space="preserve">. </w:t>
      </w:r>
      <w:r w:rsidR="007C2C60" w:rsidRPr="00B84206">
        <w:rPr>
          <w:rFonts w:ascii="Arial" w:hAnsi="Arial" w:cs="Arial"/>
          <w:b/>
          <w:bCs/>
        </w:rPr>
        <w:t xml:space="preserve">Where are solicitation </w:t>
      </w:r>
      <w:r w:rsidR="009C1C57" w:rsidRPr="00B84206">
        <w:rPr>
          <w:rFonts w:ascii="Arial" w:hAnsi="Arial" w:cs="Arial"/>
          <w:b/>
          <w:bCs/>
        </w:rPr>
        <w:t xml:space="preserve">documents located? </w:t>
      </w:r>
    </w:p>
    <w:p w14:paraId="7F392C93" w14:textId="77777777" w:rsidR="001A5F19" w:rsidRPr="00B84206" w:rsidRDefault="001A5F19" w:rsidP="001A5F19">
      <w:pPr>
        <w:rPr>
          <w:rFonts w:ascii="Arial" w:hAnsi="Arial" w:cs="Arial"/>
          <w:b/>
          <w:bCs/>
        </w:rPr>
      </w:pPr>
    </w:p>
    <w:p w14:paraId="7AAB92A3" w14:textId="7004369F" w:rsidR="00150899" w:rsidRPr="00B84206" w:rsidRDefault="001A5F19" w:rsidP="00150899">
      <w:pPr>
        <w:rPr>
          <w:rFonts w:ascii="Arial" w:hAnsi="Arial" w:cs="Arial"/>
        </w:rPr>
      </w:pPr>
      <w:r w:rsidRPr="00B84206">
        <w:rPr>
          <w:rFonts w:ascii="Arial" w:hAnsi="Arial" w:cs="Arial"/>
        </w:rPr>
        <w:t>A</w:t>
      </w:r>
      <w:r w:rsidR="00435415" w:rsidRPr="00B84206">
        <w:rPr>
          <w:rFonts w:ascii="Arial" w:hAnsi="Arial" w:cs="Arial"/>
        </w:rPr>
        <w:t>10</w:t>
      </w:r>
      <w:r w:rsidRPr="00B84206">
        <w:rPr>
          <w:rFonts w:ascii="Arial" w:hAnsi="Arial" w:cs="Arial"/>
        </w:rPr>
        <w:t xml:space="preserve">. </w:t>
      </w:r>
      <w:r w:rsidR="009C1C57" w:rsidRPr="00B84206">
        <w:rPr>
          <w:rFonts w:ascii="Arial" w:hAnsi="Arial" w:cs="Arial"/>
        </w:rPr>
        <w:t xml:space="preserve">All solicitation documents are available at the CEC </w:t>
      </w:r>
      <w:hyperlink r:id="rId11" w:history="1">
        <w:r w:rsidR="009C1C57" w:rsidRPr="00B84206">
          <w:rPr>
            <w:rStyle w:val="Hyperlink"/>
            <w:rFonts w:ascii="Arial" w:hAnsi="Arial" w:cs="Arial"/>
          </w:rPr>
          <w:t>GFO-25-606 solicitation webpage</w:t>
        </w:r>
      </w:hyperlink>
      <w:r w:rsidR="009C1C57" w:rsidRPr="00B84206">
        <w:rPr>
          <w:rFonts w:ascii="Arial" w:hAnsi="Arial" w:cs="Arial"/>
        </w:rPr>
        <w:t xml:space="preserve"> found at</w:t>
      </w:r>
      <w:r w:rsidR="00723140" w:rsidRPr="00B84206">
        <w:rPr>
          <w:rFonts w:ascii="Arial" w:hAnsi="Arial" w:cs="Arial"/>
        </w:rPr>
        <w:t xml:space="preserve"> https://www.energy.ca.gov/solicitations/2026-02/gfo-25-606-californias-national-electric-vehicle-infrastructure-formula.</w:t>
      </w:r>
      <w:r w:rsidR="009C1C57" w:rsidRPr="00B84206">
        <w:rPr>
          <w:rFonts w:ascii="Arial" w:hAnsi="Arial" w:cs="Arial"/>
        </w:rPr>
        <w:t xml:space="preserve"> </w:t>
      </w:r>
    </w:p>
    <w:p w14:paraId="65E940E9" w14:textId="0D4A98AC" w:rsidR="001A5F19" w:rsidRPr="00B84206" w:rsidRDefault="001A5F19" w:rsidP="001A5F19">
      <w:pPr>
        <w:rPr>
          <w:rFonts w:ascii="Arial" w:hAnsi="Arial" w:cs="Arial"/>
        </w:rPr>
      </w:pPr>
      <w:hyperlink r:id="rId12" w:history="1"/>
      <w:hyperlink r:id="rId13" w:history="1"/>
      <w:hyperlink r:id="rId14" w:history="1"/>
      <w:hyperlink r:id="rId15" w:history="1"/>
    </w:p>
    <w:p w14:paraId="6F79BF8F" w14:textId="18D6B170" w:rsidR="327BDF10" w:rsidRPr="00B84206" w:rsidRDefault="327BDF10" w:rsidP="1817BFB7">
      <w:pPr>
        <w:rPr>
          <w:rFonts w:ascii="Arial" w:eastAsia="Verdana" w:hAnsi="Arial" w:cs="Arial"/>
          <w:b/>
          <w:color w:val="242424"/>
          <w:szCs w:val="24"/>
        </w:rPr>
      </w:pPr>
      <w:r w:rsidRPr="00B84206">
        <w:rPr>
          <w:rFonts w:ascii="Arial" w:hAnsi="Arial" w:cs="Arial"/>
          <w:b/>
        </w:rPr>
        <w:t>Q11.</w:t>
      </w:r>
      <w:r w:rsidRPr="00B84206">
        <w:rPr>
          <w:rFonts w:ascii="Arial" w:eastAsia="Verdana" w:hAnsi="Arial" w:cs="Arial"/>
          <w:b/>
          <w:color w:val="242424"/>
          <w:szCs w:val="24"/>
        </w:rPr>
        <w:t xml:space="preserve">What should </w:t>
      </w:r>
      <w:r w:rsidR="00F41AD0" w:rsidRPr="00B84206">
        <w:rPr>
          <w:rFonts w:ascii="Arial" w:eastAsia="Verdana" w:hAnsi="Arial" w:cs="Arial"/>
          <w:b/>
          <w:color w:val="242424"/>
          <w:szCs w:val="24"/>
        </w:rPr>
        <w:t>an applicant</w:t>
      </w:r>
      <w:r w:rsidRPr="00B84206">
        <w:rPr>
          <w:rFonts w:ascii="Arial" w:eastAsia="Verdana" w:hAnsi="Arial" w:cs="Arial"/>
          <w:b/>
          <w:color w:val="242424"/>
          <w:szCs w:val="24"/>
        </w:rPr>
        <w:t xml:space="preserve"> prepare in advance to enable </w:t>
      </w:r>
      <w:r w:rsidR="00F41AD0" w:rsidRPr="00B84206">
        <w:rPr>
          <w:rFonts w:ascii="Arial" w:eastAsia="Verdana" w:hAnsi="Arial" w:cs="Arial"/>
          <w:b/>
          <w:color w:val="242424"/>
          <w:szCs w:val="24"/>
        </w:rPr>
        <w:t>a project</w:t>
      </w:r>
      <w:r w:rsidRPr="00B84206">
        <w:rPr>
          <w:rFonts w:ascii="Arial" w:eastAsia="Verdana" w:hAnsi="Arial" w:cs="Arial"/>
          <w:b/>
          <w:color w:val="242424"/>
          <w:szCs w:val="24"/>
        </w:rPr>
        <w:t xml:space="preserve"> to start construction as early as possible?</w:t>
      </w:r>
      <w:r w:rsidR="15D72080" w:rsidRPr="00B84206">
        <w:rPr>
          <w:rFonts w:ascii="Arial" w:eastAsia="Verdana" w:hAnsi="Arial" w:cs="Arial"/>
          <w:b/>
          <w:bCs/>
          <w:color w:val="242424"/>
          <w:szCs w:val="24"/>
        </w:rPr>
        <w:t xml:space="preserve"> </w:t>
      </w:r>
    </w:p>
    <w:p w14:paraId="4478E41E" w14:textId="60D08B16" w:rsidR="1817BFB7" w:rsidRPr="00B84206" w:rsidRDefault="1817BFB7" w:rsidP="1817BFB7">
      <w:pPr>
        <w:rPr>
          <w:rFonts w:ascii="Arial" w:eastAsia="Verdana" w:hAnsi="Arial" w:cs="Arial"/>
          <w:color w:val="242424"/>
          <w:szCs w:val="24"/>
        </w:rPr>
      </w:pPr>
    </w:p>
    <w:p w14:paraId="7B6D629A" w14:textId="1836072B" w:rsidR="00F579D4" w:rsidRPr="00B84206" w:rsidRDefault="327BDF10" w:rsidP="1817BFB7">
      <w:pPr>
        <w:rPr>
          <w:rFonts w:ascii="Arial" w:eastAsia="Verdana" w:hAnsi="Arial" w:cs="Arial"/>
          <w:color w:val="242424"/>
          <w:szCs w:val="24"/>
        </w:rPr>
      </w:pPr>
      <w:r w:rsidRPr="00B84206">
        <w:rPr>
          <w:rFonts w:ascii="Arial" w:eastAsia="Verdana" w:hAnsi="Arial" w:cs="Arial"/>
          <w:color w:val="242424"/>
          <w:szCs w:val="24"/>
        </w:rPr>
        <w:t>A11.</w:t>
      </w:r>
      <w:r w:rsidR="4D1E705F" w:rsidRPr="00B84206">
        <w:rPr>
          <w:rFonts w:ascii="Arial" w:eastAsia="Verdana" w:hAnsi="Arial" w:cs="Arial"/>
          <w:color w:val="242424"/>
          <w:szCs w:val="24"/>
        </w:rPr>
        <w:t xml:space="preserve"> </w:t>
      </w:r>
      <w:r w:rsidR="679E47B2" w:rsidRPr="00B84206">
        <w:rPr>
          <w:rFonts w:ascii="Arial" w:eastAsia="Verdana" w:hAnsi="Arial" w:cs="Arial"/>
          <w:color w:val="242424"/>
          <w:szCs w:val="24"/>
        </w:rPr>
        <w:t xml:space="preserve">Before construction </w:t>
      </w:r>
      <w:r w:rsidR="00F41AD0" w:rsidRPr="00B84206">
        <w:rPr>
          <w:rFonts w:ascii="Arial" w:eastAsia="Verdana" w:hAnsi="Arial" w:cs="Arial"/>
          <w:color w:val="242424"/>
          <w:szCs w:val="24"/>
        </w:rPr>
        <w:t xml:space="preserve">of an EV charging station project </w:t>
      </w:r>
      <w:r w:rsidR="679E47B2" w:rsidRPr="00B84206">
        <w:rPr>
          <w:rFonts w:ascii="Arial" w:eastAsia="Verdana" w:hAnsi="Arial" w:cs="Arial"/>
          <w:color w:val="242424"/>
          <w:szCs w:val="24"/>
        </w:rPr>
        <w:t xml:space="preserve">can start, each site must receive environmental clearance and </w:t>
      </w:r>
      <w:r w:rsidR="00717415" w:rsidRPr="00B84206">
        <w:rPr>
          <w:rFonts w:ascii="Arial" w:eastAsia="Verdana" w:hAnsi="Arial" w:cs="Arial"/>
          <w:color w:val="242424"/>
          <w:szCs w:val="24"/>
        </w:rPr>
        <w:t>r</w:t>
      </w:r>
      <w:r w:rsidR="679E47B2" w:rsidRPr="00B84206">
        <w:rPr>
          <w:rFonts w:ascii="Arial" w:eastAsia="Verdana" w:hAnsi="Arial" w:cs="Arial"/>
          <w:color w:val="242424"/>
          <w:szCs w:val="24"/>
        </w:rPr>
        <w:t xml:space="preserve">ight of </w:t>
      </w:r>
      <w:r w:rsidR="00717415" w:rsidRPr="00B84206">
        <w:rPr>
          <w:rFonts w:ascii="Arial" w:eastAsia="Verdana" w:hAnsi="Arial" w:cs="Arial"/>
          <w:color w:val="242424"/>
          <w:szCs w:val="24"/>
        </w:rPr>
        <w:t>w</w:t>
      </w:r>
      <w:r w:rsidR="679E47B2" w:rsidRPr="00B84206">
        <w:rPr>
          <w:rFonts w:ascii="Arial" w:eastAsia="Verdana" w:hAnsi="Arial" w:cs="Arial"/>
          <w:color w:val="242424"/>
          <w:szCs w:val="24"/>
        </w:rPr>
        <w:t xml:space="preserve">ay approval. </w:t>
      </w:r>
      <w:r w:rsidR="00EF141F" w:rsidRPr="00B84206">
        <w:rPr>
          <w:rFonts w:ascii="Arial" w:eastAsia="Verdana" w:hAnsi="Arial" w:cs="Arial"/>
          <w:color w:val="242424"/>
          <w:szCs w:val="24"/>
        </w:rPr>
        <w:t>Applicants must</w:t>
      </w:r>
      <w:r w:rsidR="006A2FA5">
        <w:rPr>
          <w:rFonts w:ascii="Arial" w:eastAsia="Verdana" w:hAnsi="Arial" w:cs="Arial"/>
          <w:color w:val="242424"/>
          <w:szCs w:val="24"/>
        </w:rPr>
        <w:t xml:space="preserve"> complete and</w:t>
      </w:r>
      <w:r w:rsidR="00EF141F" w:rsidRPr="00B84206">
        <w:rPr>
          <w:rFonts w:ascii="Arial" w:eastAsia="Verdana" w:hAnsi="Arial" w:cs="Arial"/>
          <w:color w:val="242424"/>
          <w:szCs w:val="24"/>
        </w:rPr>
        <w:t xml:space="preserve"> submit the Pilot NEPA PES Form</w:t>
      </w:r>
      <w:r w:rsidR="006A2FA5">
        <w:rPr>
          <w:rFonts w:ascii="Arial" w:eastAsia="Verdana" w:hAnsi="Arial" w:cs="Arial"/>
          <w:color w:val="242424"/>
          <w:szCs w:val="24"/>
        </w:rPr>
        <w:t xml:space="preserve"> (Attachment 07)</w:t>
      </w:r>
      <w:r w:rsidR="00B85236" w:rsidRPr="00B84206">
        <w:rPr>
          <w:rFonts w:ascii="Arial" w:eastAsia="Verdana" w:hAnsi="Arial" w:cs="Arial"/>
          <w:color w:val="242424"/>
          <w:szCs w:val="24"/>
        </w:rPr>
        <w:t xml:space="preserve"> with their</w:t>
      </w:r>
      <w:r w:rsidR="00B84C72" w:rsidRPr="00B84206">
        <w:rPr>
          <w:rFonts w:ascii="Arial" w:eastAsia="Verdana" w:hAnsi="Arial" w:cs="Arial"/>
          <w:color w:val="242424"/>
          <w:szCs w:val="24"/>
        </w:rPr>
        <w:t xml:space="preserve"> applications to this solicitation. </w:t>
      </w:r>
      <w:r w:rsidR="001219C0" w:rsidRPr="00B84206">
        <w:rPr>
          <w:rFonts w:ascii="Arial" w:eastAsia="Verdana" w:hAnsi="Arial" w:cs="Arial"/>
          <w:color w:val="242424"/>
          <w:szCs w:val="24"/>
        </w:rPr>
        <w:t xml:space="preserve">Completing the form, and required attachments, as thoroughly as possible will help identify any potential environmental concerns that could slow a project timeline. </w:t>
      </w:r>
      <w:r w:rsidR="006703F1" w:rsidRPr="00B84206">
        <w:rPr>
          <w:rFonts w:ascii="Arial" w:eastAsia="Verdana" w:hAnsi="Arial" w:cs="Arial"/>
          <w:color w:val="242424"/>
          <w:szCs w:val="24"/>
        </w:rPr>
        <w:t xml:space="preserve">Applicants can also begin preparing for the right of way process by reviewing Attachment </w:t>
      </w:r>
      <w:r w:rsidR="00384ACC" w:rsidRPr="00B84206">
        <w:rPr>
          <w:rFonts w:ascii="Arial" w:eastAsia="Verdana" w:hAnsi="Arial" w:cs="Arial"/>
          <w:color w:val="242424"/>
          <w:szCs w:val="24"/>
        </w:rPr>
        <w:t xml:space="preserve">16 (Right of Way Certification </w:t>
      </w:r>
      <w:r w:rsidR="00420221" w:rsidRPr="00B84206">
        <w:rPr>
          <w:rFonts w:ascii="Arial" w:eastAsia="Verdana" w:hAnsi="Arial" w:cs="Arial"/>
          <w:color w:val="242424"/>
          <w:szCs w:val="24"/>
        </w:rPr>
        <w:t xml:space="preserve">Exhibit </w:t>
      </w:r>
      <w:r w:rsidR="00384ACC" w:rsidRPr="00B84206">
        <w:rPr>
          <w:rFonts w:ascii="Arial" w:eastAsia="Verdana" w:hAnsi="Arial" w:cs="Arial"/>
          <w:color w:val="242424"/>
          <w:szCs w:val="24"/>
        </w:rPr>
        <w:t>13-B)</w:t>
      </w:r>
      <w:r w:rsidR="00EF141F" w:rsidRPr="00B84206">
        <w:rPr>
          <w:rFonts w:ascii="Arial" w:eastAsia="Verdana" w:hAnsi="Arial" w:cs="Arial"/>
          <w:color w:val="242424"/>
          <w:szCs w:val="24"/>
        </w:rPr>
        <w:t xml:space="preserve"> </w:t>
      </w:r>
      <w:r w:rsidR="00420221" w:rsidRPr="00B84206">
        <w:rPr>
          <w:rFonts w:ascii="Arial" w:eastAsia="Verdana" w:hAnsi="Arial" w:cs="Arial"/>
          <w:color w:val="242424"/>
          <w:szCs w:val="24"/>
        </w:rPr>
        <w:t xml:space="preserve">and </w:t>
      </w:r>
      <w:r w:rsidR="001823C4" w:rsidRPr="00B84206">
        <w:rPr>
          <w:rFonts w:ascii="Arial" w:eastAsia="Verdana" w:hAnsi="Arial" w:cs="Arial"/>
          <w:color w:val="242424"/>
          <w:szCs w:val="24"/>
        </w:rPr>
        <w:t xml:space="preserve">the Caltrans </w:t>
      </w:r>
      <w:hyperlink r:id="rId16" w:history="1">
        <w:r w:rsidR="001823C4" w:rsidRPr="00B84206">
          <w:rPr>
            <w:rStyle w:val="Hyperlink"/>
            <w:rFonts w:ascii="Arial" w:eastAsia="Verdana" w:hAnsi="Arial" w:cs="Arial"/>
            <w:szCs w:val="24"/>
          </w:rPr>
          <w:t>Local Assistance Procedures Manual</w:t>
        </w:r>
        <w:r w:rsidR="00B765B3" w:rsidRPr="00B84206">
          <w:rPr>
            <w:rStyle w:val="Hyperlink"/>
            <w:rFonts w:ascii="Arial" w:eastAsia="Verdana" w:hAnsi="Arial" w:cs="Arial"/>
            <w:szCs w:val="24"/>
          </w:rPr>
          <w:t xml:space="preserve"> Chapter 13</w:t>
        </w:r>
      </w:hyperlink>
      <w:r w:rsidR="00B765B3" w:rsidRPr="00B84206">
        <w:rPr>
          <w:rFonts w:ascii="Arial" w:eastAsia="Verdana" w:hAnsi="Arial" w:cs="Arial"/>
          <w:color w:val="242424"/>
          <w:szCs w:val="24"/>
        </w:rPr>
        <w:t xml:space="preserve">, found at </w:t>
      </w:r>
      <w:r w:rsidR="00C507A7" w:rsidRPr="00B84206">
        <w:rPr>
          <w:rFonts w:ascii="Arial" w:eastAsia="Verdana" w:hAnsi="Arial" w:cs="Arial"/>
          <w:color w:val="242424"/>
          <w:szCs w:val="24"/>
        </w:rPr>
        <w:t>https://dot.ca.gov/-/media/dot-media/programs/local-assistance/documents/lapm/ch13.pdf</w:t>
      </w:r>
      <w:r w:rsidR="006217A6" w:rsidRPr="00B84206">
        <w:rPr>
          <w:rFonts w:ascii="Arial" w:eastAsia="Verdana" w:hAnsi="Arial" w:cs="Arial"/>
          <w:color w:val="242424"/>
          <w:szCs w:val="24"/>
        </w:rPr>
        <w:t xml:space="preserve">, and the </w:t>
      </w:r>
      <w:hyperlink r:id="rId17" w:history="1">
        <w:r w:rsidR="006217A6" w:rsidRPr="00B84206">
          <w:rPr>
            <w:rStyle w:val="Hyperlink"/>
            <w:rFonts w:ascii="Arial" w:eastAsia="Verdana" w:hAnsi="Arial" w:cs="Arial"/>
            <w:szCs w:val="24"/>
          </w:rPr>
          <w:t>Right of Way Manual</w:t>
        </w:r>
      </w:hyperlink>
      <w:r w:rsidR="006217A6" w:rsidRPr="00B84206">
        <w:rPr>
          <w:rFonts w:ascii="Arial" w:eastAsia="Verdana" w:hAnsi="Arial" w:cs="Arial"/>
          <w:color w:val="242424"/>
          <w:szCs w:val="24"/>
        </w:rPr>
        <w:t xml:space="preserve"> found at </w:t>
      </w:r>
      <w:r w:rsidR="00C507A7" w:rsidRPr="00B84206">
        <w:rPr>
          <w:rFonts w:ascii="Arial" w:eastAsia="Verdana" w:hAnsi="Arial" w:cs="Arial"/>
          <w:color w:val="242424"/>
          <w:szCs w:val="24"/>
        </w:rPr>
        <w:t>https://dot.ca.gov/programs/right-of-way/right-of-way-manual</w:t>
      </w:r>
      <w:r w:rsidR="00F579D4" w:rsidRPr="00B84206">
        <w:rPr>
          <w:rFonts w:ascii="Arial" w:eastAsia="Verdana" w:hAnsi="Arial" w:cs="Arial"/>
          <w:color w:val="242424"/>
          <w:szCs w:val="24"/>
        </w:rPr>
        <w:t xml:space="preserve">. </w:t>
      </w:r>
    </w:p>
    <w:p w14:paraId="5BBB951A" w14:textId="77777777" w:rsidR="00F579D4" w:rsidRPr="00B84206" w:rsidRDefault="00F579D4" w:rsidP="1817BFB7">
      <w:pPr>
        <w:rPr>
          <w:rFonts w:ascii="Arial" w:eastAsia="Verdana" w:hAnsi="Arial" w:cs="Arial"/>
          <w:color w:val="242424"/>
          <w:szCs w:val="24"/>
        </w:rPr>
      </w:pPr>
    </w:p>
    <w:p w14:paraId="3A3C6EF9" w14:textId="79370F30" w:rsidR="5083CD0F" w:rsidRPr="00B84206" w:rsidRDefault="00F579D4" w:rsidP="008E909D">
      <w:pPr>
        <w:rPr>
          <w:rFonts w:ascii="Arial" w:eastAsiaTheme="minorEastAsia" w:hAnsi="Arial" w:cs="Arial"/>
        </w:rPr>
      </w:pPr>
      <w:r w:rsidRPr="00B84206">
        <w:rPr>
          <w:rFonts w:ascii="Arial" w:eastAsia="Verdana" w:hAnsi="Arial" w:cs="Arial"/>
          <w:color w:val="242424"/>
          <w:szCs w:val="24"/>
        </w:rPr>
        <w:t xml:space="preserve">Additionally, </w:t>
      </w:r>
      <w:r w:rsidR="00C35CF4" w:rsidRPr="00B84206">
        <w:rPr>
          <w:rFonts w:ascii="Arial" w:eastAsia="Verdana" w:hAnsi="Arial" w:cs="Arial"/>
          <w:color w:val="242424"/>
          <w:szCs w:val="24"/>
        </w:rPr>
        <w:t>applica</w:t>
      </w:r>
      <w:r w:rsidR="009B1DDF" w:rsidRPr="00B84206">
        <w:rPr>
          <w:rFonts w:ascii="Arial" w:eastAsia="Verdana" w:hAnsi="Arial" w:cs="Arial"/>
          <w:color w:val="242424"/>
          <w:szCs w:val="24"/>
        </w:rPr>
        <w:t>tions</w:t>
      </w:r>
      <w:r w:rsidR="00C35CF4" w:rsidRPr="00B84206">
        <w:rPr>
          <w:rFonts w:ascii="Arial" w:eastAsia="Verdana" w:hAnsi="Arial" w:cs="Arial"/>
          <w:color w:val="242424"/>
          <w:szCs w:val="24"/>
        </w:rPr>
        <w:t xml:space="preserve"> will be evaluated</w:t>
      </w:r>
      <w:r w:rsidR="005670C9">
        <w:rPr>
          <w:rFonts w:ascii="Arial" w:eastAsia="Verdana" w:hAnsi="Arial" w:cs="Arial"/>
          <w:color w:val="242424"/>
          <w:szCs w:val="24"/>
        </w:rPr>
        <w:t xml:space="preserve"> </w:t>
      </w:r>
      <w:r w:rsidR="0060425A">
        <w:rPr>
          <w:rFonts w:ascii="Arial" w:eastAsia="Verdana" w:hAnsi="Arial" w:cs="Arial"/>
          <w:color w:val="242424"/>
          <w:szCs w:val="24"/>
        </w:rPr>
        <w:t>on</w:t>
      </w:r>
      <w:r w:rsidR="00C35CF4" w:rsidRPr="00B84206">
        <w:rPr>
          <w:rFonts w:ascii="Arial" w:eastAsia="Verdana" w:hAnsi="Arial" w:cs="Arial"/>
          <w:color w:val="242424"/>
          <w:szCs w:val="24"/>
        </w:rPr>
        <w:t xml:space="preserve"> Project Readiness (Solicitation Manual Section IV.E.</w:t>
      </w:r>
      <w:r w:rsidR="00D3331E" w:rsidRPr="00B84206">
        <w:rPr>
          <w:rFonts w:ascii="Arial" w:eastAsia="Verdana" w:hAnsi="Arial" w:cs="Arial"/>
          <w:color w:val="242424"/>
          <w:szCs w:val="24"/>
        </w:rPr>
        <w:t>2)</w:t>
      </w:r>
      <w:r w:rsidR="005670C9">
        <w:rPr>
          <w:rFonts w:ascii="Arial" w:eastAsia="Verdana" w:hAnsi="Arial" w:cs="Arial"/>
          <w:color w:val="242424"/>
          <w:szCs w:val="24"/>
        </w:rPr>
        <w:t>, among other criteria.</w:t>
      </w:r>
      <w:r w:rsidR="00D3331E" w:rsidRPr="00B84206">
        <w:rPr>
          <w:rFonts w:ascii="Arial" w:eastAsia="Verdana" w:hAnsi="Arial" w:cs="Arial"/>
          <w:color w:val="242424"/>
          <w:szCs w:val="24"/>
        </w:rPr>
        <w:t xml:space="preserve"> </w:t>
      </w:r>
      <w:r w:rsidR="009B1DDF" w:rsidRPr="00B84206">
        <w:rPr>
          <w:rFonts w:ascii="Arial" w:eastAsia="Verdana" w:hAnsi="Arial" w:cs="Arial"/>
          <w:color w:val="242424"/>
          <w:szCs w:val="24"/>
        </w:rPr>
        <w:t xml:space="preserve">Applicants </w:t>
      </w:r>
      <w:r w:rsidR="009945FB" w:rsidRPr="00B84206">
        <w:rPr>
          <w:rFonts w:ascii="Arial" w:eastAsia="Verdana" w:hAnsi="Arial" w:cs="Arial"/>
          <w:color w:val="242424"/>
          <w:szCs w:val="24"/>
        </w:rPr>
        <w:t>can use the</w:t>
      </w:r>
      <w:r w:rsidR="00FB4E6B">
        <w:rPr>
          <w:rFonts w:ascii="Arial" w:eastAsia="Verdana" w:hAnsi="Arial" w:cs="Arial"/>
          <w:color w:val="242424"/>
          <w:szCs w:val="24"/>
        </w:rPr>
        <w:t xml:space="preserve"> Project Readiness</w:t>
      </w:r>
      <w:r w:rsidR="00505691" w:rsidRPr="00B84206">
        <w:rPr>
          <w:rFonts w:ascii="Arial" w:eastAsia="Verdana" w:hAnsi="Arial" w:cs="Arial"/>
          <w:color w:val="242424"/>
          <w:szCs w:val="24"/>
        </w:rPr>
        <w:t xml:space="preserve"> criteria </w:t>
      </w:r>
      <w:r w:rsidR="009945FB" w:rsidRPr="00B84206">
        <w:rPr>
          <w:rFonts w:ascii="Arial" w:eastAsia="Verdana" w:hAnsi="Arial" w:cs="Arial"/>
          <w:color w:val="242424"/>
          <w:szCs w:val="24"/>
        </w:rPr>
        <w:t>to</w:t>
      </w:r>
      <w:r w:rsidR="00505691" w:rsidRPr="00B84206">
        <w:rPr>
          <w:rFonts w:ascii="Arial" w:eastAsia="Verdana" w:hAnsi="Arial" w:cs="Arial"/>
          <w:color w:val="242424"/>
          <w:szCs w:val="24"/>
        </w:rPr>
        <w:t xml:space="preserve"> </w:t>
      </w:r>
      <w:r w:rsidR="009945FB" w:rsidRPr="00B84206">
        <w:rPr>
          <w:rFonts w:ascii="Arial" w:eastAsia="Verdana" w:hAnsi="Arial" w:cs="Arial"/>
          <w:color w:val="242424"/>
          <w:szCs w:val="24"/>
        </w:rPr>
        <w:t>identify ways in which to improve their project readiness</w:t>
      </w:r>
      <w:r w:rsidR="007C2C60" w:rsidRPr="00B84206">
        <w:rPr>
          <w:rFonts w:ascii="Arial" w:eastAsia="Verdana" w:hAnsi="Arial" w:cs="Arial"/>
          <w:color w:val="242424"/>
          <w:szCs w:val="24"/>
        </w:rPr>
        <w:t>, such as</w:t>
      </w:r>
      <w:r w:rsidR="009945FB" w:rsidRPr="00B84206">
        <w:rPr>
          <w:rFonts w:ascii="Arial" w:eastAsia="Verdana" w:hAnsi="Arial" w:cs="Arial"/>
          <w:color w:val="242424"/>
          <w:szCs w:val="24"/>
        </w:rPr>
        <w:t xml:space="preserve"> </w:t>
      </w:r>
      <w:r w:rsidR="008E1A7A" w:rsidRPr="00B84206">
        <w:rPr>
          <w:rFonts w:ascii="Arial" w:eastAsia="Verdana" w:hAnsi="Arial" w:cs="Arial"/>
          <w:color w:val="242424"/>
          <w:szCs w:val="24"/>
        </w:rPr>
        <w:t xml:space="preserve">securing site control, </w:t>
      </w:r>
      <w:r w:rsidR="007C2C60" w:rsidRPr="00B84206">
        <w:rPr>
          <w:rFonts w:ascii="Arial" w:eastAsia="Verdana" w:hAnsi="Arial" w:cs="Arial"/>
          <w:color w:val="242424"/>
          <w:szCs w:val="24"/>
        </w:rPr>
        <w:t xml:space="preserve">beginning </w:t>
      </w:r>
      <w:r w:rsidR="00FA32A2" w:rsidRPr="00B84206">
        <w:rPr>
          <w:rFonts w:ascii="Arial" w:eastAsia="Verdana" w:hAnsi="Arial" w:cs="Arial"/>
          <w:color w:val="242424"/>
          <w:szCs w:val="24"/>
        </w:rPr>
        <w:t>utility planning,</w:t>
      </w:r>
      <w:r w:rsidR="007C2C60" w:rsidRPr="00B84206">
        <w:rPr>
          <w:rFonts w:ascii="Arial" w:eastAsia="Verdana" w:hAnsi="Arial" w:cs="Arial"/>
          <w:color w:val="242424"/>
          <w:szCs w:val="24"/>
        </w:rPr>
        <w:t xml:space="preserve"> and</w:t>
      </w:r>
      <w:r w:rsidR="00FA32A2" w:rsidRPr="00B84206">
        <w:rPr>
          <w:rFonts w:ascii="Arial" w:eastAsia="Verdana" w:hAnsi="Arial" w:cs="Arial"/>
          <w:color w:val="242424"/>
          <w:szCs w:val="24"/>
        </w:rPr>
        <w:t xml:space="preserve"> </w:t>
      </w:r>
      <w:r w:rsidR="00A6319E" w:rsidRPr="00B84206">
        <w:rPr>
          <w:rFonts w:ascii="Arial" w:eastAsia="Verdana" w:hAnsi="Arial" w:cs="Arial"/>
          <w:color w:val="242424"/>
          <w:szCs w:val="24"/>
        </w:rPr>
        <w:t xml:space="preserve">lining up </w:t>
      </w:r>
      <w:r w:rsidR="007C2C60" w:rsidRPr="00B84206">
        <w:rPr>
          <w:rFonts w:ascii="Arial" w:eastAsia="Verdana" w:hAnsi="Arial" w:cs="Arial"/>
          <w:color w:val="242424"/>
          <w:szCs w:val="24"/>
        </w:rPr>
        <w:t xml:space="preserve">equipment </w:t>
      </w:r>
      <w:r w:rsidR="00A6319E" w:rsidRPr="00B84206">
        <w:rPr>
          <w:rFonts w:ascii="Arial" w:eastAsia="Verdana" w:hAnsi="Arial" w:cs="Arial"/>
          <w:color w:val="242424"/>
          <w:szCs w:val="24"/>
        </w:rPr>
        <w:t xml:space="preserve">suppliers. </w:t>
      </w:r>
    </w:p>
    <w:p w14:paraId="604CEF1D" w14:textId="77777777" w:rsidR="005B6E60" w:rsidRPr="00B84206" w:rsidRDefault="005B6E60" w:rsidP="008E909D">
      <w:pPr>
        <w:rPr>
          <w:rFonts w:ascii="Arial" w:hAnsi="Arial" w:cs="Arial"/>
        </w:rPr>
      </w:pPr>
    </w:p>
    <w:p w14:paraId="38A0DA0A" w14:textId="725A0CFB" w:rsidR="005B6E60" w:rsidRPr="00B84206" w:rsidRDefault="005B6E60" w:rsidP="008E909D">
      <w:pPr>
        <w:rPr>
          <w:rFonts w:ascii="Arial" w:eastAsiaTheme="minorEastAsia" w:hAnsi="Arial" w:cs="Arial"/>
          <w:color w:val="242424"/>
          <w:szCs w:val="24"/>
        </w:rPr>
      </w:pPr>
      <w:r w:rsidRPr="00B84206">
        <w:rPr>
          <w:rFonts w:ascii="Arial" w:hAnsi="Arial" w:cs="Arial"/>
        </w:rPr>
        <w:t xml:space="preserve">However, please be aware that </w:t>
      </w:r>
      <w:r w:rsidR="00664260" w:rsidRPr="00B84206">
        <w:rPr>
          <w:rFonts w:ascii="Arial" w:hAnsi="Arial" w:cs="Arial"/>
        </w:rPr>
        <w:t xml:space="preserve">any incurred </w:t>
      </w:r>
      <w:r w:rsidRPr="00B84206">
        <w:rPr>
          <w:rFonts w:ascii="Arial" w:hAnsi="Arial" w:cs="Arial"/>
        </w:rPr>
        <w:t xml:space="preserve">costs </w:t>
      </w:r>
      <w:r w:rsidR="00664260" w:rsidRPr="00B84206">
        <w:rPr>
          <w:rFonts w:ascii="Arial" w:hAnsi="Arial" w:cs="Arial"/>
        </w:rPr>
        <w:t xml:space="preserve">are only eligible for CEC reimbursement, or as match share, </w:t>
      </w:r>
      <w:r w:rsidR="00664260" w:rsidRPr="00B84206">
        <w:rPr>
          <w:rFonts w:ascii="Arial" w:hAnsi="Arial" w:cs="Arial"/>
          <w:u w:val="single"/>
        </w:rPr>
        <w:t>after</w:t>
      </w:r>
      <w:r w:rsidR="00664260" w:rsidRPr="00B84206">
        <w:rPr>
          <w:rFonts w:ascii="Arial" w:hAnsi="Arial" w:cs="Arial"/>
        </w:rPr>
        <w:t xml:space="preserve"> the grant agreement has been formally executed and the corresponding project phase has been authorized by the </w:t>
      </w:r>
      <w:r w:rsidR="00FA7F9D" w:rsidRPr="00B84206">
        <w:rPr>
          <w:rFonts w:ascii="Arial" w:hAnsi="Arial" w:cs="Arial"/>
        </w:rPr>
        <w:t>Federal Highway Administration (</w:t>
      </w:r>
      <w:r w:rsidR="00664260" w:rsidRPr="00B84206">
        <w:rPr>
          <w:rFonts w:ascii="Arial" w:hAnsi="Arial" w:cs="Arial"/>
        </w:rPr>
        <w:t>FHWA</w:t>
      </w:r>
      <w:r w:rsidR="00FA7F9D" w:rsidRPr="00B84206">
        <w:rPr>
          <w:rFonts w:ascii="Arial" w:hAnsi="Arial" w:cs="Arial"/>
        </w:rPr>
        <w:t>)</w:t>
      </w:r>
      <w:r w:rsidR="00664260" w:rsidRPr="00B84206">
        <w:rPr>
          <w:rFonts w:ascii="Arial" w:hAnsi="Arial" w:cs="Arial"/>
        </w:rPr>
        <w:t xml:space="preserve">. (See Solicitation Manual </w:t>
      </w:r>
      <w:r w:rsidR="000D72EC" w:rsidRPr="00B84206">
        <w:rPr>
          <w:rFonts w:ascii="Arial" w:eastAsiaTheme="minorEastAsia" w:hAnsi="Arial" w:cs="Arial"/>
        </w:rPr>
        <w:t>Section II.B.16. “Eligible Project Costs.”)</w:t>
      </w:r>
    </w:p>
    <w:p w14:paraId="023E6778" w14:textId="6B4D0E50" w:rsidR="1817BFB7" w:rsidRPr="00B84206" w:rsidRDefault="1817BFB7" w:rsidP="00876749">
      <w:pPr>
        <w:rPr>
          <w:rFonts w:ascii="Arial" w:eastAsia="Verdana" w:hAnsi="Arial" w:cs="Arial"/>
          <w:color w:val="242424"/>
          <w:szCs w:val="24"/>
        </w:rPr>
      </w:pPr>
    </w:p>
    <w:p w14:paraId="41DE9F58" w14:textId="7F021E8E" w:rsidR="327BDF10" w:rsidRPr="00B84206" w:rsidRDefault="327BDF10" w:rsidP="1817BFB7">
      <w:pPr>
        <w:shd w:val="clear" w:color="auto" w:fill="FFFFFF" w:themeFill="background1"/>
        <w:rPr>
          <w:rFonts w:ascii="Arial" w:eastAsia="Verdana" w:hAnsi="Arial" w:cs="Arial"/>
          <w:b/>
          <w:color w:val="242424"/>
          <w:szCs w:val="24"/>
        </w:rPr>
      </w:pPr>
      <w:r w:rsidRPr="00B84206">
        <w:rPr>
          <w:rFonts w:ascii="Arial" w:eastAsia="Verdana" w:hAnsi="Arial" w:cs="Arial"/>
          <w:b/>
          <w:color w:val="242424"/>
          <w:szCs w:val="24"/>
        </w:rPr>
        <w:t>Q12. From a practical standpoint, what would be the earliest realistic timeframe (e.g., month) to begin construction if awarded?</w:t>
      </w:r>
    </w:p>
    <w:p w14:paraId="24A3DB6F" w14:textId="072DF4BB" w:rsidR="1817BFB7" w:rsidRPr="00B84206" w:rsidRDefault="1817BFB7" w:rsidP="1817BFB7">
      <w:pPr>
        <w:shd w:val="clear" w:color="auto" w:fill="FFFFFF" w:themeFill="background1"/>
        <w:rPr>
          <w:rFonts w:ascii="Arial" w:eastAsia="Verdana" w:hAnsi="Arial" w:cs="Arial"/>
          <w:color w:val="242424"/>
          <w:szCs w:val="24"/>
        </w:rPr>
      </w:pPr>
    </w:p>
    <w:p w14:paraId="0D4EA326" w14:textId="32D07186" w:rsidR="327BDF10" w:rsidRPr="00B84206" w:rsidRDefault="327BDF10" w:rsidP="1817BFB7">
      <w:pPr>
        <w:shd w:val="clear" w:color="auto" w:fill="FFFFFF" w:themeFill="background1"/>
        <w:rPr>
          <w:rFonts w:ascii="Arial" w:eastAsia="Verdana" w:hAnsi="Arial" w:cs="Arial"/>
          <w:color w:val="242424"/>
          <w:szCs w:val="24"/>
        </w:rPr>
      </w:pPr>
      <w:r w:rsidRPr="00B84206">
        <w:rPr>
          <w:rFonts w:ascii="Arial" w:eastAsia="Verdana" w:hAnsi="Arial" w:cs="Arial"/>
          <w:color w:val="242424"/>
          <w:szCs w:val="24"/>
        </w:rPr>
        <w:t xml:space="preserve">A12. </w:t>
      </w:r>
      <w:r w:rsidR="00106237">
        <w:rPr>
          <w:rFonts w:ascii="Arial" w:eastAsia="Verdana" w:hAnsi="Arial" w:cs="Arial"/>
          <w:color w:val="242424"/>
          <w:szCs w:val="24"/>
        </w:rPr>
        <w:t xml:space="preserve">The CEC can’t predict or guarantee how long it may take any specific project to begin construction. </w:t>
      </w:r>
      <w:proofErr w:type="gramStart"/>
      <w:r w:rsidR="00106237">
        <w:rPr>
          <w:rFonts w:ascii="Arial" w:eastAsia="Verdana" w:hAnsi="Arial" w:cs="Arial"/>
          <w:color w:val="242424"/>
          <w:szCs w:val="24"/>
        </w:rPr>
        <w:t>Generally speaking, t</w:t>
      </w:r>
      <w:r w:rsidR="0012FA72" w:rsidRPr="00B84206">
        <w:rPr>
          <w:rFonts w:ascii="Arial" w:eastAsia="Verdana" w:hAnsi="Arial" w:cs="Arial"/>
          <w:color w:val="242424"/>
          <w:szCs w:val="24"/>
        </w:rPr>
        <w:t>he</w:t>
      </w:r>
      <w:proofErr w:type="gramEnd"/>
      <w:r w:rsidR="0012FA72" w:rsidRPr="00B84206">
        <w:rPr>
          <w:rFonts w:ascii="Arial" w:eastAsia="Verdana" w:hAnsi="Arial" w:cs="Arial"/>
          <w:color w:val="242424"/>
          <w:szCs w:val="24"/>
        </w:rPr>
        <w:t xml:space="preserve"> awards </w:t>
      </w:r>
      <w:r w:rsidR="006251C9" w:rsidRPr="00B84206">
        <w:rPr>
          <w:rFonts w:ascii="Arial" w:eastAsia="Verdana" w:hAnsi="Arial" w:cs="Arial"/>
          <w:color w:val="242424"/>
          <w:szCs w:val="24"/>
        </w:rPr>
        <w:t xml:space="preserve">from this solicitation are </w:t>
      </w:r>
      <w:r w:rsidR="00BC2E1F">
        <w:rPr>
          <w:rFonts w:ascii="Arial" w:eastAsia="Verdana" w:hAnsi="Arial" w:cs="Arial"/>
          <w:color w:val="242424"/>
          <w:szCs w:val="24"/>
        </w:rPr>
        <w:t>anticipated</w:t>
      </w:r>
      <w:r w:rsidR="00C45207" w:rsidRPr="00B84206">
        <w:rPr>
          <w:rFonts w:ascii="Arial" w:eastAsia="Verdana" w:hAnsi="Arial" w:cs="Arial"/>
          <w:color w:val="242424"/>
          <w:szCs w:val="24"/>
        </w:rPr>
        <w:t xml:space="preserve"> to be considered</w:t>
      </w:r>
      <w:r w:rsidR="00306DE5">
        <w:rPr>
          <w:rFonts w:ascii="Arial" w:eastAsia="Verdana" w:hAnsi="Arial" w:cs="Arial"/>
          <w:color w:val="242424"/>
          <w:szCs w:val="24"/>
        </w:rPr>
        <w:t xml:space="preserve"> for approval</w:t>
      </w:r>
      <w:r w:rsidR="00C45207" w:rsidRPr="00B84206">
        <w:rPr>
          <w:rFonts w:ascii="Arial" w:eastAsia="Verdana" w:hAnsi="Arial" w:cs="Arial"/>
          <w:color w:val="242424"/>
          <w:szCs w:val="24"/>
        </w:rPr>
        <w:t xml:space="preserve"> at the CEC’s</w:t>
      </w:r>
      <w:r w:rsidR="0012FA72" w:rsidRPr="00B84206">
        <w:rPr>
          <w:rFonts w:ascii="Arial" w:eastAsia="Verdana" w:hAnsi="Arial" w:cs="Arial"/>
          <w:color w:val="242424"/>
          <w:szCs w:val="24"/>
        </w:rPr>
        <w:t xml:space="preserve"> December </w:t>
      </w:r>
      <w:r w:rsidR="00C45207" w:rsidRPr="00B84206">
        <w:rPr>
          <w:rFonts w:ascii="Arial" w:eastAsia="Verdana" w:hAnsi="Arial" w:cs="Arial"/>
          <w:color w:val="242424"/>
          <w:szCs w:val="24"/>
        </w:rPr>
        <w:t>2026 b</w:t>
      </w:r>
      <w:r w:rsidR="153AB285" w:rsidRPr="00B84206">
        <w:rPr>
          <w:rFonts w:ascii="Arial" w:eastAsia="Verdana" w:hAnsi="Arial" w:cs="Arial"/>
          <w:color w:val="242424"/>
          <w:szCs w:val="24"/>
        </w:rPr>
        <w:t xml:space="preserve">usiness meeting. </w:t>
      </w:r>
      <w:r w:rsidR="0089276F" w:rsidRPr="00B84206">
        <w:rPr>
          <w:rFonts w:ascii="Arial" w:eastAsia="Verdana" w:hAnsi="Arial" w:cs="Arial"/>
          <w:color w:val="242424"/>
          <w:szCs w:val="24"/>
        </w:rPr>
        <w:t xml:space="preserve">The </w:t>
      </w:r>
      <w:r w:rsidR="000D53DC">
        <w:rPr>
          <w:rFonts w:ascii="Arial" w:eastAsia="Verdana" w:hAnsi="Arial" w:cs="Arial"/>
          <w:color w:val="242424"/>
          <w:szCs w:val="24"/>
        </w:rPr>
        <w:t>grant</w:t>
      </w:r>
      <w:r w:rsidR="0089276F" w:rsidRPr="00B84206">
        <w:rPr>
          <w:rFonts w:ascii="Arial" w:eastAsia="Verdana" w:hAnsi="Arial" w:cs="Arial"/>
          <w:color w:val="242424"/>
          <w:szCs w:val="24"/>
        </w:rPr>
        <w:t xml:space="preserve"> agreement</w:t>
      </w:r>
      <w:r w:rsidR="00645806" w:rsidRPr="00B84206">
        <w:rPr>
          <w:rFonts w:ascii="Arial" w:eastAsia="Verdana" w:hAnsi="Arial" w:cs="Arial"/>
          <w:color w:val="242424"/>
          <w:szCs w:val="24"/>
        </w:rPr>
        <w:t>s</w:t>
      </w:r>
      <w:r w:rsidR="0089276F" w:rsidRPr="00B84206">
        <w:rPr>
          <w:rFonts w:ascii="Arial" w:eastAsia="Verdana" w:hAnsi="Arial" w:cs="Arial"/>
          <w:color w:val="242424"/>
          <w:szCs w:val="24"/>
        </w:rPr>
        <w:t xml:space="preserve"> </w:t>
      </w:r>
      <w:r w:rsidR="005113FB">
        <w:rPr>
          <w:rFonts w:ascii="Arial" w:eastAsia="Verdana" w:hAnsi="Arial" w:cs="Arial"/>
          <w:color w:val="242424"/>
          <w:szCs w:val="24"/>
        </w:rPr>
        <w:t xml:space="preserve">between the CEC and the recipient </w:t>
      </w:r>
      <w:r w:rsidR="00ED7D7C" w:rsidRPr="00B84206">
        <w:rPr>
          <w:rFonts w:ascii="Arial" w:eastAsia="Verdana" w:hAnsi="Arial" w:cs="Arial"/>
          <w:color w:val="242424"/>
          <w:szCs w:val="24"/>
        </w:rPr>
        <w:t xml:space="preserve">can be executed after business </w:t>
      </w:r>
      <w:proofErr w:type="gramStart"/>
      <w:r w:rsidR="00ED7D7C" w:rsidRPr="00B84206">
        <w:rPr>
          <w:rFonts w:ascii="Arial" w:eastAsia="Verdana" w:hAnsi="Arial" w:cs="Arial"/>
          <w:color w:val="242424"/>
          <w:szCs w:val="24"/>
        </w:rPr>
        <w:lastRenderedPageBreak/>
        <w:t>meeting</w:t>
      </w:r>
      <w:proofErr w:type="gramEnd"/>
      <w:r w:rsidR="00ED7D7C" w:rsidRPr="00B84206">
        <w:rPr>
          <w:rFonts w:ascii="Arial" w:eastAsia="Verdana" w:hAnsi="Arial" w:cs="Arial"/>
          <w:color w:val="242424"/>
          <w:szCs w:val="24"/>
        </w:rPr>
        <w:t xml:space="preserve"> approval. </w:t>
      </w:r>
      <w:r w:rsidR="00762CA2" w:rsidRPr="00B84206">
        <w:rPr>
          <w:rFonts w:ascii="Arial" w:eastAsia="Verdana" w:hAnsi="Arial" w:cs="Arial"/>
          <w:color w:val="242424"/>
          <w:szCs w:val="24"/>
        </w:rPr>
        <w:t>After a</w:t>
      </w:r>
      <w:r w:rsidR="000D53DC">
        <w:rPr>
          <w:rFonts w:ascii="Arial" w:eastAsia="Verdana" w:hAnsi="Arial" w:cs="Arial"/>
          <w:color w:val="242424"/>
          <w:szCs w:val="24"/>
        </w:rPr>
        <w:t xml:space="preserve">n </w:t>
      </w:r>
      <w:r w:rsidR="00EB7A29" w:rsidRPr="00B84206">
        <w:rPr>
          <w:rFonts w:ascii="Arial" w:eastAsia="Verdana" w:hAnsi="Arial" w:cs="Arial"/>
          <w:color w:val="242424"/>
          <w:szCs w:val="24"/>
        </w:rPr>
        <w:t>agreement is executed</w:t>
      </w:r>
      <w:r w:rsidR="006E2BCF" w:rsidRPr="00B84206">
        <w:rPr>
          <w:rFonts w:ascii="Arial" w:eastAsia="Verdana" w:hAnsi="Arial" w:cs="Arial"/>
          <w:color w:val="242424"/>
          <w:szCs w:val="24"/>
        </w:rPr>
        <w:t xml:space="preserve">, </w:t>
      </w:r>
      <w:r w:rsidR="00B2242C" w:rsidRPr="00B84206">
        <w:rPr>
          <w:rFonts w:ascii="Arial" w:eastAsia="Verdana" w:hAnsi="Arial" w:cs="Arial"/>
          <w:color w:val="242424"/>
          <w:szCs w:val="24"/>
        </w:rPr>
        <w:t xml:space="preserve">a </w:t>
      </w:r>
      <w:r w:rsidR="001A716A" w:rsidRPr="00B84206">
        <w:rPr>
          <w:rFonts w:ascii="Arial" w:eastAsia="Verdana" w:hAnsi="Arial" w:cs="Arial"/>
          <w:color w:val="242424"/>
          <w:szCs w:val="24"/>
        </w:rPr>
        <w:t xml:space="preserve">project site must </w:t>
      </w:r>
      <w:r w:rsidR="00A85297" w:rsidRPr="00B84206">
        <w:rPr>
          <w:rFonts w:ascii="Arial" w:eastAsia="Verdana" w:hAnsi="Arial" w:cs="Arial"/>
          <w:color w:val="242424"/>
          <w:szCs w:val="24"/>
        </w:rPr>
        <w:t>go through review for NEPA and right of way clearance</w:t>
      </w:r>
      <w:r w:rsidR="007536C5" w:rsidRPr="00B84206">
        <w:rPr>
          <w:rFonts w:ascii="Arial" w:eastAsia="Verdana" w:hAnsi="Arial" w:cs="Arial"/>
          <w:color w:val="242424"/>
          <w:szCs w:val="24"/>
        </w:rPr>
        <w:t xml:space="preserve"> before beginning construction</w:t>
      </w:r>
      <w:r w:rsidR="00A85297" w:rsidRPr="00B84206">
        <w:rPr>
          <w:rFonts w:ascii="Arial" w:eastAsia="Verdana" w:hAnsi="Arial" w:cs="Arial"/>
          <w:color w:val="242424"/>
          <w:szCs w:val="24"/>
        </w:rPr>
        <w:t xml:space="preserve">. </w:t>
      </w:r>
      <w:r w:rsidR="004E7C0C" w:rsidRPr="00B84206">
        <w:rPr>
          <w:rFonts w:ascii="Arial" w:eastAsia="Verdana" w:hAnsi="Arial" w:cs="Arial"/>
          <w:color w:val="242424"/>
          <w:szCs w:val="24"/>
        </w:rPr>
        <w:t xml:space="preserve">NEPA review typically takes </w:t>
      </w:r>
      <w:r w:rsidR="00FE6F6A">
        <w:rPr>
          <w:rFonts w:ascii="Arial" w:eastAsia="Verdana" w:hAnsi="Arial" w:cs="Arial"/>
          <w:color w:val="242424"/>
          <w:szCs w:val="24"/>
        </w:rPr>
        <w:t>four</w:t>
      </w:r>
      <w:r w:rsidR="004E7C0C" w:rsidRPr="00B84206">
        <w:rPr>
          <w:rFonts w:ascii="Arial" w:eastAsia="Verdana" w:hAnsi="Arial" w:cs="Arial"/>
          <w:color w:val="242424"/>
          <w:szCs w:val="24"/>
        </w:rPr>
        <w:t xml:space="preserve"> to </w:t>
      </w:r>
      <w:r w:rsidR="00FE6F6A">
        <w:rPr>
          <w:rFonts w:ascii="Arial" w:eastAsia="Verdana" w:hAnsi="Arial" w:cs="Arial"/>
          <w:color w:val="242424"/>
          <w:szCs w:val="24"/>
        </w:rPr>
        <w:t>six</w:t>
      </w:r>
      <w:r w:rsidR="004E7C0C" w:rsidRPr="00B84206">
        <w:rPr>
          <w:rFonts w:ascii="Arial" w:eastAsia="Verdana" w:hAnsi="Arial" w:cs="Arial"/>
          <w:color w:val="242424"/>
          <w:szCs w:val="24"/>
        </w:rPr>
        <w:t xml:space="preserve"> weeks and can result in additional studies</w:t>
      </w:r>
      <w:r w:rsidR="00743AF9" w:rsidRPr="00B84206">
        <w:rPr>
          <w:rFonts w:ascii="Arial" w:eastAsia="Verdana" w:hAnsi="Arial" w:cs="Arial"/>
          <w:color w:val="242424"/>
          <w:szCs w:val="24"/>
        </w:rPr>
        <w:t xml:space="preserve"> that would take longer to complete. The </w:t>
      </w:r>
      <w:proofErr w:type="gramStart"/>
      <w:r w:rsidR="00743AF9" w:rsidRPr="00B84206">
        <w:rPr>
          <w:rFonts w:ascii="Arial" w:eastAsia="Verdana" w:hAnsi="Arial" w:cs="Arial"/>
          <w:color w:val="242424"/>
          <w:szCs w:val="24"/>
        </w:rPr>
        <w:t>right of way</w:t>
      </w:r>
      <w:proofErr w:type="gramEnd"/>
      <w:r w:rsidR="00743AF9" w:rsidRPr="00B84206">
        <w:rPr>
          <w:rFonts w:ascii="Arial" w:eastAsia="Verdana" w:hAnsi="Arial" w:cs="Arial"/>
          <w:color w:val="242424"/>
          <w:szCs w:val="24"/>
        </w:rPr>
        <w:t xml:space="preserve"> review process typically takes two to four </w:t>
      </w:r>
      <w:r w:rsidR="00730F36" w:rsidRPr="00B84206">
        <w:rPr>
          <w:rFonts w:ascii="Arial" w:eastAsia="Verdana" w:hAnsi="Arial" w:cs="Arial"/>
          <w:color w:val="242424"/>
          <w:szCs w:val="24"/>
        </w:rPr>
        <w:t xml:space="preserve">weeks and can take longer if additional information is needed. </w:t>
      </w:r>
      <w:r w:rsidR="00D213ED" w:rsidRPr="00B84206">
        <w:rPr>
          <w:rFonts w:ascii="Arial" w:eastAsia="Verdana" w:hAnsi="Arial" w:cs="Arial"/>
          <w:color w:val="242424"/>
          <w:szCs w:val="24"/>
        </w:rPr>
        <w:t xml:space="preserve">Applicants are advised to </w:t>
      </w:r>
      <w:r w:rsidR="003D6111" w:rsidRPr="00B84206">
        <w:rPr>
          <w:rFonts w:ascii="Arial" w:eastAsia="Verdana" w:hAnsi="Arial" w:cs="Arial"/>
          <w:color w:val="242424"/>
          <w:szCs w:val="24"/>
        </w:rPr>
        <w:t>schedule</w:t>
      </w:r>
      <w:r w:rsidR="00144D08" w:rsidRPr="00B84206">
        <w:rPr>
          <w:rFonts w:ascii="Arial" w:eastAsia="Verdana" w:hAnsi="Arial" w:cs="Arial"/>
          <w:color w:val="242424"/>
          <w:szCs w:val="24"/>
        </w:rPr>
        <w:t>,</w:t>
      </w:r>
      <w:r w:rsidR="003D6111" w:rsidRPr="00B84206">
        <w:rPr>
          <w:rFonts w:ascii="Arial" w:eastAsia="Verdana" w:hAnsi="Arial" w:cs="Arial"/>
          <w:color w:val="242424"/>
          <w:szCs w:val="24"/>
        </w:rPr>
        <w:t xml:space="preserve"> </w:t>
      </w:r>
      <w:r w:rsidR="003D6111" w:rsidRPr="007C063A">
        <w:rPr>
          <w:rFonts w:ascii="Arial" w:eastAsia="Verdana" w:hAnsi="Arial" w:cs="Arial"/>
          <w:b/>
          <w:bCs/>
          <w:color w:val="242424"/>
          <w:szCs w:val="24"/>
        </w:rPr>
        <w:t xml:space="preserve">at </w:t>
      </w:r>
      <w:r w:rsidR="00144D08" w:rsidRPr="007C063A">
        <w:rPr>
          <w:rFonts w:ascii="Arial" w:eastAsia="Verdana" w:hAnsi="Arial" w:cs="Arial"/>
          <w:b/>
          <w:bCs/>
          <w:color w:val="242424"/>
          <w:szCs w:val="24"/>
        </w:rPr>
        <w:t>minimum</w:t>
      </w:r>
      <w:r w:rsidR="00144D08" w:rsidRPr="00B84206">
        <w:rPr>
          <w:rFonts w:ascii="Arial" w:eastAsia="Verdana" w:hAnsi="Arial" w:cs="Arial"/>
          <w:color w:val="242424"/>
          <w:szCs w:val="24"/>
        </w:rPr>
        <w:t>,</w:t>
      </w:r>
      <w:r w:rsidR="003D6111" w:rsidRPr="00B84206">
        <w:rPr>
          <w:rFonts w:ascii="Arial" w:eastAsia="Verdana" w:hAnsi="Arial" w:cs="Arial"/>
          <w:color w:val="242424"/>
          <w:szCs w:val="24"/>
        </w:rPr>
        <w:t xml:space="preserve"> ten weeks for these processes</w:t>
      </w:r>
      <w:r w:rsidR="00144D08" w:rsidRPr="00B84206">
        <w:rPr>
          <w:rFonts w:ascii="Arial" w:eastAsia="Verdana" w:hAnsi="Arial" w:cs="Arial"/>
          <w:color w:val="242424"/>
          <w:szCs w:val="24"/>
        </w:rPr>
        <w:t xml:space="preserve">. </w:t>
      </w:r>
      <w:r w:rsidR="005113FB">
        <w:rPr>
          <w:rFonts w:ascii="Arial" w:eastAsia="Verdana" w:hAnsi="Arial" w:cs="Arial"/>
          <w:color w:val="242424"/>
          <w:szCs w:val="24"/>
        </w:rPr>
        <w:t>How long a project may take to enter construction after these processes are complete will be project dependent</w:t>
      </w:r>
      <w:r w:rsidR="00106237">
        <w:rPr>
          <w:rFonts w:ascii="Arial" w:eastAsia="Verdana" w:hAnsi="Arial" w:cs="Arial"/>
          <w:color w:val="242424"/>
          <w:szCs w:val="24"/>
        </w:rPr>
        <w:t>.</w:t>
      </w:r>
    </w:p>
    <w:p w14:paraId="23894DF3" w14:textId="0208A447" w:rsidR="1817BFB7" w:rsidRPr="00B84206" w:rsidRDefault="1817BFB7">
      <w:pPr>
        <w:rPr>
          <w:rFonts w:ascii="Arial" w:hAnsi="Arial" w:cs="Arial"/>
        </w:rPr>
      </w:pPr>
    </w:p>
    <w:p w14:paraId="334AFBDE" w14:textId="76655999" w:rsidR="0099543D" w:rsidRPr="00B84206" w:rsidRDefault="0099543D">
      <w:pPr>
        <w:spacing w:after="160" w:line="278" w:lineRule="auto"/>
        <w:rPr>
          <w:rFonts w:ascii="Arial" w:hAnsi="Arial" w:cs="Arial"/>
        </w:rPr>
      </w:pPr>
    </w:p>
    <w:sectPr w:rsidR="0099543D" w:rsidRPr="00B8420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BE1E" w14:textId="77777777" w:rsidR="00AB08F9" w:rsidRDefault="00AB08F9" w:rsidP="008B7E9B">
      <w:r>
        <w:separator/>
      </w:r>
    </w:p>
  </w:endnote>
  <w:endnote w:type="continuationSeparator" w:id="0">
    <w:p w14:paraId="21649931" w14:textId="77777777" w:rsidR="00AB08F9" w:rsidRDefault="00AB08F9" w:rsidP="008B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040238"/>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3ABA0E78" w14:textId="5837FAC7" w:rsidR="000D0C1F" w:rsidRPr="000D0C1F" w:rsidRDefault="000D0C1F">
            <w:pPr>
              <w:pStyle w:val="Footer"/>
              <w:jc w:val="center"/>
              <w:rPr>
                <w:rFonts w:ascii="Arial" w:hAnsi="Arial" w:cs="Arial"/>
              </w:rPr>
            </w:pPr>
            <w:r w:rsidRPr="000D0C1F">
              <w:rPr>
                <w:rFonts w:ascii="Arial" w:hAnsi="Arial" w:cs="Arial"/>
              </w:rPr>
              <w:t xml:space="preserve">Page </w:t>
            </w:r>
            <w:r w:rsidRPr="000D0C1F">
              <w:rPr>
                <w:rFonts w:ascii="Arial" w:hAnsi="Arial" w:cs="Arial"/>
                <w:szCs w:val="24"/>
              </w:rPr>
              <w:fldChar w:fldCharType="begin"/>
            </w:r>
            <w:r w:rsidRPr="000D0C1F">
              <w:rPr>
                <w:rFonts w:ascii="Arial" w:hAnsi="Arial" w:cs="Arial"/>
              </w:rPr>
              <w:instrText xml:space="preserve"> PAGE </w:instrText>
            </w:r>
            <w:r w:rsidRPr="000D0C1F">
              <w:rPr>
                <w:rFonts w:ascii="Arial" w:hAnsi="Arial" w:cs="Arial"/>
                <w:szCs w:val="24"/>
              </w:rPr>
              <w:fldChar w:fldCharType="separate"/>
            </w:r>
            <w:r w:rsidRPr="000D0C1F">
              <w:rPr>
                <w:rFonts w:ascii="Arial" w:hAnsi="Arial" w:cs="Arial"/>
                <w:noProof/>
              </w:rPr>
              <w:t>2</w:t>
            </w:r>
            <w:r w:rsidRPr="000D0C1F">
              <w:rPr>
                <w:rFonts w:ascii="Arial" w:hAnsi="Arial" w:cs="Arial"/>
                <w:szCs w:val="24"/>
              </w:rPr>
              <w:fldChar w:fldCharType="end"/>
            </w:r>
            <w:r w:rsidRPr="000D0C1F">
              <w:rPr>
                <w:rFonts w:ascii="Arial" w:hAnsi="Arial" w:cs="Arial"/>
              </w:rPr>
              <w:t xml:space="preserve"> of </w:t>
            </w:r>
            <w:r w:rsidRPr="000D0C1F">
              <w:rPr>
                <w:rFonts w:ascii="Arial" w:hAnsi="Arial" w:cs="Arial"/>
                <w:szCs w:val="24"/>
              </w:rPr>
              <w:fldChar w:fldCharType="begin"/>
            </w:r>
            <w:r w:rsidRPr="000D0C1F">
              <w:rPr>
                <w:rFonts w:ascii="Arial" w:hAnsi="Arial" w:cs="Arial"/>
              </w:rPr>
              <w:instrText xml:space="preserve"> NUMPAGES  </w:instrText>
            </w:r>
            <w:r w:rsidRPr="000D0C1F">
              <w:rPr>
                <w:rFonts w:ascii="Arial" w:hAnsi="Arial" w:cs="Arial"/>
                <w:szCs w:val="24"/>
              </w:rPr>
              <w:fldChar w:fldCharType="separate"/>
            </w:r>
            <w:r w:rsidRPr="000D0C1F">
              <w:rPr>
                <w:rFonts w:ascii="Arial" w:hAnsi="Arial" w:cs="Arial"/>
                <w:noProof/>
              </w:rPr>
              <w:t>2</w:t>
            </w:r>
            <w:r w:rsidRPr="000D0C1F">
              <w:rPr>
                <w:rFonts w:ascii="Arial" w:hAnsi="Arial" w:cs="Arial"/>
                <w:szCs w:val="24"/>
              </w:rPr>
              <w:fldChar w:fldCharType="end"/>
            </w:r>
          </w:p>
        </w:sdtContent>
      </w:sdt>
    </w:sdtContent>
  </w:sdt>
  <w:p w14:paraId="1821D7F9" w14:textId="77777777" w:rsidR="00063D97" w:rsidRDefault="00063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E4FB" w14:textId="77777777" w:rsidR="00AB08F9" w:rsidRDefault="00AB08F9" w:rsidP="008B7E9B">
      <w:r>
        <w:separator/>
      </w:r>
    </w:p>
  </w:footnote>
  <w:footnote w:type="continuationSeparator" w:id="0">
    <w:p w14:paraId="7BCC82EF" w14:textId="77777777" w:rsidR="00AB08F9" w:rsidRDefault="00AB08F9" w:rsidP="008B7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22"/>
    <w:multiLevelType w:val="hybridMultilevel"/>
    <w:tmpl w:val="98B27A94"/>
    <w:lvl w:ilvl="0" w:tplc="074065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9F4D43"/>
    <w:multiLevelType w:val="multilevel"/>
    <w:tmpl w:val="99A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3E249"/>
    <w:multiLevelType w:val="hybridMultilevel"/>
    <w:tmpl w:val="6D6AD4CA"/>
    <w:lvl w:ilvl="0" w:tplc="E22E939C">
      <w:start w:val="1"/>
      <w:numFmt w:val="decimal"/>
      <w:lvlText w:val="%1."/>
      <w:lvlJc w:val="left"/>
      <w:pPr>
        <w:ind w:left="720" w:hanging="360"/>
      </w:pPr>
    </w:lvl>
    <w:lvl w:ilvl="1" w:tplc="2C4CE946">
      <w:start w:val="1"/>
      <w:numFmt w:val="lowerLetter"/>
      <w:lvlText w:val="%2."/>
      <w:lvlJc w:val="left"/>
      <w:pPr>
        <w:ind w:left="1440" w:hanging="360"/>
      </w:pPr>
    </w:lvl>
    <w:lvl w:ilvl="2" w:tplc="D97ABA50">
      <w:start w:val="1"/>
      <w:numFmt w:val="lowerRoman"/>
      <w:lvlText w:val="%3."/>
      <w:lvlJc w:val="right"/>
      <w:pPr>
        <w:ind w:left="2160" w:hanging="180"/>
      </w:pPr>
    </w:lvl>
    <w:lvl w:ilvl="3" w:tplc="FE604F94">
      <w:start w:val="1"/>
      <w:numFmt w:val="decimal"/>
      <w:lvlText w:val="%4."/>
      <w:lvlJc w:val="left"/>
      <w:pPr>
        <w:ind w:left="2880" w:hanging="360"/>
      </w:pPr>
    </w:lvl>
    <w:lvl w:ilvl="4" w:tplc="4622DB7E">
      <w:start w:val="1"/>
      <w:numFmt w:val="lowerLetter"/>
      <w:lvlText w:val="%5."/>
      <w:lvlJc w:val="left"/>
      <w:pPr>
        <w:ind w:left="3600" w:hanging="360"/>
      </w:pPr>
    </w:lvl>
    <w:lvl w:ilvl="5" w:tplc="FE8CE14C">
      <w:start w:val="1"/>
      <w:numFmt w:val="lowerRoman"/>
      <w:lvlText w:val="%6."/>
      <w:lvlJc w:val="right"/>
      <w:pPr>
        <w:ind w:left="4320" w:hanging="180"/>
      </w:pPr>
    </w:lvl>
    <w:lvl w:ilvl="6" w:tplc="BE64AC26">
      <w:start w:val="1"/>
      <w:numFmt w:val="decimal"/>
      <w:lvlText w:val="%7."/>
      <w:lvlJc w:val="left"/>
      <w:pPr>
        <w:ind w:left="5040" w:hanging="360"/>
      </w:pPr>
    </w:lvl>
    <w:lvl w:ilvl="7" w:tplc="DCD0A9BE">
      <w:start w:val="1"/>
      <w:numFmt w:val="lowerLetter"/>
      <w:lvlText w:val="%8."/>
      <w:lvlJc w:val="left"/>
      <w:pPr>
        <w:ind w:left="5760" w:hanging="360"/>
      </w:pPr>
    </w:lvl>
    <w:lvl w:ilvl="8" w:tplc="8084D1FA">
      <w:start w:val="1"/>
      <w:numFmt w:val="lowerRoman"/>
      <w:lvlText w:val="%9."/>
      <w:lvlJc w:val="right"/>
      <w:pPr>
        <w:ind w:left="6480" w:hanging="180"/>
      </w:pPr>
    </w:lvl>
  </w:abstractNum>
  <w:abstractNum w:abstractNumId="3" w15:restartNumberingAfterBreak="0">
    <w:nsid w:val="1EFABC6A"/>
    <w:multiLevelType w:val="hybridMultilevel"/>
    <w:tmpl w:val="70A00C32"/>
    <w:lvl w:ilvl="0" w:tplc="2AD82BFA">
      <w:start w:val="1"/>
      <w:numFmt w:val="decimal"/>
      <w:lvlText w:val="%1."/>
      <w:lvlJc w:val="left"/>
      <w:pPr>
        <w:ind w:left="720" w:hanging="360"/>
      </w:pPr>
    </w:lvl>
    <w:lvl w:ilvl="1" w:tplc="70C827DA">
      <w:start w:val="1"/>
      <w:numFmt w:val="lowerLetter"/>
      <w:lvlText w:val="%2."/>
      <w:lvlJc w:val="left"/>
      <w:pPr>
        <w:ind w:left="1440" w:hanging="360"/>
      </w:pPr>
    </w:lvl>
    <w:lvl w:ilvl="2" w:tplc="60808278">
      <w:start w:val="1"/>
      <w:numFmt w:val="lowerRoman"/>
      <w:lvlText w:val="%3."/>
      <w:lvlJc w:val="right"/>
      <w:pPr>
        <w:ind w:left="2160" w:hanging="180"/>
      </w:pPr>
    </w:lvl>
    <w:lvl w:ilvl="3" w:tplc="975045C2">
      <w:start w:val="1"/>
      <w:numFmt w:val="decimal"/>
      <w:lvlText w:val="%4."/>
      <w:lvlJc w:val="left"/>
      <w:pPr>
        <w:ind w:left="2880" w:hanging="360"/>
      </w:pPr>
    </w:lvl>
    <w:lvl w:ilvl="4" w:tplc="A6B4B2D2">
      <w:start w:val="1"/>
      <w:numFmt w:val="lowerLetter"/>
      <w:lvlText w:val="%5."/>
      <w:lvlJc w:val="left"/>
      <w:pPr>
        <w:ind w:left="3600" w:hanging="360"/>
      </w:pPr>
    </w:lvl>
    <w:lvl w:ilvl="5" w:tplc="A60EE7BA">
      <w:start w:val="1"/>
      <w:numFmt w:val="lowerRoman"/>
      <w:lvlText w:val="%6."/>
      <w:lvlJc w:val="right"/>
      <w:pPr>
        <w:ind w:left="4320" w:hanging="180"/>
      </w:pPr>
    </w:lvl>
    <w:lvl w:ilvl="6" w:tplc="5C1407CE">
      <w:start w:val="1"/>
      <w:numFmt w:val="decimal"/>
      <w:lvlText w:val="%7."/>
      <w:lvlJc w:val="left"/>
      <w:pPr>
        <w:ind w:left="5040" w:hanging="360"/>
      </w:pPr>
    </w:lvl>
    <w:lvl w:ilvl="7" w:tplc="B6182F16">
      <w:start w:val="1"/>
      <w:numFmt w:val="lowerLetter"/>
      <w:lvlText w:val="%8."/>
      <w:lvlJc w:val="left"/>
      <w:pPr>
        <w:ind w:left="5760" w:hanging="360"/>
      </w:pPr>
    </w:lvl>
    <w:lvl w:ilvl="8" w:tplc="D4566DBA">
      <w:start w:val="1"/>
      <w:numFmt w:val="lowerRoman"/>
      <w:lvlText w:val="%9."/>
      <w:lvlJc w:val="right"/>
      <w:pPr>
        <w:ind w:left="6480" w:hanging="180"/>
      </w:pPr>
    </w:lvl>
  </w:abstractNum>
  <w:abstractNum w:abstractNumId="4" w15:restartNumberingAfterBreak="0">
    <w:nsid w:val="225E3975"/>
    <w:multiLevelType w:val="hybridMultilevel"/>
    <w:tmpl w:val="FAF06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109F86"/>
    <w:multiLevelType w:val="hybridMultilevel"/>
    <w:tmpl w:val="FFFFFFFF"/>
    <w:lvl w:ilvl="0" w:tplc="0F78B220">
      <w:start w:val="1"/>
      <w:numFmt w:val="bullet"/>
      <w:lvlText w:val=""/>
      <w:lvlJc w:val="left"/>
      <w:pPr>
        <w:ind w:left="720" w:hanging="360"/>
      </w:pPr>
      <w:rPr>
        <w:rFonts w:ascii="Symbol" w:hAnsi="Symbol" w:hint="default"/>
      </w:rPr>
    </w:lvl>
    <w:lvl w:ilvl="1" w:tplc="114A943C">
      <w:start w:val="1"/>
      <w:numFmt w:val="bullet"/>
      <w:lvlText w:val="o"/>
      <w:lvlJc w:val="left"/>
      <w:pPr>
        <w:ind w:left="1440" w:hanging="360"/>
      </w:pPr>
      <w:rPr>
        <w:rFonts w:ascii="Courier New" w:hAnsi="Courier New" w:hint="default"/>
      </w:rPr>
    </w:lvl>
    <w:lvl w:ilvl="2" w:tplc="2E3ADA44">
      <w:start w:val="1"/>
      <w:numFmt w:val="bullet"/>
      <w:lvlText w:val=""/>
      <w:lvlJc w:val="left"/>
      <w:pPr>
        <w:ind w:left="2160" w:hanging="360"/>
      </w:pPr>
      <w:rPr>
        <w:rFonts w:ascii="Wingdings" w:hAnsi="Wingdings" w:hint="default"/>
      </w:rPr>
    </w:lvl>
    <w:lvl w:ilvl="3" w:tplc="E8BE463C">
      <w:start w:val="1"/>
      <w:numFmt w:val="bullet"/>
      <w:lvlText w:val=""/>
      <w:lvlJc w:val="left"/>
      <w:pPr>
        <w:ind w:left="2880" w:hanging="360"/>
      </w:pPr>
      <w:rPr>
        <w:rFonts w:ascii="Symbol" w:hAnsi="Symbol" w:hint="default"/>
      </w:rPr>
    </w:lvl>
    <w:lvl w:ilvl="4" w:tplc="CDFCCE26">
      <w:start w:val="1"/>
      <w:numFmt w:val="bullet"/>
      <w:lvlText w:val="o"/>
      <w:lvlJc w:val="left"/>
      <w:pPr>
        <w:ind w:left="3600" w:hanging="360"/>
      </w:pPr>
      <w:rPr>
        <w:rFonts w:ascii="Courier New" w:hAnsi="Courier New" w:hint="default"/>
      </w:rPr>
    </w:lvl>
    <w:lvl w:ilvl="5" w:tplc="1ECA9746">
      <w:start w:val="1"/>
      <w:numFmt w:val="bullet"/>
      <w:lvlText w:val=""/>
      <w:lvlJc w:val="left"/>
      <w:pPr>
        <w:ind w:left="4320" w:hanging="360"/>
      </w:pPr>
      <w:rPr>
        <w:rFonts w:ascii="Wingdings" w:hAnsi="Wingdings" w:hint="default"/>
      </w:rPr>
    </w:lvl>
    <w:lvl w:ilvl="6" w:tplc="081EB216">
      <w:start w:val="1"/>
      <w:numFmt w:val="bullet"/>
      <w:lvlText w:val=""/>
      <w:lvlJc w:val="left"/>
      <w:pPr>
        <w:ind w:left="5040" w:hanging="360"/>
      </w:pPr>
      <w:rPr>
        <w:rFonts w:ascii="Symbol" w:hAnsi="Symbol" w:hint="default"/>
      </w:rPr>
    </w:lvl>
    <w:lvl w:ilvl="7" w:tplc="9D1E1CAA">
      <w:start w:val="1"/>
      <w:numFmt w:val="bullet"/>
      <w:lvlText w:val="o"/>
      <w:lvlJc w:val="left"/>
      <w:pPr>
        <w:ind w:left="5760" w:hanging="360"/>
      </w:pPr>
      <w:rPr>
        <w:rFonts w:ascii="Courier New" w:hAnsi="Courier New" w:hint="default"/>
      </w:rPr>
    </w:lvl>
    <w:lvl w:ilvl="8" w:tplc="EFBA67AE">
      <w:start w:val="1"/>
      <w:numFmt w:val="bullet"/>
      <w:lvlText w:val=""/>
      <w:lvlJc w:val="left"/>
      <w:pPr>
        <w:ind w:left="6480" w:hanging="360"/>
      </w:pPr>
      <w:rPr>
        <w:rFonts w:ascii="Wingdings" w:hAnsi="Wingdings" w:hint="default"/>
      </w:rPr>
    </w:lvl>
  </w:abstractNum>
  <w:abstractNum w:abstractNumId="6" w15:restartNumberingAfterBreak="0">
    <w:nsid w:val="5196A2CC"/>
    <w:multiLevelType w:val="hybridMultilevel"/>
    <w:tmpl w:val="B91ACC0A"/>
    <w:lvl w:ilvl="0" w:tplc="2A520030">
      <w:start w:val="1"/>
      <w:numFmt w:val="bullet"/>
      <w:lvlText w:val=""/>
      <w:lvlJc w:val="left"/>
      <w:pPr>
        <w:ind w:left="1080" w:hanging="360"/>
      </w:pPr>
      <w:rPr>
        <w:rFonts w:ascii="Symbol" w:hAnsi="Symbol" w:hint="default"/>
      </w:rPr>
    </w:lvl>
    <w:lvl w:ilvl="1" w:tplc="A308E7F4">
      <w:start w:val="1"/>
      <w:numFmt w:val="bullet"/>
      <w:lvlText w:val="o"/>
      <w:lvlJc w:val="left"/>
      <w:pPr>
        <w:ind w:left="1800" w:hanging="360"/>
      </w:pPr>
      <w:rPr>
        <w:rFonts w:ascii="Courier New" w:hAnsi="Courier New" w:hint="default"/>
      </w:rPr>
    </w:lvl>
    <w:lvl w:ilvl="2" w:tplc="F7EE2D0A">
      <w:start w:val="1"/>
      <w:numFmt w:val="bullet"/>
      <w:lvlText w:val=""/>
      <w:lvlJc w:val="left"/>
      <w:pPr>
        <w:ind w:left="2520" w:hanging="360"/>
      </w:pPr>
      <w:rPr>
        <w:rFonts w:ascii="Wingdings" w:hAnsi="Wingdings" w:hint="default"/>
      </w:rPr>
    </w:lvl>
    <w:lvl w:ilvl="3" w:tplc="2B606E72">
      <w:start w:val="1"/>
      <w:numFmt w:val="bullet"/>
      <w:lvlText w:val=""/>
      <w:lvlJc w:val="left"/>
      <w:pPr>
        <w:ind w:left="3240" w:hanging="360"/>
      </w:pPr>
      <w:rPr>
        <w:rFonts w:ascii="Symbol" w:hAnsi="Symbol" w:hint="default"/>
      </w:rPr>
    </w:lvl>
    <w:lvl w:ilvl="4" w:tplc="85B038BC">
      <w:start w:val="1"/>
      <w:numFmt w:val="bullet"/>
      <w:lvlText w:val="o"/>
      <w:lvlJc w:val="left"/>
      <w:pPr>
        <w:ind w:left="3960" w:hanging="360"/>
      </w:pPr>
      <w:rPr>
        <w:rFonts w:ascii="Courier New" w:hAnsi="Courier New" w:hint="default"/>
      </w:rPr>
    </w:lvl>
    <w:lvl w:ilvl="5" w:tplc="DFFA1C0C">
      <w:start w:val="1"/>
      <w:numFmt w:val="bullet"/>
      <w:lvlText w:val=""/>
      <w:lvlJc w:val="left"/>
      <w:pPr>
        <w:ind w:left="4680" w:hanging="360"/>
      </w:pPr>
      <w:rPr>
        <w:rFonts w:ascii="Wingdings" w:hAnsi="Wingdings" w:hint="default"/>
      </w:rPr>
    </w:lvl>
    <w:lvl w:ilvl="6" w:tplc="5FCA3FF6">
      <w:start w:val="1"/>
      <w:numFmt w:val="bullet"/>
      <w:lvlText w:val=""/>
      <w:lvlJc w:val="left"/>
      <w:pPr>
        <w:ind w:left="5400" w:hanging="360"/>
      </w:pPr>
      <w:rPr>
        <w:rFonts w:ascii="Symbol" w:hAnsi="Symbol" w:hint="default"/>
      </w:rPr>
    </w:lvl>
    <w:lvl w:ilvl="7" w:tplc="52F27156">
      <w:start w:val="1"/>
      <w:numFmt w:val="bullet"/>
      <w:lvlText w:val="o"/>
      <w:lvlJc w:val="left"/>
      <w:pPr>
        <w:ind w:left="6120" w:hanging="360"/>
      </w:pPr>
      <w:rPr>
        <w:rFonts w:ascii="Courier New" w:hAnsi="Courier New" w:hint="default"/>
      </w:rPr>
    </w:lvl>
    <w:lvl w:ilvl="8" w:tplc="5EDCB16E">
      <w:start w:val="1"/>
      <w:numFmt w:val="bullet"/>
      <w:lvlText w:val=""/>
      <w:lvlJc w:val="left"/>
      <w:pPr>
        <w:ind w:left="6840" w:hanging="360"/>
      </w:pPr>
      <w:rPr>
        <w:rFonts w:ascii="Wingdings" w:hAnsi="Wingdings" w:hint="default"/>
      </w:rPr>
    </w:lvl>
  </w:abstractNum>
  <w:abstractNum w:abstractNumId="7" w15:restartNumberingAfterBreak="0">
    <w:nsid w:val="5BCA2EF6"/>
    <w:multiLevelType w:val="hybridMultilevel"/>
    <w:tmpl w:val="EDB60420"/>
    <w:lvl w:ilvl="0" w:tplc="B9B865D2">
      <w:start w:val="1"/>
      <w:numFmt w:val="bullet"/>
      <w:lvlText w:val=""/>
      <w:lvlJc w:val="left"/>
      <w:pPr>
        <w:ind w:left="720" w:hanging="360"/>
      </w:pPr>
      <w:rPr>
        <w:rFonts w:ascii="Symbol" w:hAnsi="Symbol" w:hint="default"/>
      </w:rPr>
    </w:lvl>
    <w:lvl w:ilvl="1" w:tplc="A76A06A4">
      <w:start w:val="1"/>
      <w:numFmt w:val="bullet"/>
      <w:lvlText w:val="o"/>
      <w:lvlJc w:val="left"/>
      <w:pPr>
        <w:ind w:left="1440" w:hanging="360"/>
      </w:pPr>
      <w:rPr>
        <w:rFonts w:ascii="Courier New" w:hAnsi="Courier New" w:hint="default"/>
      </w:rPr>
    </w:lvl>
    <w:lvl w:ilvl="2" w:tplc="20465FCA">
      <w:start w:val="1"/>
      <w:numFmt w:val="bullet"/>
      <w:lvlText w:val=""/>
      <w:lvlJc w:val="left"/>
      <w:pPr>
        <w:ind w:left="2160" w:hanging="360"/>
      </w:pPr>
      <w:rPr>
        <w:rFonts w:ascii="Wingdings" w:hAnsi="Wingdings" w:hint="default"/>
      </w:rPr>
    </w:lvl>
    <w:lvl w:ilvl="3" w:tplc="59CEA834">
      <w:start w:val="1"/>
      <w:numFmt w:val="bullet"/>
      <w:lvlText w:val=""/>
      <w:lvlJc w:val="left"/>
      <w:pPr>
        <w:ind w:left="2880" w:hanging="360"/>
      </w:pPr>
      <w:rPr>
        <w:rFonts w:ascii="Symbol" w:hAnsi="Symbol" w:hint="default"/>
      </w:rPr>
    </w:lvl>
    <w:lvl w:ilvl="4" w:tplc="801E7826">
      <w:start w:val="1"/>
      <w:numFmt w:val="bullet"/>
      <w:lvlText w:val="o"/>
      <w:lvlJc w:val="left"/>
      <w:pPr>
        <w:ind w:left="3600" w:hanging="360"/>
      </w:pPr>
      <w:rPr>
        <w:rFonts w:ascii="Courier New" w:hAnsi="Courier New" w:hint="default"/>
      </w:rPr>
    </w:lvl>
    <w:lvl w:ilvl="5" w:tplc="E970FE9E">
      <w:start w:val="1"/>
      <w:numFmt w:val="bullet"/>
      <w:lvlText w:val=""/>
      <w:lvlJc w:val="left"/>
      <w:pPr>
        <w:ind w:left="4320" w:hanging="360"/>
      </w:pPr>
      <w:rPr>
        <w:rFonts w:ascii="Wingdings" w:hAnsi="Wingdings" w:hint="default"/>
      </w:rPr>
    </w:lvl>
    <w:lvl w:ilvl="6" w:tplc="B57C0C18">
      <w:start w:val="1"/>
      <w:numFmt w:val="bullet"/>
      <w:lvlText w:val=""/>
      <w:lvlJc w:val="left"/>
      <w:pPr>
        <w:ind w:left="5040" w:hanging="360"/>
      </w:pPr>
      <w:rPr>
        <w:rFonts w:ascii="Symbol" w:hAnsi="Symbol" w:hint="default"/>
      </w:rPr>
    </w:lvl>
    <w:lvl w:ilvl="7" w:tplc="6C1832A6">
      <w:start w:val="1"/>
      <w:numFmt w:val="bullet"/>
      <w:lvlText w:val="o"/>
      <w:lvlJc w:val="left"/>
      <w:pPr>
        <w:ind w:left="5760" w:hanging="360"/>
      </w:pPr>
      <w:rPr>
        <w:rFonts w:ascii="Courier New" w:hAnsi="Courier New" w:hint="default"/>
      </w:rPr>
    </w:lvl>
    <w:lvl w:ilvl="8" w:tplc="725825A2">
      <w:start w:val="1"/>
      <w:numFmt w:val="bullet"/>
      <w:lvlText w:val=""/>
      <w:lvlJc w:val="left"/>
      <w:pPr>
        <w:ind w:left="6480" w:hanging="360"/>
      </w:pPr>
      <w:rPr>
        <w:rFonts w:ascii="Wingdings" w:hAnsi="Wingdings" w:hint="default"/>
      </w:rPr>
    </w:lvl>
  </w:abstractNum>
  <w:abstractNum w:abstractNumId="8" w15:restartNumberingAfterBreak="0">
    <w:nsid w:val="60795B98"/>
    <w:multiLevelType w:val="multilevel"/>
    <w:tmpl w:val="381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C7E30"/>
    <w:multiLevelType w:val="multilevel"/>
    <w:tmpl w:val="BB7040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30105B"/>
    <w:multiLevelType w:val="multilevel"/>
    <w:tmpl w:val="4A7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27AA4"/>
    <w:multiLevelType w:val="multilevel"/>
    <w:tmpl w:val="7438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54AA6"/>
    <w:multiLevelType w:val="hybridMultilevel"/>
    <w:tmpl w:val="19A2B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EFF5DE8"/>
    <w:multiLevelType w:val="multilevel"/>
    <w:tmpl w:val="C52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432144">
    <w:abstractNumId w:val="7"/>
  </w:num>
  <w:num w:numId="2" w16cid:durableId="628125107">
    <w:abstractNumId w:val="6"/>
  </w:num>
  <w:num w:numId="3" w16cid:durableId="407581131">
    <w:abstractNumId w:val="12"/>
  </w:num>
  <w:num w:numId="4" w16cid:durableId="1160267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730865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135383">
    <w:abstractNumId w:val="10"/>
  </w:num>
  <w:num w:numId="7" w16cid:durableId="205725530">
    <w:abstractNumId w:val="11"/>
  </w:num>
  <w:num w:numId="8" w16cid:durableId="1482699491">
    <w:abstractNumId w:val="8"/>
  </w:num>
  <w:num w:numId="9" w16cid:durableId="934635389">
    <w:abstractNumId w:val="1"/>
  </w:num>
  <w:num w:numId="10" w16cid:durableId="551305338">
    <w:abstractNumId w:val="13"/>
  </w:num>
  <w:num w:numId="11" w16cid:durableId="331687891">
    <w:abstractNumId w:val="12"/>
  </w:num>
  <w:num w:numId="12" w16cid:durableId="35272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751150">
    <w:abstractNumId w:val="3"/>
  </w:num>
  <w:num w:numId="14" w16cid:durableId="1222325953">
    <w:abstractNumId w:val="2"/>
  </w:num>
  <w:num w:numId="15" w16cid:durableId="880244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62"/>
    <w:rsid w:val="0000257B"/>
    <w:rsid w:val="00010893"/>
    <w:rsid w:val="00011FC2"/>
    <w:rsid w:val="0002017E"/>
    <w:rsid w:val="000235C9"/>
    <w:rsid w:val="00025528"/>
    <w:rsid w:val="00027E07"/>
    <w:rsid w:val="00027E52"/>
    <w:rsid w:val="000313D1"/>
    <w:rsid w:val="000322FE"/>
    <w:rsid w:val="00037C44"/>
    <w:rsid w:val="000405AB"/>
    <w:rsid w:val="00042E00"/>
    <w:rsid w:val="0004348E"/>
    <w:rsid w:val="000449A5"/>
    <w:rsid w:val="000456A5"/>
    <w:rsid w:val="00046107"/>
    <w:rsid w:val="000533FB"/>
    <w:rsid w:val="00054689"/>
    <w:rsid w:val="0006005F"/>
    <w:rsid w:val="00063D97"/>
    <w:rsid w:val="0006437A"/>
    <w:rsid w:val="00070626"/>
    <w:rsid w:val="00071563"/>
    <w:rsid w:val="00071F45"/>
    <w:rsid w:val="00074325"/>
    <w:rsid w:val="000774B4"/>
    <w:rsid w:val="00080505"/>
    <w:rsid w:val="00080B10"/>
    <w:rsid w:val="00082889"/>
    <w:rsid w:val="00082B95"/>
    <w:rsid w:val="000858B6"/>
    <w:rsid w:val="00085E7C"/>
    <w:rsid w:val="00086643"/>
    <w:rsid w:val="000902A5"/>
    <w:rsid w:val="000912FD"/>
    <w:rsid w:val="00093231"/>
    <w:rsid w:val="00095FA5"/>
    <w:rsid w:val="000A01DA"/>
    <w:rsid w:val="000A3A3D"/>
    <w:rsid w:val="000A3ED1"/>
    <w:rsid w:val="000B327C"/>
    <w:rsid w:val="000B5EED"/>
    <w:rsid w:val="000B7016"/>
    <w:rsid w:val="000C3E11"/>
    <w:rsid w:val="000C6CEC"/>
    <w:rsid w:val="000D0C1F"/>
    <w:rsid w:val="000D2843"/>
    <w:rsid w:val="000D53DC"/>
    <w:rsid w:val="000D72EC"/>
    <w:rsid w:val="000E062C"/>
    <w:rsid w:val="000E069B"/>
    <w:rsid w:val="000E0AFE"/>
    <w:rsid w:val="000E12F9"/>
    <w:rsid w:val="000E1824"/>
    <w:rsid w:val="000E19D8"/>
    <w:rsid w:val="000E6C71"/>
    <w:rsid w:val="000E74FF"/>
    <w:rsid w:val="000F40A0"/>
    <w:rsid w:val="00102E02"/>
    <w:rsid w:val="00104596"/>
    <w:rsid w:val="00104E26"/>
    <w:rsid w:val="00106237"/>
    <w:rsid w:val="0010766E"/>
    <w:rsid w:val="00117E1E"/>
    <w:rsid w:val="00117FAB"/>
    <w:rsid w:val="001219C0"/>
    <w:rsid w:val="00121DCA"/>
    <w:rsid w:val="0012FA72"/>
    <w:rsid w:val="00132B9F"/>
    <w:rsid w:val="00140425"/>
    <w:rsid w:val="0014106E"/>
    <w:rsid w:val="00141E2F"/>
    <w:rsid w:val="0014290F"/>
    <w:rsid w:val="00144D08"/>
    <w:rsid w:val="00150899"/>
    <w:rsid w:val="00155D01"/>
    <w:rsid w:val="00156451"/>
    <w:rsid w:val="00157355"/>
    <w:rsid w:val="00157AF5"/>
    <w:rsid w:val="00170B65"/>
    <w:rsid w:val="00172004"/>
    <w:rsid w:val="00173D8D"/>
    <w:rsid w:val="001743CE"/>
    <w:rsid w:val="00174FBB"/>
    <w:rsid w:val="00175FCD"/>
    <w:rsid w:val="00177D81"/>
    <w:rsid w:val="00180EFC"/>
    <w:rsid w:val="001823C4"/>
    <w:rsid w:val="0019789E"/>
    <w:rsid w:val="00197D1B"/>
    <w:rsid w:val="001A4B1B"/>
    <w:rsid w:val="001A5F19"/>
    <w:rsid w:val="001A6149"/>
    <w:rsid w:val="001A716A"/>
    <w:rsid w:val="001B0930"/>
    <w:rsid w:val="001B0DAA"/>
    <w:rsid w:val="001B2C06"/>
    <w:rsid w:val="001C1E88"/>
    <w:rsid w:val="001C2727"/>
    <w:rsid w:val="001D1BAA"/>
    <w:rsid w:val="001D52D7"/>
    <w:rsid w:val="001D6511"/>
    <w:rsid w:val="001D6E8F"/>
    <w:rsid w:val="001D78FA"/>
    <w:rsid w:val="001E2362"/>
    <w:rsid w:val="001E5790"/>
    <w:rsid w:val="001F0801"/>
    <w:rsid w:val="001F0A35"/>
    <w:rsid w:val="00203F08"/>
    <w:rsid w:val="00206C0A"/>
    <w:rsid w:val="00211247"/>
    <w:rsid w:val="0021147B"/>
    <w:rsid w:val="00211DF1"/>
    <w:rsid w:val="00220764"/>
    <w:rsid w:val="002242E8"/>
    <w:rsid w:val="00231E92"/>
    <w:rsid w:val="0023209E"/>
    <w:rsid w:val="00234163"/>
    <w:rsid w:val="00234400"/>
    <w:rsid w:val="00235851"/>
    <w:rsid w:val="00237254"/>
    <w:rsid w:val="0024515C"/>
    <w:rsid w:val="002451ED"/>
    <w:rsid w:val="00246977"/>
    <w:rsid w:val="00251045"/>
    <w:rsid w:val="002520DD"/>
    <w:rsid w:val="00256CEC"/>
    <w:rsid w:val="00262F8B"/>
    <w:rsid w:val="00265001"/>
    <w:rsid w:val="00265DB9"/>
    <w:rsid w:val="00276627"/>
    <w:rsid w:val="00276BE9"/>
    <w:rsid w:val="00282EE5"/>
    <w:rsid w:val="0028645B"/>
    <w:rsid w:val="002877FE"/>
    <w:rsid w:val="00290C10"/>
    <w:rsid w:val="002915DD"/>
    <w:rsid w:val="00291951"/>
    <w:rsid w:val="00292CAF"/>
    <w:rsid w:val="002A0498"/>
    <w:rsid w:val="002A2361"/>
    <w:rsid w:val="002A53E9"/>
    <w:rsid w:val="002A56C4"/>
    <w:rsid w:val="002A7B10"/>
    <w:rsid w:val="002C5928"/>
    <w:rsid w:val="002C6492"/>
    <w:rsid w:val="002C6D0D"/>
    <w:rsid w:val="002C732B"/>
    <w:rsid w:val="002C7EEB"/>
    <w:rsid w:val="002D4073"/>
    <w:rsid w:val="002D4134"/>
    <w:rsid w:val="002D488E"/>
    <w:rsid w:val="002D503C"/>
    <w:rsid w:val="002D5A2D"/>
    <w:rsid w:val="002D5C46"/>
    <w:rsid w:val="002D60C7"/>
    <w:rsid w:val="002D7F26"/>
    <w:rsid w:val="002E2339"/>
    <w:rsid w:val="002E2928"/>
    <w:rsid w:val="002E3000"/>
    <w:rsid w:val="002E6593"/>
    <w:rsid w:val="002F03BA"/>
    <w:rsid w:val="002F4C11"/>
    <w:rsid w:val="002F6949"/>
    <w:rsid w:val="00301CC0"/>
    <w:rsid w:val="003033AC"/>
    <w:rsid w:val="003066EB"/>
    <w:rsid w:val="00306DE5"/>
    <w:rsid w:val="0030779C"/>
    <w:rsid w:val="00312434"/>
    <w:rsid w:val="00312AF7"/>
    <w:rsid w:val="00320AFC"/>
    <w:rsid w:val="00326532"/>
    <w:rsid w:val="0033128F"/>
    <w:rsid w:val="003342EB"/>
    <w:rsid w:val="00340EB6"/>
    <w:rsid w:val="00342CA2"/>
    <w:rsid w:val="003470C4"/>
    <w:rsid w:val="00353B9E"/>
    <w:rsid w:val="00356A28"/>
    <w:rsid w:val="00357A96"/>
    <w:rsid w:val="00361503"/>
    <w:rsid w:val="00361AF9"/>
    <w:rsid w:val="00362F4A"/>
    <w:rsid w:val="00371CAE"/>
    <w:rsid w:val="003728BB"/>
    <w:rsid w:val="00382ED1"/>
    <w:rsid w:val="00384ACC"/>
    <w:rsid w:val="003914A2"/>
    <w:rsid w:val="003A1E02"/>
    <w:rsid w:val="003A2DCF"/>
    <w:rsid w:val="003A4C07"/>
    <w:rsid w:val="003A50C0"/>
    <w:rsid w:val="003B3027"/>
    <w:rsid w:val="003B6636"/>
    <w:rsid w:val="003C0E96"/>
    <w:rsid w:val="003C2259"/>
    <w:rsid w:val="003C4486"/>
    <w:rsid w:val="003D2F6E"/>
    <w:rsid w:val="003D6111"/>
    <w:rsid w:val="003D6A60"/>
    <w:rsid w:val="003E0062"/>
    <w:rsid w:val="003E1710"/>
    <w:rsid w:val="003E19FE"/>
    <w:rsid w:val="003E3615"/>
    <w:rsid w:val="003E4897"/>
    <w:rsid w:val="003E5608"/>
    <w:rsid w:val="003E6EDD"/>
    <w:rsid w:val="003F5EF3"/>
    <w:rsid w:val="003F6F9C"/>
    <w:rsid w:val="00402529"/>
    <w:rsid w:val="00404458"/>
    <w:rsid w:val="00405737"/>
    <w:rsid w:val="00407BA6"/>
    <w:rsid w:val="0041276F"/>
    <w:rsid w:val="00417028"/>
    <w:rsid w:val="00420221"/>
    <w:rsid w:val="004212C7"/>
    <w:rsid w:val="004245A9"/>
    <w:rsid w:val="00424F73"/>
    <w:rsid w:val="0042701B"/>
    <w:rsid w:val="00430291"/>
    <w:rsid w:val="004312B3"/>
    <w:rsid w:val="00433DB6"/>
    <w:rsid w:val="00434C16"/>
    <w:rsid w:val="00435415"/>
    <w:rsid w:val="00435638"/>
    <w:rsid w:val="00435DC0"/>
    <w:rsid w:val="004372D6"/>
    <w:rsid w:val="00440219"/>
    <w:rsid w:val="00444B48"/>
    <w:rsid w:val="004477BF"/>
    <w:rsid w:val="00451478"/>
    <w:rsid w:val="00451FD2"/>
    <w:rsid w:val="00453270"/>
    <w:rsid w:val="00453F9E"/>
    <w:rsid w:val="00454651"/>
    <w:rsid w:val="00460630"/>
    <w:rsid w:val="0046119F"/>
    <w:rsid w:val="00461BDF"/>
    <w:rsid w:val="00465E63"/>
    <w:rsid w:val="00467BF8"/>
    <w:rsid w:val="004716C5"/>
    <w:rsid w:val="004770A8"/>
    <w:rsid w:val="004776BC"/>
    <w:rsid w:val="00484236"/>
    <w:rsid w:val="0048523E"/>
    <w:rsid w:val="00490DA1"/>
    <w:rsid w:val="00493373"/>
    <w:rsid w:val="004950EC"/>
    <w:rsid w:val="004A03D4"/>
    <w:rsid w:val="004A09B0"/>
    <w:rsid w:val="004A37E1"/>
    <w:rsid w:val="004A6142"/>
    <w:rsid w:val="004B072B"/>
    <w:rsid w:val="004C08F3"/>
    <w:rsid w:val="004C62F1"/>
    <w:rsid w:val="004D1C9B"/>
    <w:rsid w:val="004E370E"/>
    <w:rsid w:val="004E4DC9"/>
    <w:rsid w:val="004E5D7F"/>
    <w:rsid w:val="004E62D1"/>
    <w:rsid w:val="004E7C0C"/>
    <w:rsid w:val="004F2273"/>
    <w:rsid w:val="004F2788"/>
    <w:rsid w:val="004F46A3"/>
    <w:rsid w:val="004F6F0B"/>
    <w:rsid w:val="005013BD"/>
    <w:rsid w:val="005053CC"/>
    <w:rsid w:val="00505691"/>
    <w:rsid w:val="0050783C"/>
    <w:rsid w:val="005113FB"/>
    <w:rsid w:val="00511CBF"/>
    <w:rsid w:val="00513820"/>
    <w:rsid w:val="00522842"/>
    <w:rsid w:val="00526E4E"/>
    <w:rsid w:val="005320AB"/>
    <w:rsid w:val="00532618"/>
    <w:rsid w:val="00532FC2"/>
    <w:rsid w:val="005340B1"/>
    <w:rsid w:val="00544285"/>
    <w:rsid w:val="005461FF"/>
    <w:rsid w:val="00550039"/>
    <w:rsid w:val="00552593"/>
    <w:rsid w:val="005539D4"/>
    <w:rsid w:val="00554B08"/>
    <w:rsid w:val="00554E7F"/>
    <w:rsid w:val="00557E3A"/>
    <w:rsid w:val="00560C02"/>
    <w:rsid w:val="00561000"/>
    <w:rsid w:val="00561C18"/>
    <w:rsid w:val="0056339D"/>
    <w:rsid w:val="005670C9"/>
    <w:rsid w:val="005753D3"/>
    <w:rsid w:val="0057598E"/>
    <w:rsid w:val="0058166B"/>
    <w:rsid w:val="005819C3"/>
    <w:rsid w:val="005833AC"/>
    <w:rsid w:val="00583F11"/>
    <w:rsid w:val="00585D2F"/>
    <w:rsid w:val="00593989"/>
    <w:rsid w:val="00594974"/>
    <w:rsid w:val="00595CC4"/>
    <w:rsid w:val="005A2381"/>
    <w:rsid w:val="005A2B76"/>
    <w:rsid w:val="005A32D8"/>
    <w:rsid w:val="005A563A"/>
    <w:rsid w:val="005A654A"/>
    <w:rsid w:val="005B6E60"/>
    <w:rsid w:val="005C46EE"/>
    <w:rsid w:val="005C7200"/>
    <w:rsid w:val="005D041E"/>
    <w:rsid w:val="005D4214"/>
    <w:rsid w:val="005E0713"/>
    <w:rsid w:val="005E07EC"/>
    <w:rsid w:val="005F672F"/>
    <w:rsid w:val="00602A8A"/>
    <w:rsid w:val="0060425A"/>
    <w:rsid w:val="00604A20"/>
    <w:rsid w:val="006137C8"/>
    <w:rsid w:val="00613B01"/>
    <w:rsid w:val="00614BD1"/>
    <w:rsid w:val="006178B6"/>
    <w:rsid w:val="00620E35"/>
    <w:rsid w:val="006217A6"/>
    <w:rsid w:val="00623FD8"/>
    <w:rsid w:val="006251C9"/>
    <w:rsid w:val="00635638"/>
    <w:rsid w:val="00636700"/>
    <w:rsid w:val="00637B31"/>
    <w:rsid w:val="00640E6D"/>
    <w:rsid w:val="00643AF6"/>
    <w:rsid w:val="00645806"/>
    <w:rsid w:val="00645D17"/>
    <w:rsid w:val="006535C5"/>
    <w:rsid w:val="0065598B"/>
    <w:rsid w:val="00656C07"/>
    <w:rsid w:val="00657765"/>
    <w:rsid w:val="00660D3B"/>
    <w:rsid w:val="00661006"/>
    <w:rsid w:val="00662E87"/>
    <w:rsid w:val="006641AD"/>
    <w:rsid w:val="00664260"/>
    <w:rsid w:val="006658B0"/>
    <w:rsid w:val="00666517"/>
    <w:rsid w:val="00667A0A"/>
    <w:rsid w:val="006703F1"/>
    <w:rsid w:val="006710BC"/>
    <w:rsid w:val="0067153D"/>
    <w:rsid w:val="0067255B"/>
    <w:rsid w:val="00674128"/>
    <w:rsid w:val="00677D17"/>
    <w:rsid w:val="006853C2"/>
    <w:rsid w:val="0068738C"/>
    <w:rsid w:val="0068769A"/>
    <w:rsid w:val="0068774C"/>
    <w:rsid w:val="00691835"/>
    <w:rsid w:val="006933B5"/>
    <w:rsid w:val="0069545F"/>
    <w:rsid w:val="00697201"/>
    <w:rsid w:val="006A105F"/>
    <w:rsid w:val="006A146E"/>
    <w:rsid w:val="006A1C55"/>
    <w:rsid w:val="006A2FA5"/>
    <w:rsid w:val="006A5A81"/>
    <w:rsid w:val="006A6474"/>
    <w:rsid w:val="006B5390"/>
    <w:rsid w:val="006C0724"/>
    <w:rsid w:val="006C43E8"/>
    <w:rsid w:val="006C46C6"/>
    <w:rsid w:val="006D0EE5"/>
    <w:rsid w:val="006D7307"/>
    <w:rsid w:val="006E0237"/>
    <w:rsid w:val="006E0C57"/>
    <w:rsid w:val="006E1470"/>
    <w:rsid w:val="006E2BCF"/>
    <w:rsid w:val="006E6B7C"/>
    <w:rsid w:val="006E6E41"/>
    <w:rsid w:val="006F0C9E"/>
    <w:rsid w:val="006F3CFB"/>
    <w:rsid w:val="006F761E"/>
    <w:rsid w:val="00702BD7"/>
    <w:rsid w:val="00702C5E"/>
    <w:rsid w:val="00702EEF"/>
    <w:rsid w:val="007173EB"/>
    <w:rsid w:val="00717415"/>
    <w:rsid w:val="00717996"/>
    <w:rsid w:val="00723140"/>
    <w:rsid w:val="00724D25"/>
    <w:rsid w:val="007272C4"/>
    <w:rsid w:val="007305EF"/>
    <w:rsid w:val="00730F36"/>
    <w:rsid w:val="00736BC1"/>
    <w:rsid w:val="007374D0"/>
    <w:rsid w:val="00740E4E"/>
    <w:rsid w:val="00740EA0"/>
    <w:rsid w:val="00740FC2"/>
    <w:rsid w:val="00741812"/>
    <w:rsid w:val="007418C2"/>
    <w:rsid w:val="0074260A"/>
    <w:rsid w:val="00743AF9"/>
    <w:rsid w:val="00745276"/>
    <w:rsid w:val="00745A97"/>
    <w:rsid w:val="00747B1F"/>
    <w:rsid w:val="007536C5"/>
    <w:rsid w:val="0075419C"/>
    <w:rsid w:val="00754AE4"/>
    <w:rsid w:val="00755427"/>
    <w:rsid w:val="007562EC"/>
    <w:rsid w:val="0076186C"/>
    <w:rsid w:val="00762CA2"/>
    <w:rsid w:val="00763578"/>
    <w:rsid w:val="00765D86"/>
    <w:rsid w:val="00771012"/>
    <w:rsid w:val="007761C4"/>
    <w:rsid w:val="00776762"/>
    <w:rsid w:val="00776F86"/>
    <w:rsid w:val="00780F25"/>
    <w:rsid w:val="00781D4B"/>
    <w:rsid w:val="00783A2F"/>
    <w:rsid w:val="00786827"/>
    <w:rsid w:val="00790F71"/>
    <w:rsid w:val="007912B5"/>
    <w:rsid w:val="00793161"/>
    <w:rsid w:val="007962E1"/>
    <w:rsid w:val="00797223"/>
    <w:rsid w:val="007A0DB5"/>
    <w:rsid w:val="007A1F11"/>
    <w:rsid w:val="007A2373"/>
    <w:rsid w:val="007A2F8A"/>
    <w:rsid w:val="007A6954"/>
    <w:rsid w:val="007A709A"/>
    <w:rsid w:val="007B0D00"/>
    <w:rsid w:val="007B4436"/>
    <w:rsid w:val="007B454F"/>
    <w:rsid w:val="007B4E1B"/>
    <w:rsid w:val="007B6B33"/>
    <w:rsid w:val="007C032B"/>
    <w:rsid w:val="007C063A"/>
    <w:rsid w:val="007C2C60"/>
    <w:rsid w:val="007C73F7"/>
    <w:rsid w:val="007E0168"/>
    <w:rsid w:val="007E16EB"/>
    <w:rsid w:val="007E3B1B"/>
    <w:rsid w:val="007E46F2"/>
    <w:rsid w:val="007E6988"/>
    <w:rsid w:val="007F0354"/>
    <w:rsid w:val="007F28C0"/>
    <w:rsid w:val="007F3EEF"/>
    <w:rsid w:val="007F44D9"/>
    <w:rsid w:val="007F5C35"/>
    <w:rsid w:val="00800FE1"/>
    <w:rsid w:val="00803FCB"/>
    <w:rsid w:val="008069A0"/>
    <w:rsid w:val="008108C4"/>
    <w:rsid w:val="00811A18"/>
    <w:rsid w:val="00812D16"/>
    <w:rsid w:val="00812D49"/>
    <w:rsid w:val="00822305"/>
    <w:rsid w:val="00825607"/>
    <w:rsid w:val="008319D4"/>
    <w:rsid w:val="0083220F"/>
    <w:rsid w:val="00833494"/>
    <w:rsid w:val="00833F89"/>
    <w:rsid w:val="00837555"/>
    <w:rsid w:val="00840672"/>
    <w:rsid w:val="008466A4"/>
    <w:rsid w:val="00846AA8"/>
    <w:rsid w:val="00856299"/>
    <w:rsid w:val="008579B8"/>
    <w:rsid w:val="00860083"/>
    <w:rsid w:val="00864D69"/>
    <w:rsid w:val="008660E8"/>
    <w:rsid w:val="00866201"/>
    <w:rsid w:val="008712CA"/>
    <w:rsid w:val="0087471C"/>
    <w:rsid w:val="00876749"/>
    <w:rsid w:val="00880DD6"/>
    <w:rsid w:val="00883C9A"/>
    <w:rsid w:val="008854E7"/>
    <w:rsid w:val="0089276F"/>
    <w:rsid w:val="008A0788"/>
    <w:rsid w:val="008A34E1"/>
    <w:rsid w:val="008A449D"/>
    <w:rsid w:val="008B33E9"/>
    <w:rsid w:val="008B3A65"/>
    <w:rsid w:val="008B538F"/>
    <w:rsid w:val="008B68EB"/>
    <w:rsid w:val="008B7216"/>
    <w:rsid w:val="008B7E9B"/>
    <w:rsid w:val="008C1263"/>
    <w:rsid w:val="008C26DC"/>
    <w:rsid w:val="008C5A0B"/>
    <w:rsid w:val="008C6AD6"/>
    <w:rsid w:val="008D5084"/>
    <w:rsid w:val="008D72BE"/>
    <w:rsid w:val="008E1389"/>
    <w:rsid w:val="008E1A7A"/>
    <w:rsid w:val="008E909D"/>
    <w:rsid w:val="008F1411"/>
    <w:rsid w:val="008F22C8"/>
    <w:rsid w:val="008F26F7"/>
    <w:rsid w:val="008F2FAF"/>
    <w:rsid w:val="009017DE"/>
    <w:rsid w:val="00901C06"/>
    <w:rsid w:val="00910934"/>
    <w:rsid w:val="00910C11"/>
    <w:rsid w:val="009121B6"/>
    <w:rsid w:val="009141AC"/>
    <w:rsid w:val="00917E2A"/>
    <w:rsid w:val="00920989"/>
    <w:rsid w:val="0092133E"/>
    <w:rsid w:val="009239ED"/>
    <w:rsid w:val="0092523B"/>
    <w:rsid w:val="00934E9B"/>
    <w:rsid w:val="00936B55"/>
    <w:rsid w:val="00937F5A"/>
    <w:rsid w:val="009409F9"/>
    <w:rsid w:val="0094236B"/>
    <w:rsid w:val="00946E75"/>
    <w:rsid w:val="00947ADF"/>
    <w:rsid w:val="009503DD"/>
    <w:rsid w:val="00951542"/>
    <w:rsid w:val="00953D35"/>
    <w:rsid w:val="00965C29"/>
    <w:rsid w:val="00972581"/>
    <w:rsid w:val="00975DF4"/>
    <w:rsid w:val="00976761"/>
    <w:rsid w:val="009804B5"/>
    <w:rsid w:val="00982996"/>
    <w:rsid w:val="00991270"/>
    <w:rsid w:val="00993CA4"/>
    <w:rsid w:val="009945FB"/>
    <w:rsid w:val="0099543D"/>
    <w:rsid w:val="00997A0A"/>
    <w:rsid w:val="009A00A3"/>
    <w:rsid w:val="009A053E"/>
    <w:rsid w:val="009A0859"/>
    <w:rsid w:val="009A1E24"/>
    <w:rsid w:val="009A3575"/>
    <w:rsid w:val="009A4F45"/>
    <w:rsid w:val="009A6CB1"/>
    <w:rsid w:val="009B18D3"/>
    <w:rsid w:val="009B1DDF"/>
    <w:rsid w:val="009B2DC3"/>
    <w:rsid w:val="009B4006"/>
    <w:rsid w:val="009B5D48"/>
    <w:rsid w:val="009C1C57"/>
    <w:rsid w:val="009C2FB3"/>
    <w:rsid w:val="009C38F8"/>
    <w:rsid w:val="009C4069"/>
    <w:rsid w:val="009D10E2"/>
    <w:rsid w:val="009D133A"/>
    <w:rsid w:val="009D1764"/>
    <w:rsid w:val="009E0656"/>
    <w:rsid w:val="009E1505"/>
    <w:rsid w:val="009E2031"/>
    <w:rsid w:val="009E3384"/>
    <w:rsid w:val="009E3F75"/>
    <w:rsid w:val="009F4CB9"/>
    <w:rsid w:val="009F5AF9"/>
    <w:rsid w:val="009F75C1"/>
    <w:rsid w:val="00A1105F"/>
    <w:rsid w:val="00A133AF"/>
    <w:rsid w:val="00A15332"/>
    <w:rsid w:val="00A15EF2"/>
    <w:rsid w:val="00A2280B"/>
    <w:rsid w:val="00A22870"/>
    <w:rsid w:val="00A23A39"/>
    <w:rsid w:val="00A23A78"/>
    <w:rsid w:val="00A23B81"/>
    <w:rsid w:val="00A249C3"/>
    <w:rsid w:val="00A25E65"/>
    <w:rsid w:val="00A336B3"/>
    <w:rsid w:val="00A34B0F"/>
    <w:rsid w:val="00A34FAA"/>
    <w:rsid w:val="00A3528F"/>
    <w:rsid w:val="00A36AB2"/>
    <w:rsid w:val="00A43A3E"/>
    <w:rsid w:val="00A452FF"/>
    <w:rsid w:val="00A4710A"/>
    <w:rsid w:val="00A47ED5"/>
    <w:rsid w:val="00A5299B"/>
    <w:rsid w:val="00A53B72"/>
    <w:rsid w:val="00A571D8"/>
    <w:rsid w:val="00A60C63"/>
    <w:rsid w:val="00A6319E"/>
    <w:rsid w:val="00A64DBC"/>
    <w:rsid w:val="00A652E3"/>
    <w:rsid w:val="00A73C13"/>
    <w:rsid w:val="00A74550"/>
    <w:rsid w:val="00A74799"/>
    <w:rsid w:val="00A747F0"/>
    <w:rsid w:val="00A75A96"/>
    <w:rsid w:val="00A77534"/>
    <w:rsid w:val="00A82124"/>
    <w:rsid w:val="00A83F9B"/>
    <w:rsid w:val="00A84D81"/>
    <w:rsid w:val="00A85297"/>
    <w:rsid w:val="00A85A40"/>
    <w:rsid w:val="00A92054"/>
    <w:rsid w:val="00A92337"/>
    <w:rsid w:val="00A93E95"/>
    <w:rsid w:val="00A97D05"/>
    <w:rsid w:val="00AA3228"/>
    <w:rsid w:val="00AA77C7"/>
    <w:rsid w:val="00AB08F9"/>
    <w:rsid w:val="00AB44BE"/>
    <w:rsid w:val="00AB5D51"/>
    <w:rsid w:val="00AB77F3"/>
    <w:rsid w:val="00AC3262"/>
    <w:rsid w:val="00AD06E4"/>
    <w:rsid w:val="00AD19D0"/>
    <w:rsid w:val="00AD3649"/>
    <w:rsid w:val="00AD3F2E"/>
    <w:rsid w:val="00AD441B"/>
    <w:rsid w:val="00AE1D73"/>
    <w:rsid w:val="00AE41AB"/>
    <w:rsid w:val="00AE4E6C"/>
    <w:rsid w:val="00AE63BE"/>
    <w:rsid w:val="00AF0B78"/>
    <w:rsid w:val="00AF7993"/>
    <w:rsid w:val="00AF79B9"/>
    <w:rsid w:val="00B04501"/>
    <w:rsid w:val="00B05C8E"/>
    <w:rsid w:val="00B070D3"/>
    <w:rsid w:val="00B07F58"/>
    <w:rsid w:val="00B10868"/>
    <w:rsid w:val="00B1358C"/>
    <w:rsid w:val="00B14D7D"/>
    <w:rsid w:val="00B1765F"/>
    <w:rsid w:val="00B2131A"/>
    <w:rsid w:val="00B2242C"/>
    <w:rsid w:val="00B22D48"/>
    <w:rsid w:val="00B32FDA"/>
    <w:rsid w:val="00B40254"/>
    <w:rsid w:val="00B421F1"/>
    <w:rsid w:val="00B43F17"/>
    <w:rsid w:val="00B44F5E"/>
    <w:rsid w:val="00B5100E"/>
    <w:rsid w:val="00B52723"/>
    <w:rsid w:val="00B54CEB"/>
    <w:rsid w:val="00B6295A"/>
    <w:rsid w:val="00B67791"/>
    <w:rsid w:val="00B72163"/>
    <w:rsid w:val="00B72C86"/>
    <w:rsid w:val="00B75379"/>
    <w:rsid w:val="00B75417"/>
    <w:rsid w:val="00B765B3"/>
    <w:rsid w:val="00B8200F"/>
    <w:rsid w:val="00B84206"/>
    <w:rsid w:val="00B84C72"/>
    <w:rsid w:val="00B84CB6"/>
    <w:rsid w:val="00B85236"/>
    <w:rsid w:val="00B8599A"/>
    <w:rsid w:val="00B85C39"/>
    <w:rsid w:val="00B86AA1"/>
    <w:rsid w:val="00B86ADE"/>
    <w:rsid w:val="00B87C08"/>
    <w:rsid w:val="00B93C32"/>
    <w:rsid w:val="00B9473A"/>
    <w:rsid w:val="00B95200"/>
    <w:rsid w:val="00BA711F"/>
    <w:rsid w:val="00BB4434"/>
    <w:rsid w:val="00BB49C9"/>
    <w:rsid w:val="00BB5378"/>
    <w:rsid w:val="00BB74B9"/>
    <w:rsid w:val="00BC2E1F"/>
    <w:rsid w:val="00BC3F0F"/>
    <w:rsid w:val="00BC5903"/>
    <w:rsid w:val="00BE36C7"/>
    <w:rsid w:val="00BE5969"/>
    <w:rsid w:val="00BE6BD0"/>
    <w:rsid w:val="00BE785A"/>
    <w:rsid w:val="00BE7D88"/>
    <w:rsid w:val="00BF5081"/>
    <w:rsid w:val="00BF73C9"/>
    <w:rsid w:val="00C01AE6"/>
    <w:rsid w:val="00C022E4"/>
    <w:rsid w:val="00C0270A"/>
    <w:rsid w:val="00C0554F"/>
    <w:rsid w:val="00C05B93"/>
    <w:rsid w:val="00C060A5"/>
    <w:rsid w:val="00C20E89"/>
    <w:rsid w:val="00C261AE"/>
    <w:rsid w:val="00C35CF4"/>
    <w:rsid w:val="00C3631D"/>
    <w:rsid w:val="00C410AB"/>
    <w:rsid w:val="00C42023"/>
    <w:rsid w:val="00C4311D"/>
    <w:rsid w:val="00C43484"/>
    <w:rsid w:val="00C45207"/>
    <w:rsid w:val="00C4645D"/>
    <w:rsid w:val="00C507A7"/>
    <w:rsid w:val="00C51171"/>
    <w:rsid w:val="00C54263"/>
    <w:rsid w:val="00C54AEB"/>
    <w:rsid w:val="00C55FAF"/>
    <w:rsid w:val="00C57E24"/>
    <w:rsid w:val="00C61276"/>
    <w:rsid w:val="00C7133D"/>
    <w:rsid w:val="00C71650"/>
    <w:rsid w:val="00C7492E"/>
    <w:rsid w:val="00C77FE5"/>
    <w:rsid w:val="00C80E49"/>
    <w:rsid w:val="00C81A15"/>
    <w:rsid w:val="00C826B5"/>
    <w:rsid w:val="00C82D76"/>
    <w:rsid w:val="00C844B0"/>
    <w:rsid w:val="00C84C0D"/>
    <w:rsid w:val="00C87841"/>
    <w:rsid w:val="00C9081D"/>
    <w:rsid w:val="00C918F0"/>
    <w:rsid w:val="00C921A5"/>
    <w:rsid w:val="00C9689D"/>
    <w:rsid w:val="00CA0DDB"/>
    <w:rsid w:val="00CB2855"/>
    <w:rsid w:val="00CB40E5"/>
    <w:rsid w:val="00CB6448"/>
    <w:rsid w:val="00CC1207"/>
    <w:rsid w:val="00CC4C0E"/>
    <w:rsid w:val="00CC70E3"/>
    <w:rsid w:val="00CC7384"/>
    <w:rsid w:val="00CC76E4"/>
    <w:rsid w:val="00CD3FD9"/>
    <w:rsid w:val="00CE0C24"/>
    <w:rsid w:val="00CE131E"/>
    <w:rsid w:val="00CE153F"/>
    <w:rsid w:val="00CE3921"/>
    <w:rsid w:val="00CE4008"/>
    <w:rsid w:val="00CF0F06"/>
    <w:rsid w:val="00CF26A0"/>
    <w:rsid w:val="00CF369A"/>
    <w:rsid w:val="00CF47A4"/>
    <w:rsid w:val="00CF594F"/>
    <w:rsid w:val="00CF6C7A"/>
    <w:rsid w:val="00D010DD"/>
    <w:rsid w:val="00D0224B"/>
    <w:rsid w:val="00D053BA"/>
    <w:rsid w:val="00D10B1E"/>
    <w:rsid w:val="00D10C5A"/>
    <w:rsid w:val="00D142FD"/>
    <w:rsid w:val="00D155DA"/>
    <w:rsid w:val="00D160E0"/>
    <w:rsid w:val="00D213ED"/>
    <w:rsid w:val="00D25571"/>
    <w:rsid w:val="00D27EAC"/>
    <w:rsid w:val="00D33294"/>
    <w:rsid w:val="00D3331E"/>
    <w:rsid w:val="00D33D73"/>
    <w:rsid w:val="00D3405E"/>
    <w:rsid w:val="00D35A5F"/>
    <w:rsid w:val="00D3663A"/>
    <w:rsid w:val="00D371F3"/>
    <w:rsid w:val="00D43927"/>
    <w:rsid w:val="00D446D9"/>
    <w:rsid w:val="00D52933"/>
    <w:rsid w:val="00D55278"/>
    <w:rsid w:val="00D55DBB"/>
    <w:rsid w:val="00D62BFF"/>
    <w:rsid w:val="00D73CC9"/>
    <w:rsid w:val="00D76430"/>
    <w:rsid w:val="00D83B1F"/>
    <w:rsid w:val="00D87BCB"/>
    <w:rsid w:val="00D91A58"/>
    <w:rsid w:val="00D9370A"/>
    <w:rsid w:val="00D947F0"/>
    <w:rsid w:val="00D96686"/>
    <w:rsid w:val="00DA25BE"/>
    <w:rsid w:val="00DA40F4"/>
    <w:rsid w:val="00DA4C9B"/>
    <w:rsid w:val="00DA6CFB"/>
    <w:rsid w:val="00DB25D6"/>
    <w:rsid w:val="00DB26FB"/>
    <w:rsid w:val="00DB3353"/>
    <w:rsid w:val="00DB794B"/>
    <w:rsid w:val="00DD0D93"/>
    <w:rsid w:val="00DD7E51"/>
    <w:rsid w:val="00DD7FF3"/>
    <w:rsid w:val="00DE252B"/>
    <w:rsid w:val="00DE2AF7"/>
    <w:rsid w:val="00DE3679"/>
    <w:rsid w:val="00DE409F"/>
    <w:rsid w:val="00DE528C"/>
    <w:rsid w:val="00E00F5E"/>
    <w:rsid w:val="00E115A5"/>
    <w:rsid w:val="00E1696B"/>
    <w:rsid w:val="00E22835"/>
    <w:rsid w:val="00E2368C"/>
    <w:rsid w:val="00E2484C"/>
    <w:rsid w:val="00E25215"/>
    <w:rsid w:val="00E255B9"/>
    <w:rsid w:val="00E346BD"/>
    <w:rsid w:val="00E346E5"/>
    <w:rsid w:val="00E34AEF"/>
    <w:rsid w:val="00E359FA"/>
    <w:rsid w:val="00E41893"/>
    <w:rsid w:val="00E4261F"/>
    <w:rsid w:val="00E450C4"/>
    <w:rsid w:val="00E45D35"/>
    <w:rsid w:val="00E51480"/>
    <w:rsid w:val="00E5183B"/>
    <w:rsid w:val="00E522DC"/>
    <w:rsid w:val="00E56C6A"/>
    <w:rsid w:val="00E6181E"/>
    <w:rsid w:val="00E650B2"/>
    <w:rsid w:val="00E72D2C"/>
    <w:rsid w:val="00E7510C"/>
    <w:rsid w:val="00E7601D"/>
    <w:rsid w:val="00E8082C"/>
    <w:rsid w:val="00E85BF6"/>
    <w:rsid w:val="00E90DF5"/>
    <w:rsid w:val="00E94B64"/>
    <w:rsid w:val="00E96898"/>
    <w:rsid w:val="00E979B4"/>
    <w:rsid w:val="00EA07CE"/>
    <w:rsid w:val="00EA5005"/>
    <w:rsid w:val="00EA710E"/>
    <w:rsid w:val="00EB033D"/>
    <w:rsid w:val="00EB710A"/>
    <w:rsid w:val="00EB7A29"/>
    <w:rsid w:val="00EC0784"/>
    <w:rsid w:val="00EC6472"/>
    <w:rsid w:val="00EC70DF"/>
    <w:rsid w:val="00EC7B68"/>
    <w:rsid w:val="00ED1F5E"/>
    <w:rsid w:val="00ED3E59"/>
    <w:rsid w:val="00ED7D7C"/>
    <w:rsid w:val="00EE1E42"/>
    <w:rsid w:val="00EE4CFF"/>
    <w:rsid w:val="00EF09C2"/>
    <w:rsid w:val="00EF141F"/>
    <w:rsid w:val="00EF29C8"/>
    <w:rsid w:val="00EF2ACD"/>
    <w:rsid w:val="00EF493F"/>
    <w:rsid w:val="00EF5CBF"/>
    <w:rsid w:val="00EF71D6"/>
    <w:rsid w:val="00F00F44"/>
    <w:rsid w:val="00F035EE"/>
    <w:rsid w:val="00F05C9F"/>
    <w:rsid w:val="00F15574"/>
    <w:rsid w:val="00F20A3C"/>
    <w:rsid w:val="00F2689F"/>
    <w:rsid w:val="00F27251"/>
    <w:rsid w:val="00F2787A"/>
    <w:rsid w:val="00F27C51"/>
    <w:rsid w:val="00F27E91"/>
    <w:rsid w:val="00F3045A"/>
    <w:rsid w:val="00F3148A"/>
    <w:rsid w:val="00F34C61"/>
    <w:rsid w:val="00F3719E"/>
    <w:rsid w:val="00F378D3"/>
    <w:rsid w:val="00F41AD0"/>
    <w:rsid w:val="00F47EC6"/>
    <w:rsid w:val="00F50217"/>
    <w:rsid w:val="00F5347C"/>
    <w:rsid w:val="00F54CDA"/>
    <w:rsid w:val="00F561E1"/>
    <w:rsid w:val="00F56954"/>
    <w:rsid w:val="00F579D4"/>
    <w:rsid w:val="00F60893"/>
    <w:rsid w:val="00F6314E"/>
    <w:rsid w:val="00F641D2"/>
    <w:rsid w:val="00F656CA"/>
    <w:rsid w:val="00F65EAF"/>
    <w:rsid w:val="00F728C7"/>
    <w:rsid w:val="00F816BA"/>
    <w:rsid w:val="00F8171A"/>
    <w:rsid w:val="00F85118"/>
    <w:rsid w:val="00F877A5"/>
    <w:rsid w:val="00F87820"/>
    <w:rsid w:val="00F90755"/>
    <w:rsid w:val="00F949CE"/>
    <w:rsid w:val="00F95817"/>
    <w:rsid w:val="00F962FC"/>
    <w:rsid w:val="00FA3253"/>
    <w:rsid w:val="00FA32A2"/>
    <w:rsid w:val="00FA7F9D"/>
    <w:rsid w:val="00FB04B2"/>
    <w:rsid w:val="00FB0D46"/>
    <w:rsid w:val="00FB13BC"/>
    <w:rsid w:val="00FB1BD2"/>
    <w:rsid w:val="00FB4E6B"/>
    <w:rsid w:val="00FB5C26"/>
    <w:rsid w:val="00FB682B"/>
    <w:rsid w:val="00FB68ED"/>
    <w:rsid w:val="00FB72AA"/>
    <w:rsid w:val="00FB7DA0"/>
    <w:rsid w:val="00FC0358"/>
    <w:rsid w:val="00FC0996"/>
    <w:rsid w:val="00FC0DEB"/>
    <w:rsid w:val="00FC18CA"/>
    <w:rsid w:val="00FC2D66"/>
    <w:rsid w:val="00FC6D06"/>
    <w:rsid w:val="00FC6DEA"/>
    <w:rsid w:val="00FD1524"/>
    <w:rsid w:val="00FD1559"/>
    <w:rsid w:val="00FD67CD"/>
    <w:rsid w:val="00FE60B6"/>
    <w:rsid w:val="00FE6F6A"/>
    <w:rsid w:val="00FF2783"/>
    <w:rsid w:val="00FF53A9"/>
    <w:rsid w:val="00FF59F0"/>
    <w:rsid w:val="01E4A11F"/>
    <w:rsid w:val="02073229"/>
    <w:rsid w:val="0339938E"/>
    <w:rsid w:val="037D8D5F"/>
    <w:rsid w:val="041EDCCC"/>
    <w:rsid w:val="0430E631"/>
    <w:rsid w:val="04811F5A"/>
    <w:rsid w:val="04ABC650"/>
    <w:rsid w:val="06140F1F"/>
    <w:rsid w:val="06931C35"/>
    <w:rsid w:val="071BF25A"/>
    <w:rsid w:val="0729F35E"/>
    <w:rsid w:val="077DEE2A"/>
    <w:rsid w:val="07BF82ED"/>
    <w:rsid w:val="096E1DCF"/>
    <w:rsid w:val="0AFE0CFF"/>
    <w:rsid w:val="0B01D458"/>
    <w:rsid w:val="0B28AE36"/>
    <w:rsid w:val="0BBA9F39"/>
    <w:rsid w:val="0D12C89F"/>
    <w:rsid w:val="0D4778CA"/>
    <w:rsid w:val="0DEB247F"/>
    <w:rsid w:val="0E0210F6"/>
    <w:rsid w:val="10473682"/>
    <w:rsid w:val="104E792E"/>
    <w:rsid w:val="11E59BCA"/>
    <w:rsid w:val="12CFE99C"/>
    <w:rsid w:val="138C29D1"/>
    <w:rsid w:val="13C82CF5"/>
    <w:rsid w:val="1416E5C0"/>
    <w:rsid w:val="153AB285"/>
    <w:rsid w:val="157ABC52"/>
    <w:rsid w:val="15D72080"/>
    <w:rsid w:val="1615641E"/>
    <w:rsid w:val="1718A31D"/>
    <w:rsid w:val="172B4131"/>
    <w:rsid w:val="17936284"/>
    <w:rsid w:val="1817BFB7"/>
    <w:rsid w:val="1820A138"/>
    <w:rsid w:val="197A3D74"/>
    <w:rsid w:val="1AFF4FBF"/>
    <w:rsid w:val="1B4C78BD"/>
    <w:rsid w:val="1D19F693"/>
    <w:rsid w:val="1D605205"/>
    <w:rsid w:val="1DF8D45A"/>
    <w:rsid w:val="1F6A5BB6"/>
    <w:rsid w:val="1F6DD450"/>
    <w:rsid w:val="1FF0757E"/>
    <w:rsid w:val="2041306C"/>
    <w:rsid w:val="2115A3BE"/>
    <w:rsid w:val="21E9EB1D"/>
    <w:rsid w:val="248E353E"/>
    <w:rsid w:val="2507CD61"/>
    <w:rsid w:val="275075B9"/>
    <w:rsid w:val="2788BAFA"/>
    <w:rsid w:val="28B4240F"/>
    <w:rsid w:val="28C1BF10"/>
    <w:rsid w:val="29665309"/>
    <w:rsid w:val="29EF96D8"/>
    <w:rsid w:val="2B55565A"/>
    <w:rsid w:val="2B8B6E5A"/>
    <w:rsid w:val="2C1FE7D0"/>
    <w:rsid w:val="2CD40448"/>
    <w:rsid w:val="2D811E74"/>
    <w:rsid w:val="2E315E41"/>
    <w:rsid w:val="2F03B57E"/>
    <w:rsid w:val="2F4AA43B"/>
    <w:rsid w:val="2FF5E771"/>
    <w:rsid w:val="30C30472"/>
    <w:rsid w:val="315462E0"/>
    <w:rsid w:val="31D5D7B9"/>
    <w:rsid w:val="3210D8CF"/>
    <w:rsid w:val="327BDF10"/>
    <w:rsid w:val="32B6AC0C"/>
    <w:rsid w:val="32BFCCB2"/>
    <w:rsid w:val="34020438"/>
    <w:rsid w:val="3417F435"/>
    <w:rsid w:val="34573505"/>
    <w:rsid w:val="351CA2AB"/>
    <w:rsid w:val="361927B4"/>
    <w:rsid w:val="361D4798"/>
    <w:rsid w:val="36AB134C"/>
    <w:rsid w:val="3748A17B"/>
    <w:rsid w:val="37EAE1E8"/>
    <w:rsid w:val="37F04622"/>
    <w:rsid w:val="38AB6AEB"/>
    <w:rsid w:val="39E3ACF0"/>
    <w:rsid w:val="3A012EBE"/>
    <w:rsid w:val="3A0FFBE2"/>
    <w:rsid w:val="3A6D616A"/>
    <w:rsid w:val="3B354BD4"/>
    <w:rsid w:val="3CEFE99B"/>
    <w:rsid w:val="3D8B4B86"/>
    <w:rsid w:val="3DB7F2E0"/>
    <w:rsid w:val="3DF8CCB1"/>
    <w:rsid w:val="3E3082B0"/>
    <w:rsid w:val="3E7EBAE8"/>
    <w:rsid w:val="3E97C2E1"/>
    <w:rsid w:val="408D80E7"/>
    <w:rsid w:val="40B2813E"/>
    <w:rsid w:val="4111287C"/>
    <w:rsid w:val="418943E6"/>
    <w:rsid w:val="4267D798"/>
    <w:rsid w:val="435D3227"/>
    <w:rsid w:val="448D6666"/>
    <w:rsid w:val="452746F4"/>
    <w:rsid w:val="4667B769"/>
    <w:rsid w:val="46E956C5"/>
    <w:rsid w:val="490F8DB6"/>
    <w:rsid w:val="4984A1A6"/>
    <w:rsid w:val="499944DA"/>
    <w:rsid w:val="4B451FCF"/>
    <w:rsid w:val="4B7EEEFD"/>
    <w:rsid w:val="4BC915D5"/>
    <w:rsid w:val="4C019564"/>
    <w:rsid w:val="4D19E8CF"/>
    <w:rsid w:val="4D1E705F"/>
    <w:rsid w:val="4D96C4DE"/>
    <w:rsid w:val="4DDFE984"/>
    <w:rsid w:val="4DEF8595"/>
    <w:rsid w:val="4F7C2900"/>
    <w:rsid w:val="4F80DE76"/>
    <w:rsid w:val="5083CD0F"/>
    <w:rsid w:val="50986ED7"/>
    <w:rsid w:val="50FD03EC"/>
    <w:rsid w:val="53241D60"/>
    <w:rsid w:val="53A9F444"/>
    <w:rsid w:val="54AC1B80"/>
    <w:rsid w:val="55E80BCC"/>
    <w:rsid w:val="56792D12"/>
    <w:rsid w:val="57652AA8"/>
    <w:rsid w:val="58B99306"/>
    <w:rsid w:val="58F070BC"/>
    <w:rsid w:val="590D67CF"/>
    <w:rsid w:val="5963E25E"/>
    <w:rsid w:val="5AD922BD"/>
    <w:rsid w:val="5C86A13F"/>
    <w:rsid w:val="5DA18834"/>
    <w:rsid w:val="5DB5D529"/>
    <w:rsid w:val="5E084A43"/>
    <w:rsid w:val="5EC205A5"/>
    <w:rsid w:val="5F19373F"/>
    <w:rsid w:val="6031DDB0"/>
    <w:rsid w:val="60C8812E"/>
    <w:rsid w:val="61ADCB61"/>
    <w:rsid w:val="61F5EC23"/>
    <w:rsid w:val="624F93A5"/>
    <w:rsid w:val="6333B1E8"/>
    <w:rsid w:val="63383F1F"/>
    <w:rsid w:val="63A2F4EF"/>
    <w:rsid w:val="64136421"/>
    <w:rsid w:val="641BF36A"/>
    <w:rsid w:val="65091035"/>
    <w:rsid w:val="65E089BB"/>
    <w:rsid w:val="65F24912"/>
    <w:rsid w:val="65FD5796"/>
    <w:rsid w:val="660EA73A"/>
    <w:rsid w:val="671630B3"/>
    <w:rsid w:val="679A4AEF"/>
    <w:rsid w:val="679E47B2"/>
    <w:rsid w:val="6A7C09C0"/>
    <w:rsid w:val="6CE05673"/>
    <w:rsid w:val="6D995082"/>
    <w:rsid w:val="6DCF562F"/>
    <w:rsid w:val="6DFB4317"/>
    <w:rsid w:val="6E376AC5"/>
    <w:rsid w:val="6FB6CE36"/>
    <w:rsid w:val="7268075B"/>
    <w:rsid w:val="7277FA58"/>
    <w:rsid w:val="728F7222"/>
    <w:rsid w:val="728F9CBA"/>
    <w:rsid w:val="735A5D66"/>
    <w:rsid w:val="739C18EC"/>
    <w:rsid w:val="73DA4C9A"/>
    <w:rsid w:val="7422824B"/>
    <w:rsid w:val="74BC7DCA"/>
    <w:rsid w:val="74E1299A"/>
    <w:rsid w:val="75A82138"/>
    <w:rsid w:val="75AEFC18"/>
    <w:rsid w:val="77823E41"/>
    <w:rsid w:val="7987D9ED"/>
    <w:rsid w:val="7A01543A"/>
    <w:rsid w:val="7AB3DF97"/>
    <w:rsid w:val="7B2EFDEB"/>
    <w:rsid w:val="7C43868E"/>
    <w:rsid w:val="7CE943F9"/>
    <w:rsid w:val="7D3F332C"/>
    <w:rsid w:val="7D5AFDA7"/>
    <w:rsid w:val="7DAA34E9"/>
    <w:rsid w:val="7DE1024A"/>
    <w:rsid w:val="7E7BF1B3"/>
    <w:rsid w:val="7EBB4953"/>
    <w:rsid w:val="7F95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25E7"/>
  <w15:chartTrackingRefBased/>
  <w15:docId w15:val="{DF0E17AB-C8A1-474A-B7A0-9A2B050B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55B"/>
    <w:pPr>
      <w:spacing w:after="0" w:line="240" w:lineRule="auto"/>
    </w:pPr>
    <w:rPr>
      <w:rFonts w:ascii="Tahoma" w:eastAsia="Times New Roman" w:hAnsi="Tahoma" w:cs="Times New Roman"/>
      <w:kern w:val="0"/>
      <w:szCs w:val="22"/>
      <w14:ligatures w14:val="none"/>
    </w:rPr>
  </w:style>
  <w:style w:type="paragraph" w:styleId="Heading1">
    <w:name w:val="heading 1"/>
    <w:basedOn w:val="Normal"/>
    <w:next w:val="Normal"/>
    <w:link w:val="Heading1Char"/>
    <w:uiPriority w:val="9"/>
    <w:qFormat/>
    <w:rsid w:val="003E00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E00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00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00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E006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E006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E006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E006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E006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0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062"/>
    <w:rPr>
      <w:rFonts w:eastAsiaTheme="majorEastAsia" w:cstheme="majorBidi"/>
      <w:color w:val="272727" w:themeColor="text1" w:themeTint="D8"/>
    </w:rPr>
  </w:style>
  <w:style w:type="paragraph" w:styleId="Title">
    <w:name w:val="Title"/>
    <w:basedOn w:val="Normal"/>
    <w:next w:val="Normal"/>
    <w:link w:val="TitleChar"/>
    <w:uiPriority w:val="10"/>
    <w:qFormat/>
    <w:rsid w:val="003E006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0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06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0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06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E0062"/>
    <w:rPr>
      <w:i/>
      <w:iCs/>
      <w:color w:val="404040" w:themeColor="text1" w:themeTint="BF"/>
    </w:rPr>
  </w:style>
  <w:style w:type="paragraph" w:styleId="ListParagraph">
    <w:name w:val="List Paragraph"/>
    <w:basedOn w:val="Normal"/>
    <w:uiPriority w:val="34"/>
    <w:qFormat/>
    <w:rsid w:val="003E006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E0062"/>
    <w:rPr>
      <w:i/>
      <w:iCs/>
      <w:color w:val="0F4761" w:themeColor="accent1" w:themeShade="BF"/>
    </w:rPr>
  </w:style>
  <w:style w:type="paragraph" w:styleId="IntenseQuote">
    <w:name w:val="Intense Quote"/>
    <w:basedOn w:val="Normal"/>
    <w:next w:val="Normal"/>
    <w:link w:val="IntenseQuoteChar"/>
    <w:uiPriority w:val="30"/>
    <w:qFormat/>
    <w:rsid w:val="003E00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E0062"/>
    <w:rPr>
      <w:i/>
      <w:iCs/>
      <w:color w:val="0F4761" w:themeColor="accent1" w:themeShade="BF"/>
    </w:rPr>
  </w:style>
  <w:style w:type="character" w:styleId="IntenseReference">
    <w:name w:val="Intense Reference"/>
    <w:basedOn w:val="DefaultParagraphFont"/>
    <w:uiPriority w:val="32"/>
    <w:qFormat/>
    <w:rsid w:val="003E0062"/>
    <w:rPr>
      <w:b/>
      <w:bCs/>
      <w:smallCaps/>
      <w:color w:val="0F4761" w:themeColor="accent1" w:themeShade="BF"/>
      <w:spacing w:val="5"/>
    </w:rPr>
  </w:style>
  <w:style w:type="character" w:styleId="Hyperlink">
    <w:name w:val="Hyperlink"/>
    <w:basedOn w:val="DefaultParagraphFont"/>
    <w:uiPriority w:val="99"/>
    <w:unhideWhenUsed/>
    <w:rsid w:val="0067255B"/>
    <w:rPr>
      <w:color w:val="467886" w:themeColor="hyperlink"/>
      <w:u w:val="single"/>
    </w:rPr>
  </w:style>
  <w:style w:type="paragraph" w:styleId="CommentText">
    <w:name w:val="annotation text"/>
    <w:basedOn w:val="Normal"/>
    <w:link w:val="CommentTextChar"/>
    <w:uiPriority w:val="99"/>
    <w:unhideWhenUsed/>
    <w:rsid w:val="0067255B"/>
    <w:pPr>
      <w:spacing w:after="120"/>
    </w:pPr>
    <w:rPr>
      <w:sz w:val="20"/>
      <w:szCs w:val="20"/>
    </w:rPr>
  </w:style>
  <w:style w:type="character" w:customStyle="1" w:styleId="CommentTextChar">
    <w:name w:val="Comment Text Char"/>
    <w:basedOn w:val="DefaultParagraphFont"/>
    <w:link w:val="CommentText"/>
    <w:uiPriority w:val="99"/>
    <w:rsid w:val="0067255B"/>
    <w:rPr>
      <w:rFonts w:ascii="Tahoma" w:eastAsia="Times New Roman" w:hAnsi="Tahoma" w:cs="Times New Roman"/>
      <w:kern w:val="0"/>
      <w:sz w:val="20"/>
      <w:szCs w:val="20"/>
      <w14:ligatures w14:val="none"/>
    </w:rPr>
  </w:style>
  <w:style w:type="character" w:styleId="CommentReference">
    <w:name w:val="annotation reference"/>
    <w:basedOn w:val="DefaultParagraphFont"/>
    <w:uiPriority w:val="99"/>
    <w:semiHidden/>
    <w:unhideWhenUsed/>
    <w:rsid w:val="0067255B"/>
    <w:rPr>
      <w:sz w:val="16"/>
      <w:szCs w:val="16"/>
    </w:rPr>
  </w:style>
  <w:style w:type="paragraph" w:styleId="CommentSubject">
    <w:name w:val="annotation subject"/>
    <w:basedOn w:val="CommentText"/>
    <w:next w:val="CommentText"/>
    <w:link w:val="CommentSubjectChar"/>
    <w:uiPriority w:val="99"/>
    <w:semiHidden/>
    <w:unhideWhenUsed/>
    <w:rsid w:val="003D2F6E"/>
    <w:pPr>
      <w:spacing w:after="0"/>
    </w:pPr>
    <w:rPr>
      <w:b/>
      <w:bCs/>
    </w:rPr>
  </w:style>
  <w:style w:type="character" w:customStyle="1" w:styleId="CommentSubjectChar">
    <w:name w:val="Comment Subject Char"/>
    <w:basedOn w:val="CommentTextChar"/>
    <w:link w:val="CommentSubject"/>
    <w:uiPriority w:val="99"/>
    <w:semiHidden/>
    <w:rsid w:val="003D2F6E"/>
    <w:rPr>
      <w:rFonts w:ascii="Tahoma" w:eastAsia="Times New Roman" w:hAnsi="Tahoma" w:cs="Times New Roman"/>
      <w:b/>
      <w:bCs/>
      <w:kern w:val="0"/>
      <w:sz w:val="20"/>
      <w:szCs w:val="20"/>
      <w14:ligatures w14:val="none"/>
    </w:rPr>
  </w:style>
  <w:style w:type="character" w:styleId="UnresolvedMention">
    <w:name w:val="Unresolved Mention"/>
    <w:basedOn w:val="DefaultParagraphFont"/>
    <w:uiPriority w:val="99"/>
    <w:semiHidden/>
    <w:unhideWhenUsed/>
    <w:rsid w:val="00A25E65"/>
    <w:rPr>
      <w:color w:val="605E5C"/>
      <w:shd w:val="clear" w:color="auto" w:fill="E1DFDD"/>
    </w:rPr>
  </w:style>
  <w:style w:type="character" w:styleId="Mention">
    <w:name w:val="Mention"/>
    <w:basedOn w:val="DefaultParagraphFont"/>
    <w:uiPriority w:val="99"/>
    <w:unhideWhenUsed/>
    <w:rsid w:val="00140425"/>
    <w:rPr>
      <w:color w:val="2B579A"/>
      <w:shd w:val="clear" w:color="auto" w:fill="E1DFDD"/>
    </w:rPr>
  </w:style>
  <w:style w:type="paragraph" w:styleId="FootnoteText">
    <w:name w:val="footnote text"/>
    <w:basedOn w:val="Normal"/>
    <w:link w:val="FootnoteTextChar"/>
    <w:uiPriority w:val="99"/>
    <w:semiHidden/>
    <w:unhideWhenUsed/>
    <w:rsid w:val="008B7E9B"/>
    <w:rPr>
      <w:sz w:val="20"/>
      <w:szCs w:val="20"/>
    </w:rPr>
  </w:style>
  <w:style w:type="character" w:customStyle="1" w:styleId="FootnoteTextChar">
    <w:name w:val="Footnote Text Char"/>
    <w:basedOn w:val="DefaultParagraphFont"/>
    <w:link w:val="FootnoteText"/>
    <w:uiPriority w:val="99"/>
    <w:semiHidden/>
    <w:rsid w:val="008B7E9B"/>
    <w:rPr>
      <w:rFonts w:ascii="Tahoma" w:eastAsia="Times New Roman" w:hAnsi="Tahoma" w:cs="Times New Roman"/>
      <w:kern w:val="0"/>
      <w:sz w:val="20"/>
      <w:szCs w:val="20"/>
      <w14:ligatures w14:val="none"/>
    </w:rPr>
  </w:style>
  <w:style w:type="character" w:styleId="FootnoteReference">
    <w:name w:val="footnote reference"/>
    <w:uiPriority w:val="99"/>
    <w:semiHidden/>
    <w:unhideWhenUsed/>
    <w:rsid w:val="008B7E9B"/>
    <w:rPr>
      <w:vertAlign w:val="superscript"/>
    </w:rPr>
  </w:style>
  <w:style w:type="table" w:styleId="TableGrid">
    <w:name w:val="Table Grid"/>
    <w:basedOn w:val="TableNormal"/>
    <w:uiPriority w:val="39"/>
    <w:rsid w:val="0056339D"/>
    <w:pPr>
      <w:spacing w:after="0" w:line="240" w:lineRule="auto"/>
    </w:pPr>
    <w:rPr>
      <w:rFonts w:ascii="Calibri" w:eastAsia="Times New Roman" w:hAnsi="Calibri"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C6AD6"/>
    <w:rPr>
      <w:color w:val="96607D" w:themeColor="followedHyperlink"/>
      <w:u w:val="single"/>
    </w:rPr>
  </w:style>
  <w:style w:type="paragraph" w:styleId="Revision">
    <w:name w:val="Revision"/>
    <w:hidden/>
    <w:uiPriority w:val="99"/>
    <w:semiHidden/>
    <w:rsid w:val="00B86AA1"/>
    <w:pPr>
      <w:spacing w:after="0" w:line="240" w:lineRule="auto"/>
    </w:pPr>
    <w:rPr>
      <w:rFonts w:ascii="Tahoma" w:eastAsia="Times New Roman" w:hAnsi="Tahoma" w:cs="Times New Roman"/>
      <w:kern w:val="0"/>
      <w:szCs w:val="22"/>
      <w14:ligatures w14:val="none"/>
    </w:rPr>
  </w:style>
  <w:style w:type="paragraph" w:styleId="Header">
    <w:name w:val="header"/>
    <w:basedOn w:val="Normal"/>
    <w:link w:val="HeaderChar"/>
    <w:uiPriority w:val="99"/>
    <w:unhideWhenUsed/>
    <w:rsid w:val="00DB3353"/>
    <w:pPr>
      <w:tabs>
        <w:tab w:val="center" w:pos="4680"/>
        <w:tab w:val="right" w:pos="9360"/>
      </w:tabs>
    </w:pPr>
  </w:style>
  <w:style w:type="character" w:customStyle="1" w:styleId="HeaderChar">
    <w:name w:val="Header Char"/>
    <w:basedOn w:val="DefaultParagraphFont"/>
    <w:link w:val="Header"/>
    <w:uiPriority w:val="99"/>
    <w:rsid w:val="00DB3353"/>
    <w:rPr>
      <w:rFonts w:ascii="Tahoma" w:eastAsia="Times New Roman" w:hAnsi="Tahoma" w:cs="Times New Roman"/>
      <w:kern w:val="0"/>
      <w:szCs w:val="22"/>
      <w14:ligatures w14:val="none"/>
    </w:rPr>
  </w:style>
  <w:style w:type="paragraph" w:styleId="Footer">
    <w:name w:val="footer"/>
    <w:basedOn w:val="Normal"/>
    <w:link w:val="FooterChar"/>
    <w:uiPriority w:val="99"/>
    <w:unhideWhenUsed/>
    <w:rsid w:val="00DB3353"/>
    <w:pPr>
      <w:tabs>
        <w:tab w:val="center" w:pos="4680"/>
        <w:tab w:val="right" w:pos="9360"/>
      </w:tabs>
    </w:pPr>
  </w:style>
  <w:style w:type="character" w:customStyle="1" w:styleId="FooterChar">
    <w:name w:val="Footer Char"/>
    <w:basedOn w:val="DefaultParagraphFont"/>
    <w:link w:val="Footer"/>
    <w:uiPriority w:val="99"/>
    <w:rsid w:val="00DB3353"/>
    <w:rPr>
      <w:rFonts w:ascii="Tahoma" w:eastAsia="Times New Roman" w:hAnsi="Tahoma"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www.energy.ca.gov%2Fmedia%2F7893&amp;data=05%7C02%7C%7C35c42f8e139948b2575808de78916f33%7Cac3a124413f44ef68d1bbaa27148194e%7C0%7C0%7C639080763193639015%7CUnknown%7CTWFpbGZsb3d8eyJFbXB0eU1hcGkiOnRydWUsIlYiOiIwLjAuMDAwMCIsIlAiOiJXaW4zMiIsIkFOIjoiTWFpbCIsIldUIjoyfQ%3D%3D%7C0%7C%7C%7C&amp;sdata=PNFG8C%2BNS6zZuvX%2Bw3oOVwYE1rzC0Lkxpz5juJy0s5I%3D&amp;reserved=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ecams.energy.ca.gov%2Fs%2Flogin%2F&amp;data=05%7C02%7C%7C35c42f8e139948b2575808de78916f33%7Cac3a124413f44ef68d1bbaa27148194e%7C0%7C0%7C639080763193604803%7CUnknown%7CTWFpbGZsb3d8eyJFbXB0eU1hcGkiOnRydWUsIlYiOiIwLjAuMDAwMCIsIlAiOiJXaW4zMiIsIkFOIjoiTWFpbCIsIldUIjoyfQ%3D%3D%7C0%7C%7C%7C&amp;sdata=VRTrNuU84T9lsPq%2Fhm6tLe5t8mvXo70oOxQUD7Y0Kj0%3D&amp;reserved=0" TargetMode="External"/><Relationship Id="rId17" Type="http://schemas.openxmlformats.org/officeDocument/2006/relationships/hyperlink" Target="https://dot.ca.gov/programs/right-of-way/right-of-way-manual" TargetMode="External"/><Relationship Id="rId2" Type="http://schemas.openxmlformats.org/officeDocument/2006/relationships/customXml" Target="../customXml/item2.xml"/><Relationship Id="rId16" Type="http://schemas.openxmlformats.org/officeDocument/2006/relationships/hyperlink" Target="https://dot.ca.gov/-/media/dot-media/programs/local-assistance/documents/lapm/ch1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solicitations/2026-02/gfo-25-606-californias-national-electric-vehicle-infrastructure-formula" TargetMode="External"/><Relationship Id="rId5" Type="http://schemas.openxmlformats.org/officeDocument/2006/relationships/numbering" Target="numbering.xml"/><Relationship Id="rId15" Type="http://schemas.openxmlformats.org/officeDocument/2006/relationships/hyperlink" Target="https://gcc02.safelinks.protection.outlook.com/?url=https%3A%2F%2Fecams.energy.ca.gov%2Fs%2Flogin%2F&amp;data=05%7C02%7C%7C35c42f8e139948b2575808de78916f33%7Cac3a124413f44ef68d1bbaa27148194e%7C0%7C0%7C639080763193692335%7CUnknown%7CTWFpbGZsb3d8eyJFbXB0eU1hcGkiOnRydWUsIlYiOiIwLjAuMDAwMCIsIlAiOiJXaW4zMiIsIkFOIjoiTWFpbCIsIldUIjoyfQ%3D%3D%7C0%7C%7C%7C&amp;sdata=Ov%2BU917mZnPf3IWD0yR9VtKN9ACdiVztx8k0cvX%2BXuI%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energy.ca.gov%2Fmedia%2F7956&amp;data=05%7C02%7C%7C35c42f8e139948b2575808de78916f33%7Cac3a124413f44ef68d1bbaa27148194e%7C0%7C0%7C639080763193671000%7CUnknown%7CTWFpbGZsb3d8eyJFbXB0eU1hcGkiOnRydWUsIlYiOiIwLjAuMDAwMCIsIlAiOiJXaW4zMiIsIkFOIjoiTWFpbCIsIldUIjoyfQ%3D%3D%7C0%7C%7C%7C&amp;sdata=qH318NwLkqsYkfNnk3g1DWLQGTmjnJsJbD%2F%2BwQPe9M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c83cd0ea88a329b6a245c19cfeeebbb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354288912e48354b8dd674911b6dd9a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ateofPublicationorEvent xmlns="785685f2-c2e1-4352-89aa-3faca8eaba52" xsi:nil="true"/>
    <Sort_x0020_Order xmlns="785685f2-c2e1-4352-89aa-3faca8eaba52" xsi:nil="true"/>
    <TopicsofInterest xmlns="785685f2-c2e1-4352-89aa-3faca8eaba52" xsi:nil="true"/>
    <Obsolete xmlns="785685f2-c2e1-4352-89aa-3faca8eaba52">false</Obsolete>
    <Descr xmlns="785685f2-c2e1-4352-89aa-3faca8eaba52" xsi:nil="true"/>
    <Date xmlns="785685f2-c2e1-4352-89aa-3faca8eaba52" xsi:nil="true"/>
    <SharedWithUsers xmlns="5067c814-4b34-462c-a21d-c185ff6548d2">
      <UserInfo>
        <DisplayName/>
        <AccountId xsi:nil="true"/>
        <AccountType/>
      </UserInfo>
    </SharedWithUsers>
  </documentManagement>
</p:properties>
</file>

<file path=customXml/itemProps1.xml><?xml version="1.0" encoding="utf-8"?>
<ds:datastoreItem xmlns:ds="http://schemas.openxmlformats.org/officeDocument/2006/customXml" ds:itemID="{0E54EC35-89C0-4F22-8C6D-547236FB0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67B15-16BE-49D9-9C95-75D0D8CFA3DA}">
  <ds:schemaRefs>
    <ds:schemaRef ds:uri="http://schemas.microsoft.com/sharepoint/v3/contenttype/forms"/>
  </ds:schemaRefs>
</ds:datastoreItem>
</file>

<file path=customXml/itemProps3.xml><?xml version="1.0" encoding="utf-8"?>
<ds:datastoreItem xmlns:ds="http://schemas.openxmlformats.org/officeDocument/2006/customXml" ds:itemID="{5F02ABDD-A71C-4AF3-B63E-2E8FFA3C94AC}">
  <ds:schemaRefs>
    <ds:schemaRef ds:uri="http://schemas.openxmlformats.org/officeDocument/2006/bibliography"/>
  </ds:schemaRefs>
</ds:datastoreItem>
</file>

<file path=customXml/itemProps4.xml><?xml version="1.0" encoding="utf-8"?>
<ds:datastoreItem xmlns:ds="http://schemas.openxmlformats.org/officeDocument/2006/customXml" ds:itemID="{F2E620FD-AE22-4793-A273-614F45507CCC}">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Links>
    <vt:vector size="198" baseType="variant">
      <vt:variant>
        <vt:i4>2162806</vt:i4>
      </vt:variant>
      <vt:variant>
        <vt:i4>36</vt:i4>
      </vt:variant>
      <vt:variant>
        <vt:i4>0</vt:i4>
      </vt:variant>
      <vt:variant>
        <vt:i4>5</vt:i4>
      </vt:variant>
      <vt:variant>
        <vt:lpwstr>https://www.energy.ca.gov/event/funding-workshop/2026-02/pre-application-workshop-gfo-25-606-californias-national-electric</vt:lpwstr>
      </vt:variant>
      <vt:variant>
        <vt:lpwstr/>
      </vt:variant>
      <vt:variant>
        <vt:i4>0</vt:i4>
      </vt:variant>
      <vt:variant>
        <vt:i4>33</vt:i4>
      </vt:variant>
      <vt:variant>
        <vt:i4>0</vt:i4>
      </vt:variant>
      <vt:variant>
        <vt:i4>5</vt:i4>
      </vt:variant>
      <vt:variant>
        <vt:lpwstr>https://caenergy.sharepoint.com/:f:/s/FTD/IgD_jgWRV6NlSpMJT5YC5ByiAWhu-rbU__QP8RIcC3E_SBc?e=G9uuZGhttps://caenergy.sharepoint.com/:f:/s/FTD/IgD_jgWRV6NlSpMJT5YC5ByiAWhu-rbU__QP8RIcC3E_SBc?e=G9uuZG</vt:lpwstr>
      </vt:variant>
      <vt:variant>
        <vt:lpwstr/>
      </vt:variant>
      <vt:variant>
        <vt:i4>1638512</vt:i4>
      </vt:variant>
      <vt:variant>
        <vt:i4>30</vt:i4>
      </vt:variant>
      <vt:variant>
        <vt:i4>0</vt:i4>
      </vt:variant>
      <vt:variant>
        <vt:i4>5</vt:i4>
      </vt:variant>
      <vt:variant>
        <vt:lpwstr>https://caenergy.sharepoint.com/:f:/s/FTD/IgAnSuz_VMGuSoC1w7l5uisLAfDOC1PaDDmhXTUXx8pii0g?e=hNnqxN</vt:lpwstr>
      </vt:variant>
      <vt:variant>
        <vt:lpwstr/>
      </vt:variant>
      <vt:variant>
        <vt:i4>6029329</vt:i4>
      </vt:variant>
      <vt:variant>
        <vt:i4>24</vt:i4>
      </vt:variant>
      <vt:variant>
        <vt:i4>0</vt:i4>
      </vt:variant>
      <vt:variant>
        <vt:i4>5</vt:i4>
      </vt:variant>
      <vt:variant>
        <vt:lpwstr>https://dot.ca.gov/programs/right-of-way/right-of-way-manual</vt:lpwstr>
      </vt:variant>
      <vt:variant>
        <vt:lpwstr/>
      </vt:variant>
      <vt:variant>
        <vt:i4>8192040</vt:i4>
      </vt:variant>
      <vt:variant>
        <vt:i4>21</vt:i4>
      </vt:variant>
      <vt:variant>
        <vt:i4>0</vt:i4>
      </vt:variant>
      <vt:variant>
        <vt:i4>5</vt:i4>
      </vt:variant>
      <vt:variant>
        <vt:lpwstr>https://dot.ca.gov/-/media/dot-media/programs/local-assistance/documents/lapm/ch13.pdf</vt:lpwstr>
      </vt:variant>
      <vt:variant>
        <vt:lpwstr/>
      </vt:variant>
      <vt:variant>
        <vt:i4>4128824</vt:i4>
      </vt:variant>
      <vt:variant>
        <vt:i4>18</vt:i4>
      </vt:variant>
      <vt:variant>
        <vt:i4>0</vt:i4>
      </vt:variant>
      <vt:variant>
        <vt:i4>5</vt:i4>
      </vt:variant>
      <vt:variant>
        <vt:lpwstr>https://gcc02.safelinks.protection.outlook.com/?url=https%3A%2F%2Fecams.energy.ca.gov%2Fs%2Flogin%2F&amp;data=05%7C02%7C%7C35c42f8e139948b2575808de78916f33%7Cac3a124413f44ef68d1bbaa27148194e%7C0%7C0%7C639080763193692335%7CUnknown%7CTWFpbGZsb3d8eyJFbXB0eU1hcGkiOnRydWUsIlYiOiIwLjAuMDAwMCIsIlAiOiJXaW4zMiIsIkFOIjoiTWFpbCIsIldUIjoyfQ%3D%3D%7C0%7C%7C%7C&amp;sdata=Ov%2BU917mZnPf3IWD0yR9VtKN9ACdiVztx8k0cvX%2BXuI%3D&amp;reserved=0</vt:lpwstr>
      </vt:variant>
      <vt:variant>
        <vt:lpwstr/>
      </vt:variant>
      <vt:variant>
        <vt:i4>6881378</vt:i4>
      </vt:variant>
      <vt:variant>
        <vt:i4>15</vt:i4>
      </vt:variant>
      <vt:variant>
        <vt:i4>0</vt:i4>
      </vt:variant>
      <vt:variant>
        <vt:i4>5</vt:i4>
      </vt:variant>
      <vt:variant>
        <vt:lpwstr>https://gcc02.safelinks.protection.outlook.com/?url=https%3A%2F%2Fwww.energy.ca.gov%2Fmedia%2F7956&amp;data=05%7C02%7C%7C35c42f8e139948b2575808de78916f33%7Cac3a124413f44ef68d1bbaa27148194e%7C0%7C0%7C639080763193671000%7CUnknown%7CTWFpbGZsb3d8eyJFbXB0eU1hcGkiOnRydWUsIlYiOiIwLjAuMDAwMCIsIlAiOiJXaW4zMiIsIkFOIjoiTWFpbCIsIldUIjoyfQ%3D%3D%7C0%7C%7C%7C&amp;sdata=qH318NwLkqsYkfNnk3g1DWLQGTmjnJsJbD%2F%2BwQPe9MQ%3D&amp;reserved=0</vt:lpwstr>
      </vt:variant>
      <vt:variant>
        <vt:lpwstr/>
      </vt:variant>
      <vt:variant>
        <vt:i4>6553711</vt:i4>
      </vt:variant>
      <vt:variant>
        <vt:i4>12</vt:i4>
      </vt:variant>
      <vt:variant>
        <vt:i4>0</vt:i4>
      </vt:variant>
      <vt:variant>
        <vt:i4>5</vt:i4>
      </vt:variant>
      <vt:variant>
        <vt:lpwstr>https://gcc02.safelinks.protection.outlook.com/?url=https%3A%2F%2Fwww.energy.ca.gov%2Fmedia%2F7893&amp;data=05%7C02%7C%7C35c42f8e139948b2575808de78916f33%7Cac3a124413f44ef68d1bbaa27148194e%7C0%7C0%7C639080763193639015%7CUnknown%7CTWFpbGZsb3d8eyJFbXB0eU1hcGkiOnRydWUsIlYiOiIwLjAuMDAwMCIsIlAiOiJXaW4zMiIsIkFOIjoiTWFpbCIsIldUIjoyfQ%3D%3D%7C0%7C%7C%7C&amp;sdata=PNFG8C%2BNS6zZuvX%2Bw3oOVwYE1rzC0Lkxpz5juJy0s5I%3D&amp;reserved=0</vt:lpwstr>
      </vt:variant>
      <vt:variant>
        <vt:lpwstr/>
      </vt:variant>
      <vt:variant>
        <vt:i4>3801148</vt:i4>
      </vt:variant>
      <vt:variant>
        <vt:i4>9</vt:i4>
      </vt:variant>
      <vt:variant>
        <vt:i4>0</vt:i4>
      </vt:variant>
      <vt:variant>
        <vt:i4>5</vt:i4>
      </vt:variant>
      <vt:variant>
        <vt:lpwstr>https://gcc02.safelinks.protection.outlook.com/?url=https%3A%2F%2Fecams.energy.ca.gov%2Fs%2Flogin%2F&amp;data=05%7C02%7C%7C35c42f8e139948b2575808de78916f33%7Cac3a124413f44ef68d1bbaa27148194e%7C0%7C0%7C639080763193604803%7CUnknown%7CTWFpbGZsb3d8eyJFbXB0eU1hcGkiOnRydWUsIlYiOiIwLjAuMDAwMCIsIlAiOiJXaW4zMiIsIkFOIjoiTWFpbCIsIldUIjoyfQ%3D%3D%7C0%7C%7C%7C&amp;sdata=VRTrNuU84T9lsPq%2Fhm6tLe5t8mvXo70oOxQUD7Y0Kj0%3D&amp;reserved=0</vt:lpwstr>
      </vt:variant>
      <vt:variant>
        <vt:lpwstr/>
      </vt:variant>
      <vt:variant>
        <vt:i4>7667761</vt:i4>
      </vt:variant>
      <vt:variant>
        <vt:i4>3</vt:i4>
      </vt:variant>
      <vt:variant>
        <vt:i4>0</vt:i4>
      </vt:variant>
      <vt:variant>
        <vt:i4>5</vt:i4>
      </vt:variant>
      <vt:variant>
        <vt:lpwstr>https://www.energy.ca.gov/solicitations/2026-02/gfo-25-606-californias-national-electric-vehicle-infrastructure-formula</vt:lpwstr>
      </vt:variant>
      <vt:variant>
        <vt:lpwstr/>
      </vt:variant>
      <vt:variant>
        <vt:i4>2162696</vt:i4>
      </vt:variant>
      <vt:variant>
        <vt:i4>66</vt:i4>
      </vt:variant>
      <vt:variant>
        <vt:i4>0</vt:i4>
      </vt:variant>
      <vt:variant>
        <vt:i4>5</vt:i4>
      </vt:variant>
      <vt:variant>
        <vt:lpwstr>mailto:mitchell.prevost@energy.ca.gov</vt:lpwstr>
      </vt:variant>
      <vt:variant>
        <vt:lpwstr/>
      </vt:variant>
      <vt:variant>
        <vt:i4>524348</vt:i4>
      </vt:variant>
      <vt:variant>
        <vt:i4>63</vt:i4>
      </vt:variant>
      <vt:variant>
        <vt:i4>0</vt:i4>
      </vt:variant>
      <vt:variant>
        <vt:i4>5</vt:i4>
      </vt:variant>
      <vt:variant>
        <vt:lpwstr>mailto:jane.berner@energy.ca.gov</vt:lpwstr>
      </vt:variant>
      <vt:variant>
        <vt:lpwstr/>
      </vt:variant>
      <vt:variant>
        <vt:i4>3407877</vt:i4>
      </vt:variant>
      <vt:variant>
        <vt:i4>60</vt:i4>
      </vt:variant>
      <vt:variant>
        <vt:i4>0</vt:i4>
      </vt:variant>
      <vt:variant>
        <vt:i4>5</vt:i4>
      </vt:variant>
      <vt:variant>
        <vt:lpwstr>mailto:Charles.Smith@energy.ca.gov</vt:lpwstr>
      </vt:variant>
      <vt:variant>
        <vt:lpwstr/>
      </vt:variant>
      <vt:variant>
        <vt:i4>6226032</vt:i4>
      </vt:variant>
      <vt:variant>
        <vt:i4>57</vt:i4>
      </vt:variant>
      <vt:variant>
        <vt:i4>0</vt:i4>
      </vt:variant>
      <vt:variant>
        <vt:i4>5</vt:i4>
      </vt:variant>
      <vt:variant>
        <vt:lpwstr>mailto:nicholas.driemeyer@energy.ca.gov</vt:lpwstr>
      </vt:variant>
      <vt:variant>
        <vt:lpwstr/>
      </vt:variant>
      <vt:variant>
        <vt:i4>7340107</vt:i4>
      </vt:variant>
      <vt:variant>
        <vt:i4>54</vt:i4>
      </vt:variant>
      <vt:variant>
        <vt:i4>0</vt:i4>
      </vt:variant>
      <vt:variant>
        <vt:i4>5</vt:i4>
      </vt:variant>
      <vt:variant>
        <vt:lpwstr>mailto:melanie.vail@energy.ca.gov</vt:lpwstr>
      </vt:variant>
      <vt:variant>
        <vt:lpwstr/>
      </vt:variant>
      <vt:variant>
        <vt:i4>6226032</vt:i4>
      </vt:variant>
      <vt:variant>
        <vt:i4>51</vt:i4>
      </vt:variant>
      <vt:variant>
        <vt:i4>0</vt:i4>
      </vt:variant>
      <vt:variant>
        <vt:i4>5</vt:i4>
      </vt:variant>
      <vt:variant>
        <vt:lpwstr>mailto:nicholas.driemeyer@energy.ca.gov</vt:lpwstr>
      </vt:variant>
      <vt:variant>
        <vt:lpwstr/>
      </vt:variant>
      <vt:variant>
        <vt:i4>3407877</vt:i4>
      </vt:variant>
      <vt:variant>
        <vt:i4>48</vt:i4>
      </vt:variant>
      <vt:variant>
        <vt:i4>0</vt:i4>
      </vt:variant>
      <vt:variant>
        <vt:i4>5</vt:i4>
      </vt:variant>
      <vt:variant>
        <vt:lpwstr>mailto:Charles.Smith@energy.ca.gov</vt:lpwstr>
      </vt:variant>
      <vt:variant>
        <vt:lpwstr/>
      </vt:variant>
      <vt:variant>
        <vt:i4>524348</vt:i4>
      </vt:variant>
      <vt:variant>
        <vt:i4>45</vt:i4>
      </vt:variant>
      <vt:variant>
        <vt:i4>0</vt:i4>
      </vt:variant>
      <vt:variant>
        <vt:i4>5</vt:i4>
      </vt:variant>
      <vt:variant>
        <vt:lpwstr>mailto:jane.berner@energy.ca.gov</vt:lpwstr>
      </vt:variant>
      <vt:variant>
        <vt:lpwstr/>
      </vt:variant>
      <vt:variant>
        <vt:i4>2162696</vt:i4>
      </vt:variant>
      <vt:variant>
        <vt:i4>42</vt:i4>
      </vt:variant>
      <vt:variant>
        <vt:i4>0</vt:i4>
      </vt:variant>
      <vt:variant>
        <vt:i4>5</vt:i4>
      </vt:variant>
      <vt:variant>
        <vt:lpwstr>mailto:mitchell.prevost@energy.ca.gov</vt:lpwstr>
      </vt:variant>
      <vt:variant>
        <vt:lpwstr/>
      </vt:variant>
      <vt:variant>
        <vt:i4>524348</vt:i4>
      </vt:variant>
      <vt:variant>
        <vt:i4>39</vt:i4>
      </vt:variant>
      <vt:variant>
        <vt:i4>0</vt:i4>
      </vt:variant>
      <vt:variant>
        <vt:i4>5</vt:i4>
      </vt:variant>
      <vt:variant>
        <vt:lpwstr>mailto:jane.berner@energy.ca.gov</vt:lpwstr>
      </vt:variant>
      <vt:variant>
        <vt:lpwstr/>
      </vt:variant>
      <vt:variant>
        <vt:i4>2162696</vt:i4>
      </vt:variant>
      <vt:variant>
        <vt:i4>36</vt:i4>
      </vt:variant>
      <vt:variant>
        <vt:i4>0</vt:i4>
      </vt:variant>
      <vt:variant>
        <vt:i4>5</vt:i4>
      </vt:variant>
      <vt:variant>
        <vt:lpwstr>mailto:mitchell.prevost@energy.ca.gov</vt:lpwstr>
      </vt:variant>
      <vt:variant>
        <vt:lpwstr/>
      </vt:variant>
      <vt:variant>
        <vt:i4>524348</vt:i4>
      </vt:variant>
      <vt:variant>
        <vt:i4>33</vt:i4>
      </vt:variant>
      <vt:variant>
        <vt:i4>0</vt:i4>
      </vt:variant>
      <vt:variant>
        <vt:i4>5</vt:i4>
      </vt:variant>
      <vt:variant>
        <vt:lpwstr>mailto:jane.berner@energy.ca.gov</vt:lpwstr>
      </vt:variant>
      <vt:variant>
        <vt:lpwstr/>
      </vt:variant>
      <vt:variant>
        <vt:i4>3407877</vt:i4>
      </vt:variant>
      <vt:variant>
        <vt:i4>30</vt:i4>
      </vt:variant>
      <vt:variant>
        <vt:i4>0</vt:i4>
      </vt:variant>
      <vt:variant>
        <vt:i4>5</vt:i4>
      </vt:variant>
      <vt:variant>
        <vt:lpwstr>mailto:Charles.Smith@energy.ca.gov</vt:lpwstr>
      </vt:variant>
      <vt:variant>
        <vt:lpwstr/>
      </vt:variant>
      <vt:variant>
        <vt:i4>524348</vt:i4>
      </vt:variant>
      <vt:variant>
        <vt:i4>27</vt:i4>
      </vt:variant>
      <vt:variant>
        <vt:i4>0</vt:i4>
      </vt:variant>
      <vt:variant>
        <vt:i4>5</vt:i4>
      </vt:variant>
      <vt:variant>
        <vt:lpwstr>mailto:jane.berner@energy.ca.gov</vt:lpwstr>
      </vt:variant>
      <vt:variant>
        <vt:lpwstr/>
      </vt:variant>
      <vt:variant>
        <vt:i4>2162696</vt:i4>
      </vt:variant>
      <vt:variant>
        <vt:i4>24</vt:i4>
      </vt:variant>
      <vt:variant>
        <vt:i4>0</vt:i4>
      </vt:variant>
      <vt:variant>
        <vt:i4>5</vt:i4>
      </vt:variant>
      <vt:variant>
        <vt:lpwstr>mailto:mitchell.prevost@energy.ca.gov</vt:lpwstr>
      </vt:variant>
      <vt:variant>
        <vt:lpwstr/>
      </vt:variant>
      <vt:variant>
        <vt:i4>3407877</vt:i4>
      </vt:variant>
      <vt:variant>
        <vt:i4>21</vt:i4>
      </vt:variant>
      <vt:variant>
        <vt:i4>0</vt:i4>
      </vt:variant>
      <vt:variant>
        <vt:i4>5</vt:i4>
      </vt:variant>
      <vt:variant>
        <vt:lpwstr>mailto:Charles.Smith@energy.ca.gov</vt:lpwstr>
      </vt:variant>
      <vt:variant>
        <vt:lpwstr/>
      </vt:variant>
      <vt:variant>
        <vt:i4>524348</vt:i4>
      </vt:variant>
      <vt:variant>
        <vt:i4>18</vt:i4>
      </vt:variant>
      <vt:variant>
        <vt:i4>0</vt:i4>
      </vt:variant>
      <vt:variant>
        <vt:i4>5</vt:i4>
      </vt:variant>
      <vt:variant>
        <vt:lpwstr>mailto:jane.berner@energy.ca.gov</vt:lpwstr>
      </vt:variant>
      <vt:variant>
        <vt:lpwstr/>
      </vt:variant>
      <vt:variant>
        <vt:i4>524348</vt:i4>
      </vt:variant>
      <vt:variant>
        <vt:i4>15</vt:i4>
      </vt:variant>
      <vt:variant>
        <vt:i4>0</vt:i4>
      </vt:variant>
      <vt:variant>
        <vt:i4>5</vt:i4>
      </vt:variant>
      <vt:variant>
        <vt:lpwstr>mailto:jane.berner@energy.ca.gov</vt:lpwstr>
      </vt:variant>
      <vt:variant>
        <vt:lpwstr/>
      </vt:variant>
      <vt:variant>
        <vt:i4>2162696</vt:i4>
      </vt:variant>
      <vt:variant>
        <vt:i4>12</vt:i4>
      </vt:variant>
      <vt:variant>
        <vt:i4>0</vt:i4>
      </vt:variant>
      <vt:variant>
        <vt:i4>5</vt:i4>
      </vt:variant>
      <vt:variant>
        <vt:lpwstr>mailto:mitchell.prevost@energy.ca.gov</vt:lpwstr>
      </vt:variant>
      <vt:variant>
        <vt:lpwstr/>
      </vt:variant>
      <vt:variant>
        <vt:i4>2162696</vt:i4>
      </vt:variant>
      <vt:variant>
        <vt:i4>9</vt:i4>
      </vt:variant>
      <vt:variant>
        <vt:i4>0</vt:i4>
      </vt:variant>
      <vt:variant>
        <vt:i4>5</vt:i4>
      </vt:variant>
      <vt:variant>
        <vt:lpwstr>mailto:mitchell.prevost@energy.ca.gov</vt:lpwstr>
      </vt:variant>
      <vt:variant>
        <vt:lpwstr/>
      </vt:variant>
      <vt:variant>
        <vt:i4>524348</vt:i4>
      </vt:variant>
      <vt:variant>
        <vt:i4>6</vt:i4>
      </vt:variant>
      <vt:variant>
        <vt:i4>0</vt:i4>
      </vt:variant>
      <vt:variant>
        <vt:i4>5</vt:i4>
      </vt:variant>
      <vt:variant>
        <vt:lpwstr>mailto:jane.berner@energy.ca.gov</vt:lpwstr>
      </vt:variant>
      <vt:variant>
        <vt:lpwstr/>
      </vt:variant>
      <vt:variant>
        <vt:i4>2162696</vt:i4>
      </vt:variant>
      <vt:variant>
        <vt:i4>3</vt:i4>
      </vt:variant>
      <vt:variant>
        <vt:i4>0</vt:i4>
      </vt:variant>
      <vt:variant>
        <vt:i4>5</vt:i4>
      </vt:variant>
      <vt:variant>
        <vt:lpwstr>mailto:mitchell.prevost@energy.ca.gov</vt:lpwstr>
      </vt:variant>
      <vt:variant>
        <vt:lpwstr/>
      </vt:variant>
      <vt:variant>
        <vt:i4>524348</vt:i4>
      </vt:variant>
      <vt:variant>
        <vt:i4>0</vt:i4>
      </vt:variant>
      <vt:variant>
        <vt:i4>0</vt:i4>
      </vt:variant>
      <vt:variant>
        <vt:i4>5</vt:i4>
      </vt:variant>
      <vt:variant>
        <vt:lpwstr>mailto:jane.berner@energy.ca.gov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Meserth, Joshua@Energy</dc:creator>
  <cp:keywords/>
  <dc:description/>
  <cp:lastModifiedBy>Lemos-Adair, Eunice@Energy</cp:lastModifiedBy>
  <cp:revision>4</cp:revision>
  <dcterms:created xsi:type="dcterms:W3CDTF">2026-05-04T19:03:00Z</dcterms:created>
  <dcterms:modified xsi:type="dcterms:W3CDTF">2026-05-04T20:26:00Z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