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052A" w14:textId="09501636" w:rsidR="00FC47C1" w:rsidRPr="000B10AB" w:rsidRDefault="009B1AAB" w:rsidP="00FC47C1">
      <w:pPr>
        <w:pStyle w:val="paragraph"/>
        <w:spacing w:before="0" w:after="0"/>
        <w:ind w:left="4320"/>
        <w:jc w:val="right"/>
        <w:textAlignment w:val="baseline"/>
        <w:rPr>
          <w:rStyle w:val="normaltextrun"/>
          <w:rFonts w:ascii="Tahoma" w:hAnsi="Tahoma" w:cs="Tahoma"/>
          <w:color w:val="000000" w:themeColor="text1"/>
        </w:rPr>
      </w:pPr>
      <w:r>
        <w:rPr>
          <w:rStyle w:val="normaltextrun"/>
          <w:rFonts w:ascii="Tahoma" w:hAnsi="Tahoma" w:cs="Tahoma"/>
          <w:color w:val="000000" w:themeColor="text1"/>
        </w:rPr>
        <w:t>May</w:t>
      </w:r>
      <w:r w:rsidR="000B10AB" w:rsidRPr="000B10AB">
        <w:rPr>
          <w:rStyle w:val="normaltextrun"/>
          <w:rFonts w:ascii="Tahoma" w:hAnsi="Tahoma" w:cs="Tahoma"/>
          <w:color w:val="000000" w:themeColor="text1"/>
        </w:rPr>
        <w:t xml:space="preserve"> </w:t>
      </w:r>
      <w:r w:rsidR="00D87ADB" w:rsidRPr="00E53DDD">
        <w:rPr>
          <w:rStyle w:val="normaltextrun"/>
          <w:rFonts w:ascii="Tahoma" w:hAnsi="Tahoma" w:cs="Tahoma"/>
          <w:color w:val="000000" w:themeColor="text1"/>
        </w:rPr>
        <w:t>2</w:t>
      </w:r>
      <w:r w:rsidR="003F2C20" w:rsidRPr="00E53DDD">
        <w:rPr>
          <w:rStyle w:val="normaltextrun"/>
          <w:rFonts w:ascii="Tahoma" w:hAnsi="Tahoma" w:cs="Tahoma"/>
          <w:color w:val="000000" w:themeColor="text1"/>
        </w:rPr>
        <w:t>9</w:t>
      </w:r>
      <w:r w:rsidR="000B10AB" w:rsidRPr="000B10AB">
        <w:rPr>
          <w:rStyle w:val="normaltextrun"/>
          <w:rFonts w:ascii="Tahoma" w:hAnsi="Tahoma" w:cs="Tahoma"/>
          <w:color w:val="000000" w:themeColor="text1"/>
        </w:rPr>
        <w:t>, 2026</w:t>
      </w:r>
    </w:p>
    <w:p w14:paraId="714F7108" w14:textId="73D0FCAE" w:rsidR="00FC47C1" w:rsidRPr="00263551" w:rsidRDefault="00FC47C1" w:rsidP="6FDC2AF9">
      <w:pPr>
        <w:pStyle w:val="Heading1"/>
        <w:jc w:val="center"/>
        <w:rPr>
          <w:rFonts w:ascii="Segoe UI" w:hAnsi="Segoe UI" w:cs="Segoe UI"/>
          <w:color w:val="000000" w:themeColor="text1"/>
          <w:sz w:val="24"/>
          <w:szCs w:val="24"/>
        </w:rPr>
      </w:pPr>
      <w:r w:rsidRPr="6FDC2AF9">
        <w:rPr>
          <w:rStyle w:val="normaltextrun"/>
          <w:rFonts w:ascii="Tahoma" w:hAnsi="Tahoma" w:cs="Tahoma"/>
          <w:b/>
          <w:bCs/>
          <w:color w:val="000000" w:themeColor="text1"/>
          <w:sz w:val="24"/>
          <w:szCs w:val="24"/>
        </w:rPr>
        <w:t>GFO-2</w:t>
      </w:r>
      <w:r w:rsidR="009B1AAB" w:rsidRPr="6FDC2AF9">
        <w:rPr>
          <w:rStyle w:val="normaltextrun"/>
          <w:rFonts w:ascii="Tahoma" w:hAnsi="Tahoma" w:cs="Tahoma"/>
          <w:b/>
          <w:bCs/>
          <w:color w:val="000000" w:themeColor="text1"/>
          <w:sz w:val="24"/>
          <w:szCs w:val="24"/>
        </w:rPr>
        <w:t>5</w:t>
      </w:r>
      <w:r w:rsidRPr="6FDC2AF9">
        <w:rPr>
          <w:rStyle w:val="normaltextrun"/>
          <w:rFonts w:ascii="Tahoma" w:hAnsi="Tahoma" w:cs="Tahoma"/>
          <w:b/>
          <w:bCs/>
          <w:color w:val="000000" w:themeColor="text1"/>
          <w:sz w:val="24"/>
          <w:szCs w:val="24"/>
        </w:rPr>
        <w:t>-6</w:t>
      </w:r>
      <w:r w:rsidR="009B1AAB" w:rsidRPr="6FDC2AF9">
        <w:rPr>
          <w:rStyle w:val="normaltextrun"/>
          <w:rFonts w:ascii="Tahoma" w:hAnsi="Tahoma" w:cs="Tahoma"/>
          <w:b/>
          <w:bCs/>
          <w:color w:val="000000" w:themeColor="text1"/>
          <w:sz w:val="24"/>
          <w:szCs w:val="24"/>
        </w:rPr>
        <w:t>07</w:t>
      </w:r>
      <w:r>
        <w:rPr>
          <w:rStyle w:val="eop"/>
          <w:rFonts w:ascii="Tahoma" w:hAnsi="Tahoma" w:cs="Tahoma"/>
          <w:color w:val="000000" w:themeColor="text1"/>
          <w:sz w:val="24"/>
          <w:szCs w:val="24"/>
        </w:rPr>
        <w:br/>
      </w:r>
      <w:r w:rsidR="009B1AAB" w:rsidRPr="6FDC2AF9">
        <w:rPr>
          <w:rStyle w:val="normaltextrun"/>
          <w:rFonts w:ascii="Tahoma" w:hAnsi="Tahoma" w:cs="Tahoma"/>
          <w:b/>
          <w:bCs/>
          <w:color w:val="000000" w:themeColor="text1"/>
          <w:sz w:val="24"/>
          <w:szCs w:val="24"/>
        </w:rPr>
        <w:t>Hydrogen Infrastructure Project Opportunity (HIPO)</w:t>
      </w:r>
      <w:r>
        <w:rPr>
          <w:rStyle w:val="normaltextrun"/>
          <w:rFonts w:ascii="Tahoma" w:hAnsi="Tahoma" w:cs="Tahoma"/>
          <w:b/>
          <w:color w:val="000000" w:themeColor="text1"/>
          <w:sz w:val="24"/>
          <w:szCs w:val="24"/>
        </w:rPr>
        <w:br/>
      </w:r>
      <w:r w:rsidRPr="6FDC2AF9">
        <w:rPr>
          <w:rStyle w:val="normaltextrun"/>
          <w:rFonts w:ascii="Tahoma" w:hAnsi="Tahoma" w:cs="Tahoma"/>
          <w:b/>
          <w:bCs/>
          <w:color w:val="000000" w:themeColor="text1"/>
          <w:sz w:val="24"/>
          <w:szCs w:val="24"/>
        </w:rPr>
        <w:t>Addendum </w:t>
      </w:r>
      <w:r w:rsidR="00D9379E">
        <w:rPr>
          <w:rStyle w:val="normaltextrun"/>
          <w:rFonts w:ascii="Tahoma" w:hAnsi="Tahoma" w:cs="Tahoma"/>
          <w:b/>
          <w:bCs/>
          <w:color w:val="000000" w:themeColor="text1"/>
          <w:sz w:val="24"/>
          <w:szCs w:val="24"/>
        </w:rPr>
        <w:t>2</w:t>
      </w:r>
    </w:p>
    <w:p w14:paraId="0FB02F41" w14:textId="77777777" w:rsidR="00FC47C1" w:rsidRDefault="00FC47C1" w:rsidP="00FC47C1">
      <w:pPr>
        <w:pStyle w:val="paragraph"/>
        <w:spacing w:before="0" w:beforeAutospacing="0" w:after="0" w:afterAutospacing="0"/>
        <w:jc w:val="center"/>
        <w:textAlignment w:val="baseline"/>
        <w:rPr>
          <w:rFonts w:ascii="Segoe UI" w:hAnsi="Segoe UI" w:cs="Segoe UI"/>
          <w:sz w:val="18"/>
          <w:szCs w:val="18"/>
        </w:rPr>
      </w:pPr>
      <w:r>
        <w:rPr>
          <w:rStyle w:val="eop"/>
          <w:rFonts w:ascii="Tahoma" w:hAnsi="Tahoma" w:cs="Tahoma"/>
          <w:color w:val="000000"/>
        </w:rPr>
        <w:t> </w:t>
      </w:r>
    </w:p>
    <w:p w14:paraId="75118117" w14:textId="22B9DFCC"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rPr>
        <w:t>The purpose of this addendum is to notify potential applicants of changes that have been made to GFO-2</w:t>
      </w:r>
      <w:r w:rsidR="001F7688">
        <w:rPr>
          <w:rStyle w:val="normaltextrun"/>
          <w:rFonts w:ascii="Tahoma" w:hAnsi="Tahoma" w:cs="Tahoma"/>
          <w:color w:val="000000"/>
        </w:rPr>
        <w:t>5</w:t>
      </w:r>
      <w:r>
        <w:rPr>
          <w:rStyle w:val="normaltextrun"/>
          <w:rFonts w:ascii="Tahoma" w:hAnsi="Tahoma" w:cs="Tahoma"/>
          <w:color w:val="000000"/>
        </w:rPr>
        <w:t>-6</w:t>
      </w:r>
      <w:r w:rsidR="001F7688">
        <w:rPr>
          <w:rStyle w:val="normaltextrun"/>
          <w:rFonts w:ascii="Tahoma" w:hAnsi="Tahoma" w:cs="Tahoma"/>
          <w:color w:val="000000"/>
        </w:rPr>
        <w:t>07</w:t>
      </w:r>
      <w:r>
        <w:rPr>
          <w:rStyle w:val="normaltextrun"/>
          <w:rFonts w:ascii="Tahoma" w:hAnsi="Tahoma" w:cs="Tahoma"/>
          <w:color w:val="000000"/>
        </w:rPr>
        <w:t>. </w:t>
      </w:r>
      <w:r>
        <w:rPr>
          <w:rStyle w:val="eop"/>
          <w:rFonts w:ascii="Tahoma" w:hAnsi="Tahoma" w:cs="Tahoma"/>
          <w:color w:val="000000"/>
        </w:rPr>
        <w:t> </w:t>
      </w:r>
    </w:p>
    <w:p w14:paraId="3B923D33"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rPr>
        <w:t> </w:t>
      </w:r>
    </w:p>
    <w:p w14:paraId="7442B274" w14:textId="07933979" w:rsidR="00FC47C1" w:rsidRDefault="00FC47C1" w:rsidP="4233B26A">
      <w:pPr>
        <w:pStyle w:val="paragraph"/>
        <w:spacing w:before="0" w:beforeAutospacing="0" w:after="0" w:afterAutospacing="0"/>
        <w:textAlignment w:val="baseline"/>
        <w:rPr>
          <w:rStyle w:val="eop"/>
          <w:rFonts w:ascii="Tahoma" w:hAnsi="Tahoma" w:cs="Tahoma"/>
          <w:color w:val="000000" w:themeColor="text1"/>
        </w:rPr>
      </w:pPr>
      <w:r w:rsidRPr="7DDDFD92">
        <w:rPr>
          <w:rStyle w:val="normaltextrun"/>
          <w:rFonts w:ascii="Tahoma" w:hAnsi="Tahoma" w:cs="Tahoma"/>
          <w:color w:val="000000" w:themeColor="text1"/>
        </w:rPr>
        <w:t>The addendum includes revisions to the Solicitation Manual</w:t>
      </w:r>
      <w:r w:rsidR="005B3C84">
        <w:rPr>
          <w:rStyle w:val="normaltextrun"/>
          <w:rFonts w:ascii="Tahoma" w:hAnsi="Tahoma" w:cs="Tahoma"/>
          <w:color w:val="000000" w:themeColor="text1"/>
        </w:rPr>
        <w:t>; Attachment 2, Scope of Work Template; Attachment 4, Schedule of Products and Due Dates; and Attachment 14, NLR Data Collection Tool (attachment name change from NREL to NLR)</w:t>
      </w:r>
      <w:r w:rsidR="00D87ADB">
        <w:rPr>
          <w:rStyle w:val="normaltextrun"/>
          <w:rFonts w:ascii="Tahoma" w:hAnsi="Tahoma" w:cs="Tahoma"/>
          <w:color w:val="000000" w:themeColor="text1"/>
        </w:rPr>
        <w:t>.</w:t>
      </w:r>
      <w:r w:rsidRPr="7DDDFD92">
        <w:rPr>
          <w:rStyle w:val="normaltextrun"/>
          <w:rFonts w:ascii="Tahoma" w:hAnsi="Tahoma" w:cs="Tahoma"/>
          <w:color w:val="000000" w:themeColor="text1"/>
        </w:rPr>
        <w:t xml:space="preserve"> Added language appears in </w:t>
      </w:r>
      <w:r w:rsidRPr="7DDDFD92">
        <w:rPr>
          <w:rStyle w:val="normaltextrun"/>
          <w:rFonts w:ascii="Tahoma" w:hAnsi="Tahoma" w:cs="Tahoma"/>
          <w:b/>
          <w:bCs/>
          <w:color w:val="000000" w:themeColor="text1"/>
          <w:u w:val="single"/>
        </w:rPr>
        <w:t>bold underline</w:t>
      </w:r>
      <w:r w:rsidRPr="7DDDFD92">
        <w:rPr>
          <w:rStyle w:val="normaltextrun"/>
          <w:rFonts w:ascii="Tahoma" w:hAnsi="Tahoma" w:cs="Tahoma"/>
          <w:color w:val="000000" w:themeColor="text1"/>
        </w:rPr>
        <w:t xml:space="preserve">, and deleted language appears in </w:t>
      </w:r>
      <w:r w:rsidR="00352E59">
        <w:rPr>
          <w:rStyle w:val="normaltextrun"/>
          <w:rFonts w:ascii="Tahoma" w:hAnsi="Tahoma" w:cs="Tahoma"/>
          <w:color w:val="000000" w:themeColor="text1"/>
        </w:rPr>
        <w:t>[</w:t>
      </w:r>
      <w:r w:rsidR="77680F43" w:rsidRPr="19531767">
        <w:rPr>
          <w:rStyle w:val="normaltextrun"/>
          <w:rFonts w:ascii="Tahoma" w:hAnsi="Tahoma" w:cs="Tahoma"/>
          <w:strike/>
          <w:color w:val="000000" w:themeColor="text1"/>
        </w:rPr>
        <w:t>strikethrough</w:t>
      </w:r>
      <w:r w:rsidR="00352E59">
        <w:rPr>
          <w:rStyle w:val="normaltextrun"/>
          <w:rFonts w:ascii="Tahoma" w:hAnsi="Tahoma" w:cs="Tahoma"/>
          <w:color w:val="000000" w:themeColor="text1"/>
        </w:rPr>
        <w:t>] and within square brackets</w:t>
      </w:r>
      <w:r w:rsidR="47317C4A" w:rsidRPr="19531767">
        <w:rPr>
          <w:rStyle w:val="normaltextrun"/>
          <w:rFonts w:ascii="Tahoma" w:hAnsi="Tahoma" w:cs="Tahoma"/>
          <w:color w:val="000000" w:themeColor="text1"/>
        </w:rPr>
        <w:t>.</w:t>
      </w:r>
    </w:p>
    <w:p w14:paraId="5D74368E" w14:textId="4844326C" w:rsidR="007813FC" w:rsidRDefault="007813FC" w:rsidP="00FC47C1">
      <w:pPr>
        <w:pStyle w:val="paragraph"/>
        <w:spacing w:before="0" w:beforeAutospacing="0" w:after="0" w:afterAutospacing="0"/>
        <w:textAlignment w:val="baseline"/>
        <w:rPr>
          <w:rStyle w:val="eop"/>
          <w:rFonts w:ascii="Tahoma" w:hAnsi="Tahoma" w:cs="Tahoma"/>
          <w:color w:val="000000" w:themeColor="text1"/>
        </w:rPr>
      </w:pPr>
    </w:p>
    <w:p w14:paraId="499193A5" w14:textId="24DFA0E2" w:rsidR="00FC47C1" w:rsidRPr="003C66DA" w:rsidRDefault="00FC47C1" w:rsidP="003C66DA">
      <w:pPr>
        <w:pStyle w:val="Heading2"/>
      </w:pPr>
      <w:r w:rsidRPr="003C66DA">
        <w:rPr>
          <w:rStyle w:val="normaltextrun"/>
        </w:rPr>
        <w:t>SOLICITATION MANUAL</w:t>
      </w:r>
      <w:r w:rsidRPr="003C66DA">
        <w:rPr>
          <w:rStyle w:val="eop"/>
        </w:rPr>
        <w:t> </w:t>
      </w:r>
    </w:p>
    <w:p w14:paraId="00CBEABD" w14:textId="77777777" w:rsidR="00FD70B2" w:rsidRPr="00EB28F8" w:rsidRDefault="00FD70B2" w:rsidP="6FDC2AF9">
      <w:pPr>
        <w:ind w:left="1440"/>
        <w:rPr>
          <w:rFonts w:ascii="Tahoma" w:hAnsi="Tahoma" w:cs="Tahoma"/>
          <w:szCs w:val="22"/>
        </w:rPr>
      </w:pPr>
    </w:p>
    <w:p w14:paraId="58FEB39F" w14:textId="77777777" w:rsidR="0075022B" w:rsidRPr="00E575C5" w:rsidRDefault="0075022B"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Attachments</w:t>
      </w:r>
    </w:p>
    <w:p w14:paraId="0D4EFBB2" w14:textId="77777777" w:rsidR="0060100B" w:rsidRPr="0060100B" w:rsidRDefault="0060100B" w:rsidP="0060100B"/>
    <w:p w14:paraId="3FB03749"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w:t>
      </w:r>
      <w:r w:rsidRPr="003D1C52">
        <w:rPr>
          <w:rStyle w:val="normaltextrun"/>
          <w:rFonts w:ascii="Tahoma" w:hAnsi="Tahoma" w:cs="Tahoma"/>
        </w:rPr>
        <w:tab/>
        <w:t>Project Narrative</w:t>
      </w:r>
    </w:p>
    <w:p w14:paraId="6645D40B"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2.</w:t>
      </w:r>
      <w:r w:rsidRPr="003D1C52">
        <w:rPr>
          <w:rStyle w:val="normaltextrun"/>
          <w:rFonts w:ascii="Tahoma" w:hAnsi="Tahoma" w:cs="Tahoma"/>
        </w:rPr>
        <w:tab/>
        <w:t>Scope of Work Template</w:t>
      </w:r>
    </w:p>
    <w:p w14:paraId="1FE492C0"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3.</w:t>
      </w:r>
      <w:r w:rsidRPr="003D1C52">
        <w:rPr>
          <w:rStyle w:val="normaltextrun"/>
          <w:rFonts w:ascii="Tahoma" w:hAnsi="Tahoma" w:cs="Tahoma"/>
        </w:rPr>
        <w:tab/>
        <w:t>Scope of Work Instructions</w:t>
      </w:r>
    </w:p>
    <w:p w14:paraId="1EDE80AE"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4.</w:t>
      </w:r>
      <w:r w:rsidRPr="003D1C52">
        <w:rPr>
          <w:rStyle w:val="normaltextrun"/>
          <w:rFonts w:ascii="Tahoma" w:hAnsi="Tahoma" w:cs="Tahoma"/>
        </w:rPr>
        <w:tab/>
        <w:t>Schedule of Products and Due Dates</w:t>
      </w:r>
    </w:p>
    <w:p w14:paraId="58FB5E23"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5.</w:t>
      </w:r>
      <w:r w:rsidRPr="003D1C52">
        <w:rPr>
          <w:rStyle w:val="normaltextrun"/>
          <w:rFonts w:ascii="Tahoma" w:hAnsi="Tahoma" w:cs="Tahoma"/>
        </w:rPr>
        <w:tab/>
        <w:t>Budget Forms</w:t>
      </w:r>
    </w:p>
    <w:p w14:paraId="3E575721"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6.</w:t>
      </w:r>
      <w:r w:rsidRPr="003D1C52">
        <w:rPr>
          <w:rStyle w:val="normaltextrun"/>
          <w:rFonts w:ascii="Tahoma" w:hAnsi="Tahoma" w:cs="Tahoma"/>
        </w:rPr>
        <w:tab/>
        <w:t>Resumes</w:t>
      </w:r>
    </w:p>
    <w:p w14:paraId="37B674D7"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7.</w:t>
      </w:r>
      <w:r w:rsidRPr="003D1C52">
        <w:rPr>
          <w:rStyle w:val="normaltextrun"/>
          <w:rFonts w:ascii="Tahoma" w:hAnsi="Tahoma" w:cs="Tahoma"/>
        </w:rPr>
        <w:tab/>
        <w:t>Contact List</w:t>
      </w:r>
    </w:p>
    <w:p w14:paraId="6DAD2C80"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8.</w:t>
      </w:r>
      <w:r w:rsidRPr="003D1C52">
        <w:rPr>
          <w:rStyle w:val="normaltextrun"/>
          <w:rFonts w:ascii="Tahoma" w:hAnsi="Tahoma" w:cs="Tahoma"/>
        </w:rPr>
        <w:tab/>
        <w:t>Letters of Commitment</w:t>
      </w:r>
    </w:p>
    <w:p w14:paraId="279126E2"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9.</w:t>
      </w:r>
      <w:r w:rsidRPr="003D1C52">
        <w:rPr>
          <w:rStyle w:val="normaltextrun"/>
          <w:rFonts w:ascii="Tahoma" w:hAnsi="Tahoma" w:cs="Tahoma"/>
        </w:rPr>
        <w:tab/>
        <w:t xml:space="preserve">Letters of Support </w:t>
      </w:r>
    </w:p>
    <w:p w14:paraId="068D73A9"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10.</w:t>
      </w:r>
      <w:r w:rsidRPr="003D1C52">
        <w:rPr>
          <w:rStyle w:val="normaltextrun"/>
          <w:rFonts w:ascii="Tahoma" w:hAnsi="Tahoma" w:cs="Tahoma"/>
        </w:rPr>
        <w:tab/>
        <w:t>California Environmental Quality Act (CEQA) Worksheet</w:t>
      </w:r>
    </w:p>
    <w:p w14:paraId="7B9ADFC6"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11.</w:t>
      </w:r>
      <w:r w:rsidRPr="003D1C52">
        <w:rPr>
          <w:rStyle w:val="normaltextrun"/>
          <w:rFonts w:ascii="Tahoma" w:hAnsi="Tahoma" w:cs="Tahoma"/>
        </w:rPr>
        <w:tab/>
        <w:t>Past Performance Reference Form</w:t>
      </w:r>
    </w:p>
    <w:p w14:paraId="7F87B6C5"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12.</w:t>
      </w:r>
      <w:r w:rsidRPr="003D1C52">
        <w:rPr>
          <w:rStyle w:val="normaltextrun"/>
          <w:rFonts w:ascii="Tahoma" w:hAnsi="Tahoma" w:cs="Tahoma"/>
        </w:rPr>
        <w:tab/>
        <w:t>Applicant Declaration</w:t>
      </w:r>
    </w:p>
    <w:p w14:paraId="147BAFE9"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13.</w:t>
      </w:r>
      <w:r w:rsidRPr="003D1C52">
        <w:rPr>
          <w:rStyle w:val="normaltextrun"/>
          <w:rFonts w:ascii="Tahoma" w:hAnsi="Tahoma" w:cs="Tahoma"/>
        </w:rPr>
        <w:tab/>
        <w:t>Letter of Intent to Place a Purchase Order</w:t>
      </w:r>
    </w:p>
    <w:p w14:paraId="6818395C"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14.</w:t>
      </w:r>
      <w:r w:rsidRPr="003D1C52">
        <w:rPr>
          <w:rStyle w:val="normaltextrun"/>
          <w:rFonts w:ascii="Tahoma" w:hAnsi="Tahoma" w:cs="Tahoma"/>
        </w:rPr>
        <w:tab/>
        <w:t>[</w:t>
      </w:r>
      <w:r w:rsidRPr="003D1C52">
        <w:rPr>
          <w:rStyle w:val="normaltextrun"/>
          <w:rFonts w:ascii="Tahoma" w:hAnsi="Tahoma" w:cs="Tahoma"/>
          <w:strike/>
        </w:rPr>
        <w:t>NREL</w:t>
      </w:r>
      <w:r w:rsidRPr="003D1C52">
        <w:rPr>
          <w:rStyle w:val="normaltextrun"/>
          <w:rFonts w:ascii="Tahoma" w:hAnsi="Tahoma" w:cs="Tahoma"/>
        </w:rPr>
        <w:t>]</w:t>
      </w:r>
      <w:r w:rsidRPr="003D1C52">
        <w:rPr>
          <w:rStyle w:val="normaltextrun"/>
          <w:rFonts w:ascii="Tahoma" w:hAnsi="Tahoma" w:cs="Tahoma"/>
          <w:b/>
          <w:bCs/>
          <w:u w:val="single"/>
        </w:rPr>
        <w:t>NLR</w:t>
      </w:r>
      <w:r w:rsidRPr="003D1C52">
        <w:rPr>
          <w:rStyle w:val="normaltextrun"/>
          <w:rFonts w:ascii="Tahoma" w:hAnsi="Tahoma" w:cs="Tahoma"/>
        </w:rPr>
        <w:t xml:space="preserve"> Data Collection Tool</w:t>
      </w:r>
    </w:p>
    <w:p w14:paraId="045D75B6"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15.</w:t>
      </w:r>
      <w:r w:rsidRPr="003D1C52">
        <w:rPr>
          <w:rStyle w:val="normaltextrun"/>
          <w:rFonts w:ascii="Tahoma" w:hAnsi="Tahoma" w:cs="Tahoma"/>
        </w:rPr>
        <w:tab/>
        <w:t>Renewable Hydrogen Report</w:t>
      </w:r>
    </w:p>
    <w:p w14:paraId="10798131"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16.</w:t>
      </w:r>
      <w:r w:rsidRPr="003D1C52">
        <w:rPr>
          <w:rStyle w:val="normaltextrun"/>
          <w:rFonts w:ascii="Tahoma" w:hAnsi="Tahoma" w:cs="Tahoma"/>
        </w:rPr>
        <w:tab/>
        <w:t>Evaluation Criteria for Priority Populations</w:t>
      </w:r>
    </w:p>
    <w:p w14:paraId="205DDF83" w14:textId="77777777" w:rsidR="001B47AE" w:rsidRPr="003D1C52" w:rsidRDefault="001B47AE" w:rsidP="00442864">
      <w:pPr>
        <w:ind w:left="720"/>
        <w:rPr>
          <w:rStyle w:val="normaltextrun"/>
          <w:rFonts w:ascii="Tahoma" w:hAnsi="Tahoma" w:cs="Tahoma"/>
        </w:rPr>
      </w:pPr>
      <w:r w:rsidRPr="003D1C52">
        <w:rPr>
          <w:rStyle w:val="normaltextrun"/>
          <w:rFonts w:ascii="Tahoma" w:hAnsi="Tahoma" w:cs="Tahoma"/>
        </w:rPr>
        <w:t>17.</w:t>
      </w:r>
      <w:r w:rsidRPr="003D1C52">
        <w:rPr>
          <w:rStyle w:val="normaltextrun"/>
          <w:rFonts w:ascii="Tahoma" w:hAnsi="Tahoma" w:cs="Tahoma"/>
        </w:rPr>
        <w:tab/>
        <w:t>Station Checklist</w:t>
      </w:r>
    </w:p>
    <w:p w14:paraId="12CC3305" w14:textId="4AC67976" w:rsidR="0075022B" w:rsidRPr="003D1C52" w:rsidRDefault="001B47AE" w:rsidP="00442864">
      <w:pPr>
        <w:ind w:left="720"/>
        <w:rPr>
          <w:rStyle w:val="normaltextrun"/>
          <w:rFonts w:ascii="Tahoma" w:hAnsi="Tahoma" w:cs="Tahoma"/>
        </w:rPr>
      </w:pPr>
      <w:r w:rsidRPr="003D1C52">
        <w:rPr>
          <w:rStyle w:val="normaltextrun"/>
          <w:rFonts w:ascii="Tahoma" w:hAnsi="Tahoma" w:cs="Tahoma"/>
        </w:rPr>
        <w:t>18.</w:t>
      </w:r>
      <w:r w:rsidRPr="003D1C52">
        <w:rPr>
          <w:rStyle w:val="normaltextrun"/>
          <w:rFonts w:ascii="Tahoma" w:hAnsi="Tahoma" w:cs="Tahoma"/>
        </w:rPr>
        <w:tab/>
        <w:t>Project Readiness Checklist</w:t>
      </w:r>
    </w:p>
    <w:p w14:paraId="674EC5BD" w14:textId="77777777" w:rsidR="00B865F4" w:rsidRDefault="00B865F4" w:rsidP="006507FE">
      <w:pPr>
        <w:rPr>
          <w:rFonts w:ascii="Tahoma" w:hAnsi="Tahoma" w:cs="Tahoma"/>
        </w:rPr>
      </w:pPr>
    </w:p>
    <w:p w14:paraId="3AE5C8B5" w14:textId="35F5099C" w:rsidR="00F60690" w:rsidRPr="00E575C5" w:rsidRDefault="00F60690"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Section II.B.1. Eligible Projects</w:t>
      </w:r>
    </w:p>
    <w:p w14:paraId="244FF03A" w14:textId="77777777" w:rsidR="0060100B" w:rsidRPr="0060100B" w:rsidRDefault="0060100B" w:rsidP="0060100B"/>
    <w:p w14:paraId="62ACCA2E" w14:textId="77777777" w:rsidR="006B1A8E" w:rsidRPr="00C97D9B" w:rsidRDefault="006B1A8E" w:rsidP="006B1A8E">
      <w:pPr>
        <w:pStyle w:val="ListParagraph"/>
        <w:rPr>
          <w:rFonts w:ascii="Tahoma" w:hAnsi="Tahoma" w:cs="Tahoma"/>
        </w:rPr>
      </w:pPr>
      <w:r w:rsidRPr="00C97D9B">
        <w:rPr>
          <w:rFonts w:ascii="Tahoma" w:hAnsi="Tahoma" w:cs="Tahoma"/>
        </w:rPr>
        <w:t>Applicants may propose projects for one or more of the following:</w:t>
      </w:r>
    </w:p>
    <w:p w14:paraId="19D5445E" w14:textId="77777777" w:rsidR="006B1A8E" w:rsidRPr="00475010" w:rsidRDefault="006B1A8E" w:rsidP="00E575C5">
      <w:pPr>
        <w:pStyle w:val="ListParagraph"/>
        <w:numPr>
          <w:ilvl w:val="1"/>
          <w:numId w:val="2"/>
        </w:numPr>
        <w:spacing w:after="120"/>
        <w:ind w:left="2160" w:hanging="720"/>
        <w:contextualSpacing w:val="0"/>
        <w:rPr>
          <w:rFonts w:ascii="Tahoma" w:hAnsi="Tahoma" w:cs="Tahoma"/>
        </w:rPr>
      </w:pPr>
      <w:r w:rsidRPr="00C97D9B">
        <w:rPr>
          <w:rFonts w:ascii="Tahoma" w:hAnsi="Tahoma" w:cs="Tahoma"/>
        </w:rPr>
        <w:lastRenderedPageBreak/>
        <w:t xml:space="preserve">Installation of new hydrogen refueling infrastructure for </w:t>
      </w:r>
      <w:r>
        <w:rPr>
          <w:rFonts w:ascii="Tahoma" w:hAnsi="Tahoma" w:cs="Tahoma"/>
        </w:rPr>
        <w:t xml:space="preserve">light-duty (LD) vehicles, with an emphasis on stations located in </w:t>
      </w:r>
      <w:r w:rsidRPr="008C59D8">
        <w:rPr>
          <w:rFonts w:ascii="Tahoma" w:hAnsi="Tahoma" w:cs="Tahoma"/>
        </w:rPr>
        <w:t>Santa Monica/West L</w:t>
      </w:r>
      <w:r>
        <w:rPr>
          <w:rFonts w:ascii="Tahoma" w:hAnsi="Tahoma" w:cs="Tahoma"/>
        </w:rPr>
        <w:t>os Angeles</w:t>
      </w:r>
      <w:r w:rsidRPr="008C59D8">
        <w:rPr>
          <w:rFonts w:ascii="Tahoma" w:hAnsi="Tahoma" w:cs="Tahoma"/>
        </w:rPr>
        <w:t>, San Francisco, Sacramento, and San Diego to alleviate market stress due to station demand</w:t>
      </w:r>
      <w:r>
        <w:rPr>
          <w:rFonts w:ascii="Tahoma" w:hAnsi="Tahoma" w:cs="Tahoma"/>
        </w:rPr>
        <w:t>, as well as medium-duty (MD) vehicles, or for heavy-duty (HD) uses including drayage, transit, and port operations. New hydrogen refueling infrastructure can also be a combination of the infrastructure types (mixed-use).</w:t>
      </w:r>
    </w:p>
    <w:p w14:paraId="25AC9514" w14:textId="1E9C65DB" w:rsidR="006B1A8E" w:rsidRPr="00FA5D13" w:rsidRDefault="006B1A8E" w:rsidP="00E575C5">
      <w:pPr>
        <w:pStyle w:val="ListParagraph"/>
        <w:numPr>
          <w:ilvl w:val="1"/>
          <w:numId w:val="2"/>
        </w:numPr>
        <w:spacing w:after="120"/>
        <w:ind w:left="2160" w:hanging="720"/>
        <w:contextualSpacing w:val="0"/>
        <w:rPr>
          <w:rFonts w:ascii="Tahoma" w:hAnsi="Tahoma" w:cs="Tahoma"/>
        </w:rPr>
      </w:pPr>
      <w:r w:rsidRPr="00C97D9B">
        <w:rPr>
          <w:rFonts w:ascii="Tahoma" w:hAnsi="Tahoma" w:cs="Tahoma"/>
        </w:rPr>
        <w:t xml:space="preserve">Re-opening temporarily non-operational (TNO) stations that would otherwise not return to open-retail status. </w:t>
      </w:r>
      <w:r w:rsidR="00350136">
        <w:rPr>
          <w:rFonts w:ascii="Tahoma" w:hAnsi="Tahoma" w:cs="Tahoma"/>
          <w:b/>
          <w:bCs/>
          <w:u w:val="single"/>
        </w:rPr>
        <w:t xml:space="preserve">A TNO station </w:t>
      </w:r>
      <w:r w:rsidR="004F2DFC">
        <w:rPr>
          <w:rFonts w:ascii="Tahoma" w:hAnsi="Tahoma" w:cs="Tahoma"/>
          <w:b/>
          <w:bCs/>
          <w:u w:val="single"/>
        </w:rPr>
        <w:t xml:space="preserve">is a hydrogen refueling station that has been offline for a period of 30 days or more due to </w:t>
      </w:r>
      <w:r w:rsidR="0070072D">
        <w:rPr>
          <w:rFonts w:ascii="Tahoma" w:hAnsi="Tahoma" w:cs="Tahoma"/>
          <w:b/>
          <w:bCs/>
          <w:u w:val="single"/>
        </w:rPr>
        <w:t>mechani</w:t>
      </w:r>
      <w:r w:rsidR="0012067F">
        <w:rPr>
          <w:rFonts w:ascii="Tahoma" w:hAnsi="Tahoma" w:cs="Tahoma"/>
          <w:b/>
          <w:bCs/>
          <w:u w:val="single"/>
        </w:rPr>
        <w:t xml:space="preserve">cal or supply issues. </w:t>
      </w:r>
      <w:r w:rsidRPr="00C97D9B">
        <w:rPr>
          <w:rFonts w:ascii="Tahoma" w:hAnsi="Tahoma" w:cs="Tahoma"/>
        </w:rPr>
        <w:t xml:space="preserve">Applicants </w:t>
      </w:r>
      <w:r>
        <w:rPr>
          <w:rFonts w:ascii="Tahoma" w:hAnsi="Tahoma" w:cs="Tahoma"/>
        </w:rPr>
        <w:t>shall</w:t>
      </w:r>
      <w:r w:rsidRPr="00C97D9B">
        <w:rPr>
          <w:rFonts w:ascii="Tahoma" w:hAnsi="Tahoma" w:cs="Tahoma"/>
        </w:rPr>
        <w:t xml:space="preserve"> describe why funding is needed to provide additional Cap-X to return the TNO station back to </w:t>
      </w:r>
      <w:r>
        <w:rPr>
          <w:rFonts w:ascii="Tahoma" w:hAnsi="Tahoma" w:cs="Tahoma"/>
        </w:rPr>
        <w:t>o</w:t>
      </w:r>
      <w:r w:rsidRPr="00C97D9B">
        <w:rPr>
          <w:rFonts w:ascii="Tahoma" w:hAnsi="Tahoma" w:cs="Tahoma"/>
        </w:rPr>
        <w:t>pen</w:t>
      </w:r>
      <w:r>
        <w:rPr>
          <w:rFonts w:ascii="Tahoma" w:hAnsi="Tahoma" w:cs="Tahoma"/>
        </w:rPr>
        <w:t>-r</w:t>
      </w:r>
      <w:r w:rsidRPr="00C97D9B">
        <w:rPr>
          <w:rFonts w:ascii="Tahoma" w:hAnsi="Tahoma" w:cs="Tahoma"/>
        </w:rPr>
        <w:t>etail status.</w:t>
      </w:r>
    </w:p>
    <w:p w14:paraId="68DFEC51" w14:textId="77777777" w:rsidR="006B1A8E" w:rsidRDefault="006B1A8E" w:rsidP="00E575C5">
      <w:pPr>
        <w:pStyle w:val="ListParagraph"/>
        <w:numPr>
          <w:ilvl w:val="1"/>
          <w:numId w:val="2"/>
        </w:numPr>
        <w:spacing w:after="120"/>
        <w:ind w:left="2160" w:hanging="720"/>
        <w:contextualSpacing w:val="0"/>
        <w:rPr>
          <w:rFonts w:ascii="Tahoma" w:hAnsi="Tahoma" w:cs="Tahoma"/>
        </w:rPr>
      </w:pPr>
      <w:r w:rsidRPr="00C97D9B">
        <w:rPr>
          <w:rFonts w:ascii="Tahoma" w:hAnsi="Tahoma" w:cs="Tahoma"/>
        </w:rPr>
        <w:t xml:space="preserve">Additional funding for </w:t>
      </w:r>
      <w:r>
        <w:rPr>
          <w:rFonts w:ascii="Tahoma" w:hAnsi="Tahoma" w:cs="Tahoma"/>
        </w:rPr>
        <w:t xml:space="preserve">hydrogen refueling </w:t>
      </w:r>
      <w:r w:rsidRPr="00C97D9B">
        <w:rPr>
          <w:rFonts w:ascii="Tahoma" w:hAnsi="Tahoma" w:cs="Tahoma"/>
        </w:rPr>
        <w:t>stations awarded under GFO-19-602</w:t>
      </w:r>
      <w:r>
        <w:rPr>
          <w:rFonts w:ascii="Tahoma" w:hAnsi="Tahoma" w:cs="Tahoma"/>
        </w:rPr>
        <w:t>.</w:t>
      </w:r>
    </w:p>
    <w:p w14:paraId="7179C746" w14:textId="77777777" w:rsidR="006B1A8E" w:rsidRDefault="006B1A8E" w:rsidP="00E575C5">
      <w:pPr>
        <w:pStyle w:val="ListParagraph"/>
        <w:numPr>
          <w:ilvl w:val="1"/>
          <w:numId w:val="2"/>
        </w:numPr>
        <w:spacing w:after="120"/>
        <w:ind w:left="2160" w:hanging="720"/>
        <w:contextualSpacing w:val="0"/>
        <w:rPr>
          <w:rFonts w:ascii="Tahoma" w:hAnsi="Tahoma" w:cs="Tahoma"/>
        </w:rPr>
      </w:pPr>
      <w:r w:rsidRPr="4B0CAC13">
        <w:rPr>
          <w:rFonts w:ascii="Tahoma" w:hAnsi="Tahoma" w:cs="Tahoma"/>
        </w:rPr>
        <w:t>Operations and maintenance (O&amp;M) activities only if they are in addition to one of the projects above. Stations that received O&amp;M funding under GFO-24-601 are not eligible for additional O&amp;M funding.</w:t>
      </w:r>
    </w:p>
    <w:p w14:paraId="67DEBF30" w14:textId="77777777" w:rsidR="006B1A8E" w:rsidRDefault="006B1A8E" w:rsidP="006B1A8E">
      <w:pPr>
        <w:ind w:left="1440"/>
        <w:rPr>
          <w:rFonts w:ascii="Tahoma" w:hAnsi="Tahoma" w:cs="Tahoma"/>
        </w:rPr>
      </w:pPr>
      <w:r w:rsidRPr="6EB9B68B">
        <w:rPr>
          <w:rFonts w:ascii="Tahoma" w:hAnsi="Tahoma" w:cs="Tahoma"/>
        </w:rPr>
        <w:t xml:space="preserve">For the purposes of this solicitation, </w:t>
      </w:r>
      <w:r>
        <w:rPr>
          <w:rFonts w:ascii="Tahoma" w:hAnsi="Tahoma" w:cs="Tahoma"/>
        </w:rPr>
        <w:t>LD vehicles are defined as Classes 1 and 2 on-road vehicles. LD vehicles are defined as having a Gross Vehicle Weight Rating (GVWR) of 10,000 pounds or less. MD</w:t>
      </w:r>
      <w:r w:rsidRPr="6EB9B68B">
        <w:rPr>
          <w:rFonts w:ascii="Tahoma" w:hAnsi="Tahoma" w:cs="Tahoma"/>
        </w:rPr>
        <w:t xml:space="preserve"> vehicles are defined as Classes 3 through </w:t>
      </w:r>
      <w:r>
        <w:rPr>
          <w:rFonts w:ascii="Tahoma" w:hAnsi="Tahoma" w:cs="Tahoma"/>
        </w:rPr>
        <w:t>6</w:t>
      </w:r>
      <w:r w:rsidRPr="6EB9B68B">
        <w:rPr>
          <w:rFonts w:ascii="Tahoma" w:hAnsi="Tahoma" w:cs="Tahoma"/>
        </w:rPr>
        <w:t xml:space="preserve"> on-road vehicles. </w:t>
      </w:r>
      <w:r>
        <w:rPr>
          <w:rFonts w:ascii="Tahoma" w:hAnsi="Tahoma" w:cs="Tahoma"/>
        </w:rPr>
        <w:t>MD</w:t>
      </w:r>
      <w:r w:rsidRPr="6EB9B68B">
        <w:rPr>
          <w:rFonts w:ascii="Tahoma" w:hAnsi="Tahoma" w:cs="Tahoma"/>
        </w:rPr>
        <w:t xml:space="preserve"> vehicles are defined as having a GVWR between 10,001 – 26,000 pounds. </w:t>
      </w:r>
      <w:r>
        <w:rPr>
          <w:rFonts w:ascii="Tahoma" w:hAnsi="Tahoma" w:cs="Tahoma"/>
        </w:rPr>
        <w:t>HD</w:t>
      </w:r>
      <w:r w:rsidRPr="6EB9B68B">
        <w:rPr>
          <w:rFonts w:ascii="Tahoma" w:hAnsi="Tahoma" w:cs="Tahoma"/>
        </w:rPr>
        <w:t xml:space="preserve"> vehicles are defined as having a GVWR of 26,001 pounds and above and include weight classes 7 and 8. </w:t>
      </w:r>
    </w:p>
    <w:p w14:paraId="675990E4" w14:textId="77777777" w:rsidR="006B1A8E" w:rsidRPr="001C3D67" w:rsidRDefault="006B1A8E" w:rsidP="006B1A8E">
      <w:pPr>
        <w:ind w:left="1440"/>
        <w:rPr>
          <w:rFonts w:ascii="Tahoma" w:hAnsi="Tahoma" w:cs="Tahoma"/>
        </w:rPr>
      </w:pPr>
      <w:r w:rsidRPr="00FC6512">
        <w:rPr>
          <w:rFonts w:ascii="Tahoma" w:hAnsi="Tahoma" w:cs="Tahoma"/>
        </w:rPr>
        <w:t>Applications must propose projects that deploy infrastructure within California to support vehicles that operate in the state at least 51% of the time.</w:t>
      </w:r>
    </w:p>
    <w:p w14:paraId="53C65812" w14:textId="77777777" w:rsidR="00F60690" w:rsidRPr="002E4788" w:rsidRDefault="00F60690" w:rsidP="002E4788"/>
    <w:p w14:paraId="76DCB316" w14:textId="6F2336EB" w:rsidR="00931CC6" w:rsidRPr="00E575C5" w:rsidRDefault="00931CC6"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Section II.B.</w:t>
      </w:r>
      <w:r w:rsidR="0094605B" w:rsidRPr="00E575C5">
        <w:rPr>
          <w:rStyle w:val="normaltextrun"/>
          <w:rFonts w:ascii="Tahoma" w:hAnsi="Tahoma" w:cs="Tahoma"/>
          <w:b/>
          <w:bCs/>
          <w:color w:val="auto"/>
        </w:rPr>
        <w:t>3. Vehicle Deployment Requirements</w:t>
      </w:r>
    </w:p>
    <w:p w14:paraId="391C6938" w14:textId="77777777" w:rsidR="0060100B" w:rsidRPr="0060100B" w:rsidRDefault="0060100B" w:rsidP="0060100B"/>
    <w:p w14:paraId="303E1D80" w14:textId="77777777" w:rsidR="00CF6085" w:rsidRPr="00FD44ED" w:rsidRDefault="00CF6085" w:rsidP="006B2297">
      <w:pPr>
        <w:ind w:left="720"/>
        <w:rPr>
          <w:rFonts w:ascii="Tahoma" w:hAnsi="Tahoma" w:cs="Tahoma"/>
          <w:color w:val="000000" w:themeColor="text1"/>
          <w:lang w:eastAsia="ja-JP"/>
        </w:rPr>
      </w:pPr>
      <w:r w:rsidRPr="00FD44ED">
        <w:rPr>
          <w:rFonts w:ascii="Tahoma" w:hAnsi="Tahoma" w:cs="Tahoma"/>
          <w:color w:val="000000" w:themeColor="text1"/>
          <w:lang w:eastAsia="ja-JP"/>
        </w:rPr>
        <w:t>If proposing a Private Access infrastructure project</w:t>
      </w:r>
      <w:r>
        <w:rPr>
          <w:rFonts w:ascii="Tahoma" w:hAnsi="Tahoma" w:cs="Tahoma"/>
          <w:color w:val="000000" w:themeColor="text1"/>
          <w:lang w:eastAsia="ja-JP"/>
        </w:rPr>
        <w:t xml:space="preserve"> </w:t>
      </w:r>
      <w:r w:rsidRPr="00740DE8">
        <w:rPr>
          <w:rFonts w:ascii="Tahoma" w:hAnsi="Tahoma" w:cs="Tahoma"/>
          <w:color w:val="000000" w:themeColor="text1"/>
          <w:lang w:eastAsia="ja-JP"/>
        </w:rPr>
        <w:t>(excluding the public entities covered by the exceptions listed in Section II.B.2)</w:t>
      </w:r>
      <w:r w:rsidRPr="00FD44ED">
        <w:rPr>
          <w:rFonts w:ascii="Tahoma" w:hAnsi="Tahoma" w:cs="Tahoma"/>
          <w:color w:val="000000" w:themeColor="text1"/>
          <w:lang w:eastAsia="ja-JP"/>
        </w:rPr>
        <w:t xml:space="preserve">, the </w:t>
      </w:r>
      <w:r>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fleet(s) that is being supported must </w:t>
      </w:r>
      <w:r>
        <w:rPr>
          <w:rFonts w:ascii="Tahoma" w:hAnsi="Tahoma" w:cs="Tahoma"/>
          <w:color w:val="000000" w:themeColor="text1"/>
          <w:lang w:eastAsia="ja-JP"/>
        </w:rPr>
        <w:t>commit to</w:t>
      </w:r>
      <w:r w:rsidRPr="00FD44ED">
        <w:rPr>
          <w:rFonts w:ascii="Tahoma" w:hAnsi="Tahoma" w:cs="Tahoma"/>
          <w:color w:val="000000" w:themeColor="text1"/>
          <w:lang w:eastAsia="ja-JP"/>
        </w:rPr>
        <w:t>:</w:t>
      </w:r>
    </w:p>
    <w:p w14:paraId="59FE90BD" w14:textId="77777777" w:rsidR="00CF6085" w:rsidRPr="00FD44ED" w:rsidRDefault="00CF6085" w:rsidP="00E575C5">
      <w:pPr>
        <w:numPr>
          <w:ilvl w:val="0"/>
          <w:numId w:val="12"/>
        </w:numPr>
        <w:spacing w:after="120"/>
        <w:ind w:left="1530" w:hanging="720"/>
        <w:rPr>
          <w:rFonts w:ascii="Tahoma" w:hAnsi="Tahoma" w:cs="Tahoma"/>
          <w:color w:val="000000" w:themeColor="text1"/>
          <w:lang w:eastAsia="ja-JP"/>
        </w:rPr>
      </w:pPr>
      <w:r w:rsidRPr="00FD44ED">
        <w:rPr>
          <w:rFonts w:ascii="Tahoma" w:hAnsi="Tahoma" w:cs="Tahoma"/>
          <w:color w:val="000000" w:themeColor="text1"/>
          <w:lang w:eastAsia="ja-JP"/>
        </w:rPr>
        <w:t xml:space="preserve">At least 5 </w:t>
      </w:r>
      <w:r>
        <w:rPr>
          <w:rFonts w:ascii="Tahoma" w:hAnsi="Tahoma" w:cs="Tahoma"/>
          <w:color w:val="000000" w:themeColor="text1"/>
          <w:lang w:eastAsia="ja-JP"/>
        </w:rPr>
        <w:t xml:space="preserve">MDHD </w:t>
      </w:r>
      <w:r w:rsidRPr="00FD44ED">
        <w:rPr>
          <w:rFonts w:ascii="Tahoma" w:hAnsi="Tahoma" w:cs="Tahoma"/>
          <w:color w:val="000000" w:themeColor="text1"/>
          <w:lang w:eastAsia="ja-JP"/>
        </w:rPr>
        <w:t>FCEVs per hydrogen refueling position proposed for CEC funding.</w:t>
      </w:r>
      <w:r>
        <w:rPr>
          <w:rFonts w:ascii="Tahoma" w:hAnsi="Tahoma" w:cs="Tahoma"/>
          <w:color w:val="000000" w:themeColor="text1"/>
          <w:lang w:eastAsia="ja-JP"/>
        </w:rPr>
        <w:t xml:space="preserve"> This must be a documented firm commitment that includes evidence such as purchase orders. For projects proposing new hydrogen refueling infrastructure, a minimum of two (2) refueling positions per station is required. This would equate to a minimum of ten (10) MDHD FCEVs.</w:t>
      </w:r>
    </w:p>
    <w:p w14:paraId="16038951" w14:textId="77777777" w:rsidR="00CF6085" w:rsidRPr="00FD44ED" w:rsidRDefault="00CF6085" w:rsidP="006B2297">
      <w:pPr>
        <w:spacing w:before="100" w:beforeAutospacing="1" w:after="100" w:afterAutospacing="1"/>
        <w:ind w:left="720"/>
        <w:rPr>
          <w:rFonts w:ascii="Tahoma" w:eastAsia="Yu Gothic" w:hAnsi="Tahoma" w:cs="Tahoma"/>
          <w:lang w:eastAsia="ja-JP"/>
        </w:rPr>
      </w:pPr>
      <w:r w:rsidRPr="00FD44ED">
        <w:rPr>
          <w:rFonts w:ascii="Tahoma" w:eastAsia="Yu Gothic" w:hAnsi="Tahoma" w:cs="Tahoma"/>
          <w:lang w:eastAsia="ja-JP"/>
        </w:rPr>
        <w:t xml:space="preserve">The </w:t>
      </w:r>
      <w:r>
        <w:rPr>
          <w:rFonts w:ascii="Tahoma" w:eastAsia="Yu Gothic" w:hAnsi="Tahoma" w:cs="Tahoma"/>
          <w:lang w:eastAsia="ja-JP"/>
        </w:rPr>
        <w:t>MDHD FCEVs</w:t>
      </w:r>
      <w:r w:rsidRPr="00FD44ED">
        <w:rPr>
          <w:rFonts w:ascii="Tahoma" w:eastAsia="Yu Gothic" w:hAnsi="Tahoma" w:cs="Tahoma"/>
          <w:lang w:eastAsia="ja-JP"/>
        </w:rPr>
        <w:t xml:space="preserve"> being supported must either be new vehicles being procured or existing vehicles that were not able to be used due to a lack of infrastructure. </w:t>
      </w:r>
      <w:r w:rsidRPr="5579F8F6">
        <w:rPr>
          <w:rFonts w:ascii="Tahoma" w:eastAsia="Yu Gothic" w:hAnsi="Tahoma" w:cs="Tahoma"/>
          <w:lang w:eastAsia="ja-JP"/>
        </w:rPr>
        <w:t>New vehicles procured as part of a resulting grant agreement may be eligible for match funding. Existing vehicles are not eligible for reimbursement or match funding.</w:t>
      </w:r>
    </w:p>
    <w:p w14:paraId="20B7960F" w14:textId="77777777" w:rsidR="00CF6085" w:rsidRPr="00732B34" w:rsidRDefault="00CF6085" w:rsidP="006B2297">
      <w:pPr>
        <w:ind w:left="720"/>
        <w:rPr>
          <w:rFonts w:ascii="Tahoma" w:hAnsi="Tahoma" w:cs="Tahoma"/>
          <w:color w:val="000000" w:themeColor="text1"/>
          <w:lang w:eastAsia="ja-JP"/>
        </w:rPr>
      </w:pPr>
      <w:r w:rsidRPr="00732B34">
        <w:rPr>
          <w:rFonts w:ascii="Tahoma" w:hAnsi="Tahoma" w:cs="Tahoma"/>
          <w:color w:val="000000" w:themeColor="text1"/>
          <w:lang w:eastAsia="ja-JP"/>
        </w:rPr>
        <w:lastRenderedPageBreak/>
        <w:t>If proposing a Shared Access infrastructure project, the application must demonstrate that at least two fleets are being supported by the proposed infrastructure</w:t>
      </w:r>
      <w:r w:rsidRPr="008D02C3">
        <w:rPr>
          <w:rFonts w:ascii="Tahoma" w:eastAsia="Yu Gothic" w:hAnsi="Tahoma" w:cs="Tahoma"/>
          <w:lang w:eastAsia="ja-JP"/>
        </w:rPr>
        <w:t>.</w:t>
      </w:r>
    </w:p>
    <w:p w14:paraId="3E0488AD" w14:textId="3877B532" w:rsidR="00CF6085" w:rsidRPr="00D27F64" w:rsidRDefault="00CF6085" w:rsidP="006B2297">
      <w:pPr>
        <w:ind w:left="720"/>
        <w:rPr>
          <w:rFonts w:ascii="Tahoma" w:hAnsi="Tahoma" w:cs="Tahoma"/>
          <w:color w:val="000000" w:themeColor="text1"/>
          <w:lang w:eastAsia="ja-JP"/>
        </w:rPr>
      </w:pPr>
      <w:r w:rsidRPr="008D02C3">
        <w:rPr>
          <w:rFonts w:ascii="Tahoma" w:hAnsi="Tahoma" w:cs="Tahoma"/>
          <w:color w:val="000000" w:themeColor="text1"/>
          <w:lang w:eastAsia="ja-JP"/>
        </w:rPr>
        <w:t>Shared and</w:t>
      </w:r>
      <w:r w:rsidRPr="002F4900">
        <w:rPr>
          <w:rFonts w:ascii="Tahoma" w:hAnsi="Tahoma" w:cs="Tahoma"/>
          <w:color w:val="000000" w:themeColor="text1"/>
          <w:lang w:eastAsia="ja-JP"/>
        </w:rPr>
        <w:t xml:space="preserve"> </w:t>
      </w:r>
      <w:r w:rsidRPr="00732B34">
        <w:rPr>
          <w:rFonts w:ascii="Tahoma" w:hAnsi="Tahoma" w:cs="Tahoma"/>
          <w:color w:val="000000" w:themeColor="text1"/>
          <w:lang w:eastAsia="ja-JP"/>
        </w:rPr>
        <w:t>Public Access infrastructure projects are not required to meet the vehicle deployment requirements; however, applications will be scored on the degree to which proposed projects maximize</w:t>
      </w:r>
      <w:r w:rsidR="006D69B6">
        <w:rPr>
          <w:rFonts w:ascii="Tahoma" w:hAnsi="Tahoma" w:cs="Tahoma"/>
          <w:color w:val="000000" w:themeColor="text1"/>
          <w:lang w:eastAsia="ja-JP"/>
        </w:rPr>
        <w:t>[</w:t>
      </w:r>
      <w:r w:rsidRPr="005F676F">
        <w:rPr>
          <w:rFonts w:ascii="Tahoma" w:hAnsi="Tahoma" w:cs="Tahoma"/>
          <w:strike/>
          <w:color w:val="000000" w:themeColor="text1"/>
          <w:lang w:eastAsia="ja-JP"/>
        </w:rPr>
        <w:t>s</w:t>
      </w:r>
      <w:r w:rsidR="006D69B6" w:rsidRPr="006D69B6">
        <w:rPr>
          <w:rFonts w:ascii="Tahoma" w:hAnsi="Tahoma" w:cs="Tahoma"/>
          <w:color w:val="000000" w:themeColor="text1"/>
          <w:lang w:eastAsia="ja-JP"/>
        </w:rPr>
        <w:t>]</w:t>
      </w:r>
      <w:r w:rsidRPr="00732B34">
        <w:rPr>
          <w:rFonts w:ascii="Tahoma" w:hAnsi="Tahoma" w:cs="Tahoma"/>
          <w:color w:val="000000" w:themeColor="text1"/>
          <w:lang w:eastAsia="ja-JP"/>
        </w:rPr>
        <w:t xml:space="preserve"> vehicle deployment and market growth</w:t>
      </w:r>
      <w:r w:rsidRPr="00231C56">
        <w:rPr>
          <w:rFonts w:ascii="Tahoma" w:hAnsi="Tahoma" w:cs="Tahoma"/>
          <w:b/>
          <w:color w:val="000000" w:themeColor="text1"/>
          <w:u w:val="single"/>
          <w:lang w:eastAsia="ja-JP"/>
        </w:rPr>
        <w:t xml:space="preserve"> </w:t>
      </w:r>
      <w:r>
        <w:rPr>
          <w:rFonts w:ascii="Tahoma" w:hAnsi="Tahoma" w:cs="Tahoma"/>
          <w:b/>
          <w:bCs/>
          <w:color w:val="000000" w:themeColor="text1"/>
          <w:u w:val="single"/>
          <w:lang w:eastAsia="ja-JP"/>
        </w:rPr>
        <w:t>including how the vehicles will operate in California at least 51% of the time</w:t>
      </w:r>
      <w:r w:rsidRPr="00732B34">
        <w:rPr>
          <w:rFonts w:ascii="Tahoma" w:hAnsi="Tahoma" w:cs="Tahoma"/>
          <w:color w:val="000000" w:themeColor="text1"/>
          <w:lang w:eastAsia="ja-JP"/>
        </w:rPr>
        <w:t>.</w:t>
      </w:r>
      <w:r>
        <w:rPr>
          <w:rFonts w:ascii="Tahoma" w:hAnsi="Tahoma" w:cs="Tahoma"/>
          <w:color w:val="000000" w:themeColor="text1"/>
          <w:lang w:eastAsia="ja-JP"/>
        </w:rPr>
        <w:t xml:space="preserve"> </w:t>
      </w:r>
      <w:r w:rsidRPr="00732B34">
        <w:rPr>
          <w:rFonts w:ascii="Tahoma" w:hAnsi="Tahoma" w:cs="Tahoma"/>
          <w:color w:val="000000" w:themeColor="text1"/>
          <w:lang w:eastAsia="ja-JP"/>
        </w:rPr>
        <w:t xml:space="preserve">  </w:t>
      </w:r>
    </w:p>
    <w:p w14:paraId="2CE152C3" w14:textId="77777777" w:rsidR="00781687" w:rsidRDefault="00781687" w:rsidP="006B2297">
      <w:pPr>
        <w:ind w:left="720"/>
        <w:rPr>
          <w:rFonts w:ascii="Tahoma" w:hAnsi="Tahoma" w:cs="Tahoma"/>
          <w:color w:val="000000" w:themeColor="text1"/>
          <w:lang w:eastAsia="ja-JP"/>
        </w:rPr>
      </w:pPr>
    </w:p>
    <w:p w14:paraId="4EFC3CC6" w14:textId="77777777" w:rsidR="00CF6085" w:rsidRDefault="00CF6085" w:rsidP="006B2297">
      <w:pPr>
        <w:ind w:left="720"/>
        <w:rPr>
          <w:rFonts w:ascii="Tahoma" w:hAnsi="Tahoma" w:cs="Tahoma"/>
          <w:color w:val="000000" w:themeColor="text1"/>
          <w:lang w:eastAsia="ja-JP"/>
        </w:rPr>
      </w:pPr>
      <w:r w:rsidRPr="00FD44ED">
        <w:rPr>
          <w:rFonts w:ascii="Tahoma" w:hAnsi="Tahoma" w:cs="Tahoma"/>
          <w:color w:val="000000" w:themeColor="text1"/>
          <w:lang w:eastAsia="ja-JP"/>
        </w:rPr>
        <w:t xml:space="preserve">If a project is a combination of Public </w:t>
      </w:r>
      <w:r>
        <w:rPr>
          <w:rFonts w:ascii="Tahoma" w:hAnsi="Tahoma" w:cs="Tahoma"/>
          <w:color w:val="000000" w:themeColor="text1"/>
          <w:lang w:eastAsia="ja-JP"/>
        </w:rPr>
        <w:t>or</w:t>
      </w:r>
      <w:r w:rsidRPr="00FD44ED">
        <w:rPr>
          <w:rFonts w:ascii="Tahoma" w:hAnsi="Tahoma" w:cs="Tahoma"/>
          <w:color w:val="000000" w:themeColor="text1"/>
          <w:lang w:eastAsia="ja-JP"/>
        </w:rPr>
        <w:t xml:space="preserve"> Shared</w:t>
      </w:r>
      <w:r>
        <w:rPr>
          <w:rFonts w:ascii="Tahoma" w:hAnsi="Tahoma" w:cs="Tahoma"/>
          <w:color w:val="000000" w:themeColor="text1"/>
          <w:lang w:eastAsia="ja-JP"/>
        </w:rPr>
        <w:t xml:space="preserve"> Access with </w:t>
      </w:r>
      <w:r w:rsidRPr="00FD44ED">
        <w:rPr>
          <w:rFonts w:ascii="Tahoma" w:hAnsi="Tahoma" w:cs="Tahoma"/>
          <w:color w:val="000000" w:themeColor="text1"/>
          <w:lang w:eastAsia="ja-JP"/>
        </w:rPr>
        <w:t xml:space="preserve">Private Access infrastructure, then the portion of the infrastructure with Private Access must meet the minimum </w:t>
      </w:r>
      <w:r>
        <w:rPr>
          <w:rFonts w:ascii="Tahoma" w:hAnsi="Tahoma" w:cs="Tahoma"/>
          <w:color w:val="000000" w:themeColor="text1"/>
          <w:lang w:eastAsia="ja-JP"/>
        </w:rPr>
        <w:t xml:space="preserve">FCEV </w:t>
      </w:r>
      <w:r w:rsidRPr="00FD44ED">
        <w:rPr>
          <w:rFonts w:ascii="Tahoma" w:hAnsi="Tahoma" w:cs="Tahoma"/>
          <w:color w:val="000000" w:themeColor="text1"/>
          <w:lang w:eastAsia="ja-JP"/>
        </w:rPr>
        <w:t>commitment numbers listed above</w:t>
      </w:r>
      <w:r>
        <w:rPr>
          <w:rFonts w:ascii="Tahoma" w:hAnsi="Tahoma" w:cs="Tahoma"/>
          <w:color w:val="000000" w:themeColor="text1"/>
          <w:lang w:eastAsia="ja-JP"/>
        </w:rPr>
        <w:t xml:space="preserve"> (excluding the public entities covered by the exceptions listed in Section II.B.2)</w:t>
      </w:r>
      <w:r w:rsidRPr="00FD44ED">
        <w:rPr>
          <w:rFonts w:ascii="Tahoma" w:hAnsi="Tahoma" w:cs="Tahoma"/>
          <w:color w:val="000000" w:themeColor="text1"/>
          <w:lang w:eastAsia="ja-JP"/>
        </w:rPr>
        <w:t>.</w:t>
      </w:r>
    </w:p>
    <w:p w14:paraId="45BF7D5B" w14:textId="77777777" w:rsidR="00C25860" w:rsidRPr="00FD44ED" w:rsidRDefault="00C25860" w:rsidP="006B2297">
      <w:pPr>
        <w:ind w:left="720"/>
        <w:rPr>
          <w:rFonts w:ascii="Tahoma" w:hAnsi="Tahoma" w:cs="Tahoma"/>
          <w:color w:val="000000" w:themeColor="text1"/>
          <w:highlight w:val="yellow"/>
          <w:lang w:eastAsia="ja-JP"/>
        </w:rPr>
      </w:pPr>
    </w:p>
    <w:p w14:paraId="50FDC5F8" w14:textId="77777777" w:rsidR="00321D1D" w:rsidRDefault="00A271A2" w:rsidP="006B2297">
      <w:pPr>
        <w:ind w:left="720"/>
        <w:rPr>
          <w:rFonts w:ascii="Tahoma" w:hAnsi="Tahoma" w:cs="Tahoma"/>
          <w:color w:val="000000" w:themeColor="text1"/>
          <w:lang w:eastAsia="ja-JP"/>
        </w:rPr>
      </w:pPr>
      <w:r w:rsidRPr="00FD44ED">
        <w:rPr>
          <w:rFonts w:ascii="Tahoma" w:hAnsi="Tahoma" w:cs="Tahoma"/>
          <w:color w:val="000000" w:themeColor="text1"/>
          <w:lang w:eastAsia="ja-JP"/>
        </w:rPr>
        <w:t xml:space="preserve">All applications, regardless of access-type, must demonstrate how the proposed project will maximize </w:t>
      </w:r>
      <w:r>
        <w:rPr>
          <w:rFonts w:ascii="Tahoma" w:hAnsi="Tahoma" w:cs="Tahoma"/>
          <w:color w:val="000000" w:themeColor="text1"/>
          <w:lang w:eastAsia="ja-JP"/>
        </w:rPr>
        <w:t>FCEV</w:t>
      </w:r>
      <w:r w:rsidRPr="00FD44ED">
        <w:rPr>
          <w:rFonts w:ascii="Tahoma" w:hAnsi="Tahoma" w:cs="Tahoma"/>
          <w:color w:val="000000" w:themeColor="text1"/>
          <w:lang w:eastAsia="ja-JP"/>
        </w:rPr>
        <w:t xml:space="preserve"> deployment, including descriptions of fleet commitments and strategies the Applicant will take to maximize market growth.</w:t>
      </w:r>
    </w:p>
    <w:p w14:paraId="3DB44F4C" w14:textId="169AF034" w:rsidR="00A271A2" w:rsidRPr="00091274" w:rsidRDefault="00A271A2" w:rsidP="00A271A2">
      <w:pPr>
        <w:ind w:left="1440"/>
        <w:rPr>
          <w:rFonts w:ascii="Tahoma" w:hAnsi="Tahoma" w:cs="Tahoma"/>
          <w:color w:val="000000" w:themeColor="text1"/>
          <w:lang w:eastAsia="ja-JP"/>
        </w:rPr>
      </w:pPr>
      <w:r w:rsidRPr="6EB9B68B">
        <w:rPr>
          <w:rFonts w:ascii="Tahoma" w:hAnsi="Tahoma" w:cs="Tahoma"/>
          <w:color w:val="000000" w:themeColor="text1"/>
          <w:lang w:eastAsia="ja-JP"/>
        </w:rPr>
        <w:t> </w:t>
      </w:r>
    </w:p>
    <w:p w14:paraId="041D557F" w14:textId="2F0A7B6C" w:rsidR="00321D1D" w:rsidRDefault="00321D1D"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442864">
        <w:rPr>
          <w:rStyle w:val="normaltextrun"/>
          <w:rFonts w:ascii="Tahoma" w:hAnsi="Tahoma" w:cs="Tahoma"/>
          <w:b/>
          <w:bCs/>
          <w:color w:val="auto"/>
        </w:rPr>
        <w:t xml:space="preserve">Section II.B.5. </w:t>
      </w:r>
      <w:r w:rsidR="00D363A1" w:rsidRPr="00442864">
        <w:rPr>
          <w:rStyle w:val="normaltextrun"/>
          <w:rFonts w:ascii="Tahoma" w:hAnsi="Tahoma" w:cs="Tahoma"/>
          <w:b/>
          <w:bCs/>
          <w:color w:val="auto"/>
        </w:rPr>
        <w:t>Fund Stacking</w:t>
      </w:r>
    </w:p>
    <w:p w14:paraId="49EBE359" w14:textId="77777777" w:rsidR="0011139A" w:rsidRPr="0011139A" w:rsidRDefault="0011139A" w:rsidP="0011139A"/>
    <w:p w14:paraId="3EBA5700" w14:textId="77777777" w:rsidR="006B2297" w:rsidRPr="00C25860" w:rsidRDefault="006B2297" w:rsidP="006B2297">
      <w:pPr>
        <w:ind w:left="720"/>
        <w:rPr>
          <w:rFonts w:ascii="Tahoma" w:hAnsi="Tahoma" w:cs="Tahoma"/>
          <w:bCs/>
          <w:u w:val="single"/>
        </w:rPr>
      </w:pPr>
      <w:r w:rsidRPr="00C25860">
        <w:rPr>
          <w:rFonts w:ascii="Tahoma" w:hAnsi="Tahoma" w:cs="Tahoma"/>
        </w:rPr>
        <w:t>A project that receives incentive funding from another CEC grant funding opportunity (GFO) or block grant incentive project is not eligible for this GFO, with the exceptions of reopening TNO stations funded through CEC GFOs or applicants seeking additional funding for GFO-19-602 awarded stations</w:t>
      </w:r>
      <w:r w:rsidRPr="00C25860">
        <w:rPr>
          <w:rFonts w:ascii="Tahoma" w:hAnsi="Tahoma" w:cs="Tahoma"/>
          <w:b/>
          <w:bCs/>
        </w:rPr>
        <w:t>.</w:t>
      </w:r>
      <w:r w:rsidRPr="00C25860">
        <w:rPr>
          <w:rFonts w:ascii="Tahoma" w:hAnsi="Tahoma" w:cs="Tahoma"/>
          <w:b/>
          <w:bCs/>
          <w:u w:val="single"/>
        </w:rPr>
        <w:t xml:space="preserve"> If an Applicant proposes to build at least two new hydrogen refueling positions at an existing station that was funded under another CEC GFO, this would be considered a new project and not considered fund stacking.</w:t>
      </w:r>
    </w:p>
    <w:p w14:paraId="08D24F05" w14:textId="77777777" w:rsidR="00024FFE" w:rsidRDefault="00024FFE" w:rsidP="006B2297">
      <w:pPr>
        <w:ind w:left="720"/>
        <w:rPr>
          <w:b/>
        </w:rPr>
      </w:pPr>
    </w:p>
    <w:p w14:paraId="2152D6A3" w14:textId="575B3F10" w:rsidR="00024FFE" w:rsidRPr="00E575C5" w:rsidRDefault="00024FFE"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Section II.C.</w:t>
      </w:r>
      <w:r w:rsidR="00651CA9" w:rsidRPr="00E575C5">
        <w:rPr>
          <w:rStyle w:val="normaltextrun"/>
          <w:rFonts w:ascii="Tahoma" w:hAnsi="Tahoma" w:cs="Tahoma"/>
          <w:b/>
          <w:bCs/>
          <w:color w:val="auto"/>
        </w:rPr>
        <w:t xml:space="preserve"> Reporting Safety Incidents</w:t>
      </w:r>
    </w:p>
    <w:p w14:paraId="44A403B2" w14:textId="77777777" w:rsidR="0060100B" w:rsidRPr="0060100B" w:rsidRDefault="0060100B" w:rsidP="0060100B"/>
    <w:p w14:paraId="6CDC9222" w14:textId="77777777" w:rsidR="005069CB" w:rsidRPr="005069CB" w:rsidRDefault="005069CB" w:rsidP="005069CB">
      <w:pPr>
        <w:spacing w:after="120"/>
        <w:ind w:left="720"/>
        <w:rPr>
          <w:rFonts w:ascii="Tahoma" w:eastAsia="Tahoma" w:hAnsi="Tahoma" w:cs="Tahoma"/>
        </w:rPr>
      </w:pPr>
      <w:r w:rsidRPr="005069CB">
        <w:rPr>
          <w:rFonts w:ascii="Tahoma" w:eastAsia="Tahoma" w:hAnsi="Tahoma" w:cs="Tahoma"/>
        </w:rPr>
        <w:t xml:space="preserve">The stations proposed by the Applicant shall conform to the California Health and Safety Code Section 25510(a). Recipients of funding under this solicitation shall submit report(s) of any unintended hydrogen releases to the </w:t>
      </w:r>
      <w:hyperlink r:id="rId11" w:history="1">
        <w:r w:rsidR="00AB1469" w:rsidRPr="00AB1469">
          <w:rPr>
            <w:rStyle w:val="Hyperlink"/>
            <w:rFonts w:ascii="Tahoma" w:eastAsia="Tahoma" w:hAnsi="Tahoma" w:cs="Tahoma"/>
          </w:rPr>
          <w:t>Certified Unified Program Agency (CUPA)</w:t>
        </w:r>
      </w:hyperlink>
      <w:r w:rsidRPr="005069CB">
        <w:rPr>
          <w:rFonts w:ascii="Tahoma" w:eastAsia="Tahoma" w:hAnsi="Tahoma" w:cs="Tahoma"/>
        </w:rPr>
        <w:t>, http://cersapps.calepa.ca.gov/Public/Directory.</w:t>
      </w:r>
    </w:p>
    <w:p w14:paraId="64DF131E" w14:textId="77777777" w:rsidR="005069CB" w:rsidRPr="005069CB" w:rsidRDefault="005069CB" w:rsidP="005069CB">
      <w:pPr>
        <w:pStyle w:val="ListParagraph"/>
        <w:rPr>
          <w:rFonts w:ascii="Tahoma" w:eastAsia="Tahoma" w:hAnsi="Tahoma" w:cs="Tahoma"/>
        </w:rPr>
      </w:pPr>
      <w:r w:rsidRPr="005069CB">
        <w:rPr>
          <w:rFonts w:ascii="Tahoma" w:eastAsia="Tahoma" w:hAnsi="Tahoma" w:cs="Tahoma"/>
        </w:rPr>
        <w:t>Recipients of funding under this solicitation shall notify the CEC, in writing, of any safety incidents, by sending the same reports as were sent to the CUPA to the CEC. The Recipient shall also report safety incidents using the [</w:t>
      </w:r>
      <w:r w:rsidRPr="005069CB">
        <w:rPr>
          <w:rFonts w:ascii="Tahoma" w:eastAsia="Tahoma" w:hAnsi="Tahoma" w:cs="Tahoma"/>
          <w:strike/>
        </w:rPr>
        <w:t>NREL</w:t>
      </w:r>
      <w:r w:rsidRPr="005069CB">
        <w:rPr>
          <w:rFonts w:ascii="Tahoma" w:eastAsia="Tahoma" w:hAnsi="Tahoma" w:cs="Tahoma"/>
        </w:rPr>
        <w:t>]</w:t>
      </w:r>
      <w:r w:rsidRPr="005069CB">
        <w:rPr>
          <w:rFonts w:ascii="Tahoma" w:eastAsia="Tahoma" w:hAnsi="Tahoma" w:cs="Tahoma"/>
          <w:b/>
          <w:bCs/>
          <w:u w:val="single"/>
        </w:rPr>
        <w:t>NLR</w:t>
      </w:r>
      <w:r w:rsidRPr="005069CB">
        <w:rPr>
          <w:rFonts w:ascii="Tahoma" w:eastAsia="Tahoma" w:hAnsi="Tahoma" w:cs="Tahoma"/>
        </w:rPr>
        <w:t xml:space="preserve"> Data Collection Tool (Attachment 14).</w:t>
      </w:r>
    </w:p>
    <w:p w14:paraId="1716CA40" w14:textId="77777777" w:rsidR="005069CB" w:rsidRPr="005069CB" w:rsidRDefault="005069CB" w:rsidP="005069CB">
      <w:pPr>
        <w:pStyle w:val="ListParagraph"/>
        <w:rPr>
          <w:rFonts w:ascii="Tahoma" w:hAnsi="Tahoma" w:cs="Tahoma"/>
          <w:lang w:eastAsia="ja-JP"/>
        </w:rPr>
      </w:pPr>
    </w:p>
    <w:p w14:paraId="5CED4DF9" w14:textId="77777777" w:rsidR="00AB1469" w:rsidRPr="005069CB" w:rsidRDefault="00AB1469" w:rsidP="005069CB">
      <w:pPr>
        <w:pStyle w:val="ListParagraph"/>
        <w:rPr>
          <w:rFonts w:ascii="Tahoma" w:eastAsia="Tahoma" w:hAnsi="Tahoma" w:cs="Tahoma"/>
        </w:rPr>
      </w:pPr>
      <w:r w:rsidRPr="001A4679">
        <w:rPr>
          <w:rFonts w:ascii="Tahoma" w:eastAsia="Tahoma" w:hAnsi="Tahoma" w:cs="Tahoma"/>
        </w:rPr>
        <w:t>Recipients of funding under this solicitation shall include the PNNL HSP in any fact-finding or investigation of any safety incident.</w:t>
      </w:r>
    </w:p>
    <w:p w14:paraId="6DA2B1F4" w14:textId="77777777" w:rsidR="005069CB" w:rsidRPr="005069CB" w:rsidRDefault="005069CB" w:rsidP="005069CB">
      <w:pPr>
        <w:pStyle w:val="ListParagraph"/>
        <w:rPr>
          <w:rFonts w:ascii="Tahoma" w:hAnsi="Tahoma" w:cs="Tahoma"/>
          <w:lang w:eastAsia="ja-JP"/>
        </w:rPr>
      </w:pPr>
    </w:p>
    <w:p w14:paraId="16D52EC3" w14:textId="77777777" w:rsidR="008A3707" w:rsidRDefault="00AB1469" w:rsidP="005069CB">
      <w:pPr>
        <w:pStyle w:val="ListParagraph"/>
        <w:tabs>
          <w:tab w:val="left" w:pos="1440"/>
        </w:tabs>
        <w:rPr>
          <w:rFonts w:ascii="Tahoma" w:eastAsia="Tahoma" w:hAnsi="Tahoma" w:cs="Tahoma"/>
        </w:rPr>
      </w:pPr>
      <w:r w:rsidRPr="001A4679">
        <w:rPr>
          <w:rFonts w:ascii="Tahoma" w:eastAsia="Tahoma" w:hAnsi="Tahoma" w:cs="Tahoma"/>
        </w:rPr>
        <w:t>Should the Recipient not follow the requirements for reporting safety incidents, the CEC, without limitation of any other rights, reserves the right to cancel the Recipient’s agreement funded by this solicitation.</w:t>
      </w:r>
    </w:p>
    <w:p w14:paraId="21D7CA50" w14:textId="77777777" w:rsidR="00D3244C" w:rsidRPr="009C0A07" w:rsidRDefault="00D3244C" w:rsidP="005069CB">
      <w:pPr>
        <w:pStyle w:val="ListParagraph"/>
        <w:tabs>
          <w:tab w:val="left" w:pos="1440"/>
        </w:tabs>
        <w:rPr>
          <w:rFonts w:ascii="Tahoma" w:eastAsia="Tahoma" w:hAnsi="Tahoma" w:cs="Tahoma"/>
        </w:rPr>
      </w:pPr>
    </w:p>
    <w:p w14:paraId="59813426" w14:textId="045844F4" w:rsidR="00995064" w:rsidRDefault="00995064"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color w:val="auto"/>
        </w:rPr>
      </w:pPr>
      <w:r w:rsidRPr="00E575C5">
        <w:rPr>
          <w:rStyle w:val="normaltextrun"/>
          <w:rFonts w:ascii="Tahoma" w:hAnsi="Tahoma" w:cs="Tahoma"/>
          <w:b/>
          <w:bCs/>
          <w:color w:val="auto"/>
        </w:rPr>
        <w:lastRenderedPageBreak/>
        <w:t>Section II</w:t>
      </w:r>
      <w:r w:rsidR="00D46602" w:rsidRPr="00E575C5">
        <w:rPr>
          <w:rStyle w:val="normaltextrun"/>
          <w:rFonts w:ascii="Tahoma" w:hAnsi="Tahoma" w:cs="Tahoma"/>
          <w:b/>
          <w:bCs/>
          <w:color w:val="auto"/>
        </w:rPr>
        <w:t>.D. Eligible Project Costs</w:t>
      </w:r>
    </w:p>
    <w:p w14:paraId="3CFBBFFA" w14:textId="77777777" w:rsidR="0060100B" w:rsidRPr="0060100B" w:rsidRDefault="0060100B" w:rsidP="0060100B"/>
    <w:p w14:paraId="19F726C1" w14:textId="77777777" w:rsidR="00240167" w:rsidRPr="00E06EAF" w:rsidRDefault="00240167" w:rsidP="00E575C5">
      <w:pPr>
        <w:numPr>
          <w:ilvl w:val="0"/>
          <w:numId w:val="3"/>
        </w:numPr>
        <w:spacing w:after="120"/>
        <w:ind w:hanging="720"/>
        <w:rPr>
          <w:rFonts w:ascii="Tahoma" w:eastAsia="Tahoma" w:hAnsi="Tahoma" w:cs="Tahoma"/>
        </w:rPr>
      </w:pPr>
      <w:r w:rsidRPr="3AC660FC">
        <w:rPr>
          <w:rFonts w:ascii="Tahoma" w:eastAsia="Tahoma" w:hAnsi="Tahoma" w:cs="Tahoma"/>
        </w:rPr>
        <w:t>Costs incurred for the following are eligible for CEC reimbursement or as the Applicant’s match share.</w:t>
      </w:r>
    </w:p>
    <w:p w14:paraId="39966B58" w14:textId="77777777" w:rsidR="00240167" w:rsidRDefault="00240167"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Compressors</w:t>
      </w:r>
    </w:p>
    <w:p w14:paraId="5AA0CF68" w14:textId="77777777" w:rsidR="00240167" w:rsidRPr="00FD44ED" w:rsidRDefault="00240167" w:rsidP="00E575C5">
      <w:pPr>
        <w:pStyle w:val="ListParagraph"/>
        <w:numPr>
          <w:ilvl w:val="1"/>
          <w:numId w:val="5"/>
        </w:numPr>
        <w:spacing w:after="120"/>
        <w:ind w:left="2160" w:hanging="720"/>
        <w:contextualSpacing w:val="0"/>
        <w:rPr>
          <w:rFonts w:ascii="Tahoma" w:eastAsia="Tahoma" w:hAnsi="Tahoma" w:cs="Tahoma"/>
        </w:rPr>
      </w:pPr>
      <w:r w:rsidRPr="00FD44ED">
        <w:rPr>
          <w:rFonts w:ascii="Tahoma" w:eastAsia="Tahoma" w:hAnsi="Tahoma" w:cs="Tahoma"/>
        </w:rPr>
        <w:t>Cryogenic pumps</w:t>
      </w:r>
    </w:p>
    <w:p w14:paraId="6641AAB6" w14:textId="77777777" w:rsidR="00240167" w:rsidRDefault="00240167"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t>Dispenser with hose and nozzles</w:t>
      </w:r>
    </w:p>
    <w:p w14:paraId="003EF178" w14:textId="77777777" w:rsidR="00240167" w:rsidRPr="00D15784" w:rsidRDefault="00240167" w:rsidP="00E575C5">
      <w:pPr>
        <w:pStyle w:val="ListParagraph"/>
        <w:numPr>
          <w:ilvl w:val="1"/>
          <w:numId w:val="5"/>
        </w:numPr>
        <w:spacing w:after="120"/>
        <w:ind w:left="2160" w:hanging="720"/>
        <w:contextualSpacing w:val="0"/>
        <w:rPr>
          <w:rFonts w:ascii="Tahoma" w:eastAsia="Tahoma" w:hAnsi="Tahoma" w:cs="Tahoma"/>
        </w:rPr>
      </w:pPr>
      <w:r w:rsidRPr="6EB9B68B">
        <w:rPr>
          <w:rFonts w:ascii="Tahoma" w:hAnsi="Tahoma" w:cs="Tahoma"/>
        </w:rPr>
        <w:t xml:space="preserve">Liquid hydrogen storage </w:t>
      </w:r>
      <w:r w:rsidRPr="00FD44ED">
        <w:rPr>
          <w:rFonts w:ascii="Tahoma" w:hAnsi="Tahoma" w:cs="Tahoma"/>
        </w:rPr>
        <w:t>tanks/cryogenic tanks</w:t>
      </w:r>
    </w:p>
    <w:p w14:paraId="09C24AE9" w14:textId="77777777" w:rsidR="00240167" w:rsidRPr="00E91B48" w:rsidRDefault="00240167" w:rsidP="00E575C5">
      <w:pPr>
        <w:pStyle w:val="ListParagraph"/>
        <w:numPr>
          <w:ilvl w:val="1"/>
          <w:numId w:val="5"/>
        </w:numPr>
        <w:spacing w:after="120"/>
        <w:ind w:left="2160" w:hanging="720"/>
        <w:contextualSpacing w:val="0"/>
        <w:rPr>
          <w:rFonts w:ascii="Tahoma" w:hAnsi="Tahoma" w:cs="Tahoma"/>
          <w:b/>
          <w:u w:val="single"/>
        </w:rPr>
      </w:pPr>
      <w:r>
        <w:rPr>
          <w:rFonts w:ascii="Tahoma" w:hAnsi="Tahoma" w:cs="Tahoma"/>
          <w:b/>
          <w:bCs/>
          <w:u w:val="single"/>
        </w:rPr>
        <w:t>Gaseous hydrogen storage</w:t>
      </w:r>
    </w:p>
    <w:p w14:paraId="7DC0769A" w14:textId="77777777" w:rsidR="00240167" w:rsidRPr="00E91B48" w:rsidRDefault="00240167" w:rsidP="00E575C5">
      <w:pPr>
        <w:pStyle w:val="ListParagraph"/>
        <w:numPr>
          <w:ilvl w:val="1"/>
          <w:numId w:val="5"/>
        </w:numPr>
        <w:spacing w:after="120"/>
        <w:ind w:left="2160" w:hanging="720"/>
        <w:contextualSpacing w:val="0"/>
        <w:rPr>
          <w:rFonts w:ascii="Tahoma" w:hAnsi="Tahoma" w:cs="Tahoma"/>
          <w:b/>
          <w:u w:val="single"/>
        </w:rPr>
      </w:pPr>
      <w:r>
        <w:rPr>
          <w:rFonts w:ascii="Tahoma" w:hAnsi="Tahoma" w:cs="Tahoma"/>
          <w:b/>
          <w:bCs/>
          <w:u w:val="single"/>
        </w:rPr>
        <w:t>Electrical equipment</w:t>
      </w:r>
    </w:p>
    <w:p w14:paraId="5B92F5BC" w14:textId="77777777" w:rsidR="008528EA" w:rsidRPr="00E91B48" w:rsidRDefault="008528EA" w:rsidP="00E575C5">
      <w:pPr>
        <w:pStyle w:val="ListParagraph"/>
        <w:numPr>
          <w:ilvl w:val="1"/>
          <w:numId w:val="5"/>
        </w:numPr>
        <w:spacing w:after="120"/>
        <w:ind w:left="2160" w:hanging="720"/>
        <w:contextualSpacing w:val="0"/>
        <w:rPr>
          <w:rFonts w:ascii="Tahoma" w:hAnsi="Tahoma" w:cs="Tahoma"/>
          <w:b/>
          <w:u w:val="single"/>
        </w:rPr>
      </w:pPr>
      <w:r>
        <w:rPr>
          <w:rFonts w:ascii="Tahoma" w:hAnsi="Tahoma" w:cs="Tahoma"/>
          <w:b/>
          <w:bCs/>
          <w:u w:val="single"/>
        </w:rPr>
        <w:t>Thermal management equipment</w:t>
      </w:r>
    </w:p>
    <w:p w14:paraId="2FEA0B55" w14:textId="77777777" w:rsidR="002B1572" w:rsidRPr="00E91B48" w:rsidRDefault="008C6437" w:rsidP="00E575C5">
      <w:pPr>
        <w:pStyle w:val="ListParagraph"/>
        <w:numPr>
          <w:ilvl w:val="1"/>
          <w:numId w:val="5"/>
        </w:numPr>
        <w:spacing w:after="120"/>
        <w:ind w:left="2160" w:hanging="720"/>
        <w:contextualSpacing w:val="0"/>
        <w:rPr>
          <w:rFonts w:ascii="Tahoma" w:hAnsi="Tahoma" w:cs="Tahoma"/>
          <w:b/>
          <w:u w:val="single"/>
        </w:rPr>
      </w:pPr>
      <w:r>
        <w:rPr>
          <w:rFonts w:ascii="Tahoma" w:hAnsi="Tahoma" w:cs="Tahoma"/>
          <w:b/>
          <w:bCs/>
          <w:u w:val="single"/>
        </w:rPr>
        <w:t>Hydrogen fuel delivery</w:t>
      </w:r>
      <w:r w:rsidR="002B1572">
        <w:rPr>
          <w:rFonts w:ascii="Tahoma" w:hAnsi="Tahoma" w:cs="Tahoma"/>
          <w:b/>
          <w:bCs/>
          <w:u w:val="single"/>
        </w:rPr>
        <w:t xml:space="preserve"> trailer safety upgrades</w:t>
      </w:r>
    </w:p>
    <w:p w14:paraId="40C19425" w14:textId="2B63A0DA" w:rsidR="00CB0F6B" w:rsidRPr="00F523B2" w:rsidRDefault="00CB0F6B" w:rsidP="00E575C5">
      <w:pPr>
        <w:pStyle w:val="ListParagraph"/>
        <w:numPr>
          <w:ilvl w:val="1"/>
          <w:numId w:val="5"/>
        </w:numPr>
        <w:spacing w:after="120"/>
        <w:ind w:left="2160" w:hanging="720"/>
        <w:contextualSpacing w:val="0"/>
        <w:rPr>
          <w:rFonts w:ascii="Tahoma" w:hAnsi="Tahoma" w:cs="Tahoma"/>
          <w:b/>
          <w:bCs/>
          <w:u w:val="single"/>
        </w:rPr>
      </w:pPr>
      <w:r w:rsidRPr="00E91B48">
        <w:rPr>
          <w:rFonts w:ascii="Tahoma" w:hAnsi="Tahoma" w:cs="Tahoma"/>
          <w:b/>
          <w:bCs/>
          <w:u w:val="single"/>
        </w:rPr>
        <w:t>Modular hydrogen infrastructure</w:t>
      </w:r>
      <w:r w:rsidR="00190D8C">
        <w:rPr>
          <w:rFonts w:ascii="Tahoma" w:hAnsi="Tahoma" w:cs="Tahoma"/>
          <w:b/>
          <w:bCs/>
          <w:u w:val="single"/>
        </w:rPr>
        <w:t xml:space="preserve"> (including infrastructure that includes renewable infrastructure)</w:t>
      </w:r>
    </w:p>
    <w:p w14:paraId="5D5D283B" w14:textId="77777777" w:rsidR="00240167" w:rsidRPr="001A4679" w:rsidRDefault="00240167"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t xml:space="preserve">Shipping </w:t>
      </w:r>
    </w:p>
    <w:p w14:paraId="59DD42A3" w14:textId="77777777" w:rsidR="00240167" w:rsidRDefault="00240167"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t>Installation costs</w:t>
      </w:r>
    </w:p>
    <w:p w14:paraId="185253F0" w14:textId="77777777" w:rsidR="00240167" w:rsidRPr="00FD44ED" w:rsidRDefault="00240167" w:rsidP="00E575C5">
      <w:pPr>
        <w:pStyle w:val="ListParagraph"/>
        <w:numPr>
          <w:ilvl w:val="1"/>
          <w:numId w:val="5"/>
        </w:numPr>
        <w:spacing w:after="120"/>
        <w:ind w:left="2160" w:hanging="720"/>
        <w:contextualSpacing w:val="0"/>
        <w:rPr>
          <w:rFonts w:ascii="Tahoma" w:eastAsia="Tahoma" w:hAnsi="Tahoma" w:cs="Tahoma"/>
        </w:rPr>
      </w:pPr>
      <w:r w:rsidRPr="00FD44ED">
        <w:rPr>
          <w:rFonts w:ascii="Tahoma" w:eastAsia="Tahoma" w:hAnsi="Tahoma" w:cs="Tahoma"/>
        </w:rPr>
        <w:t>Point of Sale Systems</w:t>
      </w:r>
    </w:p>
    <w:p w14:paraId="296AE72B" w14:textId="77777777" w:rsidR="00240167" w:rsidRPr="001A4679" w:rsidRDefault="00240167"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Commissioning</w:t>
      </w:r>
      <w:bookmarkStart w:id="0" w:name="_Toc516864794"/>
      <w:bookmarkStart w:id="1" w:name="_Toc517344111"/>
      <w:bookmarkStart w:id="2" w:name="_Toc517440104"/>
      <w:bookmarkStart w:id="3" w:name="_Toc520981567"/>
    </w:p>
    <w:p w14:paraId="05333351" w14:textId="77777777" w:rsidR="00240167" w:rsidRDefault="00240167"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rPr>
        <w:t>Equipment maintenance for term of the agreement (O&amp;M funding only)</w:t>
      </w:r>
    </w:p>
    <w:p w14:paraId="184463F9" w14:textId="73296324" w:rsidR="00CB0F6B" w:rsidRDefault="00CB0F6B"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rPr>
        <w:t xml:space="preserve">Hydrogen supply </w:t>
      </w:r>
      <w:r>
        <w:rPr>
          <w:rFonts w:ascii="Tahoma" w:eastAsia="Tahoma" w:hAnsi="Tahoma" w:cs="Tahoma"/>
          <w:b/>
          <w:bCs/>
          <w:u w:val="single"/>
        </w:rPr>
        <w:t>(deliveries)</w:t>
      </w:r>
      <w:r>
        <w:rPr>
          <w:rFonts w:ascii="Tahoma" w:eastAsia="Tahoma" w:hAnsi="Tahoma" w:cs="Tahoma"/>
        </w:rPr>
        <w:t xml:space="preserve"> (O&amp;M funding only)</w:t>
      </w:r>
    </w:p>
    <w:p w14:paraId="12BC0E1E" w14:textId="77777777" w:rsidR="00240167" w:rsidRPr="001A4679" w:rsidRDefault="00240167"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rPr>
        <w:t>Cost of electricity/power (O&amp;M funding only)</w:t>
      </w:r>
    </w:p>
    <w:p w14:paraId="53765363" w14:textId="77777777" w:rsidR="008B2741" w:rsidRPr="00FD44ED" w:rsidRDefault="008B2741" w:rsidP="00E575C5">
      <w:pPr>
        <w:numPr>
          <w:ilvl w:val="0"/>
          <w:numId w:val="3"/>
        </w:numPr>
        <w:spacing w:after="120"/>
        <w:ind w:hanging="720"/>
        <w:rPr>
          <w:rFonts w:ascii="Tahoma" w:hAnsi="Tahoma" w:cs="Tahoma"/>
        </w:rPr>
      </w:pPr>
      <w:r w:rsidRPr="38F13B3D">
        <w:rPr>
          <w:rFonts w:ascii="Tahoma" w:hAnsi="Tahoma" w:cs="Tahoma"/>
        </w:rPr>
        <w:t>The following costs are not eligible for CEC reimbursement but may be included as an Applicant’s match share.</w:t>
      </w:r>
    </w:p>
    <w:p w14:paraId="7D69E988" w14:textId="77777777" w:rsidR="008B2741" w:rsidRPr="00FD44ED" w:rsidRDefault="008B2741" w:rsidP="00E575C5">
      <w:pPr>
        <w:numPr>
          <w:ilvl w:val="2"/>
          <w:numId w:val="4"/>
        </w:numPr>
        <w:spacing w:after="60"/>
        <w:ind w:hanging="720"/>
        <w:rPr>
          <w:rFonts w:ascii="Tahoma" w:hAnsi="Tahoma" w:cs="Tahoma"/>
        </w:rPr>
      </w:pPr>
      <w:r w:rsidRPr="00FD44ED">
        <w:rPr>
          <w:rFonts w:ascii="Tahoma" w:hAnsi="Tahoma" w:cs="Tahoma"/>
        </w:rPr>
        <w:t xml:space="preserve">Renewable hydrogen production equipment </w:t>
      </w:r>
    </w:p>
    <w:p w14:paraId="63310E2D" w14:textId="77777777" w:rsidR="008B2741" w:rsidRDefault="008B2741" w:rsidP="00E575C5">
      <w:pPr>
        <w:pStyle w:val="ListParagraph"/>
        <w:numPr>
          <w:ilvl w:val="2"/>
          <w:numId w:val="4"/>
        </w:numPr>
        <w:spacing w:after="60"/>
        <w:ind w:hanging="720"/>
        <w:contextualSpacing w:val="0"/>
        <w:rPr>
          <w:rFonts w:ascii="Tahoma" w:hAnsi="Tahoma" w:cs="Tahoma"/>
        </w:rPr>
      </w:pPr>
      <w:r w:rsidRPr="5473550F">
        <w:rPr>
          <w:rFonts w:ascii="Tahoma" w:hAnsi="Tahoma" w:cs="Tahoma"/>
        </w:rPr>
        <w:t>Planning and engineering design</w:t>
      </w:r>
    </w:p>
    <w:p w14:paraId="6BF9B348" w14:textId="77777777" w:rsidR="008B2741" w:rsidRPr="00FD44ED" w:rsidRDefault="008B2741" w:rsidP="00E575C5">
      <w:pPr>
        <w:numPr>
          <w:ilvl w:val="2"/>
          <w:numId w:val="4"/>
        </w:numPr>
        <w:spacing w:after="60"/>
        <w:ind w:hanging="720"/>
        <w:rPr>
          <w:rFonts w:ascii="Tahoma" w:hAnsi="Tahoma" w:cs="Tahoma"/>
        </w:rPr>
      </w:pPr>
      <w:r w:rsidRPr="00FD44ED">
        <w:rPr>
          <w:rFonts w:ascii="Tahoma" w:hAnsi="Tahoma" w:cs="Tahoma"/>
        </w:rPr>
        <w:t xml:space="preserve">Warranties for term of the agreement </w:t>
      </w:r>
    </w:p>
    <w:p w14:paraId="655FB050" w14:textId="77777777" w:rsidR="008B2741" w:rsidRPr="00FD44ED" w:rsidRDefault="008B2741" w:rsidP="00E575C5">
      <w:pPr>
        <w:numPr>
          <w:ilvl w:val="2"/>
          <w:numId w:val="4"/>
        </w:numPr>
        <w:spacing w:after="60"/>
        <w:ind w:hanging="720"/>
        <w:rPr>
          <w:rFonts w:ascii="Tahoma" w:hAnsi="Tahoma" w:cs="Tahoma"/>
        </w:rPr>
      </w:pPr>
      <w:r w:rsidRPr="00FD44ED">
        <w:rPr>
          <w:rFonts w:ascii="Tahoma" w:hAnsi="Tahoma" w:cs="Tahoma"/>
        </w:rPr>
        <w:t>Signage</w:t>
      </w:r>
    </w:p>
    <w:p w14:paraId="22FBE147" w14:textId="77777777" w:rsidR="008B2741" w:rsidRPr="00FD44ED" w:rsidRDefault="008B2741" w:rsidP="00E575C5">
      <w:pPr>
        <w:numPr>
          <w:ilvl w:val="2"/>
          <w:numId w:val="4"/>
        </w:numPr>
        <w:spacing w:after="60"/>
        <w:ind w:hanging="720"/>
        <w:rPr>
          <w:rFonts w:ascii="Tahoma" w:hAnsi="Tahoma" w:cs="Tahoma"/>
        </w:rPr>
      </w:pPr>
      <w:r w:rsidRPr="00FD44ED">
        <w:rPr>
          <w:rFonts w:ascii="Tahoma" w:hAnsi="Tahoma" w:cs="Tahoma"/>
        </w:rPr>
        <w:t>Tests for regulatory compliance</w:t>
      </w:r>
    </w:p>
    <w:p w14:paraId="33FE3011" w14:textId="77777777" w:rsidR="008B2741" w:rsidRDefault="008B2741" w:rsidP="00E575C5">
      <w:pPr>
        <w:numPr>
          <w:ilvl w:val="2"/>
          <w:numId w:val="4"/>
        </w:numPr>
        <w:spacing w:after="60"/>
        <w:ind w:hanging="720"/>
        <w:rPr>
          <w:rFonts w:ascii="Tahoma" w:hAnsi="Tahoma" w:cs="Tahoma"/>
        </w:rPr>
      </w:pPr>
      <w:r w:rsidRPr="00FD44ED">
        <w:rPr>
          <w:rFonts w:ascii="Tahoma" w:hAnsi="Tahoma" w:cs="Tahoma"/>
        </w:rPr>
        <w:t>Security fencing and other security measures</w:t>
      </w:r>
    </w:p>
    <w:p w14:paraId="3986DCC2" w14:textId="77777777" w:rsidR="008B2741" w:rsidRDefault="008B2741" w:rsidP="00E575C5">
      <w:pPr>
        <w:numPr>
          <w:ilvl w:val="2"/>
          <w:numId w:val="4"/>
        </w:numPr>
        <w:spacing w:after="60"/>
        <w:ind w:hanging="720"/>
        <w:rPr>
          <w:rFonts w:ascii="Tahoma" w:hAnsi="Tahoma" w:cs="Tahoma"/>
        </w:rPr>
      </w:pPr>
      <w:r>
        <w:rPr>
          <w:rFonts w:ascii="Tahoma" w:hAnsi="Tahoma" w:cs="Tahoma"/>
        </w:rPr>
        <w:t xml:space="preserve">Engagement and outreach </w:t>
      </w:r>
    </w:p>
    <w:p w14:paraId="05CFDD7D" w14:textId="77777777" w:rsidR="008B2741" w:rsidRDefault="008B2741" w:rsidP="00E575C5">
      <w:pPr>
        <w:numPr>
          <w:ilvl w:val="2"/>
          <w:numId w:val="4"/>
        </w:numPr>
        <w:spacing w:after="60"/>
        <w:ind w:hanging="720"/>
        <w:rPr>
          <w:rFonts w:ascii="Tahoma" w:hAnsi="Tahoma" w:cs="Tahoma"/>
        </w:rPr>
      </w:pPr>
      <w:r>
        <w:rPr>
          <w:rFonts w:ascii="Tahoma" w:hAnsi="Tahoma" w:cs="Tahoma"/>
        </w:rPr>
        <w:t>Project management</w:t>
      </w:r>
      <w:r w:rsidRPr="5DE4E443">
        <w:rPr>
          <w:rFonts w:ascii="Tahoma" w:hAnsi="Tahoma" w:cs="Tahoma"/>
        </w:rPr>
        <w:t xml:space="preserve"> (i.e., direct labor, fringe benefits, indirect costs, overhead)</w:t>
      </w:r>
    </w:p>
    <w:p w14:paraId="1270C42D" w14:textId="77777777" w:rsidR="008B2741" w:rsidRDefault="008B2741" w:rsidP="00E575C5">
      <w:pPr>
        <w:numPr>
          <w:ilvl w:val="2"/>
          <w:numId w:val="4"/>
        </w:numPr>
        <w:spacing w:after="60"/>
        <w:ind w:hanging="720"/>
        <w:rPr>
          <w:rFonts w:ascii="Tahoma" w:hAnsi="Tahoma" w:cs="Tahoma"/>
        </w:rPr>
      </w:pPr>
      <w:r w:rsidRPr="002D24D0">
        <w:rPr>
          <w:rFonts w:ascii="Tahoma" w:hAnsi="Tahoma" w:cs="Tahoma"/>
        </w:rPr>
        <w:t xml:space="preserve">Permitting, insurance, land purchases, and land leases </w:t>
      </w:r>
    </w:p>
    <w:p w14:paraId="0B22BBEE" w14:textId="77777777" w:rsidR="008B2741" w:rsidRPr="00FD44ED" w:rsidRDefault="008B2741" w:rsidP="00E575C5">
      <w:pPr>
        <w:numPr>
          <w:ilvl w:val="2"/>
          <w:numId w:val="4"/>
        </w:numPr>
        <w:spacing w:after="60"/>
        <w:ind w:hanging="720"/>
        <w:rPr>
          <w:rFonts w:ascii="Tahoma" w:hAnsi="Tahoma" w:cs="Tahoma"/>
        </w:rPr>
      </w:pPr>
      <w:r>
        <w:rPr>
          <w:rFonts w:ascii="Tahoma" w:hAnsi="Tahoma" w:cs="Tahoma"/>
        </w:rPr>
        <w:t>Workforce development and training</w:t>
      </w:r>
      <w:r w:rsidRPr="00FD44ED">
        <w:rPr>
          <w:rFonts w:ascii="Tahoma" w:hAnsi="Tahoma" w:cs="Tahoma"/>
        </w:rPr>
        <w:t xml:space="preserve"> </w:t>
      </w:r>
      <w:r w:rsidRPr="3AC660FC">
        <w:rPr>
          <w:rFonts w:ascii="Tahoma" w:hAnsi="Tahoma" w:cs="Tahoma"/>
        </w:rPr>
        <w:t xml:space="preserve">related to hydrogen refueling infrastructure  </w:t>
      </w:r>
    </w:p>
    <w:p w14:paraId="4E905B2C" w14:textId="77777777" w:rsidR="008B2741" w:rsidRPr="007951B9" w:rsidRDefault="008B2741" w:rsidP="00E575C5">
      <w:pPr>
        <w:numPr>
          <w:ilvl w:val="2"/>
          <w:numId w:val="4"/>
        </w:numPr>
        <w:spacing w:after="120"/>
        <w:ind w:hanging="720"/>
        <w:rPr>
          <w:rFonts w:ascii="Tahoma" w:hAnsi="Tahoma" w:cs="Tahoma"/>
        </w:rPr>
      </w:pPr>
      <w:r w:rsidRPr="00FD44ED">
        <w:rPr>
          <w:rFonts w:ascii="Tahoma" w:hAnsi="Tahoma" w:cs="Tahoma"/>
        </w:rPr>
        <w:lastRenderedPageBreak/>
        <w:t xml:space="preserve">Mobile refuelers, renewable energy generation equipment, and temporary power solutions, such as 100% renewable linear generators (a linear generator may use 100% renewable natural gas, 100% renewable hydrogen, or a combination of both totaling </w:t>
      </w:r>
      <w:r w:rsidRPr="007951B9">
        <w:rPr>
          <w:rFonts w:ascii="Tahoma" w:hAnsi="Tahoma" w:cs="Tahoma"/>
        </w:rPr>
        <w:t>100% renewable fuel).</w:t>
      </w:r>
      <w:r w:rsidRPr="007951B9">
        <w:rPr>
          <w:vertAlign w:val="superscript"/>
        </w:rPr>
        <w:footnoteReference w:id="2"/>
      </w:r>
      <w:r w:rsidRPr="007951B9">
        <w:rPr>
          <w:rFonts w:ascii="Tahoma" w:hAnsi="Tahoma" w:cs="Tahoma"/>
        </w:rPr>
        <w:t> </w:t>
      </w:r>
    </w:p>
    <w:p w14:paraId="13068C4A" w14:textId="77777777" w:rsidR="008B2741" w:rsidRDefault="008B2741" w:rsidP="00E575C5">
      <w:pPr>
        <w:numPr>
          <w:ilvl w:val="2"/>
          <w:numId w:val="4"/>
        </w:numPr>
        <w:spacing w:after="120"/>
        <w:ind w:hanging="720"/>
        <w:rPr>
          <w:rFonts w:ascii="Tahoma" w:hAnsi="Tahoma" w:cs="Tahoma"/>
          <w:b/>
          <w:bCs/>
          <w:u w:val="single"/>
        </w:rPr>
      </w:pPr>
      <w:r>
        <w:rPr>
          <w:rFonts w:ascii="Tahoma" w:hAnsi="Tahoma" w:cs="Tahoma"/>
        </w:rPr>
        <w:t>O</w:t>
      </w:r>
      <w:r w:rsidRPr="007951B9">
        <w:rPr>
          <w:rFonts w:ascii="Tahoma" w:hAnsi="Tahoma" w:cs="Tahoma"/>
        </w:rPr>
        <w:t>n road FCEVs (purchased, rented, or leased)</w:t>
      </w:r>
      <w:r>
        <w:rPr>
          <w:rFonts w:ascii="Tahoma" w:hAnsi="Tahoma" w:cs="Tahoma"/>
        </w:rPr>
        <w:t xml:space="preserve"> as part of fleet</w:t>
      </w:r>
    </w:p>
    <w:p w14:paraId="7D40BC89" w14:textId="77777777" w:rsidR="007A0F1F" w:rsidRDefault="008B2741" w:rsidP="00E575C5">
      <w:pPr>
        <w:numPr>
          <w:ilvl w:val="2"/>
          <w:numId w:val="4"/>
        </w:numPr>
        <w:spacing w:after="120"/>
        <w:ind w:hanging="720"/>
        <w:rPr>
          <w:rFonts w:ascii="Tahoma" w:hAnsi="Tahoma" w:cs="Tahoma"/>
          <w:b/>
          <w:bCs/>
          <w:u w:val="single"/>
        </w:rPr>
      </w:pPr>
      <w:r>
        <w:rPr>
          <w:rFonts w:ascii="Tahoma" w:hAnsi="Tahoma" w:cs="Tahoma"/>
          <w:b/>
          <w:bCs/>
          <w:u w:val="single"/>
        </w:rPr>
        <w:t>Replacement of existing equipment</w:t>
      </w:r>
    </w:p>
    <w:p w14:paraId="378DC2D0" w14:textId="77777777" w:rsidR="008B2741" w:rsidRDefault="007A0F1F" w:rsidP="00E575C5">
      <w:pPr>
        <w:numPr>
          <w:ilvl w:val="2"/>
          <w:numId w:val="4"/>
        </w:numPr>
        <w:spacing w:after="120"/>
        <w:ind w:hanging="720"/>
        <w:rPr>
          <w:rFonts w:ascii="Tahoma" w:hAnsi="Tahoma" w:cs="Tahoma"/>
          <w:b/>
          <w:bCs/>
          <w:u w:val="single"/>
        </w:rPr>
      </w:pPr>
      <w:r>
        <w:rPr>
          <w:rFonts w:ascii="Tahoma" w:hAnsi="Tahoma" w:cs="Tahoma"/>
          <w:b/>
          <w:bCs/>
          <w:u w:val="single"/>
        </w:rPr>
        <w:t>Retrofits to existing stations</w:t>
      </w:r>
      <w:r w:rsidR="008B2741">
        <w:rPr>
          <w:rFonts w:ascii="Tahoma" w:hAnsi="Tahoma" w:cs="Tahoma"/>
          <w:b/>
          <w:bCs/>
          <w:u w:val="single"/>
        </w:rPr>
        <w:t xml:space="preserve"> </w:t>
      </w:r>
    </w:p>
    <w:p w14:paraId="547786E5" w14:textId="77777777" w:rsidR="00DC4262" w:rsidRPr="001A4679" w:rsidRDefault="00DC4262" w:rsidP="00E575C5">
      <w:pPr>
        <w:numPr>
          <w:ilvl w:val="0"/>
          <w:numId w:val="3"/>
        </w:numPr>
        <w:spacing w:after="120"/>
        <w:ind w:hanging="720"/>
        <w:rPr>
          <w:rFonts w:ascii="Tahoma" w:hAnsi="Tahoma" w:cs="Tahoma"/>
          <w:lang w:eastAsia="ja-JP"/>
        </w:rPr>
      </w:pPr>
      <w:r w:rsidRPr="6EB9B68B">
        <w:rPr>
          <w:rFonts w:ascii="Tahoma" w:eastAsia="Tahoma" w:hAnsi="Tahoma" w:cs="Tahoma"/>
        </w:rPr>
        <w:t xml:space="preserve">Costs incurred for the following are </w:t>
      </w:r>
      <w:r w:rsidRPr="6EB9B68B">
        <w:rPr>
          <w:rFonts w:ascii="Tahoma" w:eastAsia="Tahoma" w:hAnsi="Tahoma" w:cs="Tahoma"/>
          <w:b/>
          <w:bCs/>
        </w:rPr>
        <w:t>ineligible</w:t>
      </w:r>
      <w:r w:rsidRPr="6EB9B68B">
        <w:rPr>
          <w:rFonts w:ascii="Tahoma" w:eastAsia="Tahoma" w:hAnsi="Tahoma" w:cs="Tahoma"/>
        </w:rPr>
        <w:t xml:space="preserve"> for reimbursement and match share cost. This is not an exhaustive list:  </w:t>
      </w:r>
    </w:p>
    <w:p w14:paraId="087ED729"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Off-site fueling infrastructure</w:t>
      </w:r>
    </w:p>
    <w:p w14:paraId="0510FCD1" w14:textId="77777777" w:rsidR="00DC4262" w:rsidRDefault="00DC4262"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rPr>
        <w:t>Manufacturing-related expenses</w:t>
      </w:r>
    </w:p>
    <w:p w14:paraId="77BF84E3"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rPr>
        <w:t>Vehicle-related expenses (for example, costs for vehicle parts, labor for vehicle repairs, etc.)</w:t>
      </w:r>
    </w:p>
    <w:p w14:paraId="0959E3B1"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Market, literature, or technology surveys, or meta-analysis studies</w:t>
      </w:r>
    </w:p>
    <w:p w14:paraId="5880AE14"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Research</w:t>
      </w:r>
      <w:r>
        <w:rPr>
          <w:rFonts w:ascii="Tahoma" w:hAnsi="Tahoma" w:cs="Tahoma"/>
          <w:lang w:eastAsia="ja-JP"/>
        </w:rPr>
        <w:t xml:space="preserve"> </w:t>
      </w:r>
      <w:r>
        <w:rPr>
          <w:rFonts w:ascii="Tahoma" w:hAnsi="Tahoma" w:cs="Tahoma" w:hint="eastAsia"/>
          <w:lang w:eastAsia="ja-JP"/>
        </w:rPr>
        <w:t>and</w:t>
      </w:r>
      <w:r w:rsidRPr="001A4679">
        <w:rPr>
          <w:rFonts w:ascii="Tahoma" w:eastAsia="Tahoma" w:hAnsi="Tahoma" w:cs="Tahoma"/>
        </w:rPr>
        <w:t xml:space="preserve"> development </w:t>
      </w:r>
    </w:p>
    <w:p w14:paraId="5BA3189F"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Marketing and promotional activities </w:t>
      </w:r>
    </w:p>
    <w:p w14:paraId="1AF4600F"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Software development </w:t>
      </w:r>
    </w:p>
    <w:p w14:paraId="2C15E030"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Lab-scale research and validation </w:t>
      </w:r>
    </w:p>
    <w:p w14:paraId="5E4668E1"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Proof of concepts, functions, and prototype development</w:t>
      </w:r>
    </w:p>
    <w:p w14:paraId="4E32589A"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Nonrenewable </w:t>
      </w:r>
      <w:r>
        <w:rPr>
          <w:rFonts w:ascii="Tahoma" w:eastAsia="Tahoma" w:hAnsi="Tahoma" w:cs="Tahoma"/>
        </w:rPr>
        <w:t>(</w:t>
      </w:r>
      <w:r w:rsidRPr="001A4679">
        <w:rPr>
          <w:rFonts w:ascii="Tahoma" w:hAnsi="Tahoma" w:cs="Tahoma"/>
        </w:rPr>
        <w:t>Distributed Energy Resources</w:t>
      </w:r>
      <w:r>
        <w:rPr>
          <w:rFonts w:ascii="Tahoma" w:hAnsi="Tahoma" w:cs="Tahoma"/>
        </w:rPr>
        <w:t>)</w:t>
      </w:r>
      <w:r w:rsidRPr="001A4679">
        <w:rPr>
          <w:rFonts w:ascii="Tahoma" w:hAnsi="Tahoma" w:cs="Tahoma"/>
        </w:rPr>
        <w:t xml:space="preserve"> </w:t>
      </w:r>
      <w:r w:rsidRPr="001A4679">
        <w:rPr>
          <w:rFonts w:ascii="Tahoma" w:eastAsia="Tahoma" w:hAnsi="Tahoma" w:cs="Tahoma"/>
        </w:rPr>
        <w:t>DERs, such as generators that use nonrenewable fossil fuels</w:t>
      </w:r>
    </w:p>
    <w:p w14:paraId="7C7DF61E"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Distribution grid or other equipment costs that are otherwise covered by programs or tariff rules of the electric utilities</w:t>
      </w:r>
    </w:p>
    <w:p w14:paraId="0757C581"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Projects that are mandated by any local, regional, state, or federal law, rule, or regulation </w:t>
      </w:r>
    </w:p>
    <w:p w14:paraId="4D4088DB"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001A4679">
        <w:rPr>
          <w:rFonts w:ascii="Tahoma" w:eastAsia="Tahoma" w:hAnsi="Tahoma" w:cs="Tahoma"/>
        </w:rPr>
        <w:t xml:space="preserve">Projects that help the Applicant meet a performance requirement mandated by local, regional, state, or federal law, rule, or regulation </w:t>
      </w:r>
    </w:p>
    <w:p w14:paraId="3FCF0CBB" w14:textId="77777777" w:rsidR="00DC4262" w:rsidRPr="001A4679" w:rsidRDefault="00DC4262"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t xml:space="preserve">Paper studies or research projects (e.g., a study which assess the cost and feasibility of refueling station installations along certain corridors) </w:t>
      </w:r>
    </w:p>
    <w:p w14:paraId="05282D3E" w14:textId="77777777" w:rsidR="00DC4262" w:rsidRPr="00AF59C1" w:rsidRDefault="00DC4262"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t>Compressed natural gas (CNG) fueling infrastructure or any fueling infrastructure used to support vehicles other than fuel cell electric vehicles.</w:t>
      </w:r>
    </w:p>
    <w:p w14:paraId="715C45B0" w14:textId="77777777" w:rsidR="00DC4262" w:rsidRDefault="00DC4262" w:rsidP="00E575C5">
      <w:pPr>
        <w:pStyle w:val="ListParagraph"/>
        <w:numPr>
          <w:ilvl w:val="1"/>
          <w:numId w:val="5"/>
        </w:numPr>
        <w:spacing w:after="120"/>
        <w:ind w:left="2160" w:hanging="720"/>
        <w:contextualSpacing w:val="0"/>
        <w:rPr>
          <w:rFonts w:ascii="Tahoma" w:eastAsia="Tahoma" w:hAnsi="Tahoma" w:cs="Tahoma"/>
        </w:rPr>
      </w:pPr>
      <w:r w:rsidRPr="6EB9B68B">
        <w:rPr>
          <w:rFonts w:ascii="Tahoma" w:eastAsia="Tahoma" w:hAnsi="Tahoma" w:cs="Tahoma"/>
        </w:rPr>
        <w:lastRenderedPageBreak/>
        <w:t>Electric vehicle charging infrastructure or any infrastructure used to support battery electric vehicles.</w:t>
      </w:r>
    </w:p>
    <w:p w14:paraId="7BEA6A8B" w14:textId="77777777" w:rsidR="008B2741" w:rsidRPr="00DC4262" w:rsidRDefault="00DC4262" w:rsidP="00E575C5">
      <w:pPr>
        <w:pStyle w:val="ListParagraph"/>
        <w:numPr>
          <w:ilvl w:val="1"/>
          <w:numId w:val="5"/>
        </w:numPr>
        <w:spacing w:after="120"/>
        <w:ind w:left="2160" w:hanging="720"/>
        <w:contextualSpacing w:val="0"/>
        <w:rPr>
          <w:rFonts w:ascii="Tahoma" w:eastAsia="Tahoma" w:hAnsi="Tahoma" w:cs="Tahoma"/>
        </w:rPr>
      </w:pPr>
      <w:r>
        <w:rPr>
          <w:rFonts w:ascii="Tahoma" w:eastAsia="Tahoma" w:hAnsi="Tahoma" w:cs="Tahoma"/>
          <w:b/>
          <w:bCs/>
          <w:u w:val="single"/>
        </w:rPr>
        <w:t>Future expansion capability (such as reserved electrical capacity, pad space, additional storage tie-ins, or scalable modular equipment architecture)</w:t>
      </w:r>
    </w:p>
    <w:p w14:paraId="563C73F3" w14:textId="401E9AE4" w:rsidR="001571E8" w:rsidRDefault="001571E8"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Pr>
          <w:rStyle w:val="normaltextrun"/>
          <w:rFonts w:ascii="Tahoma" w:hAnsi="Tahoma" w:cs="Tahoma"/>
          <w:b/>
          <w:bCs/>
          <w:color w:val="auto"/>
        </w:rPr>
        <w:t xml:space="preserve">Section </w:t>
      </w:r>
      <w:r w:rsidR="001C5F2B">
        <w:rPr>
          <w:rStyle w:val="normaltextrun"/>
          <w:rFonts w:ascii="Tahoma" w:hAnsi="Tahoma" w:cs="Tahoma"/>
          <w:b/>
          <w:bCs/>
          <w:color w:val="auto"/>
        </w:rPr>
        <w:t>III.D.</w:t>
      </w:r>
      <w:r w:rsidR="00596E2A">
        <w:rPr>
          <w:rStyle w:val="normaltextrun"/>
          <w:rFonts w:ascii="Tahoma" w:hAnsi="Tahoma" w:cs="Tahoma"/>
          <w:b/>
          <w:bCs/>
          <w:color w:val="auto"/>
        </w:rPr>
        <w:t>2.c. Project Budget</w:t>
      </w:r>
    </w:p>
    <w:p w14:paraId="4B4C92A3" w14:textId="77777777" w:rsidR="00596E2A" w:rsidRDefault="00596E2A" w:rsidP="00596E2A"/>
    <w:p w14:paraId="3C8B713F" w14:textId="77777777" w:rsidR="00B57298" w:rsidRPr="00B57298" w:rsidRDefault="00B57298" w:rsidP="00B57298">
      <w:pPr>
        <w:numPr>
          <w:ilvl w:val="1"/>
          <w:numId w:val="50"/>
        </w:numPr>
        <w:spacing w:after="120"/>
        <w:ind w:left="1620" w:hanging="720"/>
        <w:rPr>
          <w:rFonts w:ascii="Tahoma" w:eastAsia="Yu Mincho" w:hAnsi="Tahoma" w:cs="Tahoma"/>
          <w:szCs w:val="20"/>
        </w:rPr>
      </w:pPr>
      <w:r w:rsidRPr="00B57298">
        <w:rPr>
          <w:rFonts w:ascii="Tahoma" w:eastAsia="Yu Mincho" w:hAnsi="Tahoma" w:cs="Tahoma"/>
          <w:szCs w:val="20"/>
        </w:rPr>
        <w:t xml:space="preserve">Describe how the proposed budget reflects a cost-effective use of CEC funds. Include a clear rationale for the requested funding, supported by calculations of: CEC dollar per refueling position, and CEC dollar per kg of new capacity. </w:t>
      </w:r>
      <w:r w:rsidRPr="00B57298">
        <w:rPr>
          <w:rFonts w:ascii="Tahoma" w:eastAsia="Yu Mincho" w:hAnsi="Tahoma" w:cs="Tahoma"/>
          <w:b/>
          <w:bCs/>
          <w:szCs w:val="20"/>
          <w:u w:val="single"/>
        </w:rPr>
        <w:t xml:space="preserve">Capacity is the mass of hydrogen in kg that can be dispensed by the station in a 24-hour period. </w:t>
      </w:r>
      <w:r w:rsidRPr="00B57298">
        <w:rPr>
          <w:rFonts w:ascii="Tahoma" w:eastAsia="Yu Mincho" w:hAnsi="Tahoma" w:cs="Tahoma"/>
          <w:szCs w:val="20"/>
        </w:rPr>
        <w:t>Justify these figures by comparing them to similar projects or industry benchmarks, and explain how they align with the project’s scope, scale, and technology.</w:t>
      </w:r>
    </w:p>
    <w:p w14:paraId="4C846403" w14:textId="77777777" w:rsidR="00B57298" w:rsidRPr="00B57298" w:rsidRDefault="00B57298" w:rsidP="00B57298">
      <w:pPr>
        <w:numPr>
          <w:ilvl w:val="1"/>
          <w:numId w:val="50"/>
        </w:numPr>
        <w:spacing w:after="120"/>
        <w:ind w:left="1620" w:hanging="720"/>
        <w:rPr>
          <w:rFonts w:ascii="Tahoma" w:eastAsia="Yu Mincho" w:hAnsi="Tahoma" w:cs="Tahoma"/>
        </w:rPr>
      </w:pPr>
      <w:r w:rsidRPr="00B57298">
        <w:rPr>
          <w:rFonts w:ascii="Tahoma" w:eastAsia="Yu Mincho" w:hAnsi="Tahoma" w:cs="Tahoma"/>
        </w:rPr>
        <w:t>Explain how the proposed budget supports: a high quantity of refueling positions, and a high aggregate new refueling capacity (measured in kg</w:t>
      </w:r>
      <w:r w:rsidRPr="00B57298">
        <w:rPr>
          <w:rFonts w:ascii="Tahoma" w:eastAsia="Yu Mincho" w:hAnsi="Tahoma" w:cs="Tahoma"/>
          <w:b/>
          <w:bCs/>
          <w:u w:val="single"/>
        </w:rPr>
        <w:t xml:space="preserve"> that can be dispensed by the station in a 24-hour period</w:t>
      </w:r>
      <w:r w:rsidRPr="00B57298">
        <w:rPr>
          <w:rFonts w:ascii="Tahoma" w:eastAsia="Yu Mincho" w:hAnsi="Tahoma" w:cs="Tahoma"/>
        </w:rPr>
        <w:t xml:space="preserve">). Describe how the budget enables broad infrastructure impact within the funding constraints. </w:t>
      </w:r>
    </w:p>
    <w:p w14:paraId="0DFDB709" w14:textId="77777777" w:rsidR="00B57298" w:rsidRPr="00B57298" w:rsidRDefault="00B57298" w:rsidP="00B57298">
      <w:pPr>
        <w:numPr>
          <w:ilvl w:val="1"/>
          <w:numId w:val="50"/>
        </w:numPr>
        <w:spacing w:after="120"/>
        <w:ind w:left="1620" w:hanging="720"/>
        <w:rPr>
          <w:rFonts w:ascii="Tahoma" w:eastAsia="Yu Mincho" w:hAnsi="Tahoma" w:cs="Tahoma"/>
          <w:szCs w:val="20"/>
          <w:lang w:eastAsia="ja-JP"/>
        </w:rPr>
      </w:pPr>
      <w:r w:rsidRPr="00B57298">
        <w:rPr>
          <w:rFonts w:ascii="Tahoma" w:eastAsia="Yu Mincho" w:hAnsi="Tahoma" w:cs="Tahoma"/>
          <w:szCs w:val="20"/>
          <w:lang w:eastAsia="ja-JP"/>
        </w:rPr>
        <w:t>Describe how administrative and overhead expenses are minimized. (Note these costs are not eligible for reimbursement.)</w:t>
      </w:r>
    </w:p>
    <w:p w14:paraId="596395FB" w14:textId="77777777" w:rsidR="00B57298" w:rsidRPr="00B57298" w:rsidRDefault="00B57298" w:rsidP="00B57298">
      <w:pPr>
        <w:numPr>
          <w:ilvl w:val="1"/>
          <w:numId w:val="50"/>
        </w:numPr>
        <w:spacing w:after="120"/>
        <w:ind w:left="1620" w:hanging="720"/>
        <w:rPr>
          <w:rFonts w:ascii="Tahoma" w:eastAsia="Yu Mincho" w:hAnsi="Tahoma" w:cs="Tahoma"/>
        </w:rPr>
      </w:pPr>
      <w:r w:rsidRPr="00B57298">
        <w:rPr>
          <w:rFonts w:ascii="Tahoma" w:eastAsia="Yu Mincho" w:hAnsi="Tahoma" w:cs="Tahoma"/>
        </w:rPr>
        <w:t>Describe the proposed match funding commitments supported by verifiable documentation (attach letter(s) of commitment separately). Include information documenting the source, type, availability, and amount of match share funds committed to the proposed project.</w:t>
      </w:r>
    </w:p>
    <w:p w14:paraId="5C7DA37C" w14:textId="77777777" w:rsidR="00B57298" w:rsidRPr="00B57298" w:rsidRDefault="00B57298" w:rsidP="00B57298">
      <w:pPr>
        <w:numPr>
          <w:ilvl w:val="1"/>
          <w:numId w:val="50"/>
        </w:numPr>
        <w:spacing w:after="120"/>
        <w:ind w:left="1620" w:hanging="720"/>
        <w:rPr>
          <w:rFonts w:ascii="Tahoma" w:eastAsia="Yu Mincho" w:hAnsi="Tahoma" w:cs="Tahoma"/>
          <w:szCs w:val="20"/>
        </w:rPr>
      </w:pPr>
      <w:r w:rsidRPr="00B57298">
        <w:rPr>
          <w:rFonts w:ascii="Tahoma" w:eastAsia="Yu Mincho" w:hAnsi="Tahoma" w:cs="Tahoma"/>
        </w:rPr>
        <w:t xml:space="preserve">Include rationale as to why state funds are necessary for the proposed project and identify why the proposed use of state funds is crucial to project success.  </w:t>
      </w:r>
    </w:p>
    <w:p w14:paraId="0B925221" w14:textId="77777777" w:rsidR="00A11711" w:rsidRPr="00596E2A" w:rsidRDefault="00A11711" w:rsidP="00596E2A"/>
    <w:p w14:paraId="23F07A1B" w14:textId="44784D5B" w:rsidR="00B73356" w:rsidRPr="00E575C5" w:rsidRDefault="005A1474"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Section IV.</w:t>
      </w:r>
      <w:r w:rsidR="00B735A6" w:rsidRPr="00E575C5">
        <w:rPr>
          <w:rStyle w:val="normaltextrun"/>
          <w:rFonts w:ascii="Tahoma" w:hAnsi="Tahoma" w:cs="Tahoma"/>
          <w:b/>
          <w:bCs/>
          <w:color w:val="auto"/>
        </w:rPr>
        <w:t>A.</w:t>
      </w:r>
      <w:r w:rsidR="00512E46" w:rsidRPr="00E575C5">
        <w:rPr>
          <w:rStyle w:val="normaltextrun"/>
          <w:rFonts w:ascii="Tahoma" w:hAnsi="Tahoma" w:cs="Tahoma"/>
          <w:b/>
          <w:bCs/>
          <w:color w:val="auto"/>
        </w:rPr>
        <w:t>7</w:t>
      </w:r>
      <w:r w:rsidR="00B735A6" w:rsidRPr="00E575C5">
        <w:rPr>
          <w:rStyle w:val="normaltextrun"/>
          <w:rFonts w:ascii="Tahoma" w:hAnsi="Tahoma" w:cs="Tahoma"/>
          <w:b/>
          <w:bCs/>
          <w:color w:val="auto"/>
        </w:rPr>
        <w:t xml:space="preserve">. </w:t>
      </w:r>
      <w:r w:rsidR="00B73356" w:rsidRPr="00E575C5">
        <w:rPr>
          <w:rStyle w:val="normaltextrun"/>
          <w:rFonts w:ascii="Tahoma" w:hAnsi="Tahoma" w:cs="Tahoma"/>
          <w:b/>
          <w:bCs/>
          <w:color w:val="auto"/>
        </w:rPr>
        <w:t>Cost Evaluation</w:t>
      </w:r>
    </w:p>
    <w:p w14:paraId="3166BE2C" w14:textId="77777777" w:rsidR="0060100B" w:rsidRPr="0060100B" w:rsidRDefault="0060100B" w:rsidP="0060100B"/>
    <w:p w14:paraId="29F31E0A" w14:textId="77777777" w:rsidR="00B73356" w:rsidRDefault="00B73356" w:rsidP="00935737">
      <w:pPr>
        <w:ind w:left="720"/>
        <w:rPr>
          <w:rFonts w:ascii="Tahoma" w:eastAsia="Times New Roman" w:hAnsi="Tahoma" w:cs="Tahoma"/>
        </w:rPr>
      </w:pPr>
      <w:r w:rsidRPr="00BD2BCF">
        <w:rPr>
          <w:rFonts w:ascii="Tahoma" w:eastAsia="Times New Roman" w:hAnsi="Tahoma" w:cs="Tahoma"/>
        </w:rPr>
        <w:t>All applications that receive a minimum passing score of 70 percent or higher in the Technical Evaluation portion of scoring</w:t>
      </w:r>
      <w:r w:rsidRPr="3AC660FC">
        <w:rPr>
          <w:rFonts w:ascii="Tahoma" w:eastAsia="Times New Roman" w:hAnsi="Tahoma" w:cs="Tahoma"/>
        </w:rPr>
        <w:t xml:space="preserve"> (both overall and for Technical Evaluation Criterion 2 and 3 individually) as described in previous sections</w:t>
      </w:r>
      <w:r w:rsidRPr="00BD2BCF">
        <w:rPr>
          <w:rFonts w:ascii="Tahoma" w:eastAsia="Times New Roman" w:hAnsi="Tahoma" w:cs="Tahoma"/>
        </w:rPr>
        <w:t xml:space="preserve"> will advance to Cost Evaluation.</w:t>
      </w:r>
      <w:r w:rsidRPr="3AC660FC">
        <w:rPr>
          <w:rFonts w:ascii="Tahoma" w:eastAsia="Times New Roman" w:hAnsi="Tahoma" w:cs="Tahoma"/>
        </w:rPr>
        <w:t xml:space="preserve"> </w:t>
      </w:r>
      <w:r w:rsidRPr="00BD2BCF">
        <w:rPr>
          <w:rFonts w:ascii="Tahoma" w:eastAsia="Times New Roman" w:hAnsi="Tahoma" w:cs="Tahoma"/>
        </w:rPr>
        <w:t xml:space="preserve">Advancement to Cost Evaluation signifies that the project meets the minimum threshold for funding eligibility. The Evaluation Committee will then apply a cost-efficiency ranking system to prioritize projects based on their proposed use of CEC funds. </w:t>
      </w:r>
    </w:p>
    <w:p w14:paraId="6ED41E20" w14:textId="77777777" w:rsidR="00B73356" w:rsidRPr="00BD2BCF" w:rsidRDefault="00B73356" w:rsidP="00B73356">
      <w:pPr>
        <w:rPr>
          <w:rFonts w:ascii="Tahoma" w:eastAsia="Times New Roman" w:hAnsi="Tahoma" w:cs="Tahoma"/>
        </w:rPr>
      </w:pPr>
    </w:p>
    <w:p w14:paraId="5A94B02D" w14:textId="77777777" w:rsidR="00B73356" w:rsidRPr="00BD2BCF" w:rsidRDefault="00B73356" w:rsidP="00935737">
      <w:pPr>
        <w:tabs>
          <w:tab w:val="left" w:pos="90"/>
        </w:tabs>
        <w:ind w:left="720"/>
        <w:rPr>
          <w:rFonts w:ascii="Tahoma" w:eastAsia="Times New Roman" w:hAnsi="Tahoma" w:cs="Tahoma"/>
        </w:rPr>
      </w:pPr>
      <w:r w:rsidRPr="00BD2BCF">
        <w:rPr>
          <w:rFonts w:ascii="Tahoma" w:eastAsia="Times New Roman" w:hAnsi="Tahoma" w:cs="Tahoma"/>
        </w:rPr>
        <w:t>Projects will be scored based on two cost metrics for up to 100 points:</w:t>
      </w:r>
    </w:p>
    <w:p w14:paraId="1537A69C" w14:textId="77777777" w:rsidR="00B73356" w:rsidRPr="00BD2BCF" w:rsidRDefault="00B73356" w:rsidP="00E575C5">
      <w:pPr>
        <w:numPr>
          <w:ilvl w:val="0"/>
          <w:numId w:val="13"/>
        </w:numPr>
        <w:tabs>
          <w:tab w:val="clear" w:pos="720"/>
        </w:tabs>
        <w:ind w:firstLine="0"/>
        <w:rPr>
          <w:rFonts w:ascii="Tahoma" w:eastAsia="Times New Roman" w:hAnsi="Tahoma" w:cs="Tahoma"/>
        </w:rPr>
      </w:pPr>
      <w:r w:rsidRPr="00BD2BCF">
        <w:rPr>
          <w:rFonts w:ascii="Tahoma" w:eastAsia="Times New Roman" w:hAnsi="Tahoma" w:cs="Tahoma"/>
        </w:rPr>
        <w:t>Cost per Refueling Position (up to 50 points)</w:t>
      </w:r>
    </w:p>
    <w:p w14:paraId="12FF769B" w14:textId="77777777" w:rsidR="00B73356" w:rsidRPr="00BD2BCF" w:rsidRDefault="00B73356" w:rsidP="00E575C5">
      <w:pPr>
        <w:numPr>
          <w:ilvl w:val="1"/>
          <w:numId w:val="13"/>
        </w:numPr>
        <w:tabs>
          <w:tab w:val="clear" w:pos="1440"/>
        </w:tabs>
        <w:ind w:left="2160" w:hanging="720"/>
        <w:rPr>
          <w:rFonts w:ascii="Tahoma" w:eastAsia="Times New Roman" w:hAnsi="Tahoma" w:cs="Tahoma"/>
        </w:rPr>
      </w:pPr>
      <w:r w:rsidRPr="00BD2BCF">
        <w:rPr>
          <w:rFonts w:ascii="Tahoma" w:eastAsia="Times New Roman" w:hAnsi="Tahoma" w:cs="Tahoma"/>
        </w:rPr>
        <w:t xml:space="preserve">Cost per Refueling Position is calculated by dividing the total CEC dollars requested by the number of positions </w:t>
      </w:r>
    </w:p>
    <w:p w14:paraId="6D75DA2B" w14:textId="77777777" w:rsidR="00B73356" w:rsidRPr="00BD2BCF" w:rsidRDefault="00B73356" w:rsidP="00E575C5">
      <w:pPr>
        <w:numPr>
          <w:ilvl w:val="0"/>
          <w:numId w:val="13"/>
        </w:numPr>
        <w:tabs>
          <w:tab w:val="clear" w:pos="720"/>
        </w:tabs>
        <w:ind w:left="1440" w:hanging="720"/>
        <w:rPr>
          <w:rFonts w:ascii="Tahoma" w:eastAsia="Times New Roman" w:hAnsi="Tahoma" w:cs="Tahoma"/>
        </w:rPr>
      </w:pPr>
      <w:r w:rsidRPr="00BD2BCF">
        <w:rPr>
          <w:rFonts w:ascii="Tahoma" w:eastAsia="Times New Roman" w:hAnsi="Tahoma" w:cs="Tahoma"/>
        </w:rPr>
        <w:lastRenderedPageBreak/>
        <w:t>Cost per kg of Capacity (up to 50 points)</w:t>
      </w:r>
    </w:p>
    <w:p w14:paraId="5D3F96DC" w14:textId="109F941A" w:rsidR="00935737" w:rsidRDefault="00935737" w:rsidP="00E575C5">
      <w:pPr>
        <w:numPr>
          <w:ilvl w:val="1"/>
          <w:numId w:val="13"/>
        </w:numPr>
        <w:tabs>
          <w:tab w:val="clear" w:pos="1440"/>
        </w:tabs>
        <w:ind w:left="2160" w:hanging="720"/>
        <w:rPr>
          <w:rFonts w:ascii="Tahoma" w:eastAsia="Times New Roman" w:hAnsi="Tahoma" w:cs="Tahoma"/>
        </w:rPr>
      </w:pPr>
      <w:r w:rsidRPr="00BD2BCF">
        <w:rPr>
          <w:rFonts w:ascii="Tahoma" w:eastAsia="Times New Roman" w:hAnsi="Tahoma" w:cs="Tahoma"/>
        </w:rPr>
        <w:t xml:space="preserve">Cost per kg is calculated by dividing the total CEC dollars requested by the total </w:t>
      </w:r>
      <w:r>
        <w:rPr>
          <w:rFonts w:ascii="Tahoma" w:eastAsia="Times New Roman" w:hAnsi="Tahoma" w:cs="Tahoma"/>
        </w:rPr>
        <w:t>[</w:t>
      </w:r>
      <w:r w:rsidRPr="00DE4FE0">
        <w:rPr>
          <w:rFonts w:ascii="Tahoma" w:eastAsia="Times New Roman" w:hAnsi="Tahoma" w:cs="Tahoma"/>
          <w:strike/>
        </w:rPr>
        <w:t>capacity</w:t>
      </w:r>
      <w:r>
        <w:rPr>
          <w:rFonts w:ascii="Tahoma" w:eastAsia="Times New Roman" w:hAnsi="Tahoma" w:cs="Tahoma"/>
        </w:rPr>
        <w:t>]</w:t>
      </w:r>
      <w:r w:rsidRPr="00516E91">
        <w:rPr>
          <w:rFonts w:ascii="Tahoma" w:eastAsia="Times New Roman" w:hAnsi="Tahoma" w:cs="Tahoma"/>
          <w:b/>
          <w:bCs/>
          <w:u w:val="single"/>
        </w:rPr>
        <w:t xml:space="preserve"> </w:t>
      </w:r>
      <w:r>
        <w:rPr>
          <w:rFonts w:ascii="Tahoma" w:eastAsia="Times New Roman" w:hAnsi="Tahoma" w:cs="Tahoma"/>
          <w:b/>
          <w:bCs/>
          <w:u w:val="single"/>
        </w:rPr>
        <w:t xml:space="preserve">mass of hydrogen in kg that can be dispensed </w:t>
      </w:r>
      <w:r w:rsidR="00475D68">
        <w:rPr>
          <w:rFonts w:ascii="Tahoma" w:eastAsia="Times New Roman" w:hAnsi="Tahoma" w:cs="Tahoma"/>
          <w:b/>
          <w:bCs/>
          <w:u w:val="single"/>
        </w:rPr>
        <w:t xml:space="preserve">by the station </w:t>
      </w:r>
      <w:r>
        <w:rPr>
          <w:rFonts w:ascii="Tahoma" w:eastAsia="Times New Roman" w:hAnsi="Tahoma" w:cs="Tahoma"/>
          <w:b/>
          <w:bCs/>
          <w:u w:val="single"/>
        </w:rPr>
        <w:t>in a 24-hour period.</w:t>
      </w:r>
    </w:p>
    <w:p w14:paraId="6B8B5DD8" w14:textId="77777777" w:rsidR="00935737" w:rsidRDefault="00935737" w:rsidP="00935737">
      <w:pPr>
        <w:tabs>
          <w:tab w:val="left" w:pos="2880"/>
        </w:tabs>
        <w:ind w:left="2880"/>
        <w:rPr>
          <w:rFonts w:ascii="Tahoma" w:eastAsia="Times New Roman" w:hAnsi="Tahoma" w:cs="Tahoma"/>
        </w:rPr>
      </w:pPr>
    </w:p>
    <w:p w14:paraId="5C9C2532" w14:textId="77777777" w:rsidR="00935737" w:rsidRPr="00516E91" w:rsidRDefault="00935737" w:rsidP="00935737">
      <w:pPr>
        <w:tabs>
          <w:tab w:val="left" w:pos="90"/>
        </w:tabs>
        <w:ind w:left="720"/>
        <w:rPr>
          <w:rFonts w:ascii="Tahoma" w:eastAsia="Times New Roman" w:hAnsi="Tahoma" w:cs="Tahoma"/>
          <w:b/>
          <w:bCs/>
          <w:u w:val="single"/>
        </w:rPr>
      </w:pPr>
      <w:r w:rsidRPr="004C0E3C">
        <w:rPr>
          <w:rFonts w:ascii="Tahoma" w:eastAsia="Times New Roman" w:hAnsi="Tahoma" w:cs="Tahoma"/>
          <w:b/>
          <w:bCs/>
          <w:u w:val="single"/>
        </w:rPr>
        <w:t>If a single application includes multiple station sites, the cost per refueling position and cost per kg of capacity will be calculated by aggregating the capacity and fueling positions across the full application.</w:t>
      </w:r>
      <w:r w:rsidRPr="00BD2BCF">
        <w:rPr>
          <w:rFonts w:ascii="Tahoma" w:eastAsia="Times New Roman" w:hAnsi="Tahoma" w:cs="Tahoma"/>
        </w:rPr>
        <w:t xml:space="preserve"> </w:t>
      </w:r>
    </w:p>
    <w:p w14:paraId="6D4BE792" w14:textId="77777777" w:rsidR="00B73356" w:rsidRPr="009D60A9" w:rsidRDefault="00B73356" w:rsidP="00935737">
      <w:pPr>
        <w:tabs>
          <w:tab w:val="left" w:pos="2880"/>
        </w:tabs>
        <w:ind w:left="720"/>
        <w:rPr>
          <w:rFonts w:ascii="Tahoma" w:eastAsia="Times New Roman" w:hAnsi="Tahoma" w:cs="Tahoma"/>
          <w:b/>
          <w:bCs/>
          <w:u w:val="single"/>
        </w:rPr>
      </w:pPr>
    </w:p>
    <w:p w14:paraId="13FFC846" w14:textId="77777777" w:rsidR="00B73356" w:rsidRDefault="00B73356" w:rsidP="00935737">
      <w:pPr>
        <w:tabs>
          <w:tab w:val="left" w:pos="2880"/>
        </w:tabs>
        <w:ind w:left="720"/>
        <w:rPr>
          <w:rFonts w:ascii="Tahoma" w:eastAsia="Times New Roman" w:hAnsi="Tahoma" w:cs="Tahoma"/>
        </w:rPr>
      </w:pPr>
      <w:r>
        <w:rPr>
          <w:rFonts w:ascii="Tahoma" w:eastAsia="Times New Roman" w:hAnsi="Tahoma" w:cs="Tahoma"/>
        </w:rPr>
        <w:t>In addition:</w:t>
      </w:r>
    </w:p>
    <w:p w14:paraId="56B2DF33" w14:textId="77777777" w:rsidR="00B73356" w:rsidRDefault="00B73356" w:rsidP="00E575C5">
      <w:pPr>
        <w:numPr>
          <w:ilvl w:val="0"/>
          <w:numId w:val="13"/>
        </w:numPr>
        <w:tabs>
          <w:tab w:val="clear" w:pos="720"/>
        </w:tabs>
        <w:ind w:left="1440" w:hanging="720"/>
        <w:rPr>
          <w:rFonts w:ascii="Tahoma" w:eastAsia="Times New Roman" w:hAnsi="Tahoma" w:cs="Tahoma"/>
        </w:rPr>
      </w:pPr>
      <w:r w:rsidRPr="00BD2BCF">
        <w:rPr>
          <w:rFonts w:ascii="Tahoma" w:eastAsia="Times New Roman" w:hAnsi="Tahoma" w:cs="Tahoma"/>
        </w:rPr>
        <w:t xml:space="preserve">Stations </w:t>
      </w:r>
      <w:r>
        <w:rPr>
          <w:rFonts w:ascii="Tahoma" w:eastAsia="Times New Roman" w:hAnsi="Tahoma" w:cs="Tahoma"/>
        </w:rPr>
        <w:t xml:space="preserve">originally funded </w:t>
      </w:r>
      <w:r w:rsidRPr="00BD2BCF">
        <w:rPr>
          <w:rFonts w:ascii="Tahoma" w:eastAsia="Times New Roman" w:hAnsi="Tahoma" w:cs="Tahoma"/>
        </w:rPr>
        <w:t xml:space="preserve">under GFO-19-602 will be scored based on the planned number of fueling positions. For example, if a station with four fueling positions applies for $500,000 in additional funding, the station would be scored as $125,000 per fueling position. </w:t>
      </w:r>
    </w:p>
    <w:p w14:paraId="27298317" w14:textId="77777777" w:rsidR="00B73356" w:rsidRPr="00B96E83" w:rsidRDefault="00B73356" w:rsidP="00E575C5">
      <w:pPr>
        <w:numPr>
          <w:ilvl w:val="0"/>
          <w:numId w:val="13"/>
        </w:numPr>
        <w:tabs>
          <w:tab w:val="clear" w:pos="720"/>
        </w:tabs>
        <w:ind w:left="1440" w:hanging="720"/>
        <w:rPr>
          <w:rFonts w:ascii="Tahoma" w:eastAsia="Times New Roman" w:hAnsi="Tahoma" w:cs="Tahoma"/>
        </w:rPr>
      </w:pPr>
      <w:r w:rsidRPr="00BD2BCF">
        <w:rPr>
          <w:rFonts w:ascii="Tahoma" w:eastAsia="Times New Roman" w:hAnsi="Tahoma" w:cs="Tahoma"/>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7E96E1D8" w14:textId="77777777" w:rsidR="00B73356" w:rsidRPr="00BD2BCF" w:rsidRDefault="00B73356" w:rsidP="00E575C5">
      <w:pPr>
        <w:numPr>
          <w:ilvl w:val="0"/>
          <w:numId w:val="13"/>
        </w:numPr>
        <w:tabs>
          <w:tab w:val="clear" w:pos="720"/>
        </w:tabs>
        <w:ind w:left="1440" w:hanging="720"/>
        <w:rPr>
          <w:rFonts w:ascii="Tahoma" w:eastAsia="Times New Roman" w:hAnsi="Tahoma" w:cs="Tahoma"/>
        </w:rPr>
      </w:pPr>
      <w:r w:rsidRPr="00BD2BCF">
        <w:rPr>
          <w:rFonts w:ascii="Tahoma" w:eastAsia="Times New Roman" w:hAnsi="Tahoma" w:cs="Tahoma"/>
        </w:rPr>
        <w:t>New stations will be scored based on the proposed number of fueling positions at the site.</w:t>
      </w:r>
    </w:p>
    <w:p w14:paraId="7D630929" w14:textId="77777777" w:rsidR="00B73356" w:rsidRPr="00BD2BCF" w:rsidRDefault="00B73356" w:rsidP="00B73356">
      <w:pPr>
        <w:rPr>
          <w:rFonts w:ascii="Tahoma" w:eastAsia="Times New Roman" w:hAnsi="Tahoma" w:cs="Tahoma"/>
        </w:rPr>
      </w:pPr>
    </w:p>
    <w:p w14:paraId="5B636719" w14:textId="77777777" w:rsidR="00B73356" w:rsidRPr="00BD2BCF" w:rsidRDefault="00B73356" w:rsidP="00935737">
      <w:pPr>
        <w:ind w:firstLine="720"/>
        <w:rPr>
          <w:rFonts w:ascii="Tahoma" w:eastAsia="Times New Roman" w:hAnsi="Tahoma" w:cs="Tahoma"/>
        </w:rPr>
      </w:pPr>
      <w:r w:rsidRPr="00BD2BCF">
        <w:rPr>
          <w:rFonts w:ascii="Tahoma" w:eastAsia="Times New Roman" w:hAnsi="Tahoma" w:cs="Tahoma"/>
        </w:rPr>
        <w:t>For each metric:</w:t>
      </w:r>
    </w:p>
    <w:p w14:paraId="0F771801" w14:textId="77777777" w:rsidR="00B73356" w:rsidRPr="00BD2BCF" w:rsidRDefault="00B73356" w:rsidP="00E575C5">
      <w:pPr>
        <w:numPr>
          <w:ilvl w:val="0"/>
          <w:numId w:val="14"/>
        </w:numPr>
        <w:tabs>
          <w:tab w:val="clear" w:pos="720"/>
          <w:tab w:val="num" w:pos="1440"/>
        </w:tabs>
        <w:ind w:left="1440" w:firstLine="0"/>
        <w:rPr>
          <w:rFonts w:ascii="Tahoma" w:eastAsia="Times New Roman" w:hAnsi="Tahoma" w:cs="Tahoma"/>
        </w:rPr>
      </w:pPr>
      <w:r w:rsidRPr="00BD2BCF">
        <w:rPr>
          <w:rFonts w:ascii="Tahoma" w:eastAsia="Times New Roman" w:hAnsi="Tahoma" w:cs="Tahoma"/>
        </w:rPr>
        <w:t>Projects will be ranked from lowest to highest cost.</w:t>
      </w:r>
    </w:p>
    <w:p w14:paraId="66E0A3BF" w14:textId="77777777" w:rsidR="00B73356" w:rsidRPr="00BD2BCF" w:rsidRDefault="00B73356" w:rsidP="00E575C5">
      <w:pPr>
        <w:numPr>
          <w:ilvl w:val="0"/>
          <w:numId w:val="14"/>
        </w:numPr>
        <w:tabs>
          <w:tab w:val="clear" w:pos="720"/>
          <w:tab w:val="num" w:pos="1440"/>
          <w:tab w:val="left" w:pos="2160"/>
        </w:tabs>
        <w:ind w:left="2160" w:hanging="720"/>
        <w:rPr>
          <w:rFonts w:ascii="Tahoma" w:eastAsia="Times New Roman" w:hAnsi="Tahoma" w:cs="Tahoma"/>
        </w:rPr>
      </w:pPr>
      <w:r w:rsidRPr="00BD2BCF">
        <w:rPr>
          <w:rFonts w:ascii="Tahoma" w:eastAsia="Times New Roman" w:hAnsi="Tahoma" w:cs="Tahoma"/>
        </w:rPr>
        <w:t>The project with the lowest cost will receive the maximum score of 50 points.</w:t>
      </w:r>
    </w:p>
    <w:p w14:paraId="52F6B7DE" w14:textId="77777777" w:rsidR="00B73356" w:rsidRPr="00BD2BCF" w:rsidRDefault="00B73356" w:rsidP="00E575C5">
      <w:pPr>
        <w:numPr>
          <w:ilvl w:val="0"/>
          <w:numId w:val="14"/>
        </w:numPr>
        <w:tabs>
          <w:tab w:val="clear" w:pos="720"/>
          <w:tab w:val="num" w:pos="810"/>
          <w:tab w:val="num" w:pos="1440"/>
        </w:tabs>
        <w:ind w:left="2160" w:hanging="720"/>
        <w:rPr>
          <w:rFonts w:ascii="Tahoma" w:eastAsia="Times New Roman" w:hAnsi="Tahoma" w:cs="Tahoma"/>
        </w:rPr>
      </w:pPr>
      <w:r w:rsidRPr="00BD2BCF">
        <w:rPr>
          <w:rFonts w:ascii="Tahoma" w:eastAsia="Times New Roman" w:hAnsi="Tahoma" w:cs="Tahoma"/>
        </w:rPr>
        <w:t>Subsequent projects will receive decreasing scores in 5-point increments (e.g., 45, 40, 35, etc.), based on their relative cost position in the ranking.</w:t>
      </w:r>
    </w:p>
    <w:p w14:paraId="5DF8A58D" w14:textId="77777777" w:rsidR="00B73356" w:rsidRPr="00BD2BCF" w:rsidRDefault="00B73356" w:rsidP="00E575C5">
      <w:pPr>
        <w:numPr>
          <w:ilvl w:val="0"/>
          <w:numId w:val="14"/>
        </w:numPr>
        <w:tabs>
          <w:tab w:val="clear" w:pos="720"/>
          <w:tab w:val="num" w:pos="1440"/>
        </w:tabs>
        <w:ind w:left="2160" w:hanging="720"/>
        <w:rPr>
          <w:rFonts w:ascii="Tahoma" w:eastAsia="Times New Roman" w:hAnsi="Tahoma" w:cs="Tahoma"/>
        </w:rPr>
      </w:pPr>
      <w:r w:rsidRPr="00BD2BCF">
        <w:rPr>
          <w:rFonts w:ascii="Tahoma" w:eastAsia="Times New Roman" w:hAnsi="Tahoma" w:cs="Tahoma"/>
        </w:rPr>
        <w:t>If multiple projects share the same cost value, they will receive the same score, and the next score will be skipped accordingly.</w:t>
      </w:r>
    </w:p>
    <w:p w14:paraId="26F3ED43" w14:textId="77777777" w:rsidR="00B73356" w:rsidRPr="00BD2BCF" w:rsidRDefault="00B73356" w:rsidP="00E575C5">
      <w:pPr>
        <w:numPr>
          <w:ilvl w:val="0"/>
          <w:numId w:val="14"/>
        </w:numPr>
        <w:tabs>
          <w:tab w:val="clear" w:pos="720"/>
          <w:tab w:val="num" w:pos="810"/>
          <w:tab w:val="num" w:pos="1440"/>
        </w:tabs>
        <w:ind w:left="2160" w:hanging="720"/>
        <w:rPr>
          <w:rFonts w:ascii="Tahoma" w:eastAsia="Times New Roman" w:hAnsi="Tahoma" w:cs="Tahoma"/>
        </w:rPr>
      </w:pPr>
      <w:r w:rsidRPr="00BD2BCF">
        <w:rPr>
          <w:rFonts w:ascii="Tahoma" w:eastAsia="Times New Roman" w:hAnsi="Tahoma" w:cs="Tahoma"/>
        </w:rPr>
        <w:t>The final score for each project will be calculated by summing the scores from both cost metrics.</w:t>
      </w:r>
      <w:r w:rsidRPr="00BD2BCF">
        <w:rPr>
          <w:rFonts w:ascii="Tahoma" w:eastAsia="Times New Roman" w:hAnsi="Tahoma" w:cs="Tahoma"/>
        </w:rPr>
        <w:br/>
      </w:r>
    </w:p>
    <w:p w14:paraId="76E1F169" w14:textId="0D7D4FD2" w:rsidR="00B73356" w:rsidRPr="00BD2BCF" w:rsidRDefault="00B73356" w:rsidP="00935737">
      <w:pPr>
        <w:suppressAutoHyphens/>
        <w:ind w:left="720"/>
        <w:rPr>
          <w:rFonts w:ascii="Tahoma" w:eastAsia="Times New Roman" w:hAnsi="Tahoma" w:cs="Tahoma"/>
        </w:rPr>
      </w:pPr>
      <w:r w:rsidRPr="00BD2BCF">
        <w:rPr>
          <w:rFonts w:ascii="Tahoma" w:eastAsia="Times New Roman" w:hAnsi="Tahoma" w:cs="Tahoma"/>
        </w:rPr>
        <w:t xml:space="preserve">If the score for two or more applications are tied, the application with a higher score in the Technical Evaluation will be ranked higher. If still tied, the application with a higher score in the </w:t>
      </w:r>
      <w:r w:rsidRPr="00BD2BCF">
        <w:rPr>
          <w:rFonts w:ascii="Tahoma" w:eastAsia="Times New Roman" w:hAnsi="Tahoma" w:cs="Tahoma"/>
          <w:lang w:eastAsia="ja-JP"/>
        </w:rPr>
        <w:t>Project Readiness</w:t>
      </w:r>
      <w:r>
        <w:rPr>
          <w:rFonts w:ascii="Tahoma" w:eastAsia="Times New Roman" w:hAnsi="Tahoma" w:cs="Tahoma"/>
          <w:lang w:eastAsia="ja-JP"/>
        </w:rPr>
        <w:t>/Implementation</w:t>
      </w:r>
      <w:r w:rsidRPr="00BD2BCF">
        <w:rPr>
          <w:rFonts w:ascii="Tahoma" w:eastAsia="Times New Roman" w:hAnsi="Tahoma" w:cs="Tahoma"/>
        </w:rPr>
        <w:t xml:space="preserve"> criterion will be ranked higher. If still tied, an objective tiebreaker (such as a random drawing) will be utilized.</w:t>
      </w:r>
      <w:r w:rsidR="004E46F1">
        <w:rPr>
          <w:rFonts w:ascii="Tahoma" w:eastAsia="Times New Roman" w:hAnsi="Tahoma" w:cs="Tahoma"/>
        </w:rPr>
        <w:br/>
      </w:r>
    </w:p>
    <w:p w14:paraId="15BDFD66" w14:textId="1E78B713" w:rsidR="00935737" w:rsidRPr="00E575C5" w:rsidRDefault="00935737" w:rsidP="00356E77">
      <w:pPr>
        <w:pStyle w:val="Heading3"/>
        <w:keepNext w:val="0"/>
        <w:keepLines w:val="0"/>
        <w:numPr>
          <w:ilvl w:val="0"/>
          <w:numId w:val="1"/>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Section IV.</w:t>
      </w:r>
      <w:r w:rsidR="001353CE" w:rsidRPr="00E575C5">
        <w:rPr>
          <w:rStyle w:val="normaltextrun"/>
          <w:rFonts w:ascii="Tahoma" w:hAnsi="Tahoma" w:cs="Tahoma"/>
          <w:b/>
          <w:bCs/>
          <w:color w:val="auto"/>
        </w:rPr>
        <w:t>E</w:t>
      </w:r>
      <w:r w:rsidRPr="00E575C5">
        <w:rPr>
          <w:rStyle w:val="normaltextrun"/>
          <w:rFonts w:ascii="Tahoma" w:hAnsi="Tahoma" w:cs="Tahoma"/>
          <w:b/>
          <w:bCs/>
          <w:color w:val="auto"/>
        </w:rPr>
        <w:t>.</w:t>
      </w:r>
      <w:r w:rsidR="001353CE" w:rsidRPr="00E575C5">
        <w:rPr>
          <w:rStyle w:val="normaltextrun"/>
          <w:rFonts w:ascii="Tahoma" w:hAnsi="Tahoma" w:cs="Tahoma"/>
          <w:b/>
          <w:bCs/>
          <w:color w:val="auto"/>
        </w:rPr>
        <w:t>3</w:t>
      </w:r>
      <w:r w:rsidRPr="00E575C5">
        <w:rPr>
          <w:rStyle w:val="normaltextrun"/>
          <w:rFonts w:ascii="Tahoma" w:hAnsi="Tahoma" w:cs="Tahoma"/>
          <w:b/>
          <w:bCs/>
          <w:color w:val="auto"/>
        </w:rPr>
        <w:t xml:space="preserve">. </w:t>
      </w:r>
      <w:r w:rsidR="00222F62" w:rsidRPr="00E575C5">
        <w:rPr>
          <w:rStyle w:val="normaltextrun"/>
          <w:rFonts w:ascii="Tahoma" w:hAnsi="Tahoma" w:cs="Tahoma"/>
          <w:b/>
          <w:bCs/>
          <w:color w:val="auto"/>
        </w:rPr>
        <w:t>Project Budget</w:t>
      </w:r>
    </w:p>
    <w:p w14:paraId="3A1BE984" w14:textId="77777777" w:rsidR="0060100B" w:rsidRPr="0060100B" w:rsidRDefault="0060100B" w:rsidP="0060100B"/>
    <w:tbl>
      <w:tblPr>
        <w:tblStyle w:val="TableGrid"/>
        <w:tblW w:w="0" w:type="auto"/>
        <w:jc w:val="center"/>
        <w:tblLook w:val="04A0" w:firstRow="1" w:lastRow="0" w:firstColumn="1" w:lastColumn="0" w:noHBand="0" w:noVBand="1"/>
      </w:tblPr>
      <w:tblGrid>
        <w:gridCol w:w="7863"/>
        <w:gridCol w:w="1487"/>
      </w:tblGrid>
      <w:tr w:rsidR="00AE24A6" w:rsidRPr="00FD44ED" w14:paraId="673AFA02" w14:textId="77777777" w:rsidTr="00AE24A6">
        <w:trPr>
          <w:jc w:val="center"/>
        </w:trPr>
        <w:tc>
          <w:tcPr>
            <w:tcW w:w="7863" w:type="dxa"/>
          </w:tcPr>
          <w:p w14:paraId="1C8FBA3D" w14:textId="77777777" w:rsidR="00AE24A6" w:rsidRPr="001A4679" w:rsidRDefault="00AE24A6" w:rsidP="00E575C5">
            <w:pPr>
              <w:numPr>
                <w:ilvl w:val="6"/>
                <w:numId w:val="17"/>
              </w:numPr>
              <w:ind w:left="-23" w:firstLine="0"/>
              <w:rPr>
                <w:rFonts w:ascii="Tahoma" w:hAnsi="Tahoma" w:cs="Tahoma"/>
                <w:b/>
                <w:bCs/>
              </w:rPr>
            </w:pPr>
            <w:r w:rsidRPr="38F13B3D">
              <w:rPr>
                <w:rFonts w:ascii="Tahoma" w:hAnsi="Tahoma" w:cs="Tahoma"/>
                <w:b/>
                <w:bCs/>
              </w:rPr>
              <w:t>Project Budget</w:t>
            </w:r>
          </w:p>
          <w:p w14:paraId="50E87E3E" w14:textId="77777777" w:rsidR="00AE24A6" w:rsidRPr="001A4679" w:rsidRDefault="00AE24A6">
            <w:pPr>
              <w:rPr>
                <w:rFonts w:ascii="Tahoma" w:hAnsi="Tahoma" w:cs="Tahoma"/>
              </w:rPr>
            </w:pPr>
            <w:r w:rsidRPr="42BC1015">
              <w:rPr>
                <w:rFonts w:ascii="Tahoma" w:hAnsi="Tahoma" w:cs="Tahoma"/>
              </w:rPr>
              <w:t>Applications will be evaluated on the degree to which:</w:t>
            </w:r>
          </w:p>
          <w:p w14:paraId="023FE053"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proposed budget maximizes the quantity of proposed refueling positions.</w:t>
            </w:r>
          </w:p>
          <w:p w14:paraId="678D94C9"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lastRenderedPageBreak/>
              <w:t xml:space="preserve">The proposed budget maximizes aggregate new refueling capacity (kg) across all refueling positions </w:t>
            </w:r>
            <w:r>
              <w:rPr>
                <w:rFonts w:ascii="Tahoma" w:hAnsi="Tahoma" w:cs="Tahoma"/>
                <w:b/>
                <w:bCs/>
                <w:u w:val="single"/>
              </w:rPr>
              <w:t>that can be dispensed in a 24-hour period</w:t>
            </w:r>
            <w:r w:rsidRPr="00111FE0">
              <w:rPr>
                <w:rFonts w:ascii="Tahoma" w:hAnsi="Tahoma" w:cs="Tahoma"/>
              </w:rPr>
              <w:t xml:space="preserve">. </w:t>
            </w:r>
          </w:p>
          <w:p w14:paraId="3D91CB8C"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proposed budget minimizes (1) the cost per refueling positions and (2) cost kg requested in CEC funding.</w:t>
            </w:r>
          </w:p>
          <w:p w14:paraId="1D3A9340"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proposed budget demonstrates</w:t>
            </w:r>
            <w:r>
              <w:rPr>
                <w:rFonts w:ascii="Tahoma" w:hAnsi="Tahoma" w:cs="Tahoma"/>
              </w:rPr>
              <w:t xml:space="preserve"> a</w:t>
            </w:r>
            <w:r w:rsidRPr="00111FE0">
              <w:rPr>
                <w:rFonts w:ascii="Tahoma" w:hAnsi="Tahoma" w:cs="Tahoma"/>
              </w:rPr>
              <w:t xml:space="preserve"> cost-effective</w:t>
            </w:r>
            <w:r>
              <w:rPr>
                <w:rFonts w:ascii="Tahoma" w:hAnsi="Tahoma" w:cs="Tahoma"/>
              </w:rPr>
              <w:t xml:space="preserve"> use of CEC funds</w:t>
            </w:r>
            <w:r w:rsidRPr="00111FE0">
              <w:rPr>
                <w:rFonts w:ascii="Tahoma" w:hAnsi="Tahoma" w:cs="Tahoma"/>
              </w:rPr>
              <w:t>.</w:t>
            </w:r>
          </w:p>
          <w:p w14:paraId="6B2FCC79" w14:textId="77777777" w:rsidR="00AE24A6" w:rsidRPr="00111FE0" w:rsidRDefault="00AE24A6" w:rsidP="00E575C5">
            <w:pPr>
              <w:numPr>
                <w:ilvl w:val="0"/>
                <w:numId w:val="18"/>
              </w:numPr>
              <w:spacing w:after="120"/>
              <w:rPr>
                <w:rFonts w:ascii="Tahoma" w:hAnsi="Tahoma" w:cs="Tahoma"/>
              </w:rPr>
            </w:pPr>
            <w:r>
              <w:rPr>
                <w:rFonts w:ascii="Tahoma" w:hAnsi="Tahoma" w:cs="Tahoma"/>
              </w:rPr>
              <w:t>A</w:t>
            </w:r>
            <w:r w:rsidRPr="00111FE0">
              <w:rPr>
                <w:rFonts w:ascii="Tahoma" w:hAnsi="Tahoma" w:cs="Tahoma"/>
              </w:rPr>
              <w:t>dministrative and overhead expenses</w:t>
            </w:r>
            <w:r>
              <w:rPr>
                <w:rFonts w:ascii="Tahoma" w:hAnsi="Tahoma" w:cs="Tahoma"/>
              </w:rPr>
              <w:t xml:space="preserve"> are minimized</w:t>
            </w:r>
            <w:r w:rsidRPr="00111FE0">
              <w:rPr>
                <w:rFonts w:ascii="Tahoma" w:hAnsi="Tahoma" w:cs="Tahoma"/>
              </w:rPr>
              <w:t>.</w:t>
            </w:r>
          </w:p>
          <w:p w14:paraId="23C43013"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application provides a clear and well-supported cost rationale for the requested CEC funds, including cost per refueling positions and cost per kg.</w:t>
            </w:r>
          </w:p>
          <w:p w14:paraId="387514F5"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proposed match funding commitments are documented and verifiable.</w:t>
            </w:r>
          </w:p>
          <w:p w14:paraId="7EB1BC7D" w14:textId="77777777" w:rsidR="00AE24A6" w:rsidRPr="00111FE0" w:rsidRDefault="00AE24A6" w:rsidP="00E575C5">
            <w:pPr>
              <w:numPr>
                <w:ilvl w:val="0"/>
                <w:numId w:val="18"/>
              </w:numPr>
              <w:spacing w:after="120"/>
              <w:rPr>
                <w:rFonts w:ascii="Tahoma" w:hAnsi="Tahoma" w:cs="Tahoma"/>
              </w:rPr>
            </w:pPr>
            <w:r w:rsidRPr="00111FE0">
              <w:rPr>
                <w:rFonts w:ascii="Tahoma" w:hAnsi="Tahoma" w:cs="Tahoma"/>
              </w:rPr>
              <w:t>The application demonstrates the need for state funding for the proposed project.</w:t>
            </w:r>
          </w:p>
          <w:p w14:paraId="0398FE2D" w14:textId="77777777" w:rsidR="00AE24A6" w:rsidRPr="00111FE0" w:rsidRDefault="00AE24A6">
            <w:pPr>
              <w:contextualSpacing/>
              <w:textAlignment w:val="baseline"/>
              <w:rPr>
                <w:rFonts w:ascii="Tahoma" w:hAnsi="Tahoma" w:cs="Tahoma"/>
                <w:b/>
              </w:rPr>
            </w:pPr>
            <w:r w:rsidRPr="00111FE0">
              <w:rPr>
                <w:rFonts w:ascii="Tahoma" w:hAnsi="Tahoma" w:cs="Tahoma"/>
                <w:b/>
                <w:bCs/>
              </w:rPr>
              <w:t xml:space="preserve">NOTE: Project Budget </w:t>
            </w:r>
            <w:r w:rsidRPr="00111FE0">
              <w:rPr>
                <w:rFonts w:ascii="Tahoma" w:hAnsi="Tahoma" w:cs="Tahoma"/>
                <w:b/>
                <w:bCs/>
                <w:u w:val="single"/>
              </w:rPr>
              <w:t>must</w:t>
            </w:r>
            <w:r w:rsidRPr="00111FE0">
              <w:rPr>
                <w:rFonts w:ascii="Tahoma" w:hAnsi="Tahoma" w:cs="Tahoma"/>
                <w:b/>
                <w:bCs/>
              </w:rPr>
              <w:t xml:space="preserve"> obtain a minimum passing score of 21 points (70% percent) within this evaluation criterion to be eligible for funding.</w:t>
            </w:r>
          </w:p>
        </w:tc>
        <w:tc>
          <w:tcPr>
            <w:tcW w:w="1487" w:type="dxa"/>
          </w:tcPr>
          <w:p w14:paraId="1F5BB414" w14:textId="77777777" w:rsidR="00AE24A6" w:rsidRPr="001A4679" w:rsidRDefault="00AE24A6">
            <w:pPr>
              <w:jc w:val="center"/>
              <w:rPr>
                <w:rFonts w:ascii="Tahoma" w:hAnsi="Tahoma" w:cs="Tahoma"/>
              </w:rPr>
            </w:pPr>
          </w:p>
          <w:p w14:paraId="1C1831CB" w14:textId="77777777" w:rsidR="00AE24A6" w:rsidRPr="00FD44ED" w:rsidRDefault="00AE24A6">
            <w:pPr>
              <w:jc w:val="center"/>
              <w:rPr>
                <w:rFonts w:ascii="Tahoma" w:hAnsi="Tahoma" w:cs="Tahoma"/>
                <w:lang w:eastAsia="ja-JP"/>
              </w:rPr>
            </w:pPr>
            <w:r>
              <w:rPr>
                <w:rFonts w:ascii="Tahoma" w:hAnsi="Tahoma" w:cs="Tahoma"/>
                <w:lang w:eastAsia="ja-JP"/>
              </w:rPr>
              <w:t>30</w:t>
            </w:r>
          </w:p>
        </w:tc>
      </w:tr>
    </w:tbl>
    <w:p w14:paraId="68A159B4" w14:textId="77777777" w:rsidR="00530987" w:rsidRDefault="00530987" w:rsidP="00C6075C">
      <w:pPr>
        <w:rPr>
          <w:rStyle w:val="normaltextrun"/>
          <w:rFonts w:ascii="Tahoma" w:hAnsi="Tahoma" w:cs="Tahoma"/>
          <w:b/>
          <w:bCs/>
        </w:rPr>
      </w:pPr>
    </w:p>
    <w:p w14:paraId="7C76E7A0" w14:textId="038DCAF4" w:rsidR="00240167" w:rsidRPr="00E575C5" w:rsidRDefault="7CFC2F15" w:rsidP="00356E77">
      <w:pPr>
        <w:pStyle w:val="Heading3"/>
        <w:tabs>
          <w:tab w:val="clear" w:pos="720"/>
        </w:tabs>
        <w:ind w:left="900" w:hanging="540"/>
        <w:rPr>
          <w:rStyle w:val="normaltextrun"/>
          <w:rFonts w:ascii="Tahoma" w:hAnsi="Tahoma" w:cs="Tahoma"/>
          <w:b/>
          <w:bCs/>
          <w:color w:val="auto"/>
        </w:rPr>
      </w:pPr>
      <w:r w:rsidRPr="00E575C5">
        <w:rPr>
          <w:rStyle w:val="normaltextrun"/>
          <w:rFonts w:ascii="Tahoma" w:hAnsi="Tahoma" w:cs="Tahoma"/>
          <w:b/>
          <w:bCs/>
          <w:color w:val="auto"/>
        </w:rPr>
        <w:t>Section V.</w:t>
      </w:r>
      <w:r w:rsidR="00E597C5" w:rsidRPr="00E575C5">
        <w:rPr>
          <w:rStyle w:val="normaltextrun"/>
          <w:rFonts w:ascii="Tahoma" w:hAnsi="Tahoma" w:cs="Tahoma"/>
          <w:b/>
          <w:bCs/>
          <w:color w:val="auto"/>
        </w:rPr>
        <w:t>A.</w:t>
      </w:r>
      <w:r w:rsidRPr="00E575C5">
        <w:rPr>
          <w:rStyle w:val="normaltextrun"/>
          <w:rFonts w:ascii="Tahoma" w:hAnsi="Tahoma" w:cs="Tahoma"/>
          <w:b/>
          <w:bCs/>
          <w:color w:val="auto"/>
        </w:rPr>
        <w:t xml:space="preserve"> </w:t>
      </w:r>
      <w:r w:rsidR="00E597C5" w:rsidRPr="00E575C5">
        <w:rPr>
          <w:rStyle w:val="normaltextrun"/>
          <w:rFonts w:ascii="Tahoma" w:hAnsi="Tahoma" w:cs="Tahoma"/>
          <w:b/>
          <w:bCs/>
          <w:color w:val="auto"/>
        </w:rPr>
        <w:t>Definition of Key Words</w:t>
      </w:r>
    </w:p>
    <w:p w14:paraId="5CE3CD8F" w14:textId="77777777" w:rsidR="0060100B" w:rsidRPr="0060100B" w:rsidRDefault="0060100B" w:rsidP="0060100B"/>
    <w:p w14:paraId="73EFBB11" w14:textId="77777777" w:rsidR="7C8B13BD" w:rsidRPr="001E54F5" w:rsidRDefault="7C8B13BD" w:rsidP="001E54F5">
      <w:pPr>
        <w:ind w:left="720"/>
        <w:rPr>
          <w:rFonts w:ascii="Tahoma" w:hAnsi="Tahoma" w:cs="Tahoma"/>
        </w:rPr>
      </w:pPr>
      <w:r w:rsidRPr="001E54F5">
        <w:rPr>
          <w:rFonts w:ascii="Tahoma" w:hAnsi="Tahoma" w:cs="Tahoma"/>
        </w:rPr>
        <w:t xml:space="preserve">Important definitions for this solicitation are presented below: </w:t>
      </w:r>
    </w:p>
    <w:tbl>
      <w:tblPr>
        <w:tblStyle w:val="TableGrid"/>
        <w:tblW w:w="9360" w:type="dxa"/>
        <w:jc w:val="center"/>
        <w:tblLayout w:type="fixed"/>
        <w:tblLook w:val="0020" w:firstRow="1" w:lastRow="0" w:firstColumn="0" w:lastColumn="0" w:noHBand="0" w:noVBand="0"/>
        <w:tblCaption w:val="definition of key words"/>
        <w:tblDescription w:val="definitions of key words in solicitation"/>
      </w:tblPr>
      <w:tblGrid>
        <w:gridCol w:w="2430"/>
        <w:gridCol w:w="6930"/>
      </w:tblGrid>
      <w:tr w:rsidR="001E54F5" w:rsidRPr="00062175" w14:paraId="6E46AFB8" w14:textId="77777777" w:rsidTr="001E54F5">
        <w:trPr>
          <w:trHeight w:val="360"/>
          <w:tblHeader/>
          <w:jc w:val="center"/>
        </w:trPr>
        <w:tc>
          <w:tcPr>
            <w:tcW w:w="2430" w:type="dxa"/>
            <w:shd w:val="clear" w:color="auto" w:fill="D9D9D9" w:themeFill="background1" w:themeFillShade="D9"/>
            <w:vAlign w:val="center"/>
          </w:tcPr>
          <w:bookmarkEnd w:id="0"/>
          <w:bookmarkEnd w:id="1"/>
          <w:bookmarkEnd w:id="2"/>
          <w:bookmarkEnd w:id="3"/>
          <w:p w14:paraId="471CF20F" w14:textId="77777777" w:rsidR="001E54F5" w:rsidRPr="001A4679" w:rsidRDefault="001E54F5">
            <w:pPr>
              <w:jc w:val="center"/>
              <w:rPr>
                <w:rFonts w:ascii="Tahoma" w:hAnsi="Tahoma" w:cs="Tahoma"/>
                <w:b/>
              </w:rPr>
            </w:pPr>
            <w:r w:rsidRPr="001A4679">
              <w:rPr>
                <w:rFonts w:ascii="Tahoma" w:hAnsi="Tahoma" w:cs="Tahoma"/>
                <w:b/>
              </w:rPr>
              <w:t>Word/Term</w:t>
            </w:r>
          </w:p>
        </w:tc>
        <w:tc>
          <w:tcPr>
            <w:tcW w:w="6930" w:type="dxa"/>
            <w:shd w:val="clear" w:color="auto" w:fill="D9D9D9" w:themeFill="background1" w:themeFillShade="D9"/>
            <w:vAlign w:val="center"/>
          </w:tcPr>
          <w:p w14:paraId="3C7EF9EC" w14:textId="77777777" w:rsidR="001E54F5" w:rsidRPr="001A4679" w:rsidRDefault="001E54F5">
            <w:pPr>
              <w:jc w:val="center"/>
              <w:rPr>
                <w:rFonts w:ascii="Tahoma" w:hAnsi="Tahoma" w:cs="Tahoma"/>
                <w:b/>
              </w:rPr>
            </w:pPr>
            <w:r w:rsidRPr="001A4679">
              <w:rPr>
                <w:rFonts w:ascii="Tahoma" w:hAnsi="Tahoma" w:cs="Tahoma"/>
                <w:b/>
              </w:rPr>
              <w:t>Definition</w:t>
            </w:r>
          </w:p>
        </w:tc>
      </w:tr>
      <w:tr w:rsidR="001E54F5" w:rsidRPr="00062175" w14:paraId="600F9AFC" w14:textId="77777777" w:rsidTr="001E54F5">
        <w:trPr>
          <w:trHeight w:val="360"/>
          <w:jc w:val="center"/>
        </w:trPr>
        <w:tc>
          <w:tcPr>
            <w:tcW w:w="2430" w:type="dxa"/>
          </w:tcPr>
          <w:p w14:paraId="28D00FA5" w14:textId="77777777" w:rsidR="001E54F5" w:rsidRPr="001A4679" w:rsidRDefault="001E54F5">
            <w:pPr>
              <w:rPr>
                <w:rFonts w:ascii="Tahoma" w:hAnsi="Tahoma" w:cs="Tahoma"/>
              </w:rPr>
            </w:pPr>
            <w:r>
              <w:rPr>
                <w:rFonts w:ascii="Tahoma" w:hAnsi="Tahoma" w:cs="Tahoma"/>
              </w:rPr>
              <w:t>AHJ</w:t>
            </w:r>
          </w:p>
        </w:tc>
        <w:tc>
          <w:tcPr>
            <w:tcW w:w="6930" w:type="dxa"/>
          </w:tcPr>
          <w:p w14:paraId="50F4F2B3" w14:textId="77777777" w:rsidR="001E54F5" w:rsidRPr="001A4679" w:rsidRDefault="001E54F5">
            <w:pPr>
              <w:rPr>
                <w:rFonts w:ascii="Tahoma" w:hAnsi="Tahoma" w:cs="Tahoma"/>
              </w:rPr>
            </w:pPr>
            <w:r w:rsidRPr="001A4679">
              <w:rPr>
                <w:rFonts w:ascii="Tahoma" w:hAnsi="Tahoma" w:cs="Tahoma"/>
              </w:rPr>
              <w:t>Authorities having jurisdiction (AHJ) are governmental or non-governmental entities responsible for enforcing building codes, fire codes, and other regulations in a given jurisdiction.</w:t>
            </w:r>
          </w:p>
        </w:tc>
      </w:tr>
      <w:tr w:rsidR="001E54F5" w:rsidRPr="00062175" w14:paraId="5AB7D916" w14:textId="77777777" w:rsidTr="001E54F5">
        <w:trPr>
          <w:trHeight w:val="360"/>
          <w:jc w:val="center"/>
        </w:trPr>
        <w:tc>
          <w:tcPr>
            <w:tcW w:w="2430" w:type="dxa"/>
          </w:tcPr>
          <w:p w14:paraId="51B9AD35" w14:textId="77777777" w:rsidR="001E54F5" w:rsidRPr="001A4679" w:rsidRDefault="001E54F5">
            <w:pPr>
              <w:rPr>
                <w:rFonts w:ascii="Tahoma" w:hAnsi="Tahoma" w:cs="Tahoma"/>
              </w:rPr>
            </w:pPr>
            <w:r w:rsidRPr="001A4679">
              <w:rPr>
                <w:rFonts w:ascii="Tahoma" w:hAnsi="Tahoma" w:cs="Tahoma"/>
              </w:rPr>
              <w:t>Applicant</w:t>
            </w:r>
          </w:p>
        </w:tc>
        <w:tc>
          <w:tcPr>
            <w:tcW w:w="6930" w:type="dxa"/>
          </w:tcPr>
          <w:p w14:paraId="5B36A72A" w14:textId="77777777" w:rsidR="001E54F5" w:rsidRPr="001A4679" w:rsidRDefault="001E54F5">
            <w:pPr>
              <w:rPr>
                <w:rFonts w:ascii="Tahoma" w:hAnsi="Tahoma" w:cs="Tahoma"/>
              </w:rPr>
            </w:pPr>
            <w:r w:rsidRPr="001A4679">
              <w:rPr>
                <w:rFonts w:ascii="Tahoma" w:hAnsi="Tahoma" w:cs="Tahoma"/>
              </w:rPr>
              <w:t>Respondent to this solicitation</w:t>
            </w:r>
          </w:p>
        </w:tc>
      </w:tr>
      <w:tr w:rsidR="001E54F5" w:rsidRPr="00062175" w14:paraId="72B86C6B" w14:textId="77777777" w:rsidTr="001E54F5">
        <w:trPr>
          <w:trHeight w:val="360"/>
          <w:jc w:val="center"/>
        </w:trPr>
        <w:tc>
          <w:tcPr>
            <w:tcW w:w="2430" w:type="dxa"/>
          </w:tcPr>
          <w:p w14:paraId="5A10113C" w14:textId="77777777" w:rsidR="001E54F5" w:rsidRPr="001A4679" w:rsidRDefault="001E54F5">
            <w:pPr>
              <w:rPr>
                <w:rFonts w:ascii="Tahoma" w:hAnsi="Tahoma" w:cs="Tahoma"/>
              </w:rPr>
            </w:pPr>
            <w:r w:rsidRPr="001A4679">
              <w:rPr>
                <w:rFonts w:ascii="Tahoma" w:hAnsi="Tahoma" w:cs="Tahoma"/>
              </w:rPr>
              <w:t>Application</w:t>
            </w:r>
          </w:p>
        </w:tc>
        <w:tc>
          <w:tcPr>
            <w:tcW w:w="6930" w:type="dxa"/>
          </w:tcPr>
          <w:p w14:paraId="35720862" w14:textId="77777777" w:rsidR="001E54F5" w:rsidRPr="001A4679" w:rsidRDefault="001E54F5">
            <w:pPr>
              <w:rPr>
                <w:rFonts w:ascii="Tahoma" w:hAnsi="Tahoma" w:cs="Tahoma"/>
              </w:rPr>
            </w:pPr>
            <w:r w:rsidRPr="001A4679">
              <w:rPr>
                <w:rFonts w:ascii="Tahoma" w:hAnsi="Tahoma" w:cs="Tahoma"/>
              </w:rPr>
              <w:t>Formal written response to this document from applicant</w:t>
            </w:r>
          </w:p>
        </w:tc>
      </w:tr>
      <w:tr w:rsidR="001E54F5" w:rsidRPr="00062175" w14:paraId="1B949D18" w14:textId="77777777" w:rsidTr="001E54F5">
        <w:trPr>
          <w:trHeight w:val="360"/>
          <w:jc w:val="center"/>
        </w:trPr>
        <w:tc>
          <w:tcPr>
            <w:tcW w:w="2430" w:type="dxa"/>
          </w:tcPr>
          <w:p w14:paraId="28243664" w14:textId="77777777" w:rsidR="001E54F5" w:rsidRPr="001A4679" w:rsidRDefault="001E54F5">
            <w:pPr>
              <w:rPr>
                <w:rFonts w:ascii="Tahoma" w:hAnsi="Tahoma" w:cs="Tahoma"/>
              </w:rPr>
            </w:pPr>
            <w:r w:rsidRPr="001A4679">
              <w:rPr>
                <w:rFonts w:ascii="Tahoma" w:hAnsi="Tahoma" w:cs="Tahoma"/>
              </w:rPr>
              <w:t>California Native American Tribe</w:t>
            </w:r>
          </w:p>
        </w:tc>
        <w:tc>
          <w:tcPr>
            <w:tcW w:w="6930" w:type="dxa"/>
          </w:tcPr>
          <w:p w14:paraId="10475500" w14:textId="77777777" w:rsidR="001E54F5" w:rsidRPr="001A4679" w:rsidRDefault="001E54F5">
            <w:pPr>
              <w:rPr>
                <w:rFonts w:ascii="Tahoma" w:hAnsi="Tahoma" w:cs="Tahoma"/>
              </w:rPr>
            </w:pPr>
            <w:r w:rsidRPr="001A4679">
              <w:rPr>
                <w:rFonts w:ascii="Tahoma" w:hAnsi="Tahoma" w:cs="Tahoma"/>
              </w:rPr>
              <w:t>A Native American tribe located in California that is on the contact list maintained by the Native American Heritage Commission for the purposes of Chapter 905 of the Statutes of 2004.</w:t>
            </w:r>
          </w:p>
        </w:tc>
      </w:tr>
      <w:tr w:rsidR="001E54F5" w:rsidRPr="00062175" w14:paraId="07E9794E" w14:textId="77777777" w:rsidTr="001E54F5">
        <w:trPr>
          <w:trHeight w:val="360"/>
          <w:jc w:val="center"/>
        </w:trPr>
        <w:tc>
          <w:tcPr>
            <w:tcW w:w="2430" w:type="dxa"/>
          </w:tcPr>
          <w:p w14:paraId="2F5B6F1F" w14:textId="77777777" w:rsidR="001E54F5" w:rsidRPr="001A4679" w:rsidRDefault="001E54F5">
            <w:pPr>
              <w:rPr>
                <w:rFonts w:ascii="Tahoma" w:hAnsi="Tahoma" w:cs="Tahoma"/>
              </w:rPr>
            </w:pPr>
            <w:r w:rsidRPr="001A4679">
              <w:rPr>
                <w:rFonts w:ascii="Tahoma" w:hAnsi="Tahoma" w:cs="Tahoma"/>
              </w:rPr>
              <w:t>California Tribal Organization serving a California Native American Tribe</w:t>
            </w:r>
          </w:p>
        </w:tc>
        <w:tc>
          <w:tcPr>
            <w:tcW w:w="6930" w:type="dxa"/>
          </w:tcPr>
          <w:p w14:paraId="61C2C416" w14:textId="77777777" w:rsidR="001E54F5" w:rsidRPr="001A4679" w:rsidRDefault="001E54F5">
            <w:pPr>
              <w:rPr>
                <w:rFonts w:ascii="Tahoma" w:hAnsi="Tahoma" w:cs="Tahoma"/>
              </w:rPr>
            </w:pPr>
            <w:r w:rsidRPr="001A4679">
              <w:rPr>
                <w:rFonts w:ascii="Tahoma" w:hAnsi="Tahoma" w:cs="Tahoma"/>
              </w:rPr>
              <w:t>A corporation, association, or group controlled, sanctioned, or chartered by a California Native American Tribe that is subject to its laws, the laws of the State of California, or the laws of the United States.</w:t>
            </w:r>
          </w:p>
        </w:tc>
      </w:tr>
      <w:tr w:rsidR="001E54F5" w:rsidRPr="00062175" w14:paraId="3BACF9EC" w14:textId="77777777" w:rsidTr="001E54F5">
        <w:trPr>
          <w:trHeight w:val="360"/>
          <w:jc w:val="center"/>
        </w:trPr>
        <w:tc>
          <w:tcPr>
            <w:tcW w:w="2430" w:type="dxa"/>
          </w:tcPr>
          <w:p w14:paraId="22DF5BBC" w14:textId="77777777" w:rsidR="001E54F5" w:rsidRPr="001A4679" w:rsidRDefault="001E54F5">
            <w:pPr>
              <w:rPr>
                <w:rFonts w:ascii="Tahoma" w:hAnsi="Tahoma" w:cs="Tahoma"/>
              </w:rPr>
            </w:pPr>
            <w:r w:rsidRPr="001A4679">
              <w:rPr>
                <w:rFonts w:ascii="Tahoma" w:hAnsi="Tahoma" w:cs="Tahoma"/>
              </w:rPr>
              <w:t>CAM</w:t>
            </w:r>
          </w:p>
        </w:tc>
        <w:tc>
          <w:tcPr>
            <w:tcW w:w="6930" w:type="dxa"/>
          </w:tcPr>
          <w:p w14:paraId="6DCF1030" w14:textId="77777777" w:rsidR="001E54F5" w:rsidRPr="001A4679" w:rsidRDefault="001E54F5">
            <w:pPr>
              <w:rPr>
                <w:rFonts w:ascii="Tahoma" w:hAnsi="Tahoma" w:cs="Tahoma"/>
              </w:rPr>
            </w:pPr>
            <w:r w:rsidRPr="001A4679">
              <w:rPr>
                <w:rFonts w:ascii="Tahoma" w:hAnsi="Tahoma" w:cs="Tahoma"/>
              </w:rPr>
              <w:t>Commission Agreement Manager</w:t>
            </w:r>
          </w:p>
        </w:tc>
      </w:tr>
      <w:tr w:rsidR="001E54F5" w:rsidRPr="00062175" w14:paraId="604E1F11" w14:textId="77777777" w:rsidTr="001E54F5">
        <w:trPr>
          <w:trHeight w:val="360"/>
          <w:jc w:val="center"/>
        </w:trPr>
        <w:tc>
          <w:tcPr>
            <w:tcW w:w="2430" w:type="dxa"/>
          </w:tcPr>
          <w:p w14:paraId="75FCAF91" w14:textId="77777777" w:rsidR="001E54F5" w:rsidRPr="001A4679" w:rsidRDefault="001E54F5">
            <w:pPr>
              <w:rPr>
                <w:rFonts w:ascii="Tahoma" w:hAnsi="Tahoma" w:cs="Tahoma"/>
              </w:rPr>
            </w:pPr>
            <w:r w:rsidRPr="001A4679">
              <w:rPr>
                <w:rFonts w:ascii="Tahoma" w:hAnsi="Tahoma" w:cs="Tahoma"/>
              </w:rPr>
              <w:t>CAO</w:t>
            </w:r>
          </w:p>
        </w:tc>
        <w:tc>
          <w:tcPr>
            <w:tcW w:w="6930" w:type="dxa"/>
          </w:tcPr>
          <w:p w14:paraId="79E84FE6" w14:textId="77777777" w:rsidR="001E54F5" w:rsidRPr="001A4679" w:rsidRDefault="001E54F5">
            <w:pPr>
              <w:rPr>
                <w:rFonts w:ascii="Tahoma" w:hAnsi="Tahoma" w:cs="Tahoma"/>
              </w:rPr>
            </w:pPr>
            <w:r w:rsidRPr="001A4679">
              <w:rPr>
                <w:rFonts w:ascii="Tahoma" w:hAnsi="Tahoma" w:cs="Tahoma"/>
              </w:rPr>
              <w:t>Commission Agreement Officer</w:t>
            </w:r>
          </w:p>
        </w:tc>
      </w:tr>
      <w:tr w:rsidR="001E54F5" w:rsidRPr="00062175" w14:paraId="2CBE0001" w14:textId="77777777" w:rsidTr="001E54F5">
        <w:trPr>
          <w:trHeight w:val="360"/>
          <w:jc w:val="center"/>
        </w:trPr>
        <w:tc>
          <w:tcPr>
            <w:tcW w:w="2430" w:type="dxa"/>
          </w:tcPr>
          <w:p w14:paraId="15E257B9" w14:textId="77777777" w:rsidR="001E54F5" w:rsidRDefault="001E54F5">
            <w:pPr>
              <w:rPr>
                <w:rFonts w:ascii="Tahoma" w:hAnsi="Tahoma" w:cs="Tahoma"/>
              </w:rPr>
            </w:pPr>
            <w:r w:rsidRPr="006E5BCF">
              <w:rPr>
                <w:rFonts w:ascii="Tahoma" w:hAnsi="Tahoma" w:cs="Tahoma"/>
                <w:b/>
                <w:bCs/>
                <w:u w:val="single"/>
              </w:rPr>
              <w:t>Capacity</w:t>
            </w:r>
          </w:p>
        </w:tc>
        <w:tc>
          <w:tcPr>
            <w:tcW w:w="6930" w:type="dxa"/>
          </w:tcPr>
          <w:p w14:paraId="274C1493" w14:textId="445C7B93" w:rsidR="001E54F5" w:rsidRDefault="001E54F5">
            <w:pPr>
              <w:rPr>
                <w:rFonts w:ascii="Tahoma" w:hAnsi="Tahoma" w:cs="Tahoma"/>
              </w:rPr>
            </w:pPr>
            <w:r>
              <w:rPr>
                <w:rFonts w:ascii="Tahoma" w:eastAsia="Tahoma" w:hAnsi="Tahoma" w:cs="Tahoma"/>
                <w:b/>
                <w:bCs/>
                <w:u w:val="single"/>
              </w:rPr>
              <w:t xml:space="preserve">The </w:t>
            </w:r>
            <w:r w:rsidR="00AE25FF">
              <w:rPr>
                <w:rFonts w:ascii="Tahoma" w:eastAsia="Tahoma" w:hAnsi="Tahoma" w:cs="Tahoma"/>
                <w:b/>
                <w:bCs/>
                <w:u w:val="single"/>
              </w:rPr>
              <w:t>mass</w:t>
            </w:r>
            <w:r>
              <w:rPr>
                <w:rFonts w:ascii="Tahoma" w:eastAsia="Tahoma" w:hAnsi="Tahoma" w:cs="Tahoma"/>
                <w:b/>
                <w:bCs/>
                <w:u w:val="single"/>
              </w:rPr>
              <w:t xml:space="preserve"> of hydrogen </w:t>
            </w:r>
            <w:r w:rsidR="005036EC">
              <w:rPr>
                <w:rFonts w:ascii="Tahoma" w:eastAsia="Tahoma" w:hAnsi="Tahoma" w:cs="Tahoma"/>
                <w:b/>
                <w:bCs/>
                <w:u w:val="single"/>
              </w:rPr>
              <w:t>in kg</w:t>
            </w:r>
            <w:r>
              <w:rPr>
                <w:rFonts w:ascii="Tahoma" w:eastAsia="Tahoma" w:hAnsi="Tahoma" w:cs="Tahoma"/>
                <w:b/>
                <w:bCs/>
                <w:u w:val="single"/>
              </w:rPr>
              <w:t xml:space="preserve"> that can be dispensed by a station in a 24-hour period.</w:t>
            </w:r>
          </w:p>
        </w:tc>
      </w:tr>
      <w:tr w:rsidR="001E54F5" w:rsidRPr="00062175" w14:paraId="75EEB108" w14:textId="77777777" w:rsidTr="001E54F5">
        <w:trPr>
          <w:trHeight w:val="360"/>
          <w:jc w:val="center"/>
        </w:trPr>
        <w:tc>
          <w:tcPr>
            <w:tcW w:w="2430" w:type="dxa"/>
          </w:tcPr>
          <w:p w14:paraId="1012ED79" w14:textId="77777777" w:rsidR="001E54F5" w:rsidRPr="001A4679" w:rsidRDefault="001E54F5">
            <w:pPr>
              <w:rPr>
                <w:rFonts w:ascii="Tahoma" w:hAnsi="Tahoma" w:cs="Tahoma"/>
              </w:rPr>
            </w:pPr>
            <w:r>
              <w:rPr>
                <w:rFonts w:ascii="Tahoma" w:hAnsi="Tahoma" w:cs="Tahoma"/>
              </w:rPr>
              <w:lastRenderedPageBreak/>
              <w:t>CDFA</w:t>
            </w:r>
          </w:p>
        </w:tc>
        <w:tc>
          <w:tcPr>
            <w:tcW w:w="6930" w:type="dxa"/>
          </w:tcPr>
          <w:p w14:paraId="412CFCE5" w14:textId="77777777" w:rsidR="001E54F5" w:rsidRPr="001A4679" w:rsidRDefault="001E54F5">
            <w:pPr>
              <w:rPr>
                <w:rFonts w:ascii="Tahoma" w:hAnsi="Tahoma" w:cs="Tahoma"/>
              </w:rPr>
            </w:pPr>
            <w:r>
              <w:rPr>
                <w:rFonts w:ascii="Tahoma" w:hAnsi="Tahoma" w:cs="Tahoma"/>
              </w:rPr>
              <w:t>California Department of Food and Agriculture</w:t>
            </w:r>
          </w:p>
        </w:tc>
      </w:tr>
      <w:tr w:rsidR="001E54F5" w:rsidRPr="00062175" w14:paraId="5699BE46" w14:textId="77777777" w:rsidTr="001E54F5">
        <w:trPr>
          <w:trHeight w:val="360"/>
          <w:jc w:val="center"/>
        </w:trPr>
        <w:tc>
          <w:tcPr>
            <w:tcW w:w="2430" w:type="dxa"/>
          </w:tcPr>
          <w:p w14:paraId="610A89EC" w14:textId="77777777" w:rsidR="001E54F5" w:rsidRPr="001A4679" w:rsidRDefault="001E54F5">
            <w:pPr>
              <w:rPr>
                <w:rFonts w:ascii="Tahoma" w:hAnsi="Tahoma" w:cs="Tahoma"/>
              </w:rPr>
            </w:pPr>
            <w:r w:rsidRPr="001A4679">
              <w:rPr>
                <w:rFonts w:ascii="Tahoma" w:hAnsi="Tahoma" w:cs="Tahoma"/>
              </w:rPr>
              <w:t>CEC</w:t>
            </w:r>
          </w:p>
        </w:tc>
        <w:tc>
          <w:tcPr>
            <w:tcW w:w="6930" w:type="dxa"/>
          </w:tcPr>
          <w:p w14:paraId="6C5A130D" w14:textId="77777777" w:rsidR="001E54F5" w:rsidRPr="001A4679" w:rsidRDefault="001E54F5">
            <w:pPr>
              <w:rPr>
                <w:rFonts w:ascii="Tahoma" w:hAnsi="Tahoma" w:cs="Tahoma"/>
              </w:rPr>
            </w:pPr>
            <w:r w:rsidRPr="001A4679">
              <w:rPr>
                <w:rFonts w:ascii="Tahoma" w:hAnsi="Tahoma" w:cs="Tahoma"/>
              </w:rPr>
              <w:t>California Energy Commission</w:t>
            </w:r>
          </w:p>
        </w:tc>
      </w:tr>
      <w:tr w:rsidR="001E54F5" w:rsidRPr="00062175" w14:paraId="0F53DE31" w14:textId="77777777" w:rsidTr="001E54F5">
        <w:trPr>
          <w:trHeight w:val="360"/>
          <w:jc w:val="center"/>
        </w:trPr>
        <w:tc>
          <w:tcPr>
            <w:tcW w:w="2430" w:type="dxa"/>
          </w:tcPr>
          <w:p w14:paraId="63257AA4" w14:textId="77777777" w:rsidR="001E54F5" w:rsidRPr="001A4679" w:rsidRDefault="001E54F5">
            <w:pPr>
              <w:rPr>
                <w:rFonts w:ascii="Tahoma" w:hAnsi="Tahoma" w:cs="Tahoma"/>
              </w:rPr>
            </w:pPr>
            <w:r>
              <w:rPr>
                <w:rFonts w:ascii="Tahoma" w:hAnsi="Tahoma" w:cs="Tahoma"/>
              </w:rPr>
              <w:t>CEQA</w:t>
            </w:r>
          </w:p>
        </w:tc>
        <w:tc>
          <w:tcPr>
            <w:tcW w:w="6930" w:type="dxa"/>
          </w:tcPr>
          <w:p w14:paraId="2FDEBF0B" w14:textId="77777777" w:rsidR="001E54F5" w:rsidRPr="001A4679" w:rsidRDefault="001E54F5">
            <w:pPr>
              <w:rPr>
                <w:rStyle w:val="normaltextrun"/>
                <w:rFonts w:ascii="Tahoma" w:hAnsi="Tahoma" w:cs="Tahoma"/>
              </w:rPr>
            </w:pPr>
            <w:r>
              <w:rPr>
                <w:rStyle w:val="normaltextrun"/>
                <w:rFonts w:ascii="Tahoma" w:hAnsi="Tahoma" w:cs="Tahoma"/>
              </w:rPr>
              <w:t>California Environmental Quality Act</w:t>
            </w:r>
          </w:p>
        </w:tc>
      </w:tr>
      <w:tr w:rsidR="001E54F5" w:rsidRPr="00062175" w14:paraId="5DEE6D35" w14:textId="77777777" w:rsidTr="001E54F5">
        <w:trPr>
          <w:trHeight w:val="360"/>
          <w:jc w:val="center"/>
        </w:trPr>
        <w:tc>
          <w:tcPr>
            <w:tcW w:w="2430" w:type="dxa"/>
          </w:tcPr>
          <w:p w14:paraId="1F7FC56F" w14:textId="77777777" w:rsidR="001E54F5" w:rsidRPr="001A4679" w:rsidRDefault="001E54F5">
            <w:pPr>
              <w:rPr>
                <w:rFonts w:ascii="Tahoma" w:hAnsi="Tahoma" w:cs="Tahoma"/>
              </w:rPr>
            </w:pPr>
            <w:r w:rsidRPr="001A4679">
              <w:rPr>
                <w:rFonts w:ascii="Tahoma" w:hAnsi="Tahoma" w:cs="Tahoma"/>
              </w:rPr>
              <w:t>CTEP</w:t>
            </w:r>
          </w:p>
        </w:tc>
        <w:tc>
          <w:tcPr>
            <w:tcW w:w="6930" w:type="dxa"/>
          </w:tcPr>
          <w:p w14:paraId="03C5FFAE" w14:textId="77777777" w:rsidR="001E54F5" w:rsidRPr="001A4679" w:rsidRDefault="001E54F5">
            <w:pPr>
              <w:rPr>
                <w:rFonts w:ascii="Tahoma" w:eastAsia="Tahoma" w:hAnsi="Tahoma" w:cs="Tahoma"/>
                <w:color w:val="000000" w:themeColor="text1"/>
              </w:rPr>
            </w:pPr>
            <w:r w:rsidRPr="001A4679">
              <w:rPr>
                <w:rStyle w:val="normaltextrun"/>
                <w:rFonts w:ascii="Tahoma" w:hAnsi="Tahoma" w:cs="Tahoma"/>
              </w:rPr>
              <w:t>California Type Evaluation Program</w:t>
            </w:r>
          </w:p>
        </w:tc>
      </w:tr>
      <w:tr w:rsidR="001E54F5" w:rsidRPr="00062175" w14:paraId="65798591" w14:textId="77777777" w:rsidTr="001E54F5">
        <w:trPr>
          <w:trHeight w:val="360"/>
          <w:jc w:val="center"/>
        </w:trPr>
        <w:tc>
          <w:tcPr>
            <w:tcW w:w="2430" w:type="dxa"/>
          </w:tcPr>
          <w:p w14:paraId="1EE07089" w14:textId="77777777" w:rsidR="001E54F5" w:rsidRPr="001A4679" w:rsidRDefault="001E54F5">
            <w:pPr>
              <w:rPr>
                <w:rFonts w:ascii="Tahoma" w:hAnsi="Tahoma" w:cs="Tahoma"/>
              </w:rPr>
            </w:pPr>
            <w:r>
              <w:rPr>
                <w:rFonts w:ascii="Tahoma" w:hAnsi="Tahoma" w:cs="Tahoma"/>
              </w:rPr>
              <w:t>CTP</w:t>
            </w:r>
          </w:p>
        </w:tc>
        <w:tc>
          <w:tcPr>
            <w:tcW w:w="6930" w:type="dxa"/>
          </w:tcPr>
          <w:p w14:paraId="2349E8ED" w14:textId="77777777" w:rsidR="001E54F5" w:rsidRPr="001A4679" w:rsidRDefault="001E54F5">
            <w:pPr>
              <w:rPr>
                <w:rFonts w:ascii="Tahoma" w:hAnsi="Tahoma" w:cs="Tahoma"/>
              </w:rPr>
            </w:pPr>
            <w:r>
              <w:rPr>
                <w:rFonts w:ascii="Tahoma" w:hAnsi="Tahoma" w:cs="Tahoma"/>
              </w:rPr>
              <w:t>Clean Transportation Program</w:t>
            </w:r>
          </w:p>
        </w:tc>
      </w:tr>
      <w:tr w:rsidR="001E54F5" w:rsidRPr="00062175" w14:paraId="4F39A1B2" w14:textId="77777777" w:rsidTr="001E54F5">
        <w:trPr>
          <w:trHeight w:val="360"/>
          <w:jc w:val="center"/>
        </w:trPr>
        <w:tc>
          <w:tcPr>
            <w:tcW w:w="2430" w:type="dxa"/>
          </w:tcPr>
          <w:p w14:paraId="0205F1BB" w14:textId="77777777" w:rsidR="001E54F5" w:rsidRPr="001A4679" w:rsidRDefault="001E54F5">
            <w:pPr>
              <w:rPr>
                <w:rFonts w:ascii="Tahoma" w:hAnsi="Tahoma" w:cs="Tahoma"/>
              </w:rPr>
            </w:pPr>
            <w:r>
              <w:rPr>
                <w:rFonts w:ascii="Tahoma" w:hAnsi="Tahoma" w:cs="Tahoma"/>
              </w:rPr>
              <w:t>DAC</w:t>
            </w:r>
          </w:p>
        </w:tc>
        <w:tc>
          <w:tcPr>
            <w:tcW w:w="6930" w:type="dxa"/>
          </w:tcPr>
          <w:p w14:paraId="3917558C" w14:textId="77777777" w:rsidR="001E54F5" w:rsidRPr="001A4679" w:rsidRDefault="001E54F5">
            <w:pPr>
              <w:rPr>
                <w:rFonts w:ascii="Tahoma" w:hAnsi="Tahoma" w:cs="Tahoma"/>
              </w:rPr>
            </w:pPr>
            <w:r>
              <w:rPr>
                <w:rFonts w:ascii="Tahoma" w:hAnsi="Tahoma" w:cs="Tahoma"/>
              </w:rPr>
              <w:t>Disadvantaged Community. A geographic area identified by the CalEnviroScreen tool that is low-income and disproportionately affected by environmental burdens and hazards.</w:t>
            </w:r>
          </w:p>
        </w:tc>
      </w:tr>
      <w:tr w:rsidR="001E54F5" w:rsidRPr="00062175" w14:paraId="6CA3F677" w14:textId="77777777" w:rsidTr="001E54F5">
        <w:trPr>
          <w:trHeight w:val="360"/>
          <w:jc w:val="center"/>
        </w:trPr>
        <w:tc>
          <w:tcPr>
            <w:tcW w:w="2430" w:type="dxa"/>
          </w:tcPr>
          <w:p w14:paraId="70FCFF3B" w14:textId="77777777" w:rsidR="001E54F5" w:rsidRPr="001A4679" w:rsidRDefault="001E54F5">
            <w:pPr>
              <w:rPr>
                <w:rFonts w:ascii="Tahoma" w:hAnsi="Tahoma" w:cs="Tahoma"/>
              </w:rPr>
            </w:pPr>
            <w:r w:rsidRPr="001A4679">
              <w:rPr>
                <w:rFonts w:ascii="Tahoma" w:hAnsi="Tahoma" w:cs="Tahoma"/>
              </w:rPr>
              <w:t>DER</w:t>
            </w:r>
          </w:p>
        </w:tc>
        <w:tc>
          <w:tcPr>
            <w:tcW w:w="6930" w:type="dxa"/>
          </w:tcPr>
          <w:p w14:paraId="34D864E8" w14:textId="77777777" w:rsidR="001E54F5" w:rsidRPr="001A4679" w:rsidRDefault="001E54F5">
            <w:pPr>
              <w:rPr>
                <w:rStyle w:val="normaltextrun"/>
                <w:rFonts w:ascii="Tahoma" w:hAnsi="Tahoma" w:cs="Tahoma"/>
              </w:rPr>
            </w:pPr>
            <w:r w:rsidRPr="001A4679">
              <w:rPr>
                <w:rFonts w:ascii="Tahoma" w:hAnsi="Tahoma" w:cs="Tahoma"/>
              </w:rPr>
              <w:t>Distributed Energy Resources (DER) are decentralized generation or storage devices connected to the distribution grid.</w:t>
            </w:r>
          </w:p>
        </w:tc>
      </w:tr>
      <w:tr w:rsidR="001E54F5" w:rsidRPr="00062175" w14:paraId="4D6059F7" w14:textId="77777777" w:rsidTr="001E54F5">
        <w:trPr>
          <w:trHeight w:val="360"/>
          <w:jc w:val="center"/>
        </w:trPr>
        <w:tc>
          <w:tcPr>
            <w:tcW w:w="2430" w:type="dxa"/>
          </w:tcPr>
          <w:p w14:paraId="6933196E" w14:textId="77777777" w:rsidR="001E54F5" w:rsidRPr="001A4679" w:rsidRDefault="001E54F5">
            <w:pPr>
              <w:rPr>
                <w:rFonts w:ascii="Tahoma" w:hAnsi="Tahoma" w:cs="Tahoma"/>
              </w:rPr>
            </w:pPr>
            <w:r w:rsidRPr="001A4679">
              <w:rPr>
                <w:rFonts w:ascii="Tahoma" w:hAnsi="Tahoma" w:cs="Tahoma"/>
              </w:rPr>
              <w:t>DMS</w:t>
            </w:r>
          </w:p>
        </w:tc>
        <w:tc>
          <w:tcPr>
            <w:tcW w:w="6930" w:type="dxa"/>
          </w:tcPr>
          <w:p w14:paraId="686387DF" w14:textId="77777777" w:rsidR="001E54F5" w:rsidRPr="001A4679" w:rsidRDefault="001E54F5">
            <w:pPr>
              <w:rPr>
                <w:rStyle w:val="normaltextrun"/>
                <w:rFonts w:ascii="Tahoma" w:hAnsi="Tahoma" w:cs="Tahoma"/>
              </w:rPr>
            </w:pPr>
            <w:r w:rsidRPr="001A4679">
              <w:rPr>
                <w:rFonts w:ascii="Tahoma" w:hAnsi="Tahoma" w:cs="Tahoma"/>
              </w:rPr>
              <w:t>Division of Measurement Standards</w:t>
            </w:r>
          </w:p>
        </w:tc>
      </w:tr>
      <w:tr w:rsidR="001E54F5" w:rsidRPr="00062175" w14:paraId="5D5D663B" w14:textId="77777777" w:rsidTr="001E54F5">
        <w:trPr>
          <w:trHeight w:val="360"/>
          <w:jc w:val="center"/>
        </w:trPr>
        <w:tc>
          <w:tcPr>
            <w:tcW w:w="2430" w:type="dxa"/>
          </w:tcPr>
          <w:p w14:paraId="04683E6A" w14:textId="77777777" w:rsidR="001E54F5" w:rsidRPr="001A4679" w:rsidRDefault="001E54F5">
            <w:pPr>
              <w:rPr>
                <w:rFonts w:ascii="Tahoma" w:hAnsi="Tahoma" w:cs="Tahoma"/>
              </w:rPr>
            </w:pPr>
            <w:r w:rsidRPr="001A4679">
              <w:rPr>
                <w:rFonts w:ascii="Tahoma" w:hAnsi="Tahoma" w:cs="Tahoma"/>
              </w:rPr>
              <w:t>ECAMS</w:t>
            </w:r>
          </w:p>
        </w:tc>
        <w:tc>
          <w:tcPr>
            <w:tcW w:w="6930" w:type="dxa"/>
          </w:tcPr>
          <w:p w14:paraId="2E2F0847" w14:textId="77777777" w:rsidR="001E54F5" w:rsidRPr="001A4679" w:rsidRDefault="001E54F5">
            <w:pPr>
              <w:rPr>
                <w:rStyle w:val="normaltextrun"/>
                <w:rFonts w:ascii="Tahoma" w:hAnsi="Tahoma" w:cs="Tahoma"/>
              </w:rPr>
            </w:pPr>
            <w:r w:rsidRPr="001A4679">
              <w:rPr>
                <w:rFonts w:ascii="Tahoma" w:hAnsi="Tahoma" w:cs="Tahoma"/>
              </w:rPr>
              <w:t>Energy Commission Agreement Management System</w:t>
            </w:r>
          </w:p>
        </w:tc>
      </w:tr>
      <w:tr w:rsidR="001E54F5" w:rsidRPr="00062175" w14:paraId="174F4964" w14:textId="77777777" w:rsidTr="001E54F5">
        <w:trPr>
          <w:trHeight w:val="360"/>
          <w:jc w:val="center"/>
        </w:trPr>
        <w:tc>
          <w:tcPr>
            <w:tcW w:w="2430" w:type="dxa"/>
          </w:tcPr>
          <w:p w14:paraId="6327C87D" w14:textId="77777777" w:rsidR="001E54F5" w:rsidRPr="001A4679" w:rsidRDefault="001E54F5">
            <w:pPr>
              <w:rPr>
                <w:rFonts w:ascii="Tahoma" w:hAnsi="Tahoma" w:cs="Tahoma"/>
              </w:rPr>
            </w:pPr>
            <w:r w:rsidRPr="001A4679">
              <w:rPr>
                <w:rFonts w:ascii="Tahoma" w:hAnsi="Tahoma" w:cs="Tahoma"/>
              </w:rPr>
              <w:t>FCEV</w:t>
            </w:r>
          </w:p>
        </w:tc>
        <w:tc>
          <w:tcPr>
            <w:tcW w:w="6930" w:type="dxa"/>
          </w:tcPr>
          <w:p w14:paraId="08434233" w14:textId="77777777" w:rsidR="001E54F5" w:rsidRPr="001A4679" w:rsidRDefault="001E54F5">
            <w:pPr>
              <w:rPr>
                <w:rFonts w:ascii="Tahoma" w:hAnsi="Tahoma" w:cs="Tahoma"/>
                <w:color w:val="000000"/>
              </w:rPr>
            </w:pPr>
            <w:r w:rsidRPr="001A4679">
              <w:rPr>
                <w:rFonts w:ascii="Tahoma" w:hAnsi="Tahoma" w:cs="Tahoma"/>
                <w:color w:val="000000"/>
              </w:rPr>
              <w:t>A fuel cell electric vehicle (FCEV) is a vehicle that uses an electric motor for propulsion, much like an electric vehicle, but powers the electric motor using hydrogen fuel cells rather than an onboard battery.</w:t>
            </w:r>
          </w:p>
        </w:tc>
      </w:tr>
      <w:tr w:rsidR="001E54F5" w:rsidRPr="00062175" w14:paraId="6A55964D" w14:textId="77777777" w:rsidTr="001E54F5">
        <w:trPr>
          <w:trHeight w:val="360"/>
          <w:jc w:val="center"/>
        </w:trPr>
        <w:tc>
          <w:tcPr>
            <w:tcW w:w="2430" w:type="dxa"/>
          </w:tcPr>
          <w:p w14:paraId="57BF30E8" w14:textId="77777777" w:rsidR="001E54F5" w:rsidRPr="001A4679" w:rsidRDefault="001E54F5">
            <w:pPr>
              <w:rPr>
                <w:rFonts w:ascii="Tahoma" w:hAnsi="Tahoma" w:cs="Tahoma"/>
              </w:rPr>
            </w:pPr>
            <w:r w:rsidRPr="001A4679">
              <w:rPr>
                <w:rFonts w:ascii="Tahoma" w:hAnsi="Tahoma" w:cs="Tahoma"/>
              </w:rPr>
              <w:t>GAAP</w:t>
            </w:r>
          </w:p>
        </w:tc>
        <w:tc>
          <w:tcPr>
            <w:tcW w:w="6930" w:type="dxa"/>
          </w:tcPr>
          <w:p w14:paraId="5CC41B3B" w14:textId="77777777" w:rsidR="001E54F5" w:rsidRPr="001A4679" w:rsidRDefault="001E54F5">
            <w:pPr>
              <w:rPr>
                <w:rFonts w:ascii="Tahoma" w:hAnsi="Tahoma" w:cs="Tahoma"/>
              </w:rPr>
            </w:pPr>
            <w:r w:rsidRPr="001A4679">
              <w:rPr>
                <w:rFonts w:ascii="Tahoma" w:hAnsi="Tahoma" w:cs="Tahoma"/>
              </w:rPr>
              <w:t>Generally Accepted Accounting Principles</w:t>
            </w:r>
          </w:p>
        </w:tc>
      </w:tr>
      <w:tr w:rsidR="001E54F5" w:rsidRPr="00062175" w14:paraId="016588A9" w14:textId="77777777" w:rsidTr="001E54F5">
        <w:trPr>
          <w:trHeight w:val="360"/>
          <w:jc w:val="center"/>
        </w:trPr>
        <w:tc>
          <w:tcPr>
            <w:tcW w:w="2430" w:type="dxa"/>
          </w:tcPr>
          <w:p w14:paraId="7073E914" w14:textId="77777777" w:rsidR="001E54F5" w:rsidRPr="001A4679" w:rsidRDefault="001E54F5">
            <w:pPr>
              <w:rPr>
                <w:rFonts w:ascii="Tahoma" w:hAnsi="Tahoma" w:cs="Tahoma"/>
              </w:rPr>
            </w:pPr>
            <w:r w:rsidRPr="001A4679">
              <w:rPr>
                <w:rFonts w:ascii="Tahoma" w:hAnsi="Tahoma" w:cs="Tahoma"/>
              </w:rPr>
              <w:t>GHG</w:t>
            </w:r>
          </w:p>
        </w:tc>
        <w:tc>
          <w:tcPr>
            <w:tcW w:w="6930" w:type="dxa"/>
          </w:tcPr>
          <w:p w14:paraId="29C18DB1" w14:textId="77777777" w:rsidR="001E54F5" w:rsidRPr="001A4679" w:rsidRDefault="001E54F5">
            <w:pPr>
              <w:rPr>
                <w:rFonts w:ascii="Tahoma" w:hAnsi="Tahoma" w:cs="Tahoma"/>
              </w:rPr>
            </w:pPr>
            <w:r w:rsidRPr="001A4679">
              <w:rPr>
                <w:rFonts w:ascii="Tahoma" w:hAnsi="Tahoma" w:cs="Tahoma"/>
              </w:rPr>
              <w:t>Greenhouse gas</w:t>
            </w:r>
          </w:p>
        </w:tc>
      </w:tr>
      <w:tr w:rsidR="001E54F5" w:rsidRPr="00062175" w14:paraId="4FE47832" w14:textId="77777777" w:rsidTr="001E54F5">
        <w:trPr>
          <w:trHeight w:val="360"/>
          <w:jc w:val="center"/>
        </w:trPr>
        <w:tc>
          <w:tcPr>
            <w:tcW w:w="2430" w:type="dxa"/>
          </w:tcPr>
          <w:p w14:paraId="2F386834" w14:textId="77777777" w:rsidR="001E54F5" w:rsidRDefault="001E54F5">
            <w:pPr>
              <w:rPr>
                <w:rFonts w:ascii="Tahoma" w:hAnsi="Tahoma" w:cs="Tahoma"/>
                <w:lang w:eastAsia="ja-JP"/>
              </w:rPr>
            </w:pPr>
            <w:r>
              <w:rPr>
                <w:rFonts w:ascii="Tahoma" w:hAnsi="Tahoma" w:cs="Tahoma"/>
                <w:lang w:eastAsia="ja-JP"/>
              </w:rPr>
              <w:t>GVWR</w:t>
            </w:r>
          </w:p>
        </w:tc>
        <w:tc>
          <w:tcPr>
            <w:tcW w:w="6930" w:type="dxa"/>
          </w:tcPr>
          <w:p w14:paraId="22025E32" w14:textId="77777777" w:rsidR="001E54F5" w:rsidRDefault="001E54F5">
            <w:pPr>
              <w:rPr>
                <w:rFonts w:ascii="Tahoma" w:hAnsi="Tahoma" w:cs="Tahoma"/>
                <w:lang w:eastAsia="ja-JP"/>
              </w:rPr>
            </w:pPr>
            <w:r>
              <w:rPr>
                <w:rFonts w:ascii="Tahoma" w:hAnsi="Tahoma" w:cs="Tahoma"/>
                <w:lang w:eastAsia="ja-JP"/>
              </w:rPr>
              <w:t>Gross Vehicle Weight Rating</w:t>
            </w:r>
          </w:p>
        </w:tc>
      </w:tr>
      <w:tr w:rsidR="001E54F5" w:rsidRPr="00062175" w14:paraId="0F4EA1D8" w14:textId="77777777" w:rsidTr="001E54F5">
        <w:trPr>
          <w:trHeight w:val="360"/>
          <w:jc w:val="center"/>
        </w:trPr>
        <w:tc>
          <w:tcPr>
            <w:tcW w:w="2430" w:type="dxa"/>
          </w:tcPr>
          <w:p w14:paraId="0AE3F810" w14:textId="77777777" w:rsidR="001E54F5" w:rsidRDefault="001E54F5">
            <w:pPr>
              <w:rPr>
                <w:rFonts w:ascii="Tahoma" w:hAnsi="Tahoma" w:cs="Tahoma"/>
                <w:lang w:eastAsia="ja-JP"/>
              </w:rPr>
            </w:pPr>
            <w:r>
              <w:rPr>
                <w:rFonts w:ascii="Tahoma" w:hAnsi="Tahoma" w:cs="Tahoma"/>
                <w:lang w:eastAsia="ja-JP"/>
              </w:rPr>
              <w:t>HD</w:t>
            </w:r>
          </w:p>
        </w:tc>
        <w:tc>
          <w:tcPr>
            <w:tcW w:w="6930" w:type="dxa"/>
          </w:tcPr>
          <w:p w14:paraId="66B02A2B" w14:textId="77777777" w:rsidR="001E54F5" w:rsidRDefault="001E54F5">
            <w:pPr>
              <w:rPr>
                <w:rFonts w:ascii="Tahoma" w:hAnsi="Tahoma" w:cs="Tahoma"/>
                <w:lang w:eastAsia="ja-JP"/>
              </w:rPr>
            </w:pPr>
            <w:r>
              <w:rPr>
                <w:rFonts w:ascii="Tahoma" w:hAnsi="Tahoma" w:cs="Tahoma"/>
                <w:lang w:eastAsia="ja-JP"/>
              </w:rPr>
              <w:t>Heavy-duty. A vehicle that has a GVWR greater than 26,000 pounds.</w:t>
            </w:r>
          </w:p>
        </w:tc>
      </w:tr>
      <w:tr w:rsidR="001E54F5" w:rsidRPr="00062175" w14:paraId="2291660F" w14:textId="77777777" w:rsidTr="001E54F5">
        <w:trPr>
          <w:trHeight w:val="360"/>
          <w:jc w:val="center"/>
        </w:trPr>
        <w:tc>
          <w:tcPr>
            <w:tcW w:w="2430" w:type="dxa"/>
          </w:tcPr>
          <w:p w14:paraId="56A3965D" w14:textId="77777777" w:rsidR="001E54F5" w:rsidRPr="001A4679" w:rsidRDefault="001E54F5">
            <w:pPr>
              <w:rPr>
                <w:rFonts w:ascii="Tahoma" w:hAnsi="Tahoma" w:cs="Tahoma"/>
                <w:lang w:eastAsia="ja-JP"/>
              </w:rPr>
            </w:pPr>
            <w:r>
              <w:rPr>
                <w:rFonts w:ascii="Tahoma" w:hAnsi="Tahoma" w:cs="Tahoma" w:hint="eastAsia"/>
                <w:lang w:eastAsia="ja-JP"/>
              </w:rPr>
              <w:t>HSP</w:t>
            </w:r>
          </w:p>
        </w:tc>
        <w:tc>
          <w:tcPr>
            <w:tcW w:w="6930" w:type="dxa"/>
          </w:tcPr>
          <w:p w14:paraId="5CCC3EC8" w14:textId="77777777" w:rsidR="001E54F5" w:rsidRPr="001A4679" w:rsidRDefault="001E54F5">
            <w:pPr>
              <w:rPr>
                <w:rFonts w:ascii="Tahoma" w:hAnsi="Tahoma" w:cs="Tahoma"/>
                <w:lang w:eastAsia="ja-JP"/>
              </w:rPr>
            </w:pPr>
            <w:r>
              <w:rPr>
                <w:rFonts w:ascii="Tahoma" w:hAnsi="Tahoma" w:cs="Tahoma" w:hint="eastAsia"/>
                <w:lang w:eastAsia="ja-JP"/>
              </w:rPr>
              <w:t>Hydrogen Safety Panel</w:t>
            </w:r>
          </w:p>
        </w:tc>
      </w:tr>
      <w:tr w:rsidR="001E54F5" w14:paraId="49C8E2C8" w14:textId="77777777" w:rsidTr="001E54F5">
        <w:trPr>
          <w:trHeight w:val="360"/>
          <w:jc w:val="center"/>
        </w:trPr>
        <w:tc>
          <w:tcPr>
            <w:tcW w:w="2430" w:type="dxa"/>
          </w:tcPr>
          <w:p w14:paraId="3F051A67" w14:textId="77777777" w:rsidR="001E54F5" w:rsidRDefault="001E54F5">
            <w:pPr>
              <w:rPr>
                <w:rFonts w:ascii="Tahoma" w:hAnsi="Tahoma" w:cs="Tahoma"/>
              </w:rPr>
            </w:pPr>
            <w:r w:rsidRPr="72025587">
              <w:rPr>
                <w:rFonts w:ascii="Tahoma" w:hAnsi="Tahoma" w:cs="Tahoma"/>
              </w:rPr>
              <w:t>Hydrogen Dispenser</w:t>
            </w:r>
          </w:p>
        </w:tc>
        <w:tc>
          <w:tcPr>
            <w:tcW w:w="6930" w:type="dxa"/>
          </w:tcPr>
          <w:p w14:paraId="41D2A9CD" w14:textId="77777777" w:rsidR="001E54F5" w:rsidRDefault="001E54F5">
            <w:pPr>
              <w:rPr>
                <w:rFonts w:eastAsia="Arial"/>
              </w:rPr>
            </w:pPr>
            <w:r w:rsidRPr="42BC1015">
              <w:rPr>
                <w:rFonts w:eastAsia="Arial"/>
              </w:rPr>
              <w:t>A dispenser that supplies hydrogen to a fuel cell electric vehicle and may have multiple positions, hoses, or nozzles for simultaneous refueling.</w:t>
            </w:r>
          </w:p>
        </w:tc>
      </w:tr>
      <w:tr w:rsidR="001E54F5" w:rsidRPr="00062175" w14:paraId="5792B89B" w14:textId="77777777" w:rsidTr="001E54F5">
        <w:trPr>
          <w:trHeight w:val="360"/>
          <w:jc w:val="center"/>
        </w:trPr>
        <w:tc>
          <w:tcPr>
            <w:tcW w:w="2430" w:type="dxa"/>
          </w:tcPr>
          <w:p w14:paraId="3AB0ED2C" w14:textId="77777777" w:rsidR="001E54F5" w:rsidRDefault="001E54F5">
            <w:pPr>
              <w:rPr>
                <w:rFonts w:ascii="Tahoma" w:hAnsi="Tahoma" w:cs="Tahoma"/>
              </w:rPr>
            </w:pPr>
            <w:r w:rsidRPr="048359AD">
              <w:rPr>
                <w:rFonts w:ascii="Tahoma" w:hAnsi="Tahoma" w:cs="Tahoma"/>
              </w:rPr>
              <w:t>Hydrogen Refueling Position</w:t>
            </w:r>
          </w:p>
        </w:tc>
        <w:tc>
          <w:tcPr>
            <w:tcW w:w="6930" w:type="dxa"/>
          </w:tcPr>
          <w:p w14:paraId="308774A5" w14:textId="77777777" w:rsidR="001E54F5" w:rsidRPr="001A4679" w:rsidDel="00D87C00" w:rsidRDefault="001E54F5">
            <w:pPr>
              <w:rPr>
                <w:rFonts w:ascii="Tahoma" w:hAnsi="Tahoma" w:cs="Tahoma"/>
                <w:lang w:eastAsia="ja-JP"/>
              </w:rPr>
            </w:pPr>
            <w:r w:rsidRPr="0029040B">
              <w:rPr>
                <w:rFonts w:ascii="Tahoma" w:hAnsi="Tahoma" w:cs="Tahoma"/>
                <w:lang w:eastAsia="ja-JP"/>
              </w:rPr>
              <w:t xml:space="preserve">Refers to a </w:t>
            </w:r>
            <w:r w:rsidRPr="0029040B">
              <w:rPr>
                <w:lang w:eastAsia="ja-JP"/>
              </w:rPr>
              <w:t xml:space="preserve">unique physical location </w:t>
            </w:r>
            <w:r w:rsidRPr="0029040B">
              <w:rPr>
                <w:rFonts w:ascii="Tahoma" w:hAnsi="Tahoma" w:cs="Tahoma"/>
                <w:lang w:eastAsia="ja-JP"/>
              </w:rPr>
              <w:t>in</w:t>
            </w:r>
            <w:r w:rsidRPr="0029040B">
              <w:rPr>
                <w:lang w:eastAsia="ja-JP"/>
              </w:rPr>
              <w:t xml:space="preserve"> which an FCEV can fuel </w:t>
            </w:r>
            <w:r w:rsidRPr="0029040B">
              <w:rPr>
                <w:rFonts w:ascii="Tahoma" w:hAnsi="Tahoma" w:cs="Tahoma"/>
                <w:lang w:eastAsia="ja-JP"/>
              </w:rPr>
              <w:t xml:space="preserve">from </w:t>
            </w:r>
            <w:r w:rsidRPr="0029040B">
              <w:rPr>
                <w:lang w:eastAsia="ja-JP"/>
              </w:rPr>
              <w:t>a hose</w:t>
            </w:r>
            <w:r w:rsidRPr="0029040B">
              <w:rPr>
                <w:rFonts w:ascii="Tahoma" w:hAnsi="Tahoma" w:cs="Tahoma"/>
                <w:lang w:eastAsia="ja-JP"/>
              </w:rPr>
              <w:t>/nozzle</w:t>
            </w:r>
            <w:r w:rsidRPr="0029040B">
              <w:rPr>
                <w:lang w:eastAsia="ja-JP"/>
              </w:rPr>
              <w:t xml:space="preserve"> simultaneously with other vehicles from other hoses</w:t>
            </w:r>
            <w:r w:rsidRPr="0029040B">
              <w:rPr>
                <w:rFonts w:ascii="Tahoma" w:hAnsi="Tahoma" w:cs="Tahoma"/>
                <w:lang w:eastAsia="ja-JP"/>
              </w:rPr>
              <w:t>/nozzles/</w:t>
            </w:r>
            <w:r w:rsidRPr="0029040B">
              <w:rPr>
                <w:lang w:eastAsia="ja-JP"/>
              </w:rPr>
              <w:t>dispensers.</w:t>
            </w:r>
          </w:p>
        </w:tc>
      </w:tr>
      <w:tr w:rsidR="001E54F5" w:rsidRPr="00062175" w14:paraId="29BE84BD" w14:textId="77777777" w:rsidTr="001E54F5">
        <w:trPr>
          <w:trHeight w:val="360"/>
          <w:jc w:val="center"/>
        </w:trPr>
        <w:tc>
          <w:tcPr>
            <w:tcW w:w="2430" w:type="dxa"/>
          </w:tcPr>
          <w:p w14:paraId="32C0E3E8" w14:textId="77777777" w:rsidR="001E54F5" w:rsidRDefault="001E54F5">
            <w:pPr>
              <w:rPr>
                <w:rFonts w:ascii="Tahoma" w:hAnsi="Tahoma" w:cs="Tahoma"/>
              </w:rPr>
            </w:pPr>
            <w:r>
              <w:rPr>
                <w:rFonts w:ascii="Tahoma" w:hAnsi="Tahoma" w:cs="Tahoma"/>
              </w:rPr>
              <w:t>Hydrogen Nozzle</w:t>
            </w:r>
          </w:p>
        </w:tc>
        <w:tc>
          <w:tcPr>
            <w:tcW w:w="6930" w:type="dxa"/>
          </w:tcPr>
          <w:p w14:paraId="2CF40DB4" w14:textId="77777777" w:rsidR="001E54F5" w:rsidRPr="001A4679" w:rsidDel="00D87C00" w:rsidRDefault="001E54F5">
            <w:pPr>
              <w:rPr>
                <w:rStyle w:val="normaltextrun"/>
                <w:rFonts w:ascii="Tahoma" w:hAnsi="Tahoma" w:cs="Tahoma"/>
              </w:rPr>
            </w:pPr>
            <w:r>
              <w:rPr>
                <w:rStyle w:val="normaltextrun"/>
                <w:rFonts w:ascii="Tahoma" w:hAnsi="Tahoma" w:cs="Tahoma"/>
              </w:rPr>
              <w:t>A specialized coupling designed to safely and efficiently transfer high-pressure hydrogen fuel from a refueling station to an FCEV’s tank.</w:t>
            </w:r>
          </w:p>
        </w:tc>
      </w:tr>
      <w:tr w:rsidR="001E54F5" w:rsidRPr="00062175" w14:paraId="1345BC7B" w14:textId="77777777" w:rsidTr="001E54F5">
        <w:trPr>
          <w:trHeight w:val="360"/>
          <w:jc w:val="center"/>
        </w:trPr>
        <w:tc>
          <w:tcPr>
            <w:tcW w:w="2430" w:type="dxa"/>
          </w:tcPr>
          <w:p w14:paraId="0CF7120B" w14:textId="77777777" w:rsidR="001E54F5" w:rsidRDefault="001E54F5">
            <w:pPr>
              <w:rPr>
                <w:rFonts w:ascii="Tahoma" w:hAnsi="Tahoma" w:cs="Tahoma"/>
              </w:rPr>
            </w:pPr>
            <w:r>
              <w:rPr>
                <w:rFonts w:ascii="Tahoma" w:hAnsi="Tahoma" w:cs="Tahoma"/>
              </w:rPr>
              <w:t>Hydrogen Refueling Station</w:t>
            </w:r>
          </w:p>
        </w:tc>
        <w:tc>
          <w:tcPr>
            <w:tcW w:w="6930" w:type="dxa"/>
          </w:tcPr>
          <w:p w14:paraId="7D7BD921" w14:textId="77777777" w:rsidR="001E54F5" w:rsidRPr="001A4679" w:rsidDel="00D87C00" w:rsidRDefault="001E54F5">
            <w:pPr>
              <w:rPr>
                <w:rStyle w:val="normaltextrun"/>
                <w:rFonts w:ascii="Tahoma" w:hAnsi="Tahoma" w:cs="Tahoma"/>
              </w:rPr>
            </w:pPr>
            <w:r w:rsidRPr="000D1FFB">
              <w:rPr>
                <w:rStyle w:val="normaltextrun"/>
              </w:rPr>
              <w:t>A hydrogen refueling station has equipment such as dispensers, hoses, nozzles, hydrogen storage tanks, compressors, chillers, cryogenic pumps, and point of sale (POS) systems.</w:t>
            </w:r>
          </w:p>
        </w:tc>
      </w:tr>
      <w:tr w:rsidR="001E54F5" w:rsidRPr="00062175" w14:paraId="5BEA9AB6" w14:textId="77777777" w:rsidTr="001E54F5">
        <w:trPr>
          <w:trHeight w:val="360"/>
          <w:jc w:val="center"/>
        </w:trPr>
        <w:tc>
          <w:tcPr>
            <w:tcW w:w="2430" w:type="dxa"/>
          </w:tcPr>
          <w:p w14:paraId="755C66F7" w14:textId="77777777" w:rsidR="001E54F5" w:rsidRPr="001A4679" w:rsidRDefault="001E54F5">
            <w:pPr>
              <w:rPr>
                <w:rFonts w:ascii="Tahoma" w:hAnsi="Tahoma" w:cs="Tahoma"/>
              </w:rPr>
            </w:pPr>
            <w:r>
              <w:rPr>
                <w:rFonts w:ascii="Tahoma" w:hAnsi="Tahoma" w:cs="Tahoma"/>
              </w:rPr>
              <w:t>HyStEP</w:t>
            </w:r>
          </w:p>
        </w:tc>
        <w:tc>
          <w:tcPr>
            <w:tcW w:w="6930" w:type="dxa"/>
          </w:tcPr>
          <w:p w14:paraId="74E6F8FB" w14:textId="77777777" w:rsidR="001E54F5" w:rsidRPr="001A4679" w:rsidRDefault="001E54F5">
            <w:pPr>
              <w:rPr>
                <w:rFonts w:ascii="Tahoma" w:hAnsi="Tahoma" w:cs="Tahoma"/>
              </w:rPr>
            </w:pPr>
            <w:r w:rsidRPr="001A4679" w:rsidDel="00D87C00">
              <w:rPr>
                <w:rStyle w:val="normaltextrun"/>
                <w:rFonts w:ascii="Tahoma" w:hAnsi="Tahoma" w:cs="Tahoma"/>
              </w:rPr>
              <w:t>Hydrogen Station Equipment Performance</w:t>
            </w:r>
            <w:r>
              <w:rPr>
                <w:rStyle w:val="normaltextrun"/>
                <w:rFonts w:ascii="Tahoma" w:hAnsi="Tahoma" w:cs="Tahoma"/>
              </w:rPr>
              <w:t xml:space="preserve"> device</w:t>
            </w:r>
          </w:p>
        </w:tc>
      </w:tr>
      <w:tr w:rsidR="001E54F5" w:rsidRPr="00062175" w14:paraId="7C38003C" w14:textId="77777777" w:rsidTr="001E54F5">
        <w:trPr>
          <w:trHeight w:val="360"/>
          <w:jc w:val="center"/>
        </w:trPr>
        <w:tc>
          <w:tcPr>
            <w:tcW w:w="2430" w:type="dxa"/>
          </w:tcPr>
          <w:p w14:paraId="523E16C0" w14:textId="77777777" w:rsidR="001E54F5" w:rsidRPr="001A4679" w:rsidRDefault="001E54F5">
            <w:pPr>
              <w:rPr>
                <w:rFonts w:ascii="Tahoma" w:hAnsi="Tahoma" w:cs="Tahoma"/>
              </w:rPr>
            </w:pPr>
            <w:r w:rsidRPr="001A4679">
              <w:rPr>
                <w:rFonts w:ascii="Tahoma" w:hAnsi="Tahoma" w:cs="Tahoma"/>
              </w:rPr>
              <w:t>LCFS</w:t>
            </w:r>
          </w:p>
        </w:tc>
        <w:tc>
          <w:tcPr>
            <w:tcW w:w="6930" w:type="dxa"/>
          </w:tcPr>
          <w:p w14:paraId="32FBAD66" w14:textId="77777777" w:rsidR="001E54F5" w:rsidRPr="001A4679" w:rsidRDefault="001E54F5">
            <w:pPr>
              <w:rPr>
                <w:rFonts w:ascii="Tahoma" w:hAnsi="Tahoma" w:cs="Tahoma"/>
              </w:rPr>
            </w:pPr>
            <w:r w:rsidRPr="001A4679">
              <w:rPr>
                <w:rFonts w:ascii="Tahoma" w:hAnsi="Tahoma" w:cs="Tahoma"/>
              </w:rPr>
              <w:t>Low Carbon Fuel Standard (LCFS) is a standard to reduce the carbon intensity of transportation fuel used in California.</w:t>
            </w:r>
          </w:p>
        </w:tc>
      </w:tr>
      <w:tr w:rsidR="001E54F5" w:rsidRPr="00062175" w14:paraId="19193AD6" w14:textId="77777777" w:rsidTr="001E54F5">
        <w:trPr>
          <w:trHeight w:val="360"/>
          <w:jc w:val="center"/>
        </w:trPr>
        <w:tc>
          <w:tcPr>
            <w:tcW w:w="2430" w:type="dxa"/>
          </w:tcPr>
          <w:p w14:paraId="0B6E0A5E" w14:textId="77777777" w:rsidR="001E54F5" w:rsidRDefault="001E54F5">
            <w:pPr>
              <w:rPr>
                <w:rFonts w:ascii="Tahoma" w:hAnsi="Tahoma" w:cs="Tahoma"/>
                <w:lang w:eastAsia="ja-JP"/>
              </w:rPr>
            </w:pPr>
            <w:r>
              <w:rPr>
                <w:rFonts w:ascii="Tahoma" w:hAnsi="Tahoma" w:cs="Tahoma"/>
                <w:lang w:eastAsia="ja-JP"/>
              </w:rPr>
              <w:lastRenderedPageBreak/>
              <w:t>LD</w:t>
            </w:r>
          </w:p>
        </w:tc>
        <w:tc>
          <w:tcPr>
            <w:tcW w:w="6930" w:type="dxa"/>
          </w:tcPr>
          <w:p w14:paraId="17906256" w14:textId="77777777" w:rsidR="001E54F5" w:rsidRDefault="001E54F5">
            <w:pPr>
              <w:rPr>
                <w:rFonts w:ascii="Tahoma" w:hAnsi="Tahoma" w:cs="Tahoma"/>
                <w:bCs/>
                <w:lang w:eastAsia="ja-JP"/>
              </w:rPr>
            </w:pPr>
            <w:r>
              <w:rPr>
                <w:rFonts w:ascii="Tahoma" w:hAnsi="Tahoma" w:cs="Tahoma"/>
                <w:bCs/>
                <w:lang w:eastAsia="ja-JP"/>
              </w:rPr>
              <w:t xml:space="preserve">Light-duty. A vehicle that has a GVWR less than 10,000 pounds. </w:t>
            </w:r>
          </w:p>
        </w:tc>
      </w:tr>
      <w:tr w:rsidR="001E54F5" w:rsidRPr="00062175" w14:paraId="7250AFBA" w14:textId="77777777" w:rsidTr="001E54F5">
        <w:trPr>
          <w:trHeight w:val="360"/>
          <w:jc w:val="center"/>
        </w:trPr>
        <w:tc>
          <w:tcPr>
            <w:tcW w:w="2430" w:type="dxa"/>
          </w:tcPr>
          <w:p w14:paraId="77F2E30E" w14:textId="77777777" w:rsidR="001E54F5" w:rsidRPr="001A4679" w:rsidRDefault="001E54F5">
            <w:pPr>
              <w:rPr>
                <w:rFonts w:ascii="Tahoma" w:hAnsi="Tahoma" w:cs="Tahoma"/>
                <w:lang w:eastAsia="ja-JP"/>
              </w:rPr>
            </w:pPr>
            <w:r>
              <w:rPr>
                <w:rFonts w:ascii="Tahoma" w:hAnsi="Tahoma" w:cs="Tahoma" w:hint="eastAsia"/>
                <w:lang w:eastAsia="ja-JP"/>
              </w:rPr>
              <w:t>L</w:t>
            </w:r>
            <w:r>
              <w:rPr>
                <w:rFonts w:ascii="Tahoma" w:hAnsi="Tahoma" w:cs="Tahoma"/>
                <w:lang w:eastAsia="ja-JP"/>
              </w:rPr>
              <w:t>ocal educational agency</w:t>
            </w:r>
          </w:p>
        </w:tc>
        <w:tc>
          <w:tcPr>
            <w:tcW w:w="6930" w:type="dxa"/>
          </w:tcPr>
          <w:p w14:paraId="3BFD7C95" w14:textId="77777777" w:rsidR="001E54F5" w:rsidRDefault="001E54F5">
            <w:pPr>
              <w:rPr>
                <w:rFonts w:ascii="Tahoma" w:hAnsi="Tahoma" w:cs="Tahoma"/>
                <w:bCs/>
                <w:lang w:eastAsia="ja-JP"/>
              </w:rPr>
            </w:pPr>
            <w:r>
              <w:rPr>
                <w:rFonts w:ascii="Tahoma" w:hAnsi="Tahoma" w:cs="Tahoma" w:hint="eastAsia"/>
                <w:bCs/>
                <w:lang w:eastAsia="ja-JP"/>
              </w:rPr>
              <w:t xml:space="preserve">A local educational agency includes a </w:t>
            </w:r>
            <w:r w:rsidRPr="00D0590E">
              <w:rPr>
                <w:rFonts w:ascii="Tahoma" w:hAnsi="Tahoma" w:cs="Tahoma"/>
                <w:bCs/>
                <w:lang w:eastAsia="ja-JP"/>
              </w:rPr>
              <w:t>county office of education</w:t>
            </w:r>
            <w:r>
              <w:rPr>
                <w:rFonts w:ascii="Tahoma" w:hAnsi="Tahoma" w:cs="Tahoma" w:hint="eastAsia"/>
                <w:bCs/>
                <w:lang w:eastAsia="ja-JP"/>
              </w:rPr>
              <w:t>, a</w:t>
            </w:r>
            <w:r w:rsidRPr="00D0590E">
              <w:rPr>
                <w:rFonts w:ascii="Tahoma" w:hAnsi="Tahoma" w:cs="Tahoma"/>
                <w:bCs/>
                <w:lang w:eastAsia="ja-JP"/>
              </w:rPr>
              <w:t xml:space="preserve"> charter school</w:t>
            </w:r>
            <w:r>
              <w:rPr>
                <w:rFonts w:ascii="Tahoma" w:hAnsi="Tahoma" w:cs="Tahoma" w:hint="eastAsia"/>
                <w:bCs/>
                <w:lang w:eastAsia="ja-JP"/>
              </w:rPr>
              <w:t>, and a</w:t>
            </w:r>
            <w:r w:rsidRPr="00D0590E">
              <w:rPr>
                <w:rFonts w:ascii="Tahoma" w:hAnsi="Tahoma" w:cs="Tahoma"/>
                <w:bCs/>
                <w:lang w:eastAsia="ja-JP"/>
              </w:rPr>
              <w:t xml:space="preserve"> joint powers authority</w:t>
            </w:r>
            <w:r>
              <w:rPr>
                <w:rFonts w:ascii="Tahoma" w:hAnsi="Tahoma" w:cs="Tahoma" w:hint="eastAsia"/>
                <w:bCs/>
                <w:lang w:eastAsia="ja-JP"/>
              </w:rPr>
              <w:t xml:space="preserve"> that operates</w:t>
            </w:r>
            <w:r w:rsidRPr="00AA5C39">
              <w:rPr>
                <w:rFonts w:ascii="Tahoma" w:hAnsi="Tahoma" w:cs="Tahoma"/>
                <w:bCs/>
                <w:lang w:eastAsia="ja-JP"/>
              </w:rPr>
              <w:t xml:space="preserve"> home-to-school transportation programs on behalf of school districts, </w:t>
            </w:r>
            <w:r>
              <w:rPr>
                <w:rFonts w:ascii="Tahoma" w:hAnsi="Tahoma" w:cs="Tahoma" w:hint="eastAsia"/>
                <w:bCs/>
                <w:lang w:eastAsia="ja-JP"/>
              </w:rPr>
              <w:t>a county office of education</w:t>
            </w:r>
            <w:r w:rsidRPr="00AA5C39">
              <w:rPr>
                <w:rFonts w:ascii="Tahoma" w:hAnsi="Tahoma" w:cs="Tahoma"/>
                <w:bCs/>
                <w:lang w:eastAsia="ja-JP"/>
              </w:rPr>
              <w:t>, or charter schools</w:t>
            </w:r>
            <w:r>
              <w:rPr>
                <w:rFonts w:ascii="Tahoma" w:hAnsi="Tahoma" w:cs="Tahoma" w:hint="eastAsia"/>
                <w:bCs/>
                <w:lang w:eastAsia="ja-JP"/>
              </w:rPr>
              <w:t>.</w:t>
            </w:r>
          </w:p>
          <w:p w14:paraId="06A13A92" w14:textId="77777777" w:rsidR="001E54F5" w:rsidRPr="001A4679" w:rsidRDefault="001E54F5">
            <w:pPr>
              <w:rPr>
                <w:rFonts w:ascii="Tahoma" w:hAnsi="Tahoma" w:cs="Tahoma"/>
                <w:bCs/>
                <w:lang w:eastAsia="ja-JP"/>
              </w:rPr>
            </w:pPr>
            <w:r>
              <w:rPr>
                <w:rFonts w:ascii="Tahoma" w:hAnsi="Tahoma" w:cs="Tahoma" w:hint="eastAsia"/>
                <w:bCs/>
                <w:lang w:eastAsia="ja-JP"/>
              </w:rPr>
              <w:t>A LEA does not include</w:t>
            </w:r>
            <w:r w:rsidRPr="00D0590E">
              <w:rPr>
                <w:rFonts w:ascii="Tahoma" w:hAnsi="Tahoma" w:cs="Tahoma"/>
                <w:bCs/>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lang w:eastAsia="ja-JP"/>
              </w:rPr>
              <w:t>.</w:t>
            </w:r>
          </w:p>
        </w:tc>
      </w:tr>
      <w:tr w:rsidR="001E54F5" w:rsidRPr="00062175" w14:paraId="185104FE" w14:textId="77777777" w:rsidTr="001E54F5">
        <w:trPr>
          <w:trHeight w:val="360"/>
          <w:jc w:val="center"/>
        </w:trPr>
        <w:tc>
          <w:tcPr>
            <w:tcW w:w="2430" w:type="dxa"/>
          </w:tcPr>
          <w:p w14:paraId="1C7277B8" w14:textId="77777777" w:rsidR="001E54F5" w:rsidRPr="001A4679" w:rsidRDefault="001E54F5">
            <w:pPr>
              <w:rPr>
                <w:rFonts w:ascii="Tahoma" w:hAnsi="Tahoma" w:cs="Tahoma"/>
              </w:rPr>
            </w:pPr>
            <w:r>
              <w:rPr>
                <w:rFonts w:ascii="Tahoma" w:hAnsi="Tahoma" w:cs="Tahoma"/>
              </w:rPr>
              <w:t>Low-income communities</w:t>
            </w:r>
          </w:p>
        </w:tc>
        <w:tc>
          <w:tcPr>
            <w:tcW w:w="6930" w:type="dxa"/>
          </w:tcPr>
          <w:p w14:paraId="6E679F23" w14:textId="77777777" w:rsidR="001E54F5" w:rsidRPr="001A4679" w:rsidRDefault="001E54F5">
            <w:pPr>
              <w:rPr>
                <w:rFonts w:ascii="Tahoma" w:hAnsi="Tahoma" w:cs="Tahoma"/>
              </w:rPr>
            </w:pPr>
            <w:r w:rsidRPr="001A4679">
              <w:rPr>
                <w:rFonts w:ascii="Tahoma" w:hAnsi="Tahoma" w:cs="Tahoma"/>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1E54F5" w:rsidRPr="00062175" w14:paraId="392BB5A7" w14:textId="77777777" w:rsidTr="001E54F5">
        <w:trPr>
          <w:trHeight w:val="360"/>
          <w:jc w:val="center"/>
        </w:trPr>
        <w:tc>
          <w:tcPr>
            <w:tcW w:w="2430" w:type="dxa"/>
          </w:tcPr>
          <w:p w14:paraId="773940BD" w14:textId="77777777" w:rsidR="001E54F5" w:rsidRPr="001A4679" w:rsidRDefault="001E54F5">
            <w:pPr>
              <w:rPr>
                <w:rFonts w:ascii="Tahoma" w:hAnsi="Tahoma" w:cs="Tahoma"/>
                <w:b/>
              </w:rPr>
            </w:pPr>
            <w:r w:rsidRPr="001A4679">
              <w:rPr>
                <w:rFonts w:ascii="Tahoma" w:hAnsi="Tahoma" w:cs="Tahoma"/>
              </w:rPr>
              <w:t>MD</w:t>
            </w:r>
          </w:p>
        </w:tc>
        <w:tc>
          <w:tcPr>
            <w:tcW w:w="6930" w:type="dxa"/>
          </w:tcPr>
          <w:p w14:paraId="6A7582E7" w14:textId="77777777" w:rsidR="001E54F5" w:rsidRPr="001A4679" w:rsidRDefault="001E54F5">
            <w:pPr>
              <w:rPr>
                <w:rFonts w:ascii="Tahoma" w:hAnsi="Tahoma" w:cs="Tahoma"/>
              </w:rPr>
            </w:pPr>
            <w:r w:rsidRPr="001A4679">
              <w:rPr>
                <w:rFonts w:ascii="Tahoma" w:hAnsi="Tahoma" w:cs="Tahoma"/>
              </w:rPr>
              <w:t>Medium</w:t>
            </w:r>
            <w:r>
              <w:rPr>
                <w:rFonts w:ascii="Tahoma" w:hAnsi="Tahoma" w:cs="Tahoma"/>
              </w:rPr>
              <w:t>-</w:t>
            </w:r>
            <w:r w:rsidRPr="001A4679">
              <w:rPr>
                <w:rFonts w:ascii="Tahoma" w:hAnsi="Tahoma" w:cs="Tahoma"/>
              </w:rPr>
              <w:t>duty</w:t>
            </w:r>
            <w:r>
              <w:rPr>
                <w:rFonts w:ascii="Tahoma" w:hAnsi="Tahoma" w:cs="Tahoma"/>
              </w:rPr>
              <w:t>. A vehicle that has a GVWR greater than 10,000 pounds but less than 26,000 pounds.</w:t>
            </w:r>
          </w:p>
        </w:tc>
      </w:tr>
      <w:tr w:rsidR="001E54F5" w:rsidRPr="00062175" w14:paraId="5D4D8EEE" w14:textId="77777777" w:rsidTr="001E54F5">
        <w:trPr>
          <w:trHeight w:val="360"/>
          <w:jc w:val="center"/>
        </w:trPr>
        <w:tc>
          <w:tcPr>
            <w:tcW w:w="2430" w:type="dxa"/>
          </w:tcPr>
          <w:p w14:paraId="5CE4AA6C" w14:textId="77777777" w:rsidR="001E54F5" w:rsidRDefault="001E54F5">
            <w:pPr>
              <w:rPr>
                <w:rFonts w:ascii="Tahoma" w:hAnsi="Tahoma" w:cs="Tahoma"/>
              </w:rPr>
            </w:pPr>
            <w:r>
              <w:rPr>
                <w:rFonts w:ascii="Tahoma" w:hAnsi="Tahoma" w:cs="Tahoma"/>
              </w:rPr>
              <w:t>MDHD</w:t>
            </w:r>
          </w:p>
        </w:tc>
        <w:tc>
          <w:tcPr>
            <w:tcW w:w="6930" w:type="dxa"/>
          </w:tcPr>
          <w:p w14:paraId="4B6ADA82" w14:textId="77777777" w:rsidR="001E54F5" w:rsidRDefault="001E54F5">
            <w:pPr>
              <w:rPr>
                <w:rFonts w:ascii="Tahoma" w:hAnsi="Tahoma" w:cs="Tahoma"/>
              </w:rPr>
            </w:pPr>
            <w:r>
              <w:rPr>
                <w:rFonts w:ascii="Tahoma" w:hAnsi="Tahoma" w:cs="Tahoma"/>
              </w:rPr>
              <w:t>Medium- and heavy-duty</w:t>
            </w:r>
          </w:p>
        </w:tc>
      </w:tr>
      <w:tr w:rsidR="001E54F5" w:rsidRPr="00062175" w14:paraId="33860C39" w14:textId="77777777" w:rsidTr="001E54F5">
        <w:trPr>
          <w:trHeight w:val="360"/>
          <w:jc w:val="center"/>
        </w:trPr>
        <w:tc>
          <w:tcPr>
            <w:tcW w:w="2430" w:type="dxa"/>
          </w:tcPr>
          <w:p w14:paraId="03713B46" w14:textId="77777777" w:rsidR="001E54F5" w:rsidRPr="000B1737" w:rsidRDefault="001E54F5">
            <w:pPr>
              <w:rPr>
                <w:rFonts w:ascii="Tahoma" w:hAnsi="Tahoma" w:cs="Tahoma"/>
                <w:b/>
                <w:bCs/>
                <w:u w:val="single"/>
              </w:rPr>
            </w:pPr>
            <w:r>
              <w:rPr>
                <w:rFonts w:ascii="Tahoma" w:hAnsi="Tahoma" w:cs="Tahoma"/>
                <w:b/>
                <w:bCs/>
                <w:u w:val="single"/>
              </w:rPr>
              <w:t>NLR</w:t>
            </w:r>
          </w:p>
        </w:tc>
        <w:tc>
          <w:tcPr>
            <w:tcW w:w="6930" w:type="dxa"/>
          </w:tcPr>
          <w:p w14:paraId="29FB94BE" w14:textId="77777777" w:rsidR="001E54F5" w:rsidRPr="000B1737" w:rsidRDefault="001E54F5">
            <w:pPr>
              <w:rPr>
                <w:rFonts w:ascii="Tahoma" w:hAnsi="Tahoma" w:cs="Tahoma"/>
                <w:b/>
                <w:bCs/>
                <w:u w:val="single"/>
              </w:rPr>
            </w:pPr>
            <w:r>
              <w:rPr>
                <w:rFonts w:ascii="Tahoma" w:hAnsi="Tahoma" w:cs="Tahoma"/>
                <w:b/>
                <w:bCs/>
                <w:u w:val="single"/>
              </w:rPr>
              <w:t>National Laboratory of the Rockies</w:t>
            </w:r>
          </w:p>
        </w:tc>
      </w:tr>
      <w:tr w:rsidR="001E54F5" w:rsidRPr="00062175" w14:paraId="797AD91F" w14:textId="77777777" w:rsidTr="001E54F5">
        <w:trPr>
          <w:trHeight w:val="360"/>
          <w:jc w:val="center"/>
        </w:trPr>
        <w:tc>
          <w:tcPr>
            <w:tcW w:w="2430" w:type="dxa"/>
          </w:tcPr>
          <w:p w14:paraId="388FC052" w14:textId="77777777" w:rsidR="001E54F5" w:rsidRPr="002141C9" w:rsidRDefault="001E54F5">
            <w:pPr>
              <w:rPr>
                <w:rFonts w:ascii="Tahoma" w:hAnsi="Tahoma" w:cs="Tahoma"/>
              </w:rPr>
            </w:pPr>
            <w:r>
              <w:rPr>
                <w:rFonts w:ascii="Tahoma" w:hAnsi="Tahoma" w:cs="Tahoma"/>
              </w:rPr>
              <w:t>NOPA</w:t>
            </w:r>
          </w:p>
        </w:tc>
        <w:tc>
          <w:tcPr>
            <w:tcW w:w="6930" w:type="dxa"/>
          </w:tcPr>
          <w:p w14:paraId="7DD1ECEA" w14:textId="77777777" w:rsidR="001E54F5" w:rsidRPr="002141C9" w:rsidRDefault="001E54F5">
            <w:pPr>
              <w:rPr>
                <w:rFonts w:ascii="Tahoma" w:hAnsi="Tahoma" w:cs="Tahoma"/>
              </w:rPr>
            </w:pPr>
            <w:r>
              <w:rPr>
                <w:rFonts w:ascii="Tahoma" w:hAnsi="Tahoma" w:cs="Tahoma"/>
              </w:rPr>
              <w:t>Notice of Proposed Award</w:t>
            </w:r>
          </w:p>
        </w:tc>
      </w:tr>
      <w:tr w:rsidR="001E54F5" w:rsidRPr="00062175" w14:paraId="3A5CF19F" w14:textId="77777777" w:rsidTr="001E54F5">
        <w:trPr>
          <w:trHeight w:val="360"/>
          <w:jc w:val="center"/>
        </w:trPr>
        <w:tc>
          <w:tcPr>
            <w:tcW w:w="2430" w:type="dxa"/>
          </w:tcPr>
          <w:p w14:paraId="78E86DDF" w14:textId="77777777" w:rsidR="001E54F5" w:rsidRPr="001A4679" w:rsidRDefault="001E54F5">
            <w:pPr>
              <w:rPr>
                <w:rFonts w:ascii="Tahoma" w:hAnsi="Tahoma" w:cs="Tahoma"/>
              </w:rPr>
            </w:pPr>
            <w:r w:rsidRPr="002141C9">
              <w:rPr>
                <w:rFonts w:ascii="Tahoma" w:hAnsi="Tahoma" w:cs="Tahoma"/>
              </w:rPr>
              <w:t>PNNL</w:t>
            </w:r>
            <w:r w:rsidRPr="002141C9">
              <w:rPr>
                <w:rFonts w:ascii="Tahoma" w:hAnsi="Tahoma" w:cs="Tahoma"/>
              </w:rPr>
              <w:tab/>
            </w:r>
          </w:p>
        </w:tc>
        <w:tc>
          <w:tcPr>
            <w:tcW w:w="6930" w:type="dxa"/>
          </w:tcPr>
          <w:p w14:paraId="07CC0EB5" w14:textId="77777777" w:rsidR="001E54F5" w:rsidRPr="001A4679" w:rsidRDefault="001E54F5">
            <w:pPr>
              <w:rPr>
                <w:rFonts w:ascii="Tahoma" w:hAnsi="Tahoma" w:cs="Tahoma"/>
              </w:rPr>
            </w:pPr>
            <w:r w:rsidRPr="002141C9">
              <w:rPr>
                <w:rFonts w:ascii="Tahoma" w:hAnsi="Tahoma" w:cs="Tahoma"/>
              </w:rPr>
              <w:t>Pacific Northwest National Laboratory</w:t>
            </w:r>
          </w:p>
        </w:tc>
      </w:tr>
      <w:tr w:rsidR="001E54F5" w:rsidRPr="00062175" w14:paraId="0137F877" w14:textId="77777777" w:rsidTr="001E54F5">
        <w:trPr>
          <w:trHeight w:val="360"/>
          <w:jc w:val="center"/>
        </w:trPr>
        <w:tc>
          <w:tcPr>
            <w:tcW w:w="2430" w:type="dxa"/>
          </w:tcPr>
          <w:p w14:paraId="1AAE3FA0" w14:textId="77777777" w:rsidR="001E54F5" w:rsidRPr="001A4679" w:rsidRDefault="001E54F5">
            <w:pPr>
              <w:rPr>
                <w:rFonts w:ascii="Tahoma" w:hAnsi="Tahoma" w:cs="Tahoma"/>
              </w:rPr>
            </w:pPr>
            <w:r w:rsidRPr="001A4679">
              <w:rPr>
                <w:rFonts w:ascii="Tahoma" w:hAnsi="Tahoma" w:cs="Tahoma"/>
              </w:rPr>
              <w:t>Solicitation</w:t>
            </w:r>
          </w:p>
        </w:tc>
        <w:tc>
          <w:tcPr>
            <w:tcW w:w="6930" w:type="dxa"/>
          </w:tcPr>
          <w:p w14:paraId="29CB8EF4" w14:textId="77777777" w:rsidR="001E54F5" w:rsidRPr="001A4679" w:rsidRDefault="001E54F5">
            <w:pPr>
              <w:rPr>
                <w:rFonts w:ascii="Tahoma" w:hAnsi="Tahoma" w:cs="Tahoma"/>
              </w:rPr>
            </w:pPr>
            <w:r w:rsidRPr="001A4679">
              <w:rPr>
                <w:rFonts w:ascii="Tahoma" w:hAnsi="Tahoma" w:cs="Tahoma"/>
              </w:rPr>
              <w:t>Grant Funding Opportunity, which refers to this entire solicitation document and all its attachments and exhibits</w:t>
            </w:r>
          </w:p>
        </w:tc>
      </w:tr>
      <w:tr w:rsidR="001E54F5" w:rsidRPr="00062175" w14:paraId="6520DBC5" w14:textId="77777777" w:rsidTr="001E54F5">
        <w:trPr>
          <w:trHeight w:val="360"/>
          <w:jc w:val="center"/>
        </w:trPr>
        <w:tc>
          <w:tcPr>
            <w:tcW w:w="2430" w:type="dxa"/>
          </w:tcPr>
          <w:p w14:paraId="5B43AE31" w14:textId="77777777" w:rsidR="001E54F5" w:rsidRPr="001A4679" w:rsidRDefault="001E54F5">
            <w:pPr>
              <w:rPr>
                <w:rFonts w:ascii="Tahoma" w:hAnsi="Tahoma" w:cs="Tahoma"/>
              </w:rPr>
            </w:pPr>
            <w:r w:rsidRPr="001A4679">
              <w:rPr>
                <w:rFonts w:ascii="Tahoma" w:hAnsi="Tahoma" w:cs="Tahoma"/>
              </w:rPr>
              <w:t>State</w:t>
            </w:r>
          </w:p>
        </w:tc>
        <w:tc>
          <w:tcPr>
            <w:tcW w:w="6930" w:type="dxa"/>
          </w:tcPr>
          <w:p w14:paraId="4E7E7A26" w14:textId="77777777" w:rsidR="001E54F5" w:rsidRPr="001A4679" w:rsidRDefault="001E54F5">
            <w:pPr>
              <w:rPr>
                <w:rFonts w:ascii="Tahoma" w:hAnsi="Tahoma" w:cs="Tahoma"/>
              </w:rPr>
            </w:pPr>
            <w:r w:rsidRPr="001A4679">
              <w:rPr>
                <w:rFonts w:ascii="Tahoma" w:hAnsi="Tahoma" w:cs="Tahoma"/>
              </w:rPr>
              <w:t>State of California</w:t>
            </w:r>
          </w:p>
        </w:tc>
      </w:tr>
      <w:tr w:rsidR="001E54F5" w14:paraId="1585A2C2" w14:textId="77777777" w:rsidTr="001E54F5">
        <w:trPr>
          <w:trHeight w:val="360"/>
          <w:jc w:val="center"/>
        </w:trPr>
        <w:tc>
          <w:tcPr>
            <w:tcW w:w="2430" w:type="dxa"/>
          </w:tcPr>
          <w:p w14:paraId="389BF7D9" w14:textId="77777777" w:rsidR="001E54F5" w:rsidRDefault="001E54F5">
            <w:pPr>
              <w:rPr>
                <w:rFonts w:ascii="Tahoma" w:hAnsi="Tahoma" w:cs="Tahoma"/>
              </w:rPr>
            </w:pPr>
            <w:r w:rsidRPr="704A26C8">
              <w:rPr>
                <w:rFonts w:ascii="Tahoma" w:hAnsi="Tahoma" w:cs="Tahoma"/>
              </w:rPr>
              <w:t>TNO</w:t>
            </w:r>
          </w:p>
        </w:tc>
        <w:tc>
          <w:tcPr>
            <w:tcW w:w="6930" w:type="dxa"/>
          </w:tcPr>
          <w:p w14:paraId="52800D28" w14:textId="0B55D95D" w:rsidR="001E54F5" w:rsidRPr="006B6505" w:rsidRDefault="001E54F5">
            <w:pPr>
              <w:rPr>
                <w:rFonts w:ascii="Tahoma" w:hAnsi="Tahoma" w:cs="Tahoma"/>
                <w:b/>
                <w:bCs/>
                <w:u w:val="single"/>
              </w:rPr>
            </w:pPr>
            <w:r w:rsidRPr="01F94429">
              <w:rPr>
                <w:rFonts w:ascii="Tahoma" w:hAnsi="Tahoma" w:cs="Tahoma"/>
              </w:rPr>
              <w:t>Temporarily Non-Operational</w:t>
            </w:r>
            <w:r w:rsidR="006B6505" w:rsidRPr="006B6505">
              <w:rPr>
                <w:rFonts w:ascii="Tahoma" w:hAnsi="Tahoma" w:cs="Tahoma"/>
                <w:b/>
                <w:bCs/>
                <w:u w:val="single"/>
              </w:rPr>
              <w:t>.</w:t>
            </w:r>
            <w:r w:rsidRPr="01F94429">
              <w:rPr>
                <w:rFonts w:ascii="Tahoma" w:hAnsi="Tahoma" w:cs="Tahoma"/>
              </w:rPr>
              <w:t xml:space="preserve"> </w:t>
            </w:r>
            <w:r w:rsidR="006B6505">
              <w:rPr>
                <w:rFonts w:ascii="Tahoma" w:hAnsi="Tahoma" w:cs="Tahoma"/>
              </w:rPr>
              <w:t>[</w:t>
            </w:r>
            <w:r w:rsidRPr="006B6505">
              <w:rPr>
                <w:rFonts w:ascii="Tahoma" w:hAnsi="Tahoma" w:cs="Tahoma"/>
                <w:strike/>
              </w:rPr>
              <w:t>stations</w:t>
            </w:r>
            <w:r w:rsidR="006B6505">
              <w:rPr>
                <w:rFonts w:ascii="Tahoma" w:hAnsi="Tahoma" w:cs="Tahoma"/>
              </w:rPr>
              <w:t xml:space="preserve">] </w:t>
            </w:r>
            <w:r w:rsidR="006B6505" w:rsidRPr="006B6505">
              <w:rPr>
                <w:rFonts w:ascii="Tahoma" w:hAnsi="Tahoma" w:cs="Tahoma"/>
                <w:b/>
                <w:bCs/>
                <w:u w:val="single"/>
              </w:rPr>
              <w:t>A TNO station is a hydrogen refueling station that has been offline for a period of 30 days or more due to mechanical or supply issues.</w:t>
            </w:r>
          </w:p>
        </w:tc>
      </w:tr>
    </w:tbl>
    <w:p w14:paraId="06ED6E1B" w14:textId="77777777" w:rsidR="00497F5C" w:rsidRDefault="00497F5C" w:rsidP="00FC47C1">
      <w:pPr>
        <w:pStyle w:val="paragraph"/>
        <w:spacing w:before="0" w:beforeAutospacing="0" w:after="0" w:afterAutospacing="0"/>
        <w:textAlignment w:val="baseline"/>
        <w:rPr>
          <w:rStyle w:val="normaltextrun"/>
          <w:rFonts w:ascii="Tahoma" w:hAnsi="Tahoma" w:cs="Tahoma"/>
          <w:b/>
          <w:bCs/>
        </w:rPr>
      </w:pPr>
    </w:p>
    <w:p w14:paraId="4F315BD9" w14:textId="5034E66D" w:rsidR="005E2066" w:rsidRDefault="00FD285B" w:rsidP="00356E77">
      <w:pPr>
        <w:pStyle w:val="Heading3"/>
        <w:numPr>
          <w:ilvl w:val="0"/>
          <w:numId w:val="49"/>
        </w:numPr>
        <w:tabs>
          <w:tab w:val="clear" w:pos="720"/>
        </w:tabs>
        <w:ind w:left="900" w:hanging="540"/>
        <w:rPr>
          <w:rStyle w:val="normaltextrun"/>
          <w:rFonts w:ascii="Tahoma" w:hAnsi="Tahoma" w:cs="Tahoma"/>
          <w:b/>
          <w:color w:val="auto"/>
        </w:rPr>
      </w:pPr>
      <w:r w:rsidRPr="00231736">
        <w:rPr>
          <w:rStyle w:val="normaltextrun"/>
          <w:rFonts w:ascii="Tahoma" w:hAnsi="Tahoma" w:cs="Tahoma"/>
          <w:b/>
          <w:bCs/>
          <w:color w:val="auto"/>
        </w:rPr>
        <w:t>Scope of Work Template (ATTACHMENT 2)</w:t>
      </w:r>
      <w:r w:rsidR="00904F97" w:rsidRPr="00231736">
        <w:rPr>
          <w:rStyle w:val="normaltextrun"/>
          <w:rFonts w:ascii="Tahoma" w:hAnsi="Tahoma" w:cs="Tahoma"/>
          <w:b/>
          <w:bCs/>
          <w:color w:val="auto"/>
        </w:rPr>
        <w:t>, Glossary</w:t>
      </w:r>
    </w:p>
    <w:p w14:paraId="1F5D8009" w14:textId="77777777" w:rsidR="0060100B" w:rsidRPr="0060100B" w:rsidRDefault="0060100B" w:rsidP="0060100B"/>
    <w:p w14:paraId="4CF5AF17" w14:textId="77777777" w:rsidR="00CD66E4" w:rsidRDefault="00CD66E4" w:rsidP="00CD66E4">
      <w:pPr>
        <w:spacing w:after="120"/>
      </w:pPr>
      <w:r w:rsidRPr="7DDDFD92">
        <w:rPr>
          <w:rFonts w:ascii="Arial" w:eastAsia="Arial" w:hAnsi="Arial" w:cs="Arial"/>
          <w:i/>
          <w:iCs/>
        </w:rPr>
        <w:t>Specific terms and acronyms used throughout this scope of work are defined as follows:</w:t>
      </w:r>
    </w:p>
    <w:tbl>
      <w:tblPr>
        <w:tblW w:w="0" w:type="auto"/>
        <w:jc w:val="center"/>
        <w:tblLook w:val="04A0" w:firstRow="1" w:lastRow="0" w:firstColumn="1" w:lastColumn="0" w:noHBand="0" w:noVBand="1"/>
      </w:tblPr>
      <w:tblGrid>
        <w:gridCol w:w="2243"/>
        <w:gridCol w:w="7511"/>
      </w:tblGrid>
      <w:tr w:rsidR="00CD66E4" w14:paraId="6C4EB9C2" w14:textId="77777777">
        <w:trPr>
          <w:trHeight w:val="255"/>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AE6FE" w14:textId="77777777" w:rsidR="00CD66E4" w:rsidRDefault="00CD66E4">
            <w:r w:rsidRPr="7DDDFD92">
              <w:rPr>
                <w:rFonts w:ascii="Arial" w:eastAsia="Arial" w:hAnsi="Arial" w:cs="Arial"/>
                <w:b/>
                <w:bCs/>
                <w:color w:val="000000" w:themeColor="text1"/>
              </w:rPr>
              <w:t>Term/ Acronym</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C4563" w14:textId="77777777" w:rsidR="00CD66E4" w:rsidRDefault="00CD66E4">
            <w:r w:rsidRPr="7DDDFD92">
              <w:rPr>
                <w:rFonts w:ascii="Arial" w:eastAsia="Arial" w:hAnsi="Arial" w:cs="Arial"/>
                <w:b/>
                <w:bCs/>
                <w:color w:val="000000" w:themeColor="text1"/>
              </w:rPr>
              <w:t>Definition</w:t>
            </w:r>
          </w:p>
        </w:tc>
      </w:tr>
      <w:tr w:rsidR="00CD66E4" w14:paraId="561C7C90"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393CAB" w14:textId="77777777" w:rsidR="00CD66E4" w:rsidRDefault="00CD66E4">
            <w:pPr>
              <w:spacing w:after="120"/>
            </w:pPr>
            <w:r w:rsidRPr="7DDDFD92">
              <w:rPr>
                <w:rFonts w:ascii="Arial" w:eastAsia="Arial" w:hAnsi="Arial" w:cs="Arial"/>
                <w:color w:val="000000" w:themeColor="text1"/>
              </w:rPr>
              <w:t>AB</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922E4" w14:textId="77777777" w:rsidR="00CD66E4" w:rsidRDefault="00CD66E4">
            <w:pPr>
              <w:spacing w:after="120"/>
            </w:pPr>
            <w:r w:rsidRPr="7DDDFD92">
              <w:rPr>
                <w:rFonts w:ascii="Arial" w:eastAsia="Arial" w:hAnsi="Arial" w:cs="Arial"/>
                <w:color w:val="000000" w:themeColor="text1"/>
              </w:rPr>
              <w:t>Assembly Bill</w:t>
            </w:r>
          </w:p>
        </w:tc>
      </w:tr>
      <w:tr w:rsidR="00CD66E4" w14:paraId="5D92ADD8"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38432" w14:textId="77777777" w:rsidR="00CD66E4" w:rsidRDefault="00CD66E4">
            <w:pPr>
              <w:spacing w:after="120"/>
            </w:pPr>
            <w:r w:rsidRPr="7DDDFD92">
              <w:rPr>
                <w:rFonts w:ascii="Arial" w:eastAsia="Arial" w:hAnsi="Arial" w:cs="Arial"/>
                <w:color w:val="000000" w:themeColor="text1"/>
              </w:rPr>
              <w:t>ADA</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532A83" w14:textId="77777777" w:rsidR="00CD66E4" w:rsidRDefault="00CD66E4">
            <w:pPr>
              <w:spacing w:after="120"/>
            </w:pPr>
            <w:r w:rsidRPr="7DDDFD92">
              <w:rPr>
                <w:rFonts w:ascii="Arial" w:eastAsia="Arial" w:hAnsi="Arial" w:cs="Arial"/>
                <w:color w:val="000000" w:themeColor="text1"/>
              </w:rPr>
              <w:t>Americans with Disabilities Act</w:t>
            </w:r>
          </w:p>
        </w:tc>
      </w:tr>
      <w:tr w:rsidR="00CD66E4" w14:paraId="69B1B492"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41188" w14:textId="77777777" w:rsidR="00CD66E4" w:rsidRDefault="00CD66E4">
            <w:pPr>
              <w:spacing w:after="120"/>
            </w:pPr>
            <w:r w:rsidRPr="7DDDFD92">
              <w:rPr>
                <w:rFonts w:ascii="Arial" w:eastAsia="Arial" w:hAnsi="Arial" w:cs="Arial"/>
                <w:color w:val="000000" w:themeColor="text1"/>
              </w:rPr>
              <w:t>API</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C174FD" w14:textId="77777777" w:rsidR="00CD66E4" w:rsidRDefault="00CD66E4">
            <w:pPr>
              <w:spacing w:after="120"/>
            </w:pPr>
            <w:r w:rsidRPr="7DDDFD92">
              <w:rPr>
                <w:rFonts w:ascii="Arial" w:eastAsia="Arial" w:hAnsi="Arial" w:cs="Arial"/>
                <w:color w:val="000000" w:themeColor="text1"/>
              </w:rPr>
              <w:t>Application programming interface. A type of software interface that offers service to other pieces of software. An API allows two or more computer programs to communicate with each other.</w:t>
            </w:r>
          </w:p>
        </w:tc>
      </w:tr>
      <w:tr w:rsidR="00CD66E4" w14:paraId="1A5AC7DD"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693AC0" w14:textId="77777777" w:rsidR="00CD66E4" w:rsidRDefault="00CD66E4">
            <w:pPr>
              <w:spacing w:after="120"/>
            </w:pPr>
            <w:r w:rsidRPr="7DDDFD92">
              <w:rPr>
                <w:rFonts w:ascii="Arial" w:eastAsia="Arial" w:hAnsi="Arial" w:cs="Arial"/>
                <w:color w:val="000000" w:themeColor="text1"/>
              </w:rPr>
              <w:lastRenderedPageBreak/>
              <w:t>CAM</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FFBF4E" w14:textId="77777777" w:rsidR="00CD66E4" w:rsidRDefault="00CD66E4">
            <w:pPr>
              <w:spacing w:after="120"/>
            </w:pPr>
            <w:r w:rsidRPr="7DDDFD92">
              <w:rPr>
                <w:rFonts w:ascii="Arial" w:eastAsia="Arial" w:hAnsi="Arial" w:cs="Arial"/>
                <w:color w:val="000000" w:themeColor="text1"/>
              </w:rPr>
              <w:t>Commission Agreement Manager</w:t>
            </w:r>
          </w:p>
        </w:tc>
      </w:tr>
      <w:tr w:rsidR="00CD66E4" w14:paraId="10E20081"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2296D" w14:textId="77777777" w:rsidR="00CD66E4" w:rsidRDefault="00CD66E4">
            <w:pPr>
              <w:spacing w:after="120"/>
            </w:pPr>
            <w:r w:rsidRPr="7DDDFD92">
              <w:rPr>
                <w:rFonts w:ascii="Arial" w:eastAsia="Arial" w:hAnsi="Arial" w:cs="Arial"/>
                <w:color w:val="000000" w:themeColor="text1"/>
              </w:rPr>
              <w:t>CAO</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EC00A7" w14:textId="77777777" w:rsidR="00CD66E4" w:rsidRDefault="00CD66E4">
            <w:pPr>
              <w:spacing w:after="120"/>
            </w:pPr>
            <w:r w:rsidRPr="7DDDFD92">
              <w:rPr>
                <w:rFonts w:ascii="Arial" w:eastAsia="Arial" w:hAnsi="Arial" w:cs="Arial"/>
                <w:color w:val="000000" w:themeColor="text1"/>
              </w:rPr>
              <w:t>Commission Agreement Officer</w:t>
            </w:r>
          </w:p>
        </w:tc>
      </w:tr>
      <w:tr w:rsidR="00CD66E4" w14:paraId="21F8C881"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3A15D3" w14:textId="77777777" w:rsidR="00CD66E4" w:rsidRDefault="00CD66E4">
            <w:pPr>
              <w:spacing w:after="120"/>
            </w:pPr>
            <w:r w:rsidRPr="7DDDFD92">
              <w:rPr>
                <w:rFonts w:ascii="Arial" w:eastAsia="Arial" w:hAnsi="Arial" w:cs="Arial"/>
                <w:color w:val="000000" w:themeColor="text1"/>
              </w:rPr>
              <w:t>CEC</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42BFF" w14:textId="77777777" w:rsidR="00CD66E4" w:rsidRDefault="00CD66E4">
            <w:pPr>
              <w:spacing w:after="120"/>
            </w:pPr>
            <w:r w:rsidRPr="7DDDFD92">
              <w:rPr>
                <w:rFonts w:ascii="Arial" w:eastAsia="Arial" w:hAnsi="Arial" w:cs="Arial"/>
                <w:color w:val="000000" w:themeColor="text1"/>
              </w:rPr>
              <w:t>California Energy Commission</w:t>
            </w:r>
          </w:p>
        </w:tc>
      </w:tr>
      <w:tr w:rsidR="00CD66E4" w14:paraId="703E9CB4"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0C1CC" w14:textId="77777777" w:rsidR="00CD66E4" w:rsidRDefault="00CD66E4">
            <w:pPr>
              <w:spacing w:after="120"/>
            </w:pPr>
            <w:r w:rsidRPr="7DDDFD92">
              <w:rPr>
                <w:rFonts w:ascii="Arial" w:eastAsia="Arial" w:hAnsi="Arial" w:cs="Arial"/>
                <w:color w:val="000000" w:themeColor="text1"/>
              </w:rPr>
              <w:t>Connector</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78D25" w14:textId="77777777" w:rsidR="00CD66E4" w:rsidRDefault="00CD66E4">
            <w:pPr>
              <w:spacing w:after="120"/>
            </w:pPr>
            <w:r w:rsidRPr="7DDDFD92">
              <w:rPr>
                <w:rFonts w:ascii="Arial" w:eastAsia="Arial" w:hAnsi="Arial" w:cs="Arial"/>
                <w:color w:val="000000" w:themeColor="text1"/>
              </w:rPr>
              <w:t xml:space="preserve">The device that attaches an FCEV to a dispenser to transfer hydrogen.  </w:t>
            </w:r>
          </w:p>
        </w:tc>
      </w:tr>
      <w:tr w:rsidR="00CD66E4" w14:paraId="0326DE9F"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EA48C" w14:textId="77777777" w:rsidR="00CD66E4" w:rsidRDefault="00CD66E4">
            <w:pPr>
              <w:spacing w:after="120"/>
            </w:pPr>
            <w:r w:rsidRPr="7DDDFD92">
              <w:rPr>
                <w:rFonts w:ascii="Arial" w:eastAsia="Arial" w:hAnsi="Arial" w:cs="Arial"/>
                <w:color w:val="000000" w:themeColor="text1"/>
              </w:rPr>
              <w:t>Corrective maintenance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B4BC7" w14:textId="77777777" w:rsidR="00CD66E4" w:rsidRDefault="00CD66E4">
            <w:pPr>
              <w:spacing w:after="120"/>
            </w:pPr>
            <w:r w:rsidRPr="7DDDFD92">
              <w:rPr>
                <w:rFonts w:ascii="Arial" w:eastAsia="Arial" w:hAnsi="Arial" w:cs="Arial"/>
                <w:color w:val="000000" w:themeColor="text1"/>
              </w:rPr>
              <w:t>Maintenance that is carried out after failure detection and is aimed at restoring an asset to a condition in which it can perform its intended function.</w:t>
            </w:r>
          </w:p>
        </w:tc>
      </w:tr>
      <w:tr w:rsidR="00CD66E4" w14:paraId="0BE02866"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73EA0" w14:textId="77777777" w:rsidR="00CD66E4" w:rsidRDefault="00CD66E4">
            <w:pPr>
              <w:spacing w:after="120"/>
            </w:pPr>
            <w:r w:rsidRPr="7DDDFD92">
              <w:rPr>
                <w:rFonts w:ascii="Arial" w:eastAsia="Arial" w:hAnsi="Arial" w:cs="Arial"/>
                <w:color w:val="000000" w:themeColor="text1"/>
              </w:rPr>
              <w:t>CPR</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A30D5" w14:textId="77777777" w:rsidR="00CD66E4" w:rsidRDefault="00CD66E4">
            <w:pPr>
              <w:spacing w:after="120"/>
            </w:pPr>
            <w:r w:rsidRPr="7DDDFD92">
              <w:rPr>
                <w:rFonts w:ascii="Arial" w:eastAsia="Arial" w:hAnsi="Arial" w:cs="Arial"/>
                <w:color w:val="000000" w:themeColor="text1"/>
              </w:rPr>
              <w:t>Critical Project Review</w:t>
            </w:r>
          </w:p>
        </w:tc>
      </w:tr>
      <w:tr w:rsidR="00CD66E4" w14:paraId="41AFB63B"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7A9128" w14:textId="77777777" w:rsidR="00CD66E4" w:rsidRDefault="00CD66E4">
            <w:pPr>
              <w:spacing w:after="120"/>
            </w:pPr>
            <w:r w:rsidRPr="7DDDFD92">
              <w:rPr>
                <w:rFonts w:ascii="Arial" w:eastAsia="Arial" w:hAnsi="Arial" w:cs="Arial"/>
                <w:color w:val="000000" w:themeColor="text1"/>
              </w:rPr>
              <w:t>CTP</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F8149" w14:textId="77777777" w:rsidR="00CD66E4" w:rsidRDefault="00CD66E4">
            <w:pPr>
              <w:spacing w:after="120"/>
            </w:pPr>
            <w:r w:rsidRPr="7DDDFD92">
              <w:rPr>
                <w:rFonts w:ascii="Arial" w:eastAsia="Arial" w:hAnsi="Arial" w:cs="Arial"/>
                <w:color w:val="000000" w:themeColor="text1"/>
              </w:rPr>
              <w:t>Clean Transportation Program</w:t>
            </w:r>
          </w:p>
        </w:tc>
      </w:tr>
      <w:tr w:rsidR="00CD66E4" w14:paraId="31B85BB4"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EDC63" w14:textId="77777777" w:rsidR="00CD66E4" w:rsidRDefault="00CD66E4">
            <w:pPr>
              <w:spacing w:after="120"/>
            </w:pPr>
            <w:r w:rsidRPr="7DDDFD92">
              <w:rPr>
                <w:rFonts w:ascii="Arial" w:eastAsia="Arial" w:hAnsi="Arial" w:cs="Arial"/>
                <w:color w:val="000000" w:themeColor="text1"/>
              </w:rPr>
              <w:t>Depot</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98B78" w14:textId="77777777" w:rsidR="00CD66E4" w:rsidRDefault="00CD66E4">
            <w:pPr>
              <w:spacing w:after="120"/>
            </w:pPr>
            <w:r w:rsidRPr="7DDDFD92">
              <w:rPr>
                <w:rFonts w:ascii="Arial" w:eastAsia="Arial" w:hAnsi="Arial" w:cs="Arial"/>
                <w:color w:val="000000" w:themeColor="text1"/>
              </w:rPr>
              <w:t>Type of “home base” behind-the-fence location where a vehicle is typically kept when not in use (usually parked on a nightly basis).</w:t>
            </w:r>
          </w:p>
        </w:tc>
      </w:tr>
      <w:tr w:rsidR="00CD66E4" w14:paraId="5C24FD6F"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2CB75" w14:textId="77777777" w:rsidR="00CD66E4" w:rsidRDefault="00CD66E4">
            <w:pPr>
              <w:spacing w:after="120"/>
            </w:pPr>
            <w:r w:rsidRPr="7DDDFD92">
              <w:rPr>
                <w:rFonts w:ascii="Arial" w:eastAsia="Arial" w:hAnsi="Arial" w:cs="Arial"/>
                <w:color w:val="000000" w:themeColor="text1"/>
              </w:rPr>
              <w:t>Downtime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63EA6B" w14:textId="77777777" w:rsidR="00CD66E4" w:rsidRDefault="00CD66E4">
            <w:pPr>
              <w:spacing w:after="120"/>
            </w:pPr>
            <w:r w:rsidRPr="7DDDFD92">
              <w:rPr>
                <w:rFonts w:ascii="Arial" w:eastAsia="Arial" w:hAnsi="Arial" w:cs="Arial"/>
                <w:color w:val="000000" w:themeColor="text1"/>
              </w:rPr>
              <w:t xml:space="preserve">A period of time that a dispenser is not capable of successfully dispensing hydrogen or otherwise not functioning as designed. </w:t>
            </w:r>
          </w:p>
        </w:tc>
      </w:tr>
      <w:tr w:rsidR="00CD66E4" w14:paraId="3FF54611"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1B811D" w14:textId="77777777" w:rsidR="00CD66E4" w:rsidRDefault="00CD66E4">
            <w:pPr>
              <w:spacing w:after="120"/>
            </w:pPr>
            <w:r w:rsidRPr="7DDDFD92">
              <w:rPr>
                <w:rFonts w:ascii="Arial" w:eastAsia="Arial" w:hAnsi="Arial" w:cs="Arial"/>
                <w:color w:val="000000" w:themeColor="text1"/>
              </w:rPr>
              <w:t>FTD</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4FDB1" w14:textId="77777777" w:rsidR="00CD66E4" w:rsidRDefault="00CD66E4">
            <w:pPr>
              <w:spacing w:after="120"/>
            </w:pPr>
            <w:r w:rsidRPr="7DDDFD92">
              <w:rPr>
                <w:rFonts w:ascii="Arial" w:eastAsia="Arial" w:hAnsi="Arial" w:cs="Arial"/>
                <w:color w:val="000000" w:themeColor="text1"/>
              </w:rPr>
              <w:t>Fuels and Transportation Division</w:t>
            </w:r>
          </w:p>
        </w:tc>
      </w:tr>
      <w:tr w:rsidR="00CD66E4" w14:paraId="288EF0FE"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DE10D" w14:textId="77777777" w:rsidR="00CD66E4" w:rsidRDefault="00CD66E4">
            <w:pPr>
              <w:spacing w:after="120"/>
            </w:pPr>
            <w:r w:rsidRPr="7DDDFD92">
              <w:rPr>
                <w:rFonts w:ascii="Arial" w:eastAsia="Arial" w:hAnsi="Arial" w:cs="Arial"/>
                <w:color w:val="000000" w:themeColor="text1"/>
              </w:rPr>
              <w:t>FCEV</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F989F" w14:textId="77777777" w:rsidR="00CD66E4" w:rsidRDefault="00CD66E4">
            <w:pPr>
              <w:spacing w:after="120"/>
            </w:pPr>
            <w:r w:rsidRPr="7DDDFD92">
              <w:rPr>
                <w:rFonts w:ascii="Arial" w:eastAsia="Arial" w:hAnsi="Arial" w:cs="Arial"/>
                <w:color w:val="000000" w:themeColor="text1"/>
              </w:rPr>
              <w:t xml:space="preserve">Fuel Cell Electric Vehicle </w:t>
            </w:r>
          </w:p>
        </w:tc>
      </w:tr>
      <w:tr w:rsidR="00CD66E4" w14:paraId="2F95A66E"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002F7" w14:textId="77777777" w:rsidR="00CD66E4" w:rsidRDefault="00CD66E4">
            <w:pPr>
              <w:spacing w:after="120"/>
            </w:pPr>
            <w:r w:rsidRPr="7DDDFD92">
              <w:rPr>
                <w:rFonts w:ascii="Arial" w:eastAsia="Arial" w:hAnsi="Arial" w:cs="Arial"/>
                <w:color w:val="000000" w:themeColor="text1"/>
              </w:rPr>
              <w:t>GFO</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E642A" w14:textId="77777777" w:rsidR="00CD66E4" w:rsidRDefault="00CD66E4">
            <w:pPr>
              <w:spacing w:after="120"/>
            </w:pPr>
            <w:r w:rsidRPr="7DDDFD92">
              <w:rPr>
                <w:rFonts w:ascii="Arial" w:eastAsia="Arial" w:hAnsi="Arial" w:cs="Arial"/>
                <w:color w:val="000000" w:themeColor="text1"/>
              </w:rPr>
              <w:t>Grant Funding Opportunity</w:t>
            </w:r>
          </w:p>
        </w:tc>
      </w:tr>
      <w:tr w:rsidR="00CD66E4" w14:paraId="51A8ABC3"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1E9784" w14:textId="77777777" w:rsidR="00CD66E4" w:rsidRDefault="00CD66E4">
            <w:pPr>
              <w:spacing w:after="120"/>
            </w:pPr>
            <w:r w:rsidRPr="7DDDFD92">
              <w:rPr>
                <w:rFonts w:ascii="Arial" w:eastAsia="Arial" w:hAnsi="Arial" w:cs="Arial"/>
                <w:color w:val="000000" w:themeColor="text1"/>
              </w:rPr>
              <w:t>Hardware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7565A" w14:textId="77777777" w:rsidR="00CD66E4" w:rsidRDefault="00CD66E4">
            <w:pPr>
              <w:spacing w:after="120"/>
            </w:pPr>
            <w:r w:rsidRPr="7DDDFD92">
              <w:rPr>
                <w:rFonts w:ascii="Arial" w:eastAsia="Arial" w:hAnsi="Arial" w:cs="Arial"/>
                <w:color w:val="000000" w:themeColor="text1"/>
              </w:rPr>
              <w:t>The machines, wiring, and other physical components of an electronic system including onboard computers and controllers.</w:t>
            </w:r>
          </w:p>
        </w:tc>
      </w:tr>
      <w:tr w:rsidR="00CD66E4" w14:paraId="681DB306"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2356D" w14:textId="77777777" w:rsidR="00CD66E4" w:rsidRDefault="00CD66E4">
            <w:pPr>
              <w:spacing w:after="120"/>
            </w:pPr>
            <w:r w:rsidRPr="7DDDFD92">
              <w:rPr>
                <w:rFonts w:ascii="Arial" w:eastAsia="Arial" w:hAnsi="Arial" w:cs="Arial"/>
                <w:color w:val="000000" w:themeColor="text1"/>
              </w:rPr>
              <w:t>Hydrogen Refueling Station</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586B6A" w14:textId="77777777" w:rsidR="00CD66E4" w:rsidRDefault="00CD66E4">
            <w:pPr>
              <w:spacing w:after="120"/>
            </w:pPr>
            <w:r w:rsidRPr="7DDDFD92">
              <w:rPr>
                <w:rFonts w:ascii="Arial" w:eastAsia="Arial" w:hAnsi="Arial" w:cs="Arial"/>
                <w:color w:val="000000" w:themeColor="text1"/>
              </w:rPr>
              <w:t>A facility that provides hydrogen as a fuel for fuel cell electric vehicles (FCEVs).</w:t>
            </w:r>
          </w:p>
        </w:tc>
      </w:tr>
      <w:tr w:rsidR="00CD66E4" w14:paraId="36F3364E"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69CE36" w14:textId="77777777" w:rsidR="00CD66E4" w:rsidRDefault="00CD66E4">
            <w:pPr>
              <w:spacing w:after="120"/>
            </w:pPr>
            <w:r w:rsidRPr="7DDDFD92">
              <w:rPr>
                <w:rFonts w:ascii="Arial" w:eastAsia="Arial" w:hAnsi="Arial" w:cs="Arial"/>
                <w:color w:val="000000" w:themeColor="text1"/>
              </w:rPr>
              <w:t>HSP</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8D013" w14:textId="77777777" w:rsidR="00CD66E4" w:rsidRDefault="00CD66E4">
            <w:pPr>
              <w:spacing w:after="120"/>
            </w:pPr>
            <w:r w:rsidRPr="7DDDFD92">
              <w:rPr>
                <w:rFonts w:ascii="Arial" w:eastAsia="Arial" w:hAnsi="Arial" w:cs="Arial"/>
                <w:color w:val="000000" w:themeColor="text1"/>
              </w:rPr>
              <w:t>Hydrogen Safety Panel</w:t>
            </w:r>
          </w:p>
        </w:tc>
      </w:tr>
      <w:tr w:rsidR="00CD66E4" w14:paraId="3C2FF7A7"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771A2A" w14:textId="77777777" w:rsidR="00CD66E4" w:rsidRDefault="00CD66E4">
            <w:pPr>
              <w:spacing w:after="120"/>
            </w:pPr>
            <w:r w:rsidRPr="7DDDFD92">
              <w:rPr>
                <w:rFonts w:ascii="Arial" w:eastAsia="Arial" w:hAnsi="Arial" w:cs="Arial"/>
                <w:color w:val="000000" w:themeColor="text1"/>
              </w:rPr>
              <w:t>Maintenance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339035" w14:textId="77777777" w:rsidR="00CD66E4" w:rsidRDefault="00CD66E4">
            <w:pPr>
              <w:spacing w:after="120"/>
            </w:pPr>
            <w:r w:rsidRPr="7DDDFD92">
              <w:rPr>
                <w:rFonts w:ascii="Arial" w:eastAsia="Arial" w:hAnsi="Arial" w:cs="Arial"/>
                <w:color w:val="000000" w:themeColor="text1"/>
              </w:rPr>
              <w:t xml:space="preserve">Any instance in which preventive or corrective maintenance is carried out on equipment. </w:t>
            </w:r>
          </w:p>
        </w:tc>
      </w:tr>
      <w:tr w:rsidR="00CD66E4" w14:paraId="75105328"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C9691" w14:textId="77777777" w:rsidR="00CD66E4" w:rsidRDefault="00CD66E4">
            <w:pPr>
              <w:spacing w:after="120"/>
            </w:pPr>
            <w:r w:rsidRPr="7DDDFD92">
              <w:rPr>
                <w:rFonts w:ascii="Arial" w:eastAsia="Arial" w:hAnsi="Arial" w:cs="Arial"/>
                <w:b/>
                <w:bCs/>
                <w:color w:val="000000" w:themeColor="text1"/>
                <w:u w:val="single"/>
              </w:rPr>
              <w:t>NLR</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8E470" w14:textId="77777777" w:rsidR="00CD66E4" w:rsidRDefault="00CD66E4">
            <w:pPr>
              <w:spacing w:after="120"/>
            </w:pPr>
            <w:r w:rsidRPr="7DDDFD92">
              <w:rPr>
                <w:rFonts w:ascii="Arial" w:eastAsia="Arial" w:hAnsi="Arial" w:cs="Arial"/>
                <w:b/>
                <w:bCs/>
                <w:color w:val="000000" w:themeColor="text1"/>
                <w:u w:val="single"/>
              </w:rPr>
              <w:t>National Laboratory of the Rockies</w:t>
            </w:r>
          </w:p>
        </w:tc>
      </w:tr>
      <w:tr w:rsidR="00CD66E4" w14:paraId="6CAFE445"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5327C3" w14:textId="77777777" w:rsidR="00CD66E4" w:rsidRDefault="00CD66E4">
            <w:pPr>
              <w:spacing w:after="120"/>
            </w:pPr>
            <w:r w:rsidRPr="7DDDFD92">
              <w:rPr>
                <w:rFonts w:ascii="Arial" w:eastAsia="Arial" w:hAnsi="Arial" w:cs="Arial"/>
                <w:color w:val="000000" w:themeColor="text1"/>
              </w:rPr>
              <w:t>Operational</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90BA1" w14:textId="77777777" w:rsidR="00CD66E4" w:rsidRDefault="00CD66E4">
            <w:pPr>
              <w:spacing w:after="120"/>
            </w:pPr>
            <w:r w:rsidRPr="7DDDFD92">
              <w:rPr>
                <w:rFonts w:ascii="Arial" w:eastAsia="Arial" w:hAnsi="Arial" w:cs="Arial"/>
                <w:color w:val="000000" w:themeColor="text1"/>
              </w:rPr>
              <w:t>Or “up.” A dispenser’s hardware and software are both online and available for use, or in use, and the dispenser is capable of successfully dispensing hydrogen.</w:t>
            </w:r>
          </w:p>
        </w:tc>
      </w:tr>
      <w:tr w:rsidR="00CD66E4" w14:paraId="41E19122"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D52187" w14:textId="77777777" w:rsidR="00CD66E4" w:rsidRDefault="00CD66E4">
            <w:pPr>
              <w:spacing w:after="120"/>
            </w:pPr>
            <w:r w:rsidRPr="7DDDFD92">
              <w:rPr>
                <w:rFonts w:ascii="Arial" w:eastAsia="Arial" w:hAnsi="Arial" w:cs="Arial"/>
                <w:color w:val="000000" w:themeColor="text1"/>
              </w:rPr>
              <w:t>Operative state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418A0" w14:textId="77777777" w:rsidR="00CD66E4" w:rsidRDefault="00CD66E4">
            <w:pPr>
              <w:spacing w:after="120"/>
            </w:pPr>
            <w:r w:rsidRPr="7DDDFD92">
              <w:rPr>
                <w:rFonts w:ascii="Arial" w:eastAsia="Arial" w:hAnsi="Arial" w:cs="Arial"/>
                <w:color w:val="000000" w:themeColor="text1"/>
              </w:rPr>
              <w:t>The dispenser is operational.</w:t>
            </w:r>
          </w:p>
        </w:tc>
      </w:tr>
      <w:tr w:rsidR="00CD66E4" w14:paraId="29148D6B"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9AB7C" w14:textId="77777777" w:rsidR="00CD66E4" w:rsidRDefault="00CD66E4">
            <w:pPr>
              <w:spacing w:after="120"/>
            </w:pPr>
            <w:r w:rsidRPr="7DDDFD92">
              <w:rPr>
                <w:rFonts w:ascii="Arial" w:eastAsia="Arial" w:hAnsi="Arial" w:cs="Arial"/>
                <w:color w:val="000000" w:themeColor="text1"/>
              </w:rPr>
              <w:t>PNNL</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845744" w14:textId="77777777" w:rsidR="00CD66E4" w:rsidRDefault="00CD66E4">
            <w:pPr>
              <w:spacing w:after="120"/>
            </w:pPr>
            <w:r w:rsidRPr="7DDDFD92">
              <w:rPr>
                <w:rFonts w:ascii="Arial" w:eastAsia="Arial" w:hAnsi="Arial" w:cs="Arial"/>
                <w:color w:val="000000" w:themeColor="text1"/>
              </w:rPr>
              <w:t>Pacific Northwest National Laboratory</w:t>
            </w:r>
          </w:p>
        </w:tc>
      </w:tr>
      <w:tr w:rsidR="00CD66E4" w14:paraId="147D2E07"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8200D0" w14:textId="77777777" w:rsidR="00CD66E4" w:rsidRDefault="00CD66E4">
            <w:pPr>
              <w:spacing w:after="120"/>
            </w:pPr>
            <w:r w:rsidRPr="7DDDFD92">
              <w:rPr>
                <w:rFonts w:ascii="Arial" w:eastAsia="Arial" w:hAnsi="Arial" w:cs="Arial"/>
                <w:color w:val="000000" w:themeColor="text1"/>
              </w:rPr>
              <w:t>Preventative maintenance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5F537" w14:textId="77777777" w:rsidR="00CD66E4" w:rsidRDefault="00CD66E4">
            <w:pPr>
              <w:spacing w:after="120"/>
            </w:pPr>
            <w:r w:rsidRPr="7DDDFD92">
              <w:rPr>
                <w:rFonts w:ascii="Arial" w:eastAsia="Arial" w:hAnsi="Arial" w:cs="Arial"/>
                <w:color w:val="000000" w:themeColor="text1"/>
              </w:rPr>
              <w:t xml:space="preserve">Maintenance that is performed on physical assets to reduce the chances of equipment failure and unplanned machine downtime. </w:t>
            </w:r>
          </w:p>
        </w:tc>
      </w:tr>
      <w:tr w:rsidR="00CD66E4" w14:paraId="6A757115" w14:textId="77777777">
        <w:trPr>
          <w:trHeight w:val="705"/>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5B7D5D" w14:textId="77777777" w:rsidR="00CD66E4" w:rsidRDefault="00CD66E4">
            <w:pPr>
              <w:spacing w:after="120"/>
            </w:pPr>
            <w:r w:rsidRPr="7DDDFD92">
              <w:rPr>
                <w:rFonts w:ascii="Arial" w:eastAsia="Arial" w:hAnsi="Arial" w:cs="Arial"/>
                <w:color w:val="000000" w:themeColor="text1"/>
              </w:rPr>
              <w:t>Primary Vehicle Type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E522D0" w14:textId="77777777" w:rsidR="00CD66E4" w:rsidRDefault="00CD66E4">
            <w:pPr>
              <w:spacing w:after="120"/>
            </w:pPr>
            <w:r w:rsidRPr="7DDDFD92">
              <w:rPr>
                <w:rFonts w:ascii="Arial" w:eastAsia="Arial" w:hAnsi="Arial" w:cs="Arial"/>
                <w:color w:val="000000" w:themeColor="text1"/>
              </w:rPr>
              <w:t>A vehicle type depending on the GVWR such as "light duty" or "LD" (GVWR &lt;= 10,000), "medium duty" or "MD" (10,000 &lt; GVWR &lt;= 26,000), "heavy duty" or "HD" (GVWR &gt; 26,000).</w:t>
            </w:r>
          </w:p>
        </w:tc>
      </w:tr>
      <w:tr w:rsidR="00CD66E4" w14:paraId="1D3F8078" w14:textId="77777777">
        <w:trPr>
          <w:trHeight w:val="705"/>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02592" w14:textId="77777777" w:rsidR="00CD66E4" w:rsidRDefault="00CD66E4">
            <w:pPr>
              <w:spacing w:after="120"/>
            </w:pPr>
            <w:r w:rsidRPr="7DDDFD92">
              <w:rPr>
                <w:rFonts w:ascii="Arial" w:eastAsia="Arial" w:hAnsi="Arial" w:cs="Arial"/>
                <w:color w:val="000000" w:themeColor="text1"/>
              </w:rPr>
              <w:lastRenderedPageBreak/>
              <w:t>Private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E1DF0" w14:textId="77777777" w:rsidR="00CD66E4" w:rsidRDefault="00CD66E4">
            <w:pPr>
              <w:spacing w:after="120"/>
            </w:pPr>
            <w:r w:rsidRPr="7DDDFD92">
              <w:rPr>
                <w:rFonts w:ascii="Arial" w:eastAsia="Arial" w:hAnsi="Arial" w:cs="Arial"/>
                <w:color w:val="000000" w:themeColor="text1"/>
              </w:rPr>
              <w:t xml:space="preserve">Dispensers located at parking space(s) that are privately owned and operated, often dedicated to a specific driver or vehicle </w:t>
            </w:r>
          </w:p>
        </w:tc>
      </w:tr>
      <w:tr w:rsidR="00CD66E4" w14:paraId="0A712DC2"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02DDF" w14:textId="77777777" w:rsidR="00CD66E4" w:rsidRDefault="00CD66E4">
            <w:pPr>
              <w:spacing w:after="120"/>
            </w:pPr>
            <w:r w:rsidRPr="7DDDFD92">
              <w:rPr>
                <w:rFonts w:ascii="Arial" w:eastAsia="Arial" w:hAnsi="Arial" w:cs="Arial"/>
                <w:color w:val="000000" w:themeColor="text1"/>
              </w:rPr>
              <w:t>Public</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C9947" w14:textId="77777777" w:rsidR="00CD66E4" w:rsidRDefault="00CD66E4">
            <w:pPr>
              <w:spacing w:after="120"/>
            </w:pPr>
            <w:r w:rsidRPr="7DDDFD92">
              <w:rPr>
                <w:rFonts w:ascii="Arial" w:eastAsia="Arial" w:hAnsi="Arial" w:cs="Arial"/>
                <w:color w:val="000000" w:themeColor="text1"/>
              </w:rPr>
              <w:t>Dispensers located at parking space(s) designated by the property owner or lessee to be available to and accessible by the public.</w:t>
            </w:r>
          </w:p>
        </w:tc>
      </w:tr>
      <w:tr w:rsidR="00CD66E4" w14:paraId="7E60922A"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533B5" w14:textId="77777777" w:rsidR="00CD66E4" w:rsidRDefault="00CD66E4">
            <w:pPr>
              <w:spacing w:after="120"/>
            </w:pPr>
            <w:r w:rsidRPr="7DDDFD92">
              <w:rPr>
                <w:rFonts w:ascii="Arial" w:eastAsia="Arial" w:hAnsi="Arial" w:cs="Arial"/>
                <w:color w:val="000000" w:themeColor="text1"/>
              </w:rPr>
              <w:t>RSA</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CD847E" w14:textId="77777777" w:rsidR="00CD66E4" w:rsidRDefault="00CD66E4">
            <w:pPr>
              <w:spacing w:after="120"/>
            </w:pPr>
            <w:r w:rsidRPr="7DDDFD92">
              <w:rPr>
                <w:rFonts w:ascii="Arial" w:eastAsia="Arial" w:hAnsi="Arial" w:cs="Arial"/>
                <w:color w:val="000000" w:themeColor="text1"/>
              </w:rPr>
              <w:t>Registered Service Agency. An entity that repairs a commercial device that is registered with the California Department of Food and Agriculture Division of Measurement Standards.</w:t>
            </w:r>
          </w:p>
        </w:tc>
      </w:tr>
      <w:tr w:rsidR="00CD66E4" w14:paraId="618611D9"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D43E88" w14:textId="77777777" w:rsidR="00CD66E4" w:rsidRDefault="00CD66E4">
            <w:pPr>
              <w:spacing w:after="120"/>
            </w:pPr>
            <w:r w:rsidRPr="7DDDFD92">
              <w:rPr>
                <w:rFonts w:ascii="Arial" w:eastAsia="Arial" w:hAnsi="Arial" w:cs="Arial"/>
                <w:color w:val="000000" w:themeColor="text1"/>
              </w:rPr>
              <w:t>Recipient</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FC930" w14:textId="77777777" w:rsidR="00CD66E4" w:rsidRDefault="00CD66E4">
            <w:pPr>
              <w:spacing w:after="120"/>
            </w:pPr>
            <w:r w:rsidRPr="7DDDFD92">
              <w:rPr>
                <w:rFonts w:ascii="Arial" w:eastAsia="Arial" w:hAnsi="Arial" w:cs="Arial"/>
                <w:color w:val="000000" w:themeColor="text1"/>
              </w:rPr>
              <w:t>An applicant awarded a grant under a CEC solicitation.</w:t>
            </w:r>
          </w:p>
        </w:tc>
      </w:tr>
      <w:tr w:rsidR="00CD66E4" w14:paraId="7E4A9964" w14:textId="77777777">
        <w:trPr>
          <w:trHeight w:val="705"/>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7A2BF" w14:textId="77777777" w:rsidR="00CD66E4" w:rsidRDefault="00CD66E4">
            <w:pPr>
              <w:spacing w:after="120"/>
            </w:pPr>
            <w:r w:rsidRPr="7DDDFD92">
              <w:rPr>
                <w:rFonts w:ascii="Arial" w:eastAsia="Arial" w:hAnsi="Arial" w:cs="Arial"/>
                <w:color w:val="000000" w:themeColor="text1"/>
              </w:rPr>
              <w:t>Shared Private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DB6F52" w14:textId="77777777" w:rsidR="00CD66E4" w:rsidRDefault="00CD66E4">
            <w:pPr>
              <w:spacing w:after="120"/>
            </w:pPr>
            <w:r w:rsidRPr="7DDDFD92">
              <w:rPr>
                <w:rFonts w:ascii="Arial" w:eastAsia="Arial" w:hAnsi="Arial" w:cs="Arial"/>
                <w:color w:val="000000" w:themeColor="text1"/>
              </w:rPr>
              <w:t xml:space="preserve">Dispensers located at parking space(s) designated by a property owner or lessee to be available to, and accessible by, employees, tenants, visitors, and residents. </w:t>
            </w:r>
          </w:p>
        </w:tc>
      </w:tr>
      <w:tr w:rsidR="00CD66E4" w14:paraId="359CFC97"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B943B" w14:textId="77777777" w:rsidR="00CD66E4" w:rsidRDefault="00CD66E4">
            <w:pPr>
              <w:spacing w:after="120"/>
            </w:pPr>
            <w:r w:rsidRPr="7DDDFD92">
              <w:rPr>
                <w:rFonts w:ascii="Arial" w:eastAsia="Arial" w:hAnsi="Arial" w:cs="Arial"/>
                <w:color w:val="000000" w:themeColor="text1"/>
              </w:rPr>
              <w:t>Software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A25B7E" w14:textId="77777777" w:rsidR="00CD66E4" w:rsidRDefault="00CD66E4">
            <w:pPr>
              <w:spacing w:after="120"/>
            </w:pPr>
            <w:r w:rsidRPr="7DDDFD92">
              <w:rPr>
                <w:rFonts w:ascii="Arial" w:eastAsia="Arial" w:hAnsi="Arial" w:cs="Arial"/>
                <w:color w:val="000000" w:themeColor="text1"/>
              </w:rPr>
              <w:t>A set of instructions, data, or programs used to operate computers and execute specific tasks.</w:t>
            </w:r>
          </w:p>
        </w:tc>
      </w:tr>
      <w:tr w:rsidR="00CD66E4" w14:paraId="3050A3B2" w14:textId="77777777">
        <w:trPr>
          <w:trHeight w:val="48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30498" w14:textId="77777777" w:rsidR="00CD66E4" w:rsidRDefault="00CD66E4">
            <w:pPr>
              <w:spacing w:after="120"/>
            </w:pPr>
            <w:r w:rsidRPr="7DDDFD92">
              <w:rPr>
                <w:rFonts w:ascii="Arial" w:eastAsia="Arial" w:hAnsi="Arial" w:cs="Arial"/>
                <w:color w:val="000000" w:themeColor="text1"/>
              </w:rPr>
              <w:t>Uptime</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242FF5" w14:textId="77777777" w:rsidR="00CD66E4" w:rsidRDefault="00CD66E4">
            <w:pPr>
              <w:spacing w:after="120"/>
            </w:pPr>
            <w:r w:rsidRPr="7DDDFD92">
              <w:rPr>
                <w:rFonts w:ascii="Arial" w:eastAsia="Arial" w:hAnsi="Arial" w:cs="Arial"/>
                <w:color w:val="000000" w:themeColor="text1"/>
              </w:rPr>
              <w:t>The dispenser uptime percentage for the reporting period</w:t>
            </w:r>
          </w:p>
        </w:tc>
      </w:tr>
      <w:tr w:rsidR="00CD66E4" w14:paraId="6C308E69" w14:textId="77777777">
        <w:trPr>
          <w:trHeight w:val="240"/>
          <w:jc w:val="center"/>
        </w:trPr>
        <w:tc>
          <w:tcPr>
            <w:tcW w:w="224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4A767" w14:textId="77777777" w:rsidR="00CD66E4" w:rsidRDefault="00CD66E4">
            <w:pPr>
              <w:spacing w:after="120"/>
            </w:pPr>
            <w:r w:rsidRPr="7DDDFD92">
              <w:rPr>
                <w:rFonts w:ascii="Arial" w:eastAsia="Arial" w:hAnsi="Arial" w:cs="Arial"/>
                <w:color w:val="0000FF"/>
              </w:rPr>
              <w:t xml:space="preserve"> </w:t>
            </w:r>
          </w:p>
        </w:tc>
        <w:tc>
          <w:tcPr>
            <w:tcW w:w="751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B6D5AF" w14:textId="77777777" w:rsidR="00CD66E4" w:rsidRDefault="00CD66E4">
            <w:pPr>
              <w:spacing w:after="120"/>
            </w:pPr>
            <w:r w:rsidRPr="7DDDFD92">
              <w:rPr>
                <w:rFonts w:ascii="Arial" w:eastAsia="Arial" w:hAnsi="Arial" w:cs="Arial"/>
                <w:color w:val="0000FF"/>
              </w:rPr>
              <w:t>&lt;Insert additional rows as needed.&gt;</w:t>
            </w:r>
          </w:p>
        </w:tc>
      </w:tr>
    </w:tbl>
    <w:p w14:paraId="1DD44B4E" w14:textId="77777777" w:rsidR="00CD66E4" w:rsidRDefault="00CD66E4" w:rsidP="00CD66E4">
      <w:r w:rsidRPr="7DDDFD92">
        <w:rPr>
          <w:rFonts w:ascii="Arial" w:eastAsia="Arial" w:hAnsi="Arial" w:cs="Arial"/>
        </w:rPr>
        <w:t xml:space="preserve"> </w:t>
      </w:r>
    </w:p>
    <w:p w14:paraId="7459BE3C" w14:textId="77777777" w:rsidR="00CD66E4" w:rsidRDefault="00CD66E4" w:rsidP="00CD66E4">
      <w:r w:rsidRPr="7DDDFD92">
        <w:rPr>
          <w:rFonts w:ascii="Arial" w:eastAsia="Arial" w:hAnsi="Arial" w:cs="Arial"/>
          <w:i/>
          <w:iCs/>
          <w:color w:val="0000FF"/>
        </w:rPr>
        <w:t xml:space="preserve">&lt;Applicants </w:t>
      </w:r>
      <w:r w:rsidRPr="7DDDFD92">
        <w:rPr>
          <w:rFonts w:ascii="Arial" w:eastAsia="Arial" w:hAnsi="Arial" w:cs="Arial"/>
          <w:b/>
          <w:bCs/>
          <w:i/>
          <w:iCs/>
          <w:color w:val="0000FF"/>
        </w:rPr>
        <w:t>DO NOT</w:t>
      </w:r>
      <w:r w:rsidRPr="7DDDFD92">
        <w:rPr>
          <w:rFonts w:ascii="Arial" w:eastAsia="Arial" w:hAnsi="Arial" w:cs="Arial"/>
          <w:i/>
          <w:iCs/>
          <w:color w:val="0000FF"/>
        </w:rPr>
        <w:t xml:space="preserve"> need to complete items listed under “Background.” This will be completed by the CAM during agreement development if proposal is recommended for funding.&gt;</w:t>
      </w:r>
    </w:p>
    <w:p w14:paraId="2B1DD18B" w14:textId="77777777" w:rsidR="00904F97" w:rsidRDefault="00904F97" w:rsidP="00904F97"/>
    <w:p w14:paraId="54DC0BD8" w14:textId="1BB9B94C" w:rsidR="009D591E" w:rsidRPr="00E575C5" w:rsidRDefault="009D591E" w:rsidP="0060100B">
      <w:pPr>
        <w:pStyle w:val="Heading3"/>
        <w:keepNext w:val="0"/>
        <w:keepLines w:val="0"/>
        <w:numPr>
          <w:ilvl w:val="0"/>
          <w:numId w:val="49"/>
        </w:numPr>
        <w:tabs>
          <w:tab w:val="clear" w:pos="720"/>
        </w:tabs>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Scope of Work Template (ATTACHMENT 2), Task 1.1 Attend Kick off Meeting</w:t>
      </w:r>
    </w:p>
    <w:p w14:paraId="31F193A4" w14:textId="77777777" w:rsidR="0060100B" w:rsidRPr="0060100B" w:rsidRDefault="0060100B" w:rsidP="0060100B"/>
    <w:p w14:paraId="712ED39D" w14:textId="77777777" w:rsidR="00FC65A6" w:rsidRPr="00B66B98" w:rsidRDefault="00FC65A6" w:rsidP="00FC65A6">
      <w:pPr>
        <w:pStyle w:val="BodyText"/>
        <w:keepLines/>
        <w:widowControl w:val="0"/>
        <w:spacing w:after="120"/>
        <w:ind w:left="1440"/>
        <w:jc w:val="left"/>
        <w:rPr>
          <w:rFonts w:ascii="Arial" w:hAnsi="Arial" w:cs="Arial"/>
          <w:i w:val="0"/>
          <w:szCs w:val="24"/>
        </w:rPr>
      </w:pPr>
      <w:r w:rsidRPr="00B66B98">
        <w:rPr>
          <w:rFonts w:ascii="Arial" w:hAnsi="Arial" w:cs="Arial"/>
          <w:i w:val="0"/>
          <w:szCs w:val="24"/>
        </w:rPr>
        <w:t>The goal of this task is to establish the lines of communication</w:t>
      </w:r>
      <w:r>
        <w:rPr>
          <w:rFonts w:ascii="Arial" w:hAnsi="Arial" w:cs="Arial"/>
          <w:i w:val="0"/>
          <w:szCs w:val="24"/>
        </w:rPr>
        <w:t xml:space="preserve">, </w:t>
      </w:r>
      <w:r w:rsidRPr="00B66B98">
        <w:rPr>
          <w:rFonts w:ascii="Arial" w:hAnsi="Arial" w:cs="Arial"/>
          <w:i w:val="0"/>
          <w:szCs w:val="24"/>
        </w:rPr>
        <w:t>procedures</w:t>
      </w:r>
      <w:r>
        <w:rPr>
          <w:rFonts w:ascii="Arial" w:hAnsi="Arial" w:cs="Arial"/>
          <w:i w:val="0"/>
          <w:szCs w:val="24"/>
        </w:rPr>
        <w:t xml:space="preserve"> and data requests</w:t>
      </w:r>
      <w:r w:rsidRPr="00B66B98">
        <w:rPr>
          <w:rFonts w:ascii="Arial" w:hAnsi="Arial" w:cs="Arial"/>
          <w:i w:val="0"/>
          <w:szCs w:val="24"/>
        </w:rPr>
        <w:t xml:space="preserve"> for implementing this Agreement. The Commission Agreement Manager (CAM) shall designate the date and location of this meeting and provide an agenda to the Recipient prior to the meeting. </w:t>
      </w:r>
    </w:p>
    <w:p w14:paraId="2C791690" w14:textId="77777777" w:rsidR="00FC65A6" w:rsidRDefault="00FC65A6" w:rsidP="00FC65A6">
      <w:pPr>
        <w:pStyle w:val="BodyText"/>
        <w:keepNext/>
        <w:keepLines/>
        <w:widowControl w:val="0"/>
        <w:spacing w:after="120"/>
        <w:ind w:left="1440"/>
        <w:jc w:val="left"/>
        <w:rPr>
          <w:rFonts w:ascii="Arial" w:hAnsi="Arial" w:cs="Arial"/>
          <w:b/>
          <w:i w:val="0"/>
          <w:szCs w:val="24"/>
        </w:rPr>
      </w:pPr>
      <w:r>
        <w:rPr>
          <w:rFonts w:ascii="Arial" w:hAnsi="Arial" w:cs="Arial"/>
          <w:b/>
          <w:i w:val="0"/>
          <w:szCs w:val="24"/>
        </w:rPr>
        <w:t>The CAM shall:</w:t>
      </w:r>
    </w:p>
    <w:p w14:paraId="3C6354C6" w14:textId="77777777" w:rsidR="00FC65A6" w:rsidRPr="00D65A71" w:rsidRDefault="00FC65A6" w:rsidP="00E575C5">
      <w:pPr>
        <w:pStyle w:val="BodyText"/>
        <w:keepLines/>
        <w:widowControl w:val="0"/>
        <w:numPr>
          <w:ilvl w:val="0"/>
          <w:numId w:val="6"/>
        </w:numPr>
        <w:spacing w:after="120"/>
        <w:ind w:left="2160" w:hanging="720"/>
        <w:jc w:val="left"/>
        <w:rPr>
          <w:rFonts w:ascii="Arial" w:hAnsi="Arial" w:cs="Arial"/>
          <w:i w:val="0"/>
        </w:rPr>
      </w:pPr>
      <w:r w:rsidRPr="4CFBFF04">
        <w:rPr>
          <w:rFonts w:ascii="Arial" w:hAnsi="Arial" w:cs="Arial"/>
          <w:i w:val="0"/>
        </w:rPr>
        <w:t xml:space="preserve">Send the Recipient the </w:t>
      </w:r>
      <w:r w:rsidRPr="4CFBFF04">
        <w:rPr>
          <w:rFonts w:ascii="Arial" w:hAnsi="Arial" w:cs="Arial"/>
        </w:rPr>
        <w:t>kick-off meeting agenda</w:t>
      </w:r>
      <w:r w:rsidRPr="4CFBFF04">
        <w:rPr>
          <w:rFonts w:ascii="Arial" w:hAnsi="Arial" w:cs="Arial"/>
          <w:i w:val="0"/>
        </w:rPr>
        <w:t>.</w:t>
      </w:r>
    </w:p>
    <w:p w14:paraId="49B80E30" w14:textId="77777777" w:rsidR="00FC65A6" w:rsidRPr="00B66B98" w:rsidRDefault="00FC65A6" w:rsidP="00FC65A6">
      <w:pPr>
        <w:pStyle w:val="BodyText"/>
        <w:keepNext/>
        <w:keepLines/>
        <w:widowControl w:val="0"/>
        <w:spacing w:after="120"/>
        <w:ind w:left="1440"/>
        <w:jc w:val="left"/>
        <w:rPr>
          <w:rFonts w:ascii="Arial" w:hAnsi="Arial" w:cs="Arial"/>
          <w:b/>
          <w:i w:val="0"/>
          <w:szCs w:val="24"/>
        </w:rPr>
      </w:pPr>
      <w:r w:rsidRPr="00B66B98">
        <w:rPr>
          <w:rFonts w:ascii="Arial" w:hAnsi="Arial" w:cs="Arial"/>
          <w:b/>
          <w:i w:val="0"/>
          <w:szCs w:val="24"/>
        </w:rPr>
        <w:t>The Recipient shall:</w:t>
      </w:r>
    </w:p>
    <w:p w14:paraId="3505349C" w14:textId="77777777" w:rsidR="00FC65A6" w:rsidRPr="00B66B98" w:rsidRDefault="00FC65A6" w:rsidP="00E575C5">
      <w:pPr>
        <w:pStyle w:val="BodyText"/>
        <w:keepLines/>
        <w:widowControl w:val="0"/>
        <w:numPr>
          <w:ilvl w:val="0"/>
          <w:numId w:val="6"/>
        </w:numPr>
        <w:spacing w:after="120"/>
        <w:ind w:left="2160" w:hanging="720"/>
        <w:jc w:val="left"/>
        <w:rPr>
          <w:rFonts w:ascii="Arial" w:hAnsi="Arial" w:cs="Arial"/>
          <w:i w:val="0"/>
        </w:rPr>
      </w:pPr>
      <w:r w:rsidRPr="4CFBFF04">
        <w:rPr>
          <w:rFonts w:ascii="Arial" w:hAnsi="Arial" w:cs="Arial"/>
          <w:i w:val="0"/>
        </w:rPr>
        <w:t xml:space="preserve">Attend a “Kick-Off” meeting that includes the CAM and may include the Commission Agreement Officer (CAO) and a representative of the CEC Accounting Office. The Recipient shall bring their Project Manager, Agreement Administrator, Accounting Officer, and any others determined necessary by the Recipient or specifically requested by the CAM to this meeting.  </w:t>
      </w:r>
    </w:p>
    <w:p w14:paraId="23C0111A" w14:textId="77777777" w:rsidR="00FC65A6" w:rsidRDefault="00FC65A6" w:rsidP="00E575C5">
      <w:pPr>
        <w:pStyle w:val="BodyText"/>
        <w:keepLines/>
        <w:widowControl w:val="0"/>
        <w:numPr>
          <w:ilvl w:val="0"/>
          <w:numId w:val="6"/>
        </w:numPr>
        <w:spacing w:after="120"/>
        <w:ind w:left="2160" w:hanging="720"/>
        <w:jc w:val="left"/>
        <w:rPr>
          <w:rFonts w:ascii="Arial" w:hAnsi="Arial" w:cs="Arial"/>
          <w:i w:val="0"/>
        </w:rPr>
      </w:pPr>
      <w:r w:rsidRPr="4CFBFF04">
        <w:rPr>
          <w:rFonts w:ascii="Arial" w:hAnsi="Arial" w:cs="Arial"/>
          <w:i w:val="0"/>
        </w:rPr>
        <w:lastRenderedPageBreak/>
        <w:t xml:space="preserve">Provide a </w:t>
      </w:r>
      <w:r w:rsidRPr="4CFBFF04">
        <w:rPr>
          <w:rFonts w:ascii="Arial" w:hAnsi="Arial" w:cs="Arial"/>
        </w:rPr>
        <w:t>written statement of match share activities</w:t>
      </w:r>
      <w:r w:rsidRPr="4CFBFF04">
        <w:rPr>
          <w:rFonts w:ascii="Arial" w:hAnsi="Arial" w:cs="Arial"/>
          <w:i w:val="0"/>
        </w:rPr>
        <w:t xml:space="preserve"> that have occurred after the notice of proposed awards but prior to the execution of the agreement using match funds. If none, provide a statement that no work has been completed using match funds prior to the execution of the agreement. All pre-execution match expenditures must conform to the requirements in the Terms and Conditions of this Agreement. </w:t>
      </w:r>
    </w:p>
    <w:p w14:paraId="1A5CD06A" w14:textId="77777777" w:rsidR="00FC65A6" w:rsidRPr="00160754" w:rsidRDefault="00FC65A6" w:rsidP="00E575C5">
      <w:pPr>
        <w:pStyle w:val="BodyText"/>
        <w:keepLines/>
        <w:widowControl w:val="0"/>
        <w:numPr>
          <w:ilvl w:val="0"/>
          <w:numId w:val="9"/>
        </w:numPr>
        <w:spacing w:after="120" w:line="259" w:lineRule="auto"/>
        <w:ind w:left="2790" w:hanging="720"/>
        <w:jc w:val="left"/>
        <w:rPr>
          <w:rFonts w:ascii="Arial" w:hAnsi="Arial" w:cs="Arial"/>
          <w:iCs/>
          <w:szCs w:val="24"/>
        </w:rPr>
      </w:pPr>
      <w:r w:rsidRPr="4CFBFF04">
        <w:rPr>
          <w:rStyle w:val="normaltextrun"/>
          <w:rFonts w:ascii="Arial" w:hAnsi="Arial" w:cs="Arial"/>
          <w:i w:val="0"/>
          <w:color w:val="000000"/>
          <w:shd w:val="clear" w:color="auto" w:fill="FFFFFF"/>
        </w:rPr>
        <w:t xml:space="preserve">The statement should include the following project activities: key milestone dates, site specific </w:t>
      </w:r>
      <w:r w:rsidRPr="4CFBFF04">
        <w:rPr>
          <w:rStyle w:val="normaltextrun"/>
          <w:rFonts w:ascii="Arial" w:hAnsi="Arial" w:cs="Arial"/>
          <w:i w:val="0"/>
          <w:color w:val="000000" w:themeColor="text1"/>
        </w:rPr>
        <w:t>dispen</w:t>
      </w:r>
      <w:r>
        <w:rPr>
          <w:rStyle w:val="normaltextrun"/>
          <w:rFonts w:ascii="Arial" w:hAnsi="Arial" w:cs="Arial"/>
          <w:i w:val="0"/>
          <w:color w:val="000000" w:themeColor="text1"/>
        </w:rPr>
        <w:t>s</w:t>
      </w:r>
      <w:r w:rsidRPr="4CFBFF04">
        <w:rPr>
          <w:rStyle w:val="normaltextrun"/>
          <w:rFonts w:ascii="Arial" w:hAnsi="Arial" w:cs="Arial"/>
          <w:i w:val="0"/>
          <w:color w:val="000000" w:themeColor="text1"/>
        </w:rPr>
        <w:t xml:space="preserve">er </w:t>
      </w:r>
      <w:r w:rsidRPr="4CFBFF04">
        <w:rPr>
          <w:rStyle w:val="normaltextrun"/>
          <w:rFonts w:ascii="Arial" w:hAnsi="Arial" w:cs="Arial"/>
          <w:i w:val="0"/>
          <w:color w:val="000000"/>
          <w:shd w:val="clear" w:color="auto" w:fill="FFFFFF"/>
        </w:rPr>
        <w:t xml:space="preserve">information and any other equipment to be included at the site(s). </w:t>
      </w:r>
    </w:p>
    <w:p w14:paraId="75B42E4C" w14:textId="77777777" w:rsidR="00FC65A6" w:rsidRDefault="00FC65A6" w:rsidP="00E575C5">
      <w:pPr>
        <w:pStyle w:val="BodyText"/>
        <w:keepLines/>
        <w:widowControl w:val="0"/>
        <w:numPr>
          <w:ilvl w:val="0"/>
          <w:numId w:val="6"/>
        </w:numPr>
        <w:spacing w:after="120"/>
        <w:ind w:left="2160" w:hanging="720"/>
        <w:jc w:val="left"/>
        <w:rPr>
          <w:rFonts w:ascii="Arial" w:hAnsi="Arial" w:cs="Arial"/>
          <w:i w:val="0"/>
        </w:rPr>
      </w:pPr>
      <w:r w:rsidRPr="4CFBFF04">
        <w:rPr>
          <w:rFonts w:ascii="Arial" w:hAnsi="Arial" w:cs="Arial"/>
          <w:i w:val="0"/>
        </w:rPr>
        <w:t xml:space="preserve">Provide an </w:t>
      </w:r>
      <w:r w:rsidRPr="4CFBFF04">
        <w:rPr>
          <w:rFonts w:ascii="Arial" w:hAnsi="Arial" w:cs="Arial"/>
        </w:rPr>
        <w:t>updated Schedule of Products, updated list of match funds (Private, Utility, Federal), and updated list of permits.</w:t>
      </w:r>
    </w:p>
    <w:p w14:paraId="1C6117DE" w14:textId="77777777" w:rsidR="00FC65A6" w:rsidRPr="00B66B98" w:rsidRDefault="00FC65A6" w:rsidP="00E575C5">
      <w:pPr>
        <w:pStyle w:val="BodyText"/>
        <w:keepLines/>
        <w:widowControl w:val="0"/>
        <w:numPr>
          <w:ilvl w:val="0"/>
          <w:numId w:val="6"/>
        </w:numPr>
        <w:spacing w:after="120"/>
        <w:ind w:left="2160" w:hanging="720"/>
        <w:jc w:val="left"/>
        <w:rPr>
          <w:rFonts w:ascii="Arial" w:hAnsi="Arial" w:cs="Arial"/>
          <w:i w:val="0"/>
        </w:rPr>
      </w:pPr>
      <w:r w:rsidRPr="4CFBFF04">
        <w:rPr>
          <w:rFonts w:ascii="Arial" w:hAnsi="Arial" w:cs="Arial"/>
          <w:i w:val="0"/>
        </w:rPr>
        <w:t>Discuss the following administrative and technical aspects of this Agreement:</w:t>
      </w:r>
    </w:p>
    <w:p w14:paraId="53DD55AC"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 xml:space="preserve">Agreement Terms and Conditions </w:t>
      </w:r>
    </w:p>
    <w:p w14:paraId="6D2C7FE6"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Critical Project Review (Task 1.2)</w:t>
      </w:r>
    </w:p>
    <w:p w14:paraId="5F338148"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rPr>
      </w:pPr>
      <w:r w:rsidRPr="4CFBFF04">
        <w:rPr>
          <w:rFonts w:ascii="Arial" w:hAnsi="Arial" w:cs="Arial"/>
          <w:i w:val="0"/>
        </w:rPr>
        <w:t>Match fund documentation (Task 1.6) No reimbursable work may be done until this documentation is in place.</w:t>
      </w:r>
    </w:p>
    <w:p w14:paraId="55F38231"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rPr>
      </w:pPr>
      <w:r w:rsidRPr="4CFBFF04">
        <w:rPr>
          <w:rFonts w:ascii="Arial" w:hAnsi="Arial" w:cs="Arial"/>
          <w:i w:val="0"/>
        </w:rPr>
        <w:t>Permit documentation (Task 1.7)</w:t>
      </w:r>
    </w:p>
    <w:p w14:paraId="79D6863C"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rPr>
      </w:pPr>
      <w:r w:rsidRPr="4CFBFF04">
        <w:rPr>
          <w:rFonts w:ascii="Arial" w:hAnsi="Arial" w:cs="Arial"/>
          <w:i w:val="0"/>
        </w:rPr>
        <w:t>Subawards and site host agreements (if applicable) needed to carry out project (Task 1.8)</w:t>
      </w:r>
    </w:p>
    <w:p w14:paraId="35E8B657"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The CAM’s expectations for accomplishing tasks described in the Scope of Work</w:t>
      </w:r>
    </w:p>
    <w:p w14:paraId="3BA7FBE6"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An updated Schedule of Products and Due Dates</w:t>
      </w:r>
    </w:p>
    <w:p w14:paraId="36778DA8"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Monthly Calls (Task 1.4)</w:t>
      </w:r>
    </w:p>
    <w:p w14:paraId="23823D7A" w14:textId="77777777" w:rsidR="00FC65A6"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Quarterly Progress Reports (Task 1.5)</w:t>
      </w:r>
    </w:p>
    <w:p w14:paraId="567D23D2" w14:textId="77777777" w:rsidR="00FC65A6" w:rsidRDefault="00FC65A6" w:rsidP="00E575C5">
      <w:pPr>
        <w:pStyle w:val="BodyText"/>
        <w:keepLines/>
        <w:widowControl w:val="0"/>
        <w:numPr>
          <w:ilvl w:val="0"/>
          <w:numId w:val="7"/>
        </w:numPr>
        <w:spacing w:after="120"/>
        <w:ind w:left="2880" w:hanging="720"/>
        <w:jc w:val="left"/>
        <w:rPr>
          <w:rFonts w:ascii="Arial" w:hAnsi="Arial" w:cs="Arial"/>
          <w:i w:val="0"/>
        </w:rPr>
      </w:pPr>
      <w:r w:rsidRPr="4CFBFF04">
        <w:rPr>
          <w:rFonts w:ascii="Arial" w:hAnsi="Arial" w:cs="Arial"/>
          <w:i w:val="0"/>
        </w:rPr>
        <w:t xml:space="preserve">Program Management Data Report (report template to be provided by CAM) </w:t>
      </w:r>
    </w:p>
    <w:p w14:paraId="19D41977" w14:textId="42673A22" w:rsidR="00FC65A6" w:rsidRPr="00A71818" w:rsidRDefault="00EF2BA7" w:rsidP="00E575C5">
      <w:pPr>
        <w:pStyle w:val="BodyText"/>
        <w:keepLines/>
        <w:widowControl w:val="0"/>
        <w:numPr>
          <w:ilvl w:val="0"/>
          <w:numId w:val="7"/>
        </w:numPr>
        <w:spacing w:after="120"/>
        <w:ind w:left="2880" w:hanging="720"/>
        <w:jc w:val="left"/>
        <w:rPr>
          <w:rFonts w:ascii="Arial" w:hAnsi="Arial" w:cs="Arial"/>
          <w:i w:val="0"/>
        </w:rPr>
      </w:pPr>
      <w:r>
        <w:rPr>
          <w:rFonts w:ascii="Arial" w:hAnsi="Arial" w:cs="Arial"/>
          <w:i w:val="0"/>
        </w:rPr>
        <w:t>[</w:t>
      </w:r>
      <w:r w:rsidR="00FC65A6" w:rsidRPr="00EF2BA7">
        <w:rPr>
          <w:rFonts w:ascii="Arial" w:hAnsi="Arial" w:cs="Arial"/>
          <w:i w:val="0"/>
          <w:strike/>
        </w:rPr>
        <w:t>NREL</w:t>
      </w:r>
      <w:r>
        <w:rPr>
          <w:rFonts w:ascii="Arial" w:hAnsi="Arial" w:cs="Arial"/>
          <w:i w:val="0"/>
        </w:rPr>
        <w:t>]</w:t>
      </w:r>
      <w:r w:rsidR="00FC65A6" w:rsidRPr="00EF2BA7">
        <w:rPr>
          <w:rFonts w:ascii="Arial" w:hAnsi="Arial" w:cs="Arial"/>
          <w:b/>
          <w:bCs/>
          <w:i w:val="0"/>
          <w:u w:val="single"/>
        </w:rPr>
        <w:t>NLR</w:t>
      </w:r>
      <w:r w:rsidR="00FC65A6" w:rsidRPr="4233B26A">
        <w:rPr>
          <w:rFonts w:ascii="Arial" w:hAnsi="Arial" w:cs="Arial"/>
          <w:i w:val="0"/>
        </w:rPr>
        <w:t xml:space="preserve"> Data Collection Tool (report template to be provided by CAM)</w:t>
      </w:r>
    </w:p>
    <w:p w14:paraId="78E1AC77" w14:textId="77777777" w:rsidR="00FC65A6" w:rsidRDefault="00FC65A6" w:rsidP="00E575C5">
      <w:pPr>
        <w:pStyle w:val="BodyText"/>
        <w:keepLines/>
        <w:widowControl w:val="0"/>
        <w:numPr>
          <w:ilvl w:val="0"/>
          <w:numId w:val="7"/>
        </w:numPr>
        <w:spacing w:after="120"/>
        <w:ind w:left="2880" w:hanging="720"/>
        <w:jc w:val="left"/>
        <w:rPr>
          <w:rFonts w:ascii="Arial" w:hAnsi="Arial" w:cs="Arial"/>
          <w:i w:val="0"/>
        </w:rPr>
      </w:pPr>
      <w:r>
        <w:rPr>
          <w:rFonts w:ascii="Arial" w:hAnsi="Arial" w:cs="Arial"/>
          <w:i w:val="0"/>
        </w:rPr>
        <w:t>Renewable Hydrogen Report (report template to be provided by CAM)</w:t>
      </w:r>
    </w:p>
    <w:p w14:paraId="04A240F4" w14:textId="77777777" w:rsidR="00FC65A6" w:rsidRPr="00B66B98" w:rsidRDefault="00FC65A6" w:rsidP="00E575C5">
      <w:pPr>
        <w:pStyle w:val="BodyText"/>
        <w:keepLines/>
        <w:widowControl w:val="0"/>
        <w:numPr>
          <w:ilvl w:val="0"/>
          <w:numId w:val="7"/>
        </w:numPr>
        <w:spacing w:after="120"/>
        <w:ind w:left="2880" w:hanging="720"/>
        <w:jc w:val="left"/>
        <w:rPr>
          <w:rFonts w:ascii="Arial" w:hAnsi="Arial" w:cs="Arial"/>
          <w:i w:val="0"/>
          <w:szCs w:val="24"/>
        </w:rPr>
      </w:pPr>
      <w:r w:rsidRPr="00B66B98">
        <w:rPr>
          <w:rFonts w:ascii="Arial" w:hAnsi="Arial" w:cs="Arial"/>
          <w:i w:val="0"/>
          <w:szCs w:val="24"/>
        </w:rPr>
        <w:t>Technical Products (Product Guidelines located in Section 5 of the Terms and Conditions)</w:t>
      </w:r>
    </w:p>
    <w:p w14:paraId="5FA27D85" w14:textId="77777777" w:rsidR="00FC65A6" w:rsidRDefault="00FC65A6" w:rsidP="00FC65A6">
      <w:pPr>
        <w:keepNext/>
        <w:keepLines/>
        <w:widowControl w:val="0"/>
        <w:spacing w:after="120"/>
        <w:ind w:left="1440"/>
        <w:rPr>
          <w:rFonts w:ascii="Arial" w:hAnsi="Arial" w:cs="Arial"/>
          <w:b/>
        </w:rPr>
      </w:pPr>
      <w:r>
        <w:rPr>
          <w:rFonts w:ascii="Arial" w:hAnsi="Arial" w:cs="Arial"/>
          <w:b/>
        </w:rPr>
        <w:t>CAM Product:</w:t>
      </w:r>
    </w:p>
    <w:p w14:paraId="77B64FF3" w14:textId="77777777" w:rsidR="00FC65A6" w:rsidRPr="00D65A71" w:rsidRDefault="00FC65A6" w:rsidP="00E575C5">
      <w:pPr>
        <w:keepLines/>
        <w:widowControl w:val="0"/>
        <w:numPr>
          <w:ilvl w:val="0"/>
          <w:numId w:val="8"/>
        </w:numPr>
        <w:spacing w:after="120"/>
        <w:ind w:left="2160" w:hanging="720"/>
        <w:rPr>
          <w:rFonts w:ascii="Arial" w:hAnsi="Arial" w:cs="Arial"/>
        </w:rPr>
      </w:pPr>
      <w:r w:rsidRPr="00B66B98">
        <w:rPr>
          <w:rFonts w:ascii="Arial" w:hAnsi="Arial" w:cs="Arial"/>
        </w:rPr>
        <w:t>Kick-Off Meeting Agenda</w:t>
      </w:r>
    </w:p>
    <w:p w14:paraId="2826080D" w14:textId="77777777" w:rsidR="00FC65A6" w:rsidRPr="00B66B98" w:rsidRDefault="00FC65A6" w:rsidP="00FC65A6">
      <w:pPr>
        <w:keepNext/>
        <w:keepLines/>
        <w:widowControl w:val="0"/>
        <w:spacing w:after="120"/>
        <w:ind w:left="1440"/>
        <w:rPr>
          <w:rFonts w:ascii="Arial" w:hAnsi="Arial" w:cs="Arial"/>
          <w:b/>
        </w:rPr>
      </w:pPr>
      <w:r w:rsidRPr="00B66B98">
        <w:rPr>
          <w:rFonts w:ascii="Arial" w:hAnsi="Arial" w:cs="Arial"/>
          <w:b/>
        </w:rPr>
        <w:t>Recipient Products:</w:t>
      </w:r>
    </w:p>
    <w:p w14:paraId="560FAE6B" w14:textId="77777777" w:rsidR="00FC65A6" w:rsidRPr="00B66B98" w:rsidRDefault="00FC65A6" w:rsidP="00E575C5">
      <w:pPr>
        <w:keepLines/>
        <w:widowControl w:val="0"/>
        <w:numPr>
          <w:ilvl w:val="0"/>
          <w:numId w:val="8"/>
        </w:numPr>
        <w:spacing w:after="120"/>
        <w:ind w:left="2160" w:hanging="720"/>
        <w:rPr>
          <w:rFonts w:ascii="Arial" w:hAnsi="Arial" w:cs="Arial"/>
        </w:rPr>
      </w:pPr>
      <w:r w:rsidRPr="00B66B98">
        <w:rPr>
          <w:rFonts w:ascii="Arial" w:hAnsi="Arial" w:cs="Arial"/>
        </w:rPr>
        <w:t>Updated Schedule of Products</w:t>
      </w:r>
    </w:p>
    <w:p w14:paraId="32A31497" w14:textId="77777777" w:rsidR="00FC65A6" w:rsidRPr="00B66B98" w:rsidRDefault="00FC65A6" w:rsidP="00E575C5">
      <w:pPr>
        <w:keepLines/>
        <w:widowControl w:val="0"/>
        <w:numPr>
          <w:ilvl w:val="0"/>
          <w:numId w:val="8"/>
        </w:numPr>
        <w:spacing w:after="120"/>
        <w:ind w:left="2160" w:hanging="720"/>
        <w:rPr>
          <w:rFonts w:ascii="Arial" w:hAnsi="Arial" w:cs="Arial"/>
        </w:rPr>
      </w:pPr>
      <w:r w:rsidRPr="00B66B98">
        <w:rPr>
          <w:rFonts w:ascii="Arial" w:hAnsi="Arial" w:cs="Arial"/>
        </w:rPr>
        <w:lastRenderedPageBreak/>
        <w:t>Updated List of Match Funds</w:t>
      </w:r>
      <w:r>
        <w:rPr>
          <w:rFonts w:ascii="Arial" w:hAnsi="Arial" w:cs="Arial"/>
        </w:rPr>
        <w:t xml:space="preserve"> (Private, Utility, Federal)</w:t>
      </w:r>
    </w:p>
    <w:p w14:paraId="3559B6E7" w14:textId="77777777" w:rsidR="00FC65A6" w:rsidRPr="00B66B98" w:rsidRDefault="00FC65A6" w:rsidP="00E575C5">
      <w:pPr>
        <w:keepLines/>
        <w:widowControl w:val="0"/>
        <w:numPr>
          <w:ilvl w:val="0"/>
          <w:numId w:val="8"/>
        </w:numPr>
        <w:spacing w:after="120"/>
        <w:ind w:left="2160" w:hanging="720"/>
        <w:rPr>
          <w:rFonts w:ascii="Arial" w:hAnsi="Arial" w:cs="Arial"/>
        </w:rPr>
      </w:pPr>
      <w:r w:rsidRPr="00B66B98">
        <w:rPr>
          <w:rFonts w:ascii="Arial" w:hAnsi="Arial" w:cs="Arial"/>
        </w:rPr>
        <w:t>Updated List of Permits</w:t>
      </w:r>
    </w:p>
    <w:p w14:paraId="4DCA91C9" w14:textId="77777777" w:rsidR="00FC65A6" w:rsidRPr="00B66B98" w:rsidRDefault="00FC65A6" w:rsidP="00E575C5">
      <w:pPr>
        <w:keepLines/>
        <w:widowControl w:val="0"/>
        <w:numPr>
          <w:ilvl w:val="0"/>
          <w:numId w:val="8"/>
        </w:numPr>
        <w:spacing w:after="120"/>
        <w:ind w:left="2160" w:hanging="720"/>
        <w:rPr>
          <w:rFonts w:ascii="Arial" w:hAnsi="Arial" w:cs="Arial"/>
        </w:rPr>
      </w:pPr>
      <w:r w:rsidRPr="00B66B98">
        <w:rPr>
          <w:rFonts w:ascii="Arial" w:hAnsi="Arial" w:cs="Arial"/>
        </w:rPr>
        <w:t>Written Statement of Match Share Activities</w:t>
      </w:r>
    </w:p>
    <w:p w14:paraId="0A819B8C" w14:textId="3B2C5F86" w:rsidR="00DD3588" w:rsidRPr="00291CC5" w:rsidRDefault="00DD3588" w:rsidP="0060100B">
      <w:pPr>
        <w:pStyle w:val="Heading3"/>
        <w:numPr>
          <w:ilvl w:val="0"/>
          <w:numId w:val="49"/>
        </w:numPr>
        <w:tabs>
          <w:tab w:val="clear" w:pos="720"/>
        </w:tabs>
        <w:ind w:left="900" w:hanging="540"/>
        <w:rPr>
          <w:rStyle w:val="normaltextrun"/>
          <w:rFonts w:ascii="Tahoma" w:hAnsi="Tahoma" w:cs="Tahoma"/>
          <w:b/>
          <w:bCs/>
          <w:color w:val="auto"/>
        </w:rPr>
      </w:pPr>
      <w:r w:rsidRPr="00291CC5">
        <w:rPr>
          <w:rStyle w:val="normaltextrun"/>
          <w:rFonts w:ascii="Tahoma" w:hAnsi="Tahoma" w:cs="Tahoma"/>
          <w:b/>
          <w:bCs/>
          <w:color w:val="auto"/>
        </w:rPr>
        <w:t xml:space="preserve">Scope of Work Template (ATTACHMENT 2), Task </w:t>
      </w:r>
      <w:r w:rsidR="00D04502" w:rsidRPr="00291CC5">
        <w:rPr>
          <w:rStyle w:val="normaltextrun"/>
          <w:rFonts w:ascii="Tahoma" w:hAnsi="Tahoma" w:cs="Tahoma"/>
          <w:b/>
          <w:bCs/>
          <w:color w:val="auto"/>
        </w:rPr>
        <w:t>&lt;Second to Last&gt; OTHER DATA COLLECTION AND ANALYSIS</w:t>
      </w:r>
    </w:p>
    <w:p w14:paraId="01EB4E6D" w14:textId="77777777" w:rsidR="0060100B" w:rsidRPr="0060100B" w:rsidRDefault="0060100B" w:rsidP="0060100B">
      <w:pPr>
        <w:ind w:left="-90"/>
      </w:pPr>
    </w:p>
    <w:p w14:paraId="61328557" w14:textId="77777777" w:rsidR="00173CB4" w:rsidRPr="00B66B98" w:rsidRDefault="00173CB4" w:rsidP="00173CB4">
      <w:pPr>
        <w:keepLines/>
        <w:spacing w:after="120"/>
        <w:ind w:left="1440"/>
        <w:rPr>
          <w:rFonts w:ascii="Arial" w:hAnsi="Arial" w:cs="Arial"/>
        </w:rPr>
      </w:pPr>
      <w:r w:rsidRPr="16F745B1">
        <w:rPr>
          <w:rFonts w:ascii="Arial" w:hAnsi="Arial" w:cs="Arial"/>
        </w:rPr>
        <w:t>The goal of this task is to collect operational and programmatic data from the project.</w:t>
      </w:r>
      <w:r w:rsidRPr="5AAC27B8">
        <w:rPr>
          <w:rFonts w:ascii="Arial" w:eastAsia="Arial" w:hAnsi="Arial" w:cs="Arial"/>
          <w:color w:val="000000" w:themeColor="text1"/>
        </w:rPr>
        <w:t xml:space="preserve"> </w:t>
      </w:r>
    </w:p>
    <w:p w14:paraId="6A3233C5" w14:textId="77777777" w:rsidR="00173CB4" w:rsidRDefault="00173CB4" w:rsidP="00173CB4">
      <w:pPr>
        <w:keepLines/>
        <w:spacing w:after="120"/>
        <w:ind w:left="1440"/>
        <w:rPr>
          <w:rFonts w:ascii="Arial" w:hAnsi="Arial" w:cs="Arial"/>
          <w:b/>
          <w:bCs/>
        </w:rPr>
      </w:pPr>
      <w:r w:rsidRPr="006C44B2">
        <w:rPr>
          <w:rFonts w:ascii="Arial" w:hAnsi="Arial" w:cs="Arial"/>
          <w:b/>
          <w:bCs/>
        </w:rPr>
        <w:t>The Recipient shall:</w:t>
      </w:r>
      <w:r>
        <w:rPr>
          <w:rFonts w:ascii="Arial" w:hAnsi="Arial" w:cs="Arial"/>
          <w:b/>
          <w:bCs/>
        </w:rPr>
        <w:t xml:space="preserve"> </w:t>
      </w:r>
    </w:p>
    <w:p w14:paraId="22F8EC40" w14:textId="77777777" w:rsidR="00173CB4" w:rsidRPr="00EE0DD0"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EE0DD0">
        <w:rPr>
          <w:rFonts w:ascii="Arial" w:hAnsi="Arial" w:cs="Arial"/>
          <w:color w:val="000000" w:themeColor="text1"/>
        </w:rPr>
        <w:t>Complete an Open Retail Station Checklist after each hydrogen refueling station becomes operational.</w:t>
      </w:r>
    </w:p>
    <w:p w14:paraId="428C2B5E" w14:textId="77777777" w:rsidR="00173CB4" w:rsidRPr="00EE0DD0"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EE0DD0">
        <w:rPr>
          <w:rFonts w:ascii="Arial" w:hAnsi="Arial" w:cs="Arial"/>
          <w:color w:val="000000" w:themeColor="text1"/>
        </w:rPr>
        <w:t xml:space="preserve">Prepare and provide a Program Management Data Report in a format chosen by the CEC following the first monthly call (Task 1.4) and update during subsequent monthly calls as needed. </w:t>
      </w:r>
    </w:p>
    <w:p w14:paraId="16688001" w14:textId="776AD66D" w:rsidR="00173CB4" w:rsidRPr="00EE0DD0"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EE0DD0">
        <w:rPr>
          <w:rFonts w:ascii="Arial" w:hAnsi="Arial" w:cs="Arial"/>
          <w:color w:val="000000" w:themeColor="text1"/>
        </w:rPr>
        <w:t xml:space="preserve">Complete and submit the </w:t>
      </w:r>
      <w:r w:rsidR="009D4532">
        <w:rPr>
          <w:rFonts w:ascii="Arial" w:hAnsi="Arial" w:cs="Arial"/>
          <w:color w:val="000000" w:themeColor="text1"/>
        </w:rPr>
        <w:t>[</w:t>
      </w:r>
      <w:r w:rsidRPr="00230F40">
        <w:rPr>
          <w:rFonts w:ascii="Arial" w:hAnsi="Arial" w:cs="Arial"/>
          <w:strike/>
          <w:color w:val="000000" w:themeColor="text1"/>
        </w:rPr>
        <w:t>NREL</w:t>
      </w:r>
      <w:r w:rsidR="009D4532" w:rsidRPr="009D4532">
        <w:rPr>
          <w:rFonts w:ascii="Arial" w:hAnsi="Arial" w:cs="Arial"/>
          <w:color w:val="000000" w:themeColor="text1"/>
        </w:rPr>
        <w:t>]</w:t>
      </w:r>
      <w:r>
        <w:rPr>
          <w:rFonts w:ascii="Arial" w:hAnsi="Arial" w:cs="Arial"/>
          <w:b/>
          <w:bCs/>
          <w:color w:val="000000" w:themeColor="text1"/>
          <w:u w:val="single"/>
        </w:rPr>
        <w:t>NLR</w:t>
      </w:r>
      <w:r w:rsidRPr="00EE0DD0">
        <w:rPr>
          <w:rFonts w:ascii="Arial" w:hAnsi="Arial" w:cs="Arial"/>
          <w:color w:val="000000" w:themeColor="text1"/>
        </w:rPr>
        <w:t xml:space="preserve"> Data Collection Tool (to be provided by the CAM) quarterly for each hydrogen refueling station in the project throughout the project term. See Task XX.1 Utilization.</w:t>
      </w:r>
    </w:p>
    <w:p w14:paraId="42036B73" w14:textId="77777777" w:rsidR="00173CB4" w:rsidRPr="00EE0DD0"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EE0DD0">
        <w:rPr>
          <w:rFonts w:ascii="Arial" w:hAnsi="Arial" w:cs="Arial"/>
          <w:color w:val="000000" w:themeColor="text1"/>
        </w:rPr>
        <w:t>Complete and submit a Renewable Hydrogen Report every six months during the term of this agreement that includes but is not limited to the percentage of renewable hydrogen dispensed at each hydrogen refueling station in the project, the carbon intensity of the renewable hydrogen, and the Low Carbon Fuel Standard pathway associated with the renewable hydrogen. See Task XX.2 GHG Intensity Reporting.</w:t>
      </w:r>
    </w:p>
    <w:p w14:paraId="183DE063" w14:textId="77777777" w:rsidR="00173CB4" w:rsidRPr="004706F4"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4706F4">
        <w:rPr>
          <w:rFonts w:ascii="Arial" w:hAnsi="Arial" w:cs="Arial"/>
          <w:color w:val="000000" w:themeColor="text1"/>
        </w:rPr>
        <w:t xml:space="preserve">Perform and submit results of purity testing using hydrogen collected at the nozzle for each hose at each hydrogen refueling station in the project: </w:t>
      </w:r>
    </w:p>
    <w:p w14:paraId="18D605FE"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Annually during the term of this agreement.</w:t>
      </w:r>
    </w:p>
    <w:p w14:paraId="65B09473" w14:textId="77777777" w:rsidR="00173CB4" w:rsidRPr="001E1258" w:rsidRDefault="00173CB4" w:rsidP="00E575C5">
      <w:pPr>
        <w:pStyle w:val="BodyText"/>
        <w:keepLines/>
        <w:numPr>
          <w:ilvl w:val="0"/>
          <w:numId w:val="7"/>
        </w:numPr>
        <w:tabs>
          <w:tab w:val="left" w:pos="2160"/>
        </w:tabs>
        <w:spacing w:after="120"/>
        <w:ind w:left="2880" w:hanging="720"/>
        <w:jc w:val="left"/>
        <w:rPr>
          <w:rFonts w:ascii="Arial" w:hAnsi="Arial" w:cs="Arial"/>
          <w:i w:val="0"/>
          <w:szCs w:val="24"/>
        </w:rPr>
      </w:pPr>
      <w:r w:rsidRPr="001E1258">
        <w:rPr>
          <w:rFonts w:ascii="Arial" w:hAnsi="Arial" w:cs="Arial"/>
          <w:i w:val="0"/>
          <w:szCs w:val="24"/>
        </w:rPr>
        <w:t>At any station when it changes from Retail: Unavailable to Retail: Open.</w:t>
      </w:r>
    </w:p>
    <w:p w14:paraId="423BDBF0" w14:textId="77777777" w:rsidR="00173CB4" w:rsidRPr="001E1258" w:rsidRDefault="00173CB4" w:rsidP="00E575C5">
      <w:pPr>
        <w:pStyle w:val="BodyText"/>
        <w:keepLines/>
        <w:numPr>
          <w:ilvl w:val="0"/>
          <w:numId w:val="7"/>
        </w:numPr>
        <w:tabs>
          <w:tab w:val="left" w:pos="2160"/>
        </w:tabs>
        <w:spacing w:after="120"/>
        <w:ind w:left="2880" w:hanging="720"/>
        <w:jc w:val="left"/>
        <w:rPr>
          <w:rFonts w:ascii="Arial" w:hAnsi="Arial" w:cs="Arial"/>
          <w:i w:val="0"/>
          <w:szCs w:val="24"/>
        </w:rPr>
      </w:pPr>
      <w:r w:rsidRPr="001E1258">
        <w:rPr>
          <w:rFonts w:ascii="Arial" w:hAnsi="Arial" w:cs="Arial"/>
          <w:i w:val="0"/>
          <w:szCs w:val="24"/>
        </w:rPr>
        <w:t>As needed when the hydrogen lines are potentially exposed to contamination due to maintenance or other activity.</w:t>
      </w:r>
    </w:p>
    <w:p w14:paraId="0D717011" w14:textId="77777777" w:rsidR="00173CB4" w:rsidRPr="0075327F" w:rsidRDefault="00173CB4" w:rsidP="00173CB4">
      <w:pPr>
        <w:pStyle w:val="ListParagraph"/>
        <w:keepLines/>
        <w:tabs>
          <w:tab w:val="left" w:pos="2160"/>
        </w:tabs>
        <w:spacing w:after="120"/>
        <w:ind w:left="2880"/>
        <w:rPr>
          <w:rFonts w:ascii="Arial" w:hAnsi="Arial" w:cs="Arial"/>
        </w:rPr>
      </w:pPr>
      <w:r w:rsidRPr="0075327F">
        <w:rPr>
          <w:rFonts w:ascii="Arial" w:hAnsi="Arial" w:cs="Arial"/>
        </w:rPr>
        <w:t>Hydrogen purity readings shall be collected according to CCR Title 4 Business Regulations, Division 9 Measurement Standards, Chapter 6 Automotive Products Specifications, Article 8 Specifications for Hydrogen Used in Internal Combustion Engines and Fuel Cells, Sections 4180 and 4181.</w:t>
      </w:r>
    </w:p>
    <w:p w14:paraId="53E4E28A" w14:textId="77777777" w:rsidR="00173CB4" w:rsidRPr="003336C5"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3336C5">
        <w:rPr>
          <w:rFonts w:ascii="Arial" w:hAnsi="Arial" w:cs="Arial"/>
          <w:color w:val="000000" w:themeColor="text1"/>
        </w:rPr>
        <w:t>Comply with the Petroleum Industry Information Reporting Act (PIIRA) and complete CEC Form A15, found at https://a15.energy.ca.gov/, on an annual basis for each hydrogen refueling station in the project. Submit the form to the CEC’s PIIRA Data Collection Unit per the instructions on the website.</w:t>
      </w:r>
    </w:p>
    <w:p w14:paraId="0ED3A1FA" w14:textId="77777777" w:rsidR="00173CB4" w:rsidRPr="003336C5"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3336C5">
        <w:rPr>
          <w:rFonts w:ascii="Arial" w:hAnsi="Arial" w:cs="Arial"/>
          <w:color w:val="000000" w:themeColor="text1"/>
        </w:rPr>
        <w:lastRenderedPageBreak/>
        <w:t>Collect and provide the following programmatic data for all hydrogen refueling stations, and include in the Program Management Data Report. The programmatic data shall include, but not be limited to the following:</w:t>
      </w:r>
    </w:p>
    <w:p w14:paraId="67F99F20" w14:textId="77777777" w:rsidR="00173CB4" w:rsidRPr="009536E5" w:rsidRDefault="00173CB4" w:rsidP="00173CB4">
      <w:pPr>
        <w:pStyle w:val="ListParagraph"/>
        <w:keepLines/>
        <w:spacing w:after="120"/>
        <w:ind w:left="2160"/>
        <w:rPr>
          <w:rFonts w:ascii="Arial" w:hAnsi="Arial" w:cs="Arial"/>
        </w:rPr>
      </w:pPr>
    </w:p>
    <w:p w14:paraId="6E5A8E60"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Refueling Station Information:</w:t>
      </w:r>
      <w:r>
        <w:rPr>
          <w:rFonts w:ascii="Arial" w:hAnsi="Arial" w:cs="Arial"/>
          <w:i w:val="0"/>
          <w:szCs w:val="24"/>
        </w:rPr>
        <w:t xml:space="preserve"> </w:t>
      </w:r>
      <w:r w:rsidRPr="001E1258">
        <w:rPr>
          <w:rFonts w:ascii="Arial" w:hAnsi="Arial" w:cs="Arial"/>
          <w:i w:val="0"/>
          <w:szCs w:val="24"/>
        </w:rPr>
        <w:t>Funding</w:t>
      </w:r>
    </w:p>
    <w:p w14:paraId="2314ED77"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The subsidy from a federal program, utility program, and private funding</w:t>
      </w:r>
    </w:p>
    <w:p w14:paraId="74E6B9FB"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Vehicles</w:t>
      </w:r>
    </w:p>
    <w:p w14:paraId="5279C486"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Primary Vehicle Type served such as light duty (GVWR &lt;= 10,000), medium duty (10,000 &lt; GVWR &lt;= 26,000), heavy duty (GVWR &gt; 26,000)</w:t>
      </w:r>
    </w:p>
    <w:p w14:paraId="247529B7"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Milestone Dates</w:t>
      </w:r>
    </w:p>
    <w:p w14:paraId="3DCE0D93"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Key milestone dates, such as permit request and received date, energization date, hydrogen refueling station operational date, and other dates as requested by the CAM</w:t>
      </w:r>
    </w:p>
    <w:p w14:paraId="24EB8DCE"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Location</w:t>
      </w:r>
    </w:p>
    <w:p w14:paraId="7BABE3A9"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Primary site access type such as publicly access, shared access, private access</w:t>
      </w:r>
    </w:p>
    <w:p w14:paraId="0C49C3B5"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Location/site use type, such as hotel, restaurant, or multi-unit housing</w:t>
      </w:r>
    </w:p>
    <w:p w14:paraId="04E5AD3B"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Hydrogen refueling station address</w:t>
      </w:r>
    </w:p>
    <w:p w14:paraId="7A3365EE" w14:textId="77777777" w:rsidR="00173CB4" w:rsidRPr="001E1258" w:rsidRDefault="00173CB4" w:rsidP="00E575C5">
      <w:pPr>
        <w:keepLines/>
        <w:numPr>
          <w:ilvl w:val="2"/>
          <w:numId w:val="10"/>
        </w:numPr>
        <w:spacing w:after="120"/>
        <w:ind w:left="3600" w:hanging="720"/>
        <w:rPr>
          <w:rFonts w:ascii="Arial" w:hAnsi="Arial" w:cs="Arial"/>
        </w:rPr>
      </w:pPr>
      <w:r w:rsidRPr="009536E5">
        <w:rPr>
          <w:rFonts w:ascii="Arial" w:hAnsi="Arial" w:cs="Arial"/>
        </w:rPr>
        <w:t>Parking location type, such as street, parking lot or parking garage</w:t>
      </w:r>
    </w:p>
    <w:p w14:paraId="20DA4FD4"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Station Information</w:t>
      </w:r>
    </w:p>
    <w:p w14:paraId="72352EEF"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equipment type, number of dispensers, number of fueling positions per dispenser</w:t>
      </w:r>
    </w:p>
    <w:p w14:paraId="7D568C7E"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equipment station developer, nozzle manufacturer, storage manufacturer</w:t>
      </w:r>
    </w:p>
    <w:p w14:paraId="7C58BFC5"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equipment steam methane reformation (SMR) or electrolyzer, compressor or pump</w:t>
      </w:r>
    </w:p>
    <w:p w14:paraId="73C1EE76"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Hydrogen nameplate capacity kg per day</w:t>
      </w:r>
    </w:p>
    <w:p w14:paraId="71E6157B"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The number of LD, MD, and/or HD vehicles fueled by the station</w:t>
      </w:r>
    </w:p>
    <w:p w14:paraId="22D31030" w14:textId="77777777" w:rsidR="00173CB4" w:rsidRPr="009536E5" w:rsidRDefault="00173CB4" w:rsidP="00173CB4">
      <w:pPr>
        <w:pStyle w:val="ListParagraph"/>
        <w:keepLines/>
        <w:spacing w:after="120"/>
        <w:ind w:left="2880"/>
        <w:rPr>
          <w:rFonts w:ascii="Arial" w:hAnsi="Arial" w:cs="Arial"/>
        </w:rPr>
      </w:pPr>
    </w:p>
    <w:p w14:paraId="1620C8B2"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478CDC67">
        <w:rPr>
          <w:rFonts w:ascii="Arial" w:hAnsi="Arial" w:cs="Arial"/>
          <w:color w:val="000000" w:themeColor="text1"/>
        </w:rPr>
        <w:t xml:space="preserve">Include the following information in the Quarterly Progress Reports: </w:t>
      </w:r>
      <w:r w:rsidRPr="478CDC67">
        <w:rPr>
          <w:rFonts w:ascii="Arial" w:hAnsi="Arial" w:cs="Arial"/>
          <w:color w:val="000000" w:themeColor="text1"/>
          <w:highlight w:val="yellow"/>
        </w:rPr>
        <w:t>[CAM to delete this item if the project is not required to meet a minimum Public Access threshold (e.g., 25% of total station output or availability during normal operating hours)]</w:t>
      </w:r>
    </w:p>
    <w:p w14:paraId="02C0248B"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lastRenderedPageBreak/>
        <w:t>Identification of stations designated for public use</w:t>
      </w:r>
    </w:p>
    <w:p w14:paraId="20468DBD"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Percentage of total project capacity dedicated to Public Access</w:t>
      </w:r>
    </w:p>
    <w:p w14:paraId="4DB849B4"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Usage metrics for Public Access stations (e.g., throughput, hours of operation, user types)</w:t>
      </w:r>
    </w:p>
    <w:p w14:paraId="31F05828"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Description of how Public Access is maintained and enforced</w:t>
      </w:r>
    </w:p>
    <w:p w14:paraId="6C72C13B"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Geographical location and accessibility features of public use stations</w:t>
      </w:r>
    </w:p>
    <w:p w14:paraId="096BF850" w14:textId="77777777" w:rsidR="00173CB4" w:rsidRPr="001E1258" w:rsidRDefault="00173CB4"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Any pricing, signage, or operational policies specific to public users</w:t>
      </w:r>
    </w:p>
    <w:p w14:paraId="0E21BC8E" w14:textId="77777777" w:rsidR="00173CB4" w:rsidRPr="00B66B98" w:rsidRDefault="00173CB4" w:rsidP="00173CB4">
      <w:pPr>
        <w:pStyle w:val="paragraph"/>
        <w:tabs>
          <w:tab w:val="left" w:pos="2160"/>
        </w:tabs>
        <w:spacing w:before="0" w:beforeAutospacing="0" w:after="0" w:afterAutospacing="0"/>
        <w:ind w:left="2160" w:hanging="720"/>
        <w:jc w:val="both"/>
        <w:textAlignment w:val="baseline"/>
        <w:rPr>
          <w:rFonts w:ascii="Arial" w:hAnsi="Arial" w:cs="Arial"/>
        </w:rPr>
      </w:pPr>
      <w:r w:rsidRPr="2141B5D7">
        <w:rPr>
          <w:rStyle w:val="normaltextrun"/>
          <w:rFonts w:ascii="Arial" w:hAnsi="Arial" w:cs="Arial"/>
          <w:b/>
          <w:bCs/>
        </w:rPr>
        <w:t>Products:</w:t>
      </w:r>
      <w:r w:rsidRPr="2141B5D7">
        <w:rPr>
          <w:rStyle w:val="eop"/>
          <w:rFonts w:ascii="Arial" w:hAnsi="Arial" w:cs="Arial"/>
        </w:rPr>
        <w:t> </w:t>
      </w:r>
    </w:p>
    <w:p w14:paraId="3F4B3C7F"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Open Retail Station Checklist</w:t>
      </w:r>
    </w:p>
    <w:p w14:paraId="445CB4B8"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Program Management Data Report</w:t>
      </w:r>
    </w:p>
    <w:p w14:paraId="338DD5DB"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Annual and as needed hydrogen purity test results</w:t>
      </w:r>
    </w:p>
    <w:p w14:paraId="6351F252"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Annual CEC A15 form</w:t>
      </w:r>
    </w:p>
    <w:p w14:paraId="59CA23BB" w14:textId="77777777" w:rsidR="00173CB4" w:rsidRPr="005C15CB" w:rsidRDefault="00173CB4"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Public Access information included in Quarterly Progress Reports (Task 1.5), if applicable</w:t>
      </w:r>
    </w:p>
    <w:p w14:paraId="1EFD7338" w14:textId="516D6102" w:rsidR="00971E21" w:rsidRPr="007D6313" w:rsidRDefault="00971E21" w:rsidP="007D6313">
      <w:pPr>
        <w:pStyle w:val="Heading3"/>
        <w:keepNext w:val="0"/>
        <w:keepLines w:val="0"/>
        <w:numPr>
          <w:ilvl w:val="0"/>
          <w:numId w:val="49"/>
        </w:numPr>
        <w:tabs>
          <w:tab w:val="clear" w:pos="720"/>
        </w:tabs>
        <w:spacing w:before="0"/>
        <w:ind w:left="900" w:hanging="540"/>
        <w:textAlignment w:val="baseline"/>
        <w:rPr>
          <w:rStyle w:val="normaltextrun"/>
          <w:rFonts w:ascii="Tahoma" w:hAnsi="Tahoma" w:cs="Tahoma"/>
          <w:b/>
          <w:color w:val="auto"/>
        </w:rPr>
      </w:pPr>
      <w:r w:rsidRPr="00AA03C9">
        <w:rPr>
          <w:rStyle w:val="normaltextrun"/>
          <w:rFonts w:ascii="Tahoma" w:hAnsi="Tahoma" w:cs="Tahoma"/>
          <w:b/>
          <w:bCs/>
          <w:color w:val="auto"/>
        </w:rPr>
        <w:t>Scope of Work Template (ATTACHMENT 2), Task &lt;Second to Last&gt; .1</w:t>
      </w:r>
      <w:r w:rsidR="00AF31CB" w:rsidRPr="00AA03C9">
        <w:rPr>
          <w:rStyle w:val="normaltextrun"/>
          <w:rFonts w:ascii="Tahoma" w:hAnsi="Tahoma" w:cs="Tahoma"/>
          <w:b/>
          <w:bCs/>
          <w:color w:val="auto"/>
        </w:rPr>
        <w:t xml:space="preserve"> Utilization</w:t>
      </w:r>
    </w:p>
    <w:p w14:paraId="296CE3D6" w14:textId="77777777" w:rsidR="007D6313" w:rsidRPr="007D6313" w:rsidRDefault="007D6313" w:rsidP="007D6313">
      <w:pPr>
        <w:ind w:left="900" w:hanging="540"/>
      </w:pPr>
    </w:p>
    <w:p w14:paraId="6C8C5E6D" w14:textId="77777777" w:rsidR="006F0AA0" w:rsidRPr="00D65A71" w:rsidRDefault="006F0AA0" w:rsidP="006F0AA0">
      <w:pPr>
        <w:pStyle w:val="paragraph"/>
        <w:spacing w:before="0" w:beforeAutospacing="0" w:after="0" w:afterAutospacing="0"/>
        <w:ind w:left="1440"/>
        <w:jc w:val="both"/>
        <w:textAlignment w:val="baseline"/>
        <w:rPr>
          <w:rFonts w:ascii="Arial" w:hAnsi="Arial" w:cs="Arial"/>
          <w:b/>
          <w:bCs/>
        </w:rPr>
      </w:pPr>
      <w:r w:rsidRPr="00D65A71">
        <w:rPr>
          <w:rFonts w:ascii="Arial" w:hAnsi="Arial" w:cs="Arial"/>
          <w:b/>
          <w:bCs/>
        </w:rPr>
        <w:t xml:space="preserve">The Recipient </w:t>
      </w:r>
      <w:r w:rsidRPr="16F745B1">
        <w:rPr>
          <w:rFonts w:ascii="Arial" w:hAnsi="Arial" w:cs="Arial"/>
          <w:b/>
          <w:bCs/>
        </w:rPr>
        <w:t>s</w:t>
      </w:r>
      <w:r w:rsidRPr="00D65A71">
        <w:rPr>
          <w:rFonts w:ascii="Arial" w:hAnsi="Arial" w:cs="Arial"/>
          <w:b/>
          <w:bCs/>
        </w:rPr>
        <w:t>hall:</w:t>
      </w:r>
    </w:p>
    <w:p w14:paraId="600F5A28" w14:textId="29C31F63" w:rsidR="006F0AA0" w:rsidRPr="005C15CB" w:rsidRDefault="006F0AA0" w:rsidP="00E575C5">
      <w:pPr>
        <w:keepLines/>
        <w:numPr>
          <w:ilvl w:val="0"/>
          <w:numId w:val="11"/>
        </w:numPr>
        <w:tabs>
          <w:tab w:val="clear" w:pos="720"/>
        </w:tabs>
        <w:spacing w:before="120" w:after="120"/>
        <w:ind w:left="2160" w:hanging="720"/>
        <w:rPr>
          <w:rFonts w:ascii="Arial" w:hAnsi="Arial" w:cs="Arial"/>
          <w:color w:val="000000" w:themeColor="text1"/>
        </w:rPr>
      </w:pPr>
      <w:r w:rsidRPr="005C15CB">
        <w:rPr>
          <w:rFonts w:ascii="Arial" w:hAnsi="Arial" w:cs="Arial"/>
          <w:color w:val="000000" w:themeColor="text1"/>
        </w:rPr>
        <w:t xml:space="preserve">Collect and provide to the CAM, at minimum, quarterly utilization data from the project for all hydrogen refueling stations in the </w:t>
      </w:r>
      <w:r w:rsidR="00667528">
        <w:rPr>
          <w:rFonts w:ascii="Arial" w:hAnsi="Arial" w:cs="Arial"/>
          <w:color w:val="000000" w:themeColor="text1"/>
        </w:rPr>
        <w:t>[</w:t>
      </w:r>
      <w:r w:rsidRPr="00230F40">
        <w:rPr>
          <w:rFonts w:ascii="Arial" w:hAnsi="Arial" w:cs="Arial"/>
          <w:strike/>
          <w:color w:val="000000" w:themeColor="text1"/>
        </w:rPr>
        <w:t>NREL</w:t>
      </w:r>
      <w:r w:rsidR="00667528" w:rsidRPr="00667528">
        <w:rPr>
          <w:rFonts w:ascii="Arial" w:hAnsi="Arial" w:cs="Arial"/>
          <w:color w:val="000000" w:themeColor="text1"/>
        </w:rPr>
        <w:t>]</w:t>
      </w:r>
      <w:r w:rsidRPr="00230F40">
        <w:rPr>
          <w:rFonts w:ascii="Arial" w:hAnsi="Arial" w:cs="Arial"/>
          <w:b/>
          <w:bCs/>
          <w:color w:val="000000" w:themeColor="text1"/>
          <w:u w:val="single"/>
        </w:rPr>
        <w:t>NLR</w:t>
      </w:r>
      <w:r w:rsidRPr="005C15CB">
        <w:rPr>
          <w:rFonts w:ascii="Arial" w:hAnsi="Arial" w:cs="Arial"/>
          <w:color w:val="000000" w:themeColor="text1"/>
        </w:rPr>
        <w:t xml:space="preserve"> Data Collection Tool and report the hydrogen station data listed below in each Quarterly Project Report (Task 1.5) for three years after the hydrogen stations are operational, including, but not limited to:</w:t>
      </w:r>
    </w:p>
    <w:p w14:paraId="4802935D"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Number of refueling sessions</w:t>
      </w:r>
    </w:p>
    <w:p w14:paraId="25DC20AB"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Average refueling station downtime (to be included in Quarterly Project Reports)</w:t>
      </w:r>
    </w:p>
    <w:p w14:paraId="08DDF759"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Average refueling session duration</w:t>
      </w:r>
    </w:p>
    <w:p w14:paraId="4666BFCA"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Average kilograms of hydrogen dispensed per refueling session</w:t>
      </w:r>
    </w:p>
    <w:p w14:paraId="6ED87389"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Average retail price of hydrogen</w:t>
      </w:r>
    </w:p>
    <w:p w14:paraId="00D52FBB"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Normal operating hours, and explanations of variations (to be included in Quarterly Project reports)</w:t>
      </w:r>
    </w:p>
    <w:p w14:paraId="0D94CE36" w14:textId="77777777" w:rsidR="006F0AA0" w:rsidRPr="001E1258"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Gallons of gasoline and/or diesel fuel displaced (with associated mileage information)</w:t>
      </w:r>
    </w:p>
    <w:p w14:paraId="20B7A6B7" w14:textId="77777777" w:rsidR="006F0AA0" w:rsidRDefault="006F0AA0" w:rsidP="00E575C5">
      <w:pPr>
        <w:pStyle w:val="BodyText"/>
        <w:keepLines/>
        <w:numPr>
          <w:ilvl w:val="0"/>
          <w:numId w:val="7"/>
        </w:numPr>
        <w:spacing w:after="120"/>
        <w:ind w:left="2880" w:hanging="720"/>
        <w:jc w:val="left"/>
        <w:rPr>
          <w:rFonts w:ascii="Arial" w:hAnsi="Arial" w:cs="Arial"/>
          <w:i w:val="0"/>
          <w:szCs w:val="24"/>
        </w:rPr>
      </w:pPr>
      <w:r w:rsidRPr="001E1258">
        <w:rPr>
          <w:rFonts w:ascii="Arial" w:hAnsi="Arial" w:cs="Arial"/>
          <w:i w:val="0"/>
          <w:szCs w:val="24"/>
        </w:rPr>
        <w:t>Identify any current and planned use of renewable energy at the facility (to be included in Quarterly Project reports)</w:t>
      </w:r>
    </w:p>
    <w:p w14:paraId="40838931" w14:textId="77777777" w:rsidR="006F0AA0" w:rsidRPr="00E96587" w:rsidRDefault="006F0AA0" w:rsidP="00E575C5">
      <w:pPr>
        <w:pStyle w:val="BodyText"/>
        <w:keepLines/>
        <w:numPr>
          <w:ilvl w:val="0"/>
          <w:numId w:val="7"/>
        </w:numPr>
        <w:spacing w:after="120"/>
        <w:ind w:left="2880" w:hanging="720"/>
        <w:jc w:val="left"/>
        <w:rPr>
          <w:rFonts w:ascii="Arial" w:hAnsi="Arial" w:cs="Arial"/>
          <w:i w:val="0"/>
          <w:szCs w:val="24"/>
        </w:rPr>
      </w:pPr>
      <w:r w:rsidRPr="00E96587">
        <w:rPr>
          <w:rFonts w:ascii="Arial" w:hAnsi="Arial" w:cs="Arial"/>
          <w:color w:val="000000" w:themeColor="text1"/>
          <w:szCs w:val="24"/>
        </w:rPr>
        <w:lastRenderedPageBreak/>
        <w:t xml:space="preserve">Retention may be withheld under this Agreement until at least 12 months of data collection is provided by Recipient. </w:t>
      </w:r>
    </w:p>
    <w:p w14:paraId="113302AB" w14:textId="77777777" w:rsidR="006F0AA0" w:rsidRPr="00B66B98" w:rsidRDefault="006F0AA0" w:rsidP="006F0AA0">
      <w:pPr>
        <w:keepLines/>
        <w:spacing w:after="120"/>
        <w:ind w:left="1440"/>
        <w:rPr>
          <w:rFonts w:ascii="Arial" w:hAnsi="Arial" w:cs="Arial"/>
          <w:b/>
          <w:bCs/>
        </w:rPr>
      </w:pPr>
      <w:r w:rsidRPr="00B66B98">
        <w:rPr>
          <w:rFonts w:ascii="Arial" w:hAnsi="Arial" w:cs="Arial"/>
          <w:b/>
          <w:bCs/>
        </w:rPr>
        <w:t>Products:</w:t>
      </w:r>
    </w:p>
    <w:p w14:paraId="6CFA1E74" w14:textId="08CC2034" w:rsidR="006F0AA0" w:rsidRPr="001E1258" w:rsidRDefault="00667528" w:rsidP="00E575C5">
      <w:pPr>
        <w:keepLines/>
        <w:numPr>
          <w:ilvl w:val="0"/>
          <w:numId w:val="11"/>
        </w:numPr>
        <w:tabs>
          <w:tab w:val="clear" w:pos="720"/>
        </w:tabs>
        <w:spacing w:before="120" w:after="120"/>
        <w:ind w:left="2160" w:hanging="720"/>
        <w:rPr>
          <w:rFonts w:ascii="Arial" w:hAnsi="Arial" w:cs="Arial"/>
          <w:color w:val="000000" w:themeColor="text1"/>
        </w:rPr>
      </w:pPr>
      <w:r w:rsidRPr="00667528">
        <w:rPr>
          <w:rFonts w:ascii="Arial" w:hAnsi="Arial" w:cs="Arial"/>
          <w:color w:val="000000" w:themeColor="text1"/>
        </w:rPr>
        <w:t>[</w:t>
      </w:r>
      <w:r w:rsidR="006F0AA0" w:rsidRPr="00230F40">
        <w:rPr>
          <w:rFonts w:ascii="Arial" w:hAnsi="Arial" w:cs="Arial"/>
          <w:strike/>
          <w:color w:val="000000" w:themeColor="text1"/>
        </w:rPr>
        <w:t>NREL</w:t>
      </w:r>
      <w:r w:rsidRPr="00667528">
        <w:rPr>
          <w:rFonts w:ascii="Arial" w:hAnsi="Arial" w:cs="Arial"/>
          <w:color w:val="000000" w:themeColor="text1"/>
        </w:rPr>
        <w:t>]</w:t>
      </w:r>
      <w:r w:rsidR="006F0AA0">
        <w:rPr>
          <w:rFonts w:ascii="Arial" w:hAnsi="Arial" w:cs="Arial"/>
          <w:b/>
          <w:bCs/>
          <w:color w:val="000000" w:themeColor="text1"/>
          <w:u w:val="single"/>
        </w:rPr>
        <w:t>NLR</w:t>
      </w:r>
      <w:r w:rsidR="006F0AA0" w:rsidRPr="001E1258">
        <w:rPr>
          <w:rFonts w:ascii="Arial" w:hAnsi="Arial" w:cs="Arial"/>
          <w:color w:val="000000" w:themeColor="text1"/>
        </w:rPr>
        <w:t xml:space="preserve"> Data Collection Tool </w:t>
      </w:r>
    </w:p>
    <w:p w14:paraId="526F3B28" w14:textId="77777777" w:rsidR="006F0AA0" w:rsidRDefault="006F0AA0" w:rsidP="00E575C5">
      <w:pPr>
        <w:keepLines/>
        <w:numPr>
          <w:ilvl w:val="0"/>
          <w:numId w:val="11"/>
        </w:numPr>
        <w:tabs>
          <w:tab w:val="clear" w:pos="720"/>
        </w:tabs>
        <w:spacing w:before="120" w:after="120"/>
        <w:ind w:left="2160" w:hanging="720"/>
        <w:rPr>
          <w:rFonts w:ascii="Arial" w:hAnsi="Arial" w:cs="Arial"/>
          <w:color w:val="000000" w:themeColor="text1"/>
        </w:rPr>
      </w:pPr>
      <w:r w:rsidRPr="001E1258">
        <w:rPr>
          <w:rFonts w:ascii="Arial" w:hAnsi="Arial" w:cs="Arial"/>
          <w:color w:val="000000" w:themeColor="text1"/>
        </w:rPr>
        <w:t>Hydrogen station data (to be included in Quarterly Project Reports (Task 1.5))</w:t>
      </w:r>
    </w:p>
    <w:p w14:paraId="6CAFE0A8" w14:textId="79C2FD83" w:rsidR="006F0AA0" w:rsidRPr="00E575C5" w:rsidRDefault="006F0AA0" w:rsidP="00577295">
      <w:pPr>
        <w:pStyle w:val="Heading3"/>
        <w:keepNext w:val="0"/>
        <w:keepLines w:val="0"/>
        <w:numPr>
          <w:ilvl w:val="3"/>
          <w:numId w:val="11"/>
        </w:numPr>
        <w:spacing w:before="0"/>
        <w:ind w:left="900" w:hanging="540"/>
        <w:textAlignment w:val="baseline"/>
        <w:rPr>
          <w:rStyle w:val="normaltextrun"/>
          <w:rFonts w:ascii="Tahoma" w:hAnsi="Tahoma" w:cs="Tahoma"/>
          <w:b/>
          <w:bCs/>
          <w:color w:val="auto"/>
        </w:rPr>
      </w:pPr>
      <w:r w:rsidRPr="00E575C5">
        <w:rPr>
          <w:rStyle w:val="normaltextrun"/>
          <w:rFonts w:ascii="Tahoma" w:hAnsi="Tahoma" w:cs="Tahoma"/>
          <w:b/>
          <w:bCs/>
          <w:color w:val="auto"/>
        </w:rPr>
        <w:t>S</w:t>
      </w:r>
      <w:r w:rsidR="002748C3" w:rsidRPr="00E575C5">
        <w:rPr>
          <w:rStyle w:val="normaltextrun"/>
          <w:rFonts w:ascii="Tahoma" w:hAnsi="Tahoma" w:cs="Tahoma"/>
          <w:b/>
          <w:bCs/>
          <w:color w:val="auto"/>
        </w:rPr>
        <w:t>CHEDULE OF PRODUCTS AND DUE DATE (ATTACHMENT 4)</w:t>
      </w:r>
    </w:p>
    <w:p w14:paraId="6855FFC6" w14:textId="77777777" w:rsidR="007D6313" w:rsidRPr="007D6313" w:rsidRDefault="007D6313" w:rsidP="007D6313"/>
    <w:tbl>
      <w:tblPr>
        <w:tblW w:w="8180" w:type="dxa"/>
        <w:jc w:val="center"/>
        <w:tblLook w:val="04A0" w:firstRow="1" w:lastRow="0" w:firstColumn="1" w:lastColumn="0" w:noHBand="0" w:noVBand="1"/>
      </w:tblPr>
      <w:tblGrid>
        <w:gridCol w:w="1229"/>
        <w:gridCol w:w="1710"/>
        <w:gridCol w:w="2001"/>
        <w:gridCol w:w="3240"/>
      </w:tblGrid>
      <w:tr w:rsidR="00E012E2" w:rsidRPr="002267BB" w14:paraId="55B391C8" w14:textId="77777777">
        <w:trPr>
          <w:trHeight w:val="1260"/>
          <w:jc w:val="center"/>
        </w:trPr>
        <w:tc>
          <w:tcPr>
            <w:tcW w:w="1229" w:type="dxa"/>
            <w:tcBorders>
              <w:top w:val="single" w:sz="4" w:space="0" w:color="auto"/>
              <w:left w:val="single" w:sz="4" w:space="0" w:color="auto"/>
              <w:bottom w:val="single" w:sz="4" w:space="0" w:color="auto"/>
              <w:right w:val="single" w:sz="4" w:space="0" w:color="auto"/>
            </w:tcBorders>
            <w:vAlign w:val="center"/>
            <w:hideMark/>
          </w:tcPr>
          <w:p w14:paraId="69B195AF" w14:textId="77777777" w:rsidR="00E012E2" w:rsidRPr="002267BB" w:rsidRDefault="00E012E2">
            <w:pPr>
              <w:jc w:val="center"/>
              <w:rPr>
                <w:rFonts w:ascii="Arial" w:eastAsia="Times New Roman" w:hAnsi="Arial" w:cs="Arial"/>
                <w:b/>
                <w:bCs/>
                <w:color w:val="0000FF"/>
              </w:rPr>
            </w:pPr>
            <w:r w:rsidRPr="002267BB">
              <w:rPr>
                <w:rFonts w:ascii="Arial" w:eastAsia="Times New Roman" w:hAnsi="Arial" w:cs="Arial"/>
                <w:b/>
                <w:bCs/>
                <w:color w:val="0000FF"/>
              </w:rPr>
              <w:t>XX &lt;second to last task&gt;.1</w:t>
            </w:r>
          </w:p>
        </w:tc>
        <w:tc>
          <w:tcPr>
            <w:tcW w:w="1710" w:type="dxa"/>
            <w:tcBorders>
              <w:top w:val="single" w:sz="4" w:space="0" w:color="auto"/>
              <w:left w:val="nil"/>
              <w:bottom w:val="single" w:sz="4" w:space="0" w:color="auto"/>
            </w:tcBorders>
            <w:noWrap/>
            <w:vAlign w:val="center"/>
            <w:hideMark/>
          </w:tcPr>
          <w:p w14:paraId="5CC857EE" w14:textId="77777777" w:rsidR="00E012E2" w:rsidRPr="002267BB" w:rsidRDefault="00E012E2">
            <w:pPr>
              <w:rPr>
                <w:rFonts w:ascii="Arial" w:eastAsia="Times New Roman" w:hAnsi="Arial" w:cs="Arial"/>
                <w:b/>
                <w:bCs/>
              </w:rPr>
            </w:pPr>
            <w:r w:rsidRPr="002267BB">
              <w:rPr>
                <w:rFonts w:ascii="Arial" w:eastAsia="Times New Roman" w:hAnsi="Arial" w:cs="Arial"/>
                <w:b/>
                <w:bCs/>
              </w:rPr>
              <w:t>UTILIZATION</w:t>
            </w:r>
          </w:p>
        </w:tc>
        <w:tc>
          <w:tcPr>
            <w:tcW w:w="2001" w:type="dxa"/>
            <w:tcBorders>
              <w:top w:val="single" w:sz="4" w:space="0" w:color="auto"/>
              <w:bottom w:val="single" w:sz="4" w:space="0" w:color="auto"/>
              <w:right w:val="single" w:sz="4" w:space="0" w:color="auto"/>
            </w:tcBorders>
            <w:noWrap/>
            <w:vAlign w:val="center"/>
            <w:hideMark/>
          </w:tcPr>
          <w:p w14:paraId="0CE21AE2" w14:textId="77777777" w:rsidR="00E012E2" w:rsidRPr="002267BB" w:rsidRDefault="00E012E2">
            <w:pPr>
              <w:rPr>
                <w:rFonts w:ascii="Arial" w:eastAsia="Times New Roman" w:hAnsi="Arial" w:cs="Arial"/>
                <w:b/>
                <w:bCs/>
              </w:rPr>
            </w:pPr>
            <w:r w:rsidRPr="002267BB">
              <w:rPr>
                <w:rFonts w:ascii="Arial" w:eastAsia="Times New Roman" w:hAnsi="Arial" w:cs="Arial"/>
                <w:b/>
                <w:bCs/>
              </w:rPr>
              <w:t> </w:t>
            </w:r>
          </w:p>
        </w:tc>
        <w:tc>
          <w:tcPr>
            <w:tcW w:w="3240" w:type="dxa"/>
            <w:tcBorders>
              <w:top w:val="single" w:sz="4" w:space="0" w:color="auto"/>
              <w:left w:val="nil"/>
              <w:bottom w:val="single" w:sz="4" w:space="0" w:color="auto"/>
              <w:right w:val="single" w:sz="4" w:space="0" w:color="auto"/>
            </w:tcBorders>
            <w:vAlign w:val="bottom"/>
            <w:hideMark/>
          </w:tcPr>
          <w:p w14:paraId="592E0646" w14:textId="77777777" w:rsidR="00E012E2" w:rsidRPr="002267BB" w:rsidRDefault="00E012E2">
            <w:pPr>
              <w:jc w:val="center"/>
              <w:rPr>
                <w:rFonts w:ascii="Arial" w:eastAsia="Times New Roman" w:hAnsi="Arial" w:cs="Arial"/>
              </w:rPr>
            </w:pPr>
            <w:r w:rsidRPr="002267BB">
              <w:rPr>
                <w:rFonts w:ascii="Arial" w:eastAsia="Times New Roman" w:hAnsi="Arial" w:cs="Arial"/>
              </w:rPr>
              <w:t> </w:t>
            </w:r>
          </w:p>
        </w:tc>
      </w:tr>
      <w:tr w:rsidR="00E012E2" w:rsidRPr="002267BB" w14:paraId="5F08A768" w14:textId="77777777">
        <w:trPr>
          <w:trHeight w:val="1800"/>
          <w:jc w:val="center"/>
        </w:trPr>
        <w:tc>
          <w:tcPr>
            <w:tcW w:w="1229" w:type="dxa"/>
            <w:tcBorders>
              <w:top w:val="single" w:sz="4" w:space="0" w:color="auto"/>
              <w:left w:val="single" w:sz="4" w:space="0" w:color="auto"/>
              <w:right w:val="single" w:sz="4" w:space="0" w:color="auto"/>
            </w:tcBorders>
            <w:vAlign w:val="bottom"/>
            <w:hideMark/>
          </w:tcPr>
          <w:p w14:paraId="64EC8424" w14:textId="77777777" w:rsidR="00E012E2" w:rsidRPr="002267BB" w:rsidRDefault="00E012E2">
            <w:pPr>
              <w:rPr>
                <w:rFonts w:ascii="Arial" w:eastAsia="Times New Roman" w:hAnsi="Arial" w:cs="Arial"/>
              </w:rPr>
            </w:pPr>
            <w:r w:rsidRPr="002267BB">
              <w:rPr>
                <w:rFonts w:ascii="Arial" w:eastAsia="Times New Roman" w:hAnsi="Arial" w:cs="Arial"/>
              </w:rPr>
              <w:t> </w:t>
            </w:r>
          </w:p>
        </w:tc>
        <w:tc>
          <w:tcPr>
            <w:tcW w:w="1710" w:type="dxa"/>
            <w:tcBorders>
              <w:top w:val="single" w:sz="4" w:space="0" w:color="auto"/>
              <w:left w:val="single" w:sz="4" w:space="0" w:color="auto"/>
              <w:right w:val="single" w:sz="4" w:space="0" w:color="auto"/>
            </w:tcBorders>
            <w:noWrap/>
            <w:vAlign w:val="bottom"/>
            <w:hideMark/>
          </w:tcPr>
          <w:p w14:paraId="609634CA" w14:textId="77777777" w:rsidR="00E012E2" w:rsidRPr="002267BB" w:rsidRDefault="00E012E2">
            <w:pPr>
              <w:rPr>
                <w:rFonts w:ascii="Arial" w:eastAsia="Times New Roman" w:hAnsi="Arial" w:cs="Arial"/>
                <w:color w:val="0000FF"/>
              </w:rPr>
            </w:pPr>
            <w:r w:rsidRPr="002267BB">
              <w:rPr>
                <w:rFonts w:ascii="Arial" w:eastAsia="Times New Roman" w:hAnsi="Arial" w:cs="Arial"/>
                <w:color w:val="0000FF"/>
              </w:rPr>
              <w:t> </w:t>
            </w:r>
          </w:p>
        </w:tc>
        <w:tc>
          <w:tcPr>
            <w:tcW w:w="2001" w:type="dxa"/>
            <w:tcBorders>
              <w:top w:val="single" w:sz="4" w:space="0" w:color="auto"/>
              <w:left w:val="single" w:sz="4" w:space="0" w:color="auto"/>
              <w:bottom w:val="single" w:sz="4" w:space="0" w:color="auto"/>
              <w:right w:val="single" w:sz="4" w:space="0" w:color="auto"/>
            </w:tcBorders>
            <w:vAlign w:val="center"/>
            <w:hideMark/>
          </w:tcPr>
          <w:p w14:paraId="7D740FCE" w14:textId="4BCAA2FF" w:rsidR="00E012E2" w:rsidRPr="002267BB" w:rsidRDefault="00636869">
            <w:pPr>
              <w:rPr>
                <w:rFonts w:ascii="Arial" w:eastAsia="Times New Roman" w:hAnsi="Arial" w:cs="Arial"/>
              </w:rPr>
            </w:pPr>
            <w:r w:rsidRPr="00636869">
              <w:rPr>
                <w:rFonts w:ascii="Arial" w:eastAsia="Times New Roman" w:hAnsi="Arial" w:cs="Arial"/>
              </w:rPr>
              <w:t>[</w:t>
            </w:r>
            <w:r w:rsidR="00E012E2" w:rsidRPr="002267BB">
              <w:rPr>
                <w:rFonts w:ascii="Arial" w:eastAsia="Times New Roman" w:hAnsi="Arial" w:cs="Arial"/>
                <w:strike/>
              </w:rPr>
              <w:t>NREL</w:t>
            </w:r>
            <w:r w:rsidRPr="00636869">
              <w:rPr>
                <w:rFonts w:ascii="Arial" w:eastAsia="Times New Roman" w:hAnsi="Arial" w:cs="Arial"/>
              </w:rPr>
              <w:t>]</w:t>
            </w:r>
            <w:r w:rsidR="00E012E2" w:rsidRPr="002267BB">
              <w:rPr>
                <w:rFonts w:ascii="Arial" w:eastAsia="Times New Roman" w:hAnsi="Arial" w:cs="Arial"/>
                <w:b/>
                <w:bCs/>
                <w:u w:val="single"/>
              </w:rPr>
              <w:t>NLR</w:t>
            </w:r>
            <w:r w:rsidR="00E012E2" w:rsidRPr="002267BB">
              <w:rPr>
                <w:rFonts w:ascii="Arial" w:eastAsia="Times New Roman" w:hAnsi="Arial" w:cs="Arial"/>
              </w:rPr>
              <w:t xml:space="preserve"> Data Collection Tool</w:t>
            </w:r>
          </w:p>
        </w:tc>
        <w:tc>
          <w:tcPr>
            <w:tcW w:w="3240" w:type="dxa"/>
            <w:tcBorders>
              <w:top w:val="single" w:sz="4" w:space="0" w:color="auto"/>
              <w:left w:val="nil"/>
              <w:bottom w:val="single" w:sz="4" w:space="0" w:color="auto"/>
              <w:right w:val="single" w:sz="4" w:space="0" w:color="auto"/>
            </w:tcBorders>
            <w:vAlign w:val="bottom"/>
            <w:hideMark/>
          </w:tcPr>
          <w:p w14:paraId="688F5DA6" w14:textId="77777777" w:rsidR="00E012E2" w:rsidRPr="002267BB" w:rsidRDefault="00E012E2">
            <w:pPr>
              <w:jc w:val="center"/>
              <w:rPr>
                <w:rFonts w:ascii="Arial" w:eastAsia="Times New Roman" w:hAnsi="Arial" w:cs="Arial"/>
              </w:rPr>
            </w:pPr>
            <w:r w:rsidRPr="002267BB">
              <w:rPr>
                <w:rFonts w:ascii="Arial" w:eastAsia="Times New Roman" w:hAnsi="Arial" w:cs="Arial"/>
              </w:rPr>
              <w:t>10th calendar day of each February, May, August, and November for the previous quarter during the approved term of this Agreement</w:t>
            </w:r>
          </w:p>
        </w:tc>
      </w:tr>
      <w:tr w:rsidR="00E012E2" w:rsidRPr="002267BB" w14:paraId="020908FB" w14:textId="77777777">
        <w:trPr>
          <w:trHeight w:val="900"/>
          <w:jc w:val="center"/>
        </w:trPr>
        <w:tc>
          <w:tcPr>
            <w:tcW w:w="1229" w:type="dxa"/>
            <w:tcBorders>
              <w:left w:val="single" w:sz="8" w:space="0" w:color="auto"/>
              <w:bottom w:val="single" w:sz="4" w:space="0" w:color="auto"/>
              <w:right w:val="single" w:sz="4" w:space="0" w:color="auto"/>
            </w:tcBorders>
            <w:vAlign w:val="bottom"/>
            <w:hideMark/>
          </w:tcPr>
          <w:p w14:paraId="6A0B3584" w14:textId="77777777" w:rsidR="00E012E2" w:rsidRPr="002267BB" w:rsidRDefault="00E012E2">
            <w:pPr>
              <w:rPr>
                <w:rFonts w:ascii="Arial" w:eastAsia="Times New Roman" w:hAnsi="Arial" w:cs="Arial"/>
              </w:rPr>
            </w:pPr>
            <w:r w:rsidRPr="002267BB">
              <w:rPr>
                <w:rFonts w:ascii="Arial" w:eastAsia="Times New Roman" w:hAnsi="Arial" w:cs="Arial"/>
              </w:rPr>
              <w:t> </w:t>
            </w:r>
          </w:p>
        </w:tc>
        <w:tc>
          <w:tcPr>
            <w:tcW w:w="1710" w:type="dxa"/>
            <w:tcBorders>
              <w:left w:val="single" w:sz="4" w:space="0" w:color="auto"/>
              <w:bottom w:val="single" w:sz="4" w:space="0" w:color="auto"/>
              <w:right w:val="single" w:sz="4" w:space="0" w:color="auto"/>
            </w:tcBorders>
            <w:noWrap/>
            <w:vAlign w:val="bottom"/>
            <w:hideMark/>
          </w:tcPr>
          <w:p w14:paraId="4B110901" w14:textId="77777777" w:rsidR="00E012E2" w:rsidRPr="002267BB" w:rsidRDefault="00E012E2">
            <w:pPr>
              <w:rPr>
                <w:rFonts w:ascii="Arial" w:eastAsia="Times New Roman" w:hAnsi="Arial" w:cs="Arial"/>
                <w:color w:val="0000FF"/>
              </w:rPr>
            </w:pPr>
            <w:r w:rsidRPr="002267BB">
              <w:rPr>
                <w:rFonts w:ascii="Arial" w:eastAsia="Times New Roman" w:hAnsi="Arial" w:cs="Arial"/>
                <w:color w:val="0000FF"/>
              </w:rPr>
              <w:t> </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7935576" w14:textId="77777777" w:rsidR="00E012E2" w:rsidRPr="002267BB" w:rsidRDefault="00E012E2">
            <w:pPr>
              <w:rPr>
                <w:rFonts w:ascii="Arial" w:eastAsia="Times New Roman" w:hAnsi="Arial" w:cs="Arial"/>
              </w:rPr>
            </w:pPr>
            <w:r w:rsidRPr="002267BB">
              <w:rPr>
                <w:rFonts w:ascii="Arial" w:eastAsia="Times New Roman" w:hAnsi="Arial" w:cs="Arial"/>
              </w:rPr>
              <w:t>Hydrogen Station Data included in Quarterly Progress Reports (Task 1.5)</w:t>
            </w:r>
          </w:p>
        </w:tc>
        <w:tc>
          <w:tcPr>
            <w:tcW w:w="3240" w:type="dxa"/>
            <w:tcBorders>
              <w:top w:val="single" w:sz="4" w:space="0" w:color="auto"/>
              <w:left w:val="nil"/>
              <w:bottom w:val="single" w:sz="4" w:space="0" w:color="auto"/>
              <w:right w:val="single" w:sz="8" w:space="0" w:color="auto"/>
            </w:tcBorders>
            <w:vAlign w:val="bottom"/>
            <w:hideMark/>
          </w:tcPr>
          <w:p w14:paraId="1A427180" w14:textId="77777777" w:rsidR="00E012E2" w:rsidRPr="002267BB" w:rsidRDefault="00E012E2">
            <w:pPr>
              <w:jc w:val="center"/>
              <w:rPr>
                <w:rFonts w:ascii="Arial" w:eastAsia="Times New Roman" w:hAnsi="Arial" w:cs="Arial"/>
              </w:rPr>
            </w:pPr>
            <w:r w:rsidRPr="002267BB">
              <w:rPr>
                <w:rFonts w:ascii="Arial" w:eastAsia="Times New Roman" w:hAnsi="Arial" w:cs="Arial"/>
              </w:rPr>
              <w:t xml:space="preserve">10th day of each January, April, July, and October </w:t>
            </w:r>
          </w:p>
        </w:tc>
      </w:tr>
    </w:tbl>
    <w:p w14:paraId="4D6EF047" w14:textId="77777777" w:rsidR="007D6313" w:rsidRDefault="007D6313" w:rsidP="007D6313">
      <w:pPr>
        <w:rPr>
          <w:rStyle w:val="normaltextrun"/>
          <w:rFonts w:ascii="Tahoma" w:hAnsi="Tahoma" w:cs="Tahoma"/>
          <w:b/>
          <w:bCs/>
        </w:rPr>
      </w:pPr>
    </w:p>
    <w:p w14:paraId="4308E6FD" w14:textId="5CAF5579" w:rsidR="004F00E4" w:rsidRPr="00577295" w:rsidRDefault="004F00E4" w:rsidP="00231736">
      <w:pPr>
        <w:pStyle w:val="Heading3"/>
        <w:keepNext w:val="0"/>
        <w:keepLines w:val="0"/>
        <w:numPr>
          <w:ilvl w:val="0"/>
          <w:numId w:val="23"/>
        </w:numPr>
        <w:tabs>
          <w:tab w:val="clear" w:pos="720"/>
        </w:tabs>
        <w:spacing w:before="0"/>
        <w:ind w:left="900" w:hanging="540"/>
        <w:textAlignment w:val="baseline"/>
        <w:rPr>
          <w:rStyle w:val="normaltextrun"/>
          <w:rFonts w:ascii="Tahoma" w:hAnsi="Tahoma" w:cs="Tahoma"/>
          <w:b/>
          <w:bCs/>
          <w:color w:val="auto"/>
        </w:rPr>
      </w:pPr>
      <w:r w:rsidRPr="00577295">
        <w:rPr>
          <w:rStyle w:val="normaltextrun"/>
          <w:rFonts w:ascii="Tahoma" w:hAnsi="Tahoma" w:cs="Tahoma"/>
          <w:b/>
          <w:bCs/>
          <w:color w:val="auto"/>
        </w:rPr>
        <w:t>NLR DATA COLLECTION TOOL (ATTACHMENT 14)</w:t>
      </w:r>
    </w:p>
    <w:p w14:paraId="74117480" w14:textId="77777777" w:rsidR="007D6313" w:rsidRPr="007D6313" w:rsidRDefault="007D6313" w:rsidP="007D6313"/>
    <w:p w14:paraId="3FCF970B" w14:textId="77777777" w:rsidR="008F3364" w:rsidRDefault="00970A13" w:rsidP="00970A13">
      <w:pPr>
        <w:pStyle w:val="ListParagraph"/>
        <w:rPr>
          <w:rFonts w:ascii="Tahoma" w:eastAsia="Tahoma" w:hAnsi="Tahoma" w:cs="Tahoma"/>
        </w:rPr>
      </w:pPr>
      <w:r>
        <w:rPr>
          <w:rFonts w:ascii="Tahoma" w:eastAsia="Tahoma" w:hAnsi="Tahoma" w:cs="Tahoma"/>
        </w:rPr>
        <w:t xml:space="preserve">The file name has been updated from </w:t>
      </w:r>
    </w:p>
    <w:p w14:paraId="1D0E268B" w14:textId="3ED1AEC5" w:rsidR="008F3364" w:rsidRDefault="00970A13" w:rsidP="00970A13">
      <w:pPr>
        <w:pStyle w:val="ListParagraph"/>
        <w:rPr>
          <w:rFonts w:ascii="Tahoma" w:eastAsia="Tahoma" w:hAnsi="Tahoma" w:cs="Tahoma"/>
        </w:rPr>
      </w:pPr>
      <w:r w:rsidRPr="00C24E60">
        <w:rPr>
          <w:rFonts w:ascii="Tahoma" w:eastAsia="Tahoma" w:hAnsi="Tahoma" w:cs="Tahoma"/>
        </w:rPr>
        <w:t>14_GFO-25-607_Att_14_N</w:t>
      </w:r>
      <w:r>
        <w:rPr>
          <w:rFonts w:ascii="Tahoma" w:eastAsia="Tahoma" w:hAnsi="Tahoma" w:cs="Tahoma"/>
        </w:rPr>
        <w:t>REL</w:t>
      </w:r>
      <w:r w:rsidRPr="00C24E60">
        <w:rPr>
          <w:rFonts w:ascii="Tahoma" w:eastAsia="Tahoma" w:hAnsi="Tahoma" w:cs="Tahoma"/>
        </w:rPr>
        <w:t>_Data_Collection_Tool_ada</w:t>
      </w:r>
      <w:r w:rsidR="001B0B89">
        <w:rPr>
          <w:rFonts w:ascii="Tahoma" w:eastAsia="Tahoma" w:hAnsi="Tahoma" w:cs="Tahoma"/>
        </w:rPr>
        <w:t>.</w:t>
      </w:r>
      <w:r w:rsidR="00745B44">
        <w:rPr>
          <w:rFonts w:ascii="Tahoma" w:eastAsia="Tahoma" w:hAnsi="Tahoma" w:cs="Tahoma"/>
        </w:rPr>
        <w:t>xlsx</w:t>
      </w:r>
      <w:r w:rsidR="00165EF0">
        <w:rPr>
          <w:rFonts w:ascii="Tahoma" w:eastAsia="Tahoma" w:hAnsi="Tahoma" w:cs="Tahoma"/>
        </w:rPr>
        <w:t>,</w:t>
      </w:r>
      <w:r>
        <w:rPr>
          <w:rFonts w:ascii="Tahoma" w:eastAsia="Tahoma" w:hAnsi="Tahoma" w:cs="Tahoma"/>
        </w:rPr>
        <w:t xml:space="preserve"> to </w:t>
      </w:r>
    </w:p>
    <w:p w14:paraId="79ACAC0C" w14:textId="608E8DE4" w:rsidR="00970A13" w:rsidRDefault="00970A13" w:rsidP="00970A13">
      <w:pPr>
        <w:pStyle w:val="ListParagraph"/>
        <w:rPr>
          <w:rFonts w:ascii="Tahoma" w:eastAsia="Tahoma" w:hAnsi="Tahoma" w:cs="Tahoma"/>
        </w:rPr>
      </w:pPr>
      <w:r w:rsidRPr="00C24E60">
        <w:rPr>
          <w:rFonts w:ascii="Tahoma" w:eastAsia="Tahoma" w:hAnsi="Tahoma" w:cs="Tahoma"/>
        </w:rPr>
        <w:t>GFO-25-607_Att_14_NLR_Data_Collection_Tool_</w:t>
      </w:r>
      <w:r w:rsidR="00FB6144">
        <w:rPr>
          <w:rFonts w:ascii="Tahoma" w:eastAsia="Tahoma" w:hAnsi="Tahoma" w:cs="Tahoma"/>
        </w:rPr>
        <w:t>Addendum_02_</w:t>
      </w:r>
      <w:r w:rsidRPr="00C24E60">
        <w:rPr>
          <w:rFonts w:ascii="Tahoma" w:eastAsia="Tahoma" w:hAnsi="Tahoma" w:cs="Tahoma"/>
        </w:rPr>
        <w:t>ada</w:t>
      </w:r>
      <w:r>
        <w:rPr>
          <w:rFonts w:ascii="Tahoma" w:eastAsia="Tahoma" w:hAnsi="Tahoma" w:cs="Tahoma"/>
        </w:rPr>
        <w:t>.xlsx</w:t>
      </w:r>
    </w:p>
    <w:p w14:paraId="02DF01FB" w14:textId="77777777" w:rsidR="00904F97" w:rsidRPr="00904F97" w:rsidRDefault="00904F97" w:rsidP="00904F97"/>
    <w:p w14:paraId="3EC889F3" w14:textId="476EF658" w:rsidR="00FC47C1" w:rsidRDefault="0046117E"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 xml:space="preserve">Carissa </w:t>
      </w:r>
      <w:r w:rsidR="00974003">
        <w:rPr>
          <w:rStyle w:val="normaltextrun"/>
          <w:rFonts w:ascii="Tahoma" w:hAnsi="Tahoma" w:cs="Tahoma"/>
          <w:b/>
          <w:bCs/>
        </w:rPr>
        <w:t>Peri</w:t>
      </w:r>
    </w:p>
    <w:p w14:paraId="2E610DEA" w14:textId="77777777" w:rsidR="00FC47C1" w:rsidRDefault="00FC47C1" w:rsidP="00FC47C1">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b/>
          <w:bCs/>
        </w:rPr>
        <w:t>Commission Agreement Officer</w:t>
      </w:r>
      <w:r>
        <w:rPr>
          <w:rStyle w:val="eop"/>
          <w:rFonts w:ascii="Tahoma" w:hAnsi="Tahoma" w:cs="Tahoma"/>
        </w:rPr>
        <w:t> </w:t>
      </w:r>
    </w:p>
    <w:p w14:paraId="6AEDE6BC" w14:textId="40F7F99A" w:rsidR="00E74FF1" w:rsidRPr="00FC47C1" w:rsidRDefault="00E74FF1" w:rsidP="00FC47C1">
      <w:pPr>
        <w:rPr>
          <w:rStyle w:val="eop"/>
        </w:rPr>
      </w:pPr>
    </w:p>
    <w:sectPr w:rsidR="00E74FF1" w:rsidRPr="00FC47C1" w:rsidSect="001867A7">
      <w:headerReference w:type="default" r:id="rId12"/>
      <w:footerReference w:type="default" r:id="rId13"/>
      <w:headerReference w:type="first" r:id="rId14"/>
      <w:footerReference w:type="first" r:id="rId15"/>
      <w:pgSz w:w="12240" w:h="15840"/>
      <w:pgMar w:top="1440" w:right="1080" w:bottom="1440" w:left="1080" w:header="540"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CC0AF" w14:textId="77777777" w:rsidR="005B4901" w:rsidRDefault="005B4901" w:rsidP="00F86D2B">
      <w:r>
        <w:separator/>
      </w:r>
    </w:p>
  </w:endnote>
  <w:endnote w:type="continuationSeparator" w:id="0">
    <w:p w14:paraId="5A781C03" w14:textId="77777777" w:rsidR="005B4901" w:rsidRDefault="005B4901" w:rsidP="00F86D2B">
      <w:r>
        <w:continuationSeparator/>
      </w:r>
    </w:p>
  </w:endnote>
  <w:endnote w:type="continuationNotice" w:id="1">
    <w:p w14:paraId="01D9AD8B" w14:textId="77777777" w:rsidR="005B4901" w:rsidRDefault="005B4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880"/>
      <w:gridCol w:w="2880"/>
      <w:gridCol w:w="2880"/>
    </w:tblGrid>
    <w:tr w:rsidR="4D7C6706" w14:paraId="4DCC657B" w14:textId="77777777" w:rsidTr="4D7C6706">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14708470" name="Picture 101470847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6DCA4" w14:textId="77777777" w:rsidR="005B4901" w:rsidRDefault="005B4901" w:rsidP="00F86D2B">
      <w:r>
        <w:separator/>
      </w:r>
    </w:p>
  </w:footnote>
  <w:footnote w:type="continuationSeparator" w:id="0">
    <w:p w14:paraId="79B66DEB" w14:textId="77777777" w:rsidR="005B4901" w:rsidRDefault="005B4901" w:rsidP="00F86D2B">
      <w:r>
        <w:continuationSeparator/>
      </w:r>
    </w:p>
  </w:footnote>
  <w:footnote w:type="continuationNotice" w:id="1">
    <w:p w14:paraId="333823BD" w14:textId="77777777" w:rsidR="005B4901" w:rsidRDefault="005B4901"/>
  </w:footnote>
  <w:footnote w:id="2">
    <w:p w14:paraId="6B064F34" w14:textId="77777777" w:rsidR="008B2741" w:rsidRPr="00FD44ED" w:rsidRDefault="008B2741" w:rsidP="008B2741">
      <w:pPr>
        <w:pStyle w:val="FootnoteText"/>
        <w:rPr>
          <w:rFonts w:ascii="Tahoma" w:hAnsi="Tahoma" w:cs="Tahoma"/>
        </w:rPr>
      </w:pPr>
      <w:r w:rsidRPr="00FD44ED">
        <w:rPr>
          <w:rStyle w:val="FootnoteReference"/>
          <w:rFonts w:ascii="Tahoma" w:hAnsi="Tahoma" w:cs="Tahoma"/>
        </w:rPr>
        <w:footnoteRef/>
      </w:r>
      <w:r w:rsidRPr="00FD44ED">
        <w:rPr>
          <w:rFonts w:ascii="Tahoma" w:hAnsi="Tahoma" w:cs="Tahoma"/>
        </w:rPr>
        <w:t xml:space="preserve"> Assembly Bill 1921 (Papan, Chapter 556, Statutes of 2024). </w:t>
      </w:r>
      <w:hyperlink r:id="rId1" w:history="1">
        <w:r w:rsidRPr="00FD44ED">
          <w:rPr>
            <w:rStyle w:val="Hyperlink"/>
            <w:rFonts w:ascii="Tahoma" w:hAnsi="Tahoma" w:cs="Tahoma"/>
          </w:rPr>
          <w:t>Renewable Electrical Generation Facilities: Definition</w:t>
        </w:r>
      </w:hyperlink>
      <w:r w:rsidRPr="00FD44ED">
        <w:rPr>
          <w:rFonts w:ascii="Tahoma" w:hAnsi="Tahoma" w:cs="Tahoma"/>
        </w:rPr>
        <w:t>. https://leginfo.legislature.ca.gov/faces/billNavClient.xhtml?bill_id=202320240AB1921.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1044F" w14:textId="1A41DC84" w:rsidR="00C01C97" w:rsidRDefault="008E2CB5" w:rsidP="0098590A">
    <w:pPr>
      <w:pStyle w:val="Header"/>
      <w:ind w:hanging="1350"/>
      <w:jc w:val="center"/>
    </w:pPr>
    <w:r>
      <w:rPr>
        <w:noProof/>
      </w:rPr>
      <w:drawing>
        <wp:inline distT="0" distB="0" distL="0" distR="0" wp14:anchorId="3553AE80" wp14:editId="17294B44">
          <wp:extent cx="7174950" cy="822960"/>
          <wp:effectExtent l="0" t="0" r="0" b="0"/>
          <wp:docPr id="7880309" name="Picture 1" descr="Header banner showing the California Energy Commission logo, the Great Seal of California, and California Natural Resources Agenc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309" name="Picture 1" descr="Header banner showing the California Energy Commission logo, the Great Seal of California, and California Natural Resources Agency logo.">
                    <a:extLst>
                      <a:ext uri="{C183D7F6-B498-43B3-948B-1728B52AA6E4}">
                        <adec:decorative xmlns:adec="http://schemas.microsoft.com/office/drawing/2017/decorative" val="0"/>
                      </a:ext>
                    </a:extLst>
                  </pic:cNvPr>
                  <pic:cNvPicPr/>
                </pic:nvPicPr>
                <pic:blipFill>
                  <a:blip r:embed="rId1"/>
                  <a:stretch>
                    <a:fillRect/>
                  </a:stretch>
                </pic:blipFill>
                <pic:spPr>
                  <a:xfrm>
                    <a:off x="0" y="0"/>
                    <a:ext cx="7174950" cy="822960"/>
                  </a:xfrm>
                  <a:prstGeom prst="rect">
                    <a:avLst/>
                  </a:prstGeom>
                </pic:spPr>
              </pic:pic>
            </a:graphicData>
          </a:graphic>
        </wp:inline>
      </w:drawing>
    </w:r>
  </w:p>
  <w:p w14:paraId="0CC19A77" w14:textId="6FDBADCD" w:rsidR="00E210F6" w:rsidRDefault="00E210F6" w:rsidP="002D11A5">
    <w:pPr>
      <w:pStyle w:val="Header"/>
      <w:ind w:hanging="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703"/>
    <w:multiLevelType w:val="hybridMultilevel"/>
    <w:tmpl w:val="767E35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CE11EE"/>
    <w:multiLevelType w:val="hybridMultilevel"/>
    <w:tmpl w:val="F25A2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53DDF"/>
    <w:multiLevelType w:val="hybridMultilevel"/>
    <w:tmpl w:val="9F305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4" w15:restartNumberingAfterBreak="0">
    <w:nsid w:val="1B4014CC"/>
    <w:multiLevelType w:val="multilevel"/>
    <w:tmpl w:val="E1B687C4"/>
    <w:lvl w:ilvl="0">
      <w:start w:val="1"/>
      <w:numFmt w:val="decimal"/>
      <w:pStyle w:val="Heading3"/>
      <w:lvlText w:val="%1."/>
      <w:lvlJc w:val="left"/>
      <w:pPr>
        <w:tabs>
          <w:tab w:val="num" w:pos="720"/>
        </w:tabs>
        <w:ind w:left="720" w:hanging="360"/>
      </w:pPr>
      <w:rPr>
        <w:rFonts w:ascii="Tahoma" w:hAnsi="Tahoma" w:cs="Tahoma" w:hint="default"/>
        <w:b/>
        <w:bCs/>
        <w:color w:val="auto"/>
      </w:rPr>
    </w:lvl>
    <w:lvl w:ilvl="1">
      <w:start w:val="1"/>
      <w:numFmt w:val="lowerRoman"/>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BF41432"/>
    <w:multiLevelType w:val="hybridMultilevel"/>
    <w:tmpl w:val="0DE2E208"/>
    <w:lvl w:ilvl="0" w:tplc="FFFFFFFF">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C4B1731"/>
    <w:multiLevelType w:val="hybridMultilevel"/>
    <w:tmpl w:val="D04ED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2A692"/>
    <w:multiLevelType w:val="hybridMultilevel"/>
    <w:tmpl w:val="98462D84"/>
    <w:lvl w:ilvl="0" w:tplc="AECAFECA">
      <w:start w:val="1"/>
      <w:numFmt w:val="upperLetter"/>
      <w:lvlText w:val="%1."/>
      <w:lvlJc w:val="left"/>
      <w:pPr>
        <w:ind w:left="720" w:hanging="360"/>
      </w:pPr>
    </w:lvl>
    <w:lvl w:ilvl="1" w:tplc="1D442578">
      <w:start w:val="1"/>
      <w:numFmt w:val="lowerLetter"/>
      <w:lvlText w:val="%2."/>
      <w:lvlJc w:val="left"/>
      <w:pPr>
        <w:ind w:left="1440" w:hanging="360"/>
      </w:pPr>
    </w:lvl>
    <w:lvl w:ilvl="2" w:tplc="C25E3C46">
      <w:start w:val="1"/>
      <w:numFmt w:val="lowerRoman"/>
      <w:lvlText w:val="%3."/>
      <w:lvlJc w:val="right"/>
      <w:pPr>
        <w:ind w:left="2160" w:hanging="180"/>
      </w:pPr>
    </w:lvl>
    <w:lvl w:ilvl="3" w:tplc="C46635C0">
      <w:start w:val="1"/>
      <w:numFmt w:val="decimal"/>
      <w:lvlText w:val="%4."/>
      <w:lvlJc w:val="left"/>
      <w:pPr>
        <w:ind w:left="2880" w:hanging="360"/>
      </w:pPr>
    </w:lvl>
    <w:lvl w:ilvl="4" w:tplc="81FE889E">
      <w:start w:val="1"/>
      <w:numFmt w:val="lowerLetter"/>
      <w:lvlText w:val="%5."/>
      <w:lvlJc w:val="left"/>
      <w:pPr>
        <w:ind w:left="3600" w:hanging="360"/>
      </w:pPr>
    </w:lvl>
    <w:lvl w:ilvl="5" w:tplc="90AEC9E4">
      <w:start w:val="1"/>
      <w:numFmt w:val="lowerRoman"/>
      <w:lvlText w:val="%6."/>
      <w:lvlJc w:val="right"/>
      <w:pPr>
        <w:ind w:left="4320" w:hanging="180"/>
      </w:pPr>
    </w:lvl>
    <w:lvl w:ilvl="6" w:tplc="C27C81E4">
      <w:start w:val="1"/>
      <w:numFmt w:val="decimal"/>
      <w:lvlText w:val="%7."/>
      <w:lvlJc w:val="left"/>
      <w:pPr>
        <w:ind w:left="5040" w:hanging="360"/>
      </w:pPr>
    </w:lvl>
    <w:lvl w:ilvl="7" w:tplc="B15E1804">
      <w:start w:val="1"/>
      <w:numFmt w:val="lowerLetter"/>
      <w:lvlText w:val="%8."/>
      <w:lvlJc w:val="left"/>
      <w:pPr>
        <w:ind w:left="5760" w:hanging="360"/>
      </w:pPr>
    </w:lvl>
    <w:lvl w:ilvl="8" w:tplc="A0D21E84">
      <w:start w:val="1"/>
      <w:numFmt w:val="lowerRoman"/>
      <w:lvlText w:val="%9."/>
      <w:lvlJc w:val="right"/>
      <w:pPr>
        <w:ind w:left="6480" w:hanging="180"/>
      </w:pPr>
    </w:lvl>
  </w:abstractNum>
  <w:abstractNum w:abstractNumId="8" w15:restartNumberingAfterBreak="0">
    <w:nsid w:val="21A61E55"/>
    <w:multiLevelType w:val="hybridMultilevel"/>
    <w:tmpl w:val="0BD8C9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1B2E30"/>
    <w:multiLevelType w:val="hybridMultilevel"/>
    <w:tmpl w:val="50CC38F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A332561"/>
    <w:multiLevelType w:val="hybridMultilevel"/>
    <w:tmpl w:val="5D7A7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2F227960"/>
    <w:multiLevelType w:val="hybridMultilevel"/>
    <w:tmpl w:val="EE3C38C4"/>
    <w:lvl w:ilvl="0" w:tplc="04090003">
      <w:start w:val="1"/>
      <w:numFmt w:val="bullet"/>
      <w:lvlText w:val="o"/>
      <w:lvlJc w:val="left"/>
      <w:pPr>
        <w:ind w:left="36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F6569A5"/>
    <w:multiLevelType w:val="hybridMultilevel"/>
    <w:tmpl w:val="6F4E96C4"/>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C7DC2"/>
    <w:multiLevelType w:val="multilevel"/>
    <w:tmpl w:val="CD62DC64"/>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36161C1D"/>
    <w:multiLevelType w:val="multilevel"/>
    <w:tmpl w:val="6BF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5296E"/>
    <w:multiLevelType w:val="multilevel"/>
    <w:tmpl w:val="A3B265E0"/>
    <w:lvl w:ilvl="0">
      <w:start w:val="6"/>
      <w:numFmt w:val="decimal"/>
      <w:lvlText w:val="%1."/>
      <w:lvlJc w:val="left"/>
      <w:pPr>
        <w:tabs>
          <w:tab w:val="num" w:pos="720"/>
        </w:tabs>
        <w:ind w:left="720" w:hanging="360"/>
      </w:pPr>
      <w:rPr>
        <w:rFonts w:ascii="Tahoma" w:hAnsi="Tahoma" w:cs="Tahoma" w:hint="default"/>
        <w:b w:val="0"/>
        <w:bCs w:val="0"/>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4353020F"/>
    <w:multiLevelType w:val="multilevel"/>
    <w:tmpl w:val="19C06170"/>
    <w:lvl w:ilvl="0">
      <w:start w:val="1"/>
      <w:numFmt w:val="bullet"/>
      <w:lvlText w:val=""/>
      <w:lvlJc w:val="left"/>
      <w:pPr>
        <w:ind w:left="1440" w:hanging="360"/>
      </w:pPr>
      <w:rPr>
        <w:rFonts w:ascii="Symbol" w:hAnsi="Symbol" w:hint="default"/>
      </w:rPr>
    </w:lvl>
    <w:lvl w:ilvl="1">
      <w:start w:val="1"/>
      <w:numFmt w:val="bullet"/>
      <w:lvlText w:val="o"/>
      <w:lvlJc w:val="left"/>
      <w:pPr>
        <w:ind w:left="3240" w:hanging="360"/>
      </w:pPr>
      <w:rPr>
        <w:rFonts w:ascii="Courier New" w:hAnsi="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hint="default"/>
      </w:rPr>
    </w:lvl>
    <w:lvl w:ilvl="8">
      <w:start w:val="1"/>
      <w:numFmt w:val="bullet"/>
      <w:lvlText w:val=""/>
      <w:lvlJc w:val="left"/>
      <w:pPr>
        <w:ind w:left="8280" w:hanging="360"/>
      </w:pPr>
      <w:rPr>
        <w:rFonts w:ascii="Wingdings" w:hAnsi="Wingdings" w:hint="default"/>
      </w:rPr>
    </w:lvl>
  </w:abstractNum>
  <w:abstractNum w:abstractNumId="19"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6A03078"/>
    <w:multiLevelType w:val="hybridMultilevel"/>
    <w:tmpl w:val="B166336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FA6CA2"/>
    <w:multiLevelType w:val="multilevel"/>
    <w:tmpl w:val="AD6217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7967B7"/>
    <w:multiLevelType w:val="multilevel"/>
    <w:tmpl w:val="2AEE35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C4CA9"/>
    <w:multiLevelType w:val="hybridMultilevel"/>
    <w:tmpl w:val="81808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155078"/>
    <w:multiLevelType w:val="multilevel"/>
    <w:tmpl w:val="7FAC74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5"/>
      <w:numFmt w:val="decimal"/>
      <w:lvlText w:val="%4."/>
      <w:lvlJc w:val="left"/>
      <w:pPr>
        <w:ind w:left="2895" w:hanging="375"/>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7D463B"/>
    <w:multiLevelType w:val="multilevel"/>
    <w:tmpl w:val="65888AF0"/>
    <w:lvl w:ilvl="0">
      <w:start w:val="3"/>
      <w:numFmt w:val="decimal"/>
      <w:lvlText w:val="%1."/>
      <w:lvlJc w:val="left"/>
      <w:pPr>
        <w:tabs>
          <w:tab w:val="num" w:pos="720"/>
        </w:tabs>
        <w:ind w:left="720" w:hanging="360"/>
      </w:pPr>
      <w:rPr>
        <w:rFonts w:ascii="Tahoma" w:hAnsi="Tahoma" w:cs="Tahoma" w:hint="default"/>
        <w:b w:val="0"/>
        <w:bCs w:val="0"/>
      </w:rPr>
    </w:lvl>
    <w:lvl w:ilvl="1">
      <w:start w:val="2"/>
      <w:numFmt w:val="lowerRoman"/>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5CC9378"/>
    <w:multiLevelType w:val="hybridMultilevel"/>
    <w:tmpl w:val="FFFFFFFF"/>
    <w:lvl w:ilvl="0" w:tplc="CA525F02">
      <w:start w:val="1"/>
      <w:numFmt w:val="bullet"/>
      <w:lvlText w:val=""/>
      <w:lvlJc w:val="left"/>
      <w:pPr>
        <w:ind w:left="720" w:hanging="360"/>
      </w:pPr>
      <w:rPr>
        <w:rFonts w:ascii="Symbol" w:hAnsi="Symbol" w:hint="default"/>
      </w:rPr>
    </w:lvl>
    <w:lvl w:ilvl="1" w:tplc="58448A68">
      <w:start w:val="1"/>
      <w:numFmt w:val="bullet"/>
      <w:lvlText w:val="o"/>
      <w:lvlJc w:val="left"/>
      <w:pPr>
        <w:ind w:left="1440" w:hanging="360"/>
      </w:pPr>
      <w:rPr>
        <w:rFonts w:ascii="Courier New" w:hAnsi="Courier New" w:hint="default"/>
      </w:rPr>
    </w:lvl>
    <w:lvl w:ilvl="2" w:tplc="2200DF8A">
      <w:start w:val="1"/>
      <w:numFmt w:val="bullet"/>
      <w:lvlText w:val=""/>
      <w:lvlJc w:val="left"/>
      <w:pPr>
        <w:ind w:left="2160" w:hanging="360"/>
      </w:pPr>
      <w:rPr>
        <w:rFonts w:ascii="Wingdings" w:hAnsi="Wingdings" w:hint="default"/>
      </w:rPr>
    </w:lvl>
    <w:lvl w:ilvl="3" w:tplc="442486FC">
      <w:start w:val="1"/>
      <w:numFmt w:val="bullet"/>
      <w:lvlText w:val=""/>
      <w:lvlJc w:val="left"/>
      <w:pPr>
        <w:ind w:left="2880" w:hanging="360"/>
      </w:pPr>
      <w:rPr>
        <w:rFonts w:ascii="Symbol" w:hAnsi="Symbol" w:hint="default"/>
      </w:rPr>
    </w:lvl>
    <w:lvl w:ilvl="4" w:tplc="F9D64184">
      <w:start w:val="1"/>
      <w:numFmt w:val="bullet"/>
      <w:lvlText w:val="o"/>
      <w:lvlJc w:val="left"/>
      <w:pPr>
        <w:ind w:left="3600" w:hanging="360"/>
      </w:pPr>
      <w:rPr>
        <w:rFonts w:ascii="Courier New" w:hAnsi="Courier New" w:hint="default"/>
      </w:rPr>
    </w:lvl>
    <w:lvl w:ilvl="5" w:tplc="C3E8384E">
      <w:start w:val="1"/>
      <w:numFmt w:val="bullet"/>
      <w:lvlText w:val=""/>
      <w:lvlJc w:val="left"/>
      <w:pPr>
        <w:ind w:left="4320" w:hanging="360"/>
      </w:pPr>
      <w:rPr>
        <w:rFonts w:ascii="Wingdings" w:hAnsi="Wingdings" w:hint="default"/>
      </w:rPr>
    </w:lvl>
    <w:lvl w:ilvl="6" w:tplc="905EF31E">
      <w:start w:val="1"/>
      <w:numFmt w:val="bullet"/>
      <w:lvlText w:val=""/>
      <w:lvlJc w:val="left"/>
      <w:pPr>
        <w:ind w:left="5040" w:hanging="360"/>
      </w:pPr>
      <w:rPr>
        <w:rFonts w:ascii="Symbol" w:hAnsi="Symbol" w:hint="default"/>
      </w:rPr>
    </w:lvl>
    <w:lvl w:ilvl="7" w:tplc="8D6E5480">
      <w:start w:val="1"/>
      <w:numFmt w:val="bullet"/>
      <w:lvlText w:val="o"/>
      <w:lvlJc w:val="left"/>
      <w:pPr>
        <w:ind w:left="5760" w:hanging="360"/>
      </w:pPr>
      <w:rPr>
        <w:rFonts w:ascii="Courier New" w:hAnsi="Courier New" w:hint="default"/>
      </w:rPr>
    </w:lvl>
    <w:lvl w:ilvl="8" w:tplc="0290D0D2">
      <w:start w:val="1"/>
      <w:numFmt w:val="bullet"/>
      <w:lvlText w:val=""/>
      <w:lvlJc w:val="left"/>
      <w:pPr>
        <w:ind w:left="6480" w:hanging="360"/>
      </w:pPr>
      <w:rPr>
        <w:rFonts w:ascii="Wingdings" w:hAnsi="Wingdings" w:hint="default"/>
      </w:rPr>
    </w:lvl>
  </w:abstractNum>
  <w:abstractNum w:abstractNumId="28" w15:restartNumberingAfterBreak="0">
    <w:nsid w:val="5A181C4A"/>
    <w:multiLevelType w:val="multilevel"/>
    <w:tmpl w:val="E5963C24"/>
    <w:lvl w:ilvl="0">
      <w:start w:val="1"/>
      <w:numFmt w:val="decimal"/>
      <w:lvlText w:val="%1."/>
      <w:lvlJc w:val="left"/>
      <w:pPr>
        <w:ind w:left="1080" w:hanging="360"/>
      </w:pPr>
      <w:rPr>
        <w:rFonts w:hint="default"/>
        <w:b w:val="0"/>
      </w:rPr>
    </w:lvl>
    <w:lvl w:ilvl="1">
      <w:start w:val="7"/>
      <w:numFmt w:val="decimal"/>
      <w:lvlText w:val="%2."/>
      <w:lvlJc w:val="left"/>
      <w:pPr>
        <w:ind w:left="1440" w:hanging="360"/>
      </w:pPr>
      <w:rPr>
        <w:rFonts w:hint="default"/>
        <w:b w:val="0"/>
      </w:rPr>
    </w:lvl>
    <w:lvl w:ilvl="2">
      <w:start w:val="1"/>
      <w:numFmt w:val="lowerLetter"/>
      <w:lvlText w:val="%3."/>
      <w:lvlJc w:val="right"/>
      <w:pPr>
        <w:ind w:left="1800" w:hanging="360"/>
      </w:pPr>
      <w:rPr>
        <w:rFonts w:hint="default"/>
      </w:rPr>
    </w:lvl>
    <w:lvl w:ilvl="3">
      <w:start w:val="1"/>
      <w:numFmt w:val="lowerRoman"/>
      <w:lvlText w:val="%4."/>
      <w:lvlJc w:val="left"/>
      <w:pPr>
        <w:ind w:left="216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30" w15:restartNumberingAfterBreak="0">
    <w:nsid w:val="63A04995"/>
    <w:multiLevelType w:val="multilevel"/>
    <w:tmpl w:val="531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AA1133"/>
    <w:multiLevelType w:val="multilevel"/>
    <w:tmpl w:val="E6BAF600"/>
    <w:lvl w:ilvl="0">
      <w:start w:val="5"/>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2" w15:restartNumberingAfterBreak="0">
    <w:nsid w:val="680563CA"/>
    <w:multiLevelType w:val="multilevel"/>
    <w:tmpl w:val="052226E4"/>
    <w:lvl w:ilvl="0">
      <w:start w:val="1"/>
      <w:numFmt w:val="upperLetter"/>
      <w:lvlText w:val="%1."/>
      <w:lvlJc w:val="left"/>
      <w:pPr>
        <w:ind w:left="720" w:hanging="360"/>
      </w:pPr>
      <w:rPr>
        <w:rFonts w:hint="default"/>
        <w:b/>
        <w:bCs/>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D471CBF"/>
    <w:multiLevelType w:val="multilevel"/>
    <w:tmpl w:val="C022946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AE1E3E"/>
    <w:multiLevelType w:val="hybridMultilevel"/>
    <w:tmpl w:val="E7B84004"/>
    <w:lvl w:ilvl="0" w:tplc="6054E07A">
      <w:start w:val="1"/>
      <w:numFmt w:val="decimal"/>
      <w:pStyle w:val="HeadingNew1"/>
      <w:lvlText w:val="%1."/>
      <w:lvlJc w:val="left"/>
      <w:pPr>
        <w:ind w:left="990" w:hanging="360"/>
      </w:pPr>
      <w:rPr>
        <w:rFonts w:ascii="Tahoma" w:hAnsi="Tahoma" w:cs="Tahoma"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632742"/>
    <w:multiLevelType w:val="multilevel"/>
    <w:tmpl w:val="E7C88F12"/>
    <w:lvl w:ilvl="0">
      <w:start w:val="8"/>
      <w:numFmt w:val="decimal"/>
      <w:lvlText w:val="%1."/>
      <w:lvlJc w:val="left"/>
      <w:pPr>
        <w:tabs>
          <w:tab w:val="num" w:pos="720"/>
        </w:tabs>
        <w:ind w:left="720" w:hanging="360"/>
      </w:pPr>
      <w:rPr>
        <w:rFonts w:ascii="Tahoma" w:hAnsi="Tahoma" w:cs="Tahoma" w:hint="default"/>
        <w:b w:val="0"/>
        <w:bCs w:val="0"/>
      </w:rPr>
    </w:lvl>
    <w:lvl w:ilvl="1">
      <w:start w:val="2"/>
      <w:numFmt w:val="lowerRoman"/>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6" w15:restartNumberingAfterBreak="0">
    <w:nsid w:val="735B4900"/>
    <w:multiLevelType w:val="multilevel"/>
    <w:tmpl w:val="E4367DB6"/>
    <w:lvl w:ilvl="0">
      <w:start w:val="3"/>
      <w:numFmt w:val="decimal"/>
      <w:lvlText w:val="%1."/>
      <w:lvlJc w:val="left"/>
      <w:pPr>
        <w:tabs>
          <w:tab w:val="num" w:pos="720"/>
        </w:tabs>
        <w:ind w:left="720" w:hanging="360"/>
      </w:pPr>
      <w:rPr>
        <w:rFonts w:hint="default"/>
        <w:b w:val="0"/>
        <w:bCs w:val="0"/>
      </w:rPr>
    </w:lvl>
    <w:lvl w:ilvl="1">
      <w:start w:val="2"/>
      <w:numFmt w:val="lowerRoman"/>
      <w:lvlText w:val="%2."/>
      <w:lvlJc w:val="righ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4273FAE"/>
    <w:multiLevelType w:val="hybridMultilevel"/>
    <w:tmpl w:val="15F8286A"/>
    <w:lvl w:ilvl="0" w:tplc="C6A40ED0">
      <w:start w:val="1"/>
      <w:numFmt w:val="upperLetter"/>
      <w:lvlText w:val="%1."/>
      <w:lvlJc w:val="left"/>
      <w:pPr>
        <w:ind w:left="1800" w:hanging="360"/>
      </w:pPr>
      <w:rPr>
        <w:rFonts w:ascii="Tahoma" w:hAnsi="Tahoma" w:cs="Tahom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9464DD7"/>
    <w:multiLevelType w:val="hybridMultilevel"/>
    <w:tmpl w:val="E864E8C0"/>
    <w:lvl w:ilvl="0" w:tplc="6D14F63A">
      <w:start w:val="1"/>
      <w:numFmt w:val="bullet"/>
      <w:lvlText w:val="·"/>
      <w:lvlJc w:val="left"/>
      <w:pPr>
        <w:tabs>
          <w:tab w:val="num" w:pos="720"/>
        </w:tabs>
        <w:ind w:left="720" w:hanging="360"/>
      </w:pPr>
      <w:rPr>
        <w:rFonts w:ascii="Symbol" w:hAnsi="Symbol" w:hint="default"/>
        <w:sz w:val="20"/>
      </w:rPr>
    </w:lvl>
    <w:lvl w:ilvl="1" w:tplc="ADE6BE90" w:tentative="1">
      <w:start w:val="1"/>
      <w:numFmt w:val="bullet"/>
      <w:lvlText w:val=""/>
      <w:lvlJc w:val="left"/>
      <w:pPr>
        <w:tabs>
          <w:tab w:val="num" w:pos="1440"/>
        </w:tabs>
        <w:ind w:left="1440" w:hanging="360"/>
      </w:pPr>
      <w:rPr>
        <w:rFonts w:ascii="Symbol" w:hAnsi="Symbol" w:hint="default"/>
        <w:sz w:val="20"/>
      </w:rPr>
    </w:lvl>
    <w:lvl w:ilvl="2" w:tplc="44863A7E" w:tentative="1">
      <w:start w:val="1"/>
      <w:numFmt w:val="bullet"/>
      <w:lvlText w:val=""/>
      <w:lvlJc w:val="left"/>
      <w:pPr>
        <w:tabs>
          <w:tab w:val="num" w:pos="2160"/>
        </w:tabs>
        <w:ind w:left="2160" w:hanging="360"/>
      </w:pPr>
      <w:rPr>
        <w:rFonts w:ascii="Symbol" w:hAnsi="Symbol" w:hint="default"/>
        <w:sz w:val="20"/>
      </w:rPr>
    </w:lvl>
    <w:lvl w:ilvl="3" w:tplc="8244CE3C" w:tentative="1">
      <w:start w:val="1"/>
      <w:numFmt w:val="bullet"/>
      <w:lvlText w:val=""/>
      <w:lvlJc w:val="left"/>
      <w:pPr>
        <w:tabs>
          <w:tab w:val="num" w:pos="2880"/>
        </w:tabs>
        <w:ind w:left="2880" w:hanging="360"/>
      </w:pPr>
      <w:rPr>
        <w:rFonts w:ascii="Symbol" w:hAnsi="Symbol" w:hint="default"/>
        <w:sz w:val="20"/>
      </w:rPr>
    </w:lvl>
    <w:lvl w:ilvl="4" w:tplc="5AD290B2" w:tentative="1">
      <w:start w:val="1"/>
      <w:numFmt w:val="bullet"/>
      <w:lvlText w:val=""/>
      <w:lvlJc w:val="left"/>
      <w:pPr>
        <w:tabs>
          <w:tab w:val="num" w:pos="3600"/>
        </w:tabs>
        <w:ind w:left="3600" w:hanging="360"/>
      </w:pPr>
      <w:rPr>
        <w:rFonts w:ascii="Symbol" w:hAnsi="Symbol" w:hint="default"/>
        <w:sz w:val="20"/>
      </w:rPr>
    </w:lvl>
    <w:lvl w:ilvl="5" w:tplc="6F80EACE" w:tentative="1">
      <w:start w:val="1"/>
      <w:numFmt w:val="bullet"/>
      <w:lvlText w:val=""/>
      <w:lvlJc w:val="left"/>
      <w:pPr>
        <w:tabs>
          <w:tab w:val="num" w:pos="4320"/>
        </w:tabs>
        <w:ind w:left="4320" w:hanging="360"/>
      </w:pPr>
      <w:rPr>
        <w:rFonts w:ascii="Symbol" w:hAnsi="Symbol" w:hint="default"/>
        <w:sz w:val="20"/>
      </w:rPr>
    </w:lvl>
    <w:lvl w:ilvl="6" w:tplc="860CF892" w:tentative="1">
      <w:start w:val="1"/>
      <w:numFmt w:val="bullet"/>
      <w:lvlText w:val=""/>
      <w:lvlJc w:val="left"/>
      <w:pPr>
        <w:tabs>
          <w:tab w:val="num" w:pos="5040"/>
        </w:tabs>
        <w:ind w:left="5040" w:hanging="360"/>
      </w:pPr>
      <w:rPr>
        <w:rFonts w:ascii="Symbol" w:hAnsi="Symbol" w:hint="default"/>
        <w:sz w:val="20"/>
      </w:rPr>
    </w:lvl>
    <w:lvl w:ilvl="7" w:tplc="A30A6516" w:tentative="1">
      <w:start w:val="1"/>
      <w:numFmt w:val="bullet"/>
      <w:lvlText w:val=""/>
      <w:lvlJc w:val="left"/>
      <w:pPr>
        <w:tabs>
          <w:tab w:val="num" w:pos="5760"/>
        </w:tabs>
        <w:ind w:left="5760" w:hanging="360"/>
      </w:pPr>
      <w:rPr>
        <w:rFonts w:ascii="Symbol" w:hAnsi="Symbol" w:hint="default"/>
        <w:sz w:val="20"/>
      </w:rPr>
    </w:lvl>
    <w:lvl w:ilvl="8" w:tplc="77685CAA"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595B9E"/>
    <w:multiLevelType w:val="multilevel"/>
    <w:tmpl w:val="2A9C0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1E1DF3"/>
    <w:multiLevelType w:val="multilevel"/>
    <w:tmpl w:val="422C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A7177E"/>
    <w:multiLevelType w:val="hybridMultilevel"/>
    <w:tmpl w:val="90101F2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41917120">
    <w:abstractNumId w:val="4"/>
  </w:num>
  <w:num w:numId="2" w16cid:durableId="478697206">
    <w:abstractNumId w:val="20"/>
  </w:num>
  <w:num w:numId="3" w16cid:durableId="98064480">
    <w:abstractNumId w:val="18"/>
  </w:num>
  <w:num w:numId="4" w16cid:durableId="1715545950">
    <w:abstractNumId w:val="21"/>
  </w:num>
  <w:num w:numId="5" w16cid:durableId="1624573129">
    <w:abstractNumId w:val="13"/>
  </w:num>
  <w:num w:numId="6" w16cid:durableId="448163377">
    <w:abstractNumId w:val="27"/>
  </w:num>
  <w:num w:numId="7" w16cid:durableId="46681882">
    <w:abstractNumId w:val="11"/>
  </w:num>
  <w:num w:numId="8" w16cid:durableId="1955400111">
    <w:abstractNumId w:val="33"/>
  </w:num>
  <w:num w:numId="9" w16cid:durableId="512912892">
    <w:abstractNumId w:val="9"/>
  </w:num>
  <w:num w:numId="10" w16cid:durableId="1456681501">
    <w:abstractNumId w:val="2"/>
  </w:num>
  <w:num w:numId="11" w16cid:durableId="112555296">
    <w:abstractNumId w:val="25"/>
  </w:num>
  <w:num w:numId="12" w16cid:durableId="2057704923">
    <w:abstractNumId w:val="5"/>
  </w:num>
  <w:num w:numId="13" w16cid:durableId="1518347694">
    <w:abstractNumId w:val="40"/>
  </w:num>
  <w:num w:numId="14" w16cid:durableId="785272863">
    <w:abstractNumId w:val="15"/>
  </w:num>
  <w:num w:numId="15" w16cid:durableId="2064060631">
    <w:abstractNumId w:val="24"/>
  </w:num>
  <w:num w:numId="16" w16cid:durableId="1812212499">
    <w:abstractNumId w:val="34"/>
  </w:num>
  <w:num w:numId="17" w16cid:durableId="2781295">
    <w:abstractNumId w:val="32"/>
  </w:num>
  <w:num w:numId="18" w16cid:durableId="850022999">
    <w:abstractNumId w:val="16"/>
  </w:num>
  <w:num w:numId="19" w16cid:durableId="2064595885">
    <w:abstractNumId w:val="4"/>
  </w:num>
  <w:num w:numId="20" w16cid:durableId="859854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175178">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6010711">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2591511">
    <w:abstractNumId w:val="4"/>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27866112">
    <w:abstractNumId w:val="39"/>
  </w:num>
  <w:num w:numId="25" w16cid:durableId="546382828">
    <w:abstractNumId w:val="23"/>
  </w:num>
  <w:num w:numId="26" w16cid:durableId="1468815440">
    <w:abstractNumId w:val="22"/>
  </w:num>
  <w:num w:numId="27" w16cid:durableId="435751938">
    <w:abstractNumId w:val="14"/>
  </w:num>
  <w:num w:numId="28" w16cid:durableId="2067951841">
    <w:abstractNumId w:val="31"/>
  </w:num>
  <w:num w:numId="29" w16cid:durableId="1360426619">
    <w:abstractNumId w:val="17"/>
  </w:num>
  <w:num w:numId="30" w16cid:durableId="1642884978">
    <w:abstractNumId w:val="19"/>
  </w:num>
  <w:num w:numId="31" w16cid:durableId="450586747">
    <w:abstractNumId w:val="1"/>
  </w:num>
  <w:num w:numId="32" w16cid:durableId="1649674097">
    <w:abstractNumId w:val="38"/>
  </w:num>
  <w:num w:numId="33" w16cid:durableId="835728870">
    <w:abstractNumId w:val="30"/>
  </w:num>
  <w:num w:numId="34" w16cid:durableId="169299429">
    <w:abstractNumId w:val="6"/>
  </w:num>
  <w:num w:numId="35" w16cid:durableId="1590580665">
    <w:abstractNumId w:val="29"/>
  </w:num>
  <w:num w:numId="36" w16cid:durableId="706218443">
    <w:abstractNumId w:val="26"/>
  </w:num>
  <w:num w:numId="37" w16cid:durableId="1466465345">
    <w:abstractNumId w:val="3"/>
  </w:num>
  <w:num w:numId="38" w16cid:durableId="1445003272">
    <w:abstractNumId w:val="36"/>
  </w:num>
  <w:num w:numId="39" w16cid:durableId="774247716">
    <w:abstractNumId w:val="7"/>
  </w:num>
  <w:num w:numId="40" w16cid:durableId="587274709">
    <w:abstractNumId w:val="10"/>
  </w:num>
  <w:num w:numId="41" w16cid:durableId="1991514818">
    <w:abstractNumId w:val="41"/>
  </w:num>
  <w:num w:numId="42" w16cid:durableId="1863319956">
    <w:abstractNumId w:val="0"/>
  </w:num>
  <w:num w:numId="43" w16cid:durableId="480390667">
    <w:abstractNumId w:val="8"/>
  </w:num>
  <w:num w:numId="44" w16cid:durableId="367990856">
    <w:abstractNumId w:val="37"/>
  </w:num>
  <w:num w:numId="45" w16cid:durableId="215514059">
    <w:abstractNumId w:val="28"/>
  </w:num>
  <w:num w:numId="46" w16cid:durableId="172112498">
    <w:abstractNumId w:val="35"/>
  </w:num>
  <w:num w:numId="47" w16cid:durableId="535198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52358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50969389">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4878520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0AEA"/>
    <w:rsid w:val="00001C1C"/>
    <w:rsid w:val="0000284F"/>
    <w:rsid w:val="00002C61"/>
    <w:rsid w:val="00005D84"/>
    <w:rsid w:val="00005DA1"/>
    <w:rsid w:val="000063B5"/>
    <w:rsid w:val="00006CBE"/>
    <w:rsid w:val="00007C86"/>
    <w:rsid w:val="00013BAA"/>
    <w:rsid w:val="0001408A"/>
    <w:rsid w:val="00015969"/>
    <w:rsid w:val="000179F5"/>
    <w:rsid w:val="000203C2"/>
    <w:rsid w:val="00020455"/>
    <w:rsid w:val="0002369F"/>
    <w:rsid w:val="00024FFE"/>
    <w:rsid w:val="00027125"/>
    <w:rsid w:val="000317B9"/>
    <w:rsid w:val="000318CE"/>
    <w:rsid w:val="00035837"/>
    <w:rsid w:val="00035DE2"/>
    <w:rsid w:val="00036989"/>
    <w:rsid w:val="00037F66"/>
    <w:rsid w:val="00041A0F"/>
    <w:rsid w:val="00041D7F"/>
    <w:rsid w:val="0004705B"/>
    <w:rsid w:val="0004705D"/>
    <w:rsid w:val="0004779A"/>
    <w:rsid w:val="000557AC"/>
    <w:rsid w:val="00060591"/>
    <w:rsid w:val="00060A6F"/>
    <w:rsid w:val="000611BE"/>
    <w:rsid w:val="0006377F"/>
    <w:rsid w:val="00063941"/>
    <w:rsid w:val="00063B9D"/>
    <w:rsid w:val="000653A6"/>
    <w:rsid w:val="000705C3"/>
    <w:rsid w:val="00071316"/>
    <w:rsid w:val="00071594"/>
    <w:rsid w:val="000728DA"/>
    <w:rsid w:val="00073ACA"/>
    <w:rsid w:val="00073CCF"/>
    <w:rsid w:val="00074E58"/>
    <w:rsid w:val="00081864"/>
    <w:rsid w:val="000834A3"/>
    <w:rsid w:val="000851CD"/>
    <w:rsid w:val="000900B2"/>
    <w:rsid w:val="0009064B"/>
    <w:rsid w:val="00091227"/>
    <w:rsid w:val="000922CE"/>
    <w:rsid w:val="000922F5"/>
    <w:rsid w:val="00092EF0"/>
    <w:rsid w:val="000A0FA4"/>
    <w:rsid w:val="000A451D"/>
    <w:rsid w:val="000A560E"/>
    <w:rsid w:val="000A6CE7"/>
    <w:rsid w:val="000A72F8"/>
    <w:rsid w:val="000B10AB"/>
    <w:rsid w:val="000B28FD"/>
    <w:rsid w:val="000B354D"/>
    <w:rsid w:val="000B3A58"/>
    <w:rsid w:val="000B3CCA"/>
    <w:rsid w:val="000B4154"/>
    <w:rsid w:val="000B5F85"/>
    <w:rsid w:val="000C16AE"/>
    <w:rsid w:val="000C4CB1"/>
    <w:rsid w:val="000C5C9C"/>
    <w:rsid w:val="000C61F5"/>
    <w:rsid w:val="000C6F63"/>
    <w:rsid w:val="000D2F39"/>
    <w:rsid w:val="000D4A7B"/>
    <w:rsid w:val="000D575E"/>
    <w:rsid w:val="000D6047"/>
    <w:rsid w:val="000D6791"/>
    <w:rsid w:val="000D79C3"/>
    <w:rsid w:val="000E31D6"/>
    <w:rsid w:val="000E411E"/>
    <w:rsid w:val="000E433B"/>
    <w:rsid w:val="000E6CD9"/>
    <w:rsid w:val="000E7719"/>
    <w:rsid w:val="000F0947"/>
    <w:rsid w:val="000F0D5B"/>
    <w:rsid w:val="000F4FA1"/>
    <w:rsid w:val="000F57C6"/>
    <w:rsid w:val="000F5BE1"/>
    <w:rsid w:val="000F6344"/>
    <w:rsid w:val="000F6D97"/>
    <w:rsid w:val="00102AA1"/>
    <w:rsid w:val="00103375"/>
    <w:rsid w:val="00103791"/>
    <w:rsid w:val="001040A7"/>
    <w:rsid w:val="001053EA"/>
    <w:rsid w:val="00106C10"/>
    <w:rsid w:val="0011139A"/>
    <w:rsid w:val="001116D2"/>
    <w:rsid w:val="001151E5"/>
    <w:rsid w:val="0011644A"/>
    <w:rsid w:val="0012067F"/>
    <w:rsid w:val="00122045"/>
    <w:rsid w:val="001225AF"/>
    <w:rsid w:val="0012398F"/>
    <w:rsid w:val="00123D62"/>
    <w:rsid w:val="00123E80"/>
    <w:rsid w:val="0012428F"/>
    <w:rsid w:val="00124A25"/>
    <w:rsid w:val="00125523"/>
    <w:rsid w:val="00125AFE"/>
    <w:rsid w:val="001261BE"/>
    <w:rsid w:val="001261E1"/>
    <w:rsid w:val="00126DF1"/>
    <w:rsid w:val="001273B9"/>
    <w:rsid w:val="001339C3"/>
    <w:rsid w:val="00133A81"/>
    <w:rsid w:val="00134D8A"/>
    <w:rsid w:val="00134E1A"/>
    <w:rsid w:val="001353CE"/>
    <w:rsid w:val="00136B9D"/>
    <w:rsid w:val="0014043C"/>
    <w:rsid w:val="001406AE"/>
    <w:rsid w:val="0014153D"/>
    <w:rsid w:val="001423A6"/>
    <w:rsid w:val="001449AA"/>
    <w:rsid w:val="00145265"/>
    <w:rsid w:val="0014540E"/>
    <w:rsid w:val="001457B1"/>
    <w:rsid w:val="00146C62"/>
    <w:rsid w:val="00146E6A"/>
    <w:rsid w:val="0014731B"/>
    <w:rsid w:val="001475B3"/>
    <w:rsid w:val="001477A0"/>
    <w:rsid w:val="0015243A"/>
    <w:rsid w:val="00152664"/>
    <w:rsid w:val="00154044"/>
    <w:rsid w:val="00154600"/>
    <w:rsid w:val="0015612B"/>
    <w:rsid w:val="001571E8"/>
    <w:rsid w:val="00162611"/>
    <w:rsid w:val="00165EF0"/>
    <w:rsid w:val="001665C7"/>
    <w:rsid w:val="00167654"/>
    <w:rsid w:val="0017117D"/>
    <w:rsid w:val="00173768"/>
    <w:rsid w:val="00173A2F"/>
    <w:rsid w:val="00173CB4"/>
    <w:rsid w:val="001740D9"/>
    <w:rsid w:val="001742A2"/>
    <w:rsid w:val="0017462B"/>
    <w:rsid w:val="0017670D"/>
    <w:rsid w:val="00180AF8"/>
    <w:rsid w:val="001829F7"/>
    <w:rsid w:val="001836BF"/>
    <w:rsid w:val="00183BEA"/>
    <w:rsid w:val="00184B6B"/>
    <w:rsid w:val="00185E8D"/>
    <w:rsid w:val="001867A7"/>
    <w:rsid w:val="00190B05"/>
    <w:rsid w:val="00190D8C"/>
    <w:rsid w:val="00190F3D"/>
    <w:rsid w:val="00192308"/>
    <w:rsid w:val="001A7FA2"/>
    <w:rsid w:val="001B0B89"/>
    <w:rsid w:val="001B0F25"/>
    <w:rsid w:val="001B2889"/>
    <w:rsid w:val="001B47AE"/>
    <w:rsid w:val="001B4BD5"/>
    <w:rsid w:val="001B5A0B"/>
    <w:rsid w:val="001B729F"/>
    <w:rsid w:val="001C20BD"/>
    <w:rsid w:val="001C3CDA"/>
    <w:rsid w:val="001C4AE1"/>
    <w:rsid w:val="001C5F2B"/>
    <w:rsid w:val="001C605E"/>
    <w:rsid w:val="001C6A3B"/>
    <w:rsid w:val="001D0B8B"/>
    <w:rsid w:val="001D3E4B"/>
    <w:rsid w:val="001D4B4C"/>
    <w:rsid w:val="001D599C"/>
    <w:rsid w:val="001D62F2"/>
    <w:rsid w:val="001D6C4D"/>
    <w:rsid w:val="001D6FED"/>
    <w:rsid w:val="001E0201"/>
    <w:rsid w:val="001E342D"/>
    <w:rsid w:val="001E3725"/>
    <w:rsid w:val="001E39A6"/>
    <w:rsid w:val="001E4F54"/>
    <w:rsid w:val="001E54F5"/>
    <w:rsid w:val="001E73D1"/>
    <w:rsid w:val="001F143A"/>
    <w:rsid w:val="001F2E2E"/>
    <w:rsid w:val="001F3152"/>
    <w:rsid w:val="001F327A"/>
    <w:rsid w:val="001F62F3"/>
    <w:rsid w:val="001F6300"/>
    <w:rsid w:val="001F7688"/>
    <w:rsid w:val="00200071"/>
    <w:rsid w:val="00200B6F"/>
    <w:rsid w:val="002027B8"/>
    <w:rsid w:val="00203587"/>
    <w:rsid w:val="00204718"/>
    <w:rsid w:val="00205D36"/>
    <w:rsid w:val="0020648F"/>
    <w:rsid w:val="00206D7E"/>
    <w:rsid w:val="00207871"/>
    <w:rsid w:val="00210F3E"/>
    <w:rsid w:val="00211F29"/>
    <w:rsid w:val="002121E7"/>
    <w:rsid w:val="00212E7F"/>
    <w:rsid w:val="0021486D"/>
    <w:rsid w:val="002201EF"/>
    <w:rsid w:val="002211F0"/>
    <w:rsid w:val="00221C82"/>
    <w:rsid w:val="00222F62"/>
    <w:rsid w:val="00223914"/>
    <w:rsid w:val="002257D1"/>
    <w:rsid w:val="00225B04"/>
    <w:rsid w:val="002267BB"/>
    <w:rsid w:val="002270F7"/>
    <w:rsid w:val="00231736"/>
    <w:rsid w:val="00235167"/>
    <w:rsid w:val="00235C8E"/>
    <w:rsid w:val="00240167"/>
    <w:rsid w:val="002410BC"/>
    <w:rsid w:val="00242B32"/>
    <w:rsid w:val="00242D2C"/>
    <w:rsid w:val="00245690"/>
    <w:rsid w:val="00246605"/>
    <w:rsid w:val="00251211"/>
    <w:rsid w:val="00256C04"/>
    <w:rsid w:val="002572D4"/>
    <w:rsid w:val="0026113E"/>
    <w:rsid w:val="0026192E"/>
    <w:rsid w:val="00262D0D"/>
    <w:rsid w:val="00263551"/>
    <w:rsid w:val="0026385E"/>
    <w:rsid w:val="00263B02"/>
    <w:rsid w:val="00264EA1"/>
    <w:rsid w:val="002654DC"/>
    <w:rsid w:val="0026739C"/>
    <w:rsid w:val="00272279"/>
    <w:rsid w:val="002735BA"/>
    <w:rsid w:val="00273868"/>
    <w:rsid w:val="002747CF"/>
    <w:rsid w:val="002748C3"/>
    <w:rsid w:val="0027639A"/>
    <w:rsid w:val="002804B9"/>
    <w:rsid w:val="00281BB0"/>
    <w:rsid w:val="002829DB"/>
    <w:rsid w:val="00283106"/>
    <w:rsid w:val="00285780"/>
    <w:rsid w:val="00291CC5"/>
    <w:rsid w:val="00292F10"/>
    <w:rsid w:val="00293842"/>
    <w:rsid w:val="0029653B"/>
    <w:rsid w:val="00296CE1"/>
    <w:rsid w:val="00297E59"/>
    <w:rsid w:val="002A2C80"/>
    <w:rsid w:val="002A3A71"/>
    <w:rsid w:val="002A5F7A"/>
    <w:rsid w:val="002B0AA6"/>
    <w:rsid w:val="002B1572"/>
    <w:rsid w:val="002B1DAC"/>
    <w:rsid w:val="002B3D9A"/>
    <w:rsid w:val="002B5E19"/>
    <w:rsid w:val="002C2733"/>
    <w:rsid w:val="002C3A9E"/>
    <w:rsid w:val="002C55F8"/>
    <w:rsid w:val="002C5D5F"/>
    <w:rsid w:val="002C6EB4"/>
    <w:rsid w:val="002C750A"/>
    <w:rsid w:val="002D0ACB"/>
    <w:rsid w:val="002D11A5"/>
    <w:rsid w:val="002D12D0"/>
    <w:rsid w:val="002D1CA5"/>
    <w:rsid w:val="002D6349"/>
    <w:rsid w:val="002D73A8"/>
    <w:rsid w:val="002E1315"/>
    <w:rsid w:val="002E4788"/>
    <w:rsid w:val="002E698E"/>
    <w:rsid w:val="002F2B94"/>
    <w:rsid w:val="002F64B2"/>
    <w:rsid w:val="002F6A1B"/>
    <w:rsid w:val="002F74A5"/>
    <w:rsid w:val="002F78D3"/>
    <w:rsid w:val="002F7B06"/>
    <w:rsid w:val="00300FB1"/>
    <w:rsid w:val="00302222"/>
    <w:rsid w:val="00302D29"/>
    <w:rsid w:val="00303130"/>
    <w:rsid w:val="00306AA9"/>
    <w:rsid w:val="00306C82"/>
    <w:rsid w:val="003077B7"/>
    <w:rsid w:val="0031248F"/>
    <w:rsid w:val="003142CC"/>
    <w:rsid w:val="0031556C"/>
    <w:rsid w:val="003156ED"/>
    <w:rsid w:val="00315EC9"/>
    <w:rsid w:val="003172B7"/>
    <w:rsid w:val="00320AD2"/>
    <w:rsid w:val="00321D1D"/>
    <w:rsid w:val="00323C04"/>
    <w:rsid w:val="003255E3"/>
    <w:rsid w:val="003267E6"/>
    <w:rsid w:val="0033400E"/>
    <w:rsid w:val="00336606"/>
    <w:rsid w:val="003407BE"/>
    <w:rsid w:val="00340ABF"/>
    <w:rsid w:val="00340DD0"/>
    <w:rsid w:val="003435BD"/>
    <w:rsid w:val="00344417"/>
    <w:rsid w:val="00346B06"/>
    <w:rsid w:val="00347C01"/>
    <w:rsid w:val="00350136"/>
    <w:rsid w:val="00352E59"/>
    <w:rsid w:val="00353981"/>
    <w:rsid w:val="00355387"/>
    <w:rsid w:val="00355CE1"/>
    <w:rsid w:val="00356E77"/>
    <w:rsid w:val="00356F9C"/>
    <w:rsid w:val="00360BE0"/>
    <w:rsid w:val="00360ED1"/>
    <w:rsid w:val="0036538D"/>
    <w:rsid w:val="00365F56"/>
    <w:rsid w:val="0037114C"/>
    <w:rsid w:val="003729D0"/>
    <w:rsid w:val="00373169"/>
    <w:rsid w:val="00375D2A"/>
    <w:rsid w:val="00377466"/>
    <w:rsid w:val="00381547"/>
    <w:rsid w:val="0038240B"/>
    <w:rsid w:val="00382CEC"/>
    <w:rsid w:val="003913D9"/>
    <w:rsid w:val="00391FC2"/>
    <w:rsid w:val="00393878"/>
    <w:rsid w:val="003944EF"/>
    <w:rsid w:val="00394993"/>
    <w:rsid w:val="003A14C0"/>
    <w:rsid w:val="003A4968"/>
    <w:rsid w:val="003A634C"/>
    <w:rsid w:val="003B02B5"/>
    <w:rsid w:val="003B149F"/>
    <w:rsid w:val="003B2D4A"/>
    <w:rsid w:val="003B364A"/>
    <w:rsid w:val="003B62DA"/>
    <w:rsid w:val="003B787B"/>
    <w:rsid w:val="003C0B8E"/>
    <w:rsid w:val="003C19A2"/>
    <w:rsid w:val="003C47B8"/>
    <w:rsid w:val="003C55A4"/>
    <w:rsid w:val="003C64F8"/>
    <w:rsid w:val="003C66DA"/>
    <w:rsid w:val="003C746B"/>
    <w:rsid w:val="003D0C68"/>
    <w:rsid w:val="003D1C52"/>
    <w:rsid w:val="003D2439"/>
    <w:rsid w:val="003D575C"/>
    <w:rsid w:val="003D5F92"/>
    <w:rsid w:val="003E0A16"/>
    <w:rsid w:val="003E0AD6"/>
    <w:rsid w:val="003E0D2D"/>
    <w:rsid w:val="003E12F1"/>
    <w:rsid w:val="003E17CE"/>
    <w:rsid w:val="003E404D"/>
    <w:rsid w:val="003E404F"/>
    <w:rsid w:val="003E43E0"/>
    <w:rsid w:val="003E7F4E"/>
    <w:rsid w:val="003F0403"/>
    <w:rsid w:val="003F0F25"/>
    <w:rsid w:val="003F1FDC"/>
    <w:rsid w:val="003F2C20"/>
    <w:rsid w:val="003F3314"/>
    <w:rsid w:val="003F3B07"/>
    <w:rsid w:val="004021A9"/>
    <w:rsid w:val="004044B5"/>
    <w:rsid w:val="00405296"/>
    <w:rsid w:val="004076CF"/>
    <w:rsid w:val="00410AC7"/>
    <w:rsid w:val="00412807"/>
    <w:rsid w:val="004152FA"/>
    <w:rsid w:val="004155CA"/>
    <w:rsid w:val="00415DE9"/>
    <w:rsid w:val="00416ABE"/>
    <w:rsid w:val="00420E35"/>
    <w:rsid w:val="00420E62"/>
    <w:rsid w:val="00421AB8"/>
    <w:rsid w:val="0042622F"/>
    <w:rsid w:val="00426E0A"/>
    <w:rsid w:val="004276CE"/>
    <w:rsid w:val="00427B6A"/>
    <w:rsid w:val="00427DF2"/>
    <w:rsid w:val="00430859"/>
    <w:rsid w:val="00430FAD"/>
    <w:rsid w:val="00432004"/>
    <w:rsid w:val="00432FB1"/>
    <w:rsid w:val="00434A01"/>
    <w:rsid w:val="00435AE2"/>
    <w:rsid w:val="004379A5"/>
    <w:rsid w:val="00437D5F"/>
    <w:rsid w:val="00441DFE"/>
    <w:rsid w:val="00442864"/>
    <w:rsid w:val="0044471B"/>
    <w:rsid w:val="00445151"/>
    <w:rsid w:val="00446FA5"/>
    <w:rsid w:val="004504D5"/>
    <w:rsid w:val="004514D7"/>
    <w:rsid w:val="004536AB"/>
    <w:rsid w:val="00454E0B"/>
    <w:rsid w:val="00456FB3"/>
    <w:rsid w:val="0045786A"/>
    <w:rsid w:val="0046003A"/>
    <w:rsid w:val="0046117E"/>
    <w:rsid w:val="00463011"/>
    <w:rsid w:val="0046329C"/>
    <w:rsid w:val="004701A9"/>
    <w:rsid w:val="004703DF"/>
    <w:rsid w:val="00475B35"/>
    <w:rsid w:val="00475D68"/>
    <w:rsid w:val="00475E6F"/>
    <w:rsid w:val="004772EB"/>
    <w:rsid w:val="00483F3B"/>
    <w:rsid w:val="00483F65"/>
    <w:rsid w:val="004848CD"/>
    <w:rsid w:val="00487B44"/>
    <w:rsid w:val="00491630"/>
    <w:rsid w:val="00493781"/>
    <w:rsid w:val="00495D9E"/>
    <w:rsid w:val="00496116"/>
    <w:rsid w:val="00497534"/>
    <w:rsid w:val="00497F5C"/>
    <w:rsid w:val="004A1AAA"/>
    <w:rsid w:val="004A2233"/>
    <w:rsid w:val="004A4C18"/>
    <w:rsid w:val="004A69AA"/>
    <w:rsid w:val="004A7278"/>
    <w:rsid w:val="004B10DB"/>
    <w:rsid w:val="004B1931"/>
    <w:rsid w:val="004B325A"/>
    <w:rsid w:val="004B69BF"/>
    <w:rsid w:val="004B7FE8"/>
    <w:rsid w:val="004C1D8D"/>
    <w:rsid w:val="004C5EB1"/>
    <w:rsid w:val="004C7713"/>
    <w:rsid w:val="004C7C21"/>
    <w:rsid w:val="004D0158"/>
    <w:rsid w:val="004D128F"/>
    <w:rsid w:val="004E00AF"/>
    <w:rsid w:val="004E0205"/>
    <w:rsid w:val="004E14E3"/>
    <w:rsid w:val="004E1EA3"/>
    <w:rsid w:val="004E46F1"/>
    <w:rsid w:val="004E64D2"/>
    <w:rsid w:val="004E72B5"/>
    <w:rsid w:val="004EEFCF"/>
    <w:rsid w:val="004F00E4"/>
    <w:rsid w:val="004F2DFC"/>
    <w:rsid w:val="004F477F"/>
    <w:rsid w:val="004F6228"/>
    <w:rsid w:val="004F71C0"/>
    <w:rsid w:val="004F7DD2"/>
    <w:rsid w:val="005014F5"/>
    <w:rsid w:val="00501F0F"/>
    <w:rsid w:val="0050279B"/>
    <w:rsid w:val="005036EC"/>
    <w:rsid w:val="005069CB"/>
    <w:rsid w:val="005100D5"/>
    <w:rsid w:val="00511F4E"/>
    <w:rsid w:val="00512225"/>
    <w:rsid w:val="00512E46"/>
    <w:rsid w:val="00514143"/>
    <w:rsid w:val="00514D6A"/>
    <w:rsid w:val="00515618"/>
    <w:rsid w:val="00516228"/>
    <w:rsid w:val="005175DE"/>
    <w:rsid w:val="00520C25"/>
    <w:rsid w:val="005216BA"/>
    <w:rsid w:val="00522FE8"/>
    <w:rsid w:val="005246F8"/>
    <w:rsid w:val="00524EA9"/>
    <w:rsid w:val="00525E2C"/>
    <w:rsid w:val="00527817"/>
    <w:rsid w:val="00530987"/>
    <w:rsid w:val="00530F97"/>
    <w:rsid w:val="00534797"/>
    <w:rsid w:val="00535CD4"/>
    <w:rsid w:val="00541330"/>
    <w:rsid w:val="00544461"/>
    <w:rsid w:val="005446B2"/>
    <w:rsid w:val="005448D1"/>
    <w:rsid w:val="005454B5"/>
    <w:rsid w:val="00545AE8"/>
    <w:rsid w:val="00546779"/>
    <w:rsid w:val="00551060"/>
    <w:rsid w:val="00551452"/>
    <w:rsid w:val="00551D6B"/>
    <w:rsid w:val="00552BB9"/>
    <w:rsid w:val="00552D27"/>
    <w:rsid w:val="0055655C"/>
    <w:rsid w:val="005568CA"/>
    <w:rsid w:val="005608A7"/>
    <w:rsid w:val="00561572"/>
    <w:rsid w:val="00561990"/>
    <w:rsid w:val="005632D0"/>
    <w:rsid w:val="00566D9C"/>
    <w:rsid w:val="005715F7"/>
    <w:rsid w:val="00573655"/>
    <w:rsid w:val="00574842"/>
    <w:rsid w:val="00574E76"/>
    <w:rsid w:val="0057562D"/>
    <w:rsid w:val="00577295"/>
    <w:rsid w:val="005773CA"/>
    <w:rsid w:val="00577D95"/>
    <w:rsid w:val="00580EDD"/>
    <w:rsid w:val="0058166C"/>
    <w:rsid w:val="00581D04"/>
    <w:rsid w:val="00584C72"/>
    <w:rsid w:val="00585AB9"/>
    <w:rsid w:val="0058670A"/>
    <w:rsid w:val="005879A0"/>
    <w:rsid w:val="00590085"/>
    <w:rsid w:val="00593743"/>
    <w:rsid w:val="00593E10"/>
    <w:rsid w:val="0059609D"/>
    <w:rsid w:val="00596E2A"/>
    <w:rsid w:val="005A1474"/>
    <w:rsid w:val="005A14AC"/>
    <w:rsid w:val="005A1FDE"/>
    <w:rsid w:val="005A3BDF"/>
    <w:rsid w:val="005A47F6"/>
    <w:rsid w:val="005B3C84"/>
    <w:rsid w:val="005B4901"/>
    <w:rsid w:val="005B61B8"/>
    <w:rsid w:val="005B6A82"/>
    <w:rsid w:val="005B70C1"/>
    <w:rsid w:val="005B70CF"/>
    <w:rsid w:val="005C2A35"/>
    <w:rsid w:val="005D47C5"/>
    <w:rsid w:val="005D5E4B"/>
    <w:rsid w:val="005D6300"/>
    <w:rsid w:val="005D6B0D"/>
    <w:rsid w:val="005D783A"/>
    <w:rsid w:val="005E1E2D"/>
    <w:rsid w:val="005E1EB3"/>
    <w:rsid w:val="005E2066"/>
    <w:rsid w:val="005E5713"/>
    <w:rsid w:val="005E62D0"/>
    <w:rsid w:val="005E6FA2"/>
    <w:rsid w:val="005F2763"/>
    <w:rsid w:val="005F3179"/>
    <w:rsid w:val="0060100B"/>
    <w:rsid w:val="00601F17"/>
    <w:rsid w:val="00603E43"/>
    <w:rsid w:val="00605368"/>
    <w:rsid w:val="00606ED7"/>
    <w:rsid w:val="00607221"/>
    <w:rsid w:val="00610945"/>
    <w:rsid w:val="00614E46"/>
    <w:rsid w:val="00615222"/>
    <w:rsid w:val="006157EC"/>
    <w:rsid w:val="00615E32"/>
    <w:rsid w:val="006174A8"/>
    <w:rsid w:val="006330B9"/>
    <w:rsid w:val="00636709"/>
    <w:rsid w:val="00636869"/>
    <w:rsid w:val="00640BB6"/>
    <w:rsid w:val="006420FF"/>
    <w:rsid w:val="00643061"/>
    <w:rsid w:val="0064527B"/>
    <w:rsid w:val="00646CD2"/>
    <w:rsid w:val="0065016B"/>
    <w:rsid w:val="006507AC"/>
    <w:rsid w:val="006507FE"/>
    <w:rsid w:val="006511D6"/>
    <w:rsid w:val="00651CA9"/>
    <w:rsid w:val="006525EE"/>
    <w:rsid w:val="0065465F"/>
    <w:rsid w:val="00654BE4"/>
    <w:rsid w:val="00657C0E"/>
    <w:rsid w:val="00657EEA"/>
    <w:rsid w:val="00661706"/>
    <w:rsid w:val="006621DF"/>
    <w:rsid w:val="00662A16"/>
    <w:rsid w:val="00663283"/>
    <w:rsid w:val="0066466A"/>
    <w:rsid w:val="00667528"/>
    <w:rsid w:val="00671A05"/>
    <w:rsid w:val="0067221B"/>
    <w:rsid w:val="00673BF4"/>
    <w:rsid w:val="00674D7D"/>
    <w:rsid w:val="0067560B"/>
    <w:rsid w:val="006757C4"/>
    <w:rsid w:val="00677E50"/>
    <w:rsid w:val="00681D70"/>
    <w:rsid w:val="006827B9"/>
    <w:rsid w:val="00682A91"/>
    <w:rsid w:val="0068335F"/>
    <w:rsid w:val="006862F5"/>
    <w:rsid w:val="00686E98"/>
    <w:rsid w:val="006878EB"/>
    <w:rsid w:val="00690971"/>
    <w:rsid w:val="00690E69"/>
    <w:rsid w:val="0069318A"/>
    <w:rsid w:val="00693454"/>
    <w:rsid w:val="006939D5"/>
    <w:rsid w:val="00693DDE"/>
    <w:rsid w:val="00694BE1"/>
    <w:rsid w:val="00697408"/>
    <w:rsid w:val="006A4306"/>
    <w:rsid w:val="006A44A6"/>
    <w:rsid w:val="006A57AF"/>
    <w:rsid w:val="006A63D9"/>
    <w:rsid w:val="006B13F0"/>
    <w:rsid w:val="006B1A8E"/>
    <w:rsid w:val="006B2297"/>
    <w:rsid w:val="006B5241"/>
    <w:rsid w:val="006B6505"/>
    <w:rsid w:val="006C000F"/>
    <w:rsid w:val="006C0C36"/>
    <w:rsid w:val="006C12FA"/>
    <w:rsid w:val="006C1977"/>
    <w:rsid w:val="006C6F2F"/>
    <w:rsid w:val="006C7442"/>
    <w:rsid w:val="006D3827"/>
    <w:rsid w:val="006D459B"/>
    <w:rsid w:val="006D498C"/>
    <w:rsid w:val="006D5578"/>
    <w:rsid w:val="006D669D"/>
    <w:rsid w:val="006D69B6"/>
    <w:rsid w:val="006D7088"/>
    <w:rsid w:val="006D7BD2"/>
    <w:rsid w:val="006E1064"/>
    <w:rsid w:val="006E146A"/>
    <w:rsid w:val="006E1C4F"/>
    <w:rsid w:val="006E2ACF"/>
    <w:rsid w:val="006E358E"/>
    <w:rsid w:val="006F0AA0"/>
    <w:rsid w:val="006F1578"/>
    <w:rsid w:val="006F5051"/>
    <w:rsid w:val="0070072D"/>
    <w:rsid w:val="00701394"/>
    <w:rsid w:val="00701855"/>
    <w:rsid w:val="00701930"/>
    <w:rsid w:val="00702774"/>
    <w:rsid w:val="007032F3"/>
    <w:rsid w:val="007063FC"/>
    <w:rsid w:val="00706894"/>
    <w:rsid w:val="0071120D"/>
    <w:rsid w:val="007134AE"/>
    <w:rsid w:val="00714899"/>
    <w:rsid w:val="0071665C"/>
    <w:rsid w:val="0072006A"/>
    <w:rsid w:val="00720723"/>
    <w:rsid w:val="0072118B"/>
    <w:rsid w:val="007211FC"/>
    <w:rsid w:val="007221FA"/>
    <w:rsid w:val="00723891"/>
    <w:rsid w:val="0072400F"/>
    <w:rsid w:val="007264DC"/>
    <w:rsid w:val="00727091"/>
    <w:rsid w:val="00731C4D"/>
    <w:rsid w:val="00732160"/>
    <w:rsid w:val="007326DA"/>
    <w:rsid w:val="00733B0B"/>
    <w:rsid w:val="00734C5A"/>
    <w:rsid w:val="00735189"/>
    <w:rsid w:val="0073731C"/>
    <w:rsid w:val="00740E88"/>
    <w:rsid w:val="00744648"/>
    <w:rsid w:val="00744EE3"/>
    <w:rsid w:val="00745624"/>
    <w:rsid w:val="00745697"/>
    <w:rsid w:val="00745B44"/>
    <w:rsid w:val="00746632"/>
    <w:rsid w:val="007466E0"/>
    <w:rsid w:val="00747AEA"/>
    <w:rsid w:val="0075022B"/>
    <w:rsid w:val="007504F1"/>
    <w:rsid w:val="00751C0F"/>
    <w:rsid w:val="0075238F"/>
    <w:rsid w:val="00752F4B"/>
    <w:rsid w:val="0075449D"/>
    <w:rsid w:val="00760B58"/>
    <w:rsid w:val="00761F8B"/>
    <w:rsid w:val="0076346F"/>
    <w:rsid w:val="00763547"/>
    <w:rsid w:val="00764361"/>
    <w:rsid w:val="007668C2"/>
    <w:rsid w:val="00767D4C"/>
    <w:rsid w:val="00770B4A"/>
    <w:rsid w:val="00771A9C"/>
    <w:rsid w:val="0077265A"/>
    <w:rsid w:val="00772B1F"/>
    <w:rsid w:val="00772C66"/>
    <w:rsid w:val="00773B90"/>
    <w:rsid w:val="00775EAD"/>
    <w:rsid w:val="0077693C"/>
    <w:rsid w:val="00777798"/>
    <w:rsid w:val="00780960"/>
    <w:rsid w:val="007813FC"/>
    <w:rsid w:val="0078154A"/>
    <w:rsid w:val="00781687"/>
    <w:rsid w:val="007819CE"/>
    <w:rsid w:val="0078272D"/>
    <w:rsid w:val="00783717"/>
    <w:rsid w:val="00784246"/>
    <w:rsid w:val="00784EAF"/>
    <w:rsid w:val="00787349"/>
    <w:rsid w:val="007901B4"/>
    <w:rsid w:val="0079120A"/>
    <w:rsid w:val="007929CA"/>
    <w:rsid w:val="00792F70"/>
    <w:rsid w:val="00794224"/>
    <w:rsid w:val="00794BF2"/>
    <w:rsid w:val="00796B1D"/>
    <w:rsid w:val="007A0F1F"/>
    <w:rsid w:val="007A26C6"/>
    <w:rsid w:val="007A5661"/>
    <w:rsid w:val="007A5DD3"/>
    <w:rsid w:val="007A7DF0"/>
    <w:rsid w:val="007B0116"/>
    <w:rsid w:val="007B019B"/>
    <w:rsid w:val="007B3002"/>
    <w:rsid w:val="007B314A"/>
    <w:rsid w:val="007B3CC9"/>
    <w:rsid w:val="007B3F87"/>
    <w:rsid w:val="007B4F03"/>
    <w:rsid w:val="007B5A30"/>
    <w:rsid w:val="007C0A81"/>
    <w:rsid w:val="007C2815"/>
    <w:rsid w:val="007C45F8"/>
    <w:rsid w:val="007C5894"/>
    <w:rsid w:val="007C5DA5"/>
    <w:rsid w:val="007C6C8A"/>
    <w:rsid w:val="007C795F"/>
    <w:rsid w:val="007D05C8"/>
    <w:rsid w:val="007D4C9A"/>
    <w:rsid w:val="007D545A"/>
    <w:rsid w:val="007D6313"/>
    <w:rsid w:val="007E1C46"/>
    <w:rsid w:val="007E4256"/>
    <w:rsid w:val="007E47D3"/>
    <w:rsid w:val="007F6063"/>
    <w:rsid w:val="007F629F"/>
    <w:rsid w:val="007F7AA4"/>
    <w:rsid w:val="008008AA"/>
    <w:rsid w:val="00803844"/>
    <w:rsid w:val="00803E15"/>
    <w:rsid w:val="0080408D"/>
    <w:rsid w:val="0080478D"/>
    <w:rsid w:val="00805AD3"/>
    <w:rsid w:val="00806195"/>
    <w:rsid w:val="0081533B"/>
    <w:rsid w:val="0081551E"/>
    <w:rsid w:val="00815F59"/>
    <w:rsid w:val="00816047"/>
    <w:rsid w:val="00817FED"/>
    <w:rsid w:val="008239AA"/>
    <w:rsid w:val="00825D3E"/>
    <w:rsid w:val="00826A42"/>
    <w:rsid w:val="00826FF9"/>
    <w:rsid w:val="00831D48"/>
    <w:rsid w:val="00833F61"/>
    <w:rsid w:val="00835AFC"/>
    <w:rsid w:val="00840C0C"/>
    <w:rsid w:val="00841D92"/>
    <w:rsid w:val="00842735"/>
    <w:rsid w:val="0084555C"/>
    <w:rsid w:val="00845CAF"/>
    <w:rsid w:val="00846985"/>
    <w:rsid w:val="00846A09"/>
    <w:rsid w:val="0084713C"/>
    <w:rsid w:val="00850701"/>
    <w:rsid w:val="008528EA"/>
    <w:rsid w:val="008543C8"/>
    <w:rsid w:val="0085442C"/>
    <w:rsid w:val="008604AC"/>
    <w:rsid w:val="0086090C"/>
    <w:rsid w:val="00860A6B"/>
    <w:rsid w:val="00862A68"/>
    <w:rsid w:val="00864FF0"/>
    <w:rsid w:val="00866138"/>
    <w:rsid w:val="00866B05"/>
    <w:rsid w:val="0087133B"/>
    <w:rsid w:val="00873303"/>
    <w:rsid w:val="008742F9"/>
    <w:rsid w:val="00874988"/>
    <w:rsid w:val="00874ECD"/>
    <w:rsid w:val="0087704E"/>
    <w:rsid w:val="00877C69"/>
    <w:rsid w:val="00880C0B"/>
    <w:rsid w:val="00881565"/>
    <w:rsid w:val="008840AB"/>
    <w:rsid w:val="00887F04"/>
    <w:rsid w:val="00890F6A"/>
    <w:rsid w:val="00891290"/>
    <w:rsid w:val="00891410"/>
    <w:rsid w:val="0089264A"/>
    <w:rsid w:val="00892828"/>
    <w:rsid w:val="008947AF"/>
    <w:rsid w:val="008960F9"/>
    <w:rsid w:val="00897649"/>
    <w:rsid w:val="00897F5B"/>
    <w:rsid w:val="008A3707"/>
    <w:rsid w:val="008B2741"/>
    <w:rsid w:val="008B4A35"/>
    <w:rsid w:val="008B4A65"/>
    <w:rsid w:val="008B4FD3"/>
    <w:rsid w:val="008B67A5"/>
    <w:rsid w:val="008B73B2"/>
    <w:rsid w:val="008C35C7"/>
    <w:rsid w:val="008C45EF"/>
    <w:rsid w:val="008C5719"/>
    <w:rsid w:val="008C6437"/>
    <w:rsid w:val="008C7F64"/>
    <w:rsid w:val="008D2FE4"/>
    <w:rsid w:val="008D4148"/>
    <w:rsid w:val="008D421C"/>
    <w:rsid w:val="008D5EB6"/>
    <w:rsid w:val="008D7686"/>
    <w:rsid w:val="008E1433"/>
    <w:rsid w:val="008E2911"/>
    <w:rsid w:val="008E2CB5"/>
    <w:rsid w:val="008E2D5F"/>
    <w:rsid w:val="008E2D87"/>
    <w:rsid w:val="008E3926"/>
    <w:rsid w:val="008E4794"/>
    <w:rsid w:val="008E7852"/>
    <w:rsid w:val="008F0C19"/>
    <w:rsid w:val="008F3364"/>
    <w:rsid w:val="008F4EE9"/>
    <w:rsid w:val="008F5B28"/>
    <w:rsid w:val="008F6257"/>
    <w:rsid w:val="008F7767"/>
    <w:rsid w:val="008F7BB2"/>
    <w:rsid w:val="009001BA"/>
    <w:rsid w:val="00900601"/>
    <w:rsid w:val="00904F97"/>
    <w:rsid w:val="0090646F"/>
    <w:rsid w:val="00907DFB"/>
    <w:rsid w:val="009103B4"/>
    <w:rsid w:val="00910710"/>
    <w:rsid w:val="009108CA"/>
    <w:rsid w:val="009109A7"/>
    <w:rsid w:val="0091158D"/>
    <w:rsid w:val="009121F5"/>
    <w:rsid w:val="00912F58"/>
    <w:rsid w:val="00912FD0"/>
    <w:rsid w:val="0091395B"/>
    <w:rsid w:val="00914774"/>
    <w:rsid w:val="0091680D"/>
    <w:rsid w:val="009208E6"/>
    <w:rsid w:val="009230DB"/>
    <w:rsid w:val="00923C09"/>
    <w:rsid w:val="00923C0F"/>
    <w:rsid w:val="00923EE6"/>
    <w:rsid w:val="009245F9"/>
    <w:rsid w:val="00925908"/>
    <w:rsid w:val="00926356"/>
    <w:rsid w:val="00926DAF"/>
    <w:rsid w:val="00927CB3"/>
    <w:rsid w:val="00930F91"/>
    <w:rsid w:val="00931CC6"/>
    <w:rsid w:val="00934FF9"/>
    <w:rsid w:val="00935737"/>
    <w:rsid w:val="00936221"/>
    <w:rsid w:val="00936AA9"/>
    <w:rsid w:val="0093782E"/>
    <w:rsid w:val="009407F5"/>
    <w:rsid w:val="009426C5"/>
    <w:rsid w:val="0094524C"/>
    <w:rsid w:val="0094605B"/>
    <w:rsid w:val="00946E2A"/>
    <w:rsid w:val="00950AF4"/>
    <w:rsid w:val="00955507"/>
    <w:rsid w:val="009568D4"/>
    <w:rsid w:val="00961BEF"/>
    <w:rsid w:val="00961C98"/>
    <w:rsid w:val="00962BB3"/>
    <w:rsid w:val="009652D7"/>
    <w:rsid w:val="00965F67"/>
    <w:rsid w:val="00970562"/>
    <w:rsid w:val="00970A13"/>
    <w:rsid w:val="00971763"/>
    <w:rsid w:val="00971E21"/>
    <w:rsid w:val="0097247B"/>
    <w:rsid w:val="00973C70"/>
    <w:rsid w:val="00974003"/>
    <w:rsid w:val="00974BB8"/>
    <w:rsid w:val="009759DC"/>
    <w:rsid w:val="009771DF"/>
    <w:rsid w:val="00983FF2"/>
    <w:rsid w:val="0098590A"/>
    <w:rsid w:val="00990AFD"/>
    <w:rsid w:val="00992F5A"/>
    <w:rsid w:val="00993CAB"/>
    <w:rsid w:val="0099493B"/>
    <w:rsid w:val="00995064"/>
    <w:rsid w:val="009A0B3E"/>
    <w:rsid w:val="009A17EF"/>
    <w:rsid w:val="009A2DEF"/>
    <w:rsid w:val="009A44BD"/>
    <w:rsid w:val="009A7387"/>
    <w:rsid w:val="009B01C4"/>
    <w:rsid w:val="009B1AAB"/>
    <w:rsid w:val="009B1C13"/>
    <w:rsid w:val="009B23E6"/>
    <w:rsid w:val="009B3212"/>
    <w:rsid w:val="009B44CF"/>
    <w:rsid w:val="009B5B02"/>
    <w:rsid w:val="009B7B6A"/>
    <w:rsid w:val="009C0A07"/>
    <w:rsid w:val="009C2DE7"/>
    <w:rsid w:val="009C49F8"/>
    <w:rsid w:val="009C5956"/>
    <w:rsid w:val="009C6C56"/>
    <w:rsid w:val="009D13F1"/>
    <w:rsid w:val="009D405B"/>
    <w:rsid w:val="009D4532"/>
    <w:rsid w:val="009D45DB"/>
    <w:rsid w:val="009D591E"/>
    <w:rsid w:val="009E08FD"/>
    <w:rsid w:val="009E11DE"/>
    <w:rsid w:val="009E4752"/>
    <w:rsid w:val="009E4F20"/>
    <w:rsid w:val="009E5598"/>
    <w:rsid w:val="009E6C35"/>
    <w:rsid w:val="009E706D"/>
    <w:rsid w:val="009E754B"/>
    <w:rsid w:val="009E7825"/>
    <w:rsid w:val="009F7F9C"/>
    <w:rsid w:val="00A02B5C"/>
    <w:rsid w:val="00A030BD"/>
    <w:rsid w:val="00A07BCC"/>
    <w:rsid w:val="00A11711"/>
    <w:rsid w:val="00A133DD"/>
    <w:rsid w:val="00A141CA"/>
    <w:rsid w:val="00A15FA8"/>
    <w:rsid w:val="00A167B5"/>
    <w:rsid w:val="00A17202"/>
    <w:rsid w:val="00A207F2"/>
    <w:rsid w:val="00A22A3C"/>
    <w:rsid w:val="00A23EF9"/>
    <w:rsid w:val="00A24C47"/>
    <w:rsid w:val="00A25994"/>
    <w:rsid w:val="00A271A2"/>
    <w:rsid w:val="00A27654"/>
    <w:rsid w:val="00A27B4C"/>
    <w:rsid w:val="00A3028B"/>
    <w:rsid w:val="00A309EB"/>
    <w:rsid w:val="00A32CA8"/>
    <w:rsid w:val="00A3384C"/>
    <w:rsid w:val="00A36CF5"/>
    <w:rsid w:val="00A45945"/>
    <w:rsid w:val="00A55947"/>
    <w:rsid w:val="00A568D1"/>
    <w:rsid w:val="00A64C45"/>
    <w:rsid w:val="00A65E52"/>
    <w:rsid w:val="00A71A3D"/>
    <w:rsid w:val="00A71CD6"/>
    <w:rsid w:val="00A71CE9"/>
    <w:rsid w:val="00A73089"/>
    <w:rsid w:val="00A73C69"/>
    <w:rsid w:val="00A74376"/>
    <w:rsid w:val="00A74403"/>
    <w:rsid w:val="00A76860"/>
    <w:rsid w:val="00A82137"/>
    <w:rsid w:val="00A82448"/>
    <w:rsid w:val="00A82982"/>
    <w:rsid w:val="00A83604"/>
    <w:rsid w:val="00A90DC6"/>
    <w:rsid w:val="00A91094"/>
    <w:rsid w:val="00A9252C"/>
    <w:rsid w:val="00A92942"/>
    <w:rsid w:val="00A9296D"/>
    <w:rsid w:val="00A94E99"/>
    <w:rsid w:val="00A96E09"/>
    <w:rsid w:val="00AA03C9"/>
    <w:rsid w:val="00AA0535"/>
    <w:rsid w:val="00AA1FCC"/>
    <w:rsid w:val="00AB095D"/>
    <w:rsid w:val="00AB13E1"/>
    <w:rsid w:val="00AB1469"/>
    <w:rsid w:val="00AB45E0"/>
    <w:rsid w:val="00AB5858"/>
    <w:rsid w:val="00AC29DF"/>
    <w:rsid w:val="00AD021C"/>
    <w:rsid w:val="00AD0595"/>
    <w:rsid w:val="00AD1D37"/>
    <w:rsid w:val="00AD21FC"/>
    <w:rsid w:val="00AD383D"/>
    <w:rsid w:val="00AD386E"/>
    <w:rsid w:val="00AD5181"/>
    <w:rsid w:val="00AD542A"/>
    <w:rsid w:val="00AD5870"/>
    <w:rsid w:val="00AD7584"/>
    <w:rsid w:val="00AE05B9"/>
    <w:rsid w:val="00AE1291"/>
    <w:rsid w:val="00AE15AA"/>
    <w:rsid w:val="00AE24A6"/>
    <w:rsid w:val="00AE25FF"/>
    <w:rsid w:val="00AE3D3E"/>
    <w:rsid w:val="00AE4413"/>
    <w:rsid w:val="00AE5C20"/>
    <w:rsid w:val="00AE76C6"/>
    <w:rsid w:val="00AF1D9D"/>
    <w:rsid w:val="00AF1F91"/>
    <w:rsid w:val="00AF2371"/>
    <w:rsid w:val="00AF31CB"/>
    <w:rsid w:val="00AF39A2"/>
    <w:rsid w:val="00B00027"/>
    <w:rsid w:val="00B03AD3"/>
    <w:rsid w:val="00B054DD"/>
    <w:rsid w:val="00B10065"/>
    <w:rsid w:val="00B100D6"/>
    <w:rsid w:val="00B10F20"/>
    <w:rsid w:val="00B1122A"/>
    <w:rsid w:val="00B117E0"/>
    <w:rsid w:val="00B11AE4"/>
    <w:rsid w:val="00B13B6C"/>
    <w:rsid w:val="00B14FEC"/>
    <w:rsid w:val="00B175DD"/>
    <w:rsid w:val="00B2094B"/>
    <w:rsid w:val="00B2160E"/>
    <w:rsid w:val="00B2526A"/>
    <w:rsid w:val="00B27018"/>
    <w:rsid w:val="00B30EFA"/>
    <w:rsid w:val="00B33F69"/>
    <w:rsid w:val="00B3457E"/>
    <w:rsid w:val="00B35A02"/>
    <w:rsid w:val="00B404CE"/>
    <w:rsid w:val="00B41D0F"/>
    <w:rsid w:val="00B43E56"/>
    <w:rsid w:val="00B43EDD"/>
    <w:rsid w:val="00B44C0D"/>
    <w:rsid w:val="00B47050"/>
    <w:rsid w:val="00B51D4C"/>
    <w:rsid w:val="00B51E0E"/>
    <w:rsid w:val="00B52D78"/>
    <w:rsid w:val="00B52E01"/>
    <w:rsid w:val="00B54FB4"/>
    <w:rsid w:val="00B55552"/>
    <w:rsid w:val="00B564F9"/>
    <w:rsid w:val="00B57298"/>
    <w:rsid w:val="00B5781C"/>
    <w:rsid w:val="00B61EE8"/>
    <w:rsid w:val="00B6461F"/>
    <w:rsid w:val="00B672EF"/>
    <w:rsid w:val="00B700EE"/>
    <w:rsid w:val="00B73356"/>
    <w:rsid w:val="00B735A6"/>
    <w:rsid w:val="00B759EA"/>
    <w:rsid w:val="00B80E72"/>
    <w:rsid w:val="00B84D31"/>
    <w:rsid w:val="00B865F4"/>
    <w:rsid w:val="00B905CE"/>
    <w:rsid w:val="00B906E9"/>
    <w:rsid w:val="00B9193D"/>
    <w:rsid w:val="00B953CC"/>
    <w:rsid w:val="00B95B3A"/>
    <w:rsid w:val="00B95D0C"/>
    <w:rsid w:val="00B965DF"/>
    <w:rsid w:val="00B96E87"/>
    <w:rsid w:val="00BA1317"/>
    <w:rsid w:val="00BA1FAE"/>
    <w:rsid w:val="00BA3F4C"/>
    <w:rsid w:val="00BA55D6"/>
    <w:rsid w:val="00BA56CE"/>
    <w:rsid w:val="00BA66DE"/>
    <w:rsid w:val="00BA6A62"/>
    <w:rsid w:val="00BB11D4"/>
    <w:rsid w:val="00BB27DD"/>
    <w:rsid w:val="00BB2CCD"/>
    <w:rsid w:val="00BB2DE6"/>
    <w:rsid w:val="00BB3B50"/>
    <w:rsid w:val="00BB5DCD"/>
    <w:rsid w:val="00BB604C"/>
    <w:rsid w:val="00BC12F0"/>
    <w:rsid w:val="00BC184D"/>
    <w:rsid w:val="00BC403E"/>
    <w:rsid w:val="00BC677E"/>
    <w:rsid w:val="00BC7287"/>
    <w:rsid w:val="00BD043B"/>
    <w:rsid w:val="00BD197F"/>
    <w:rsid w:val="00BD26D8"/>
    <w:rsid w:val="00BD3438"/>
    <w:rsid w:val="00BD3F63"/>
    <w:rsid w:val="00BD6C0F"/>
    <w:rsid w:val="00BD70A7"/>
    <w:rsid w:val="00BD77BE"/>
    <w:rsid w:val="00BE244B"/>
    <w:rsid w:val="00BE7A05"/>
    <w:rsid w:val="00BF0705"/>
    <w:rsid w:val="00BF25A6"/>
    <w:rsid w:val="00BF2A19"/>
    <w:rsid w:val="00BF4E10"/>
    <w:rsid w:val="00BF6CA0"/>
    <w:rsid w:val="00BF76B7"/>
    <w:rsid w:val="00C01839"/>
    <w:rsid w:val="00C01C97"/>
    <w:rsid w:val="00C03527"/>
    <w:rsid w:val="00C03DF2"/>
    <w:rsid w:val="00C03EE5"/>
    <w:rsid w:val="00C043A7"/>
    <w:rsid w:val="00C0572D"/>
    <w:rsid w:val="00C0608A"/>
    <w:rsid w:val="00C065ED"/>
    <w:rsid w:val="00C06DB6"/>
    <w:rsid w:val="00C07701"/>
    <w:rsid w:val="00C07D3A"/>
    <w:rsid w:val="00C142B7"/>
    <w:rsid w:val="00C15FD2"/>
    <w:rsid w:val="00C16EB2"/>
    <w:rsid w:val="00C20555"/>
    <w:rsid w:val="00C2116D"/>
    <w:rsid w:val="00C2336E"/>
    <w:rsid w:val="00C23390"/>
    <w:rsid w:val="00C23705"/>
    <w:rsid w:val="00C23D7A"/>
    <w:rsid w:val="00C24E60"/>
    <w:rsid w:val="00C25860"/>
    <w:rsid w:val="00C275D5"/>
    <w:rsid w:val="00C27B94"/>
    <w:rsid w:val="00C314AB"/>
    <w:rsid w:val="00C315CE"/>
    <w:rsid w:val="00C31A87"/>
    <w:rsid w:val="00C3373D"/>
    <w:rsid w:val="00C33FE7"/>
    <w:rsid w:val="00C34D12"/>
    <w:rsid w:val="00C44A0B"/>
    <w:rsid w:val="00C44D4E"/>
    <w:rsid w:val="00C469E3"/>
    <w:rsid w:val="00C50C1C"/>
    <w:rsid w:val="00C5342C"/>
    <w:rsid w:val="00C5395C"/>
    <w:rsid w:val="00C53FF3"/>
    <w:rsid w:val="00C54D8E"/>
    <w:rsid w:val="00C60278"/>
    <w:rsid w:val="00C6075C"/>
    <w:rsid w:val="00C634F1"/>
    <w:rsid w:val="00C638B5"/>
    <w:rsid w:val="00C65447"/>
    <w:rsid w:val="00C65B9A"/>
    <w:rsid w:val="00C67037"/>
    <w:rsid w:val="00C672D2"/>
    <w:rsid w:val="00C67474"/>
    <w:rsid w:val="00C7052D"/>
    <w:rsid w:val="00C73A1F"/>
    <w:rsid w:val="00C75399"/>
    <w:rsid w:val="00C754BA"/>
    <w:rsid w:val="00C77571"/>
    <w:rsid w:val="00C81370"/>
    <w:rsid w:val="00C82D00"/>
    <w:rsid w:val="00C83639"/>
    <w:rsid w:val="00C8388B"/>
    <w:rsid w:val="00C85257"/>
    <w:rsid w:val="00C8756E"/>
    <w:rsid w:val="00C90B6B"/>
    <w:rsid w:val="00C91535"/>
    <w:rsid w:val="00C95C48"/>
    <w:rsid w:val="00C95D7F"/>
    <w:rsid w:val="00C95FE7"/>
    <w:rsid w:val="00C96114"/>
    <w:rsid w:val="00C96BDD"/>
    <w:rsid w:val="00C97C61"/>
    <w:rsid w:val="00C97CEF"/>
    <w:rsid w:val="00C97CF3"/>
    <w:rsid w:val="00CA4A92"/>
    <w:rsid w:val="00CA636F"/>
    <w:rsid w:val="00CA6B2B"/>
    <w:rsid w:val="00CB0F6B"/>
    <w:rsid w:val="00CB3D8B"/>
    <w:rsid w:val="00CB7D28"/>
    <w:rsid w:val="00CC1F76"/>
    <w:rsid w:val="00CC3518"/>
    <w:rsid w:val="00CC38CC"/>
    <w:rsid w:val="00CC4705"/>
    <w:rsid w:val="00CC4E88"/>
    <w:rsid w:val="00CC5021"/>
    <w:rsid w:val="00CC66FF"/>
    <w:rsid w:val="00CC7461"/>
    <w:rsid w:val="00CC75F9"/>
    <w:rsid w:val="00CD354D"/>
    <w:rsid w:val="00CD66E4"/>
    <w:rsid w:val="00CD7A1A"/>
    <w:rsid w:val="00CD7AAC"/>
    <w:rsid w:val="00CE398D"/>
    <w:rsid w:val="00CE4624"/>
    <w:rsid w:val="00CF31B6"/>
    <w:rsid w:val="00CF35F7"/>
    <w:rsid w:val="00CF5C74"/>
    <w:rsid w:val="00CF6085"/>
    <w:rsid w:val="00CF6676"/>
    <w:rsid w:val="00CF6D0B"/>
    <w:rsid w:val="00CF7FA5"/>
    <w:rsid w:val="00D039E4"/>
    <w:rsid w:val="00D04502"/>
    <w:rsid w:val="00D05E1C"/>
    <w:rsid w:val="00D06754"/>
    <w:rsid w:val="00D10E8F"/>
    <w:rsid w:val="00D11A52"/>
    <w:rsid w:val="00D1377D"/>
    <w:rsid w:val="00D14A20"/>
    <w:rsid w:val="00D17966"/>
    <w:rsid w:val="00D17A2C"/>
    <w:rsid w:val="00D20C48"/>
    <w:rsid w:val="00D22FF9"/>
    <w:rsid w:val="00D23474"/>
    <w:rsid w:val="00D23A43"/>
    <w:rsid w:val="00D2465B"/>
    <w:rsid w:val="00D26258"/>
    <w:rsid w:val="00D3244C"/>
    <w:rsid w:val="00D3297D"/>
    <w:rsid w:val="00D32C3D"/>
    <w:rsid w:val="00D33013"/>
    <w:rsid w:val="00D3336B"/>
    <w:rsid w:val="00D338FB"/>
    <w:rsid w:val="00D363A1"/>
    <w:rsid w:val="00D36BE0"/>
    <w:rsid w:val="00D3718F"/>
    <w:rsid w:val="00D4018B"/>
    <w:rsid w:val="00D41427"/>
    <w:rsid w:val="00D4211B"/>
    <w:rsid w:val="00D431C2"/>
    <w:rsid w:val="00D43B83"/>
    <w:rsid w:val="00D43E4B"/>
    <w:rsid w:val="00D44167"/>
    <w:rsid w:val="00D46602"/>
    <w:rsid w:val="00D50BF9"/>
    <w:rsid w:val="00D54436"/>
    <w:rsid w:val="00D5515C"/>
    <w:rsid w:val="00D57D7A"/>
    <w:rsid w:val="00D619E1"/>
    <w:rsid w:val="00D70AE8"/>
    <w:rsid w:val="00D7223C"/>
    <w:rsid w:val="00D72331"/>
    <w:rsid w:val="00D73D1E"/>
    <w:rsid w:val="00D758B1"/>
    <w:rsid w:val="00D76171"/>
    <w:rsid w:val="00D8072E"/>
    <w:rsid w:val="00D83E69"/>
    <w:rsid w:val="00D85DBE"/>
    <w:rsid w:val="00D87ADB"/>
    <w:rsid w:val="00D87C37"/>
    <w:rsid w:val="00D87C82"/>
    <w:rsid w:val="00D903BB"/>
    <w:rsid w:val="00D903C5"/>
    <w:rsid w:val="00D93715"/>
    <w:rsid w:val="00D9379E"/>
    <w:rsid w:val="00D9592B"/>
    <w:rsid w:val="00DA061C"/>
    <w:rsid w:val="00DA07CE"/>
    <w:rsid w:val="00DA48BB"/>
    <w:rsid w:val="00DA7551"/>
    <w:rsid w:val="00DB174F"/>
    <w:rsid w:val="00DB53FE"/>
    <w:rsid w:val="00DC044D"/>
    <w:rsid w:val="00DC0646"/>
    <w:rsid w:val="00DC0739"/>
    <w:rsid w:val="00DC0EDE"/>
    <w:rsid w:val="00DC110B"/>
    <w:rsid w:val="00DC1BDF"/>
    <w:rsid w:val="00DC4129"/>
    <w:rsid w:val="00DC4262"/>
    <w:rsid w:val="00DC4766"/>
    <w:rsid w:val="00DC684B"/>
    <w:rsid w:val="00DD3588"/>
    <w:rsid w:val="00DE23E9"/>
    <w:rsid w:val="00DE77E9"/>
    <w:rsid w:val="00DE7B0C"/>
    <w:rsid w:val="00DF08AB"/>
    <w:rsid w:val="00DF0CE3"/>
    <w:rsid w:val="00DF133F"/>
    <w:rsid w:val="00DF22A5"/>
    <w:rsid w:val="00DF2E13"/>
    <w:rsid w:val="00DF59AB"/>
    <w:rsid w:val="00DF7D08"/>
    <w:rsid w:val="00E012E2"/>
    <w:rsid w:val="00E014EE"/>
    <w:rsid w:val="00E02A12"/>
    <w:rsid w:val="00E036F3"/>
    <w:rsid w:val="00E04ADE"/>
    <w:rsid w:val="00E04B39"/>
    <w:rsid w:val="00E06D59"/>
    <w:rsid w:val="00E1306D"/>
    <w:rsid w:val="00E20F8E"/>
    <w:rsid w:val="00E210F6"/>
    <w:rsid w:val="00E26329"/>
    <w:rsid w:val="00E31648"/>
    <w:rsid w:val="00E31C98"/>
    <w:rsid w:val="00E32EDE"/>
    <w:rsid w:val="00E33D53"/>
    <w:rsid w:val="00E40DA8"/>
    <w:rsid w:val="00E41DE2"/>
    <w:rsid w:val="00E420B6"/>
    <w:rsid w:val="00E43B3D"/>
    <w:rsid w:val="00E44255"/>
    <w:rsid w:val="00E44D5E"/>
    <w:rsid w:val="00E46C5F"/>
    <w:rsid w:val="00E47D70"/>
    <w:rsid w:val="00E52911"/>
    <w:rsid w:val="00E536C6"/>
    <w:rsid w:val="00E53AD7"/>
    <w:rsid w:val="00E53DDD"/>
    <w:rsid w:val="00E55399"/>
    <w:rsid w:val="00E55B26"/>
    <w:rsid w:val="00E575C5"/>
    <w:rsid w:val="00E597C5"/>
    <w:rsid w:val="00E6032D"/>
    <w:rsid w:val="00E60C09"/>
    <w:rsid w:val="00E610B5"/>
    <w:rsid w:val="00E61304"/>
    <w:rsid w:val="00E62715"/>
    <w:rsid w:val="00E64AFC"/>
    <w:rsid w:val="00E65939"/>
    <w:rsid w:val="00E70A8C"/>
    <w:rsid w:val="00E72BA9"/>
    <w:rsid w:val="00E72F19"/>
    <w:rsid w:val="00E747B3"/>
    <w:rsid w:val="00E74FF1"/>
    <w:rsid w:val="00E75877"/>
    <w:rsid w:val="00E75EF5"/>
    <w:rsid w:val="00E81E0A"/>
    <w:rsid w:val="00E8363A"/>
    <w:rsid w:val="00E83B49"/>
    <w:rsid w:val="00E84A4D"/>
    <w:rsid w:val="00E8792E"/>
    <w:rsid w:val="00E91364"/>
    <w:rsid w:val="00E918A9"/>
    <w:rsid w:val="00E91F7E"/>
    <w:rsid w:val="00E92BE1"/>
    <w:rsid w:val="00E9387A"/>
    <w:rsid w:val="00E95704"/>
    <w:rsid w:val="00E957C5"/>
    <w:rsid w:val="00E95AA9"/>
    <w:rsid w:val="00EA044B"/>
    <w:rsid w:val="00EA2DF2"/>
    <w:rsid w:val="00EA3F34"/>
    <w:rsid w:val="00EA58ED"/>
    <w:rsid w:val="00EA7BDE"/>
    <w:rsid w:val="00EB09C6"/>
    <w:rsid w:val="00EB31C2"/>
    <w:rsid w:val="00EB3438"/>
    <w:rsid w:val="00EB37A0"/>
    <w:rsid w:val="00EB5577"/>
    <w:rsid w:val="00EC0D07"/>
    <w:rsid w:val="00EC1435"/>
    <w:rsid w:val="00EC5760"/>
    <w:rsid w:val="00EC5CD3"/>
    <w:rsid w:val="00ED18F1"/>
    <w:rsid w:val="00ED316B"/>
    <w:rsid w:val="00ED37CF"/>
    <w:rsid w:val="00ED55A6"/>
    <w:rsid w:val="00EE3581"/>
    <w:rsid w:val="00EE51CF"/>
    <w:rsid w:val="00EE5B8B"/>
    <w:rsid w:val="00EE5D0F"/>
    <w:rsid w:val="00EE6CEC"/>
    <w:rsid w:val="00EE6FED"/>
    <w:rsid w:val="00EE7957"/>
    <w:rsid w:val="00EE7BAA"/>
    <w:rsid w:val="00EF0F2A"/>
    <w:rsid w:val="00EF1709"/>
    <w:rsid w:val="00EF2BA7"/>
    <w:rsid w:val="00EF305B"/>
    <w:rsid w:val="00EF4862"/>
    <w:rsid w:val="00EF7B72"/>
    <w:rsid w:val="00F053EC"/>
    <w:rsid w:val="00F05BBA"/>
    <w:rsid w:val="00F061A1"/>
    <w:rsid w:val="00F10DFF"/>
    <w:rsid w:val="00F1429D"/>
    <w:rsid w:val="00F17DE3"/>
    <w:rsid w:val="00F20EAE"/>
    <w:rsid w:val="00F2163E"/>
    <w:rsid w:val="00F220FC"/>
    <w:rsid w:val="00F22AD4"/>
    <w:rsid w:val="00F233DD"/>
    <w:rsid w:val="00F23E58"/>
    <w:rsid w:val="00F25347"/>
    <w:rsid w:val="00F26729"/>
    <w:rsid w:val="00F26924"/>
    <w:rsid w:val="00F30FBF"/>
    <w:rsid w:val="00F329E8"/>
    <w:rsid w:val="00F338D2"/>
    <w:rsid w:val="00F34ED4"/>
    <w:rsid w:val="00F35411"/>
    <w:rsid w:val="00F35480"/>
    <w:rsid w:val="00F36546"/>
    <w:rsid w:val="00F37451"/>
    <w:rsid w:val="00F37E83"/>
    <w:rsid w:val="00F42C0F"/>
    <w:rsid w:val="00F44702"/>
    <w:rsid w:val="00F515AE"/>
    <w:rsid w:val="00F51A96"/>
    <w:rsid w:val="00F52B19"/>
    <w:rsid w:val="00F53EA4"/>
    <w:rsid w:val="00F55A43"/>
    <w:rsid w:val="00F58332"/>
    <w:rsid w:val="00F602D4"/>
    <w:rsid w:val="00F60690"/>
    <w:rsid w:val="00F71E05"/>
    <w:rsid w:val="00F7353A"/>
    <w:rsid w:val="00F73926"/>
    <w:rsid w:val="00F74293"/>
    <w:rsid w:val="00F7696E"/>
    <w:rsid w:val="00F76EC0"/>
    <w:rsid w:val="00F81BEA"/>
    <w:rsid w:val="00F83EAD"/>
    <w:rsid w:val="00F85526"/>
    <w:rsid w:val="00F85C38"/>
    <w:rsid w:val="00F86D2B"/>
    <w:rsid w:val="00F90425"/>
    <w:rsid w:val="00F90F6B"/>
    <w:rsid w:val="00F92C5E"/>
    <w:rsid w:val="00F93710"/>
    <w:rsid w:val="00F947AC"/>
    <w:rsid w:val="00F95D8D"/>
    <w:rsid w:val="00F967DF"/>
    <w:rsid w:val="00F96F53"/>
    <w:rsid w:val="00F975A1"/>
    <w:rsid w:val="00F97A78"/>
    <w:rsid w:val="00FA0183"/>
    <w:rsid w:val="00FA15AE"/>
    <w:rsid w:val="00FA6023"/>
    <w:rsid w:val="00FA64EB"/>
    <w:rsid w:val="00FA6766"/>
    <w:rsid w:val="00FA69FD"/>
    <w:rsid w:val="00FB0CA1"/>
    <w:rsid w:val="00FB0CD4"/>
    <w:rsid w:val="00FB5EEF"/>
    <w:rsid w:val="00FB6144"/>
    <w:rsid w:val="00FC24B9"/>
    <w:rsid w:val="00FC45AB"/>
    <w:rsid w:val="00FC4728"/>
    <w:rsid w:val="00FC47C1"/>
    <w:rsid w:val="00FC5C05"/>
    <w:rsid w:val="00FC6173"/>
    <w:rsid w:val="00FC65A6"/>
    <w:rsid w:val="00FC6770"/>
    <w:rsid w:val="00FD1DB1"/>
    <w:rsid w:val="00FD285B"/>
    <w:rsid w:val="00FD3FE9"/>
    <w:rsid w:val="00FD41EB"/>
    <w:rsid w:val="00FD441B"/>
    <w:rsid w:val="00FD49C9"/>
    <w:rsid w:val="00FD596F"/>
    <w:rsid w:val="00FD5F77"/>
    <w:rsid w:val="00FD70B2"/>
    <w:rsid w:val="00FD74E4"/>
    <w:rsid w:val="00FE0D97"/>
    <w:rsid w:val="00FE31AA"/>
    <w:rsid w:val="00FE4098"/>
    <w:rsid w:val="00FE5320"/>
    <w:rsid w:val="00FE648A"/>
    <w:rsid w:val="00FE7A15"/>
    <w:rsid w:val="00FF14B5"/>
    <w:rsid w:val="00FF18EC"/>
    <w:rsid w:val="00FF2675"/>
    <w:rsid w:val="00FF320D"/>
    <w:rsid w:val="00FF5BA9"/>
    <w:rsid w:val="00FF5E23"/>
    <w:rsid w:val="00FF7117"/>
    <w:rsid w:val="00FF7303"/>
    <w:rsid w:val="00FF7A59"/>
    <w:rsid w:val="023E72DD"/>
    <w:rsid w:val="02E8DBE6"/>
    <w:rsid w:val="03734D72"/>
    <w:rsid w:val="03F18A8C"/>
    <w:rsid w:val="049189AD"/>
    <w:rsid w:val="04BF5D17"/>
    <w:rsid w:val="06452941"/>
    <w:rsid w:val="06CEB1BF"/>
    <w:rsid w:val="06E9E4A8"/>
    <w:rsid w:val="0739FD48"/>
    <w:rsid w:val="07E6AC85"/>
    <w:rsid w:val="09151448"/>
    <w:rsid w:val="0954EC99"/>
    <w:rsid w:val="099DC602"/>
    <w:rsid w:val="0A6D6815"/>
    <w:rsid w:val="0AB28F54"/>
    <w:rsid w:val="0AF3BAD5"/>
    <w:rsid w:val="0B9C5A50"/>
    <w:rsid w:val="0C2FF5C0"/>
    <w:rsid w:val="0C48A841"/>
    <w:rsid w:val="0C59C59D"/>
    <w:rsid w:val="0CDE3617"/>
    <w:rsid w:val="0D9DC20C"/>
    <w:rsid w:val="0DAADCA1"/>
    <w:rsid w:val="0DBD22B3"/>
    <w:rsid w:val="0DFB8102"/>
    <w:rsid w:val="0E366628"/>
    <w:rsid w:val="0E37A318"/>
    <w:rsid w:val="0FF1594D"/>
    <w:rsid w:val="0FF2C5B6"/>
    <w:rsid w:val="1050A3F8"/>
    <w:rsid w:val="106D665E"/>
    <w:rsid w:val="12228BC8"/>
    <w:rsid w:val="122D2A5F"/>
    <w:rsid w:val="122F953E"/>
    <w:rsid w:val="1251D4D5"/>
    <w:rsid w:val="127D9664"/>
    <w:rsid w:val="12EEDF39"/>
    <w:rsid w:val="13B49FA6"/>
    <w:rsid w:val="13D93AF7"/>
    <w:rsid w:val="14167674"/>
    <w:rsid w:val="1434F42F"/>
    <w:rsid w:val="14C05B41"/>
    <w:rsid w:val="15E2B012"/>
    <w:rsid w:val="169896C2"/>
    <w:rsid w:val="169C22FA"/>
    <w:rsid w:val="16FBF3B6"/>
    <w:rsid w:val="170407E1"/>
    <w:rsid w:val="180213E8"/>
    <w:rsid w:val="1827CC7F"/>
    <w:rsid w:val="18CADD46"/>
    <w:rsid w:val="19531767"/>
    <w:rsid w:val="1965F84E"/>
    <w:rsid w:val="1A7A3CCD"/>
    <w:rsid w:val="1B75446D"/>
    <w:rsid w:val="1B94F627"/>
    <w:rsid w:val="1C1F3A18"/>
    <w:rsid w:val="1C50BABB"/>
    <w:rsid w:val="1C797AF2"/>
    <w:rsid w:val="1CED7256"/>
    <w:rsid w:val="1D717F31"/>
    <w:rsid w:val="1D91D4DE"/>
    <w:rsid w:val="1F020BF3"/>
    <w:rsid w:val="201D6A2A"/>
    <w:rsid w:val="20319798"/>
    <w:rsid w:val="21F02C0E"/>
    <w:rsid w:val="2286BB30"/>
    <w:rsid w:val="23BA20C6"/>
    <w:rsid w:val="23DAF934"/>
    <w:rsid w:val="23F4DB2B"/>
    <w:rsid w:val="2407BBC1"/>
    <w:rsid w:val="25A9AFA2"/>
    <w:rsid w:val="25B503AF"/>
    <w:rsid w:val="25ECEADF"/>
    <w:rsid w:val="274C0677"/>
    <w:rsid w:val="280B5F05"/>
    <w:rsid w:val="281A98BA"/>
    <w:rsid w:val="28CE4799"/>
    <w:rsid w:val="29973678"/>
    <w:rsid w:val="2A215B3A"/>
    <w:rsid w:val="2A7A4F8E"/>
    <w:rsid w:val="2BCA10F0"/>
    <w:rsid w:val="2BCF7C43"/>
    <w:rsid w:val="2C538143"/>
    <w:rsid w:val="2C5BB6B6"/>
    <w:rsid w:val="2D1C3E1B"/>
    <w:rsid w:val="2D47973F"/>
    <w:rsid w:val="2E114FE2"/>
    <w:rsid w:val="2E913E51"/>
    <w:rsid w:val="306B0D54"/>
    <w:rsid w:val="30D2BE5B"/>
    <w:rsid w:val="32067386"/>
    <w:rsid w:val="32B96DF0"/>
    <w:rsid w:val="3332596C"/>
    <w:rsid w:val="3340129D"/>
    <w:rsid w:val="3370EEC6"/>
    <w:rsid w:val="33CB7650"/>
    <w:rsid w:val="341112F6"/>
    <w:rsid w:val="34C67D2A"/>
    <w:rsid w:val="34E88639"/>
    <w:rsid w:val="356B8387"/>
    <w:rsid w:val="35E65CD7"/>
    <w:rsid w:val="376325B6"/>
    <w:rsid w:val="37E61136"/>
    <w:rsid w:val="3842A9E7"/>
    <w:rsid w:val="390AC9E3"/>
    <w:rsid w:val="390F0A72"/>
    <w:rsid w:val="39421EB6"/>
    <w:rsid w:val="39818C5F"/>
    <w:rsid w:val="3ABFF17D"/>
    <w:rsid w:val="3CA362F1"/>
    <w:rsid w:val="3D5294F7"/>
    <w:rsid w:val="3D7165C6"/>
    <w:rsid w:val="3E07790D"/>
    <w:rsid w:val="3EB9A800"/>
    <w:rsid w:val="3EBFE198"/>
    <w:rsid w:val="3F7416C0"/>
    <w:rsid w:val="3FFD651B"/>
    <w:rsid w:val="40D3B1A0"/>
    <w:rsid w:val="413A14A1"/>
    <w:rsid w:val="4152C8D3"/>
    <w:rsid w:val="41DBDE3D"/>
    <w:rsid w:val="4214592C"/>
    <w:rsid w:val="4233B26A"/>
    <w:rsid w:val="426D7197"/>
    <w:rsid w:val="427AF164"/>
    <w:rsid w:val="429C2237"/>
    <w:rsid w:val="43110992"/>
    <w:rsid w:val="43198628"/>
    <w:rsid w:val="44230373"/>
    <w:rsid w:val="44BA3745"/>
    <w:rsid w:val="44C4E4ED"/>
    <w:rsid w:val="45746B23"/>
    <w:rsid w:val="45CB42D3"/>
    <w:rsid w:val="47317C4A"/>
    <w:rsid w:val="478CDC67"/>
    <w:rsid w:val="4936D0CA"/>
    <w:rsid w:val="49907447"/>
    <w:rsid w:val="4A39EE59"/>
    <w:rsid w:val="4A707F87"/>
    <w:rsid w:val="4B9F3047"/>
    <w:rsid w:val="4C55B81D"/>
    <w:rsid w:val="4D4C80AE"/>
    <w:rsid w:val="4D7C6706"/>
    <w:rsid w:val="4E6316F6"/>
    <w:rsid w:val="509E1228"/>
    <w:rsid w:val="5231C999"/>
    <w:rsid w:val="52521B09"/>
    <w:rsid w:val="5287AEDF"/>
    <w:rsid w:val="537EBC70"/>
    <w:rsid w:val="53EDA309"/>
    <w:rsid w:val="54066D9A"/>
    <w:rsid w:val="5489042C"/>
    <w:rsid w:val="55784C5A"/>
    <w:rsid w:val="56058FEB"/>
    <w:rsid w:val="5770E9BA"/>
    <w:rsid w:val="57F4FED0"/>
    <w:rsid w:val="5825F6C8"/>
    <w:rsid w:val="5874034C"/>
    <w:rsid w:val="59918388"/>
    <w:rsid w:val="59AA3195"/>
    <w:rsid w:val="59E0890A"/>
    <w:rsid w:val="5A20D253"/>
    <w:rsid w:val="5BB8EBE2"/>
    <w:rsid w:val="5CEF28DE"/>
    <w:rsid w:val="5F508770"/>
    <w:rsid w:val="5F92EDFC"/>
    <w:rsid w:val="603108AD"/>
    <w:rsid w:val="606BBBA1"/>
    <w:rsid w:val="60E052F1"/>
    <w:rsid w:val="616F13CE"/>
    <w:rsid w:val="62006E28"/>
    <w:rsid w:val="6234B3C0"/>
    <w:rsid w:val="629283AB"/>
    <w:rsid w:val="62F7CE63"/>
    <w:rsid w:val="630FC355"/>
    <w:rsid w:val="632BF4A0"/>
    <w:rsid w:val="63C3B749"/>
    <w:rsid w:val="64F4E5A8"/>
    <w:rsid w:val="6510866E"/>
    <w:rsid w:val="65B14D97"/>
    <w:rsid w:val="67A110EA"/>
    <w:rsid w:val="6838974B"/>
    <w:rsid w:val="684242EF"/>
    <w:rsid w:val="693E293C"/>
    <w:rsid w:val="69738F6C"/>
    <w:rsid w:val="6BF0E62C"/>
    <w:rsid w:val="6C043584"/>
    <w:rsid w:val="6CCDC08C"/>
    <w:rsid w:val="6DACF009"/>
    <w:rsid w:val="6DF39696"/>
    <w:rsid w:val="6E28BA75"/>
    <w:rsid w:val="6F3FDA6E"/>
    <w:rsid w:val="6FD5C76E"/>
    <w:rsid w:val="6FDC2AF9"/>
    <w:rsid w:val="708D2802"/>
    <w:rsid w:val="71ADE2AF"/>
    <w:rsid w:val="71E005F9"/>
    <w:rsid w:val="7213DA06"/>
    <w:rsid w:val="7276251B"/>
    <w:rsid w:val="72F576E6"/>
    <w:rsid w:val="73241326"/>
    <w:rsid w:val="740F1D47"/>
    <w:rsid w:val="749ABA24"/>
    <w:rsid w:val="74ADB8FD"/>
    <w:rsid w:val="7562B63C"/>
    <w:rsid w:val="7723D97D"/>
    <w:rsid w:val="77680F43"/>
    <w:rsid w:val="778918BC"/>
    <w:rsid w:val="784420A3"/>
    <w:rsid w:val="78BA4D96"/>
    <w:rsid w:val="78E5B980"/>
    <w:rsid w:val="78F69205"/>
    <w:rsid w:val="791F2048"/>
    <w:rsid w:val="79A2C8D3"/>
    <w:rsid w:val="79A300FC"/>
    <w:rsid w:val="7A2282C4"/>
    <w:rsid w:val="7A945860"/>
    <w:rsid w:val="7C8B13BD"/>
    <w:rsid w:val="7CE8BA07"/>
    <w:rsid w:val="7CFC2F15"/>
    <w:rsid w:val="7DDDFD92"/>
    <w:rsid w:val="7E5AC5E6"/>
    <w:rsid w:val="7EBDD3E5"/>
    <w:rsid w:val="7ED006D6"/>
    <w:rsid w:val="7ED56795"/>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8D208C"/>
  <w14:defaultImageDpi w14:val="330"/>
  <w15:docId w15:val="{3E38E433-6970-4E4A-85D5-E1736D16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1">
    <w:name w:val="heading 1"/>
    <w:basedOn w:val="Normal"/>
    <w:next w:val="Normal"/>
    <w:link w:val="Heading1Char"/>
    <w:uiPriority w:val="9"/>
    <w:qFormat/>
    <w:rsid w:val="002635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eading 2 Char1,Heading 2 Char Char"/>
    <w:basedOn w:val="paragraph"/>
    <w:next w:val="Heading3"/>
    <w:qFormat/>
    <w:rsid w:val="000C5C9C"/>
    <w:pPr>
      <w:spacing w:before="0" w:beforeAutospacing="0" w:after="0" w:afterAutospacing="0"/>
      <w:textAlignment w:val="baseline"/>
      <w:outlineLvl w:val="1"/>
    </w:pPr>
    <w:rPr>
      <w:rFonts w:ascii="Tahoma" w:hAnsi="Tahoma" w:cs="Tahoma"/>
      <w:b/>
      <w:bCs/>
    </w:rPr>
  </w:style>
  <w:style w:type="paragraph" w:styleId="Heading3">
    <w:name w:val="heading 3"/>
    <w:basedOn w:val="Normal"/>
    <w:next w:val="Normal"/>
    <w:uiPriority w:val="9"/>
    <w:unhideWhenUsed/>
    <w:qFormat/>
    <w:rsid w:val="007A5661"/>
    <w:pPr>
      <w:keepNext/>
      <w:keepLines/>
      <w:numPr>
        <w:numId w:val="1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E747B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B4F0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paragraph" w:styleId="ListParagraph">
    <w:name w:val="List Paragraph"/>
    <w:aliases w:val="DPAC Alpha Numeric List"/>
    <w:basedOn w:val="Normal"/>
    <w:link w:val="ListParagraphChar"/>
    <w:uiPriority w:val="34"/>
    <w:qFormat/>
    <w:rsid w:val="00154044"/>
    <w:pPr>
      <w:ind w:left="720"/>
      <w:contextualSpacing/>
    </w:pPr>
  </w:style>
  <w:style w:type="character" w:customStyle="1" w:styleId="ListParagraphChar">
    <w:name w:val="List Paragraph Char"/>
    <w:aliases w:val="DPAC Alpha Numeric List Char"/>
    <w:basedOn w:val="DefaultParagraphFont"/>
    <w:link w:val="ListParagraph"/>
    <w:uiPriority w:val="34"/>
    <w:locked/>
    <w:rsid w:val="00154044"/>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F329E8"/>
    <w:rPr>
      <w:sz w:val="20"/>
      <w:szCs w:val="20"/>
    </w:rPr>
  </w:style>
  <w:style w:type="paragraph" w:styleId="CommentSubject">
    <w:name w:val="annotation subject"/>
    <w:basedOn w:val="CommentText"/>
    <w:next w:val="CommentText"/>
    <w:link w:val="CommentSubjectChar"/>
    <w:uiPriority w:val="99"/>
    <w:semiHidden/>
    <w:unhideWhenUsed/>
    <w:rsid w:val="00927CB3"/>
    <w:rPr>
      <w:b/>
      <w:bCs/>
    </w:rPr>
  </w:style>
  <w:style w:type="character" w:customStyle="1" w:styleId="CommentSubjectChar">
    <w:name w:val="Comment Subject Char"/>
    <w:basedOn w:val="CommentTextChar"/>
    <w:link w:val="CommentSubject"/>
    <w:uiPriority w:val="99"/>
    <w:semiHidden/>
    <w:rsid w:val="0072118B"/>
    <w:rPr>
      <w:b/>
      <w:bCs/>
      <w:sz w:val="20"/>
      <w:szCs w:val="20"/>
    </w:rPr>
  </w:style>
  <w:style w:type="character" w:customStyle="1" w:styleId="wacimagecontainer">
    <w:name w:val="wacimagecontainer"/>
    <w:basedOn w:val="DefaultParagraphFont"/>
    <w:rsid w:val="00961BEF"/>
  </w:style>
  <w:style w:type="character" w:styleId="UnresolvedMention">
    <w:name w:val="Unresolved Mention"/>
    <w:basedOn w:val="DefaultParagraphFont"/>
    <w:uiPriority w:val="99"/>
    <w:semiHidden/>
    <w:unhideWhenUsed/>
    <w:rsid w:val="00900601"/>
    <w:rPr>
      <w:color w:val="605E5C"/>
      <w:shd w:val="clear" w:color="auto" w:fill="E1DFDD"/>
    </w:rPr>
  </w:style>
  <w:style w:type="character" w:styleId="FollowedHyperlink">
    <w:name w:val="FollowedHyperlink"/>
    <w:basedOn w:val="DefaultParagraphFont"/>
    <w:uiPriority w:val="99"/>
    <w:semiHidden/>
    <w:unhideWhenUsed/>
    <w:rsid w:val="00900601"/>
    <w:rPr>
      <w:color w:val="800080" w:themeColor="followedHyperlink"/>
      <w:u w:val="single"/>
    </w:rPr>
  </w:style>
  <w:style w:type="character" w:customStyle="1" w:styleId="Heading1Char">
    <w:name w:val="Heading 1 Char"/>
    <w:basedOn w:val="DefaultParagraphFont"/>
    <w:link w:val="Heading1"/>
    <w:uiPriority w:val="9"/>
    <w:rsid w:val="00263551"/>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7B4F03"/>
    <w:rPr>
      <w:rFonts w:asciiTheme="majorHAnsi" w:eastAsiaTheme="majorEastAsia" w:hAnsiTheme="majorHAnsi" w:cstheme="majorBidi"/>
      <w:color w:val="365F91" w:themeColor="accent1" w:themeShade="BF"/>
    </w:rPr>
  </w:style>
  <w:style w:type="paragraph" w:styleId="FootnoteText">
    <w:name w:val="footnote text"/>
    <w:basedOn w:val="Normal"/>
    <w:link w:val="FootnoteTextChar"/>
    <w:uiPriority w:val="99"/>
    <w:semiHidden/>
    <w:rsid w:val="00240167"/>
    <w:pPr>
      <w:spacing w:after="120"/>
    </w:pPr>
    <w:rPr>
      <w:rFonts w:ascii="Arial" w:hAnsi="Arial" w:cs="Arial"/>
      <w:sz w:val="20"/>
      <w:szCs w:val="20"/>
    </w:rPr>
  </w:style>
  <w:style w:type="character" w:customStyle="1" w:styleId="FootnoteTextChar">
    <w:name w:val="Footnote Text Char"/>
    <w:basedOn w:val="DefaultParagraphFont"/>
    <w:link w:val="FootnoteText"/>
    <w:uiPriority w:val="99"/>
    <w:semiHidden/>
    <w:rsid w:val="00240167"/>
    <w:rPr>
      <w:rFonts w:ascii="Arial" w:hAnsi="Arial" w:cs="Arial"/>
      <w:sz w:val="20"/>
      <w:szCs w:val="20"/>
    </w:rPr>
  </w:style>
  <w:style w:type="character" w:styleId="FootnoteReference">
    <w:name w:val="footnote reference"/>
    <w:uiPriority w:val="99"/>
    <w:semiHidden/>
    <w:rsid w:val="00240167"/>
    <w:rPr>
      <w:vertAlign w:val="superscript"/>
    </w:rPr>
  </w:style>
  <w:style w:type="paragraph" w:styleId="BodyText">
    <w:name w:val="Body Text"/>
    <w:aliases w:val="bt"/>
    <w:basedOn w:val="Normal"/>
    <w:link w:val="BodyTextChar"/>
    <w:rsid w:val="00C90B6B"/>
    <w:pPr>
      <w:jc w:val="both"/>
    </w:pPr>
    <w:rPr>
      <w:rFonts w:ascii="Times New Roman" w:eastAsia="Times New Roman" w:hAnsi="Times New Roman" w:cs="Times New Roman"/>
      <w:i/>
      <w:szCs w:val="20"/>
    </w:rPr>
  </w:style>
  <w:style w:type="character" w:customStyle="1" w:styleId="BodyTextChar">
    <w:name w:val="Body Text Char"/>
    <w:aliases w:val="bt Char"/>
    <w:basedOn w:val="DefaultParagraphFont"/>
    <w:link w:val="BodyText"/>
    <w:rsid w:val="00C90B6B"/>
    <w:rPr>
      <w:rFonts w:ascii="Times New Roman" w:eastAsia="Times New Roman" w:hAnsi="Times New Roman" w:cs="Times New Roman"/>
      <w:i/>
      <w:szCs w:val="20"/>
    </w:rPr>
  </w:style>
  <w:style w:type="character" w:styleId="Mention">
    <w:name w:val="Mention"/>
    <w:basedOn w:val="DefaultParagraphFont"/>
    <w:uiPriority w:val="99"/>
    <w:unhideWhenUsed/>
    <w:rsid w:val="009759DC"/>
    <w:rPr>
      <w:color w:val="2B579A"/>
      <w:shd w:val="clear" w:color="auto" w:fill="E1DFDD"/>
    </w:rPr>
  </w:style>
  <w:style w:type="paragraph" w:styleId="Revision">
    <w:name w:val="Revision"/>
    <w:hidden/>
    <w:uiPriority w:val="99"/>
    <w:semiHidden/>
    <w:rsid w:val="00134E1A"/>
  </w:style>
  <w:style w:type="character" w:customStyle="1" w:styleId="Heading4Char">
    <w:name w:val="Heading 4 Char"/>
    <w:basedOn w:val="DefaultParagraphFont"/>
    <w:link w:val="Heading4"/>
    <w:uiPriority w:val="9"/>
    <w:rsid w:val="00E747B3"/>
    <w:rPr>
      <w:rFonts w:asciiTheme="majorHAnsi" w:eastAsiaTheme="majorEastAsia" w:hAnsiTheme="majorHAnsi" w:cstheme="majorBidi"/>
      <w:i/>
      <w:iCs/>
      <w:color w:val="365F91" w:themeColor="accent1" w:themeShade="BF"/>
    </w:rPr>
  </w:style>
  <w:style w:type="paragraph" w:customStyle="1" w:styleId="HeadingNew1">
    <w:name w:val="Heading_New1"/>
    <w:basedOn w:val="Normal"/>
    <w:link w:val="HeadingNew1Char"/>
    <w:rsid w:val="00E747B3"/>
    <w:pPr>
      <w:numPr>
        <w:numId w:val="16"/>
      </w:numPr>
      <w:spacing w:after="120"/>
      <w:jc w:val="both"/>
    </w:pPr>
    <w:rPr>
      <w:rFonts w:ascii="Arial" w:hAnsi="Arial" w:cs="Arial"/>
      <w:b/>
      <w:szCs w:val="22"/>
    </w:rPr>
  </w:style>
  <w:style w:type="character" w:customStyle="1" w:styleId="HeadingNew1Char">
    <w:name w:val="Heading_New1 Char"/>
    <w:basedOn w:val="DefaultParagraphFont"/>
    <w:link w:val="HeadingNew1"/>
    <w:rsid w:val="00E747B3"/>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ersapps.calepa.ca.gov/Public/Directo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billNavClient.xhtml?bill_id=202320240AB19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5685f2-c2e1-4352-89aa-3faca8eaba52">
      <Terms xmlns="http://schemas.microsoft.com/office/infopath/2007/PartnerControls"/>
    </lcf76f155ced4ddcb4097134ff3c332f>
    <TaxCatchAll xmlns="5067c814-4b34-462c-a21d-c185ff6548d2" xsi:nil="true"/>
    <SharedWithUsers xmlns="5067c814-4b34-462c-a21d-c185ff6548d2">
      <UserInfo>
        <DisplayName>Vail, Melanie@Energy</DisplayName>
        <AccountId>175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customXml/itemProps2.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3.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785685f2-c2e1-4352-89aa-3faca8eaba52"/>
    <ds:schemaRef ds:uri="5067c814-4b34-462c-a21d-c185ff6548d2"/>
  </ds:schemaRefs>
</ds:datastoreItem>
</file>

<file path=customXml/itemProps4.xml><?xml version="1.0" encoding="utf-8"?>
<ds:datastoreItem xmlns:ds="http://schemas.openxmlformats.org/officeDocument/2006/customXml" ds:itemID="{65422632-CFA9-4EC1-A2CE-8B1BA0834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4671</Words>
  <Characters>26629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GFO-25-607 Cover Letter Addendum 2</vt:lpstr>
    </vt:vector>
  </TitlesOfParts>
  <Company>Wobschall Design</Company>
  <LinksUpToDate>false</LinksUpToDate>
  <CharactersWithSpaces>31238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GFO-25-607 Cover Letter Addendum 2</dc:title>
  <dc:subject/>
  <dc:creator>California Energy Commission</dc:creator>
  <cp:keywords/>
  <dc:description/>
  <cp:lastModifiedBy>Soriano, Devin@Energy</cp:lastModifiedBy>
  <cp:revision>315</cp:revision>
  <cp:lastPrinted>2019-04-08T16:38:00Z</cp:lastPrinted>
  <dcterms:created xsi:type="dcterms:W3CDTF">2025-01-05T00:32:00Z</dcterms:created>
  <dcterms:modified xsi:type="dcterms:W3CDTF">2026-06-02T19:12:00Z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GrammarlyDocumentId">
    <vt:lpwstr>a3c3490fe0b700743fd941deb0d0301b64d976e5f17c825269bb95c119a40fc0</vt:lpwstr>
  </property>
  <property fmtid="{D5CDD505-2E9C-101B-9397-08002B2CF9AE}" pid="12" name="docLang">
    <vt:lpwstr>en</vt:lpwstr>
  </property>
</Properties>
</file>