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A0F1" w14:textId="77777777" w:rsidR="00F32514" w:rsidRPr="002064CE" w:rsidRDefault="00F32514" w:rsidP="00F32514">
      <w:pPr>
        <w:pStyle w:val="Heading1"/>
        <w:jc w:val="center"/>
        <w:rPr>
          <w:rFonts w:ascii="Aptos" w:hAnsi="Aptos" w:cs="Tahoma"/>
          <w:b/>
          <w:bCs/>
          <w:color w:val="auto"/>
          <w:sz w:val="24"/>
          <w:szCs w:val="24"/>
        </w:rPr>
      </w:pPr>
      <w:r w:rsidRPr="002064CE">
        <w:rPr>
          <w:rFonts w:ascii="Aptos" w:hAnsi="Aptos" w:cs="Tahoma"/>
          <w:b/>
          <w:bCs/>
          <w:color w:val="auto"/>
          <w:sz w:val="24"/>
          <w:szCs w:val="24"/>
        </w:rPr>
        <w:t>RFQ-25-401</w:t>
      </w:r>
    </w:p>
    <w:p w14:paraId="4EE0F79F" w14:textId="77777777" w:rsidR="00F32514" w:rsidRPr="002064CE" w:rsidRDefault="00F32514" w:rsidP="00F32514">
      <w:pPr>
        <w:pStyle w:val="Heading1"/>
        <w:spacing w:before="0"/>
        <w:jc w:val="center"/>
        <w:rPr>
          <w:rFonts w:ascii="Aptos" w:hAnsi="Aptos" w:cs="Tahoma"/>
          <w:b/>
          <w:bCs/>
          <w:color w:val="auto"/>
          <w:sz w:val="24"/>
          <w:szCs w:val="24"/>
        </w:rPr>
      </w:pPr>
      <w:r w:rsidRPr="002064CE">
        <w:rPr>
          <w:rFonts w:ascii="Aptos" w:hAnsi="Aptos" w:cs="Tahoma"/>
          <w:b/>
          <w:bCs/>
          <w:color w:val="auto"/>
          <w:sz w:val="24"/>
          <w:szCs w:val="24"/>
        </w:rPr>
        <w:t>Energy Code Compliance Evaluation Support</w:t>
      </w:r>
    </w:p>
    <w:p w14:paraId="7EE2320C" w14:textId="77777777" w:rsidR="008F7D3C" w:rsidRPr="002064CE" w:rsidRDefault="008F7D3C" w:rsidP="008F7D3C">
      <w:pPr>
        <w:rPr>
          <w:rFonts w:ascii="Aptos" w:hAnsi="Aptos"/>
        </w:rPr>
      </w:pPr>
    </w:p>
    <w:p w14:paraId="27885FD6" w14:textId="2F31190D" w:rsidR="00F32514" w:rsidRPr="002064CE" w:rsidRDefault="00F32514" w:rsidP="008F7D3C">
      <w:pPr>
        <w:pStyle w:val="Heading2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2064CE">
        <w:rPr>
          <w:rFonts w:ascii="Aptos" w:hAnsi="Aptos"/>
          <w:b/>
          <w:bCs/>
          <w:color w:val="auto"/>
          <w:sz w:val="24"/>
          <w:szCs w:val="24"/>
        </w:rPr>
        <w:t xml:space="preserve">Addendum </w:t>
      </w:r>
      <w:r w:rsidR="00CC7FDF" w:rsidRPr="002064CE">
        <w:rPr>
          <w:rFonts w:ascii="Aptos" w:hAnsi="Aptos"/>
          <w:b/>
          <w:bCs/>
          <w:color w:val="auto"/>
          <w:sz w:val="24"/>
          <w:szCs w:val="24"/>
        </w:rPr>
        <w:t>3</w:t>
      </w:r>
    </w:p>
    <w:p w14:paraId="35D15CC0" w14:textId="3399BAB9" w:rsidR="00F32514" w:rsidRPr="002064CE" w:rsidRDefault="00F473FB" w:rsidP="00F32514">
      <w:pPr>
        <w:jc w:val="center"/>
        <w:rPr>
          <w:rFonts w:ascii="Aptos" w:hAnsi="Aptos" w:cs="Tahoma"/>
          <w:b/>
          <w:bCs/>
        </w:rPr>
      </w:pPr>
      <w:r w:rsidRPr="002064CE">
        <w:rPr>
          <w:rFonts w:ascii="Aptos" w:hAnsi="Aptos" w:cs="Tahoma"/>
          <w:b/>
          <w:bCs/>
        </w:rPr>
        <w:t xml:space="preserve">June </w:t>
      </w:r>
      <w:r w:rsidR="00030863">
        <w:rPr>
          <w:rFonts w:ascii="Aptos" w:hAnsi="Aptos" w:cs="Tahoma"/>
          <w:b/>
          <w:bCs/>
        </w:rPr>
        <w:t>9</w:t>
      </w:r>
      <w:r w:rsidRPr="002064CE">
        <w:rPr>
          <w:rFonts w:ascii="Aptos" w:hAnsi="Aptos" w:cs="Tahoma"/>
          <w:b/>
          <w:bCs/>
        </w:rPr>
        <w:t>, 2026</w:t>
      </w:r>
    </w:p>
    <w:p w14:paraId="3BDFFA95" w14:textId="77777777" w:rsidR="00F32514" w:rsidRPr="002064CE" w:rsidRDefault="00F32514" w:rsidP="00F32514">
      <w:pPr>
        <w:jc w:val="center"/>
        <w:rPr>
          <w:rFonts w:ascii="Aptos" w:hAnsi="Aptos" w:cs="Tahoma"/>
          <w:b/>
          <w:bCs/>
        </w:rPr>
      </w:pPr>
    </w:p>
    <w:p w14:paraId="1A9CEEE3" w14:textId="77777777" w:rsidR="00F32514" w:rsidRPr="00CE16B1" w:rsidRDefault="00F32514" w:rsidP="00B230D3">
      <w:pPr>
        <w:spacing w:after="240" w:line="259" w:lineRule="auto"/>
        <w:jc w:val="center"/>
        <w:rPr>
          <w:rFonts w:ascii="Aptos" w:hAnsi="Aptos" w:cs="Tahoma"/>
          <w:b/>
          <w:bCs/>
        </w:rPr>
      </w:pPr>
      <w:r w:rsidRPr="00CE16B1">
        <w:rPr>
          <w:rFonts w:ascii="Aptos" w:hAnsi="Aptos" w:cs="Tahoma"/>
          <w:b/>
          <w:bCs/>
        </w:rPr>
        <w:t xml:space="preserve">Note: </w:t>
      </w:r>
      <w:r w:rsidRPr="00CE16B1">
        <w:rPr>
          <w:rFonts w:ascii="Aptos" w:hAnsi="Aptos" w:cs="Tahoma"/>
        </w:rPr>
        <w:t xml:space="preserve">Added language appears in </w:t>
      </w:r>
      <w:r w:rsidRPr="00CE16B1">
        <w:rPr>
          <w:rFonts w:ascii="Aptos" w:hAnsi="Aptos" w:cs="Tahoma"/>
          <w:b/>
          <w:bCs/>
          <w:u w:val="single"/>
        </w:rPr>
        <w:t>bold underline</w:t>
      </w:r>
      <w:r w:rsidRPr="00CE16B1">
        <w:rPr>
          <w:rFonts w:ascii="Aptos" w:hAnsi="Aptos" w:cs="Tahoma"/>
        </w:rPr>
        <w:t>, and deleted language appears in [</w:t>
      </w:r>
      <w:r w:rsidRPr="00CE16B1">
        <w:rPr>
          <w:rFonts w:ascii="Aptos" w:hAnsi="Aptos" w:cs="Tahoma"/>
          <w:strike/>
        </w:rPr>
        <w:t>strikethrough</w:t>
      </w:r>
      <w:r w:rsidRPr="00CE16B1">
        <w:rPr>
          <w:rFonts w:ascii="Aptos" w:hAnsi="Aptos" w:cs="Tahoma"/>
        </w:rPr>
        <w:t>] and within square brackets.</w:t>
      </w:r>
    </w:p>
    <w:p w14:paraId="11853C41" w14:textId="2CE36A6A" w:rsidR="00F32514" w:rsidRPr="00CE16B1" w:rsidRDefault="00F32514" w:rsidP="0089001E">
      <w:pPr>
        <w:pStyle w:val="Default"/>
        <w:spacing w:before="120" w:after="120" w:line="259" w:lineRule="auto"/>
        <w:ind w:right="-720"/>
        <w:rPr>
          <w:rFonts w:ascii="Aptos" w:hAnsi="Aptos" w:cs="Tahoma"/>
        </w:rPr>
      </w:pPr>
      <w:r w:rsidRPr="00CE16B1">
        <w:rPr>
          <w:rFonts w:ascii="Aptos" w:hAnsi="Aptos" w:cs="Tahoma"/>
        </w:rPr>
        <w:t>The purpose of this addendum is to notify potential applicants of changes that have been made to the</w:t>
      </w:r>
      <w:r w:rsidR="00547155" w:rsidRPr="00CE16B1">
        <w:rPr>
          <w:rFonts w:ascii="Aptos" w:hAnsi="Aptos" w:cs="Tahoma"/>
        </w:rPr>
        <w:t xml:space="preserve"> </w:t>
      </w:r>
      <w:r w:rsidR="00343828" w:rsidRPr="00CE16B1">
        <w:rPr>
          <w:rFonts w:ascii="Aptos" w:hAnsi="Aptos" w:cs="Tahoma"/>
        </w:rPr>
        <w:t>S</w:t>
      </w:r>
      <w:r w:rsidR="00547155" w:rsidRPr="00CE16B1">
        <w:rPr>
          <w:rFonts w:ascii="Aptos" w:hAnsi="Aptos" w:cs="Tahoma"/>
        </w:rPr>
        <w:t xml:space="preserve">olicitation </w:t>
      </w:r>
      <w:r w:rsidR="00343828" w:rsidRPr="00CE16B1">
        <w:rPr>
          <w:rFonts w:ascii="Aptos" w:hAnsi="Aptos" w:cs="Tahoma"/>
        </w:rPr>
        <w:t>M</w:t>
      </w:r>
      <w:r w:rsidR="00547155" w:rsidRPr="00CE16B1">
        <w:rPr>
          <w:rFonts w:ascii="Aptos" w:hAnsi="Aptos" w:cs="Tahoma"/>
        </w:rPr>
        <w:t>anual</w:t>
      </w:r>
      <w:r w:rsidRPr="00CE16B1">
        <w:rPr>
          <w:rFonts w:ascii="Aptos" w:hAnsi="Aptos" w:cs="Tahoma"/>
        </w:rPr>
        <w:t xml:space="preserve"> for RFQ-25-401. The addendum includes the following revisions. </w:t>
      </w:r>
    </w:p>
    <w:p w14:paraId="691ECF62" w14:textId="68239D51" w:rsidR="00343828" w:rsidRPr="00CE16B1" w:rsidRDefault="00343828" w:rsidP="00F32514">
      <w:pPr>
        <w:pStyle w:val="Default"/>
        <w:spacing w:before="240" w:after="240" w:line="259" w:lineRule="auto"/>
        <w:ind w:right="-720"/>
        <w:rPr>
          <w:rFonts w:ascii="Aptos" w:hAnsi="Aptos" w:cs="Tahoma"/>
          <w:b/>
          <w:bCs/>
          <w:color w:val="3C6AA2"/>
        </w:rPr>
      </w:pPr>
      <w:r w:rsidRPr="00CE16B1">
        <w:rPr>
          <w:rFonts w:ascii="Aptos" w:hAnsi="Aptos" w:cs="Tahoma"/>
          <w:b/>
          <w:bCs/>
          <w:color w:val="3C6AA2"/>
        </w:rPr>
        <w:t>Solicitation Manual</w:t>
      </w:r>
    </w:p>
    <w:p w14:paraId="5628F25F" w14:textId="72EEEC67" w:rsidR="00216BB0" w:rsidRDefault="00216BB0" w:rsidP="007906D6">
      <w:pPr>
        <w:pStyle w:val="ListParagraph"/>
        <w:numPr>
          <w:ilvl w:val="0"/>
          <w:numId w:val="4"/>
        </w:numPr>
        <w:spacing w:before="120" w:after="240" w:line="259" w:lineRule="auto"/>
        <w:ind w:left="360" w:right="-720"/>
        <w:contextualSpacing w:val="0"/>
        <w:rPr>
          <w:rFonts w:ascii="Aptos" w:hAnsi="Aptos" w:cs="Tahoma"/>
        </w:rPr>
      </w:pPr>
      <w:r>
        <w:rPr>
          <w:rFonts w:ascii="Aptos" w:hAnsi="Aptos" w:cs="Tahoma"/>
        </w:rPr>
        <w:t>Page 5 under “Attachments” adde</w:t>
      </w:r>
      <w:r w:rsidR="007906D6">
        <w:rPr>
          <w:rFonts w:ascii="Aptos" w:hAnsi="Aptos" w:cs="Tahoma"/>
        </w:rPr>
        <w:t>d</w:t>
      </w:r>
      <w:r>
        <w:rPr>
          <w:rFonts w:ascii="Aptos" w:hAnsi="Aptos" w:cs="Tahoma"/>
        </w:rPr>
        <w:t>:</w:t>
      </w:r>
    </w:p>
    <w:tbl>
      <w:tblPr>
        <w:tblStyle w:val="TableGrid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7287"/>
      </w:tblGrid>
      <w:tr w:rsidR="007906D6" w:rsidRPr="00222E78" w14:paraId="107A49BB" w14:textId="77777777" w:rsidTr="007906D6">
        <w:trPr>
          <w:trHeight w:hRule="exact" w:val="864"/>
          <w:tblHeader/>
        </w:trPr>
        <w:tc>
          <w:tcPr>
            <w:tcW w:w="1893" w:type="dxa"/>
            <w:shd w:val="pct10" w:color="auto" w:fill="auto"/>
            <w:vAlign w:val="center"/>
          </w:tcPr>
          <w:p w14:paraId="56F1E04E" w14:textId="77777777" w:rsidR="007906D6" w:rsidRPr="00222E78" w:rsidRDefault="007906D6" w:rsidP="00FF000F">
            <w:pPr>
              <w:spacing w:before="140" w:after="140" w:line="259" w:lineRule="auto"/>
              <w:jc w:val="center"/>
              <w:rPr>
                <w:rFonts w:ascii="Aptos" w:hAnsi="Aptos" w:cs="Tahoma"/>
                <w:b/>
                <w:iCs/>
                <w:caps/>
              </w:rPr>
            </w:pPr>
            <w:bookmarkStart w:id="0" w:name="_Hlk78806585"/>
            <w:r w:rsidRPr="00222E78">
              <w:rPr>
                <w:rFonts w:ascii="Aptos" w:hAnsi="Aptos" w:cs="Tahoma"/>
                <w:b/>
                <w:iCs/>
                <w:caps/>
              </w:rPr>
              <w:t>Attachment Number</w:t>
            </w:r>
          </w:p>
        </w:tc>
        <w:tc>
          <w:tcPr>
            <w:tcW w:w="7287" w:type="dxa"/>
            <w:shd w:val="pct10" w:color="auto" w:fill="auto"/>
            <w:vAlign w:val="center"/>
          </w:tcPr>
          <w:p w14:paraId="1836FC50" w14:textId="77777777" w:rsidR="007906D6" w:rsidRPr="00222E78" w:rsidRDefault="007906D6" w:rsidP="00FF000F">
            <w:pPr>
              <w:spacing w:before="140" w:after="140" w:line="259" w:lineRule="auto"/>
              <w:jc w:val="center"/>
              <w:rPr>
                <w:rFonts w:ascii="Aptos" w:hAnsi="Aptos" w:cs="Tahoma"/>
                <w:b/>
                <w:iCs/>
                <w:caps/>
              </w:rPr>
            </w:pPr>
            <w:r w:rsidRPr="00222E78">
              <w:rPr>
                <w:rFonts w:ascii="Aptos" w:hAnsi="Aptos" w:cs="Tahoma"/>
                <w:b/>
                <w:iCs/>
                <w:caps/>
              </w:rPr>
              <w:t>attachment TITLE</w:t>
            </w:r>
          </w:p>
        </w:tc>
      </w:tr>
      <w:tr w:rsidR="007906D6" w:rsidRPr="00222E78" w14:paraId="3336981F" w14:textId="77777777" w:rsidTr="007906D6">
        <w:trPr>
          <w:trHeight w:hRule="exact" w:val="1152"/>
        </w:trPr>
        <w:tc>
          <w:tcPr>
            <w:tcW w:w="1893" w:type="dxa"/>
            <w:vAlign w:val="center"/>
          </w:tcPr>
          <w:p w14:paraId="3FB8893D" w14:textId="77777777" w:rsidR="007906D6" w:rsidRPr="009921EA" w:rsidRDefault="007906D6" w:rsidP="00FF000F">
            <w:pPr>
              <w:spacing w:before="140" w:after="140" w:line="259" w:lineRule="auto"/>
              <w:contextualSpacing/>
              <w:jc w:val="center"/>
              <w:rPr>
                <w:rFonts w:ascii="Aptos" w:hAnsi="Aptos" w:cs="Tahoma"/>
                <w:b/>
                <w:u w:val="single"/>
              </w:rPr>
            </w:pPr>
            <w:r w:rsidRPr="009921EA">
              <w:rPr>
                <w:rFonts w:ascii="Aptos" w:hAnsi="Aptos" w:cs="Tahoma"/>
                <w:b/>
                <w:u w:val="single"/>
              </w:rPr>
              <w:t>10</w:t>
            </w:r>
          </w:p>
        </w:tc>
        <w:tc>
          <w:tcPr>
            <w:tcW w:w="7287" w:type="dxa"/>
            <w:vAlign w:val="center"/>
          </w:tcPr>
          <w:p w14:paraId="2575CC98" w14:textId="77777777" w:rsidR="007906D6" w:rsidRPr="009921EA" w:rsidRDefault="007906D6" w:rsidP="00FF000F">
            <w:pPr>
              <w:spacing w:before="140" w:after="140" w:line="259" w:lineRule="auto"/>
              <w:contextualSpacing/>
              <w:rPr>
                <w:rFonts w:ascii="Aptos" w:hAnsi="Aptos" w:cs="Tahoma"/>
                <w:b/>
                <w:u w:val="single"/>
              </w:rPr>
            </w:pPr>
            <w:r w:rsidRPr="009921EA">
              <w:rPr>
                <w:rFonts w:ascii="Aptos" w:hAnsi="Aptos" w:cs="Tahoma"/>
                <w:b/>
                <w:u w:val="single"/>
              </w:rPr>
              <w:t>General Prevailing Wage Determination for Northern California (informational, this attachment is not required in the Statement of Qualifications)</w:t>
            </w:r>
          </w:p>
        </w:tc>
      </w:tr>
      <w:tr w:rsidR="007906D6" w:rsidRPr="00222E78" w14:paraId="475930EE" w14:textId="77777777" w:rsidTr="007906D6">
        <w:trPr>
          <w:trHeight w:hRule="exact" w:val="1152"/>
        </w:trPr>
        <w:tc>
          <w:tcPr>
            <w:tcW w:w="1893" w:type="dxa"/>
            <w:vAlign w:val="center"/>
          </w:tcPr>
          <w:p w14:paraId="507699E1" w14:textId="77777777" w:rsidR="007906D6" w:rsidRPr="009921EA" w:rsidRDefault="007906D6" w:rsidP="00FF000F">
            <w:pPr>
              <w:spacing w:before="140" w:after="140" w:line="259" w:lineRule="auto"/>
              <w:contextualSpacing/>
              <w:jc w:val="center"/>
              <w:rPr>
                <w:rFonts w:ascii="Aptos" w:hAnsi="Aptos" w:cs="Tahoma"/>
                <w:b/>
                <w:u w:val="single"/>
              </w:rPr>
            </w:pPr>
            <w:r w:rsidRPr="009921EA">
              <w:rPr>
                <w:rFonts w:ascii="Aptos" w:hAnsi="Aptos" w:cs="Tahoma"/>
                <w:b/>
                <w:u w:val="single"/>
              </w:rPr>
              <w:t>11</w:t>
            </w:r>
          </w:p>
        </w:tc>
        <w:tc>
          <w:tcPr>
            <w:tcW w:w="7287" w:type="dxa"/>
            <w:vAlign w:val="center"/>
          </w:tcPr>
          <w:p w14:paraId="70FA248D" w14:textId="77777777" w:rsidR="007906D6" w:rsidRPr="009921EA" w:rsidRDefault="007906D6" w:rsidP="00FF000F">
            <w:pPr>
              <w:spacing w:before="140" w:after="140" w:line="259" w:lineRule="auto"/>
              <w:contextualSpacing/>
              <w:rPr>
                <w:rFonts w:ascii="Aptos" w:hAnsi="Aptos" w:cs="Tahoma"/>
                <w:b/>
                <w:u w:val="single"/>
              </w:rPr>
            </w:pPr>
            <w:r w:rsidRPr="009921EA">
              <w:rPr>
                <w:rFonts w:ascii="Aptos" w:hAnsi="Aptos" w:cs="Tahoma"/>
                <w:b/>
                <w:u w:val="single"/>
              </w:rPr>
              <w:t>General Prevailing Wage Determination for Southern California (informational, this attachment is not required in the Statement of Qualifications)</w:t>
            </w:r>
          </w:p>
        </w:tc>
      </w:tr>
    </w:tbl>
    <w:bookmarkEnd w:id="0"/>
    <w:p w14:paraId="5E4FA591" w14:textId="7BDC86B6" w:rsidR="00343828" w:rsidRPr="00CE16B1" w:rsidRDefault="00A264CA" w:rsidP="007906D6">
      <w:pPr>
        <w:pStyle w:val="ListParagraph"/>
        <w:numPr>
          <w:ilvl w:val="0"/>
          <w:numId w:val="4"/>
        </w:numPr>
        <w:spacing w:before="240" w:after="240" w:line="259" w:lineRule="auto"/>
        <w:ind w:left="360" w:right="-720"/>
        <w:contextualSpacing w:val="0"/>
        <w:rPr>
          <w:rFonts w:ascii="Aptos" w:hAnsi="Aptos" w:cs="Tahoma"/>
        </w:rPr>
      </w:pPr>
      <w:r w:rsidRPr="00CE16B1">
        <w:rPr>
          <w:rFonts w:ascii="Aptos" w:hAnsi="Aptos" w:cs="Tahoma"/>
        </w:rPr>
        <w:t xml:space="preserve">Page </w:t>
      </w:r>
      <w:r w:rsidR="00CC7FDF" w:rsidRPr="00CE16B1">
        <w:rPr>
          <w:rFonts w:ascii="Aptos" w:hAnsi="Aptos" w:cs="Tahoma"/>
        </w:rPr>
        <w:t>64</w:t>
      </w:r>
      <w:r w:rsidR="00B9060A" w:rsidRPr="00CE16B1">
        <w:rPr>
          <w:rFonts w:ascii="Aptos" w:hAnsi="Aptos" w:cs="Tahoma"/>
        </w:rPr>
        <w:t xml:space="preserve"> under </w:t>
      </w:r>
      <w:r w:rsidR="00A8270F" w:rsidRPr="00CE16B1">
        <w:rPr>
          <w:rFonts w:ascii="Aptos" w:hAnsi="Aptos" w:cs="Tahoma"/>
        </w:rPr>
        <w:t>“</w:t>
      </w:r>
      <w:r w:rsidR="00CC7FDF" w:rsidRPr="00CE16B1">
        <w:rPr>
          <w:rFonts w:ascii="Aptos" w:eastAsia="Calibri" w:hAnsi="Aptos" w:cs="Tahoma"/>
          <w:color w:val="000000"/>
        </w:rPr>
        <w:t>Subtask 6.4: Energy-Based Compliance Data Collection</w:t>
      </w:r>
      <w:r w:rsidR="00B9060A" w:rsidRPr="00CE16B1">
        <w:rPr>
          <w:rFonts w:ascii="Aptos" w:hAnsi="Aptos" w:cs="Tahoma"/>
        </w:rPr>
        <w:t xml:space="preserve">” </w:t>
      </w:r>
      <w:r w:rsidR="00CC7FDF" w:rsidRPr="00CE16B1">
        <w:rPr>
          <w:rFonts w:ascii="Aptos" w:hAnsi="Aptos" w:cs="Tahoma"/>
        </w:rPr>
        <w:t>added</w:t>
      </w:r>
      <w:r w:rsidR="00B9060A" w:rsidRPr="00CE16B1">
        <w:rPr>
          <w:rFonts w:ascii="Aptos" w:hAnsi="Aptos" w:cs="Tahoma"/>
        </w:rPr>
        <w:t>:</w:t>
      </w:r>
    </w:p>
    <w:p w14:paraId="66C5AF06" w14:textId="60A80FFA" w:rsidR="002064CE" w:rsidRPr="00CE16B1" w:rsidRDefault="002064CE" w:rsidP="002064CE">
      <w:pPr>
        <w:pStyle w:val="NormalWeb"/>
        <w:spacing w:before="120" w:beforeAutospacing="0" w:after="120" w:afterAutospacing="0" w:line="259" w:lineRule="auto"/>
        <w:ind w:left="360"/>
        <w:rPr>
          <w:rFonts w:ascii="Aptos" w:hAnsi="Aptos"/>
          <w:b/>
          <w:bCs/>
          <w:u w:val="single"/>
        </w:rPr>
      </w:pPr>
      <w:r w:rsidRPr="00CE16B1">
        <w:rPr>
          <w:rFonts w:ascii="Aptos" w:hAnsi="Aptos" w:cs="Tahoma"/>
          <w:b/>
          <w:bCs/>
          <w:u w:val="single"/>
        </w:rPr>
        <w:t xml:space="preserve">The CEC is currently reaching out to </w:t>
      </w:r>
      <w:r w:rsidR="2218A599" w:rsidRPr="00CE16B1">
        <w:rPr>
          <w:rFonts w:ascii="Aptos" w:hAnsi="Aptos" w:cs="Tahoma"/>
          <w:b/>
          <w:bCs/>
          <w:u w:val="single"/>
        </w:rPr>
        <w:t>the C</w:t>
      </w:r>
      <w:r w:rsidR="00863BBD" w:rsidRPr="00CE16B1">
        <w:rPr>
          <w:rFonts w:ascii="Aptos" w:hAnsi="Aptos" w:cs="Tahoma"/>
          <w:b/>
          <w:bCs/>
          <w:u w:val="single"/>
        </w:rPr>
        <w:t>alifornia</w:t>
      </w:r>
      <w:r w:rsidR="2218A599" w:rsidRPr="00CE16B1">
        <w:rPr>
          <w:rFonts w:ascii="Aptos" w:hAnsi="Aptos" w:cs="Tahoma"/>
          <w:b/>
          <w:bCs/>
          <w:u w:val="single"/>
        </w:rPr>
        <w:t xml:space="preserve"> Department of Industrial Relations</w:t>
      </w:r>
      <w:r w:rsidRPr="00CE16B1">
        <w:rPr>
          <w:rFonts w:ascii="Aptos" w:hAnsi="Aptos" w:cs="Tahoma"/>
          <w:b/>
          <w:bCs/>
          <w:u w:val="single"/>
        </w:rPr>
        <w:t xml:space="preserve"> </w:t>
      </w:r>
      <w:r w:rsidR="00863BBD" w:rsidRPr="00CE16B1">
        <w:rPr>
          <w:rFonts w:ascii="Aptos" w:hAnsi="Aptos" w:cs="Tahoma"/>
          <w:b/>
          <w:bCs/>
          <w:u w:val="single"/>
        </w:rPr>
        <w:t xml:space="preserve">(DIR) </w:t>
      </w:r>
      <w:r w:rsidRPr="00CE16B1">
        <w:rPr>
          <w:rFonts w:ascii="Aptos" w:hAnsi="Aptos" w:cs="Tahoma"/>
          <w:b/>
          <w:bCs/>
          <w:u w:val="single"/>
        </w:rPr>
        <w:t xml:space="preserve">for guidance about whether this work is considered a public work and subject to prevailing wage. Firms should assume direct field observations, measurements, and testing work falls under the craft of Building/Construction Inspector and will be subject to prevailing wage, unless and until the CEC states otherwise. The CEC has also posted the current prevailing wage rate sheets for Building/Construction Inspectors in Northern </w:t>
      </w:r>
      <w:r w:rsidR="003748F4">
        <w:rPr>
          <w:rFonts w:ascii="Aptos" w:hAnsi="Aptos" w:cs="Tahoma"/>
          <w:b/>
          <w:bCs/>
          <w:u w:val="single"/>
        </w:rPr>
        <w:t xml:space="preserve">California (Attachment 10) </w:t>
      </w:r>
      <w:r w:rsidRPr="00CE16B1">
        <w:rPr>
          <w:rFonts w:ascii="Aptos" w:hAnsi="Aptos" w:cs="Tahoma"/>
          <w:b/>
          <w:bCs/>
          <w:u w:val="single"/>
        </w:rPr>
        <w:t xml:space="preserve">and Southern California </w:t>
      </w:r>
      <w:r w:rsidR="003748F4">
        <w:rPr>
          <w:rFonts w:ascii="Aptos" w:hAnsi="Aptos" w:cs="Tahoma"/>
          <w:b/>
          <w:bCs/>
          <w:u w:val="single"/>
        </w:rPr>
        <w:t xml:space="preserve">(Attachment </w:t>
      </w:r>
      <w:r w:rsidR="003748F4">
        <w:rPr>
          <w:rFonts w:ascii="Aptos" w:hAnsi="Aptos" w:cs="Tahoma"/>
          <w:b/>
          <w:bCs/>
          <w:u w:val="single"/>
        </w:rPr>
        <w:lastRenderedPageBreak/>
        <w:t xml:space="preserve">11) </w:t>
      </w:r>
      <w:r w:rsidRPr="00CE16B1">
        <w:rPr>
          <w:rFonts w:ascii="Aptos" w:hAnsi="Aptos" w:cs="Tahoma"/>
          <w:b/>
          <w:bCs/>
          <w:u w:val="single"/>
        </w:rPr>
        <w:t xml:space="preserve">to the </w:t>
      </w:r>
      <w:hyperlink r:id="rId11">
        <w:r w:rsidRPr="00CE16B1">
          <w:rPr>
            <w:rStyle w:val="Hyperlink"/>
            <w:rFonts w:ascii="Aptos" w:hAnsi="Aptos" w:cs="Tahoma"/>
            <w:b/>
            <w:bCs/>
          </w:rPr>
          <w:t>RFQ-25-401 solicitation webpage</w:t>
        </w:r>
      </w:hyperlink>
      <w:r w:rsidRPr="00CE16B1">
        <w:rPr>
          <w:rFonts w:ascii="Aptos" w:hAnsi="Aptos" w:cs="Tahoma"/>
          <w:b/>
          <w:bCs/>
          <w:u w:val="single"/>
        </w:rPr>
        <w:t>, which is located at (https://www.energy.ca.gov/solicitations/2026-05/rfq-25-401-energy-code-compliance-evaluation-support). Note: The prevailing wage rates may be updated as determined by DIR.</w:t>
      </w:r>
    </w:p>
    <w:p w14:paraId="4F79D0F5" w14:textId="77777777" w:rsidR="005333A6" w:rsidRDefault="005333A6" w:rsidP="007906D6">
      <w:pPr>
        <w:rPr>
          <w:rFonts w:ascii="Aptos" w:hAnsi="Aptos" w:cs="Tahoma"/>
          <w:b/>
          <w:bCs/>
        </w:rPr>
      </w:pPr>
    </w:p>
    <w:p w14:paraId="5E695D21" w14:textId="77777777" w:rsidR="005333A6" w:rsidRDefault="005333A6" w:rsidP="007906D6">
      <w:pPr>
        <w:rPr>
          <w:rFonts w:ascii="Aptos" w:hAnsi="Aptos" w:cs="Tahoma"/>
          <w:b/>
          <w:bCs/>
        </w:rPr>
      </w:pPr>
    </w:p>
    <w:p w14:paraId="634AADA0" w14:textId="77777777" w:rsidR="005333A6" w:rsidRDefault="005333A6" w:rsidP="007906D6">
      <w:pPr>
        <w:rPr>
          <w:rFonts w:ascii="Aptos" w:hAnsi="Aptos" w:cs="Tahoma"/>
          <w:b/>
          <w:bCs/>
        </w:rPr>
      </w:pPr>
    </w:p>
    <w:p w14:paraId="527E643F" w14:textId="0B269C66" w:rsidR="00F32514" w:rsidRPr="00CE16B1" w:rsidRDefault="00DE51D6" w:rsidP="00B06C2C">
      <w:pPr>
        <w:spacing w:after="120" w:line="259" w:lineRule="auto"/>
        <w:rPr>
          <w:rFonts w:ascii="Aptos" w:hAnsi="Aptos" w:cs="Tahoma"/>
          <w:b/>
          <w:bCs/>
        </w:rPr>
      </w:pPr>
      <w:r w:rsidRPr="00CE16B1">
        <w:rPr>
          <w:rFonts w:ascii="Aptos" w:hAnsi="Aptos" w:cs="Tahoma"/>
          <w:b/>
          <w:bCs/>
        </w:rPr>
        <w:t>Diana Grady,</w:t>
      </w:r>
    </w:p>
    <w:p w14:paraId="6AEDE6BC" w14:textId="5070ACA6" w:rsidR="7ED56795" w:rsidRPr="00CE16B1" w:rsidRDefault="00F32514" w:rsidP="00E03983">
      <w:pPr>
        <w:spacing w:before="120" w:after="120" w:line="259" w:lineRule="auto"/>
        <w:rPr>
          <w:rStyle w:val="eop"/>
          <w:rFonts w:ascii="Aptos" w:hAnsi="Aptos"/>
        </w:rPr>
      </w:pPr>
      <w:r w:rsidRPr="00CE16B1">
        <w:rPr>
          <w:rFonts w:ascii="Aptos" w:hAnsi="Aptos" w:cs="Tahoma"/>
          <w:b/>
          <w:bCs/>
        </w:rPr>
        <w:t>Commission Agreement Officer</w:t>
      </w:r>
    </w:p>
    <w:sectPr w:rsidR="7ED56795" w:rsidRPr="00CE16B1" w:rsidSect="009859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250" w:right="1800" w:bottom="1440" w:left="1800" w:header="54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F2DF" w14:textId="77777777" w:rsidR="00CB1FFA" w:rsidRDefault="00CB1FFA" w:rsidP="00F86D2B">
      <w:r>
        <w:separator/>
      </w:r>
    </w:p>
  </w:endnote>
  <w:endnote w:type="continuationSeparator" w:id="0">
    <w:p w14:paraId="1CCAAA05" w14:textId="77777777" w:rsidR="00CB1FFA" w:rsidRDefault="00CB1FFA" w:rsidP="00F86D2B">
      <w:r>
        <w:continuationSeparator/>
      </w:r>
    </w:p>
  </w:endnote>
  <w:endnote w:type="continuationNotice" w:id="1">
    <w:p w14:paraId="7FED618F" w14:textId="77777777" w:rsidR="00CB1FFA" w:rsidRDefault="00CB1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B35" w14:textId="77777777" w:rsidR="006D5578" w:rsidRDefault="006D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177736514" name="Picture 117773651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2618" w14:textId="77777777" w:rsidR="00CB1FFA" w:rsidRDefault="00CB1FFA" w:rsidP="00F86D2B">
      <w:r>
        <w:separator/>
      </w:r>
    </w:p>
  </w:footnote>
  <w:footnote w:type="continuationSeparator" w:id="0">
    <w:p w14:paraId="128F417E" w14:textId="77777777" w:rsidR="00CB1FFA" w:rsidRDefault="00CB1FFA" w:rsidP="00F86D2B">
      <w:r>
        <w:continuationSeparator/>
      </w:r>
    </w:p>
  </w:footnote>
  <w:footnote w:type="continuationNotice" w:id="1">
    <w:p w14:paraId="79EB1581" w14:textId="77777777" w:rsidR="00CB1FFA" w:rsidRDefault="00CB1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875A" w14:textId="77777777" w:rsidR="006D5578" w:rsidRDefault="006D5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41CD1527" w:rsidR="00C01C97" w:rsidRDefault="358E4BC6" w:rsidP="0098590A">
    <w:pPr>
      <w:pStyle w:val="Header"/>
      <w:ind w:hanging="1350"/>
      <w:jc w:val="center"/>
    </w:pPr>
    <w:r>
      <w:rPr>
        <w:noProof/>
      </w:rPr>
      <w:drawing>
        <wp:inline distT="0" distB="0" distL="0" distR="0" wp14:anchorId="0D159C1B" wp14:editId="425E9F39">
          <wp:extent cx="6610350" cy="837429"/>
          <wp:effectExtent l="0" t="0" r="0" b="0"/>
          <wp:docPr id="921818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685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0" cy="83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19A77" w14:textId="6FDBADCD" w:rsidR="00E210F6" w:rsidRDefault="00E210F6" w:rsidP="002D11A5">
    <w:pPr>
      <w:pStyle w:val="Header"/>
      <w:ind w:hanging="180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70"/>
    <w:multiLevelType w:val="hybridMultilevel"/>
    <w:tmpl w:val="688EAAF8"/>
    <w:lvl w:ilvl="0" w:tplc="7AEE9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7B82"/>
    <w:multiLevelType w:val="multilevel"/>
    <w:tmpl w:val="101EC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754334"/>
    <w:multiLevelType w:val="hybridMultilevel"/>
    <w:tmpl w:val="2F92596E"/>
    <w:lvl w:ilvl="0" w:tplc="45C62C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3158"/>
    <w:multiLevelType w:val="hybridMultilevel"/>
    <w:tmpl w:val="2E8E52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55F20"/>
    <w:multiLevelType w:val="hybridMultilevel"/>
    <w:tmpl w:val="4544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57C0C"/>
    <w:multiLevelType w:val="hybridMultilevel"/>
    <w:tmpl w:val="BF36F58A"/>
    <w:lvl w:ilvl="0" w:tplc="563CC0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26CD0"/>
    <w:multiLevelType w:val="hybridMultilevel"/>
    <w:tmpl w:val="7F460AA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1525"/>
    <w:multiLevelType w:val="hybridMultilevel"/>
    <w:tmpl w:val="B26C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75D14"/>
    <w:multiLevelType w:val="hybridMultilevel"/>
    <w:tmpl w:val="4A04E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D38DD"/>
    <w:multiLevelType w:val="hybridMultilevel"/>
    <w:tmpl w:val="74AA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C46CE"/>
    <w:multiLevelType w:val="hybridMultilevel"/>
    <w:tmpl w:val="4DCAA820"/>
    <w:lvl w:ilvl="0" w:tplc="783295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77593"/>
    <w:multiLevelType w:val="hybridMultilevel"/>
    <w:tmpl w:val="2F9259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3C1"/>
    <w:multiLevelType w:val="hybridMultilevel"/>
    <w:tmpl w:val="F596392E"/>
    <w:lvl w:ilvl="0" w:tplc="CBA04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482644">
    <w:abstractNumId w:val="1"/>
  </w:num>
  <w:num w:numId="2" w16cid:durableId="823544554">
    <w:abstractNumId w:val="7"/>
  </w:num>
  <w:num w:numId="3" w16cid:durableId="840320299">
    <w:abstractNumId w:val="4"/>
  </w:num>
  <w:num w:numId="4" w16cid:durableId="1422873201">
    <w:abstractNumId w:val="0"/>
  </w:num>
  <w:num w:numId="5" w16cid:durableId="1995137777">
    <w:abstractNumId w:val="2"/>
  </w:num>
  <w:num w:numId="6" w16cid:durableId="1255894459">
    <w:abstractNumId w:val="13"/>
  </w:num>
  <w:num w:numId="7" w16cid:durableId="2049453634">
    <w:abstractNumId w:val="11"/>
  </w:num>
  <w:num w:numId="8" w16cid:durableId="1686859270">
    <w:abstractNumId w:val="3"/>
  </w:num>
  <w:num w:numId="9" w16cid:durableId="728503235">
    <w:abstractNumId w:val="6"/>
  </w:num>
  <w:num w:numId="10" w16cid:durableId="1653826983">
    <w:abstractNumId w:val="12"/>
  </w:num>
  <w:num w:numId="11" w16cid:durableId="1147015603">
    <w:abstractNumId w:val="10"/>
  </w:num>
  <w:num w:numId="12" w16cid:durableId="1476527015">
    <w:abstractNumId w:val="9"/>
  </w:num>
  <w:num w:numId="13" w16cid:durableId="1532259586">
    <w:abstractNumId w:val="8"/>
  </w:num>
  <w:num w:numId="14" w16cid:durableId="1899168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004BE"/>
    <w:rsid w:val="00015969"/>
    <w:rsid w:val="00027125"/>
    <w:rsid w:val="00030863"/>
    <w:rsid w:val="00040891"/>
    <w:rsid w:val="00042871"/>
    <w:rsid w:val="000557AC"/>
    <w:rsid w:val="00063B9D"/>
    <w:rsid w:val="00065533"/>
    <w:rsid w:val="00076F46"/>
    <w:rsid w:val="000834A3"/>
    <w:rsid w:val="0009064B"/>
    <w:rsid w:val="00091652"/>
    <w:rsid w:val="0009176F"/>
    <w:rsid w:val="000A6CE7"/>
    <w:rsid w:val="000A7182"/>
    <w:rsid w:val="000B26A4"/>
    <w:rsid w:val="000B48A5"/>
    <w:rsid w:val="000C16AE"/>
    <w:rsid w:val="000C4CB1"/>
    <w:rsid w:val="000E225E"/>
    <w:rsid w:val="000E31D6"/>
    <w:rsid w:val="001123B4"/>
    <w:rsid w:val="001225AF"/>
    <w:rsid w:val="0012428F"/>
    <w:rsid w:val="00124598"/>
    <w:rsid w:val="00126DF1"/>
    <w:rsid w:val="0014043C"/>
    <w:rsid w:val="0014731B"/>
    <w:rsid w:val="001475B3"/>
    <w:rsid w:val="00156012"/>
    <w:rsid w:val="001836BF"/>
    <w:rsid w:val="001A0115"/>
    <w:rsid w:val="001A7FA2"/>
    <w:rsid w:val="001D62F2"/>
    <w:rsid w:val="001F62F3"/>
    <w:rsid w:val="00203587"/>
    <w:rsid w:val="002064CE"/>
    <w:rsid w:val="00216BB0"/>
    <w:rsid w:val="00235167"/>
    <w:rsid w:val="00236782"/>
    <w:rsid w:val="002410BC"/>
    <w:rsid w:val="00242B32"/>
    <w:rsid w:val="00243A6E"/>
    <w:rsid w:val="002458AD"/>
    <w:rsid w:val="00251E90"/>
    <w:rsid w:val="00253374"/>
    <w:rsid w:val="00272279"/>
    <w:rsid w:val="002747CF"/>
    <w:rsid w:val="002804B9"/>
    <w:rsid w:val="00290353"/>
    <w:rsid w:val="00290D6F"/>
    <w:rsid w:val="002A5F7A"/>
    <w:rsid w:val="002B76C0"/>
    <w:rsid w:val="002D11A5"/>
    <w:rsid w:val="002E4135"/>
    <w:rsid w:val="002E6064"/>
    <w:rsid w:val="002F0FFF"/>
    <w:rsid w:val="002F35A2"/>
    <w:rsid w:val="00300FB1"/>
    <w:rsid w:val="00306C82"/>
    <w:rsid w:val="003156ED"/>
    <w:rsid w:val="0031707C"/>
    <w:rsid w:val="0031739D"/>
    <w:rsid w:val="0032553E"/>
    <w:rsid w:val="003407BE"/>
    <w:rsid w:val="00340985"/>
    <w:rsid w:val="00343828"/>
    <w:rsid w:val="003456DB"/>
    <w:rsid w:val="00352FFA"/>
    <w:rsid w:val="003731E6"/>
    <w:rsid w:val="003748F4"/>
    <w:rsid w:val="00377466"/>
    <w:rsid w:val="00385BFB"/>
    <w:rsid w:val="003942F4"/>
    <w:rsid w:val="003A766A"/>
    <w:rsid w:val="003B6F26"/>
    <w:rsid w:val="003C64F8"/>
    <w:rsid w:val="003D2439"/>
    <w:rsid w:val="003E0AD6"/>
    <w:rsid w:val="003E0D2D"/>
    <w:rsid w:val="003E404F"/>
    <w:rsid w:val="003E7C49"/>
    <w:rsid w:val="003E7F4E"/>
    <w:rsid w:val="003F69D3"/>
    <w:rsid w:val="00410AC7"/>
    <w:rsid w:val="004155CA"/>
    <w:rsid w:val="00415DE9"/>
    <w:rsid w:val="00430859"/>
    <w:rsid w:val="004379A5"/>
    <w:rsid w:val="00437D5F"/>
    <w:rsid w:val="00441B8A"/>
    <w:rsid w:val="00441DFE"/>
    <w:rsid w:val="00446FA5"/>
    <w:rsid w:val="004504D5"/>
    <w:rsid w:val="00475B35"/>
    <w:rsid w:val="00475E6F"/>
    <w:rsid w:val="004809B8"/>
    <w:rsid w:val="00481E0E"/>
    <w:rsid w:val="00493781"/>
    <w:rsid w:val="004A1AAA"/>
    <w:rsid w:val="004A4C18"/>
    <w:rsid w:val="004B1931"/>
    <w:rsid w:val="004B325A"/>
    <w:rsid w:val="004B386A"/>
    <w:rsid w:val="004C05C7"/>
    <w:rsid w:val="004D128F"/>
    <w:rsid w:val="005014F5"/>
    <w:rsid w:val="005100D5"/>
    <w:rsid w:val="005150BE"/>
    <w:rsid w:val="00523F2C"/>
    <w:rsid w:val="00524EA9"/>
    <w:rsid w:val="00525E2C"/>
    <w:rsid w:val="00527817"/>
    <w:rsid w:val="005333A6"/>
    <w:rsid w:val="00534797"/>
    <w:rsid w:val="00546720"/>
    <w:rsid w:val="00547155"/>
    <w:rsid w:val="005568CA"/>
    <w:rsid w:val="005626B1"/>
    <w:rsid w:val="00564F55"/>
    <w:rsid w:val="005651FC"/>
    <w:rsid w:val="00566D9C"/>
    <w:rsid w:val="005715F7"/>
    <w:rsid w:val="00577D95"/>
    <w:rsid w:val="0059609D"/>
    <w:rsid w:val="005D061D"/>
    <w:rsid w:val="005D62C6"/>
    <w:rsid w:val="005D6300"/>
    <w:rsid w:val="005E6FA2"/>
    <w:rsid w:val="006038D7"/>
    <w:rsid w:val="0061139F"/>
    <w:rsid w:val="00622304"/>
    <w:rsid w:val="006511D6"/>
    <w:rsid w:val="00654BE4"/>
    <w:rsid w:val="0065612A"/>
    <w:rsid w:val="006619E4"/>
    <w:rsid w:val="00663F64"/>
    <w:rsid w:val="00671A05"/>
    <w:rsid w:val="00682A91"/>
    <w:rsid w:val="0069233F"/>
    <w:rsid w:val="00693004"/>
    <w:rsid w:val="00693454"/>
    <w:rsid w:val="006A57AF"/>
    <w:rsid w:val="006B13F0"/>
    <w:rsid w:val="006C6F2F"/>
    <w:rsid w:val="006D22E2"/>
    <w:rsid w:val="006D3827"/>
    <w:rsid w:val="006D3AE2"/>
    <w:rsid w:val="006D5578"/>
    <w:rsid w:val="006D7088"/>
    <w:rsid w:val="006E146A"/>
    <w:rsid w:val="00701930"/>
    <w:rsid w:val="007134AE"/>
    <w:rsid w:val="007211FC"/>
    <w:rsid w:val="007255B0"/>
    <w:rsid w:val="00733B0B"/>
    <w:rsid w:val="00742977"/>
    <w:rsid w:val="00751C0F"/>
    <w:rsid w:val="0075238F"/>
    <w:rsid w:val="00761F8B"/>
    <w:rsid w:val="00767D4C"/>
    <w:rsid w:val="0077143E"/>
    <w:rsid w:val="0077265A"/>
    <w:rsid w:val="00777798"/>
    <w:rsid w:val="0078154A"/>
    <w:rsid w:val="00783717"/>
    <w:rsid w:val="007906D6"/>
    <w:rsid w:val="00791203"/>
    <w:rsid w:val="007C0A81"/>
    <w:rsid w:val="007D43DB"/>
    <w:rsid w:val="007D545A"/>
    <w:rsid w:val="007E6D86"/>
    <w:rsid w:val="007F1250"/>
    <w:rsid w:val="00802CD9"/>
    <w:rsid w:val="0081533B"/>
    <w:rsid w:val="008239AA"/>
    <w:rsid w:val="00826A42"/>
    <w:rsid w:val="00846985"/>
    <w:rsid w:val="00863BBD"/>
    <w:rsid w:val="00874988"/>
    <w:rsid w:val="008846C0"/>
    <w:rsid w:val="0089001E"/>
    <w:rsid w:val="00891290"/>
    <w:rsid w:val="00891410"/>
    <w:rsid w:val="008958DA"/>
    <w:rsid w:val="008B0F4E"/>
    <w:rsid w:val="008E1433"/>
    <w:rsid w:val="008E2911"/>
    <w:rsid w:val="008E2CB5"/>
    <w:rsid w:val="008E3926"/>
    <w:rsid w:val="008E7852"/>
    <w:rsid w:val="008F7BB2"/>
    <w:rsid w:val="008F7D3C"/>
    <w:rsid w:val="0090359C"/>
    <w:rsid w:val="0090375C"/>
    <w:rsid w:val="0090646F"/>
    <w:rsid w:val="00907DFB"/>
    <w:rsid w:val="00910710"/>
    <w:rsid w:val="009201C1"/>
    <w:rsid w:val="00927CB3"/>
    <w:rsid w:val="00932406"/>
    <w:rsid w:val="009407F5"/>
    <w:rsid w:val="00950AF4"/>
    <w:rsid w:val="00952A81"/>
    <w:rsid w:val="009535BA"/>
    <w:rsid w:val="00961B14"/>
    <w:rsid w:val="009836F1"/>
    <w:rsid w:val="0098590A"/>
    <w:rsid w:val="009958C0"/>
    <w:rsid w:val="009A4623"/>
    <w:rsid w:val="009B3FE6"/>
    <w:rsid w:val="009C3609"/>
    <w:rsid w:val="009C5E89"/>
    <w:rsid w:val="009D016E"/>
    <w:rsid w:val="009E6C35"/>
    <w:rsid w:val="009E754B"/>
    <w:rsid w:val="00A111AD"/>
    <w:rsid w:val="00A15FA8"/>
    <w:rsid w:val="00A17202"/>
    <w:rsid w:val="00A256E6"/>
    <w:rsid w:val="00A264CA"/>
    <w:rsid w:val="00A2662B"/>
    <w:rsid w:val="00A3384C"/>
    <w:rsid w:val="00A36CF5"/>
    <w:rsid w:val="00A71A3D"/>
    <w:rsid w:val="00A73089"/>
    <w:rsid w:val="00A74B31"/>
    <w:rsid w:val="00A82137"/>
    <w:rsid w:val="00A8270F"/>
    <w:rsid w:val="00A90DC6"/>
    <w:rsid w:val="00A90DF1"/>
    <w:rsid w:val="00A9296D"/>
    <w:rsid w:val="00A92AE5"/>
    <w:rsid w:val="00AC722C"/>
    <w:rsid w:val="00AD21FC"/>
    <w:rsid w:val="00AD4E7E"/>
    <w:rsid w:val="00AD5870"/>
    <w:rsid w:val="00AE05B9"/>
    <w:rsid w:val="00AF32C1"/>
    <w:rsid w:val="00B03AD3"/>
    <w:rsid w:val="00B06C2C"/>
    <w:rsid w:val="00B2094B"/>
    <w:rsid w:val="00B230D3"/>
    <w:rsid w:val="00B272D4"/>
    <w:rsid w:val="00B41D0F"/>
    <w:rsid w:val="00B80E72"/>
    <w:rsid w:val="00B84D31"/>
    <w:rsid w:val="00B9060A"/>
    <w:rsid w:val="00B906E9"/>
    <w:rsid w:val="00BA1317"/>
    <w:rsid w:val="00BA3F4C"/>
    <w:rsid w:val="00BA5DF7"/>
    <w:rsid w:val="00BA6018"/>
    <w:rsid w:val="00BB5B92"/>
    <w:rsid w:val="00BB5DCD"/>
    <w:rsid w:val="00BB604C"/>
    <w:rsid w:val="00BB70DE"/>
    <w:rsid w:val="00BE4759"/>
    <w:rsid w:val="00BE4A11"/>
    <w:rsid w:val="00BF751D"/>
    <w:rsid w:val="00BF76B7"/>
    <w:rsid w:val="00C01839"/>
    <w:rsid w:val="00C01C97"/>
    <w:rsid w:val="00C03527"/>
    <w:rsid w:val="00C2336E"/>
    <w:rsid w:val="00C451FB"/>
    <w:rsid w:val="00C45AFA"/>
    <w:rsid w:val="00C469E3"/>
    <w:rsid w:val="00C60278"/>
    <w:rsid w:val="00C62366"/>
    <w:rsid w:val="00C67037"/>
    <w:rsid w:val="00C70BE1"/>
    <w:rsid w:val="00C816B9"/>
    <w:rsid w:val="00C86168"/>
    <w:rsid w:val="00C96BDD"/>
    <w:rsid w:val="00CA6B2B"/>
    <w:rsid w:val="00CB179B"/>
    <w:rsid w:val="00CB1E72"/>
    <w:rsid w:val="00CB1FFA"/>
    <w:rsid w:val="00CC4E88"/>
    <w:rsid w:val="00CC7FDF"/>
    <w:rsid w:val="00CD344A"/>
    <w:rsid w:val="00CE16B1"/>
    <w:rsid w:val="00CE4FF8"/>
    <w:rsid w:val="00D14A20"/>
    <w:rsid w:val="00D32C3D"/>
    <w:rsid w:val="00D32F56"/>
    <w:rsid w:val="00D33013"/>
    <w:rsid w:val="00D375DE"/>
    <w:rsid w:val="00D431C2"/>
    <w:rsid w:val="00D43B83"/>
    <w:rsid w:val="00D507BA"/>
    <w:rsid w:val="00D763E5"/>
    <w:rsid w:val="00D807F1"/>
    <w:rsid w:val="00D87648"/>
    <w:rsid w:val="00D95804"/>
    <w:rsid w:val="00DA061C"/>
    <w:rsid w:val="00DA49DB"/>
    <w:rsid w:val="00DB174F"/>
    <w:rsid w:val="00DB519E"/>
    <w:rsid w:val="00DC044D"/>
    <w:rsid w:val="00DC4129"/>
    <w:rsid w:val="00DC645C"/>
    <w:rsid w:val="00DC684B"/>
    <w:rsid w:val="00DE51D6"/>
    <w:rsid w:val="00DF68DB"/>
    <w:rsid w:val="00E03983"/>
    <w:rsid w:val="00E17465"/>
    <w:rsid w:val="00E210F6"/>
    <w:rsid w:val="00E217E2"/>
    <w:rsid w:val="00E26E47"/>
    <w:rsid w:val="00E43E41"/>
    <w:rsid w:val="00E44255"/>
    <w:rsid w:val="00E52295"/>
    <w:rsid w:val="00E61F0F"/>
    <w:rsid w:val="00E62715"/>
    <w:rsid w:val="00E930FF"/>
    <w:rsid w:val="00E95AA9"/>
    <w:rsid w:val="00EA31E3"/>
    <w:rsid w:val="00EA7BDE"/>
    <w:rsid w:val="00EC0D07"/>
    <w:rsid w:val="00EC1435"/>
    <w:rsid w:val="00ED18F1"/>
    <w:rsid w:val="00EF0F2A"/>
    <w:rsid w:val="00EF7B72"/>
    <w:rsid w:val="00F00496"/>
    <w:rsid w:val="00F053EC"/>
    <w:rsid w:val="00F10DFF"/>
    <w:rsid w:val="00F220FC"/>
    <w:rsid w:val="00F22AD4"/>
    <w:rsid w:val="00F32514"/>
    <w:rsid w:val="00F473FB"/>
    <w:rsid w:val="00F58332"/>
    <w:rsid w:val="00F602AE"/>
    <w:rsid w:val="00F602D4"/>
    <w:rsid w:val="00F7696E"/>
    <w:rsid w:val="00F832F8"/>
    <w:rsid w:val="00F83500"/>
    <w:rsid w:val="00F86D2B"/>
    <w:rsid w:val="00F90F6B"/>
    <w:rsid w:val="00F947AC"/>
    <w:rsid w:val="00F95D8D"/>
    <w:rsid w:val="00F967DF"/>
    <w:rsid w:val="00F97319"/>
    <w:rsid w:val="00FB6A58"/>
    <w:rsid w:val="00FC24B9"/>
    <w:rsid w:val="00FC45AB"/>
    <w:rsid w:val="00FD15F2"/>
    <w:rsid w:val="00FD49E3"/>
    <w:rsid w:val="00FE0D97"/>
    <w:rsid w:val="00FE5320"/>
    <w:rsid w:val="00FF7303"/>
    <w:rsid w:val="02A25045"/>
    <w:rsid w:val="02E8DBE6"/>
    <w:rsid w:val="03734D72"/>
    <w:rsid w:val="03F18A8C"/>
    <w:rsid w:val="0739FD48"/>
    <w:rsid w:val="0768F366"/>
    <w:rsid w:val="0A6D6815"/>
    <w:rsid w:val="0B9C5A50"/>
    <w:rsid w:val="0C59C59D"/>
    <w:rsid w:val="0CDE3617"/>
    <w:rsid w:val="0FF1594D"/>
    <w:rsid w:val="1050A3F8"/>
    <w:rsid w:val="1251D4D5"/>
    <w:rsid w:val="13B49FA6"/>
    <w:rsid w:val="1434F42F"/>
    <w:rsid w:val="143E97B1"/>
    <w:rsid w:val="14C05B41"/>
    <w:rsid w:val="15E2B012"/>
    <w:rsid w:val="169C22FA"/>
    <w:rsid w:val="170407E1"/>
    <w:rsid w:val="1965F84E"/>
    <w:rsid w:val="199CEF18"/>
    <w:rsid w:val="1A2100F4"/>
    <w:rsid w:val="1C1F3A18"/>
    <w:rsid w:val="20319798"/>
    <w:rsid w:val="2218A599"/>
    <w:rsid w:val="2407BBC1"/>
    <w:rsid w:val="25B503AF"/>
    <w:rsid w:val="29973678"/>
    <w:rsid w:val="2BCA10F0"/>
    <w:rsid w:val="2BCF7C43"/>
    <w:rsid w:val="2D1C3E1B"/>
    <w:rsid w:val="2D47973F"/>
    <w:rsid w:val="2E913E51"/>
    <w:rsid w:val="2EF9B028"/>
    <w:rsid w:val="32067386"/>
    <w:rsid w:val="3340129D"/>
    <w:rsid w:val="33CB7650"/>
    <w:rsid w:val="341112F6"/>
    <w:rsid w:val="358E4BC6"/>
    <w:rsid w:val="376325B6"/>
    <w:rsid w:val="3EB9A800"/>
    <w:rsid w:val="40D3B1A0"/>
    <w:rsid w:val="427AF164"/>
    <w:rsid w:val="429C2237"/>
    <w:rsid w:val="45746B23"/>
    <w:rsid w:val="4D7C6706"/>
    <w:rsid w:val="4E6316F6"/>
    <w:rsid w:val="52521B09"/>
    <w:rsid w:val="537EBC70"/>
    <w:rsid w:val="5489042C"/>
    <w:rsid w:val="54CA0018"/>
    <w:rsid w:val="5770E9BA"/>
    <w:rsid w:val="58010E3F"/>
    <w:rsid w:val="5825F6C8"/>
    <w:rsid w:val="59705EDA"/>
    <w:rsid w:val="59AA3195"/>
    <w:rsid w:val="5BB8EBE2"/>
    <w:rsid w:val="5CEF28DE"/>
    <w:rsid w:val="5D3F2005"/>
    <w:rsid w:val="5F508770"/>
    <w:rsid w:val="603108AD"/>
    <w:rsid w:val="616F13CE"/>
    <w:rsid w:val="62006E28"/>
    <w:rsid w:val="63C3B749"/>
    <w:rsid w:val="64F4E5A8"/>
    <w:rsid w:val="65B14D97"/>
    <w:rsid w:val="67A110EA"/>
    <w:rsid w:val="6838974B"/>
    <w:rsid w:val="6CCDC08C"/>
    <w:rsid w:val="6DACF009"/>
    <w:rsid w:val="6FD5C76E"/>
    <w:rsid w:val="71E005F9"/>
    <w:rsid w:val="7276251B"/>
    <w:rsid w:val="72F576E6"/>
    <w:rsid w:val="73241326"/>
    <w:rsid w:val="740F1D47"/>
    <w:rsid w:val="749ABA24"/>
    <w:rsid w:val="74ADB8FD"/>
    <w:rsid w:val="7503EFB0"/>
    <w:rsid w:val="7723D97D"/>
    <w:rsid w:val="778918BC"/>
    <w:rsid w:val="7A8ACAE0"/>
    <w:rsid w:val="7A945860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F862AB11-9BDE-439C-8795-85DD7E07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character" w:customStyle="1" w:styleId="wacimagecontainer">
    <w:name w:val="wacimagecontainer"/>
    <w:basedOn w:val="DefaultParagraphFont"/>
    <w:rsid w:val="00126DF1"/>
  </w:style>
  <w:style w:type="paragraph" w:styleId="ListParagraph">
    <w:name w:val="List Paragraph"/>
    <w:aliases w:val="H3,3,POCG Table Text"/>
    <w:basedOn w:val="Normal"/>
    <w:link w:val="ListParagraphChar"/>
    <w:uiPriority w:val="34"/>
    <w:qFormat/>
    <w:rsid w:val="000C4C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2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aliases w:val="H3 Char,3 Char,POCG Table Text Char"/>
    <w:basedOn w:val="DefaultParagraphFont"/>
    <w:link w:val="ListParagraph"/>
    <w:uiPriority w:val="34"/>
    <w:locked/>
    <w:rsid w:val="0031707C"/>
  </w:style>
  <w:style w:type="character" w:styleId="Mention">
    <w:name w:val="Mention"/>
    <w:basedOn w:val="DefaultParagraphFont"/>
    <w:uiPriority w:val="99"/>
    <w:unhideWhenUsed/>
    <w:rsid w:val="006038D7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7D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7F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35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0DF1"/>
  </w:style>
  <w:style w:type="character" w:styleId="FollowedHyperlink">
    <w:name w:val="FollowedHyperlink"/>
    <w:basedOn w:val="DefaultParagraphFont"/>
    <w:uiPriority w:val="99"/>
    <w:semiHidden/>
    <w:unhideWhenUsed/>
    <w:rsid w:val="00863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solicitations/2026-05/rfq-25-401-energy-code-compliance-evaluation-suppo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3F57-E017-43E9-8B16-C45695D00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RFQ-25-401_Addendum_03_Cover_Letter_ada</vt:lpstr>
    </vt:vector>
  </TitlesOfParts>
  <Company>Wobschall Design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RFQ-25-401_Addendum_03_Cover_Letter_ada</dc:title>
  <dc:subject/>
  <dc:creator>California Energy Commission</dc:creator>
  <cp:keywords>RFQ-25-401</cp:keywords>
  <dc:description/>
  <cp:lastModifiedBy>Butler, Elizabeth@Energy</cp:lastModifiedBy>
  <cp:revision>168</cp:revision>
  <cp:lastPrinted>2019-04-08T16:38:00Z</cp:lastPrinted>
  <dcterms:created xsi:type="dcterms:W3CDTF">2021-12-29T17:17:00Z</dcterms:created>
  <dcterms:modified xsi:type="dcterms:W3CDTF">2026-06-09T16:49:00Z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  <property fmtid="{D5CDD505-2E9C-101B-9397-08002B2CF9AE}" pid="5" name="docLang">
    <vt:lpwstr>en</vt:lpwstr>
  </property>
</Properties>
</file>