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AA2E9" w14:textId="5C5BD3B2" w:rsidR="00D62767" w:rsidRPr="004F0931" w:rsidRDefault="00D62767" w:rsidP="00D62767">
      <w:pPr>
        <w:pStyle w:val="Heading1"/>
        <w:spacing w:before="0" w:line="480" w:lineRule="auto"/>
        <w:jc w:val="center"/>
        <w:rPr>
          <w:rFonts w:ascii="Aptos" w:hAnsi="Aptos" w:cs="Tahoma"/>
          <w:b/>
          <w:bCs/>
          <w:color w:val="auto"/>
          <w:sz w:val="28"/>
          <w:szCs w:val="28"/>
        </w:rPr>
      </w:pPr>
      <w:r w:rsidRPr="004F0931">
        <w:rPr>
          <w:rFonts w:ascii="Aptos" w:hAnsi="Aptos" w:cs="Tahoma"/>
          <w:b/>
          <w:bCs/>
          <w:color w:val="auto"/>
          <w:sz w:val="28"/>
          <w:szCs w:val="28"/>
        </w:rPr>
        <w:t>RFQ-25-401</w:t>
      </w:r>
    </w:p>
    <w:p w14:paraId="4B788B60" w14:textId="36A1FC41" w:rsidR="00D62767" w:rsidRPr="004F0931" w:rsidRDefault="00D62767" w:rsidP="00D62767">
      <w:pPr>
        <w:spacing w:line="480" w:lineRule="auto"/>
        <w:jc w:val="center"/>
        <w:rPr>
          <w:rFonts w:ascii="Aptos" w:eastAsia="Arial" w:hAnsi="Aptos" w:cs="Tahoma"/>
          <w:b/>
          <w:bCs/>
          <w:sz w:val="28"/>
          <w:szCs w:val="28"/>
        </w:rPr>
      </w:pPr>
      <w:r w:rsidRPr="004F0931">
        <w:rPr>
          <w:rFonts w:ascii="Aptos" w:eastAsia="Arial" w:hAnsi="Aptos" w:cs="Tahoma"/>
          <w:b/>
          <w:bCs/>
          <w:sz w:val="28"/>
          <w:szCs w:val="28"/>
        </w:rPr>
        <w:t>June 1</w:t>
      </w:r>
      <w:r w:rsidR="00760581">
        <w:rPr>
          <w:rFonts w:ascii="Aptos" w:eastAsia="Arial" w:hAnsi="Aptos" w:cs="Tahoma"/>
          <w:b/>
          <w:bCs/>
          <w:sz w:val="28"/>
          <w:szCs w:val="28"/>
        </w:rPr>
        <w:t>5</w:t>
      </w:r>
      <w:r w:rsidRPr="004F0931">
        <w:rPr>
          <w:rFonts w:ascii="Aptos" w:eastAsia="Arial" w:hAnsi="Aptos" w:cs="Tahoma"/>
          <w:b/>
          <w:bCs/>
          <w:sz w:val="28"/>
          <w:szCs w:val="28"/>
        </w:rPr>
        <w:t>, 2026</w:t>
      </w:r>
    </w:p>
    <w:p w14:paraId="6A87CDB2" w14:textId="77777777" w:rsidR="00D62767" w:rsidRPr="00842C62" w:rsidRDefault="00D62767" w:rsidP="00842C62">
      <w:pPr>
        <w:pStyle w:val="Heading2"/>
        <w:jc w:val="center"/>
        <w:rPr>
          <w:rFonts w:ascii="Aptos" w:hAnsi="Aptos"/>
          <w:b/>
          <w:bCs/>
          <w:color w:val="auto"/>
          <w:sz w:val="28"/>
          <w:szCs w:val="28"/>
        </w:rPr>
      </w:pPr>
      <w:r w:rsidRPr="00842C62">
        <w:rPr>
          <w:rFonts w:ascii="Aptos" w:hAnsi="Aptos"/>
          <w:b/>
          <w:bCs/>
          <w:color w:val="auto"/>
          <w:sz w:val="28"/>
          <w:szCs w:val="28"/>
        </w:rPr>
        <w:t>QUESTIONS AND ANSWERS</w:t>
      </w:r>
    </w:p>
    <w:p w14:paraId="76EB0E1C" w14:textId="10AA3886" w:rsidR="00D62767" w:rsidRPr="00842C62" w:rsidRDefault="00D62767" w:rsidP="00842C62">
      <w:pPr>
        <w:pStyle w:val="Heading2"/>
        <w:jc w:val="center"/>
        <w:rPr>
          <w:rFonts w:ascii="Aptos" w:hAnsi="Aptos"/>
          <w:b/>
          <w:bCs/>
          <w:color w:val="auto"/>
          <w:sz w:val="28"/>
          <w:szCs w:val="28"/>
        </w:rPr>
      </w:pPr>
      <w:r w:rsidRPr="00842C62">
        <w:rPr>
          <w:rFonts w:ascii="Aptos" w:hAnsi="Aptos"/>
          <w:b/>
          <w:bCs/>
          <w:color w:val="auto"/>
          <w:sz w:val="28"/>
          <w:szCs w:val="28"/>
        </w:rPr>
        <w:t>Energy Code Compliance Evaluation Support</w:t>
      </w:r>
    </w:p>
    <w:p w14:paraId="6915D15A" w14:textId="77777777" w:rsidR="00DB3831" w:rsidRDefault="00DB3831" w:rsidP="004F0931">
      <w:pPr>
        <w:spacing w:before="120" w:after="120" w:line="259" w:lineRule="auto"/>
        <w:ind w:right="-360"/>
        <w:rPr>
          <w:rFonts w:ascii="Aptos" w:eastAsia="Arial" w:hAnsi="Aptos" w:cs="Tahoma"/>
        </w:rPr>
      </w:pPr>
    </w:p>
    <w:p w14:paraId="392066AB" w14:textId="60D511B9" w:rsidR="00D62767" w:rsidRPr="002C0B4F" w:rsidRDefault="00D62767" w:rsidP="004F0931">
      <w:pPr>
        <w:spacing w:before="120" w:after="120" w:line="259" w:lineRule="auto"/>
        <w:ind w:right="-360"/>
        <w:rPr>
          <w:rFonts w:ascii="Aptos" w:eastAsia="Arial" w:hAnsi="Aptos" w:cs="Tahoma"/>
        </w:rPr>
      </w:pPr>
      <w:r w:rsidRPr="002C0B4F">
        <w:rPr>
          <w:rFonts w:ascii="Aptos" w:eastAsia="Arial" w:hAnsi="Aptos" w:cs="Tahoma"/>
        </w:rPr>
        <w:t>The purpose of this document is to provide answers to questions for the above solicitation. The following answers are based on the California Energy Commission (CEC) staff’s interpretation of the questions received.</w:t>
      </w:r>
    </w:p>
    <w:p w14:paraId="2B0F8424" w14:textId="54DF66F3" w:rsidR="00D62767" w:rsidRPr="00A41F08" w:rsidRDefault="00BB19F5" w:rsidP="00757F8B">
      <w:pPr>
        <w:pStyle w:val="Heading3"/>
        <w:rPr>
          <w:rFonts w:ascii="Aptos" w:eastAsia="Times New Roman" w:hAnsi="Aptos" w:cs="Tahoma"/>
          <w:b/>
          <w:bCs/>
          <w:color w:val="3C6AA2"/>
        </w:rPr>
      </w:pPr>
      <w:r w:rsidRPr="00A41F08">
        <w:rPr>
          <w:rFonts w:ascii="Aptos" w:eastAsia="Times New Roman" w:hAnsi="Aptos" w:cs="Tahoma"/>
          <w:b/>
          <w:bCs/>
          <w:color w:val="3C6AA2"/>
        </w:rPr>
        <w:t>Pre-Bid Conference</w:t>
      </w:r>
      <w:r w:rsidR="00D62767" w:rsidRPr="00A41F08">
        <w:rPr>
          <w:rFonts w:ascii="Aptos" w:eastAsia="Times New Roman" w:hAnsi="Aptos" w:cs="Tahoma"/>
          <w:b/>
          <w:bCs/>
          <w:color w:val="3C6AA2"/>
        </w:rPr>
        <w:t xml:space="preserve"> </w:t>
      </w:r>
      <w:r w:rsidRPr="00A41F08">
        <w:rPr>
          <w:rFonts w:ascii="Aptos" w:eastAsia="Times New Roman" w:hAnsi="Aptos" w:cs="Tahoma"/>
          <w:b/>
          <w:bCs/>
          <w:color w:val="3C6AA2"/>
        </w:rPr>
        <w:t>Questions</w:t>
      </w:r>
    </w:p>
    <w:p w14:paraId="1813B889" w14:textId="77777777" w:rsidR="00B84FE2" w:rsidRPr="002C0B4F" w:rsidRDefault="00B84FE2" w:rsidP="004F0931">
      <w:pPr>
        <w:spacing w:before="120" w:after="120" w:line="259" w:lineRule="auto"/>
        <w:ind w:left="720" w:hanging="720"/>
        <w:rPr>
          <w:rFonts w:ascii="Aptos" w:hAnsi="Aptos" w:cs="Tahoma"/>
          <w:b/>
          <w:bCs/>
        </w:rPr>
      </w:pPr>
      <w:r w:rsidRPr="002C0B4F">
        <w:rPr>
          <w:rFonts w:ascii="Aptos" w:hAnsi="Aptos" w:cs="Tahoma"/>
          <w:b/>
          <w:bCs/>
        </w:rPr>
        <w:t>Q1:</w:t>
      </w:r>
      <w:r w:rsidRPr="002C0B4F">
        <w:rPr>
          <w:rFonts w:ascii="Aptos" w:hAnsi="Aptos" w:cs="Tahoma"/>
          <w:b/>
          <w:bCs/>
        </w:rPr>
        <w:tab/>
        <w:t xml:space="preserve">Can we get a copy of the pre-bid conference presentation? </w:t>
      </w:r>
    </w:p>
    <w:p w14:paraId="157EE0F7" w14:textId="77070E2A" w:rsidR="003A21F6" w:rsidRPr="002C0B4F" w:rsidRDefault="00B84FE2" w:rsidP="004F0931">
      <w:pPr>
        <w:spacing w:before="120" w:after="120" w:line="259" w:lineRule="auto"/>
        <w:ind w:left="720" w:hanging="720"/>
        <w:rPr>
          <w:rFonts w:ascii="Aptos" w:hAnsi="Aptos" w:cs="Tahoma"/>
        </w:rPr>
      </w:pPr>
      <w:r w:rsidRPr="002C0B4F">
        <w:rPr>
          <w:rFonts w:ascii="Aptos" w:hAnsi="Aptos" w:cs="Tahoma"/>
        </w:rPr>
        <w:t>A1:</w:t>
      </w:r>
      <w:r w:rsidRPr="002C0B4F">
        <w:rPr>
          <w:rFonts w:ascii="Aptos" w:hAnsi="Aptos" w:cs="Tahoma"/>
        </w:rPr>
        <w:tab/>
        <w:t xml:space="preserve">Yes, the pre-bid conference presentation is available on the </w:t>
      </w:r>
      <w:hyperlink r:id="rId11" w:history="1">
        <w:r w:rsidRPr="002C0B4F">
          <w:rPr>
            <w:rStyle w:val="Hyperlink"/>
            <w:rFonts w:ascii="Aptos" w:hAnsi="Aptos" w:cs="Tahoma"/>
          </w:rPr>
          <w:t>RFQ-25-401 solicitation webpage</w:t>
        </w:r>
      </w:hyperlink>
      <w:r w:rsidRPr="002C0B4F">
        <w:rPr>
          <w:rFonts w:ascii="Aptos" w:hAnsi="Aptos" w:cs="Tahoma"/>
        </w:rPr>
        <w:t xml:space="preserve"> (</w:t>
      </w:r>
      <w:r w:rsidR="003A21F6" w:rsidRPr="002C0B4F">
        <w:rPr>
          <w:rFonts w:ascii="Aptos" w:hAnsi="Aptos" w:cs="Tahoma"/>
        </w:rPr>
        <w:t>https://www.energy.ca.gov/solicitations/2026-05/rfq-25-401-energy-code-compliance-evaluation-support</w:t>
      </w:r>
      <w:r w:rsidRPr="002C0B4F">
        <w:rPr>
          <w:rFonts w:ascii="Aptos" w:hAnsi="Aptos" w:cs="Tahoma"/>
        </w:rPr>
        <w:t>).</w:t>
      </w:r>
      <w:r w:rsidR="003A21F6" w:rsidRPr="002C0B4F">
        <w:rPr>
          <w:rFonts w:ascii="Aptos" w:hAnsi="Aptos" w:cs="Tahoma"/>
        </w:rPr>
        <w:t xml:space="preserve"> It is also available on the </w:t>
      </w:r>
      <w:hyperlink r:id="rId12" w:history="1">
        <w:r w:rsidR="003A21F6" w:rsidRPr="002C0B4F">
          <w:rPr>
            <w:rStyle w:val="Hyperlink"/>
            <w:rFonts w:ascii="Aptos" w:hAnsi="Aptos" w:cs="Tahoma"/>
          </w:rPr>
          <w:t>RFQ-25-401 pre-bid conference webpage</w:t>
        </w:r>
      </w:hyperlink>
      <w:r w:rsidR="003A21F6" w:rsidRPr="002C0B4F">
        <w:rPr>
          <w:rFonts w:ascii="Aptos" w:hAnsi="Aptos" w:cs="Tahoma"/>
        </w:rPr>
        <w:t xml:space="preserve"> under “Presentation” (https://www.energy.ca.gov/event/2026-05/pre-bid-conference-rfq-25-401-energy-code-compliance-evaluation-support).</w:t>
      </w:r>
    </w:p>
    <w:p w14:paraId="4E281687" w14:textId="61E12CA4" w:rsidR="00F06944" w:rsidRPr="002C0B4F" w:rsidRDefault="00F06944" w:rsidP="004F0931">
      <w:pPr>
        <w:spacing w:before="120" w:after="120" w:line="259" w:lineRule="auto"/>
        <w:ind w:left="720" w:hanging="720"/>
        <w:rPr>
          <w:rFonts w:ascii="Aptos" w:hAnsi="Aptos" w:cs="Tahoma"/>
          <w:b/>
          <w:bCs/>
        </w:rPr>
      </w:pPr>
      <w:r w:rsidRPr="002C0B4F">
        <w:rPr>
          <w:rFonts w:ascii="Aptos" w:hAnsi="Aptos" w:cs="Tahoma"/>
          <w:b/>
          <w:bCs/>
        </w:rPr>
        <w:t>Q2:</w:t>
      </w:r>
      <w:r w:rsidR="00DD21E2" w:rsidRPr="002C0B4F">
        <w:rPr>
          <w:rFonts w:ascii="Aptos" w:hAnsi="Aptos" w:cs="Tahoma"/>
          <w:b/>
          <w:bCs/>
        </w:rPr>
        <w:tab/>
      </w:r>
      <w:r w:rsidRPr="002C0B4F">
        <w:rPr>
          <w:rFonts w:ascii="Aptos" w:hAnsi="Aptos" w:cs="Tahoma"/>
          <w:b/>
          <w:bCs/>
        </w:rPr>
        <w:t>Is the Zoom recording of the pre-bid conference available to participants?</w:t>
      </w:r>
    </w:p>
    <w:p w14:paraId="72F50FA8" w14:textId="57C891D7" w:rsidR="00F06944" w:rsidRPr="002C0B4F" w:rsidRDefault="00F06944" w:rsidP="004F0931">
      <w:pPr>
        <w:spacing w:before="120" w:after="120" w:line="259" w:lineRule="auto"/>
        <w:ind w:left="720" w:hanging="720"/>
        <w:rPr>
          <w:rFonts w:ascii="Aptos" w:hAnsi="Aptos" w:cs="Tahoma"/>
        </w:rPr>
      </w:pPr>
      <w:r w:rsidRPr="002C0B4F">
        <w:rPr>
          <w:rFonts w:ascii="Aptos" w:hAnsi="Aptos" w:cs="Tahoma"/>
        </w:rPr>
        <w:t>A2:</w:t>
      </w:r>
      <w:r w:rsidRPr="002C0B4F">
        <w:rPr>
          <w:rFonts w:ascii="Aptos" w:hAnsi="Aptos" w:cs="Tahoma"/>
        </w:rPr>
        <w:tab/>
        <w:t xml:space="preserve">Yes, the Zoom recording of the pre-bid conference is available on the </w:t>
      </w:r>
      <w:hyperlink r:id="rId13" w:history="1">
        <w:r w:rsidRPr="002C0B4F">
          <w:rPr>
            <w:rStyle w:val="Hyperlink"/>
            <w:rFonts w:ascii="Aptos" w:hAnsi="Aptos" w:cs="Tahoma"/>
          </w:rPr>
          <w:t>RFQ-25-401 pre-bid conference webpage</w:t>
        </w:r>
      </w:hyperlink>
      <w:r w:rsidRPr="002C0B4F">
        <w:rPr>
          <w:rFonts w:ascii="Aptos" w:hAnsi="Aptos" w:cs="Tahoma"/>
        </w:rPr>
        <w:t xml:space="preserve"> </w:t>
      </w:r>
      <w:r w:rsidR="00A05ED7" w:rsidRPr="002C0B4F">
        <w:rPr>
          <w:rFonts w:ascii="Aptos" w:hAnsi="Aptos" w:cs="Tahoma"/>
        </w:rPr>
        <w:t xml:space="preserve">under “Event Recording” </w:t>
      </w:r>
      <w:r w:rsidRPr="002C0B4F">
        <w:rPr>
          <w:rFonts w:ascii="Aptos" w:hAnsi="Aptos" w:cs="Tahoma"/>
        </w:rPr>
        <w:t>(</w:t>
      </w:r>
      <w:r w:rsidR="00AD24B4" w:rsidRPr="002C0B4F">
        <w:rPr>
          <w:rFonts w:ascii="Aptos" w:hAnsi="Aptos" w:cs="Tahoma"/>
        </w:rPr>
        <w:t>https://www.energy.ca.gov/event/2026-05/pre-bid-conference-rfq-25-401-energy-code-compliance-evaluation-support</w:t>
      </w:r>
      <w:r w:rsidRPr="002C0B4F">
        <w:rPr>
          <w:rFonts w:ascii="Aptos" w:hAnsi="Aptos" w:cs="Tahoma"/>
        </w:rPr>
        <w:t>).</w:t>
      </w:r>
    </w:p>
    <w:p w14:paraId="421E3F5A" w14:textId="690863F0" w:rsidR="00D62767" w:rsidRPr="002C0B4F" w:rsidRDefault="00D62767" w:rsidP="004F0931">
      <w:pPr>
        <w:spacing w:before="120" w:after="120" w:line="259" w:lineRule="auto"/>
        <w:ind w:left="720" w:hanging="720"/>
        <w:rPr>
          <w:rFonts w:ascii="Aptos" w:hAnsi="Aptos" w:cs="Tahoma"/>
          <w:b/>
          <w:bCs/>
        </w:rPr>
      </w:pPr>
      <w:r w:rsidRPr="002C0B4F">
        <w:rPr>
          <w:rFonts w:ascii="Aptos" w:hAnsi="Aptos" w:cs="Tahoma"/>
          <w:b/>
          <w:bCs/>
        </w:rPr>
        <w:t>Q</w:t>
      </w:r>
      <w:r w:rsidR="00BB19F5" w:rsidRPr="002C0B4F">
        <w:rPr>
          <w:rFonts w:ascii="Aptos" w:hAnsi="Aptos" w:cs="Tahoma"/>
          <w:b/>
          <w:bCs/>
        </w:rPr>
        <w:t>3</w:t>
      </w:r>
      <w:r w:rsidRPr="002C0B4F">
        <w:rPr>
          <w:rFonts w:ascii="Aptos" w:hAnsi="Aptos" w:cs="Tahoma"/>
          <w:b/>
          <w:bCs/>
        </w:rPr>
        <w:t>:</w:t>
      </w:r>
      <w:r w:rsidR="00DD21E2" w:rsidRPr="002C0B4F">
        <w:rPr>
          <w:rFonts w:ascii="Aptos" w:hAnsi="Aptos" w:cs="Tahoma"/>
          <w:b/>
          <w:bCs/>
        </w:rPr>
        <w:tab/>
      </w:r>
      <w:r w:rsidR="00E03268" w:rsidRPr="002C0B4F">
        <w:rPr>
          <w:rFonts w:ascii="Aptos" w:hAnsi="Aptos" w:cs="Tahoma"/>
          <w:b/>
          <w:bCs/>
        </w:rPr>
        <w:t>How can I get a copy of</w:t>
      </w:r>
      <w:r w:rsidRPr="002C0B4F">
        <w:rPr>
          <w:rFonts w:ascii="Aptos" w:hAnsi="Aptos" w:cs="Tahoma"/>
          <w:b/>
          <w:bCs/>
        </w:rPr>
        <w:t xml:space="preserve"> the pre-bid conference </w:t>
      </w:r>
      <w:r w:rsidR="00E03268" w:rsidRPr="002C0B4F">
        <w:rPr>
          <w:rFonts w:ascii="Aptos" w:hAnsi="Aptos" w:cs="Tahoma"/>
          <w:b/>
          <w:bCs/>
        </w:rPr>
        <w:t>attendee list</w:t>
      </w:r>
      <w:r w:rsidRPr="002C0B4F">
        <w:rPr>
          <w:rFonts w:ascii="Aptos" w:hAnsi="Aptos" w:cs="Tahoma"/>
          <w:b/>
          <w:bCs/>
        </w:rPr>
        <w:t>?</w:t>
      </w:r>
    </w:p>
    <w:p w14:paraId="6F2F77FC" w14:textId="77777777" w:rsidR="00776537" w:rsidRPr="002C0B4F" w:rsidRDefault="00D62767" w:rsidP="004F0931">
      <w:pPr>
        <w:spacing w:before="120" w:after="120" w:line="259" w:lineRule="auto"/>
        <w:ind w:left="720" w:hanging="720"/>
        <w:rPr>
          <w:rFonts w:ascii="Aptos" w:hAnsi="Aptos" w:cs="Tahoma"/>
        </w:rPr>
      </w:pPr>
      <w:r w:rsidRPr="002C0B4F">
        <w:rPr>
          <w:rFonts w:ascii="Aptos" w:hAnsi="Aptos" w:cs="Tahoma"/>
        </w:rPr>
        <w:t>A</w:t>
      </w:r>
      <w:r w:rsidR="00BB19F5" w:rsidRPr="002C0B4F">
        <w:rPr>
          <w:rFonts w:ascii="Aptos" w:hAnsi="Aptos" w:cs="Tahoma"/>
        </w:rPr>
        <w:t>3</w:t>
      </w:r>
      <w:r w:rsidRPr="002C0B4F">
        <w:rPr>
          <w:rFonts w:ascii="Aptos" w:hAnsi="Aptos" w:cs="Tahoma"/>
        </w:rPr>
        <w:t>:</w:t>
      </w:r>
      <w:r w:rsidRPr="002C0B4F">
        <w:rPr>
          <w:rFonts w:ascii="Aptos" w:hAnsi="Aptos" w:cs="Tahoma"/>
        </w:rPr>
        <w:tab/>
      </w:r>
      <w:r w:rsidR="00F877C4" w:rsidRPr="002C0B4F">
        <w:rPr>
          <w:rFonts w:ascii="Aptos" w:hAnsi="Aptos" w:cs="Tahoma"/>
        </w:rPr>
        <w:t>Due to security reasons, t</w:t>
      </w:r>
      <w:r w:rsidR="00632532" w:rsidRPr="002C0B4F">
        <w:rPr>
          <w:rFonts w:ascii="Aptos" w:hAnsi="Aptos" w:cs="Tahoma"/>
        </w:rPr>
        <w:t xml:space="preserve">he CEC </w:t>
      </w:r>
      <w:r w:rsidR="00776537" w:rsidRPr="002C0B4F">
        <w:rPr>
          <w:rFonts w:ascii="Aptos" w:hAnsi="Aptos" w:cs="Tahoma"/>
        </w:rPr>
        <w:t>is unable to</w:t>
      </w:r>
      <w:r w:rsidR="00632532" w:rsidRPr="002C0B4F">
        <w:rPr>
          <w:rFonts w:ascii="Aptos" w:hAnsi="Aptos" w:cs="Tahoma"/>
        </w:rPr>
        <w:t xml:space="preserve"> post the attendee list to the solicitation webpage. </w:t>
      </w:r>
      <w:r w:rsidR="00E03268" w:rsidRPr="002C0B4F">
        <w:rPr>
          <w:rFonts w:ascii="Aptos" w:hAnsi="Aptos" w:cs="Tahoma"/>
        </w:rPr>
        <w:t xml:space="preserve">Please </w:t>
      </w:r>
      <w:r w:rsidR="00A029A3" w:rsidRPr="002C0B4F">
        <w:rPr>
          <w:rFonts w:ascii="Aptos" w:hAnsi="Aptos" w:cs="Tahoma"/>
        </w:rPr>
        <w:t>email</w:t>
      </w:r>
      <w:r w:rsidR="00E03268" w:rsidRPr="002C0B4F">
        <w:rPr>
          <w:rFonts w:ascii="Aptos" w:hAnsi="Aptos" w:cs="Tahoma"/>
        </w:rPr>
        <w:t xml:space="preserve"> the </w:t>
      </w:r>
      <w:r w:rsidR="00776537" w:rsidRPr="002C0B4F">
        <w:rPr>
          <w:rFonts w:ascii="Aptos" w:hAnsi="Aptos" w:cs="Tahoma"/>
        </w:rPr>
        <w:t xml:space="preserve">Commission Agreement Officer </w:t>
      </w:r>
      <w:hyperlink r:id="rId14" w:history="1">
        <w:r w:rsidR="00776537" w:rsidRPr="002C0B4F">
          <w:rPr>
            <w:rStyle w:val="Hyperlink"/>
            <w:rFonts w:ascii="Aptos" w:hAnsi="Aptos" w:cs="Tahoma"/>
          </w:rPr>
          <w:t>Diana Grady</w:t>
        </w:r>
      </w:hyperlink>
      <w:r w:rsidR="00776537" w:rsidRPr="002C0B4F">
        <w:rPr>
          <w:rFonts w:ascii="Aptos" w:hAnsi="Aptos" w:cs="Tahoma"/>
        </w:rPr>
        <w:t xml:space="preserve"> (diana.grady@energy.ca.gov)</w:t>
      </w:r>
      <w:r w:rsidR="00E03268" w:rsidRPr="002C0B4F">
        <w:rPr>
          <w:rFonts w:ascii="Aptos" w:hAnsi="Aptos" w:cs="Tahoma"/>
        </w:rPr>
        <w:t xml:space="preserve"> </w:t>
      </w:r>
      <w:r w:rsidR="00A029A3" w:rsidRPr="002C0B4F">
        <w:rPr>
          <w:rFonts w:ascii="Aptos" w:hAnsi="Aptos" w:cs="Tahoma"/>
        </w:rPr>
        <w:t>to request a copy of the pre-bid conference attendee lis</w:t>
      </w:r>
      <w:r w:rsidR="00CC3584" w:rsidRPr="002C0B4F">
        <w:rPr>
          <w:rFonts w:ascii="Aptos" w:hAnsi="Aptos" w:cs="Tahoma"/>
        </w:rPr>
        <w:t>t. Make sure to i</w:t>
      </w:r>
      <w:r w:rsidR="00776537" w:rsidRPr="002C0B4F">
        <w:rPr>
          <w:rFonts w:ascii="Aptos" w:hAnsi="Aptos" w:cs="Tahoma"/>
        </w:rPr>
        <w:t>nclude the solicitation number RFQ-25-401 in the subject line.</w:t>
      </w:r>
      <w:r w:rsidR="00632532" w:rsidRPr="002C0B4F">
        <w:rPr>
          <w:rFonts w:ascii="Aptos" w:hAnsi="Aptos" w:cs="Tahoma"/>
        </w:rPr>
        <w:t xml:space="preserve"> </w:t>
      </w:r>
    </w:p>
    <w:p w14:paraId="7835DADF" w14:textId="056B4CC2" w:rsidR="00BD2CC9" w:rsidRPr="002C0B4F" w:rsidRDefault="00BD2CC9" w:rsidP="004F0931">
      <w:pPr>
        <w:spacing w:before="120" w:after="120" w:line="259" w:lineRule="auto"/>
        <w:ind w:left="720" w:hanging="720"/>
        <w:rPr>
          <w:rFonts w:ascii="Aptos" w:eastAsia="Times New Roman" w:hAnsi="Aptos" w:cs="Tahoma"/>
          <w:b/>
          <w:bCs/>
        </w:rPr>
      </w:pPr>
      <w:r w:rsidRPr="002C0B4F">
        <w:rPr>
          <w:rFonts w:ascii="Aptos" w:eastAsia="Times New Roman" w:hAnsi="Aptos" w:cs="Tahoma"/>
          <w:b/>
          <w:bCs/>
        </w:rPr>
        <w:t>Q</w:t>
      </w:r>
      <w:r w:rsidR="00464F75" w:rsidRPr="002C0B4F">
        <w:rPr>
          <w:rFonts w:ascii="Aptos" w:eastAsia="Times New Roman" w:hAnsi="Aptos" w:cs="Tahoma"/>
          <w:b/>
          <w:bCs/>
        </w:rPr>
        <w:t>4</w:t>
      </w:r>
      <w:r w:rsidRPr="002C0B4F">
        <w:rPr>
          <w:rFonts w:ascii="Aptos" w:eastAsia="Times New Roman" w:hAnsi="Aptos" w:cs="Tahoma"/>
          <w:b/>
          <w:bCs/>
        </w:rPr>
        <w:t>:</w:t>
      </w:r>
      <w:r w:rsidRPr="002C0B4F">
        <w:rPr>
          <w:rFonts w:ascii="Aptos" w:eastAsia="Times New Roman" w:hAnsi="Aptos" w:cs="Tahoma"/>
          <w:b/>
          <w:bCs/>
        </w:rPr>
        <w:tab/>
        <w:t xml:space="preserve">Are questions asked during the pre-bid conference documented in the written Questions &amp; Answers (Q&amp;A) document? </w:t>
      </w:r>
    </w:p>
    <w:p w14:paraId="46C067C4" w14:textId="77777777" w:rsidR="00BD2CC9" w:rsidRDefault="00BD2CC9" w:rsidP="004F0931">
      <w:pPr>
        <w:spacing w:before="120" w:after="120" w:line="259" w:lineRule="auto"/>
        <w:ind w:left="720" w:hanging="720"/>
        <w:rPr>
          <w:rFonts w:ascii="Aptos" w:eastAsia="Times New Roman" w:hAnsi="Aptos" w:cs="Tahoma"/>
        </w:rPr>
      </w:pPr>
      <w:r w:rsidRPr="002C0B4F">
        <w:rPr>
          <w:rFonts w:ascii="Aptos" w:eastAsia="Times New Roman" w:hAnsi="Aptos" w:cs="Tahoma"/>
        </w:rPr>
        <w:t>A</w:t>
      </w:r>
      <w:r w:rsidR="00464F75" w:rsidRPr="002C0B4F">
        <w:rPr>
          <w:rFonts w:ascii="Aptos" w:eastAsia="Times New Roman" w:hAnsi="Aptos" w:cs="Tahoma"/>
        </w:rPr>
        <w:t>4</w:t>
      </w:r>
      <w:r w:rsidRPr="002C0B4F">
        <w:rPr>
          <w:rFonts w:ascii="Aptos" w:eastAsia="Times New Roman" w:hAnsi="Aptos" w:cs="Tahoma"/>
        </w:rPr>
        <w:t>:</w:t>
      </w:r>
      <w:r w:rsidRPr="002C0B4F">
        <w:rPr>
          <w:rFonts w:ascii="Aptos" w:eastAsia="Times New Roman" w:hAnsi="Aptos" w:cs="Tahoma"/>
          <w:b/>
          <w:bCs/>
        </w:rPr>
        <w:tab/>
      </w:r>
      <w:r w:rsidRPr="002C0B4F">
        <w:rPr>
          <w:rFonts w:ascii="Aptos" w:eastAsia="Times New Roman" w:hAnsi="Aptos" w:cs="Tahoma"/>
        </w:rPr>
        <w:t>Yes, questions asked during the pre-bid conference are documented in this written Q&amp;A document.</w:t>
      </w:r>
    </w:p>
    <w:p w14:paraId="492E2A0C" w14:textId="77777777" w:rsidR="00B87787" w:rsidRDefault="00B87787" w:rsidP="004F0931">
      <w:pPr>
        <w:spacing w:before="120" w:after="120" w:line="259" w:lineRule="auto"/>
        <w:ind w:left="720" w:hanging="720"/>
        <w:rPr>
          <w:rFonts w:ascii="Aptos" w:eastAsia="Times New Roman" w:hAnsi="Aptos" w:cs="Tahoma"/>
        </w:rPr>
      </w:pPr>
    </w:p>
    <w:p w14:paraId="7BA7E591" w14:textId="77777777" w:rsidR="00B87787" w:rsidRDefault="00B87787" w:rsidP="004F0931">
      <w:pPr>
        <w:spacing w:before="120" w:after="120" w:line="259" w:lineRule="auto"/>
        <w:ind w:left="720" w:hanging="720"/>
        <w:rPr>
          <w:rFonts w:ascii="Aptos" w:eastAsia="Times New Roman" w:hAnsi="Aptos" w:cs="Tahoma"/>
        </w:rPr>
      </w:pPr>
    </w:p>
    <w:p w14:paraId="73C2E162" w14:textId="77777777" w:rsidR="000F4078" w:rsidRPr="002C0B4F" w:rsidRDefault="000F4078" w:rsidP="00A41F08">
      <w:pPr>
        <w:pStyle w:val="Heading3"/>
        <w:rPr>
          <w:rFonts w:ascii="Aptos" w:eastAsia="Times New Roman" w:hAnsi="Aptos" w:cs="Tahoma"/>
          <w:b/>
          <w:bCs/>
          <w:color w:val="3C6AA2"/>
        </w:rPr>
      </w:pPr>
      <w:r w:rsidRPr="002C0B4F">
        <w:rPr>
          <w:rFonts w:ascii="Aptos" w:eastAsia="Times New Roman" w:hAnsi="Aptos" w:cs="Tahoma"/>
          <w:b/>
          <w:bCs/>
          <w:color w:val="3C6AA2"/>
        </w:rPr>
        <w:lastRenderedPageBreak/>
        <w:t xml:space="preserve">Due Date / Schedule Questions </w:t>
      </w:r>
    </w:p>
    <w:p w14:paraId="164D7559" w14:textId="3A785ECB" w:rsidR="000F4078" w:rsidRPr="002C0B4F" w:rsidRDefault="000F4078" w:rsidP="004F0931">
      <w:pPr>
        <w:spacing w:before="120" w:after="120" w:line="259" w:lineRule="auto"/>
        <w:ind w:left="720" w:hanging="720"/>
        <w:rPr>
          <w:rFonts w:ascii="Aptos" w:hAnsi="Aptos" w:cs="Tahoma"/>
          <w:b/>
          <w:bCs/>
        </w:rPr>
      </w:pPr>
      <w:r w:rsidRPr="002C0B4F">
        <w:rPr>
          <w:rFonts w:ascii="Aptos" w:hAnsi="Aptos" w:cs="Tahoma"/>
          <w:b/>
          <w:bCs/>
        </w:rPr>
        <w:t>Q</w:t>
      </w:r>
      <w:r w:rsidR="00593CA4" w:rsidRPr="002C0B4F">
        <w:rPr>
          <w:rFonts w:ascii="Aptos" w:hAnsi="Aptos" w:cs="Tahoma"/>
          <w:b/>
          <w:bCs/>
        </w:rPr>
        <w:t>5</w:t>
      </w:r>
      <w:r w:rsidRPr="002C0B4F">
        <w:rPr>
          <w:rFonts w:ascii="Aptos" w:hAnsi="Aptos" w:cs="Tahoma"/>
          <w:b/>
          <w:bCs/>
        </w:rPr>
        <w:t>:</w:t>
      </w:r>
      <w:r w:rsidR="00DD21E2" w:rsidRPr="002C0B4F">
        <w:rPr>
          <w:rFonts w:ascii="Aptos" w:hAnsi="Aptos" w:cs="Tahoma"/>
          <w:b/>
          <w:bCs/>
        </w:rPr>
        <w:tab/>
      </w:r>
      <w:r w:rsidRPr="002C0B4F">
        <w:rPr>
          <w:rFonts w:ascii="Aptos" w:hAnsi="Aptos" w:cs="Tahoma"/>
          <w:b/>
          <w:bCs/>
        </w:rPr>
        <w:t xml:space="preserve">Can the </w:t>
      </w:r>
      <w:r w:rsidR="00B65A20" w:rsidRPr="002C0B4F">
        <w:rPr>
          <w:rFonts w:ascii="Aptos" w:hAnsi="Aptos" w:cs="Tahoma"/>
          <w:b/>
          <w:bCs/>
        </w:rPr>
        <w:t>Statement of Qualifications (</w:t>
      </w:r>
      <w:r w:rsidRPr="002C0B4F">
        <w:rPr>
          <w:rFonts w:ascii="Aptos" w:hAnsi="Aptos" w:cs="Tahoma"/>
          <w:b/>
          <w:bCs/>
        </w:rPr>
        <w:t>SOQ</w:t>
      </w:r>
      <w:r w:rsidR="00B65A20" w:rsidRPr="002C0B4F">
        <w:rPr>
          <w:rFonts w:ascii="Aptos" w:hAnsi="Aptos" w:cs="Tahoma"/>
          <w:b/>
          <w:bCs/>
        </w:rPr>
        <w:t>)</w:t>
      </w:r>
      <w:r w:rsidRPr="002C0B4F">
        <w:rPr>
          <w:rFonts w:ascii="Aptos" w:hAnsi="Aptos" w:cs="Tahoma"/>
          <w:b/>
          <w:bCs/>
        </w:rPr>
        <w:t xml:space="preserve"> submission deadline be extended? </w:t>
      </w:r>
    </w:p>
    <w:p w14:paraId="349B9DD7" w14:textId="3B3F6C64" w:rsidR="000F4078" w:rsidRPr="002C0B4F" w:rsidRDefault="000F4078" w:rsidP="004F0931">
      <w:pPr>
        <w:spacing w:before="120" w:after="120" w:line="259" w:lineRule="auto"/>
        <w:ind w:left="720" w:hanging="720"/>
        <w:rPr>
          <w:rFonts w:ascii="Aptos" w:hAnsi="Aptos" w:cs="Tahoma"/>
        </w:rPr>
      </w:pPr>
      <w:r w:rsidRPr="002C0B4F">
        <w:rPr>
          <w:rFonts w:ascii="Aptos" w:hAnsi="Aptos" w:cs="Tahoma"/>
        </w:rPr>
        <w:t>A</w:t>
      </w:r>
      <w:r w:rsidR="00593CA4" w:rsidRPr="002C0B4F">
        <w:rPr>
          <w:rFonts w:ascii="Aptos" w:hAnsi="Aptos" w:cs="Tahoma"/>
        </w:rPr>
        <w:t>5</w:t>
      </w:r>
      <w:r w:rsidRPr="002C0B4F">
        <w:rPr>
          <w:rFonts w:ascii="Aptos" w:hAnsi="Aptos" w:cs="Tahoma"/>
        </w:rPr>
        <w:t>:</w:t>
      </w:r>
      <w:r w:rsidR="00DD21E2" w:rsidRPr="002C0B4F">
        <w:rPr>
          <w:rFonts w:ascii="Aptos" w:hAnsi="Aptos" w:cs="Tahoma"/>
        </w:rPr>
        <w:tab/>
      </w:r>
      <w:r w:rsidRPr="002C0B4F">
        <w:rPr>
          <w:rFonts w:ascii="Aptos" w:hAnsi="Aptos" w:cs="Tahoma"/>
        </w:rPr>
        <w:t xml:space="preserve">No, the SOQ </w:t>
      </w:r>
      <w:r w:rsidR="00731D5E" w:rsidRPr="002C0B4F">
        <w:rPr>
          <w:rFonts w:ascii="Aptos" w:hAnsi="Aptos" w:cs="Tahoma"/>
        </w:rPr>
        <w:t xml:space="preserve">submission </w:t>
      </w:r>
      <w:r w:rsidRPr="002C0B4F">
        <w:rPr>
          <w:rFonts w:ascii="Aptos" w:hAnsi="Aptos" w:cs="Tahoma"/>
        </w:rPr>
        <w:t xml:space="preserve">deadline cannot be extended. Due to the length of the Scope of Work (SOW), the CEC </w:t>
      </w:r>
      <w:r w:rsidR="00536CFD" w:rsidRPr="002C0B4F">
        <w:rPr>
          <w:rFonts w:ascii="Aptos" w:hAnsi="Aptos" w:cs="Tahoma"/>
        </w:rPr>
        <w:t xml:space="preserve">allotted additional time </w:t>
      </w:r>
      <w:r w:rsidRPr="002C0B4F">
        <w:rPr>
          <w:rFonts w:ascii="Aptos" w:hAnsi="Aptos" w:cs="Tahoma"/>
        </w:rPr>
        <w:t>between the release of the solicitation and SOQ submission deadline. To ensure the agreement resulting from this solicitation is executed on time (CEC aims to have a fully executed contract by January 1, 2027), the submission deadline cannot be extended.</w:t>
      </w:r>
    </w:p>
    <w:p w14:paraId="083A4A24" w14:textId="06D236E1" w:rsidR="00BB19F5" w:rsidRPr="00A41F08" w:rsidRDefault="00BB19F5" w:rsidP="00A41F08">
      <w:pPr>
        <w:pStyle w:val="Heading3"/>
        <w:rPr>
          <w:rFonts w:ascii="Aptos" w:eastAsia="Times New Roman" w:hAnsi="Aptos" w:cs="Tahoma"/>
          <w:b/>
          <w:bCs/>
          <w:color w:val="3C6AA2"/>
        </w:rPr>
      </w:pPr>
      <w:r w:rsidRPr="002C0B4F">
        <w:rPr>
          <w:rFonts w:ascii="Aptos" w:eastAsia="Times New Roman" w:hAnsi="Aptos" w:cs="Tahoma"/>
          <w:b/>
          <w:bCs/>
          <w:color w:val="3C6AA2"/>
        </w:rPr>
        <w:t>General / Administrative Questions</w:t>
      </w:r>
    </w:p>
    <w:p w14:paraId="0E2DF0DD" w14:textId="114E77D0" w:rsidR="00563F10" w:rsidRPr="002C0B4F" w:rsidRDefault="00563F10" w:rsidP="004F0931">
      <w:pPr>
        <w:spacing w:before="120" w:after="120" w:line="259" w:lineRule="auto"/>
        <w:ind w:left="720" w:hanging="720"/>
        <w:rPr>
          <w:rFonts w:ascii="Aptos" w:hAnsi="Aptos" w:cs="Tahoma"/>
          <w:b/>
          <w:bCs/>
        </w:rPr>
      </w:pPr>
      <w:r w:rsidRPr="002C0B4F">
        <w:rPr>
          <w:rFonts w:ascii="Aptos" w:hAnsi="Aptos" w:cs="Tahoma"/>
          <w:b/>
          <w:bCs/>
        </w:rPr>
        <w:t>Q</w:t>
      </w:r>
      <w:r w:rsidR="00593CA4" w:rsidRPr="002C0B4F">
        <w:rPr>
          <w:rFonts w:ascii="Aptos" w:hAnsi="Aptos" w:cs="Tahoma"/>
          <w:b/>
          <w:bCs/>
        </w:rPr>
        <w:t>6</w:t>
      </w:r>
      <w:r w:rsidRPr="002C0B4F">
        <w:rPr>
          <w:rFonts w:ascii="Aptos" w:hAnsi="Aptos" w:cs="Tahoma"/>
          <w:b/>
          <w:bCs/>
        </w:rPr>
        <w:t>:</w:t>
      </w:r>
      <w:r w:rsidRPr="002C0B4F">
        <w:rPr>
          <w:rFonts w:ascii="Aptos" w:hAnsi="Aptos" w:cs="Tahoma"/>
          <w:b/>
          <w:bCs/>
        </w:rPr>
        <w:tab/>
        <w:t xml:space="preserve">What changes were made via Addendum 1 </w:t>
      </w:r>
      <w:r w:rsidR="00EE5874" w:rsidRPr="002C0B4F">
        <w:rPr>
          <w:rFonts w:ascii="Aptos" w:hAnsi="Aptos" w:cs="Tahoma"/>
          <w:b/>
          <w:bCs/>
        </w:rPr>
        <w:t>posted</w:t>
      </w:r>
      <w:r w:rsidRPr="002C0B4F">
        <w:rPr>
          <w:rFonts w:ascii="Aptos" w:hAnsi="Aptos" w:cs="Tahoma"/>
          <w:b/>
          <w:bCs/>
        </w:rPr>
        <w:t xml:space="preserve"> on </w:t>
      </w:r>
      <w:r w:rsidR="007F24A7" w:rsidRPr="002C0B4F">
        <w:rPr>
          <w:rFonts w:ascii="Aptos" w:hAnsi="Aptos" w:cs="Tahoma"/>
          <w:b/>
          <w:bCs/>
        </w:rPr>
        <w:t>May 27, 2026</w:t>
      </w:r>
      <w:r w:rsidRPr="002C0B4F">
        <w:rPr>
          <w:rFonts w:ascii="Aptos" w:hAnsi="Aptos" w:cs="Tahoma"/>
          <w:b/>
          <w:bCs/>
        </w:rPr>
        <w:t>?</w:t>
      </w:r>
    </w:p>
    <w:p w14:paraId="137E1A0A" w14:textId="6785E8A3" w:rsidR="00563F10" w:rsidRPr="002C0B4F" w:rsidRDefault="00563F10" w:rsidP="004F0931">
      <w:pPr>
        <w:spacing w:before="120" w:after="120" w:line="259" w:lineRule="auto"/>
        <w:ind w:left="720" w:hanging="720"/>
        <w:rPr>
          <w:rFonts w:ascii="Aptos" w:hAnsi="Aptos" w:cs="Tahoma"/>
        </w:rPr>
      </w:pPr>
      <w:r w:rsidRPr="002C0B4F">
        <w:rPr>
          <w:rFonts w:ascii="Aptos" w:hAnsi="Aptos" w:cs="Tahoma"/>
        </w:rPr>
        <w:t>A</w:t>
      </w:r>
      <w:r w:rsidR="00593CA4" w:rsidRPr="002C0B4F">
        <w:rPr>
          <w:rFonts w:ascii="Aptos" w:hAnsi="Aptos" w:cs="Tahoma"/>
        </w:rPr>
        <w:t>6</w:t>
      </w:r>
      <w:r w:rsidRPr="002C0B4F">
        <w:rPr>
          <w:rFonts w:ascii="Aptos" w:hAnsi="Aptos" w:cs="Tahoma"/>
        </w:rPr>
        <w:t>:</w:t>
      </w:r>
      <w:r w:rsidRPr="002C0B4F">
        <w:rPr>
          <w:rFonts w:ascii="Aptos" w:hAnsi="Aptos" w:cs="Tahoma"/>
        </w:rPr>
        <w:tab/>
        <w:t xml:space="preserve">Addendum 1 corrected minor errors in the solicitation manual and Attachment 6, Standard Agreement Example. A cover letter detailing all changes is available on the </w:t>
      </w:r>
      <w:hyperlink r:id="rId15" w:history="1">
        <w:r w:rsidRPr="002C0B4F">
          <w:rPr>
            <w:rStyle w:val="Hyperlink"/>
            <w:rFonts w:ascii="Aptos" w:hAnsi="Aptos" w:cs="Tahoma"/>
          </w:rPr>
          <w:t>RFQ-25-401 solicitation webpage</w:t>
        </w:r>
      </w:hyperlink>
      <w:r w:rsidRPr="002C0B4F">
        <w:rPr>
          <w:rFonts w:ascii="Aptos" w:hAnsi="Aptos" w:cs="Tahoma"/>
        </w:rPr>
        <w:t xml:space="preserve"> (https://www.energy.ca.gov/solicitations/2026-05/rfq-25-401-energy-code-compliance-evaluation-support).</w:t>
      </w:r>
    </w:p>
    <w:p w14:paraId="0EB3EFF6" w14:textId="37FAA317" w:rsidR="00221CC9" w:rsidRPr="002C0B4F" w:rsidRDefault="00221CC9" w:rsidP="004F0931">
      <w:pPr>
        <w:spacing w:before="120" w:after="120" w:line="259" w:lineRule="auto"/>
        <w:ind w:left="720" w:hanging="720"/>
        <w:rPr>
          <w:rFonts w:ascii="Aptos" w:hAnsi="Aptos" w:cs="Tahoma"/>
          <w:b/>
          <w:bCs/>
        </w:rPr>
      </w:pPr>
      <w:r w:rsidRPr="002C0B4F">
        <w:rPr>
          <w:rFonts w:ascii="Aptos" w:hAnsi="Aptos" w:cs="Tahoma"/>
          <w:b/>
          <w:bCs/>
        </w:rPr>
        <w:t>Q</w:t>
      </w:r>
      <w:r w:rsidR="00593CA4" w:rsidRPr="002C0B4F">
        <w:rPr>
          <w:rFonts w:ascii="Aptos" w:hAnsi="Aptos" w:cs="Tahoma"/>
          <w:b/>
          <w:bCs/>
        </w:rPr>
        <w:t>7</w:t>
      </w:r>
      <w:r w:rsidRPr="002C0B4F">
        <w:rPr>
          <w:rFonts w:ascii="Aptos" w:hAnsi="Aptos" w:cs="Tahoma"/>
          <w:b/>
          <w:bCs/>
        </w:rPr>
        <w:t>:</w:t>
      </w:r>
      <w:r w:rsidRPr="002C0B4F">
        <w:rPr>
          <w:rFonts w:ascii="Aptos" w:hAnsi="Aptos" w:cs="Tahoma"/>
          <w:b/>
          <w:bCs/>
        </w:rPr>
        <w:tab/>
        <w:t>In the Background Summary section located on pages 10-11 of the solicitation manual, it states there are seven building categories, but only six categories were listed. Were newly constructed nonresidential buildings also intended to be included?</w:t>
      </w:r>
    </w:p>
    <w:p w14:paraId="6F44E7C6" w14:textId="5AD9365F" w:rsidR="00221CC9" w:rsidRPr="002C0B4F" w:rsidRDefault="00221CC9" w:rsidP="004F0931">
      <w:pPr>
        <w:spacing w:before="120" w:after="120" w:line="259" w:lineRule="auto"/>
        <w:ind w:left="720" w:hanging="720"/>
        <w:rPr>
          <w:rFonts w:ascii="Aptos" w:hAnsi="Aptos" w:cs="Tahoma"/>
        </w:rPr>
      </w:pPr>
      <w:r w:rsidRPr="002C0B4F">
        <w:rPr>
          <w:rFonts w:ascii="Aptos" w:hAnsi="Aptos" w:cs="Tahoma"/>
        </w:rPr>
        <w:t>A</w:t>
      </w:r>
      <w:r w:rsidR="00593CA4" w:rsidRPr="002C0B4F">
        <w:rPr>
          <w:rFonts w:ascii="Aptos" w:hAnsi="Aptos" w:cs="Tahoma"/>
        </w:rPr>
        <w:t>7</w:t>
      </w:r>
      <w:r w:rsidRPr="002C0B4F">
        <w:rPr>
          <w:rFonts w:ascii="Aptos" w:hAnsi="Aptos" w:cs="Tahoma"/>
        </w:rPr>
        <w:t>:</w:t>
      </w:r>
      <w:r w:rsidRPr="002C0B4F">
        <w:rPr>
          <w:rFonts w:ascii="Aptos" w:hAnsi="Aptos" w:cs="Tahoma"/>
        </w:rPr>
        <w:tab/>
        <w:t>Yes, newly constructed buildings are one of the seven building categories</w:t>
      </w:r>
      <w:r w:rsidR="0059475D" w:rsidRPr="002C0B4F">
        <w:rPr>
          <w:rFonts w:ascii="Aptos" w:hAnsi="Aptos" w:cs="Tahoma"/>
        </w:rPr>
        <w:t>, and were intended to be included</w:t>
      </w:r>
      <w:r w:rsidR="00DD1D07" w:rsidRPr="002C0B4F">
        <w:rPr>
          <w:rFonts w:ascii="Aptos" w:hAnsi="Aptos" w:cs="Tahoma"/>
        </w:rPr>
        <w:t xml:space="preserve"> in the solicitation manual</w:t>
      </w:r>
      <w:r w:rsidRPr="002C0B4F">
        <w:rPr>
          <w:rFonts w:ascii="Aptos" w:hAnsi="Aptos" w:cs="Tahoma"/>
        </w:rPr>
        <w:t xml:space="preserve">. The CEC posted Addendum 1 to the solicitation manual on May 27, 2026, which corrected this minor error. A cover letter detailing all changes is available on the </w:t>
      </w:r>
      <w:hyperlink r:id="rId16" w:history="1">
        <w:r w:rsidRPr="002C0B4F">
          <w:rPr>
            <w:rStyle w:val="Hyperlink"/>
            <w:rFonts w:ascii="Aptos" w:hAnsi="Aptos" w:cs="Tahoma"/>
          </w:rPr>
          <w:t>RFQ-25-401 solicitation webpage</w:t>
        </w:r>
      </w:hyperlink>
      <w:r w:rsidRPr="002C0B4F">
        <w:rPr>
          <w:rFonts w:ascii="Aptos" w:hAnsi="Aptos" w:cs="Tahoma"/>
        </w:rPr>
        <w:t xml:space="preserve"> (https://www.energy.ca.gov/solicitations/2026-05/rfq-25-401-energy-code-compliance-evaluation-support).</w:t>
      </w:r>
    </w:p>
    <w:p w14:paraId="26BBC39A" w14:textId="6568DA1E" w:rsidR="00593CA4" w:rsidRPr="002C0B4F" w:rsidRDefault="00593CA4" w:rsidP="004F0931">
      <w:pPr>
        <w:spacing w:before="120" w:after="120" w:line="259" w:lineRule="auto"/>
        <w:ind w:left="720" w:hanging="720"/>
        <w:rPr>
          <w:rFonts w:ascii="Aptos" w:hAnsi="Aptos" w:cs="Tahoma"/>
        </w:rPr>
      </w:pPr>
      <w:r w:rsidRPr="002C0B4F">
        <w:rPr>
          <w:rFonts w:ascii="Aptos" w:hAnsi="Aptos" w:cs="Tahoma"/>
          <w:b/>
          <w:bCs/>
        </w:rPr>
        <w:t>Q8:</w:t>
      </w:r>
      <w:r w:rsidRPr="002C0B4F">
        <w:rPr>
          <w:rFonts w:ascii="Aptos" w:hAnsi="Aptos" w:cs="Tahoma"/>
          <w:b/>
          <w:bCs/>
        </w:rPr>
        <w:tab/>
        <w:t xml:space="preserve">Is there a list of interested parties for developing teams? </w:t>
      </w:r>
    </w:p>
    <w:p w14:paraId="3EA2B047" w14:textId="244722B8" w:rsidR="00C4101B" w:rsidRPr="002C0B4F" w:rsidRDefault="00593CA4" w:rsidP="004F0931">
      <w:pPr>
        <w:spacing w:before="120" w:after="120" w:line="259" w:lineRule="auto"/>
        <w:ind w:left="720" w:hanging="720"/>
        <w:rPr>
          <w:rFonts w:ascii="Aptos" w:hAnsi="Aptos" w:cs="Tahoma"/>
        </w:rPr>
      </w:pPr>
      <w:r w:rsidRPr="002C0B4F">
        <w:rPr>
          <w:rFonts w:ascii="Aptos" w:hAnsi="Aptos" w:cs="Tahoma"/>
        </w:rPr>
        <w:t>A8:</w:t>
      </w:r>
      <w:r w:rsidRPr="002C0B4F">
        <w:rPr>
          <w:rFonts w:ascii="Aptos" w:hAnsi="Aptos" w:cs="Tahoma"/>
        </w:rPr>
        <w:tab/>
        <w:t xml:space="preserve">No, there is not a list of interested parties for developing teams, but there is a pre-bid conference attendee list. </w:t>
      </w:r>
      <w:r w:rsidR="00C4101B" w:rsidRPr="002C0B4F">
        <w:rPr>
          <w:rFonts w:ascii="Aptos" w:hAnsi="Aptos" w:cs="Tahoma"/>
        </w:rPr>
        <w:t xml:space="preserve">Please email the Commission Agreement Officer </w:t>
      </w:r>
      <w:hyperlink r:id="rId17" w:history="1">
        <w:r w:rsidR="00C4101B" w:rsidRPr="002C0B4F">
          <w:rPr>
            <w:rStyle w:val="Hyperlink"/>
            <w:rFonts w:ascii="Aptos" w:hAnsi="Aptos" w:cs="Tahoma"/>
          </w:rPr>
          <w:t>Diana Grady</w:t>
        </w:r>
      </w:hyperlink>
      <w:r w:rsidR="00C4101B" w:rsidRPr="002C0B4F">
        <w:rPr>
          <w:rFonts w:ascii="Aptos" w:hAnsi="Aptos" w:cs="Tahoma"/>
        </w:rPr>
        <w:t xml:space="preserve"> (diana.grady@energy.ca.gov) to request a copy. Make sure to include the solicitation number RFQ-25-401 in the subject line. </w:t>
      </w:r>
    </w:p>
    <w:p w14:paraId="5A7A4842" w14:textId="01BC7538" w:rsidR="00774578" w:rsidRPr="002C0B4F" w:rsidRDefault="00774578" w:rsidP="004F0931">
      <w:pPr>
        <w:spacing w:before="120" w:after="120" w:line="259" w:lineRule="auto"/>
        <w:ind w:left="720" w:hanging="720"/>
        <w:rPr>
          <w:rFonts w:ascii="Aptos" w:hAnsi="Aptos" w:cs="Tahoma"/>
          <w:b/>
          <w:bCs/>
        </w:rPr>
      </w:pPr>
      <w:r w:rsidRPr="002C0B4F">
        <w:rPr>
          <w:rFonts w:ascii="Aptos" w:hAnsi="Aptos" w:cs="Tahoma"/>
          <w:b/>
          <w:bCs/>
        </w:rPr>
        <w:t>Q</w:t>
      </w:r>
      <w:r w:rsidR="00593CA4" w:rsidRPr="002C0B4F">
        <w:rPr>
          <w:rFonts w:ascii="Aptos" w:hAnsi="Aptos" w:cs="Tahoma"/>
          <w:b/>
          <w:bCs/>
        </w:rPr>
        <w:t>9</w:t>
      </w:r>
      <w:r w:rsidRPr="002C0B4F">
        <w:rPr>
          <w:rFonts w:ascii="Aptos" w:hAnsi="Aptos" w:cs="Tahoma"/>
          <w:b/>
          <w:bCs/>
        </w:rPr>
        <w:t>:</w:t>
      </w:r>
      <w:r w:rsidRPr="002C0B4F">
        <w:rPr>
          <w:rFonts w:ascii="Aptos" w:hAnsi="Aptos" w:cs="Tahoma"/>
          <w:b/>
          <w:bCs/>
        </w:rPr>
        <w:tab/>
        <w:t>Can you confirm that the CEC expects to contract with a single Firm as the outcome of this solicitation?</w:t>
      </w:r>
    </w:p>
    <w:p w14:paraId="2032FFAB" w14:textId="601C64FE" w:rsidR="00774578" w:rsidRPr="002C0B4F" w:rsidRDefault="00774578" w:rsidP="004F0931">
      <w:pPr>
        <w:spacing w:before="120" w:after="120" w:line="259" w:lineRule="auto"/>
        <w:ind w:left="720" w:hanging="720"/>
        <w:rPr>
          <w:rFonts w:ascii="Aptos" w:hAnsi="Aptos" w:cs="Tahoma"/>
        </w:rPr>
      </w:pPr>
      <w:r w:rsidRPr="002C0B4F">
        <w:rPr>
          <w:rFonts w:ascii="Aptos" w:hAnsi="Aptos" w:cs="Tahoma"/>
        </w:rPr>
        <w:t>A</w:t>
      </w:r>
      <w:r w:rsidR="00593CA4" w:rsidRPr="002C0B4F">
        <w:rPr>
          <w:rFonts w:ascii="Aptos" w:hAnsi="Aptos" w:cs="Tahoma"/>
        </w:rPr>
        <w:t>9</w:t>
      </w:r>
      <w:r w:rsidRPr="002C0B4F">
        <w:rPr>
          <w:rFonts w:ascii="Aptos" w:hAnsi="Aptos" w:cs="Tahoma"/>
        </w:rPr>
        <w:t>:</w:t>
      </w:r>
      <w:r w:rsidR="00EC2020" w:rsidRPr="002C0B4F">
        <w:rPr>
          <w:rFonts w:ascii="Aptos" w:hAnsi="Aptos" w:cs="Tahoma"/>
        </w:rPr>
        <w:tab/>
      </w:r>
      <w:r w:rsidR="00523548" w:rsidRPr="002C0B4F">
        <w:rPr>
          <w:rFonts w:ascii="Aptos" w:hAnsi="Aptos" w:cs="Tahoma"/>
        </w:rPr>
        <w:t>Yes, th</w:t>
      </w:r>
      <w:r w:rsidR="00EC2020" w:rsidRPr="002C0B4F">
        <w:rPr>
          <w:rFonts w:ascii="Aptos" w:hAnsi="Aptos" w:cs="Tahoma"/>
        </w:rPr>
        <w:t xml:space="preserve">is solicitation will result in the </w:t>
      </w:r>
      <w:r w:rsidR="00AA3FA4" w:rsidRPr="002C0B4F">
        <w:rPr>
          <w:rFonts w:ascii="Aptos" w:hAnsi="Aptos" w:cs="Tahoma"/>
        </w:rPr>
        <w:t xml:space="preserve">CEC </w:t>
      </w:r>
      <w:r w:rsidR="00EC2020" w:rsidRPr="002C0B4F">
        <w:rPr>
          <w:rFonts w:ascii="Aptos" w:hAnsi="Aptos" w:cs="Tahoma"/>
        </w:rPr>
        <w:t>selecting a single</w:t>
      </w:r>
      <w:r w:rsidR="00AA3FA4" w:rsidRPr="002C0B4F">
        <w:rPr>
          <w:rFonts w:ascii="Aptos" w:hAnsi="Aptos" w:cs="Tahoma"/>
        </w:rPr>
        <w:t xml:space="preserve"> Firm as the Prime Contractor</w:t>
      </w:r>
      <w:r w:rsidR="00EA2F76" w:rsidRPr="002C0B4F">
        <w:rPr>
          <w:rFonts w:ascii="Aptos" w:hAnsi="Aptos" w:cs="Tahoma"/>
        </w:rPr>
        <w:t>.</w:t>
      </w:r>
    </w:p>
    <w:p w14:paraId="3C1B6FD6" w14:textId="5EF3FF3B" w:rsidR="001B790A" w:rsidRPr="002C0B4F" w:rsidRDefault="001B790A" w:rsidP="004F0931">
      <w:pPr>
        <w:spacing w:before="120" w:after="120" w:line="259" w:lineRule="auto"/>
        <w:ind w:left="720" w:hanging="720"/>
        <w:rPr>
          <w:rFonts w:ascii="Aptos" w:hAnsi="Aptos" w:cs="Tahoma"/>
          <w:b/>
          <w:bCs/>
        </w:rPr>
      </w:pPr>
      <w:r w:rsidRPr="002C0B4F">
        <w:rPr>
          <w:rFonts w:ascii="Aptos" w:hAnsi="Aptos" w:cs="Tahoma"/>
          <w:b/>
          <w:bCs/>
        </w:rPr>
        <w:t>Q</w:t>
      </w:r>
      <w:r w:rsidR="00593CA4" w:rsidRPr="002C0B4F">
        <w:rPr>
          <w:rFonts w:ascii="Aptos" w:hAnsi="Aptos" w:cs="Tahoma"/>
          <w:b/>
          <w:bCs/>
        </w:rPr>
        <w:t>10</w:t>
      </w:r>
      <w:r w:rsidRPr="002C0B4F">
        <w:rPr>
          <w:rFonts w:ascii="Aptos" w:hAnsi="Aptos" w:cs="Tahoma"/>
          <w:b/>
          <w:bCs/>
        </w:rPr>
        <w:t>:</w:t>
      </w:r>
      <w:r w:rsidRPr="002C0B4F">
        <w:rPr>
          <w:rFonts w:ascii="Aptos" w:hAnsi="Aptos" w:cs="Tahoma"/>
          <w:b/>
          <w:bCs/>
        </w:rPr>
        <w:tab/>
        <w:t xml:space="preserve">Will there be a penalty </w:t>
      </w:r>
      <w:r w:rsidR="00A06F94" w:rsidRPr="002C0B4F">
        <w:rPr>
          <w:rFonts w:ascii="Aptos" w:hAnsi="Aptos" w:cs="Tahoma"/>
          <w:b/>
          <w:bCs/>
        </w:rPr>
        <w:t>given to</w:t>
      </w:r>
      <w:r w:rsidRPr="002C0B4F">
        <w:rPr>
          <w:rFonts w:ascii="Aptos" w:hAnsi="Aptos" w:cs="Tahoma"/>
          <w:b/>
          <w:bCs/>
        </w:rPr>
        <w:t xml:space="preserve"> Firms who include staff in the SOQ that are not California residents?</w:t>
      </w:r>
    </w:p>
    <w:p w14:paraId="039E3718" w14:textId="33413E6D" w:rsidR="001B790A" w:rsidRPr="002C0B4F" w:rsidRDefault="001B790A" w:rsidP="004F0931">
      <w:pPr>
        <w:spacing w:before="120" w:after="120" w:line="259" w:lineRule="auto"/>
        <w:ind w:left="720" w:hanging="720"/>
        <w:rPr>
          <w:rFonts w:ascii="Aptos" w:hAnsi="Aptos" w:cs="Tahoma"/>
        </w:rPr>
      </w:pPr>
      <w:r w:rsidRPr="002C0B4F">
        <w:rPr>
          <w:rFonts w:ascii="Aptos" w:hAnsi="Aptos" w:cs="Tahoma"/>
        </w:rPr>
        <w:t>A</w:t>
      </w:r>
      <w:r w:rsidR="00593CA4" w:rsidRPr="002C0B4F">
        <w:rPr>
          <w:rFonts w:ascii="Aptos" w:hAnsi="Aptos" w:cs="Tahoma"/>
        </w:rPr>
        <w:t>10</w:t>
      </w:r>
      <w:r w:rsidRPr="002C0B4F">
        <w:rPr>
          <w:rFonts w:ascii="Aptos" w:hAnsi="Aptos" w:cs="Tahoma"/>
        </w:rPr>
        <w:t>:</w:t>
      </w:r>
      <w:r w:rsidR="00ED4232" w:rsidRPr="002C0B4F">
        <w:rPr>
          <w:rFonts w:ascii="Aptos" w:hAnsi="Aptos" w:cs="Tahoma"/>
        </w:rPr>
        <w:tab/>
      </w:r>
      <w:r w:rsidR="00A06F94" w:rsidRPr="002C0B4F">
        <w:rPr>
          <w:rFonts w:ascii="Aptos" w:hAnsi="Aptos" w:cs="Tahoma"/>
        </w:rPr>
        <w:t xml:space="preserve">No, there will not be a penalty </w:t>
      </w:r>
      <w:r w:rsidR="00E43562" w:rsidRPr="002C0B4F">
        <w:rPr>
          <w:rFonts w:ascii="Aptos" w:hAnsi="Aptos" w:cs="Tahoma"/>
        </w:rPr>
        <w:t xml:space="preserve">given to Firms </w:t>
      </w:r>
      <w:r w:rsidR="0063712E" w:rsidRPr="002C0B4F">
        <w:rPr>
          <w:rFonts w:ascii="Aptos" w:hAnsi="Aptos" w:cs="Tahoma"/>
        </w:rPr>
        <w:t>who</w:t>
      </w:r>
      <w:r w:rsidR="00E43562" w:rsidRPr="002C0B4F">
        <w:rPr>
          <w:rFonts w:ascii="Aptos" w:hAnsi="Aptos" w:cs="Tahoma"/>
        </w:rPr>
        <w:t xml:space="preserve"> include </w:t>
      </w:r>
      <w:r w:rsidR="0063712E" w:rsidRPr="002C0B4F">
        <w:rPr>
          <w:rFonts w:ascii="Aptos" w:hAnsi="Aptos" w:cs="Tahoma"/>
        </w:rPr>
        <w:t xml:space="preserve">non-California resident </w:t>
      </w:r>
      <w:r w:rsidR="00A06F94" w:rsidRPr="002C0B4F">
        <w:rPr>
          <w:rFonts w:ascii="Aptos" w:hAnsi="Aptos" w:cs="Tahoma"/>
        </w:rPr>
        <w:t>staff</w:t>
      </w:r>
      <w:r w:rsidR="00C0212C" w:rsidRPr="002C0B4F">
        <w:rPr>
          <w:rFonts w:ascii="Aptos" w:hAnsi="Aptos" w:cs="Tahoma"/>
        </w:rPr>
        <w:t xml:space="preserve"> in their SOQs</w:t>
      </w:r>
      <w:r w:rsidR="00A06F94" w:rsidRPr="002C0B4F">
        <w:rPr>
          <w:rFonts w:ascii="Aptos" w:hAnsi="Aptos" w:cs="Tahoma"/>
        </w:rPr>
        <w:t>.</w:t>
      </w:r>
      <w:r w:rsidR="00E06B28" w:rsidRPr="002C0B4F">
        <w:rPr>
          <w:rFonts w:ascii="Aptos" w:hAnsi="Aptos" w:cs="Tahoma"/>
        </w:rPr>
        <w:t xml:space="preserve"> </w:t>
      </w:r>
      <w:r w:rsidR="002F51E1" w:rsidRPr="002C0B4F">
        <w:rPr>
          <w:rFonts w:ascii="Aptos" w:hAnsi="Aptos" w:cs="Tahoma"/>
          <w:color w:val="000000"/>
        </w:rPr>
        <w:t xml:space="preserve">The CEC encourages all eligible Firms to respond to this </w:t>
      </w:r>
      <w:r w:rsidR="002F51E1" w:rsidRPr="002C0B4F">
        <w:rPr>
          <w:rFonts w:ascii="Aptos" w:hAnsi="Aptos" w:cs="Tahoma"/>
          <w:color w:val="000000"/>
        </w:rPr>
        <w:lastRenderedPageBreak/>
        <w:t>solicitation. Responses shall be in the form of an SOQ. The SOQ shall detail the Firm’s qualifications to perform the tasks outlined in the SOW. For additional information, please see the “Project Team Relevant Experience and Qualifications” section located on pages 105 and 116 of the solicitation manual</w:t>
      </w:r>
      <w:r w:rsidR="001A32A2" w:rsidRPr="002C0B4F">
        <w:rPr>
          <w:rFonts w:ascii="Aptos" w:hAnsi="Aptos" w:cs="Tahoma"/>
        </w:rPr>
        <w:t xml:space="preserve"> available on the </w:t>
      </w:r>
      <w:hyperlink r:id="rId18" w:history="1">
        <w:r w:rsidR="001A32A2" w:rsidRPr="002C0B4F">
          <w:rPr>
            <w:rStyle w:val="Hyperlink"/>
            <w:rFonts w:ascii="Aptos" w:hAnsi="Aptos" w:cs="Tahoma"/>
          </w:rPr>
          <w:t>RFQ-25-401 solicitation webpage</w:t>
        </w:r>
      </w:hyperlink>
      <w:r w:rsidR="001A32A2" w:rsidRPr="002C0B4F">
        <w:rPr>
          <w:rFonts w:ascii="Aptos" w:hAnsi="Aptos" w:cs="Tahoma"/>
        </w:rPr>
        <w:t xml:space="preserve"> (https://www.energy.ca.gov/solicitations/2026-05/rfq-25-401-energy-code-compliance-evaluation-support).</w:t>
      </w:r>
    </w:p>
    <w:p w14:paraId="4D39D399" w14:textId="088FED1A" w:rsidR="000F4078" w:rsidRPr="002C0B4F" w:rsidRDefault="000F4078" w:rsidP="004F0931">
      <w:pPr>
        <w:spacing w:before="120" w:after="120" w:line="259" w:lineRule="auto"/>
        <w:ind w:left="720" w:hanging="720"/>
        <w:rPr>
          <w:rFonts w:ascii="Aptos" w:hAnsi="Aptos" w:cs="Tahoma"/>
        </w:rPr>
      </w:pPr>
      <w:r w:rsidRPr="002C0B4F">
        <w:rPr>
          <w:rFonts w:ascii="Aptos" w:hAnsi="Aptos" w:cs="Tahoma"/>
          <w:b/>
          <w:bCs/>
        </w:rPr>
        <w:t>Q</w:t>
      </w:r>
      <w:r w:rsidR="00ED4232" w:rsidRPr="002C0B4F">
        <w:rPr>
          <w:rFonts w:ascii="Aptos" w:hAnsi="Aptos" w:cs="Tahoma"/>
          <w:b/>
          <w:bCs/>
        </w:rPr>
        <w:t>1</w:t>
      </w:r>
      <w:r w:rsidR="00593CA4" w:rsidRPr="002C0B4F">
        <w:rPr>
          <w:rFonts w:ascii="Aptos" w:hAnsi="Aptos" w:cs="Tahoma"/>
          <w:b/>
          <w:bCs/>
        </w:rPr>
        <w:t>1</w:t>
      </w:r>
      <w:r w:rsidRPr="002C0B4F">
        <w:rPr>
          <w:rFonts w:ascii="Aptos" w:hAnsi="Aptos" w:cs="Tahoma"/>
          <w:b/>
          <w:bCs/>
        </w:rPr>
        <w:t>:</w:t>
      </w:r>
      <w:r w:rsidR="00DD21E2" w:rsidRPr="002C0B4F">
        <w:rPr>
          <w:rFonts w:ascii="Aptos" w:hAnsi="Aptos" w:cs="Tahoma"/>
          <w:b/>
          <w:bCs/>
        </w:rPr>
        <w:tab/>
      </w:r>
      <w:r w:rsidRPr="002C0B4F">
        <w:rPr>
          <w:rFonts w:ascii="Aptos" w:hAnsi="Aptos" w:cs="Tahoma"/>
          <w:b/>
          <w:bCs/>
        </w:rPr>
        <w:t xml:space="preserve">Who will be on the Evaluation Committee for this solicitation? </w:t>
      </w:r>
    </w:p>
    <w:p w14:paraId="5FBA2730" w14:textId="54EF1FA5" w:rsidR="00EF07E0" w:rsidRPr="002C0B4F" w:rsidRDefault="000F4078" w:rsidP="004F0931">
      <w:pPr>
        <w:spacing w:before="120" w:after="120" w:line="259" w:lineRule="auto"/>
        <w:ind w:left="720" w:hanging="720"/>
        <w:rPr>
          <w:rFonts w:ascii="Aptos" w:hAnsi="Aptos" w:cs="Tahoma"/>
        </w:rPr>
      </w:pPr>
      <w:r w:rsidRPr="002C0B4F">
        <w:rPr>
          <w:rFonts w:ascii="Aptos" w:hAnsi="Aptos" w:cs="Tahoma"/>
        </w:rPr>
        <w:t>A</w:t>
      </w:r>
      <w:r w:rsidR="00ED4232" w:rsidRPr="002C0B4F">
        <w:rPr>
          <w:rFonts w:ascii="Aptos" w:hAnsi="Aptos" w:cs="Tahoma"/>
        </w:rPr>
        <w:t>1</w:t>
      </w:r>
      <w:r w:rsidR="00593CA4" w:rsidRPr="002C0B4F">
        <w:rPr>
          <w:rFonts w:ascii="Aptos" w:hAnsi="Aptos" w:cs="Tahoma"/>
        </w:rPr>
        <w:t>1</w:t>
      </w:r>
      <w:r w:rsidRPr="002C0B4F">
        <w:rPr>
          <w:rFonts w:ascii="Aptos" w:hAnsi="Aptos" w:cs="Tahoma"/>
        </w:rPr>
        <w:t>:</w:t>
      </w:r>
      <w:r w:rsidR="00DD21E2" w:rsidRPr="002C0B4F">
        <w:rPr>
          <w:rFonts w:ascii="Aptos" w:hAnsi="Aptos" w:cs="Tahoma"/>
        </w:rPr>
        <w:tab/>
      </w:r>
      <w:r w:rsidR="001C2822" w:rsidRPr="002C0B4F">
        <w:rPr>
          <w:rFonts w:ascii="Aptos" w:hAnsi="Aptos" w:cs="Tahoma"/>
        </w:rPr>
        <w:t xml:space="preserve">The Evaluation committee will be comprised of </w:t>
      </w:r>
      <w:r w:rsidRPr="002C0B4F">
        <w:rPr>
          <w:rFonts w:ascii="Aptos" w:hAnsi="Aptos" w:cs="Tahoma"/>
        </w:rPr>
        <w:t xml:space="preserve">CEC staff members from the Efficiency Division who are knowledgeable and involved with program areas addressed in this solicitation. </w:t>
      </w:r>
      <w:r w:rsidR="00B50521" w:rsidRPr="002C0B4F">
        <w:rPr>
          <w:rFonts w:ascii="Aptos" w:hAnsi="Aptos" w:cs="Tahoma"/>
        </w:rPr>
        <w:t>For transparency and fairness to all interested parties, potential applicants can only correspond with the Commission Agreement Officer</w:t>
      </w:r>
      <w:r w:rsidR="00235486" w:rsidRPr="002C0B4F">
        <w:rPr>
          <w:rFonts w:ascii="Aptos" w:hAnsi="Aptos" w:cs="Tahoma"/>
        </w:rPr>
        <w:t xml:space="preserve"> </w:t>
      </w:r>
      <w:hyperlink r:id="rId19" w:history="1">
        <w:r w:rsidR="00235486" w:rsidRPr="002C0B4F">
          <w:rPr>
            <w:rStyle w:val="Hyperlink"/>
            <w:rFonts w:ascii="Aptos" w:hAnsi="Aptos" w:cs="Tahoma"/>
          </w:rPr>
          <w:t>Diana Grady</w:t>
        </w:r>
      </w:hyperlink>
      <w:r w:rsidR="00235486" w:rsidRPr="002C0B4F">
        <w:rPr>
          <w:rFonts w:ascii="Aptos" w:hAnsi="Aptos" w:cs="Tahoma"/>
        </w:rPr>
        <w:t xml:space="preserve"> </w:t>
      </w:r>
      <w:r w:rsidR="00377D5C" w:rsidRPr="002C0B4F">
        <w:rPr>
          <w:rFonts w:ascii="Aptos" w:hAnsi="Aptos" w:cs="Tahoma"/>
        </w:rPr>
        <w:t xml:space="preserve">(diana.grady@energy.ca.gov) </w:t>
      </w:r>
      <w:r w:rsidR="00B50521" w:rsidRPr="002C0B4F">
        <w:rPr>
          <w:rFonts w:ascii="Aptos" w:hAnsi="Aptos" w:cs="Tahoma"/>
        </w:rPr>
        <w:t xml:space="preserve">during the solicitation process (see page 15 of the solicitation manual). </w:t>
      </w:r>
      <w:r w:rsidRPr="002C0B4F">
        <w:rPr>
          <w:rFonts w:ascii="Aptos" w:hAnsi="Aptos" w:cs="Tahoma"/>
        </w:rPr>
        <w:t>CEC program staff are prohibited from directly corresponding with potential applicants or replying to questions during this phase of the solicitation</w:t>
      </w:r>
      <w:r w:rsidR="00A0510D" w:rsidRPr="002C0B4F">
        <w:rPr>
          <w:rFonts w:ascii="Aptos" w:hAnsi="Aptos" w:cs="Tahoma"/>
        </w:rPr>
        <w:t xml:space="preserve"> process</w:t>
      </w:r>
      <w:r w:rsidRPr="002C0B4F">
        <w:rPr>
          <w:rFonts w:ascii="Aptos" w:hAnsi="Aptos" w:cs="Tahoma"/>
        </w:rPr>
        <w:t>.</w:t>
      </w:r>
      <w:r w:rsidR="0056489B" w:rsidRPr="002C0B4F">
        <w:rPr>
          <w:rFonts w:ascii="Aptos" w:hAnsi="Aptos" w:cs="Tahoma"/>
        </w:rPr>
        <w:t xml:space="preserve"> The solicitation manual is available on the </w:t>
      </w:r>
      <w:hyperlink r:id="rId20" w:history="1">
        <w:r w:rsidR="0056489B" w:rsidRPr="002C0B4F">
          <w:rPr>
            <w:rStyle w:val="Hyperlink"/>
            <w:rFonts w:ascii="Aptos" w:hAnsi="Aptos" w:cs="Tahoma"/>
          </w:rPr>
          <w:t>RFQ-25-401 solicitation webpage</w:t>
        </w:r>
      </w:hyperlink>
      <w:r w:rsidR="0056489B" w:rsidRPr="002C0B4F">
        <w:rPr>
          <w:rFonts w:ascii="Aptos" w:hAnsi="Aptos" w:cs="Tahoma"/>
        </w:rPr>
        <w:t xml:space="preserve"> (https://www.energy.ca.gov/solicitations/2026-05/rfq-25-401-energy-code-compliance-evaluation-support).</w:t>
      </w:r>
    </w:p>
    <w:p w14:paraId="65220664" w14:textId="1D60D6E4" w:rsidR="000F4078" w:rsidRPr="002C0B4F" w:rsidRDefault="00546E95" w:rsidP="004F0931">
      <w:pPr>
        <w:spacing w:before="120" w:after="120" w:line="259" w:lineRule="auto"/>
        <w:ind w:left="720" w:hanging="720"/>
        <w:rPr>
          <w:rFonts w:ascii="Aptos" w:hAnsi="Aptos" w:cs="Tahoma"/>
        </w:rPr>
      </w:pPr>
      <w:r w:rsidRPr="002C0B4F">
        <w:rPr>
          <w:rFonts w:ascii="Aptos" w:hAnsi="Aptos" w:cs="Tahoma"/>
          <w:b/>
          <w:bCs/>
        </w:rPr>
        <w:t>Q</w:t>
      </w:r>
      <w:r w:rsidR="00ED4232" w:rsidRPr="002C0B4F">
        <w:rPr>
          <w:rFonts w:ascii="Aptos" w:hAnsi="Aptos" w:cs="Tahoma"/>
          <w:b/>
          <w:bCs/>
        </w:rPr>
        <w:t>1</w:t>
      </w:r>
      <w:r w:rsidR="00593CA4" w:rsidRPr="002C0B4F">
        <w:rPr>
          <w:rFonts w:ascii="Aptos" w:hAnsi="Aptos" w:cs="Tahoma"/>
          <w:b/>
          <w:bCs/>
        </w:rPr>
        <w:t>2</w:t>
      </w:r>
      <w:r w:rsidRPr="002C0B4F">
        <w:rPr>
          <w:rFonts w:ascii="Aptos" w:hAnsi="Aptos" w:cs="Tahoma"/>
          <w:b/>
          <w:bCs/>
        </w:rPr>
        <w:t>:</w:t>
      </w:r>
      <w:r w:rsidRPr="002C0B4F">
        <w:rPr>
          <w:rFonts w:ascii="Aptos" w:hAnsi="Aptos" w:cs="Tahoma"/>
          <w:b/>
          <w:bCs/>
        </w:rPr>
        <w:tab/>
      </w:r>
      <w:r w:rsidR="000F4078" w:rsidRPr="002C0B4F">
        <w:rPr>
          <w:rFonts w:ascii="Aptos" w:hAnsi="Aptos" w:cs="Tahoma"/>
          <w:b/>
          <w:bCs/>
        </w:rPr>
        <w:t xml:space="preserve">Would someone from the CEC be available to provide a presentation about this solicitation to my organization? </w:t>
      </w:r>
    </w:p>
    <w:p w14:paraId="655C0A76" w14:textId="254503BE" w:rsidR="000F4078" w:rsidRPr="002C0B4F" w:rsidRDefault="000F4078" w:rsidP="004F0931">
      <w:pPr>
        <w:spacing w:before="120" w:after="120" w:line="259" w:lineRule="auto"/>
        <w:ind w:left="720" w:hanging="720"/>
        <w:rPr>
          <w:rFonts w:ascii="Aptos" w:hAnsi="Aptos" w:cs="Tahoma"/>
        </w:rPr>
      </w:pPr>
      <w:r w:rsidRPr="002C0B4F">
        <w:rPr>
          <w:rFonts w:ascii="Aptos" w:hAnsi="Aptos" w:cs="Tahoma"/>
        </w:rPr>
        <w:t>A</w:t>
      </w:r>
      <w:r w:rsidR="00ED4232" w:rsidRPr="002C0B4F">
        <w:rPr>
          <w:rFonts w:ascii="Aptos" w:hAnsi="Aptos" w:cs="Tahoma"/>
        </w:rPr>
        <w:t>1</w:t>
      </w:r>
      <w:r w:rsidR="00593CA4" w:rsidRPr="002C0B4F">
        <w:rPr>
          <w:rFonts w:ascii="Aptos" w:hAnsi="Aptos" w:cs="Tahoma"/>
        </w:rPr>
        <w:t>2</w:t>
      </w:r>
      <w:r w:rsidRPr="002C0B4F">
        <w:rPr>
          <w:rFonts w:ascii="Aptos" w:hAnsi="Aptos" w:cs="Tahoma"/>
        </w:rPr>
        <w:t>:</w:t>
      </w:r>
      <w:r w:rsidR="00DD21E2" w:rsidRPr="002C0B4F">
        <w:rPr>
          <w:rFonts w:ascii="Aptos" w:hAnsi="Aptos" w:cs="Tahoma"/>
        </w:rPr>
        <w:tab/>
      </w:r>
      <w:r w:rsidRPr="002C0B4F">
        <w:rPr>
          <w:rFonts w:ascii="Aptos" w:hAnsi="Aptos" w:cs="Tahoma"/>
        </w:rPr>
        <w:t>No</w:t>
      </w:r>
      <w:r w:rsidR="0039163E" w:rsidRPr="002C0B4F">
        <w:rPr>
          <w:rFonts w:ascii="Aptos" w:hAnsi="Aptos" w:cs="Tahoma"/>
        </w:rPr>
        <w:t xml:space="preserve">, </w:t>
      </w:r>
      <w:r w:rsidR="00EE501B" w:rsidRPr="002C0B4F">
        <w:rPr>
          <w:rFonts w:ascii="Aptos" w:hAnsi="Aptos" w:cs="Tahoma"/>
        </w:rPr>
        <w:t xml:space="preserve">the </w:t>
      </w:r>
      <w:r w:rsidR="0039163E" w:rsidRPr="002C0B4F">
        <w:rPr>
          <w:rFonts w:ascii="Aptos" w:hAnsi="Aptos" w:cs="Tahoma"/>
        </w:rPr>
        <w:t>CEC cannot provide a presentation about this solicitation to individual organizations</w:t>
      </w:r>
      <w:r w:rsidRPr="002C0B4F">
        <w:rPr>
          <w:rFonts w:ascii="Aptos" w:hAnsi="Aptos" w:cs="Tahoma"/>
        </w:rPr>
        <w:t xml:space="preserve">. </w:t>
      </w:r>
      <w:r w:rsidR="00AF7C59" w:rsidRPr="002C0B4F">
        <w:rPr>
          <w:rFonts w:ascii="Aptos" w:hAnsi="Aptos" w:cs="Tahoma"/>
        </w:rPr>
        <w:t xml:space="preserve">For transparency and fairness to all interested parties, potential applicants can only correspond with the Commission Agreement Officer </w:t>
      </w:r>
      <w:hyperlink r:id="rId21" w:history="1">
        <w:r w:rsidR="00AF7C59" w:rsidRPr="002C0B4F">
          <w:rPr>
            <w:rStyle w:val="Hyperlink"/>
            <w:rFonts w:ascii="Aptos" w:hAnsi="Aptos" w:cs="Tahoma"/>
          </w:rPr>
          <w:t>Diana Grady</w:t>
        </w:r>
      </w:hyperlink>
      <w:r w:rsidR="00AF7C59" w:rsidRPr="002C0B4F">
        <w:rPr>
          <w:rFonts w:ascii="Aptos" w:hAnsi="Aptos" w:cs="Tahoma"/>
        </w:rPr>
        <w:t xml:space="preserve"> (diana.grady@energy.ca.gov) during the solicitation process (see page 15 of the solicitation manual). </w:t>
      </w:r>
      <w:r w:rsidR="00D02373" w:rsidRPr="002C0B4F">
        <w:rPr>
          <w:rFonts w:ascii="Aptos" w:hAnsi="Aptos" w:cs="Tahoma"/>
        </w:rPr>
        <w:t xml:space="preserve">A Zoom recording of the pre-bid conference is available on the </w:t>
      </w:r>
      <w:hyperlink r:id="rId22" w:history="1">
        <w:r w:rsidR="00D02373" w:rsidRPr="002C0B4F">
          <w:rPr>
            <w:rStyle w:val="Hyperlink"/>
            <w:rFonts w:ascii="Aptos" w:hAnsi="Aptos" w:cs="Tahoma"/>
          </w:rPr>
          <w:t>RFQ-25-401 pre-bid conference webpage</w:t>
        </w:r>
      </w:hyperlink>
      <w:r w:rsidR="00D02373" w:rsidRPr="002C0B4F">
        <w:rPr>
          <w:rFonts w:ascii="Aptos" w:hAnsi="Aptos" w:cs="Tahoma"/>
        </w:rPr>
        <w:t xml:space="preserve"> under “Event Recording” (</w:t>
      </w:r>
      <w:r w:rsidR="00E73FC4" w:rsidRPr="002C0B4F">
        <w:rPr>
          <w:rFonts w:ascii="Aptos" w:hAnsi="Aptos" w:cs="Tahoma"/>
        </w:rPr>
        <w:t>https://www.energy.ca.gov/event/2026-05/pre-bid-conference-rfq-25-401-energy-code-compliance-evaluation-support</w:t>
      </w:r>
      <w:r w:rsidR="00D02373" w:rsidRPr="002C0B4F">
        <w:rPr>
          <w:rFonts w:ascii="Aptos" w:hAnsi="Aptos" w:cs="Tahoma"/>
        </w:rPr>
        <w:t>).</w:t>
      </w:r>
      <w:r w:rsidR="00D02519" w:rsidRPr="002C0B4F">
        <w:rPr>
          <w:rFonts w:ascii="Aptos" w:hAnsi="Aptos" w:cs="Tahoma"/>
        </w:rPr>
        <w:t xml:space="preserve"> The solicitation manual is available on the </w:t>
      </w:r>
      <w:hyperlink r:id="rId23" w:history="1">
        <w:r w:rsidR="00D02519" w:rsidRPr="002C0B4F">
          <w:rPr>
            <w:rStyle w:val="Hyperlink"/>
            <w:rFonts w:ascii="Aptos" w:hAnsi="Aptos" w:cs="Tahoma"/>
          </w:rPr>
          <w:t>RFQ-25-401 solicitation webpage</w:t>
        </w:r>
      </w:hyperlink>
      <w:r w:rsidR="00D02519" w:rsidRPr="002C0B4F">
        <w:rPr>
          <w:rFonts w:ascii="Aptos" w:hAnsi="Aptos" w:cs="Tahoma"/>
        </w:rPr>
        <w:t xml:space="preserve"> (https://www.energy.ca.gov/solicitations/2026-05/rfq-25-401-energy-code-compliance-evaluation-support).</w:t>
      </w:r>
    </w:p>
    <w:p w14:paraId="6F82CB74" w14:textId="1574B651" w:rsidR="000F4078" w:rsidRPr="002C0B4F" w:rsidRDefault="000F4078" w:rsidP="004F0931">
      <w:pPr>
        <w:spacing w:before="120" w:after="120" w:line="259" w:lineRule="auto"/>
        <w:ind w:left="720" w:hanging="720"/>
        <w:rPr>
          <w:rFonts w:ascii="Aptos" w:hAnsi="Aptos" w:cs="Tahoma"/>
          <w:b/>
          <w:bCs/>
        </w:rPr>
      </w:pPr>
      <w:r w:rsidRPr="002C0B4F">
        <w:rPr>
          <w:rFonts w:ascii="Aptos" w:hAnsi="Aptos" w:cs="Tahoma"/>
          <w:b/>
          <w:bCs/>
        </w:rPr>
        <w:t>Q</w:t>
      </w:r>
      <w:r w:rsidR="00221CC9" w:rsidRPr="002C0B4F">
        <w:rPr>
          <w:rFonts w:ascii="Aptos" w:hAnsi="Aptos" w:cs="Tahoma"/>
          <w:b/>
          <w:bCs/>
        </w:rPr>
        <w:t>1</w:t>
      </w:r>
      <w:r w:rsidR="00593CA4" w:rsidRPr="002C0B4F">
        <w:rPr>
          <w:rFonts w:ascii="Aptos" w:hAnsi="Aptos" w:cs="Tahoma"/>
          <w:b/>
          <w:bCs/>
        </w:rPr>
        <w:t>3</w:t>
      </w:r>
      <w:r w:rsidRPr="002C0B4F">
        <w:rPr>
          <w:rFonts w:ascii="Aptos" w:hAnsi="Aptos" w:cs="Tahoma"/>
          <w:b/>
          <w:bCs/>
        </w:rPr>
        <w:t>:</w:t>
      </w:r>
      <w:r w:rsidR="00DD21E2" w:rsidRPr="002C0B4F">
        <w:rPr>
          <w:rFonts w:ascii="Aptos" w:hAnsi="Aptos" w:cs="Tahoma"/>
          <w:b/>
          <w:bCs/>
        </w:rPr>
        <w:tab/>
      </w:r>
      <w:r w:rsidRPr="002C0B4F">
        <w:rPr>
          <w:rFonts w:ascii="Aptos" w:hAnsi="Aptos" w:cs="Tahoma"/>
          <w:b/>
          <w:bCs/>
        </w:rPr>
        <w:t>What can be expected from the cost negotiation process?</w:t>
      </w:r>
    </w:p>
    <w:p w14:paraId="07C42338" w14:textId="22A882DB" w:rsidR="000F4078" w:rsidRPr="002C0B4F" w:rsidRDefault="000F4078" w:rsidP="004F0931">
      <w:pPr>
        <w:spacing w:before="120" w:after="120" w:line="259" w:lineRule="auto"/>
        <w:ind w:left="720" w:hanging="720"/>
        <w:rPr>
          <w:rFonts w:ascii="Aptos" w:hAnsi="Aptos" w:cs="Tahoma"/>
        </w:rPr>
      </w:pPr>
      <w:r w:rsidRPr="002C0B4F">
        <w:rPr>
          <w:rFonts w:ascii="Aptos" w:hAnsi="Aptos" w:cs="Tahoma"/>
        </w:rPr>
        <w:t>A</w:t>
      </w:r>
      <w:r w:rsidR="00221CC9" w:rsidRPr="002C0B4F">
        <w:rPr>
          <w:rFonts w:ascii="Aptos" w:hAnsi="Aptos" w:cs="Tahoma"/>
        </w:rPr>
        <w:t>1</w:t>
      </w:r>
      <w:r w:rsidR="00593CA4" w:rsidRPr="002C0B4F">
        <w:rPr>
          <w:rFonts w:ascii="Aptos" w:hAnsi="Aptos" w:cs="Tahoma"/>
        </w:rPr>
        <w:t>3</w:t>
      </w:r>
      <w:r w:rsidRPr="002C0B4F">
        <w:rPr>
          <w:rFonts w:ascii="Aptos" w:hAnsi="Aptos" w:cs="Tahoma"/>
        </w:rPr>
        <w:t>:</w:t>
      </w:r>
      <w:r w:rsidRPr="002C0B4F">
        <w:rPr>
          <w:rFonts w:ascii="Aptos" w:hAnsi="Aptos" w:cs="Tahoma"/>
        </w:rPr>
        <w:tab/>
        <w:t>Detailed information regarding the cost negotiation process is located on page</w:t>
      </w:r>
      <w:r w:rsidR="0095594E" w:rsidRPr="002C0B4F">
        <w:rPr>
          <w:rFonts w:ascii="Aptos" w:hAnsi="Aptos" w:cs="Tahoma"/>
        </w:rPr>
        <w:t>s</w:t>
      </w:r>
      <w:r w:rsidRPr="002C0B4F">
        <w:rPr>
          <w:rFonts w:ascii="Aptos" w:hAnsi="Aptos" w:cs="Tahoma"/>
        </w:rPr>
        <w:t xml:space="preserve"> </w:t>
      </w:r>
      <w:r w:rsidR="0095594E" w:rsidRPr="002C0B4F">
        <w:rPr>
          <w:rFonts w:ascii="Aptos" w:hAnsi="Aptos" w:cs="Tahoma"/>
        </w:rPr>
        <w:t xml:space="preserve">111-112 </w:t>
      </w:r>
      <w:r w:rsidRPr="002C0B4F">
        <w:rPr>
          <w:rFonts w:ascii="Aptos" w:hAnsi="Aptos" w:cs="Tahoma"/>
        </w:rPr>
        <w:t xml:space="preserve">of the solicitation manual, which is available </w:t>
      </w:r>
      <w:r w:rsidR="00AF5900" w:rsidRPr="002C0B4F">
        <w:rPr>
          <w:rFonts w:ascii="Aptos" w:hAnsi="Aptos" w:cs="Tahoma"/>
        </w:rPr>
        <w:t xml:space="preserve">on the </w:t>
      </w:r>
      <w:hyperlink r:id="rId24" w:history="1">
        <w:r w:rsidR="00AF5900" w:rsidRPr="002C0B4F">
          <w:rPr>
            <w:rStyle w:val="Hyperlink"/>
            <w:rFonts w:ascii="Aptos" w:hAnsi="Aptos" w:cs="Tahoma"/>
          </w:rPr>
          <w:t>RFQ-25-401 solicitation webpage</w:t>
        </w:r>
      </w:hyperlink>
      <w:r w:rsidR="00AF5900" w:rsidRPr="002C0B4F">
        <w:rPr>
          <w:rFonts w:ascii="Aptos" w:hAnsi="Aptos" w:cs="Tahoma"/>
        </w:rPr>
        <w:t xml:space="preserve"> (</w:t>
      </w:r>
      <w:r w:rsidR="008C06CB" w:rsidRPr="002C0B4F">
        <w:rPr>
          <w:rFonts w:ascii="Aptos" w:hAnsi="Aptos" w:cs="Tahoma"/>
        </w:rPr>
        <w:t>https://www.energy.ca.gov/solicitations/2026-05/rfq-25-401-energy-code-compliance-evaluation-support</w:t>
      </w:r>
      <w:r w:rsidR="00AF5900" w:rsidRPr="002C0B4F">
        <w:rPr>
          <w:rFonts w:ascii="Aptos" w:hAnsi="Aptos" w:cs="Tahoma"/>
        </w:rPr>
        <w:t>).</w:t>
      </w:r>
      <w:r w:rsidR="008C06CB" w:rsidRPr="002C0B4F">
        <w:rPr>
          <w:rFonts w:ascii="Aptos" w:hAnsi="Aptos" w:cs="Tahoma"/>
        </w:rPr>
        <w:t xml:space="preserve"> </w:t>
      </w:r>
      <w:r w:rsidRPr="002C0B4F">
        <w:rPr>
          <w:rFonts w:ascii="Aptos" w:hAnsi="Aptos" w:cs="Tahoma"/>
        </w:rPr>
        <w:t xml:space="preserve">In addition, Title 20 of California Code of Regulations, Division 2, Chapter 7, Article 4, Section 2564 - Estimation of Value of Services states the following, </w:t>
      </w:r>
      <w:r w:rsidRPr="002C0B4F">
        <w:rPr>
          <w:rFonts w:ascii="Aptos" w:hAnsi="Aptos" w:cs="Aptos"/>
        </w:rPr>
        <w:t>“</w:t>
      </w:r>
      <w:r w:rsidR="004C1D2D" w:rsidRPr="002C0B4F">
        <w:rPr>
          <w:rFonts w:ascii="Aptos" w:hAnsi="Aptos" w:cs="Tahoma"/>
        </w:rPr>
        <w:t xml:space="preserve">Before conducting discussions with any </w:t>
      </w:r>
      <w:r w:rsidR="00921C53" w:rsidRPr="002C0B4F">
        <w:rPr>
          <w:rFonts w:ascii="Aptos" w:hAnsi="Aptos" w:cs="Tahoma"/>
        </w:rPr>
        <w:t>F</w:t>
      </w:r>
      <w:r w:rsidR="004C1D2D" w:rsidRPr="002C0B4F">
        <w:rPr>
          <w:rFonts w:ascii="Aptos" w:hAnsi="Aptos" w:cs="Tahoma"/>
        </w:rPr>
        <w:t xml:space="preserve">irm concerning fees, the Commission shall cause an estimate of the value of such services to be prepared. This estimate shall serve as a guide in evaluating fair and </w:t>
      </w:r>
      <w:r w:rsidR="004C1D2D" w:rsidRPr="002C0B4F">
        <w:rPr>
          <w:rFonts w:ascii="Aptos" w:hAnsi="Aptos" w:cs="Tahoma"/>
        </w:rPr>
        <w:lastRenderedPageBreak/>
        <w:t>reasonable compensation during negotiations. At any time the Commission determines its estimate to be unrealistic due to changing market costs, special conditions, or other relevant considerations, the estimate shall be reevaluated and modified as necessary. The Commission's estimate shall remain confidential until the award of contract or abandonment of any further procedure for the services to which it relates.</w:t>
      </w:r>
      <w:r w:rsidRPr="002C0B4F">
        <w:rPr>
          <w:rFonts w:ascii="Aptos" w:hAnsi="Aptos" w:cs="Tahoma"/>
        </w:rPr>
        <w:t>”</w:t>
      </w:r>
    </w:p>
    <w:p w14:paraId="4AF666C0" w14:textId="68417700" w:rsidR="00FB03B5" w:rsidRPr="002C0B4F" w:rsidRDefault="00FB03B5" w:rsidP="004F0931">
      <w:pPr>
        <w:spacing w:before="120" w:after="120" w:line="259" w:lineRule="auto"/>
        <w:ind w:left="720" w:hanging="720"/>
        <w:rPr>
          <w:rFonts w:ascii="Aptos" w:hAnsi="Aptos" w:cs="Tahoma"/>
          <w:b/>
          <w:bCs/>
        </w:rPr>
      </w:pPr>
      <w:r w:rsidRPr="002C0B4F">
        <w:rPr>
          <w:rFonts w:ascii="Aptos" w:hAnsi="Aptos" w:cs="Tahoma"/>
          <w:b/>
          <w:bCs/>
        </w:rPr>
        <w:t>Q1</w:t>
      </w:r>
      <w:r w:rsidR="00593CA4" w:rsidRPr="002C0B4F">
        <w:rPr>
          <w:rFonts w:ascii="Aptos" w:hAnsi="Aptos" w:cs="Tahoma"/>
          <w:b/>
          <w:bCs/>
        </w:rPr>
        <w:t>4</w:t>
      </w:r>
      <w:r w:rsidRPr="002C0B4F">
        <w:rPr>
          <w:rFonts w:ascii="Aptos" w:hAnsi="Aptos" w:cs="Tahoma"/>
          <w:b/>
          <w:bCs/>
        </w:rPr>
        <w:t>:</w:t>
      </w:r>
      <w:r w:rsidR="00DD21E2" w:rsidRPr="002C0B4F">
        <w:rPr>
          <w:rFonts w:ascii="Aptos" w:hAnsi="Aptos" w:cs="Tahoma"/>
          <w:b/>
          <w:bCs/>
        </w:rPr>
        <w:tab/>
      </w:r>
      <w:r w:rsidRPr="002C0B4F">
        <w:rPr>
          <w:rFonts w:ascii="Aptos" w:hAnsi="Aptos" w:cs="Tahoma"/>
          <w:b/>
          <w:bCs/>
        </w:rPr>
        <w:t>Can more than one</w:t>
      </w:r>
      <w:r w:rsidR="00A11CF0" w:rsidRPr="002C0B4F">
        <w:rPr>
          <w:rFonts w:ascii="Aptos" w:hAnsi="Aptos" w:cs="Tahoma"/>
          <w:b/>
          <w:bCs/>
        </w:rPr>
        <w:t xml:space="preserve"> primary </w:t>
      </w:r>
      <w:r w:rsidRPr="002C0B4F">
        <w:rPr>
          <w:rFonts w:ascii="Aptos" w:hAnsi="Aptos" w:cs="Tahoma"/>
          <w:b/>
          <w:bCs/>
        </w:rPr>
        <w:t xml:space="preserve">task from the </w:t>
      </w:r>
      <w:r w:rsidR="00333FE4" w:rsidRPr="002C0B4F">
        <w:rPr>
          <w:rFonts w:ascii="Aptos" w:hAnsi="Aptos" w:cs="Tahoma"/>
          <w:b/>
          <w:bCs/>
        </w:rPr>
        <w:t xml:space="preserve">SOW be included </w:t>
      </w:r>
      <w:r w:rsidR="00060899" w:rsidRPr="002C0B4F">
        <w:rPr>
          <w:rFonts w:ascii="Aptos" w:hAnsi="Aptos" w:cs="Tahoma"/>
          <w:b/>
          <w:bCs/>
        </w:rPr>
        <w:t>in a single Work Authorization</w:t>
      </w:r>
      <w:r w:rsidR="003C0C76" w:rsidRPr="002C0B4F">
        <w:rPr>
          <w:rFonts w:ascii="Aptos" w:hAnsi="Aptos" w:cs="Tahoma"/>
          <w:b/>
          <w:bCs/>
        </w:rPr>
        <w:t xml:space="preserve"> (WA)</w:t>
      </w:r>
      <w:r w:rsidR="00060899" w:rsidRPr="002C0B4F">
        <w:rPr>
          <w:rFonts w:ascii="Aptos" w:hAnsi="Aptos" w:cs="Tahoma"/>
          <w:b/>
          <w:bCs/>
        </w:rPr>
        <w:t xml:space="preserve">? </w:t>
      </w:r>
    </w:p>
    <w:p w14:paraId="3BED3E16" w14:textId="3B241575" w:rsidR="00060899" w:rsidRPr="002C0B4F" w:rsidRDefault="00811356" w:rsidP="004F0931">
      <w:pPr>
        <w:spacing w:before="120" w:after="120" w:line="259" w:lineRule="auto"/>
        <w:ind w:left="720" w:hanging="720"/>
        <w:rPr>
          <w:rFonts w:ascii="Aptos" w:hAnsi="Aptos" w:cs="Tahoma"/>
        </w:rPr>
      </w:pPr>
      <w:r w:rsidRPr="002C0B4F">
        <w:rPr>
          <w:rFonts w:ascii="Aptos" w:hAnsi="Aptos" w:cs="Tahoma"/>
        </w:rPr>
        <w:t>A1</w:t>
      </w:r>
      <w:r w:rsidR="00593CA4" w:rsidRPr="002C0B4F">
        <w:rPr>
          <w:rFonts w:ascii="Aptos" w:hAnsi="Aptos" w:cs="Tahoma"/>
        </w:rPr>
        <w:t>4</w:t>
      </w:r>
      <w:r w:rsidR="00060899" w:rsidRPr="002C0B4F">
        <w:rPr>
          <w:rFonts w:ascii="Aptos" w:hAnsi="Aptos" w:cs="Tahoma"/>
        </w:rPr>
        <w:t xml:space="preserve">: </w:t>
      </w:r>
      <w:r w:rsidR="00060899" w:rsidRPr="002C0B4F">
        <w:rPr>
          <w:rFonts w:ascii="Aptos" w:hAnsi="Aptos" w:cs="Tahoma"/>
        </w:rPr>
        <w:tab/>
      </w:r>
      <w:r w:rsidR="00630F83" w:rsidRPr="002C0B4F">
        <w:rPr>
          <w:rFonts w:ascii="Aptos" w:hAnsi="Aptos" w:cs="Tahoma"/>
        </w:rPr>
        <w:t>Due to the structure, budget, milestones, and other requirements of the CEC’s</w:t>
      </w:r>
      <w:r w:rsidR="003D61BF" w:rsidRPr="002C0B4F">
        <w:rPr>
          <w:rFonts w:ascii="Aptos" w:hAnsi="Aptos"/>
        </w:rPr>
        <w:t xml:space="preserve"> </w:t>
      </w:r>
      <w:r w:rsidR="003D61BF" w:rsidRPr="002C0B4F">
        <w:rPr>
          <w:rFonts w:ascii="Aptos" w:hAnsi="Aptos" w:cs="Tahoma"/>
        </w:rPr>
        <w:t>Inflation Reduction Act Building Energy Codes (or IRA Codes) Award from the US Department of Energy (or DOE)</w:t>
      </w:r>
      <w:r w:rsidR="00630F83" w:rsidRPr="002C0B4F">
        <w:rPr>
          <w:rFonts w:ascii="Aptos" w:hAnsi="Aptos" w:cs="Tahoma"/>
        </w:rPr>
        <w:t xml:space="preserve">, the CEC may choose to combine more than one </w:t>
      </w:r>
      <w:r w:rsidR="002F20BC" w:rsidRPr="002C0B4F">
        <w:rPr>
          <w:rFonts w:ascii="Aptos" w:hAnsi="Aptos" w:cs="Tahoma"/>
        </w:rPr>
        <w:t xml:space="preserve">primary </w:t>
      </w:r>
      <w:r w:rsidR="00630F83" w:rsidRPr="002C0B4F">
        <w:rPr>
          <w:rFonts w:ascii="Aptos" w:hAnsi="Aptos" w:cs="Tahoma"/>
        </w:rPr>
        <w:t>task in</w:t>
      </w:r>
      <w:r w:rsidR="00C51CEF" w:rsidRPr="002C0B4F">
        <w:rPr>
          <w:rFonts w:ascii="Aptos" w:hAnsi="Aptos" w:cs="Tahoma"/>
        </w:rPr>
        <w:t>to</w:t>
      </w:r>
      <w:r w:rsidR="00630F83" w:rsidRPr="002C0B4F">
        <w:rPr>
          <w:rFonts w:ascii="Aptos" w:hAnsi="Aptos" w:cs="Tahoma"/>
        </w:rPr>
        <w:t xml:space="preserve"> a single WA. However, decisions on WA structure </w:t>
      </w:r>
      <w:r w:rsidR="008B2DCF" w:rsidRPr="002C0B4F">
        <w:rPr>
          <w:rFonts w:ascii="Aptos" w:hAnsi="Aptos" w:cs="Tahoma"/>
        </w:rPr>
        <w:t>are pending</w:t>
      </w:r>
      <w:r w:rsidR="00216AF6" w:rsidRPr="002C0B4F">
        <w:rPr>
          <w:rFonts w:ascii="Aptos" w:hAnsi="Aptos" w:cs="Tahoma"/>
        </w:rPr>
        <w:t xml:space="preserve"> and will not be </w:t>
      </w:r>
      <w:r w:rsidR="00630F83" w:rsidRPr="002C0B4F">
        <w:rPr>
          <w:rFonts w:ascii="Aptos" w:hAnsi="Aptos" w:cs="Tahoma"/>
        </w:rPr>
        <w:t xml:space="preserve">until after the </w:t>
      </w:r>
      <w:r w:rsidR="00077802" w:rsidRPr="002C0B4F">
        <w:rPr>
          <w:rFonts w:ascii="Aptos" w:hAnsi="Aptos" w:cs="Tahoma"/>
        </w:rPr>
        <w:t>SOQ submission deadline</w:t>
      </w:r>
      <w:r w:rsidR="00630F83" w:rsidRPr="002C0B4F">
        <w:rPr>
          <w:rFonts w:ascii="Aptos" w:hAnsi="Aptos" w:cs="Tahoma"/>
        </w:rPr>
        <w:t>. It</w:t>
      </w:r>
      <w:r w:rsidRPr="002C0B4F">
        <w:rPr>
          <w:rFonts w:ascii="Aptos" w:hAnsi="Aptos" w:cs="Tahoma"/>
        </w:rPr>
        <w:t xml:space="preserve"> i</w:t>
      </w:r>
      <w:r w:rsidR="00630F83" w:rsidRPr="002C0B4F">
        <w:rPr>
          <w:rFonts w:ascii="Aptos" w:hAnsi="Aptos" w:cs="Tahoma"/>
        </w:rPr>
        <w:t xml:space="preserve">s also important to </w:t>
      </w:r>
      <w:r w:rsidRPr="002C0B4F">
        <w:rPr>
          <w:rFonts w:ascii="Aptos" w:hAnsi="Aptos" w:cs="Tahoma"/>
        </w:rPr>
        <w:t>note</w:t>
      </w:r>
      <w:r w:rsidR="00630F83" w:rsidRPr="002C0B4F">
        <w:rPr>
          <w:rFonts w:ascii="Aptos" w:hAnsi="Aptos" w:cs="Tahoma"/>
        </w:rPr>
        <w:t xml:space="preserve"> that the WA for Task 1 (Agreement Management) ca</w:t>
      </w:r>
      <w:r w:rsidRPr="002C0B4F">
        <w:rPr>
          <w:rFonts w:ascii="Aptos" w:hAnsi="Aptos" w:cs="Tahoma"/>
        </w:rPr>
        <w:t>nnot</w:t>
      </w:r>
      <w:r w:rsidR="00630F83" w:rsidRPr="002C0B4F">
        <w:rPr>
          <w:rFonts w:ascii="Aptos" w:hAnsi="Aptos" w:cs="Tahoma"/>
        </w:rPr>
        <w:t xml:space="preserve"> be combined with other tasks.</w:t>
      </w:r>
    </w:p>
    <w:p w14:paraId="36DDE409" w14:textId="551A5F03" w:rsidR="00F6055A" w:rsidRPr="002C0B4F" w:rsidRDefault="00F6055A" w:rsidP="004F0931">
      <w:pPr>
        <w:spacing w:before="120" w:after="120" w:line="259" w:lineRule="auto"/>
        <w:ind w:left="720" w:hanging="720"/>
        <w:rPr>
          <w:rFonts w:ascii="Aptos" w:hAnsi="Aptos" w:cs="Tahoma"/>
          <w:b/>
          <w:bCs/>
        </w:rPr>
      </w:pPr>
      <w:r w:rsidRPr="002C0B4F">
        <w:rPr>
          <w:rFonts w:ascii="Aptos" w:hAnsi="Aptos" w:cs="Tahoma"/>
          <w:b/>
          <w:bCs/>
        </w:rPr>
        <w:t>Q</w:t>
      </w:r>
      <w:r w:rsidR="004168B9" w:rsidRPr="002C0B4F">
        <w:rPr>
          <w:rFonts w:ascii="Aptos" w:hAnsi="Aptos" w:cs="Tahoma"/>
          <w:b/>
          <w:bCs/>
        </w:rPr>
        <w:t>1</w:t>
      </w:r>
      <w:r w:rsidR="00593CA4" w:rsidRPr="002C0B4F">
        <w:rPr>
          <w:rFonts w:ascii="Aptos" w:hAnsi="Aptos" w:cs="Tahoma"/>
          <w:b/>
          <w:bCs/>
        </w:rPr>
        <w:t>5</w:t>
      </w:r>
      <w:r w:rsidRPr="002C0B4F">
        <w:rPr>
          <w:rFonts w:ascii="Aptos" w:hAnsi="Aptos" w:cs="Tahoma"/>
          <w:b/>
          <w:bCs/>
        </w:rPr>
        <w:t>:</w:t>
      </w:r>
      <w:r w:rsidRPr="002C0B4F">
        <w:rPr>
          <w:rFonts w:ascii="Aptos" w:hAnsi="Aptos" w:cs="Tahoma"/>
          <w:b/>
          <w:bCs/>
        </w:rPr>
        <w:tab/>
      </w:r>
      <w:r w:rsidR="000A420B" w:rsidRPr="002C0B4F">
        <w:rPr>
          <w:rFonts w:ascii="Aptos" w:hAnsi="Aptos" w:cs="Tahoma"/>
          <w:b/>
          <w:bCs/>
        </w:rPr>
        <w:t>C</w:t>
      </w:r>
      <w:r w:rsidRPr="002C0B4F">
        <w:rPr>
          <w:rFonts w:ascii="Aptos" w:hAnsi="Aptos" w:cs="Tahoma"/>
          <w:b/>
          <w:bCs/>
        </w:rPr>
        <w:t>an the CEC confirm the federal government would consider the selected Firm a “</w:t>
      </w:r>
      <w:r w:rsidR="00921C53" w:rsidRPr="002C0B4F">
        <w:rPr>
          <w:rFonts w:ascii="Aptos" w:hAnsi="Aptos" w:cs="Tahoma"/>
          <w:b/>
          <w:bCs/>
        </w:rPr>
        <w:t>C</w:t>
      </w:r>
      <w:r w:rsidRPr="002C0B4F">
        <w:rPr>
          <w:rFonts w:ascii="Aptos" w:hAnsi="Aptos" w:cs="Tahoma"/>
          <w:b/>
          <w:bCs/>
        </w:rPr>
        <w:t>ontractor” and not a “</w:t>
      </w:r>
      <w:r w:rsidR="00921C53" w:rsidRPr="002C0B4F">
        <w:rPr>
          <w:rFonts w:ascii="Aptos" w:hAnsi="Aptos" w:cs="Tahoma"/>
          <w:b/>
          <w:bCs/>
        </w:rPr>
        <w:t>S</w:t>
      </w:r>
      <w:r w:rsidRPr="002C0B4F">
        <w:rPr>
          <w:rFonts w:ascii="Aptos" w:hAnsi="Aptos" w:cs="Tahoma"/>
          <w:b/>
          <w:bCs/>
        </w:rPr>
        <w:t xml:space="preserve">ubrecipient”? This is important because some Firms hold </w:t>
      </w:r>
      <w:r w:rsidR="004168B9" w:rsidRPr="002C0B4F">
        <w:rPr>
          <w:rFonts w:ascii="Aptos" w:hAnsi="Aptos" w:cs="Tahoma"/>
          <w:b/>
          <w:bCs/>
        </w:rPr>
        <w:t xml:space="preserve">other contracts </w:t>
      </w:r>
      <w:r w:rsidRPr="002C0B4F">
        <w:rPr>
          <w:rFonts w:ascii="Aptos" w:hAnsi="Aptos" w:cs="Tahoma"/>
          <w:b/>
          <w:bCs/>
        </w:rPr>
        <w:t xml:space="preserve">with the CEC or DOE </w:t>
      </w:r>
      <w:r w:rsidR="003D7658" w:rsidRPr="002C0B4F">
        <w:rPr>
          <w:rFonts w:ascii="Aptos" w:hAnsi="Aptos" w:cs="Tahoma"/>
          <w:b/>
          <w:bCs/>
        </w:rPr>
        <w:t xml:space="preserve">that </w:t>
      </w:r>
      <w:r w:rsidRPr="002C0B4F">
        <w:rPr>
          <w:rFonts w:ascii="Aptos" w:hAnsi="Aptos" w:cs="Tahoma"/>
          <w:b/>
          <w:bCs/>
        </w:rPr>
        <w:t xml:space="preserve">may prevent them from serving </w:t>
      </w:r>
      <w:r w:rsidR="003D7658" w:rsidRPr="002C0B4F">
        <w:rPr>
          <w:rFonts w:ascii="Aptos" w:hAnsi="Aptos" w:cs="Tahoma"/>
          <w:b/>
          <w:bCs/>
        </w:rPr>
        <w:t xml:space="preserve">as </w:t>
      </w:r>
      <w:r w:rsidR="004C1B2C" w:rsidRPr="002C0B4F">
        <w:rPr>
          <w:rFonts w:ascii="Aptos" w:hAnsi="Aptos" w:cs="Tahoma"/>
          <w:b/>
          <w:bCs/>
        </w:rPr>
        <w:t>S</w:t>
      </w:r>
      <w:r w:rsidR="003D7658" w:rsidRPr="002C0B4F">
        <w:rPr>
          <w:rFonts w:ascii="Aptos" w:hAnsi="Aptos" w:cs="Tahoma"/>
          <w:b/>
          <w:bCs/>
        </w:rPr>
        <w:t>ubrecipients</w:t>
      </w:r>
      <w:r w:rsidRPr="002C0B4F">
        <w:rPr>
          <w:rFonts w:ascii="Aptos" w:hAnsi="Aptos" w:cs="Tahoma"/>
          <w:b/>
          <w:bCs/>
        </w:rPr>
        <w:t xml:space="preserve">. </w:t>
      </w:r>
    </w:p>
    <w:p w14:paraId="5925B0F8" w14:textId="3997ACC7" w:rsidR="00050DE4" w:rsidRPr="002C0B4F" w:rsidRDefault="00F6055A" w:rsidP="004F0931">
      <w:pPr>
        <w:spacing w:before="120" w:after="120" w:line="259" w:lineRule="auto"/>
        <w:ind w:left="720" w:hanging="720"/>
        <w:rPr>
          <w:rFonts w:ascii="Aptos" w:hAnsi="Aptos" w:cs="Tahoma"/>
        </w:rPr>
      </w:pPr>
      <w:r w:rsidRPr="002C0B4F">
        <w:rPr>
          <w:rFonts w:ascii="Aptos" w:hAnsi="Aptos" w:cs="Tahoma"/>
        </w:rPr>
        <w:t>A</w:t>
      </w:r>
      <w:r w:rsidR="004168B9" w:rsidRPr="002C0B4F">
        <w:rPr>
          <w:rFonts w:ascii="Aptos" w:hAnsi="Aptos" w:cs="Tahoma"/>
        </w:rPr>
        <w:t>1</w:t>
      </w:r>
      <w:r w:rsidR="00593CA4" w:rsidRPr="002C0B4F">
        <w:rPr>
          <w:rFonts w:ascii="Aptos" w:hAnsi="Aptos" w:cs="Tahoma"/>
        </w:rPr>
        <w:t>5</w:t>
      </w:r>
      <w:r w:rsidR="004168B9" w:rsidRPr="002C0B4F">
        <w:rPr>
          <w:rFonts w:ascii="Aptos" w:hAnsi="Aptos" w:cs="Tahoma"/>
        </w:rPr>
        <w:t>:</w:t>
      </w:r>
      <w:r w:rsidRPr="002C0B4F">
        <w:rPr>
          <w:rFonts w:ascii="Aptos" w:hAnsi="Aptos" w:cs="Tahoma"/>
        </w:rPr>
        <w:tab/>
      </w:r>
      <w:r w:rsidR="00045F91" w:rsidRPr="002C0B4F">
        <w:rPr>
          <w:rFonts w:ascii="Aptos" w:hAnsi="Aptos" w:cs="Tahoma"/>
        </w:rPr>
        <w:t xml:space="preserve">Yes, </w:t>
      </w:r>
      <w:r w:rsidR="00C70789" w:rsidRPr="002C0B4F">
        <w:rPr>
          <w:rFonts w:ascii="Aptos" w:hAnsi="Aptos" w:cs="Tahoma"/>
        </w:rPr>
        <w:t xml:space="preserve">as the </w:t>
      </w:r>
      <w:r w:rsidR="00921C53" w:rsidRPr="002C0B4F">
        <w:rPr>
          <w:rFonts w:ascii="Aptos" w:hAnsi="Aptos" w:cs="Tahoma"/>
        </w:rPr>
        <w:t>R</w:t>
      </w:r>
      <w:r w:rsidR="00C70789" w:rsidRPr="002C0B4F">
        <w:rPr>
          <w:rFonts w:ascii="Aptos" w:hAnsi="Aptos" w:cs="Tahoma"/>
        </w:rPr>
        <w:t>ecipient of th</w:t>
      </w:r>
      <w:r w:rsidR="00942D76" w:rsidRPr="002C0B4F">
        <w:rPr>
          <w:rFonts w:ascii="Aptos" w:hAnsi="Aptos" w:cs="Tahoma"/>
        </w:rPr>
        <w:t xml:space="preserve">e IRA Codes Award from DOE, the CEC has determined that </w:t>
      </w:r>
      <w:r w:rsidR="00045F91" w:rsidRPr="002C0B4F">
        <w:rPr>
          <w:rFonts w:ascii="Aptos" w:hAnsi="Aptos" w:cs="Tahoma"/>
        </w:rPr>
        <w:t>a</w:t>
      </w:r>
      <w:r w:rsidR="003D7658" w:rsidRPr="002C0B4F">
        <w:rPr>
          <w:rFonts w:ascii="Aptos" w:hAnsi="Aptos" w:cs="Tahoma"/>
        </w:rPr>
        <w:t xml:space="preserve">ll Firms participating in the agreement resulting from this solicitation will be </w:t>
      </w:r>
      <w:r w:rsidR="00B87A37" w:rsidRPr="002C0B4F">
        <w:rPr>
          <w:rFonts w:ascii="Aptos" w:hAnsi="Aptos" w:cs="Tahoma"/>
        </w:rPr>
        <w:t>C</w:t>
      </w:r>
      <w:r w:rsidR="003D7658" w:rsidRPr="002C0B4F">
        <w:rPr>
          <w:rFonts w:ascii="Aptos" w:hAnsi="Aptos" w:cs="Tahoma"/>
        </w:rPr>
        <w:t xml:space="preserve">ontractors and </w:t>
      </w:r>
      <w:r w:rsidR="00B87A37" w:rsidRPr="002C0B4F">
        <w:rPr>
          <w:rFonts w:ascii="Aptos" w:hAnsi="Aptos" w:cs="Tahoma"/>
        </w:rPr>
        <w:t>S</w:t>
      </w:r>
      <w:r w:rsidR="003D7658" w:rsidRPr="002C0B4F">
        <w:rPr>
          <w:rFonts w:ascii="Aptos" w:hAnsi="Aptos" w:cs="Tahoma"/>
        </w:rPr>
        <w:t>ubcontractors</w:t>
      </w:r>
      <w:r w:rsidR="00495285" w:rsidRPr="002C0B4F">
        <w:rPr>
          <w:rFonts w:ascii="Aptos" w:hAnsi="Aptos" w:cs="Tahoma"/>
        </w:rPr>
        <w:t>,</w:t>
      </w:r>
      <w:r w:rsidR="003D7658" w:rsidRPr="002C0B4F">
        <w:rPr>
          <w:rFonts w:ascii="Aptos" w:hAnsi="Aptos" w:cs="Tahoma"/>
        </w:rPr>
        <w:t xml:space="preserve"> </w:t>
      </w:r>
      <w:r w:rsidR="00A96A43" w:rsidRPr="002C0B4F">
        <w:rPr>
          <w:rFonts w:ascii="Aptos" w:hAnsi="Aptos" w:cs="Tahoma"/>
        </w:rPr>
        <w:t xml:space="preserve">not </w:t>
      </w:r>
      <w:r w:rsidR="004C1B2C" w:rsidRPr="002C0B4F">
        <w:rPr>
          <w:rFonts w:ascii="Aptos" w:hAnsi="Aptos" w:cs="Tahoma"/>
        </w:rPr>
        <w:t>S</w:t>
      </w:r>
      <w:r w:rsidR="00A96A43" w:rsidRPr="002C0B4F">
        <w:rPr>
          <w:rFonts w:ascii="Aptos" w:hAnsi="Aptos" w:cs="Tahoma"/>
        </w:rPr>
        <w:t>ubrecipients</w:t>
      </w:r>
      <w:r w:rsidR="003D7658" w:rsidRPr="002C0B4F">
        <w:rPr>
          <w:rFonts w:ascii="Aptos" w:hAnsi="Aptos" w:cs="Tahoma"/>
        </w:rPr>
        <w:t>.</w:t>
      </w:r>
      <w:r w:rsidR="006C6DF7" w:rsidRPr="002C0B4F">
        <w:rPr>
          <w:rFonts w:ascii="Aptos" w:hAnsi="Aptos" w:cs="Tahoma"/>
        </w:rPr>
        <w:t xml:space="preserve"> </w:t>
      </w:r>
    </w:p>
    <w:p w14:paraId="106656E4" w14:textId="24F4A9E0" w:rsidR="000A1C7D" w:rsidRPr="002C0B4F" w:rsidRDefault="006C6DF7" w:rsidP="004F0931">
      <w:pPr>
        <w:spacing w:before="120" w:after="120" w:line="259" w:lineRule="auto"/>
        <w:ind w:left="720"/>
        <w:rPr>
          <w:rFonts w:ascii="Aptos" w:hAnsi="Aptos" w:cs="Tahoma"/>
        </w:rPr>
      </w:pPr>
      <w:r w:rsidRPr="002C0B4F">
        <w:rPr>
          <w:rFonts w:ascii="Aptos" w:hAnsi="Aptos" w:cs="Tahoma"/>
        </w:rPr>
        <w:t>As</w:t>
      </w:r>
      <w:r w:rsidR="00C70789" w:rsidRPr="002C0B4F">
        <w:rPr>
          <w:rFonts w:ascii="Aptos" w:hAnsi="Aptos" w:cs="Tahoma"/>
        </w:rPr>
        <w:t xml:space="preserve"> </w:t>
      </w:r>
      <w:r w:rsidR="00462A6D" w:rsidRPr="002C0B4F">
        <w:rPr>
          <w:rFonts w:ascii="Aptos" w:hAnsi="Aptos" w:cs="Tahoma"/>
        </w:rPr>
        <w:t>stated in</w:t>
      </w:r>
      <w:r w:rsidRPr="002C0B4F">
        <w:rPr>
          <w:rFonts w:ascii="Aptos" w:hAnsi="Aptos" w:cs="Tahoma"/>
        </w:rPr>
        <w:t xml:space="preserve"> in </w:t>
      </w:r>
      <w:hyperlink r:id="rId25" w:history="1">
        <w:r w:rsidRPr="002C0B4F">
          <w:rPr>
            <w:rStyle w:val="Hyperlink"/>
            <w:rFonts w:ascii="Aptos" w:hAnsi="Aptos" w:cs="Tahoma"/>
          </w:rPr>
          <w:t>2 CFR 200.331</w:t>
        </w:r>
      </w:hyperlink>
      <w:r w:rsidR="00401215" w:rsidRPr="002C0B4F">
        <w:rPr>
          <w:rFonts w:ascii="Aptos" w:hAnsi="Aptos" w:cs="Tahoma"/>
        </w:rPr>
        <w:t xml:space="preserve"> (https://www.ecfr.gov/current/title-2/subtitle-A/chapter-II/part-200/subpart-D/subject-group-ECFR031321e29ac5bbd/section-200.331)</w:t>
      </w:r>
      <w:r w:rsidRPr="002C0B4F">
        <w:rPr>
          <w:rFonts w:ascii="Aptos" w:hAnsi="Aptos" w:cs="Tahoma"/>
        </w:rPr>
        <w:t xml:space="preserve">, </w:t>
      </w:r>
      <w:r w:rsidR="00462A6D" w:rsidRPr="002C0B4F">
        <w:rPr>
          <w:rFonts w:ascii="Aptos" w:hAnsi="Aptos" w:cs="Tahoma"/>
        </w:rPr>
        <w:t xml:space="preserve">“The pass-through entity is responsible for making case-by-case determinations to determine whether the entity receiving Federal funds is a </w:t>
      </w:r>
      <w:r w:rsidR="00921C53" w:rsidRPr="002C0B4F">
        <w:rPr>
          <w:rFonts w:ascii="Aptos" w:hAnsi="Aptos" w:cs="Tahoma"/>
        </w:rPr>
        <w:t>S</w:t>
      </w:r>
      <w:r w:rsidR="00462A6D" w:rsidRPr="002C0B4F">
        <w:rPr>
          <w:rFonts w:ascii="Aptos" w:hAnsi="Aptos" w:cs="Tahoma"/>
        </w:rPr>
        <w:t xml:space="preserve">ubrecipient or a </w:t>
      </w:r>
      <w:r w:rsidR="00921C53" w:rsidRPr="002C0B4F">
        <w:rPr>
          <w:rFonts w:ascii="Aptos" w:hAnsi="Aptos" w:cs="Tahoma"/>
        </w:rPr>
        <w:t>C</w:t>
      </w:r>
      <w:r w:rsidR="00462A6D" w:rsidRPr="002C0B4F">
        <w:rPr>
          <w:rFonts w:ascii="Aptos" w:hAnsi="Aptos" w:cs="Tahoma"/>
        </w:rPr>
        <w:t xml:space="preserve">ontractor.” </w:t>
      </w:r>
    </w:p>
    <w:p w14:paraId="7981FFD6" w14:textId="308F9C27" w:rsidR="00F6055A" w:rsidRPr="002C0B4F" w:rsidRDefault="00462A6D" w:rsidP="004F0931">
      <w:pPr>
        <w:spacing w:before="120" w:after="120" w:line="259" w:lineRule="auto"/>
        <w:ind w:left="720"/>
        <w:rPr>
          <w:rFonts w:ascii="Aptos" w:hAnsi="Aptos" w:cs="Tahoma"/>
        </w:rPr>
      </w:pPr>
      <w:r w:rsidRPr="002C0B4F">
        <w:rPr>
          <w:rFonts w:ascii="Aptos" w:hAnsi="Aptos" w:cs="Tahoma"/>
        </w:rPr>
        <w:t xml:space="preserve">Additionally, 2 CFR 200.331 also states, </w:t>
      </w:r>
      <w:r w:rsidR="00B204C3" w:rsidRPr="002C0B4F">
        <w:rPr>
          <w:rFonts w:ascii="Aptos" w:hAnsi="Aptos" w:cs="Tahoma"/>
        </w:rPr>
        <w:t>“A contract is for the purpose of obtaining goods and services for the recipient's or subrecipient's use and creates a procurement relationship with a contractor.”</w:t>
      </w:r>
      <w:r w:rsidR="00E93144" w:rsidRPr="002C0B4F">
        <w:rPr>
          <w:rFonts w:ascii="Aptos" w:hAnsi="Aptos" w:cs="Tahoma"/>
        </w:rPr>
        <w:t xml:space="preserve"> </w:t>
      </w:r>
    </w:p>
    <w:p w14:paraId="7CEFF846" w14:textId="28A9C7BE" w:rsidR="00B96397" w:rsidRPr="002C0B4F" w:rsidRDefault="00B96397" w:rsidP="004F0931">
      <w:pPr>
        <w:spacing w:before="120" w:after="120" w:line="259" w:lineRule="auto"/>
        <w:ind w:left="720" w:hanging="720"/>
        <w:rPr>
          <w:rFonts w:ascii="Aptos" w:hAnsi="Aptos" w:cs="Tahoma"/>
          <w:b/>
          <w:bCs/>
        </w:rPr>
      </w:pPr>
      <w:r w:rsidRPr="002C0B4F">
        <w:rPr>
          <w:rFonts w:ascii="Aptos" w:hAnsi="Aptos" w:cs="Tahoma"/>
          <w:b/>
          <w:bCs/>
        </w:rPr>
        <w:t>Q</w:t>
      </w:r>
      <w:r w:rsidR="00077802" w:rsidRPr="002C0B4F">
        <w:rPr>
          <w:rFonts w:ascii="Aptos" w:hAnsi="Aptos" w:cs="Tahoma"/>
          <w:b/>
          <w:bCs/>
        </w:rPr>
        <w:t>1</w:t>
      </w:r>
      <w:r w:rsidR="00593CA4" w:rsidRPr="002C0B4F">
        <w:rPr>
          <w:rFonts w:ascii="Aptos" w:hAnsi="Aptos" w:cs="Tahoma"/>
          <w:b/>
          <w:bCs/>
        </w:rPr>
        <w:t>6</w:t>
      </w:r>
      <w:r w:rsidRPr="002C0B4F">
        <w:rPr>
          <w:rFonts w:ascii="Aptos" w:hAnsi="Aptos" w:cs="Tahoma"/>
          <w:b/>
          <w:bCs/>
        </w:rPr>
        <w:t>:</w:t>
      </w:r>
      <w:r w:rsidRPr="002C0B4F">
        <w:rPr>
          <w:rFonts w:ascii="Aptos" w:hAnsi="Aptos" w:cs="Tahoma"/>
          <w:b/>
          <w:bCs/>
        </w:rPr>
        <w:tab/>
      </w:r>
      <w:r w:rsidR="001A6521" w:rsidRPr="002C0B4F">
        <w:rPr>
          <w:rFonts w:ascii="Aptos" w:hAnsi="Aptos" w:cs="Tahoma"/>
          <w:b/>
          <w:bCs/>
        </w:rPr>
        <w:t xml:space="preserve">Exhibit F of </w:t>
      </w:r>
      <w:r w:rsidRPr="002C0B4F">
        <w:rPr>
          <w:rFonts w:ascii="Aptos" w:hAnsi="Aptos" w:cs="Tahoma"/>
          <w:b/>
          <w:bCs/>
        </w:rPr>
        <w:t xml:space="preserve">Attachment 6, Standard Agreement Example </w:t>
      </w:r>
      <w:r w:rsidR="003A6D1D" w:rsidRPr="002C0B4F">
        <w:rPr>
          <w:rFonts w:ascii="Aptos" w:hAnsi="Aptos" w:cs="Tahoma"/>
          <w:b/>
          <w:bCs/>
        </w:rPr>
        <w:t xml:space="preserve">indicates that </w:t>
      </w:r>
      <w:r w:rsidR="0028361A" w:rsidRPr="002C0B4F">
        <w:rPr>
          <w:rFonts w:ascii="Aptos" w:hAnsi="Aptos" w:cs="Tahoma"/>
          <w:b/>
          <w:bCs/>
        </w:rPr>
        <w:t>contract</w:t>
      </w:r>
      <w:r w:rsidR="00E95B05" w:rsidRPr="002C0B4F">
        <w:rPr>
          <w:rFonts w:ascii="Aptos" w:hAnsi="Aptos" w:cs="Tahoma"/>
          <w:b/>
          <w:bCs/>
        </w:rPr>
        <w:t xml:space="preserve">s </w:t>
      </w:r>
      <w:r w:rsidR="0028361A" w:rsidRPr="002C0B4F">
        <w:rPr>
          <w:rFonts w:ascii="Aptos" w:hAnsi="Aptos" w:cs="Tahoma"/>
          <w:b/>
          <w:bCs/>
        </w:rPr>
        <w:t>and subcontract</w:t>
      </w:r>
      <w:r w:rsidR="00E95B05" w:rsidRPr="002C0B4F">
        <w:rPr>
          <w:rFonts w:ascii="Aptos" w:hAnsi="Aptos" w:cs="Tahoma"/>
          <w:b/>
          <w:bCs/>
        </w:rPr>
        <w:t>s</w:t>
      </w:r>
      <w:r w:rsidR="0028361A" w:rsidRPr="002C0B4F">
        <w:rPr>
          <w:rFonts w:ascii="Aptos" w:hAnsi="Aptos" w:cs="Tahoma"/>
          <w:b/>
          <w:bCs/>
        </w:rPr>
        <w:t xml:space="preserve"> </w:t>
      </w:r>
      <w:r w:rsidR="001A6521" w:rsidRPr="002C0B4F">
        <w:rPr>
          <w:rFonts w:ascii="Aptos" w:hAnsi="Aptos" w:cs="Tahoma"/>
          <w:b/>
          <w:bCs/>
        </w:rPr>
        <w:t xml:space="preserve">exceeding </w:t>
      </w:r>
      <w:r w:rsidR="00E95B05" w:rsidRPr="002C0B4F">
        <w:rPr>
          <w:rFonts w:ascii="Aptos" w:hAnsi="Aptos" w:cs="Tahoma"/>
          <w:b/>
          <w:bCs/>
        </w:rPr>
        <w:t xml:space="preserve">$150,000 </w:t>
      </w:r>
      <w:r w:rsidR="0059050A" w:rsidRPr="002C0B4F">
        <w:rPr>
          <w:rFonts w:ascii="Aptos" w:hAnsi="Aptos" w:cs="Tahoma"/>
          <w:b/>
          <w:bCs/>
        </w:rPr>
        <w:t xml:space="preserve">must </w:t>
      </w:r>
      <w:r w:rsidR="003A5141" w:rsidRPr="002C0B4F">
        <w:rPr>
          <w:rFonts w:ascii="Aptos" w:hAnsi="Aptos" w:cs="Tahoma"/>
          <w:b/>
          <w:bCs/>
        </w:rPr>
        <w:t>comply w</w:t>
      </w:r>
      <w:r w:rsidR="00097072" w:rsidRPr="002C0B4F">
        <w:rPr>
          <w:rFonts w:ascii="Aptos" w:hAnsi="Aptos" w:cs="Tahoma"/>
          <w:b/>
          <w:bCs/>
        </w:rPr>
        <w:t>ith the Clean Air Act and Federal Water Pollution Control Act</w:t>
      </w:r>
      <w:r w:rsidR="00A05699" w:rsidRPr="002C0B4F">
        <w:rPr>
          <w:rFonts w:ascii="Aptos" w:hAnsi="Aptos" w:cs="Tahoma"/>
          <w:b/>
          <w:bCs/>
        </w:rPr>
        <w:t xml:space="preserve">. Is this true for </w:t>
      </w:r>
      <w:r w:rsidR="009747FC" w:rsidRPr="002C0B4F">
        <w:rPr>
          <w:rFonts w:ascii="Aptos" w:hAnsi="Aptos" w:cs="Tahoma"/>
          <w:b/>
          <w:bCs/>
        </w:rPr>
        <w:t>R</w:t>
      </w:r>
      <w:r w:rsidR="00E74D54" w:rsidRPr="002C0B4F">
        <w:rPr>
          <w:rFonts w:ascii="Aptos" w:hAnsi="Aptos" w:cs="Tahoma"/>
          <w:b/>
          <w:bCs/>
        </w:rPr>
        <w:t>ecipients,</w:t>
      </w:r>
      <w:r w:rsidR="009747FC" w:rsidRPr="002C0B4F">
        <w:rPr>
          <w:rFonts w:ascii="Aptos" w:hAnsi="Aptos" w:cs="Tahoma"/>
          <w:b/>
          <w:bCs/>
        </w:rPr>
        <w:t xml:space="preserve"> S</w:t>
      </w:r>
      <w:r w:rsidR="00E74D54" w:rsidRPr="002C0B4F">
        <w:rPr>
          <w:rFonts w:ascii="Aptos" w:hAnsi="Aptos" w:cs="Tahoma"/>
          <w:b/>
          <w:bCs/>
        </w:rPr>
        <w:t xml:space="preserve">ubrecipients, and </w:t>
      </w:r>
      <w:r w:rsidR="009747FC" w:rsidRPr="002C0B4F">
        <w:rPr>
          <w:rFonts w:ascii="Aptos" w:hAnsi="Aptos" w:cs="Tahoma"/>
          <w:b/>
          <w:bCs/>
        </w:rPr>
        <w:t>C</w:t>
      </w:r>
      <w:r w:rsidR="00E74D54" w:rsidRPr="002C0B4F">
        <w:rPr>
          <w:rFonts w:ascii="Aptos" w:hAnsi="Aptos" w:cs="Tahoma"/>
          <w:b/>
          <w:bCs/>
        </w:rPr>
        <w:t>ontractors as defin</w:t>
      </w:r>
      <w:r w:rsidR="001A6521" w:rsidRPr="002C0B4F">
        <w:rPr>
          <w:rFonts w:ascii="Aptos" w:hAnsi="Aptos" w:cs="Tahoma"/>
          <w:b/>
          <w:bCs/>
        </w:rPr>
        <w:t>ed</w:t>
      </w:r>
      <w:r w:rsidR="00E74D54" w:rsidRPr="002C0B4F">
        <w:rPr>
          <w:rFonts w:ascii="Aptos" w:hAnsi="Aptos" w:cs="Tahoma"/>
          <w:b/>
          <w:bCs/>
        </w:rPr>
        <w:t xml:space="preserve"> in federal regulations?</w:t>
      </w:r>
    </w:p>
    <w:p w14:paraId="5B554385" w14:textId="65003B17" w:rsidR="00E74D54" w:rsidRPr="002C0B4F" w:rsidRDefault="00E74D54" w:rsidP="004F0931">
      <w:pPr>
        <w:spacing w:before="120" w:after="120" w:line="259" w:lineRule="auto"/>
        <w:ind w:left="720" w:hanging="720"/>
        <w:rPr>
          <w:rFonts w:ascii="Aptos" w:hAnsi="Aptos" w:cs="Tahoma"/>
        </w:rPr>
      </w:pPr>
      <w:r w:rsidRPr="002C0B4F">
        <w:rPr>
          <w:rFonts w:ascii="Aptos" w:hAnsi="Aptos" w:cs="Tahoma"/>
        </w:rPr>
        <w:t>A</w:t>
      </w:r>
      <w:r w:rsidR="00077802" w:rsidRPr="002C0B4F">
        <w:rPr>
          <w:rFonts w:ascii="Aptos" w:hAnsi="Aptos" w:cs="Tahoma"/>
        </w:rPr>
        <w:t>1</w:t>
      </w:r>
      <w:r w:rsidR="00593CA4" w:rsidRPr="002C0B4F">
        <w:rPr>
          <w:rFonts w:ascii="Aptos" w:hAnsi="Aptos" w:cs="Tahoma"/>
        </w:rPr>
        <w:t>6</w:t>
      </w:r>
      <w:r w:rsidRPr="002C0B4F">
        <w:rPr>
          <w:rFonts w:ascii="Aptos" w:hAnsi="Aptos" w:cs="Tahoma"/>
        </w:rPr>
        <w:t>:</w:t>
      </w:r>
      <w:r w:rsidR="00A00D27" w:rsidRPr="002C0B4F">
        <w:rPr>
          <w:rFonts w:ascii="Aptos" w:hAnsi="Aptos" w:cs="Tahoma"/>
        </w:rPr>
        <w:tab/>
      </w:r>
      <w:r w:rsidR="002D4CE3" w:rsidRPr="002C0B4F">
        <w:rPr>
          <w:rFonts w:ascii="Aptos" w:hAnsi="Aptos" w:cs="Tahoma"/>
        </w:rPr>
        <w:t xml:space="preserve">As the </w:t>
      </w:r>
      <w:r w:rsidR="00921C53" w:rsidRPr="002C0B4F">
        <w:rPr>
          <w:rFonts w:ascii="Aptos" w:hAnsi="Aptos" w:cs="Tahoma"/>
        </w:rPr>
        <w:t>R</w:t>
      </w:r>
      <w:r w:rsidR="002D4CE3" w:rsidRPr="002C0B4F">
        <w:rPr>
          <w:rFonts w:ascii="Aptos" w:hAnsi="Aptos" w:cs="Tahoma"/>
        </w:rPr>
        <w:t xml:space="preserve">ecipient of the IRA Codes Award from DOE, the CEC has determined that all Firms participating in the agreement resulting from this solicitation will be </w:t>
      </w:r>
      <w:r w:rsidR="00B87A37" w:rsidRPr="002C0B4F">
        <w:rPr>
          <w:rFonts w:ascii="Aptos" w:hAnsi="Aptos" w:cs="Tahoma"/>
        </w:rPr>
        <w:t>C</w:t>
      </w:r>
      <w:r w:rsidR="002D4CE3" w:rsidRPr="002C0B4F">
        <w:rPr>
          <w:rFonts w:ascii="Aptos" w:hAnsi="Aptos" w:cs="Tahoma"/>
        </w:rPr>
        <w:t xml:space="preserve">ontractors and </w:t>
      </w:r>
      <w:r w:rsidR="00B87A37" w:rsidRPr="002C0B4F">
        <w:rPr>
          <w:rFonts w:ascii="Aptos" w:hAnsi="Aptos" w:cs="Tahoma"/>
        </w:rPr>
        <w:t>S</w:t>
      </w:r>
      <w:r w:rsidR="002D4CE3" w:rsidRPr="002C0B4F">
        <w:rPr>
          <w:rFonts w:ascii="Aptos" w:hAnsi="Aptos" w:cs="Tahoma"/>
        </w:rPr>
        <w:t xml:space="preserve">ubcontractors, not </w:t>
      </w:r>
      <w:r w:rsidR="0068246E" w:rsidRPr="002C0B4F">
        <w:rPr>
          <w:rFonts w:ascii="Aptos" w:hAnsi="Aptos" w:cs="Tahoma"/>
        </w:rPr>
        <w:t>S</w:t>
      </w:r>
      <w:r w:rsidR="002D4CE3" w:rsidRPr="002C0B4F">
        <w:rPr>
          <w:rFonts w:ascii="Aptos" w:hAnsi="Aptos" w:cs="Tahoma"/>
        </w:rPr>
        <w:t xml:space="preserve">ubrecipients. </w:t>
      </w:r>
      <w:r w:rsidR="00AA12EB" w:rsidRPr="002C0B4F">
        <w:rPr>
          <w:rFonts w:ascii="Aptos" w:hAnsi="Aptos" w:cs="Tahoma"/>
        </w:rPr>
        <w:t>T</w:t>
      </w:r>
      <w:r w:rsidR="00B87A37" w:rsidRPr="002C0B4F">
        <w:rPr>
          <w:rFonts w:ascii="Aptos" w:hAnsi="Aptos" w:cs="Tahoma"/>
        </w:rPr>
        <w:t>he Prime Contractor and any Subcontractor Firms who receive $150,000 or more in</w:t>
      </w:r>
      <w:r w:rsidR="00AA12EB" w:rsidRPr="002C0B4F">
        <w:rPr>
          <w:rFonts w:ascii="Aptos" w:hAnsi="Aptos" w:cs="Tahoma"/>
        </w:rPr>
        <w:t xml:space="preserve"> </w:t>
      </w:r>
      <w:r w:rsidR="00B87A37" w:rsidRPr="002C0B4F">
        <w:rPr>
          <w:rFonts w:ascii="Aptos" w:hAnsi="Aptos" w:cs="Tahoma"/>
        </w:rPr>
        <w:t>funds</w:t>
      </w:r>
      <w:r w:rsidR="00AA12EB" w:rsidRPr="002C0B4F">
        <w:rPr>
          <w:rFonts w:ascii="Aptos" w:hAnsi="Aptos" w:cs="Tahoma"/>
        </w:rPr>
        <w:t xml:space="preserve"> via the contract resulting from this solicitation</w:t>
      </w:r>
      <w:r w:rsidR="002D6F81" w:rsidRPr="002C0B4F">
        <w:rPr>
          <w:rFonts w:ascii="Aptos" w:hAnsi="Aptos" w:cs="Tahoma"/>
        </w:rPr>
        <w:t xml:space="preserve"> must comply with all applicable </w:t>
      </w:r>
      <w:r w:rsidR="0068246E" w:rsidRPr="002C0B4F">
        <w:rPr>
          <w:rFonts w:ascii="Aptos" w:hAnsi="Aptos" w:cs="Tahoma"/>
        </w:rPr>
        <w:t xml:space="preserve">standards, orders, or </w:t>
      </w:r>
      <w:r w:rsidR="0068246E" w:rsidRPr="002C0B4F">
        <w:rPr>
          <w:rFonts w:ascii="Aptos" w:hAnsi="Aptos" w:cs="Tahoma"/>
        </w:rPr>
        <w:lastRenderedPageBreak/>
        <w:t xml:space="preserve">regulations issued pursuant to </w:t>
      </w:r>
      <w:r w:rsidR="002D6F81" w:rsidRPr="002C0B4F">
        <w:rPr>
          <w:rFonts w:ascii="Aptos" w:hAnsi="Aptos" w:cs="Tahoma"/>
        </w:rPr>
        <w:t>the Clean Air Act and Federal Water Pollution Control Act</w:t>
      </w:r>
      <w:r w:rsidR="00B87A37" w:rsidRPr="002C0B4F">
        <w:rPr>
          <w:rFonts w:ascii="Aptos" w:hAnsi="Aptos" w:cs="Tahoma"/>
        </w:rPr>
        <w:t>.</w:t>
      </w:r>
      <w:r w:rsidR="008C11B8" w:rsidRPr="002C0B4F">
        <w:rPr>
          <w:rFonts w:ascii="Aptos" w:hAnsi="Aptos" w:cs="Tahoma"/>
        </w:rPr>
        <w:t xml:space="preserve"> For more information, please see</w:t>
      </w:r>
      <w:r w:rsidR="00225CAC" w:rsidRPr="002C0B4F">
        <w:rPr>
          <w:rFonts w:ascii="Aptos" w:hAnsi="Aptos" w:cs="Tahoma"/>
        </w:rPr>
        <w:t xml:space="preserve"> </w:t>
      </w:r>
      <w:r w:rsidR="008C11B8" w:rsidRPr="002C0B4F">
        <w:rPr>
          <w:rFonts w:ascii="Aptos" w:hAnsi="Aptos" w:cs="Tahoma"/>
        </w:rPr>
        <w:t xml:space="preserve">Attachment 6, Standard Agreement Example available on the </w:t>
      </w:r>
      <w:hyperlink r:id="rId26" w:history="1">
        <w:r w:rsidR="008C11B8" w:rsidRPr="002C0B4F">
          <w:rPr>
            <w:rStyle w:val="Hyperlink"/>
            <w:rFonts w:ascii="Aptos" w:hAnsi="Aptos" w:cs="Tahoma"/>
          </w:rPr>
          <w:t>RFQ-25-401 solicitation webpage</w:t>
        </w:r>
      </w:hyperlink>
      <w:r w:rsidR="008C11B8" w:rsidRPr="002C0B4F">
        <w:rPr>
          <w:rFonts w:ascii="Aptos" w:hAnsi="Aptos" w:cs="Tahoma"/>
        </w:rPr>
        <w:t xml:space="preserve"> (https://www.energy.ca.gov/solicitations/2026-05/rfq-25-401-energy-code-compliance-evaluation-support). </w:t>
      </w:r>
    </w:p>
    <w:p w14:paraId="092E47D6" w14:textId="7DD2D60E" w:rsidR="00045595" w:rsidRPr="002C0B4F" w:rsidRDefault="00045595" w:rsidP="004F0931">
      <w:pPr>
        <w:spacing w:before="120" w:after="120" w:line="259" w:lineRule="auto"/>
        <w:ind w:left="720" w:hanging="720"/>
        <w:rPr>
          <w:rFonts w:ascii="Aptos" w:hAnsi="Aptos" w:cs="Tahoma"/>
          <w:b/>
          <w:bCs/>
        </w:rPr>
      </w:pPr>
      <w:r w:rsidRPr="002C0B4F">
        <w:rPr>
          <w:rFonts w:ascii="Aptos" w:hAnsi="Aptos" w:cs="Tahoma"/>
          <w:b/>
          <w:bCs/>
        </w:rPr>
        <w:t>Q</w:t>
      </w:r>
      <w:r w:rsidR="00077802" w:rsidRPr="002C0B4F">
        <w:rPr>
          <w:rFonts w:ascii="Aptos" w:hAnsi="Aptos" w:cs="Tahoma"/>
          <w:b/>
          <w:bCs/>
        </w:rPr>
        <w:t>1</w:t>
      </w:r>
      <w:r w:rsidR="00593CA4" w:rsidRPr="002C0B4F">
        <w:rPr>
          <w:rFonts w:ascii="Aptos" w:hAnsi="Aptos" w:cs="Tahoma"/>
          <w:b/>
          <w:bCs/>
        </w:rPr>
        <w:t>7</w:t>
      </w:r>
      <w:r w:rsidRPr="002C0B4F">
        <w:rPr>
          <w:rFonts w:ascii="Aptos" w:hAnsi="Aptos" w:cs="Tahoma"/>
          <w:b/>
          <w:bCs/>
        </w:rPr>
        <w:t>:</w:t>
      </w:r>
      <w:r w:rsidRPr="002C0B4F">
        <w:rPr>
          <w:rFonts w:ascii="Aptos" w:hAnsi="Aptos" w:cs="Tahoma"/>
          <w:b/>
          <w:bCs/>
        </w:rPr>
        <w:tab/>
        <w:t xml:space="preserve">In the event of a discrepancy between the Prime </w:t>
      </w:r>
      <w:r w:rsidR="009747FC" w:rsidRPr="002C0B4F">
        <w:rPr>
          <w:rFonts w:ascii="Aptos" w:hAnsi="Aptos" w:cs="Tahoma"/>
          <w:b/>
          <w:bCs/>
        </w:rPr>
        <w:t>C</w:t>
      </w:r>
      <w:r w:rsidRPr="002C0B4F">
        <w:rPr>
          <w:rFonts w:ascii="Aptos" w:hAnsi="Aptos" w:cs="Tahoma"/>
          <w:b/>
          <w:bCs/>
        </w:rPr>
        <w:t>ontractor and the CEC</w:t>
      </w:r>
      <w:r w:rsidR="008A5085" w:rsidRPr="002C0B4F">
        <w:rPr>
          <w:rFonts w:ascii="Aptos" w:hAnsi="Aptos" w:cs="Tahoma"/>
          <w:b/>
          <w:bCs/>
        </w:rPr>
        <w:t xml:space="preserve"> regarding the selection of a </w:t>
      </w:r>
      <w:r w:rsidR="009747FC" w:rsidRPr="002C0B4F">
        <w:rPr>
          <w:rFonts w:ascii="Aptos" w:hAnsi="Aptos" w:cs="Tahoma"/>
          <w:b/>
          <w:bCs/>
        </w:rPr>
        <w:t>S</w:t>
      </w:r>
      <w:r w:rsidR="008A5085" w:rsidRPr="002C0B4F">
        <w:rPr>
          <w:rFonts w:ascii="Aptos" w:hAnsi="Aptos" w:cs="Tahoma"/>
          <w:b/>
          <w:bCs/>
        </w:rPr>
        <w:t>ubcontractor to perform specific tasks under the contract, how should such a disagreement be resolved?</w:t>
      </w:r>
    </w:p>
    <w:p w14:paraId="4FA843E7" w14:textId="4A531B2E" w:rsidR="00124DDE" w:rsidRPr="002C0B4F" w:rsidRDefault="00045595" w:rsidP="004F0931">
      <w:pPr>
        <w:spacing w:before="120" w:after="120" w:line="259" w:lineRule="auto"/>
        <w:ind w:left="720" w:hanging="720"/>
        <w:rPr>
          <w:rFonts w:ascii="Aptos" w:hAnsi="Aptos" w:cs="Tahoma"/>
        </w:rPr>
      </w:pPr>
      <w:r w:rsidRPr="002C0B4F">
        <w:rPr>
          <w:rFonts w:ascii="Aptos" w:hAnsi="Aptos" w:cs="Tahoma"/>
        </w:rPr>
        <w:t>A</w:t>
      </w:r>
      <w:r w:rsidR="00077802" w:rsidRPr="002C0B4F">
        <w:rPr>
          <w:rFonts w:ascii="Aptos" w:hAnsi="Aptos" w:cs="Tahoma"/>
        </w:rPr>
        <w:t>1</w:t>
      </w:r>
      <w:r w:rsidR="00593CA4" w:rsidRPr="002C0B4F">
        <w:rPr>
          <w:rFonts w:ascii="Aptos" w:hAnsi="Aptos" w:cs="Tahoma"/>
        </w:rPr>
        <w:t>7</w:t>
      </w:r>
      <w:r w:rsidRPr="002C0B4F">
        <w:rPr>
          <w:rFonts w:ascii="Aptos" w:hAnsi="Aptos" w:cs="Tahoma"/>
        </w:rPr>
        <w:t>:</w:t>
      </w:r>
      <w:r w:rsidRPr="002C0B4F">
        <w:rPr>
          <w:rFonts w:ascii="Aptos" w:hAnsi="Aptos" w:cs="Tahoma"/>
        </w:rPr>
        <w:tab/>
      </w:r>
      <w:r w:rsidR="00107DA0" w:rsidRPr="002C0B4F">
        <w:rPr>
          <w:rFonts w:ascii="Aptos" w:hAnsi="Aptos" w:cs="Tahoma"/>
        </w:rPr>
        <w:t xml:space="preserve">Exhibit D of Attachment 6, Standard Agreement Example, </w:t>
      </w:r>
      <w:r w:rsidR="00D51617" w:rsidRPr="002C0B4F">
        <w:rPr>
          <w:rFonts w:ascii="Aptos" w:hAnsi="Aptos" w:cs="Tahoma"/>
        </w:rPr>
        <w:t>includes</w:t>
      </w:r>
      <w:r w:rsidR="00AB20AE" w:rsidRPr="002C0B4F">
        <w:rPr>
          <w:rFonts w:ascii="Aptos" w:hAnsi="Aptos" w:cs="Tahoma"/>
        </w:rPr>
        <w:t xml:space="preserve"> </w:t>
      </w:r>
      <w:r w:rsidR="00E34572" w:rsidRPr="002C0B4F">
        <w:rPr>
          <w:rFonts w:ascii="Aptos" w:hAnsi="Aptos" w:cs="Tahoma"/>
        </w:rPr>
        <w:t>guidance</w:t>
      </w:r>
      <w:r w:rsidR="0020029D" w:rsidRPr="002C0B4F">
        <w:rPr>
          <w:rFonts w:ascii="Aptos" w:hAnsi="Aptos" w:cs="Tahoma"/>
        </w:rPr>
        <w:t xml:space="preserve"> </w:t>
      </w:r>
      <w:r w:rsidR="00AB20AE" w:rsidRPr="002C0B4F">
        <w:rPr>
          <w:rFonts w:ascii="Aptos" w:hAnsi="Aptos" w:cs="Tahoma"/>
        </w:rPr>
        <w:t xml:space="preserve">applicable to </w:t>
      </w:r>
      <w:r w:rsidR="00E34572" w:rsidRPr="002C0B4F">
        <w:rPr>
          <w:rFonts w:ascii="Aptos" w:hAnsi="Aptos" w:cs="Tahoma"/>
        </w:rPr>
        <w:t>S</w:t>
      </w:r>
      <w:r w:rsidR="00AB20AE" w:rsidRPr="002C0B4F">
        <w:rPr>
          <w:rFonts w:ascii="Aptos" w:hAnsi="Aptos" w:cs="Tahoma"/>
        </w:rPr>
        <w:t xml:space="preserve">ubcontractors </w:t>
      </w:r>
      <w:r w:rsidR="0020029D" w:rsidRPr="002C0B4F">
        <w:rPr>
          <w:rFonts w:ascii="Aptos" w:hAnsi="Aptos" w:cs="Tahoma"/>
        </w:rPr>
        <w:t xml:space="preserve">for </w:t>
      </w:r>
      <w:r w:rsidR="00E34572" w:rsidRPr="002C0B4F">
        <w:rPr>
          <w:rFonts w:ascii="Aptos" w:hAnsi="Aptos" w:cs="Tahoma"/>
        </w:rPr>
        <w:t>the agreement resulting from this solicitation</w:t>
      </w:r>
      <w:r w:rsidR="00124DDE" w:rsidRPr="002C0B4F">
        <w:rPr>
          <w:rFonts w:ascii="Aptos" w:hAnsi="Aptos" w:cs="Tahoma"/>
        </w:rPr>
        <w:t xml:space="preserve">, which is available </w:t>
      </w:r>
      <w:r w:rsidR="00CB3414" w:rsidRPr="002C0B4F">
        <w:rPr>
          <w:rFonts w:ascii="Aptos" w:hAnsi="Aptos" w:cs="Tahoma"/>
        </w:rPr>
        <w:t xml:space="preserve">along with the solicitation manual </w:t>
      </w:r>
      <w:r w:rsidR="00124DDE" w:rsidRPr="002C0B4F">
        <w:rPr>
          <w:rFonts w:ascii="Aptos" w:hAnsi="Aptos" w:cs="Tahoma"/>
        </w:rPr>
        <w:t xml:space="preserve">on the </w:t>
      </w:r>
      <w:hyperlink r:id="rId27" w:history="1">
        <w:r w:rsidR="00124DDE" w:rsidRPr="002C0B4F">
          <w:rPr>
            <w:rStyle w:val="Hyperlink"/>
            <w:rFonts w:ascii="Aptos" w:hAnsi="Aptos" w:cs="Tahoma"/>
          </w:rPr>
          <w:t>RFQ-25-401 solicitation webpage</w:t>
        </w:r>
      </w:hyperlink>
      <w:r w:rsidR="00124DDE" w:rsidRPr="002C0B4F">
        <w:rPr>
          <w:rFonts w:ascii="Aptos" w:hAnsi="Aptos" w:cs="Tahoma"/>
        </w:rPr>
        <w:t xml:space="preserve"> (https://www.energy.ca.gov/solicitations/2026-05/rfq-25-401-energy-code-compliance-evaluation-support). </w:t>
      </w:r>
    </w:p>
    <w:p w14:paraId="26B80EF8" w14:textId="3CD0940C" w:rsidR="00337949" w:rsidRPr="002C0B4F" w:rsidRDefault="0020029D" w:rsidP="004F0931">
      <w:pPr>
        <w:spacing w:before="120" w:after="120" w:line="259" w:lineRule="auto"/>
        <w:ind w:left="720"/>
        <w:rPr>
          <w:rFonts w:ascii="Aptos" w:hAnsi="Aptos" w:cs="Tahoma"/>
        </w:rPr>
      </w:pPr>
      <w:r w:rsidRPr="002C0B4F">
        <w:rPr>
          <w:rFonts w:ascii="Aptos" w:hAnsi="Aptos" w:cs="Tahoma"/>
        </w:rPr>
        <w:t>T</w:t>
      </w:r>
      <w:r w:rsidR="008129B4" w:rsidRPr="002C0B4F">
        <w:rPr>
          <w:rFonts w:ascii="Aptos" w:hAnsi="Aptos" w:cs="Tahoma"/>
        </w:rPr>
        <w:t xml:space="preserve">he </w:t>
      </w:r>
      <w:r w:rsidR="009747FC" w:rsidRPr="002C0B4F">
        <w:rPr>
          <w:rFonts w:ascii="Aptos" w:hAnsi="Aptos" w:cs="Tahoma"/>
        </w:rPr>
        <w:t>Prime C</w:t>
      </w:r>
      <w:r w:rsidR="008129B4" w:rsidRPr="002C0B4F">
        <w:rPr>
          <w:rFonts w:ascii="Aptos" w:hAnsi="Aptos" w:cs="Tahoma"/>
        </w:rPr>
        <w:t xml:space="preserve">ontractor </w:t>
      </w:r>
      <w:r w:rsidR="00925BC4" w:rsidRPr="002C0B4F">
        <w:rPr>
          <w:rFonts w:ascii="Aptos" w:hAnsi="Aptos" w:cs="Tahoma"/>
        </w:rPr>
        <w:t>will</w:t>
      </w:r>
      <w:r w:rsidR="008129B4" w:rsidRPr="002C0B4F">
        <w:rPr>
          <w:rFonts w:ascii="Aptos" w:hAnsi="Aptos" w:cs="Tahoma"/>
        </w:rPr>
        <w:t xml:space="preserve"> be responsible for scheduling and assigning </w:t>
      </w:r>
      <w:r w:rsidR="00B87A37" w:rsidRPr="002C0B4F">
        <w:rPr>
          <w:rFonts w:ascii="Aptos" w:hAnsi="Aptos" w:cs="Tahoma"/>
        </w:rPr>
        <w:t>S</w:t>
      </w:r>
      <w:r w:rsidR="008129B4" w:rsidRPr="002C0B4F">
        <w:rPr>
          <w:rFonts w:ascii="Aptos" w:hAnsi="Aptos" w:cs="Tahoma"/>
        </w:rPr>
        <w:t xml:space="preserve">ubcontractors to specific tasks in the manner described in the agreement, coordinating </w:t>
      </w:r>
      <w:r w:rsidR="009747FC" w:rsidRPr="002C0B4F">
        <w:rPr>
          <w:rFonts w:ascii="Aptos" w:hAnsi="Aptos" w:cs="Tahoma"/>
        </w:rPr>
        <w:t>S</w:t>
      </w:r>
      <w:r w:rsidR="008129B4" w:rsidRPr="002C0B4F">
        <w:rPr>
          <w:rFonts w:ascii="Aptos" w:hAnsi="Aptos" w:cs="Tahoma"/>
        </w:rPr>
        <w:t xml:space="preserve">ubcontractor accessibility to CEC staff, and </w:t>
      </w:r>
      <w:r w:rsidR="00F50233" w:rsidRPr="002C0B4F">
        <w:rPr>
          <w:rFonts w:ascii="Aptos" w:hAnsi="Aptos" w:cs="Tahoma"/>
        </w:rPr>
        <w:t xml:space="preserve">submitting completed projects to the Commission Agreement Manager (CAM). </w:t>
      </w:r>
      <w:r w:rsidR="00901441" w:rsidRPr="002C0B4F">
        <w:rPr>
          <w:rFonts w:ascii="Aptos" w:hAnsi="Aptos" w:cs="Tahoma"/>
        </w:rPr>
        <w:t>T</w:t>
      </w:r>
      <w:r w:rsidR="00925BC4" w:rsidRPr="002C0B4F">
        <w:rPr>
          <w:rFonts w:ascii="Aptos" w:hAnsi="Aptos" w:cs="Tahoma"/>
        </w:rPr>
        <w:t xml:space="preserve">his exhibit </w:t>
      </w:r>
      <w:r w:rsidR="00901441" w:rsidRPr="002C0B4F">
        <w:rPr>
          <w:rFonts w:ascii="Aptos" w:hAnsi="Aptos" w:cs="Tahoma"/>
        </w:rPr>
        <w:t xml:space="preserve">also </w:t>
      </w:r>
      <w:r w:rsidR="00925BC4" w:rsidRPr="002C0B4F">
        <w:rPr>
          <w:rFonts w:ascii="Aptos" w:hAnsi="Aptos" w:cs="Tahoma"/>
        </w:rPr>
        <w:t>states</w:t>
      </w:r>
      <w:r w:rsidR="00F50233" w:rsidRPr="002C0B4F">
        <w:rPr>
          <w:rFonts w:ascii="Aptos" w:hAnsi="Aptos" w:cs="Tahoma"/>
        </w:rPr>
        <w:t xml:space="preserve"> the CEC reserves the right to replace a </w:t>
      </w:r>
      <w:r w:rsidR="009747FC" w:rsidRPr="002C0B4F">
        <w:rPr>
          <w:rFonts w:ascii="Aptos" w:hAnsi="Aptos" w:cs="Tahoma"/>
        </w:rPr>
        <w:t>S</w:t>
      </w:r>
      <w:r w:rsidR="00F50233" w:rsidRPr="002C0B4F">
        <w:rPr>
          <w:rFonts w:ascii="Aptos" w:hAnsi="Aptos" w:cs="Tahoma"/>
        </w:rPr>
        <w:t xml:space="preserve">ubcontractor, request additional </w:t>
      </w:r>
      <w:r w:rsidR="00B87A37" w:rsidRPr="002C0B4F">
        <w:rPr>
          <w:rFonts w:ascii="Aptos" w:hAnsi="Aptos" w:cs="Tahoma"/>
        </w:rPr>
        <w:t>S</w:t>
      </w:r>
      <w:r w:rsidR="00A53E19" w:rsidRPr="002C0B4F">
        <w:rPr>
          <w:rFonts w:ascii="Aptos" w:hAnsi="Aptos" w:cs="Tahoma"/>
        </w:rPr>
        <w:t xml:space="preserve">ubcontractors, and approve additional </w:t>
      </w:r>
      <w:r w:rsidR="00B87A37" w:rsidRPr="002C0B4F">
        <w:rPr>
          <w:rFonts w:ascii="Aptos" w:hAnsi="Aptos" w:cs="Tahoma"/>
        </w:rPr>
        <w:t>S</w:t>
      </w:r>
      <w:r w:rsidR="00A53E19" w:rsidRPr="002C0B4F">
        <w:rPr>
          <w:rFonts w:ascii="Aptos" w:hAnsi="Aptos" w:cs="Tahoma"/>
        </w:rPr>
        <w:t>ubcontractors requested by the</w:t>
      </w:r>
      <w:r w:rsidR="009747FC" w:rsidRPr="002C0B4F">
        <w:rPr>
          <w:rFonts w:ascii="Aptos" w:hAnsi="Aptos" w:cs="Tahoma"/>
        </w:rPr>
        <w:t xml:space="preserve"> C</w:t>
      </w:r>
      <w:r w:rsidR="00A53E19" w:rsidRPr="002C0B4F">
        <w:rPr>
          <w:rFonts w:ascii="Aptos" w:hAnsi="Aptos" w:cs="Tahoma"/>
        </w:rPr>
        <w:t xml:space="preserve">ontractor. </w:t>
      </w:r>
    </w:p>
    <w:p w14:paraId="4F86825B" w14:textId="4380292A" w:rsidR="00045595" w:rsidRPr="002C0B4F" w:rsidRDefault="00901441" w:rsidP="004F0931">
      <w:pPr>
        <w:spacing w:before="120" w:after="120" w:line="259" w:lineRule="auto"/>
        <w:ind w:left="720"/>
        <w:rPr>
          <w:rFonts w:ascii="Aptos" w:hAnsi="Aptos" w:cs="Tahoma"/>
        </w:rPr>
      </w:pPr>
      <w:r w:rsidRPr="002C0B4F">
        <w:rPr>
          <w:rFonts w:ascii="Aptos" w:hAnsi="Aptos" w:cs="Tahoma"/>
        </w:rPr>
        <w:t>Additional</w:t>
      </w:r>
      <w:r w:rsidR="00D53E40" w:rsidRPr="002C0B4F">
        <w:rPr>
          <w:rFonts w:ascii="Aptos" w:hAnsi="Aptos" w:cs="Tahoma"/>
        </w:rPr>
        <w:t>ly</w:t>
      </w:r>
      <w:r w:rsidRPr="002C0B4F">
        <w:rPr>
          <w:rFonts w:ascii="Aptos" w:hAnsi="Aptos" w:cs="Tahoma"/>
        </w:rPr>
        <w:t>, as stated under</w:t>
      </w:r>
      <w:r w:rsidR="00D53E40" w:rsidRPr="002C0B4F">
        <w:rPr>
          <w:rFonts w:ascii="Aptos" w:hAnsi="Aptos" w:cs="Tahoma"/>
        </w:rPr>
        <w:t xml:space="preserve"> </w:t>
      </w:r>
      <w:r w:rsidRPr="002C0B4F">
        <w:rPr>
          <w:rFonts w:ascii="Aptos" w:hAnsi="Aptos" w:cs="Tahoma"/>
        </w:rPr>
        <w:t xml:space="preserve">Subtask 3.5 located on pages </w:t>
      </w:r>
      <w:r w:rsidR="00D53E40" w:rsidRPr="002C0B4F">
        <w:rPr>
          <w:rFonts w:ascii="Aptos" w:hAnsi="Aptos" w:cs="Tahoma"/>
        </w:rPr>
        <w:t xml:space="preserve">41-44 of the solicitation manual, </w:t>
      </w:r>
      <w:r w:rsidR="00337949" w:rsidRPr="002C0B4F">
        <w:rPr>
          <w:rFonts w:ascii="Aptos" w:hAnsi="Aptos" w:cs="Tahoma"/>
        </w:rPr>
        <w:t xml:space="preserve">it is important to mention that </w:t>
      </w:r>
      <w:r w:rsidR="00267484" w:rsidRPr="002C0B4F">
        <w:rPr>
          <w:rFonts w:ascii="Aptos" w:hAnsi="Aptos" w:cs="Tahoma"/>
        </w:rPr>
        <w:t xml:space="preserve">the </w:t>
      </w:r>
      <w:r w:rsidR="009747FC" w:rsidRPr="002C0B4F">
        <w:rPr>
          <w:rFonts w:ascii="Aptos" w:hAnsi="Aptos" w:cs="Tahoma"/>
        </w:rPr>
        <w:t>C</w:t>
      </w:r>
      <w:r w:rsidR="00267484" w:rsidRPr="002C0B4F">
        <w:rPr>
          <w:rFonts w:ascii="Aptos" w:hAnsi="Aptos" w:cs="Tahoma"/>
        </w:rPr>
        <w:t xml:space="preserve">ontractor must identify, propose, and engage a qualified independent Qualified Statistician Reviewer </w:t>
      </w:r>
      <w:r w:rsidR="003532F0" w:rsidRPr="002C0B4F">
        <w:rPr>
          <w:rFonts w:ascii="Aptos" w:hAnsi="Aptos" w:cs="Tahoma"/>
        </w:rPr>
        <w:t xml:space="preserve">(Reviewer) </w:t>
      </w:r>
      <w:r w:rsidR="00267484" w:rsidRPr="002C0B4F">
        <w:rPr>
          <w:rFonts w:ascii="Aptos" w:hAnsi="Aptos" w:cs="Tahoma"/>
        </w:rPr>
        <w:t xml:space="preserve">for CEC approval, including submission of qualifications, resume, supporting certifications, examples of prior work, and disclosure of any conflicts-of-interest. </w:t>
      </w:r>
      <w:r w:rsidR="003532F0" w:rsidRPr="002C0B4F">
        <w:rPr>
          <w:rFonts w:ascii="Aptos" w:hAnsi="Aptos" w:cs="Tahoma"/>
        </w:rPr>
        <w:t>All deliverables completed by the Reviewer must be submitted directly to the CEC. The Reviewer must report directly to the CEC on key design decisions and disclose any actual or potential conflict of interest. The CEC reserves the right to approve, reject, or replace the designated Reviewer with another Reviewer from another Qualified Subcontractor Firm.</w:t>
      </w:r>
    </w:p>
    <w:p w14:paraId="19AB8159" w14:textId="3BD93C00" w:rsidR="0049263F" w:rsidRPr="002C0B4F" w:rsidRDefault="0049263F" w:rsidP="004F0931">
      <w:pPr>
        <w:spacing w:before="120" w:after="120" w:line="259" w:lineRule="auto"/>
        <w:ind w:left="720"/>
        <w:rPr>
          <w:rFonts w:ascii="Aptos" w:hAnsi="Aptos" w:cs="Tahoma"/>
        </w:rPr>
      </w:pPr>
      <w:r w:rsidRPr="002C0B4F">
        <w:rPr>
          <w:rFonts w:ascii="Aptos" w:hAnsi="Aptos" w:cs="Tahoma"/>
        </w:rPr>
        <w:t xml:space="preserve">Should there be a disagreement between the CEC and the Prime Contractor regarding the selection of a Subcontractor to perform specific tasks under the contract, the CEC and Prime Contractor will need to </w:t>
      </w:r>
      <w:r w:rsidR="007D215D" w:rsidRPr="002C0B4F">
        <w:rPr>
          <w:rFonts w:ascii="Aptos" w:hAnsi="Aptos" w:cs="Tahoma"/>
        </w:rPr>
        <w:t xml:space="preserve">work together to identify </w:t>
      </w:r>
      <w:r w:rsidRPr="002C0B4F">
        <w:rPr>
          <w:rFonts w:ascii="Aptos" w:hAnsi="Aptos" w:cs="Tahoma"/>
        </w:rPr>
        <w:t xml:space="preserve">a path forward </w:t>
      </w:r>
      <w:r w:rsidR="007D215D" w:rsidRPr="002C0B4F">
        <w:rPr>
          <w:rFonts w:ascii="Aptos" w:hAnsi="Aptos" w:cs="Tahoma"/>
        </w:rPr>
        <w:t xml:space="preserve">that is </w:t>
      </w:r>
      <w:r w:rsidRPr="002C0B4F">
        <w:rPr>
          <w:rFonts w:ascii="Aptos" w:hAnsi="Aptos" w:cs="Tahoma"/>
        </w:rPr>
        <w:t xml:space="preserve">agreeable to </w:t>
      </w:r>
      <w:r w:rsidR="007D215D" w:rsidRPr="002C0B4F">
        <w:rPr>
          <w:rFonts w:ascii="Aptos" w:hAnsi="Aptos" w:cs="Tahoma"/>
        </w:rPr>
        <w:t>both</w:t>
      </w:r>
      <w:r w:rsidRPr="002C0B4F">
        <w:rPr>
          <w:rFonts w:ascii="Aptos" w:hAnsi="Aptos" w:cs="Tahoma"/>
        </w:rPr>
        <w:t xml:space="preserve"> parties. </w:t>
      </w:r>
    </w:p>
    <w:p w14:paraId="48FB9074" w14:textId="41EF5578" w:rsidR="00BD7FD5" w:rsidRPr="002C0B4F" w:rsidRDefault="00BD7FD5" w:rsidP="004F0931">
      <w:pPr>
        <w:spacing w:before="120" w:after="120" w:line="259" w:lineRule="auto"/>
        <w:ind w:left="720" w:hanging="720"/>
        <w:rPr>
          <w:rFonts w:ascii="Aptos" w:hAnsi="Aptos" w:cs="Tahoma"/>
          <w:b/>
          <w:bCs/>
        </w:rPr>
      </w:pPr>
      <w:r w:rsidRPr="002C0B4F">
        <w:rPr>
          <w:rFonts w:ascii="Aptos" w:hAnsi="Aptos" w:cs="Tahoma"/>
          <w:b/>
          <w:bCs/>
        </w:rPr>
        <w:t>Q</w:t>
      </w:r>
      <w:r w:rsidR="003D7658" w:rsidRPr="002C0B4F">
        <w:rPr>
          <w:rFonts w:ascii="Aptos" w:hAnsi="Aptos" w:cs="Tahoma"/>
          <w:b/>
          <w:bCs/>
        </w:rPr>
        <w:t>1</w:t>
      </w:r>
      <w:r w:rsidR="00593CA4" w:rsidRPr="002C0B4F">
        <w:rPr>
          <w:rFonts w:ascii="Aptos" w:hAnsi="Aptos" w:cs="Tahoma"/>
          <w:b/>
          <w:bCs/>
        </w:rPr>
        <w:t>8</w:t>
      </w:r>
      <w:r w:rsidRPr="002C0B4F">
        <w:rPr>
          <w:rFonts w:ascii="Aptos" w:hAnsi="Aptos" w:cs="Tahoma"/>
          <w:b/>
          <w:bCs/>
        </w:rPr>
        <w:t>:</w:t>
      </w:r>
      <w:r w:rsidRPr="002C0B4F">
        <w:rPr>
          <w:rFonts w:ascii="Aptos" w:hAnsi="Aptos" w:cs="Tahoma"/>
          <w:b/>
          <w:bCs/>
        </w:rPr>
        <w:tab/>
        <w:t>Could you clarify contracting for the Designated Qualified Statistician. Will they be part of the project team or hired directly by the CEC?</w:t>
      </w:r>
    </w:p>
    <w:p w14:paraId="75E19724" w14:textId="30202B50" w:rsidR="00BD7FD5" w:rsidRPr="002C0B4F" w:rsidRDefault="00BD7FD5" w:rsidP="004F0931">
      <w:pPr>
        <w:spacing w:before="120" w:after="120" w:line="259" w:lineRule="auto"/>
        <w:ind w:left="720" w:hanging="720"/>
        <w:rPr>
          <w:rFonts w:ascii="Aptos" w:hAnsi="Aptos" w:cs="Tahoma"/>
        </w:rPr>
      </w:pPr>
      <w:r w:rsidRPr="002C0B4F">
        <w:rPr>
          <w:rFonts w:ascii="Aptos" w:hAnsi="Aptos" w:cs="Tahoma"/>
        </w:rPr>
        <w:t>A</w:t>
      </w:r>
      <w:r w:rsidR="003D7658" w:rsidRPr="002C0B4F">
        <w:rPr>
          <w:rFonts w:ascii="Aptos" w:hAnsi="Aptos" w:cs="Tahoma"/>
        </w:rPr>
        <w:t>18</w:t>
      </w:r>
      <w:r w:rsidRPr="002C0B4F">
        <w:rPr>
          <w:rFonts w:ascii="Aptos" w:hAnsi="Aptos" w:cs="Tahoma"/>
        </w:rPr>
        <w:t>:</w:t>
      </w:r>
      <w:r w:rsidR="003D4D59" w:rsidRPr="002C0B4F">
        <w:rPr>
          <w:rFonts w:ascii="Aptos" w:hAnsi="Aptos" w:cs="Tahoma"/>
        </w:rPr>
        <w:tab/>
      </w:r>
      <w:r w:rsidR="002F4F27" w:rsidRPr="002C0B4F">
        <w:rPr>
          <w:rFonts w:ascii="Aptos" w:hAnsi="Aptos" w:cs="Tahoma"/>
        </w:rPr>
        <w:t xml:space="preserve">No, </w:t>
      </w:r>
      <w:r w:rsidR="003D4D59" w:rsidRPr="002C0B4F">
        <w:rPr>
          <w:rFonts w:ascii="Aptos" w:hAnsi="Aptos" w:cs="Tahoma"/>
        </w:rPr>
        <w:t>the CEC will not directly hire the Designated Qualified Statistician</w:t>
      </w:r>
      <w:r w:rsidR="002F4F27" w:rsidRPr="002C0B4F">
        <w:rPr>
          <w:rFonts w:ascii="Aptos" w:hAnsi="Aptos" w:cs="Tahoma"/>
        </w:rPr>
        <w:t xml:space="preserve">. </w:t>
      </w:r>
      <w:r w:rsidR="00CA2747" w:rsidRPr="002C0B4F">
        <w:rPr>
          <w:rFonts w:ascii="Aptos" w:hAnsi="Aptos" w:cs="Tahoma"/>
        </w:rPr>
        <w:t xml:space="preserve">As included in the Evaluation Criteria detailed on pages 104 and 116 of the solicitation manual, </w:t>
      </w:r>
      <w:r w:rsidR="002F4F27" w:rsidRPr="002C0B4F">
        <w:rPr>
          <w:rFonts w:ascii="Aptos" w:hAnsi="Aptos" w:cs="Tahoma"/>
        </w:rPr>
        <w:lastRenderedPageBreak/>
        <w:t>a Firm’s SOQ must identify at least one qualified Subcontractor Firm dedicated to providing Qualified Statistician Review as a part of the Project Team.</w:t>
      </w:r>
      <w:r w:rsidR="0043123D" w:rsidRPr="002C0B4F">
        <w:rPr>
          <w:rFonts w:ascii="Aptos" w:hAnsi="Aptos" w:cs="Tahoma"/>
        </w:rPr>
        <w:t xml:space="preserve"> </w:t>
      </w:r>
      <w:r w:rsidR="001567D6" w:rsidRPr="002C0B4F">
        <w:rPr>
          <w:rFonts w:ascii="Aptos" w:hAnsi="Aptos" w:cs="Tahoma"/>
        </w:rPr>
        <w:t>T</w:t>
      </w:r>
      <w:r w:rsidR="0043123D" w:rsidRPr="002C0B4F">
        <w:rPr>
          <w:rFonts w:ascii="Aptos" w:hAnsi="Aptos" w:cs="Tahoma"/>
        </w:rPr>
        <w:t xml:space="preserve">he solicitation manual is available on the </w:t>
      </w:r>
      <w:hyperlink r:id="rId28" w:history="1">
        <w:r w:rsidR="0043123D" w:rsidRPr="002C0B4F">
          <w:rPr>
            <w:rStyle w:val="Hyperlink"/>
            <w:rFonts w:ascii="Aptos" w:hAnsi="Aptos" w:cs="Tahoma"/>
          </w:rPr>
          <w:t>RFQ-25-401 solicitation webpage</w:t>
        </w:r>
      </w:hyperlink>
      <w:r w:rsidR="0043123D" w:rsidRPr="002C0B4F">
        <w:rPr>
          <w:rFonts w:ascii="Aptos" w:hAnsi="Aptos" w:cs="Tahoma"/>
        </w:rPr>
        <w:t xml:space="preserve"> (https://www.energy.ca.gov/solicitations/2026-05/rfq-25-401-energy-code-compliance-evaluation-support).</w:t>
      </w:r>
    </w:p>
    <w:p w14:paraId="466A1F7F" w14:textId="2D14DF07" w:rsidR="00BD7FD5" w:rsidRPr="002C0B4F" w:rsidRDefault="00BD7FD5" w:rsidP="004F0931">
      <w:pPr>
        <w:spacing w:before="120" w:after="120" w:line="259" w:lineRule="auto"/>
        <w:ind w:left="720" w:hanging="720"/>
        <w:rPr>
          <w:rFonts w:ascii="Aptos" w:hAnsi="Aptos" w:cs="Tahoma"/>
          <w:b/>
          <w:bCs/>
        </w:rPr>
      </w:pPr>
      <w:r w:rsidRPr="002C0B4F">
        <w:rPr>
          <w:rFonts w:ascii="Aptos" w:hAnsi="Aptos" w:cs="Tahoma"/>
          <w:b/>
          <w:bCs/>
        </w:rPr>
        <w:t>Q</w:t>
      </w:r>
      <w:r w:rsidR="003D7658" w:rsidRPr="002C0B4F">
        <w:rPr>
          <w:rFonts w:ascii="Aptos" w:hAnsi="Aptos" w:cs="Tahoma"/>
          <w:b/>
          <w:bCs/>
        </w:rPr>
        <w:t>19</w:t>
      </w:r>
      <w:r w:rsidRPr="002C0B4F">
        <w:rPr>
          <w:rFonts w:ascii="Aptos" w:hAnsi="Aptos" w:cs="Tahoma"/>
          <w:b/>
          <w:bCs/>
        </w:rPr>
        <w:t>:</w:t>
      </w:r>
      <w:r w:rsidRPr="002C0B4F">
        <w:rPr>
          <w:rFonts w:ascii="Aptos" w:hAnsi="Aptos" w:cs="Tahoma"/>
          <w:b/>
          <w:bCs/>
        </w:rPr>
        <w:tab/>
        <w:t xml:space="preserve">Are </w:t>
      </w:r>
      <w:r w:rsidR="00916EE9" w:rsidRPr="002C0B4F">
        <w:rPr>
          <w:rFonts w:ascii="Aptos" w:hAnsi="Aptos" w:cs="Tahoma"/>
          <w:b/>
          <w:bCs/>
        </w:rPr>
        <w:t xml:space="preserve">the direct field </w:t>
      </w:r>
      <w:r w:rsidRPr="002C0B4F">
        <w:rPr>
          <w:rFonts w:ascii="Aptos" w:hAnsi="Aptos" w:cs="Tahoma"/>
          <w:b/>
          <w:bCs/>
        </w:rPr>
        <w:t>observations</w:t>
      </w:r>
      <w:r w:rsidR="00A50904" w:rsidRPr="002C0B4F">
        <w:rPr>
          <w:rFonts w:ascii="Aptos" w:hAnsi="Aptos" w:cs="Tahoma"/>
          <w:b/>
          <w:bCs/>
        </w:rPr>
        <w:t xml:space="preserve">, </w:t>
      </w:r>
      <w:r w:rsidRPr="002C0B4F">
        <w:rPr>
          <w:rFonts w:ascii="Aptos" w:hAnsi="Aptos" w:cs="Tahoma"/>
          <w:b/>
          <w:bCs/>
        </w:rPr>
        <w:t>measurements</w:t>
      </w:r>
      <w:r w:rsidR="00A50904" w:rsidRPr="002C0B4F">
        <w:rPr>
          <w:rFonts w:ascii="Aptos" w:hAnsi="Aptos" w:cs="Tahoma"/>
          <w:b/>
          <w:bCs/>
        </w:rPr>
        <w:t>, and testing</w:t>
      </w:r>
      <w:r w:rsidRPr="002C0B4F">
        <w:rPr>
          <w:rFonts w:ascii="Aptos" w:hAnsi="Aptos" w:cs="Tahoma"/>
          <w:b/>
          <w:bCs/>
        </w:rPr>
        <w:t xml:space="preserve"> </w:t>
      </w:r>
      <w:r w:rsidR="00916EE9" w:rsidRPr="002C0B4F">
        <w:rPr>
          <w:rFonts w:ascii="Aptos" w:hAnsi="Aptos" w:cs="Tahoma"/>
          <w:b/>
          <w:bCs/>
        </w:rPr>
        <w:t xml:space="preserve">included in the SOW </w:t>
      </w:r>
      <w:r w:rsidRPr="002C0B4F">
        <w:rPr>
          <w:rFonts w:ascii="Aptos" w:hAnsi="Aptos" w:cs="Tahoma"/>
          <w:b/>
          <w:bCs/>
        </w:rPr>
        <w:t xml:space="preserve">anticipated to be subject to </w:t>
      </w:r>
      <w:r w:rsidR="001949A6" w:rsidRPr="002C0B4F">
        <w:rPr>
          <w:rFonts w:ascii="Aptos" w:hAnsi="Aptos" w:cs="Tahoma"/>
          <w:b/>
          <w:bCs/>
        </w:rPr>
        <w:t>p</w:t>
      </w:r>
      <w:r w:rsidRPr="002C0B4F">
        <w:rPr>
          <w:rFonts w:ascii="Aptos" w:hAnsi="Aptos" w:cs="Tahoma"/>
          <w:b/>
          <w:bCs/>
        </w:rPr>
        <w:t xml:space="preserve">revailing </w:t>
      </w:r>
      <w:r w:rsidR="001949A6" w:rsidRPr="002C0B4F">
        <w:rPr>
          <w:rFonts w:ascii="Aptos" w:hAnsi="Aptos" w:cs="Tahoma"/>
          <w:b/>
          <w:bCs/>
        </w:rPr>
        <w:t>w</w:t>
      </w:r>
      <w:r w:rsidRPr="002C0B4F">
        <w:rPr>
          <w:rFonts w:ascii="Aptos" w:hAnsi="Aptos" w:cs="Tahoma"/>
          <w:b/>
          <w:bCs/>
        </w:rPr>
        <w:t xml:space="preserve">age </w:t>
      </w:r>
      <w:r w:rsidR="00CD3DCF" w:rsidRPr="002C0B4F">
        <w:rPr>
          <w:rFonts w:ascii="Aptos" w:hAnsi="Aptos" w:cs="Tahoma"/>
          <w:b/>
          <w:bCs/>
        </w:rPr>
        <w:t>by</w:t>
      </w:r>
      <w:r w:rsidRPr="002C0B4F">
        <w:rPr>
          <w:rFonts w:ascii="Aptos" w:hAnsi="Aptos" w:cs="Tahoma"/>
          <w:b/>
          <w:bCs/>
        </w:rPr>
        <w:t xml:space="preserve"> the California Department of Industrial Relations (DIR) for </w:t>
      </w:r>
      <w:r w:rsidR="00CD3DCF" w:rsidRPr="002C0B4F">
        <w:rPr>
          <w:rFonts w:ascii="Aptos" w:hAnsi="Aptos" w:cs="Tahoma"/>
          <w:b/>
          <w:bCs/>
        </w:rPr>
        <w:t>Building</w:t>
      </w:r>
      <w:r w:rsidR="00130BCA" w:rsidRPr="002C0B4F">
        <w:rPr>
          <w:rFonts w:ascii="Aptos" w:hAnsi="Aptos" w:cs="Tahoma"/>
          <w:b/>
          <w:bCs/>
        </w:rPr>
        <w:t>/</w:t>
      </w:r>
      <w:r w:rsidR="00CD3DCF" w:rsidRPr="002C0B4F">
        <w:rPr>
          <w:rFonts w:ascii="Aptos" w:hAnsi="Aptos" w:cs="Tahoma"/>
          <w:b/>
          <w:bCs/>
        </w:rPr>
        <w:t>C</w:t>
      </w:r>
      <w:r w:rsidRPr="002C0B4F">
        <w:rPr>
          <w:rFonts w:ascii="Aptos" w:hAnsi="Aptos" w:cs="Tahoma"/>
          <w:b/>
          <w:bCs/>
        </w:rPr>
        <w:t xml:space="preserve">onstruction </w:t>
      </w:r>
      <w:r w:rsidR="00CD3DCF" w:rsidRPr="002C0B4F">
        <w:rPr>
          <w:rFonts w:ascii="Aptos" w:hAnsi="Aptos" w:cs="Tahoma"/>
          <w:b/>
          <w:bCs/>
        </w:rPr>
        <w:t>Inspection</w:t>
      </w:r>
      <w:r w:rsidRPr="002C0B4F">
        <w:rPr>
          <w:rFonts w:ascii="Aptos" w:hAnsi="Aptos" w:cs="Tahoma"/>
          <w:b/>
          <w:bCs/>
        </w:rPr>
        <w:t>?</w:t>
      </w:r>
    </w:p>
    <w:p w14:paraId="7694023B" w14:textId="0C5FFB6B" w:rsidR="00CB4B3A" w:rsidRPr="002C0B4F" w:rsidRDefault="27143E3F" w:rsidP="004F0931">
      <w:pPr>
        <w:spacing w:before="120" w:after="120" w:line="259" w:lineRule="auto"/>
        <w:ind w:left="720" w:hanging="720"/>
        <w:rPr>
          <w:rFonts w:ascii="Aptos" w:hAnsi="Aptos" w:cs="Tahoma"/>
        </w:rPr>
      </w:pPr>
      <w:r w:rsidRPr="002C0B4F">
        <w:rPr>
          <w:rFonts w:ascii="Aptos" w:hAnsi="Aptos" w:cs="Tahoma"/>
        </w:rPr>
        <w:t>A</w:t>
      </w:r>
      <w:r w:rsidR="312BDBCC" w:rsidRPr="002C0B4F">
        <w:rPr>
          <w:rFonts w:ascii="Aptos" w:hAnsi="Aptos" w:cs="Tahoma"/>
        </w:rPr>
        <w:t>19</w:t>
      </w:r>
      <w:r w:rsidRPr="002C0B4F">
        <w:rPr>
          <w:rFonts w:ascii="Aptos" w:hAnsi="Aptos" w:cs="Tahoma"/>
        </w:rPr>
        <w:t>:</w:t>
      </w:r>
      <w:r w:rsidR="00BD7FD5" w:rsidRPr="002C0B4F">
        <w:rPr>
          <w:rFonts w:ascii="Aptos" w:hAnsi="Aptos"/>
        </w:rPr>
        <w:tab/>
      </w:r>
      <w:r w:rsidR="50F73D28" w:rsidRPr="002C0B4F">
        <w:rPr>
          <w:rFonts w:ascii="Aptos" w:hAnsi="Aptos" w:cs="Tahoma"/>
        </w:rPr>
        <w:t xml:space="preserve">The agreement resulting from this </w:t>
      </w:r>
      <w:r w:rsidR="0B841730" w:rsidRPr="002C0B4F">
        <w:rPr>
          <w:rFonts w:ascii="Aptos" w:hAnsi="Aptos" w:cs="Tahoma"/>
        </w:rPr>
        <w:t>solicitation</w:t>
      </w:r>
      <w:r w:rsidR="50F73D28" w:rsidRPr="002C0B4F">
        <w:rPr>
          <w:rFonts w:ascii="Aptos" w:hAnsi="Aptos" w:cs="Tahoma"/>
        </w:rPr>
        <w:t xml:space="preserve"> will be technical support services contract. </w:t>
      </w:r>
      <w:r w:rsidR="7B577A59" w:rsidRPr="002C0B4F">
        <w:rPr>
          <w:rFonts w:ascii="Aptos" w:hAnsi="Aptos" w:cs="Tahoma"/>
        </w:rPr>
        <w:t>C</w:t>
      </w:r>
      <w:r w:rsidR="3267318E" w:rsidRPr="002C0B4F">
        <w:rPr>
          <w:rFonts w:ascii="Aptos" w:hAnsi="Aptos" w:cs="Tahoma"/>
        </w:rPr>
        <w:t>onsultant staff from the agreement will complete direct field observations</w:t>
      </w:r>
      <w:r w:rsidR="15812CDE" w:rsidRPr="002C0B4F">
        <w:rPr>
          <w:rFonts w:ascii="Aptos" w:hAnsi="Aptos" w:cs="Tahoma"/>
        </w:rPr>
        <w:t xml:space="preserve">, </w:t>
      </w:r>
      <w:r w:rsidR="3267318E" w:rsidRPr="002C0B4F">
        <w:rPr>
          <w:rFonts w:ascii="Aptos" w:hAnsi="Aptos" w:cs="Tahoma"/>
        </w:rPr>
        <w:t>measurements</w:t>
      </w:r>
      <w:r w:rsidR="15812CDE" w:rsidRPr="002C0B4F">
        <w:rPr>
          <w:rFonts w:ascii="Aptos" w:hAnsi="Aptos" w:cs="Tahoma"/>
        </w:rPr>
        <w:t>, and testing</w:t>
      </w:r>
      <w:r w:rsidR="79A6A4EF" w:rsidRPr="002C0B4F">
        <w:rPr>
          <w:rFonts w:ascii="Aptos" w:hAnsi="Aptos" w:cs="Tahoma"/>
        </w:rPr>
        <w:t xml:space="preserve"> as detailed in </w:t>
      </w:r>
      <w:r w:rsidR="7784894C" w:rsidRPr="002C0B4F">
        <w:rPr>
          <w:rFonts w:ascii="Aptos" w:hAnsi="Aptos" w:cs="Tahoma"/>
        </w:rPr>
        <w:t>Subtask 6.4</w:t>
      </w:r>
      <w:r w:rsidR="545C5FA4" w:rsidRPr="002C0B4F">
        <w:rPr>
          <w:rFonts w:ascii="Aptos" w:hAnsi="Aptos" w:cs="Tahoma"/>
        </w:rPr>
        <w:t xml:space="preserve"> “Energy-Based Compliance Data Collection”</w:t>
      </w:r>
      <w:r w:rsidR="79A6A4EF" w:rsidRPr="002C0B4F">
        <w:rPr>
          <w:rFonts w:ascii="Aptos" w:hAnsi="Aptos" w:cs="Tahoma"/>
        </w:rPr>
        <w:t xml:space="preserve"> of the SOW.</w:t>
      </w:r>
      <w:r w:rsidR="5002CB92" w:rsidRPr="002C0B4F">
        <w:rPr>
          <w:rFonts w:ascii="Aptos" w:hAnsi="Aptos" w:cs="Tahoma"/>
        </w:rPr>
        <w:t xml:space="preserve"> </w:t>
      </w:r>
      <w:r w:rsidR="21F29462" w:rsidRPr="002C0B4F">
        <w:rPr>
          <w:rFonts w:ascii="Aptos" w:hAnsi="Aptos" w:cs="Tahoma"/>
        </w:rPr>
        <w:t>T</w:t>
      </w:r>
      <w:r w:rsidR="5002CB92" w:rsidRPr="002C0B4F">
        <w:rPr>
          <w:rFonts w:ascii="Aptos" w:hAnsi="Aptos" w:cs="Tahoma"/>
        </w:rPr>
        <w:t xml:space="preserve">he CEC is </w:t>
      </w:r>
      <w:r w:rsidR="15089CFE" w:rsidRPr="002C0B4F">
        <w:rPr>
          <w:rFonts w:ascii="Aptos" w:hAnsi="Aptos" w:cs="Tahoma"/>
        </w:rPr>
        <w:t xml:space="preserve">currently </w:t>
      </w:r>
      <w:r w:rsidR="7C8F48B9" w:rsidRPr="002C0B4F">
        <w:rPr>
          <w:rFonts w:ascii="Aptos" w:hAnsi="Aptos" w:cs="Tahoma"/>
        </w:rPr>
        <w:t>reaching out</w:t>
      </w:r>
      <w:r w:rsidR="6FBBBA60" w:rsidRPr="002C0B4F">
        <w:rPr>
          <w:rFonts w:ascii="Aptos" w:hAnsi="Aptos" w:cs="Tahoma"/>
        </w:rPr>
        <w:t xml:space="preserve"> to</w:t>
      </w:r>
      <w:r w:rsidR="32D14963" w:rsidRPr="002C0B4F">
        <w:rPr>
          <w:rFonts w:ascii="Aptos" w:hAnsi="Aptos" w:cs="Tahoma"/>
        </w:rPr>
        <w:t xml:space="preserve"> DIR</w:t>
      </w:r>
      <w:r w:rsidR="3AEE14ED" w:rsidRPr="002C0B4F">
        <w:rPr>
          <w:rFonts w:ascii="Aptos" w:hAnsi="Aptos" w:cs="Tahoma"/>
        </w:rPr>
        <w:t xml:space="preserve"> </w:t>
      </w:r>
      <w:r w:rsidR="6FBBBA60" w:rsidRPr="002C0B4F">
        <w:rPr>
          <w:rFonts w:ascii="Aptos" w:hAnsi="Aptos" w:cs="Tahoma"/>
        </w:rPr>
        <w:t xml:space="preserve">for guidance </w:t>
      </w:r>
      <w:r w:rsidR="549B8723" w:rsidRPr="002C0B4F">
        <w:rPr>
          <w:rFonts w:ascii="Aptos" w:hAnsi="Aptos" w:cs="Tahoma"/>
        </w:rPr>
        <w:t>about</w:t>
      </w:r>
      <w:r w:rsidR="3AEE14ED" w:rsidRPr="002C0B4F">
        <w:rPr>
          <w:rFonts w:ascii="Aptos" w:hAnsi="Aptos" w:cs="Tahoma"/>
        </w:rPr>
        <w:t xml:space="preserve"> whether </w:t>
      </w:r>
      <w:r w:rsidR="5E8B5DBA" w:rsidRPr="002C0B4F">
        <w:rPr>
          <w:rFonts w:ascii="Aptos" w:hAnsi="Aptos" w:cs="Tahoma"/>
        </w:rPr>
        <w:t>that</w:t>
      </w:r>
      <w:r w:rsidR="1379BF83" w:rsidRPr="002C0B4F">
        <w:rPr>
          <w:rFonts w:ascii="Aptos" w:hAnsi="Aptos" w:cs="Tahoma"/>
        </w:rPr>
        <w:t xml:space="preserve"> work is considered a public work and subject to </w:t>
      </w:r>
      <w:r w:rsidR="21F29462" w:rsidRPr="002C0B4F">
        <w:rPr>
          <w:rFonts w:ascii="Aptos" w:hAnsi="Aptos" w:cs="Tahoma"/>
        </w:rPr>
        <w:t>prevailing wage</w:t>
      </w:r>
      <w:r w:rsidR="1379BF83" w:rsidRPr="002C0B4F">
        <w:rPr>
          <w:rFonts w:ascii="Aptos" w:hAnsi="Aptos" w:cs="Tahoma"/>
        </w:rPr>
        <w:t xml:space="preserve">. </w:t>
      </w:r>
      <w:r w:rsidR="32D14963" w:rsidRPr="002C0B4F">
        <w:rPr>
          <w:rFonts w:ascii="Aptos" w:hAnsi="Aptos" w:cs="Tahoma"/>
        </w:rPr>
        <w:t xml:space="preserve">Firms should assume </w:t>
      </w:r>
      <w:r w:rsidR="7952B3DC" w:rsidRPr="002C0B4F">
        <w:rPr>
          <w:rFonts w:ascii="Aptos" w:hAnsi="Aptos" w:cs="Tahoma"/>
        </w:rPr>
        <w:t xml:space="preserve">direct </w:t>
      </w:r>
      <w:r w:rsidR="32C0D9EC" w:rsidRPr="002C0B4F">
        <w:rPr>
          <w:rFonts w:ascii="Aptos" w:hAnsi="Aptos" w:cs="Tahoma"/>
        </w:rPr>
        <w:t>field observation</w:t>
      </w:r>
      <w:r w:rsidR="1B6E5D13" w:rsidRPr="002C0B4F">
        <w:rPr>
          <w:rFonts w:ascii="Aptos" w:hAnsi="Aptos" w:cs="Tahoma"/>
        </w:rPr>
        <w:t>s</w:t>
      </w:r>
      <w:r w:rsidR="32C0D9EC" w:rsidRPr="002C0B4F">
        <w:rPr>
          <w:rFonts w:ascii="Aptos" w:hAnsi="Aptos" w:cs="Tahoma"/>
        </w:rPr>
        <w:t>, measurement</w:t>
      </w:r>
      <w:r w:rsidR="1B6E5D13" w:rsidRPr="002C0B4F">
        <w:rPr>
          <w:rFonts w:ascii="Aptos" w:hAnsi="Aptos" w:cs="Tahoma"/>
        </w:rPr>
        <w:t>s</w:t>
      </w:r>
      <w:r w:rsidR="7A358130" w:rsidRPr="002C0B4F">
        <w:rPr>
          <w:rFonts w:ascii="Aptos" w:hAnsi="Aptos" w:cs="Tahoma"/>
        </w:rPr>
        <w:t>,</w:t>
      </w:r>
      <w:r w:rsidR="32C0D9EC" w:rsidRPr="002C0B4F">
        <w:rPr>
          <w:rFonts w:ascii="Aptos" w:hAnsi="Aptos" w:cs="Tahoma"/>
        </w:rPr>
        <w:t xml:space="preserve"> and testing work</w:t>
      </w:r>
      <w:r w:rsidR="7784894C" w:rsidRPr="002C0B4F">
        <w:rPr>
          <w:rFonts w:ascii="Aptos" w:hAnsi="Aptos" w:cs="Tahoma"/>
        </w:rPr>
        <w:t xml:space="preserve"> </w:t>
      </w:r>
      <w:r w:rsidR="0627B0F7" w:rsidRPr="002C0B4F">
        <w:rPr>
          <w:rFonts w:ascii="Aptos" w:hAnsi="Aptos" w:cs="Tahoma"/>
        </w:rPr>
        <w:t xml:space="preserve">falls under the craft of </w:t>
      </w:r>
      <w:r w:rsidR="7EED7A71" w:rsidRPr="002C0B4F">
        <w:rPr>
          <w:rFonts w:ascii="Aptos" w:hAnsi="Aptos" w:cs="Tahoma"/>
        </w:rPr>
        <w:t>B</w:t>
      </w:r>
      <w:r w:rsidR="0627B0F7" w:rsidRPr="002C0B4F">
        <w:rPr>
          <w:rFonts w:ascii="Aptos" w:hAnsi="Aptos" w:cs="Tahoma"/>
        </w:rPr>
        <w:t>uilding/</w:t>
      </w:r>
      <w:r w:rsidR="7EED7A71" w:rsidRPr="002C0B4F">
        <w:rPr>
          <w:rFonts w:ascii="Aptos" w:hAnsi="Aptos" w:cs="Tahoma"/>
        </w:rPr>
        <w:t>C</w:t>
      </w:r>
      <w:r w:rsidR="0627B0F7" w:rsidRPr="002C0B4F">
        <w:rPr>
          <w:rFonts w:ascii="Aptos" w:hAnsi="Aptos" w:cs="Tahoma"/>
        </w:rPr>
        <w:t xml:space="preserve">onstruction </w:t>
      </w:r>
      <w:r w:rsidR="7EED7A71" w:rsidRPr="002C0B4F">
        <w:rPr>
          <w:rFonts w:ascii="Aptos" w:hAnsi="Aptos" w:cs="Tahoma"/>
        </w:rPr>
        <w:t>I</w:t>
      </w:r>
      <w:r w:rsidR="0627B0F7" w:rsidRPr="002C0B4F">
        <w:rPr>
          <w:rFonts w:ascii="Aptos" w:hAnsi="Aptos" w:cs="Tahoma"/>
        </w:rPr>
        <w:t xml:space="preserve">nspector </w:t>
      </w:r>
      <w:r w:rsidR="0109A762" w:rsidRPr="002C0B4F">
        <w:rPr>
          <w:rFonts w:ascii="Aptos" w:hAnsi="Aptos" w:cs="Tahoma"/>
        </w:rPr>
        <w:t xml:space="preserve">and </w:t>
      </w:r>
      <w:r w:rsidR="32D14963" w:rsidRPr="002C0B4F">
        <w:rPr>
          <w:rFonts w:ascii="Aptos" w:hAnsi="Aptos" w:cs="Tahoma"/>
        </w:rPr>
        <w:t xml:space="preserve">will </w:t>
      </w:r>
      <w:r w:rsidR="0627D8A0" w:rsidRPr="002C0B4F">
        <w:rPr>
          <w:rFonts w:ascii="Aptos" w:hAnsi="Aptos" w:cs="Tahoma"/>
        </w:rPr>
        <w:t xml:space="preserve">be subject to </w:t>
      </w:r>
      <w:r w:rsidR="0109A762" w:rsidRPr="002C0B4F">
        <w:rPr>
          <w:rFonts w:ascii="Aptos" w:hAnsi="Aptos" w:cs="Tahoma"/>
        </w:rPr>
        <w:t>prevailing wage</w:t>
      </w:r>
      <w:r w:rsidR="6A7C1731" w:rsidRPr="002C0B4F">
        <w:rPr>
          <w:rFonts w:ascii="Aptos" w:hAnsi="Aptos" w:cs="Tahoma"/>
        </w:rPr>
        <w:t>,</w:t>
      </w:r>
      <w:r w:rsidR="32D14963" w:rsidRPr="002C0B4F">
        <w:rPr>
          <w:rFonts w:ascii="Aptos" w:hAnsi="Aptos" w:cs="Tahoma"/>
        </w:rPr>
        <w:t xml:space="preserve"> </w:t>
      </w:r>
      <w:r w:rsidR="6C57FA9A" w:rsidRPr="002C0B4F">
        <w:rPr>
          <w:rFonts w:ascii="Aptos" w:hAnsi="Aptos" w:cs="Tahoma"/>
        </w:rPr>
        <w:t xml:space="preserve">unless and </w:t>
      </w:r>
      <w:r w:rsidR="32D14963" w:rsidRPr="002C0B4F">
        <w:rPr>
          <w:rFonts w:ascii="Aptos" w:hAnsi="Aptos" w:cs="Tahoma"/>
        </w:rPr>
        <w:t xml:space="preserve">until the CEC </w:t>
      </w:r>
      <w:r w:rsidR="6C57FA9A" w:rsidRPr="002C0B4F">
        <w:rPr>
          <w:rFonts w:ascii="Aptos" w:hAnsi="Aptos" w:cs="Tahoma"/>
        </w:rPr>
        <w:t>states</w:t>
      </w:r>
      <w:r w:rsidR="32D14963" w:rsidRPr="002C0B4F">
        <w:rPr>
          <w:rFonts w:ascii="Aptos" w:hAnsi="Aptos" w:cs="Tahoma"/>
        </w:rPr>
        <w:t xml:space="preserve"> otherwise.</w:t>
      </w:r>
      <w:r w:rsidR="2D844118" w:rsidRPr="002C0B4F">
        <w:rPr>
          <w:rFonts w:ascii="Aptos" w:hAnsi="Aptos" w:cs="Tahoma"/>
        </w:rPr>
        <w:t xml:space="preserve"> </w:t>
      </w:r>
      <w:r w:rsidR="669E4787" w:rsidRPr="002C0B4F">
        <w:rPr>
          <w:rFonts w:ascii="Aptos" w:hAnsi="Aptos" w:cs="Tahoma"/>
        </w:rPr>
        <w:t xml:space="preserve">On June </w:t>
      </w:r>
      <w:r w:rsidR="00F8713E">
        <w:rPr>
          <w:rFonts w:ascii="Aptos" w:hAnsi="Aptos" w:cs="Tahoma"/>
        </w:rPr>
        <w:t>9</w:t>
      </w:r>
      <w:r w:rsidR="669E4787" w:rsidRPr="002C0B4F">
        <w:rPr>
          <w:rFonts w:ascii="Aptos" w:hAnsi="Aptos" w:cs="Tahoma"/>
        </w:rPr>
        <w:t>, 2026, t</w:t>
      </w:r>
      <w:r w:rsidR="2D844118" w:rsidRPr="002C0B4F">
        <w:rPr>
          <w:rFonts w:ascii="Aptos" w:hAnsi="Aptos" w:cs="Tahoma"/>
        </w:rPr>
        <w:t xml:space="preserve">he CEC posted Addendum 3 to the </w:t>
      </w:r>
      <w:r w:rsidR="79A6A4EF" w:rsidRPr="002C0B4F">
        <w:rPr>
          <w:rFonts w:ascii="Aptos" w:hAnsi="Aptos" w:cs="Tahoma"/>
        </w:rPr>
        <w:t>solicitation manual</w:t>
      </w:r>
      <w:r w:rsidR="2D844118" w:rsidRPr="002C0B4F">
        <w:rPr>
          <w:rFonts w:ascii="Aptos" w:hAnsi="Aptos" w:cs="Tahoma"/>
        </w:rPr>
        <w:t xml:space="preserve"> </w:t>
      </w:r>
      <w:r w:rsidR="6EBD8B7C" w:rsidRPr="002C0B4F">
        <w:rPr>
          <w:rFonts w:ascii="Aptos" w:hAnsi="Aptos" w:cs="Tahoma"/>
        </w:rPr>
        <w:t xml:space="preserve">to add information </w:t>
      </w:r>
      <w:r w:rsidR="0109A762" w:rsidRPr="002C0B4F">
        <w:rPr>
          <w:rFonts w:ascii="Aptos" w:hAnsi="Aptos" w:cs="Tahoma"/>
        </w:rPr>
        <w:t>under</w:t>
      </w:r>
      <w:r w:rsidR="5FFB1AD4" w:rsidRPr="002C0B4F">
        <w:rPr>
          <w:rFonts w:ascii="Aptos" w:hAnsi="Aptos" w:cs="Tahoma"/>
        </w:rPr>
        <w:t xml:space="preserve"> </w:t>
      </w:r>
      <w:r w:rsidR="6EBD8B7C" w:rsidRPr="002C0B4F">
        <w:rPr>
          <w:rFonts w:ascii="Aptos" w:hAnsi="Aptos" w:cs="Tahoma"/>
        </w:rPr>
        <w:t xml:space="preserve">Subtask 6.4 </w:t>
      </w:r>
      <w:r w:rsidR="0109A762" w:rsidRPr="002C0B4F">
        <w:rPr>
          <w:rFonts w:ascii="Aptos" w:hAnsi="Aptos" w:cs="Tahoma"/>
        </w:rPr>
        <w:t xml:space="preserve">about </w:t>
      </w:r>
      <w:r w:rsidR="7BC0ACAE" w:rsidRPr="002C0B4F">
        <w:rPr>
          <w:rFonts w:ascii="Aptos" w:hAnsi="Aptos" w:cs="Tahoma"/>
        </w:rPr>
        <w:t>the</w:t>
      </w:r>
      <w:r w:rsidR="0109A762" w:rsidRPr="002C0B4F">
        <w:rPr>
          <w:rFonts w:ascii="Aptos" w:hAnsi="Aptos" w:cs="Tahoma"/>
        </w:rPr>
        <w:t xml:space="preserve"> </w:t>
      </w:r>
      <w:r w:rsidR="7BC0ACAE" w:rsidRPr="002C0B4F">
        <w:rPr>
          <w:rFonts w:ascii="Aptos" w:hAnsi="Aptos" w:cs="Tahoma"/>
        </w:rPr>
        <w:t>possibility of</w:t>
      </w:r>
      <w:r w:rsidR="0109A762" w:rsidRPr="002C0B4F">
        <w:rPr>
          <w:rFonts w:ascii="Aptos" w:hAnsi="Aptos" w:cs="Tahoma"/>
        </w:rPr>
        <w:t xml:space="preserve"> </w:t>
      </w:r>
      <w:r w:rsidR="313A761D" w:rsidRPr="002C0B4F">
        <w:rPr>
          <w:rFonts w:ascii="Aptos" w:hAnsi="Aptos" w:cs="Tahoma"/>
        </w:rPr>
        <w:t>certain work</w:t>
      </w:r>
      <w:r w:rsidR="7BC0ACAE" w:rsidRPr="002C0B4F">
        <w:rPr>
          <w:rFonts w:ascii="Aptos" w:hAnsi="Aptos" w:cs="Tahoma"/>
        </w:rPr>
        <w:t xml:space="preserve"> </w:t>
      </w:r>
      <w:r w:rsidR="0109A762" w:rsidRPr="002C0B4F">
        <w:rPr>
          <w:rFonts w:ascii="Aptos" w:hAnsi="Aptos" w:cs="Tahoma"/>
        </w:rPr>
        <w:t>being subject to prevailing wage</w:t>
      </w:r>
      <w:r w:rsidR="2D844118" w:rsidRPr="002C0B4F">
        <w:rPr>
          <w:rFonts w:ascii="Aptos" w:hAnsi="Aptos" w:cs="Tahoma"/>
        </w:rPr>
        <w:t xml:space="preserve">. </w:t>
      </w:r>
      <w:r w:rsidR="11BFFEAE" w:rsidRPr="002C0B4F">
        <w:rPr>
          <w:rFonts w:ascii="Aptos" w:hAnsi="Aptos" w:cs="Tahoma"/>
        </w:rPr>
        <w:t>The CEC also posted the</w:t>
      </w:r>
      <w:r w:rsidR="00C40387" w:rsidRPr="002C0B4F">
        <w:rPr>
          <w:rFonts w:ascii="Aptos" w:hAnsi="Aptos" w:cs="Tahoma"/>
        </w:rPr>
        <w:t xml:space="preserve"> current</w:t>
      </w:r>
      <w:r w:rsidR="11BFFEAE" w:rsidRPr="002C0B4F">
        <w:rPr>
          <w:rFonts w:ascii="Aptos" w:hAnsi="Aptos" w:cs="Tahoma"/>
        </w:rPr>
        <w:t xml:space="preserve"> </w:t>
      </w:r>
      <w:r w:rsidR="131130C6" w:rsidRPr="002C0B4F">
        <w:rPr>
          <w:rFonts w:ascii="Aptos" w:hAnsi="Aptos" w:cs="Tahoma"/>
        </w:rPr>
        <w:t>prevailing wage</w:t>
      </w:r>
      <w:r w:rsidR="00246251" w:rsidRPr="002C0B4F">
        <w:rPr>
          <w:rFonts w:ascii="Aptos" w:hAnsi="Aptos" w:cs="Tahoma"/>
        </w:rPr>
        <w:t xml:space="preserve"> </w:t>
      </w:r>
      <w:r w:rsidR="131130C6" w:rsidRPr="002C0B4F">
        <w:rPr>
          <w:rFonts w:ascii="Aptos" w:hAnsi="Aptos" w:cs="Tahoma"/>
        </w:rPr>
        <w:t>rate</w:t>
      </w:r>
      <w:r w:rsidR="7AF185FC" w:rsidRPr="002C0B4F">
        <w:rPr>
          <w:rFonts w:ascii="Aptos" w:hAnsi="Aptos" w:cs="Tahoma"/>
        </w:rPr>
        <w:t xml:space="preserve"> sheets</w:t>
      </w:r>
      <w:r w:rsidR="131130C6" w:rsidRPr="002C0B4F">
        <w:rPr>
          <w:rFonts w:ascii="Aptos" w:hAnsi="Aptos" w:cs="Tahoma"/>
        </w:rPr>
        <w:t xml:space="preserve"> </w:t>
      </w:r>
      <w:r w:rsidR="00246251" w:rsidRPr="002C0B4F">
        <w:rPr>
          <w:rFonts w:ascii="Aptos" w:hAnsi="Aptos" w:cs="Tahoma"/>
        </w:rPr>
        <w:t xml:space="preserve">from DIR </w:t>
      </w:r>
      <w:r w:rsidR="131130C6" w:rsidRPr="002C0B4F">
        <w:rPr>
          <w:rFonts w:ascii="Aptos" w:hAnsi="Aptos" w:cs="Tahoma"/>
        </w:rPr>
        <w:t xml:space="preserve">for Building/Construction Inspectors in </w:t>
      </w:r>
      <w:r w:rsidR="11BFFEAE" w:rsidRPr="002C0B4F">
        <w:rPr>
          <w:rFonts w:ascii="Aptos" w:hAnsi="Aptos" w:cs="Tahoma"/>
        </w:rPr>
        <w:t>Northern</w:t>
      </w:r>
      <w:r w:rsidR="00127BE6">
        <w:rPr>
          <w:rFonts w:ascii="Aptos" w:hAnsi="Aptos" w:cs="Tahoma"/>
        </w:rPr>
        <w:t xml:space="preserve"> California (Attachment 10)</w:t>
      </w:r>
      <w:r w:rsidR="11BFFEAE" w:rsidRPr="002C0B4F">
        <w:rPr>
          <w:rFonts w:ascii="Aptos" w:hAnsi="Aptos" w:cs="Tahoma"/>
        </w:rPr>
        <w:t xml:space="preserve"> and Southern California</w:t>
      </w:r>
      <w:r w:rsidR="00127BE6">
        <w:rPr>
          <w:rFonts w:ascii="Aptos" w:hAnsi="Aptos" w:cs="Tahoma"/>
        </w:rPr>
        <w:t xml:space="preserve"> (Attachment 11)</w:t>
      </w:r>
      <w:r w:rsidR="11BFFEAE" w:rsidRPr="002C0B4F">
        <w:rPr>
          <w:rFonts w:ascii="Aptos" w:hAnsi="Aptos" w:cs="Tahoma"/>
        </w:rPr>
        <w:t xml:space="preserve"> </w:t>
      </w:r>
      <w:r w:rsidR="7AF185FC" w:rsidRPr="002C0B4F">
        <w:rPr>
          <w:rFonts w:ascii="Aptos" w:hAnsi="Aptos" w:cs="Tahoma"/>
        </w:rPr>
        <w:t xml:space="preserve">to the solicitation webpage. </w:t>
      </w:r>
      <w:r w:rsidR="2D844118" w:rsidRPr="002C0B4F">
        <w:rPr>
          <w:rFonts w:ascii="Aptos" w:hAnsi="Aptos" w:cs="Tahoma"/>
        </w:rPr>
        <w:t>The updated solicitation manual</w:t>
      </w:r>
      <w:r w:rsidR="7AF185FC" w:rsidRPr="002C0B4F">
        <w:rPr>
          <w:rFonts w:ascii="Aptos" w:hAnsi="Aptos" w:cs="Tahoma"/>
        </w:rPr>
        <w:t xml:space="preserve">, </w:t>
      </w:r>
      <w:r w:rsidR="2D844118" w:rsidRPr="002C0B4F">
        <w:rPr>
          <w:rFonts w:ascii="Aptos" w:hAnsi="Aptos" w:cs="Tahoma"/>
        </w:rPr>
        <w:t>cover letter detailing the changes made</w:t>
      </w:r>
      <w:r w:rsidR="7AF185FC" w:rsidRPr="002C0B4F">
        <w:rPr>
          <w:rFonts w:ascii="Aptos" w:hAnsi="Aptos" w:cs="Tahoma"/>
        </w:rPr>
        <w:t>, and prevailing wage rate sheets</w:t>
      </w:r>
      <w:r w:rsidR="2D844118" w:rsidRPr="002C0B4F">
        <w:rPr>
          <w:rFonts w:ascii="Aptos" w:hAnsi="Aptos" w:cs="Tahoma"/>
        </w:rPr>
        <w:t xml:space="preserve"> are </w:t>
      </w:r>
      <w:r w:rsidR="79A6A4EF" w:rsidRPr="002C0B4F">
        <w:rPr>
          <w:rFonts w:ascii="Aptos" w:hAnsi="Aptos" w:cs="Tahoma"/>
        </w:rPr>
        <w:t xml:space="preserve">available on the </w:t>
      </w:r>
      <w:hyperlink r:id="rId29">
        <w:r w:rsidR="2D844118" w:rsidRPr="002C0B4F">
          <w:rPr>
            <w:rStyle w:val="Hyperlink"/>
            <w:rFonts w:ascii="Aptos" w:hAnsi="Aptos" w:cs="Tahoma"/>
          </w:rPr>
          <w:t>RFQ-25-401 solicitation webpage</w:t>
        </w:r>
      </w:hyperlink>
      <w:r w:rsidR="79A6A4EF" w:rsidRPr="002C0B4F">
        <w:rPr>
          <w:rFonts w:ascii="Aptos" w:hAnsi="Aptos" w:cs="Tahoma"/>
        </w:rPr>
        <w:t xml:space="preserve"> (</w:t>
      </w:r>
      <w:r w:rsidR="06B0B302" w:rsidRPr="002C0B4F">
        <w:rPr>
          <w:rFonts w:ascii="Aptos" w:hAnsi="Aptos" w:cs="Tahoma"/>
        </w:rPr>
        <w:t>https://www.energy.ca.gov/solicitations/2026-05/rfq-25-401-energy-code-compliance-evaluation-support</w:t>
      </w:r>
      <w:r w:rsidR="79A6A4EF" w:rsidRPr="002C0B4F">
        <w:rPr>
          <w:rFonts w:ascii="Aptos" w:hAnsi="Aptos" w:cs="Tahoma"/>
        </w:rPr>
        <w:t>).</w:t>
      </w:r>
      <w:r w:rsidR="00A153C1" w:rsidRPr="002C0B4F">
        <w:rPr>
          <w:rFonts w:ascii="Aptos" w:hAnsi="Aptos" w:cs="Tahoma"/>
        </w:rPr>
        <w:t xml:space="preserve"> Note: The prevailing wage rates may be updated as determined by DIR.</w:t>
      </w:r>
    </w:p>
    <w:p w14:paraId="704FAC60" w14:textId="53202205" w:rsidR="003C4A2E" w:rsidRPr="00A41F08" w:rsidRDefault="003C4A2E" w:rsidP="00A41F08">
      <w:pPr>
        <w:pStyle w:val="Heading3"/>
        <w:rPr>
          <w:rFonts w:ascii="Aptos" w:eastAsia="Times New Roman" w:hAnsi="Aptos" w:cs="Tahoma"/>
          <w:b/>
          <w:bCs/>
          <w:color w:val="3C6AA2"/>
        </w:rPr>
      </w:pPr>
      <w:r w:rsidRPr="002C0B4F">
        <w:rPr>
          <w:rFonts w:ascii="Aptos" w:eastAsia="Times New Roman" w:hAnsi="Aptos" w:cs="Tahoma"/>
          <w:b/>
          <w:bCs/>
          <w:color w:val="3C6AA2"/>
        </w:rPr>
        <w:t>Funding Questions</w:t>
      </w:r>
    </w:p>
    <w:p w14:paraId="7EA2B314" w14:textId="187B3D3C" w:rsidR="007046B0" w:rsidRPr="002C0B4F" w:rsidRDefault="007046B0" w:rsidP="004F0931">
      <w:pPr>
        <w:spacing w:before="120" w:after="120" w:line="259" w:lineRule="auto"/>
        <w:ind w:left="720" w:hanging="720"/>
        <w:rPr>
          <w:rFonts w:ascii="Aptos" w:hAnsi="Aptos" w:cs="Tahoma"/>
          <w:b/>
          <w:bCs/>
        </w:rPr>
      </w:pPr>
      <w:r w:rsidRPr="002C0B4F">
        <w:rPr>
          <w:rFonts w:ascii="Aptos" w:hAnsi="Aptos" w:cs="Tahoma"/>
          <w:b/>
          <w:bCs/>
        </w:rPr>
        <w:t>Q</w:t>
      </w:r>
      <w:r w:rsidR="00285158" w:rsidRPr="002C0B4F">
        <w:rPr>
          <w:rFonts w:ascii="Aptos" w:hAnsi="Aptos" w:cs="Tahoma"/>
          <w:b/>
          <w:bCs/>
        </w:rPr>
        <w:t>20</w:t>
      </w:r>
      <w:r w:rsidRPr="002C0B4F">
        <w:rPr>
          <w:rFonts w:ascii="Aptos" w:hAnsi="Aptos" w:cs="Tahoma"/>
          <w:b/>
          <w:bCs/>
        </w:rPr>
        <w:t>:</w:t>
      </w:r>
      <w:r w:rsidRPr="002C0B4F">
        <w:rPr>
          <w:rFonts w:ascii="Aptos" w:hAnsi="Aptos" w:cs="Tahoma"/>
          <w:b/>
          <w:bCs/>
        </w:rPr>
        <w:tab/>
        <w:t>What happens if the $11.5 million in federal funding from the CEC’s IRA Codes Award is reduced or deleted?</w:t>
      </w:r>
    </w:p>
    <w:p w14:paraId="42BD0DD0" w14:textId="119BB78F" w:rsidR="007046B0" w:rsidRPr="002C0B4F" w:rsidRDefault="007046B0" w:rsidP="004F0931">
      <w:pPr>
        <w:spacing w:before="120" w:after="120" w:line="259" w:lineRule="auto"/>
        <w:ind w:left="720" w:hanging="720"/>
        <w:rPr>
          <w:rFonts w:ascii="Aptos" w:hAnsi="Aptos" w:cs="Tahoma"/>
        </w:rPr>
      </w:pPr>
      <w:r w:rsidRPr="002C0B4F">
        <w:rPr>
          <w:rFonts w:ascii="Aptos" w:hAnsi="Aptos" w:cs="Tahoma"/>
        </w:rPr>
        <w:t>A</w:t>
      </w:r>
      <w:r w:rsidR="00285158" w:rsidRPr="002C0B4F">
        <w:rPr>
          <w:rFonts w:ascii="Aptos" w:hAnsi="Aptos" w:cs="Tahoma"/>
        </w:rPr>
        <w:t>20</w:t>
      </w:r>
      <w:r w:rsidRPr="002C0B4F">
        <w:rPr>
          <w:rFonts w:ascii="Aptos" w:hAnsi="Aptos" w:cs="Tahoma"/>
        </w:rPr>
        <w:t>:</w:t>
      </w:r>
      <w:r w:rsidRPr="002C0B4F">
        <w:rPr>
          <w:rFonts w:ascii="Aptos" w:hAnsi="Aptos" w:cs="Tahoma"/>
        </w:rPr>
        <w:tab/>
        <w:t xml:space="preserve">If funding for any fiscal year is reduced or deleted by the Budget Act for purposes of this program, or any of the grant awards from a federal agency of the United States that provide funding for this Agreement, are reduced or eliminated, the CEC shall have the option to either: cancel this Agreement with no liability occurring to the State, or offer an agreement amendment to the Contractor to reflect the reduced amount. </w:t>
      </w:r>
      <w:r w:rsidR="009771C3" w:rsidRPr="002C0B4F">
        <w:rPr>
          <w:rFonts w:ascii="Aptos" w:hAnsi="Aptos" w:cs="Tahoma"/>
        </w:rPr>
        <w:t>For more information, p</w:t>
      </w:r>
      <w:r w:rsidRPr="002C0B4F">
        <w:rPr>
          <w:rFonts w:ascii="Aptos" w:hAnsi="Aptos" w:cs="Tahoma"/>
        </w:rPr>
        <w:t>lease see Attachment 6, Standard Agreement Example</w:t>
      </w:r>
      <w:r w:rsidR="004A6192" w:rsidRPr="002C0B4F">
        <w:rPr>
          <w:rFonts w:ascii="Aptos" w:hAnsi="Aptos" w:cs="Tahoma"/>
        </w:rPr>
        <w:t xml:space="preserve"> </w:t>
      </w:r>
      <w:r w:rsidRPr="002C0B4F">
        <w:rPr>
          <w:rFonts w:ascii="Aptos" w:hAnsi="Aptos" w:cs="Tahoma"/>
        </w:rPr>
        <w:t xml:space="preserve">available on the </w:t>
      </w:r>
      <w:hyperlink r:id="rId30" w:history="1">
        <w:r w:rsidRPr="002C0B4F">
          <w:rPr>
            <w:rStyle w:val="Hyperlink"/>
            <w:rFonts w:ascii="Aptos" w:hAnsi="Aptos" w:cs="Tahoma"/>
          </w:rPr>
          <w:t>RFQ-25-401 solicitation webpage</w:t>
        </w:r>
      </w:hyperlink>
      <w:r w:rsidRPr="002C0B4F">
        <w:rPr>
          <w:rFonts w:ascii="Aptos" w:hAnsi="Aptos" w:cs="Tahoma"/>
        </w:rPr>
        <w:t xml:space="preserve"> (https://www.energy.ca.gov/solicitations/2026-05/rfq-25-401-energy-code-compliance-evaluation-support).</w:t>
      </w:r>
    </w:p>
    <w:p w14:paraId="289DA380" w14:textId="2A7B9D02" w:rsidR="008A0BF3" w:rsidRPr="002C0B4F" w:rsidRDefault="008A0BF3" w:rsidP="004F0931">
      <w:pPr>
        <w:spacing w:before="120" w:after="120" w:line="259" w:lineRule="auto"/>
        <w:ind w:left="720" w:hanging="720"/>
        <w:rPr>
          <w:rFonts w:ascii="Aptos" w:hAnsi="Aptos" w:cs="Tahoma"/>
          <w:b/>
          <w:bCs/>
        </w:rPr>
      </w:pPr>
      <w:r w:rsidRPr="002C0B4F">
        <w:rPr>
          <w:rFonts w:ascii="Aptos" w:hAnsi="Aptos" w:cs="Tahoma"/>
          <w:b/>
          <w:bCs/>
        </w:rPr>
        <w:lastRenderedPageBreak/>
        <w:t>Q</w:t>
      </w:r>
      <w:r w:rsidR="00285158" w:rsidRPr="002C0B4F">
        <w:rPr>
          <w:rFonts w:ascii="Aptos" w:hAnsi="Aptos" w:cs="Tahoma"/>
          <w:b/>
          <w:bCs/>
        </w:rPr>
        <w:t>21</w:t>
      </w:r>
      <w:r w:rsidRPr="002C0B4F">
        <w:rPr>
          <w:rFonts w:ascii="Aptos" w:hAnsi="Aptos" w:cs="Tahoma"/>
          <w:b/>
          <w:bCs/>
        </w:rPr>
        <w:t>:</w:t>
      </w:r>
      <w:r w:rsidRPr="002C0B4F">
        <w:rPr>
          <w:rFonts w:ascii="Aptos" w:hAnsi="Aptos" w:cs="Tahoma"/>
          <w:b/>
          <w:bCs/>
        </w:rPr>
        <w:tab/>
        <w:t>Per the solicitation manual and pre-bid</w:t>
      </w:r>
      <w:r w:rsidR="00285158" w:rsidRPr="002C0B4F">
        <w:rPr>
          <w:rFonts w:ascii="Aptos" w:hAnsi="Aptos" w:cs="Tahoma"/>
          <w:b/>
          <w:bCs/>
        </w:rPr>
        <w:t xml:space="preserve"> conference</w:t>
      </w:r>
      <w:r w:rsidRPr="002C0B4F">
        <w:rPr>
          <w:rFonts w:ascii="Aptos" w:hAnsi="Aptos" w:cs="Tahoma"/>
          <w:b/>
          <w:bCs/>
        </w:rPr>
        <w:t xml:space="preserve"> presentation, funding is contingent </w:t>
      </w:r>
      <w:r w:rsidR="00285158" w:rsidRPr="002C0B4F">
        <w:rPr>
          <w:rFonts w:ascii="Aptos" w:hAnsi="Aptos" w:cs="Tahoma"/>
          <w:b/>
          <w:bCs/>
        </w:rPr>
        <w:t>upo</w:t>
      </w:r>
      <w:r w:rsidRPr="002C0B4F">
        <w:rPr>
          <w:rFonts w:ascii="Aptos" w:hAnsi="Aptos" w:cs="Tahoma"/>
          <w:b/>
          <w:bCs/>
        </w:rPr>
        <w:t xml:space="preserve">n </w:t>
      </w:r>
      <w:r w:rsidR="00285158" w:rsidRPr="002C0B4F">
        <w:rPr>
          <w:rFonts w:ascii="Aptos" w:hAnsi="Aptos" w:cs="Tahoma"/>
          <w:b/>
          <w:bCs/>
        </w:rPr>
        <w:t xml:space="preserve">the </w:t>
      </w:r>
      <w:r w:rsidRPr="002C0B4F">
        <w:rPr>
          <w:rFonts w:ascii="Aptos" w:hAnsi="Aptos" w:cs="Tahoma"/>
          <w:b/>
          <w:bCs/>
        </w:rPr>
        <w:t>continued availability of federal funds. Are there any DOE funds currently encumbered to the CEC?</w:t>
      </w:r>
    </w:p>
    <w:p w14:paraId="42963D77" w14:textId="21B801F6" w:rsidR="008A0BF3" w:rsidRPr="002C0B4F" w:rsidRDefault="008A0BF3" w:rsidP="004F0931">
      <w:pPr>
        <w:spacing w:before="120" w:after="120" w:line="259" w:lineRule="auto"/>
        <w:ind w:left="720" w:hanging="720"/>
        <w:rPr>
          <w:rFonts w:ascii="Aptos" w:hAnsi="Aptos" w:cs="Tahoma"/>
        </w:rPr>
      </w:pPr>
      <w:r w:rsidRPr="002C0B4F">
        <w:rPr>
          <w:rFonts w:ascii="Aptos" w:hAnsi="Aptos" w:cs="Tahoma"/>
        </w:rPr>
        <w:t>A</w:t>
      </w:r>
      <w:r w:rsidR="00285158" w:rsidRPr="002C0B4F">
        <w:rPr>
          <w:rFonts w:ascii="Aptos" w:hAnsi="Aptos" w:cs="Tahoma"/>
        </w:rPr>
        <w:t>21</w:t>
      </w:r>
      <w:r w:rsidRPr="002C0B4F">
        <w:rPr>
          <w:rFonts w:ascii="Aptos" w:hAnsi="Aptos" w:cs="Tahoma"/>
        </w:rPr>
        <w:t xml:space="preserve">: </w:t>
      </w:r>
      <w:r w:rsidRPr="002C0B4F">
        <w:rPr>
          <w:rFonts w:ascii="Aptos" w:hAnsi="Aptos" w:cs="Tahoma"/>
        </w:rPr>
        <w:tab/>
      </w:r>
      <w:r w:rsidR="005E6591" w:rsidRPr="002C0B4F">
        <w:rPr>
          <w:rFonts w:ascii="Aptos" w:hAnsi="Aptos" w:cs="Tahoma"/>
        </w:rPr>
        <w:t>Yes, t</w:t>
      </w:r>
      <w:r w:rsidR="00AD32DA" w:rsidRPr="002C0B4F">
        <w:rPr>
          <w:rFonts w:ascii="Aptos" w:hAnsi="Aptos" w:cs="Tahoma"/>
        </w:rPr>
        <w:t xml:space="preserve">he CEC has received an official IRA Codes Award from </w:t>
      </w:r>
      <w:r w:rsidR="00337588" w:rsidRPr="002C0B4F">
        <w:rPr>
          <w:rFonts w:ascii="Aptos" w:hAnsi="Aptos" w:cs="Tahoma"/>
        </w:rPr>
        <w:t>DOE and</w:t>
      </w:r>
      <w:r w:rsidR="00F46973" w:rsidRPr="002C0B4F">
        <w:rPr>
          <w:rFonts w:ascii="Aptos" w:hAnsi="Aptos" w:cs="Tahoma"/>
        </w:rPr>
        <w:t xml:space="preserve"> currently </w:t>
      </w:r>
      <w:r w:rsidR="00AD32DA" w:rsidRPr="002C0B4F">
        <w:rPr>
          <w:rFonts w:ascii="Aptos" w:hAnsi="Aptos" w:cs="Tahoma"/>
        </w:rPr>
        <w:t>has budget authority to spend m</w:t>
      </w:r>
      <w:r w:rsidR="004A253B" w:rsidRPr="002C0B4F">
        <w:rPr>
          <w:rFonts w:ascii="Aptos" w:hAnsi="Aptos" w:cs="Tahoma"/>
        </w:rPr>
        <w:t>ost of the $11.5 million</w:t>
      </w:r>
      <w:r w:rsidR="00AD32DA" w:rsidRPr="002C0B4F">
        <w:rPr>
          <w:rFonts w:ascii="Aptos" w:hAnsi="Aptos" w:cs="Tahoma"/>
        </w:rPr>
        <w:t xml:space="preserve"> </w:t>
      </w:r>
      <w:r w:rsidR="00F46973" w:rsidRPr="002C0B4F">
        <w:rPr>
          <w:rFonts w:ascii="Aptos" w:hAnsi="Aptos" w:cs="Tahoma"/>
        </w:rPr>
        <w:t xml:space="preserve">in federal funding available via this solicitation. </w:t>
      </w:r>
      <w:r w:rsidR="00337588" w:rsidRPr="002C0B4F">
        <w:rPr>
          <w:rFonts w:ascii="Aptos" w:hAnsi="Aptos" w:cs="Tahoma"/>
        </w:rPr>
        <w:t xml:space="preserve">However, it is important to note that </w:t>
      </w:r>
      <w:r w:rsidR="009B30CB" w:rsidRPr="002C0B4F">
        <w:rPr>
          <w:rFonts w:ascii="Aptos" w:hAnsi="Aptos" w:cs="Tahoma"/>
        </w:rPr>
        <w:t xml:space="preserve">encumbrances are not actual expenses until the payments are issued, and </w:t>
      </w:r>
      <w:r w:rsidR="00337588" w:rsidRPr="002C0B4F">
        <w:rPr>
          <w:rFonts w:ascii="Aptos" w:hAnsi="Aptos" w:cs="Tahoma"/>
        </w:rPr>
        <w:t xml:space="preserve">the CEC must submit </w:t>
      </w:r>
      <w:r w:rsidR="00553B42" w:rsidRPr="002C0B4F">
        <w:rPr>
          <w:rFonts w:ascii="Aptos" w:hAnsi="Aptos" w:cs="Tahoma"/>
        </w:rPr>
        <w:t xml:space="preserve">invoices for </w:t>
      </w:r>
      <w:r w:rsidR="00337588" w:rsidRPr="002C0B4F">
        <w:rPr>
          <w:rFonts w:ascii="Aptos" w:hAnsi="Aptos" w:cs="Tahoma"/>
        </w:rPr>
        <w:t xml:space="preserve">all expenditures to DOE for review and approval. </w:t>
      </w:r>
      <w:r w:rsidR="00553B42" w:rsidRPr="002C0B4F">
        <w:rPr>
          <w:rFonts w:ascii="Aptos" w:hAnsi="Aptos" w:cs="Tahoma"/>
        </w:rPr>
        <w:t>It is only upon DOE approval</w:t>
      </w:r>
      <w:r w:rsidR="00B75C07" w:rsidRPr="002C0B4F">
        <w:rPr>
          <w:rFonts w:ascii="Aptos" w:hAnsi="Aptos" w:cs="Tahoma"/>
        </w:rPr>
        <w:t xml:space="preserve"> of a submitted invoice</w:t>
      </w:r>
      <w:r w:rsidR="00553B42" w:rsidRPr="002C0B4F">
        <w:rPr>
          <w:rFonts w:ascii="Aptos" w:hAnsi="Aptos" w:cs="Tahoma"/>
        </w:rPr>
        <w:t xml:space="preserve"> that the CEC can draw down federal funds</w:t>
      </w:r>
      <w:r w:rsidR="00A910A7" w:rsidRPr="002C0B4F">
        <w:rPr>
          <w:rFonts w:ascii="Aptos" w:hAnsi="Aptos" w:cs="Tahoma"/>
        </w:rPr>
        <w:t xml:space="preserve"> and issue </w:t>
      </w:r>
      <w:r w:rsidR="00E13131" w:rsidRPr="002C0B4F">
        <w:rPr>
          <w:rFonts w:ascii="Aptos" w:hAnsi="Aptos" w:cs="Tahoma"/>
        </w:rPr>
        <w:t>a</w:t>
      </w:r>
      <w:r w:rsidR="00A910A7" w:rsidRPr="002C0B4F">
        <w:rPr>
          <w:rFonts w:ascii="Aptos" w:hAnsi="Aptos" w:cs="Tahoma"/>
        </w:rPr>
        <w:t xml:space="preserve"> payment</w:t>
      </w:r>
      <w:r w:rsidR="00553B42" w:rsidRPr="002C0B4F">
        <w:rPr>
          <w:rFonts w:ascii="Aptos" w:hAnsi="Aptos" w:cs="Tahoma"/>
        </w:rPr>
        <w:t xml:space="preserve">. </w:t>
      </w:r>
    </w:p>
    <w:p w14:paraId="4CCBC2BC" w14:textId="580CAF9B" w:rsidR="00811356" w:rsidRPr="002C0B4F" w:rsidRDefault="00811356" w:rsidP="004F0931">
      <w:pPr>
        <w:spacing w:before="120" w:after="120" w:line="259" w:lineRule="auto"/>
        <w:ind w:left="720" w:hanging="720"/>
        <w:rPr>
          <w:rFonts w:ascii="Aptos" w:hAnsi="Aptos" w:cs="Tahoma"/>
          <w:b/>
          <w:bCs/>
        </w:rPr>
      </w:pPr>
      <w:r w:rsidRPr="002C0B4F">
        <w:rPr>
          <w:rFonts w:ascii="Aptos" w:hAnsi="Aptos" w:cs="Tahoma"/>
          <w:b/>
          <w:bCs/>
        </w:rPr>
        <w:t>Q</w:t>
      </w:r>
      <w:r w:rsidR="00285158" w:rsidRPr="002C0B4F">
        <w:rPr>
          <w:rFonts w:ascii="Aptos" w:hAnsi="Aptos" w:cs="Tahoma"/>
          <w:b/>
          <w:bCs/>
        </w:rPr>
        <w:t>22</w:t>
      </w:r>
      <w:r w:rsidRPr="002C0B4F">
        <w:rPr>
          <w:rFonts w:ascii="Aptos" w:hAnsi="Aptos" w:cs="Tahoma"/>
          <w:b/>
          <w:bCs/>
        </w:rPr>
        <w:t>:</w:t>
      </w:r>
      <w:r w:rsidR="00DD21E2" w:rsidRPr="002C0B4F">
        <w:rPr>
          <w:rFonts w:ascii="Aptos" w:hAnsi="Aptos" w:cs="Tahoma"/>
          <w:b/>
          <w:bCs/>
        </w:rPr>
        <w:tab/>
      </w:r>
      <w:r w:rsidR="003402E0" w:rsidRPr="002C0B4F">
        <w:rPr>
          <w:rFonts w:ascii="Aptos" w:hAnsi="Aptos" w:cs="Tahoma"/>
          <w:b/>
          <w:bCs/>
        </w:rPr>
        <w:t xml:space="preserve">Will the budget for the </w:t>
      </w:r>
      <w:r w:rsidR="003C4A2E" w:rsidRPr="002C0B4F">
        <w:rPr>
          <w:rFonts w:ascii="Aptos" w:hAnsi="Aptos" w:cs="Tahoma"/>
          <w:b/>
          <w:bCs/>
        </w:rPr>
        <w:t>contract resulting from this solicitation</w:t>
      </w:r>
      <w:r w:rsidR="003402E0" w:rsidRPr="002C0B4F">
        <w:rPr>
          <w:rFonts w:ascii="Aptos" w:hAnsi="Aptos" w:cs="Tahoma"/>
          <w:b/>
          <w:bCs/>
        </w:rPr>
        <w:t xml:space="preserve"> be divided by task</w:t>
      </w:r>
      <w:r w:rsidR="00D668A8" w:rsidRPr="002C0B4F">
        <w:rPr>
          <w:rFonts w:ascii="Aptos" w:hAnsi="Aptos" w:cs="Tahoma"/>
          <w:b/>
          <w:bCs/>
        </w:rPr>
        <w:t>? I</w:t>
      </w:r>
      <w:r w:rsidR="00B41D90" w:rsidRPr="002C0B4F">
        <w:rPr>
          <w:rFonts w:ascii="Aptos" w:hAnsi="Aptos" w:cs="Tahoma"/>
          <w:b/>
          <w:bCs/>
        </w:rPr>
        <w:t>f so</w:t>
      </w:r>
      <w:r w:rsidR="00D668A8" w:rsidRPr="002C0B4F">
        <w:rPr>
          <w:rFonts w:ascii="Aptos" w:hAnsi="Aptos" w:cs="Tahoma"/>
          <w:b/>
          <w:bCs/>
        </w:rPr>
        <w:t>,</w:t>
      </w:r>
      <w:r w:rsidR="00B41D90" w:rsidRPr="002C0B4F">
        <w:rPr>
          <w:rFonts w:ascii="Aptos" w:hAnsi="Aptos" w:cs="Tahoma"/>
          <w:b/>
          <w:bCs/>
        </w:rPr>
        <w:t xml:space="preserve"> can you provide the </w:t>
      </w:r>
      <w:r w:rsidR="00C768B5" w:rsidRPr="002C0B4F">
        <w:rPr>
          <w:rFonts w:ascii="Aptos" w:hAnsi="Aptos" w:cs="Tahoma"/>
          <w:b/>
          <w:bCs/>
        </w:rPr>
        <w:t>budget breakdown</w:t>
      </w:r>
      <w:r w:rsidR="00A7704E" w:rsidRPr="002C0B4F">
        <w:rPr>
          <w:rFonts w:ascii="Aptos" w:hAnsi="Aptos" w:cs="Tahoma"/>
          <w:b/>
          <w:bCs/>
        </w:rPr>
        <w:t>? W</w:t>
      </w:r>
      <w:r w:rsidR="00072623" w:rsidRPr="002C0B4F">
        <w:rPr>
          <w:rFonts w:ascii="Aptos" w:hAnsi="Aptos" w:cs="Tahoma"/>
          <w:b/>
          <w:bCs/>
        </w:rPr>
        <w:t xml:space="preserve">ill there be </w:t>
      </w:r>
      <w:r w:rsidR="00080192" w:rsidRPr="002C0B4F">
        <w:rPr>
          <w:rFonts w:ascii="Aptos" w:hAnsi="Aptos" w:cs="Tahoma"/>
          <w:b/>
          <w:bCs/>
        </w:rPr>
        <w:t xml:space="preserve">an opportunity to redistribute the </w:t>
      </w:r>
      <w:r w:rsidR="003A73F4" w:rsidRPr="002C0B4F">
        <w:rPr>
          <w:rFonts w:ascii="Aptos" w:hAnsi="Aptos" w:cs="Tahoma"/>
          <w:b/>
          <w:bCs/>
        </w:rPr>
        <w:t xml:space="preserve">planned </w:t>
      </w:r>
      <w:r w:rsidR="00080192" w:rsidRPr="002C0B4F">
        <w:rPr>
          <w:rFonts w:ascii="Aptos" w:hAnsi="Aptos" w:cs="Tahoma"/>
          <w:b/>
          <w:bCs/>
        </w:rPr>
        <w:t>task budgets</w:t>
      </w:r>
      <w:r w:rsidRPr="002C0B4F">
        <w:rPr>
          <w:rFonts w:ascii="Aptos" w:hAnsi="Aptos" w:cs="Tahoma"/>
          <w:b/>
          <w:bCs/>
        </w:rPr>
        <w:t xml:space="preserve">? </w:t>
      </w:r>
    </w:p>
    <w:p w14:paraId="4287F04D" w14:textId="77777777" w:rsidR="00BC4AD9" w:rsidRPr="002C0B4F" w:rsidRDefault="00811356" w:rsidP="004F0931">
      <w:pPr>
        <w:spacing w:before="120" w:after="120" w:line="259" w:lineRule="auto"/>
        <w:ind w:left="720" w:hanging="720"/>
        <w:rPr>
          <w:rFonts w:ascii="Aptos" w:hAnsi="Aptos" w:cs="Tahoma"/>
        </w:rPr>
      </w:pPr>
      <w:r w:rsidRPr="002C0B4F">
        <w:rPr>
          <w:rFonts w:ascii="Aptos" w:hAnsi="Aptos" w:cs="Tahoma"/>
        </w:rPr>
        <w:t>A</w:t>
      </w:r>
      <w:r w:rsidR="00285158" w:rsidRPr="002C0B4F">
        <w:rPr>
          <w:rFonts w:ascii="Aptos" w:hAnsi="Aptos" w:cs="Tahoma"/>
        </w:rPr>
        <w:t>22</w:t>
      </w:r>
      <w:r w:rsidRPr="002C0B4F">
        <w:rPr>
          <w:rFonts w:ascii="Aptos" w:hAnsi="Aptos" w:cs="Tahoma"/>
        </w:rPr>
        <w:t>:</w:t>
      </w:r>
      <w:r w:rsidR="00DD21E2" w:rsidRPr="002C0B4F">
        <w:rPr>
          <w:rFonts w:ascii="Aptos" w:hAnsi="Aptos" w:cs="Tahoma"/>
        </w:rPr>
        <w:tab/>
        <w:t>Y</w:t>
      </w:r>
      <w:r w:rsidR="0052538C" w:rsidRPr="002C0B4F">
        <w:rPr>
          <w:rFonts w:ascii="Aptos" w:hAnsi="Aptos" w:cs="Tahoma"/>
        </w:rPr>
        <w:t xml:space="preserve">es, </w:t>
      </w:r>
      <w:r w:rsidR="002A2ABF" w:rsidRPr="002C0B4F">
        <w:rPr>
          <w:rFonts w:ascii="Aptos" w:hAnsi="Aptos" w:cs="Tahoma"/>
        </w:rPr>
        <w:t xml:space="preserve">the resulting contract will </w:t>
      </w:r>
      <w:r w:rsidR="00172A11" w:rsidRPr="002C0B4F">
        <w:rPr>
          <w:rFonts w:ascii="Aptos" w:hAnsi="Aptos" w:cs="Tahoma"/>
        </w:rPr>
        <w:t>have a planned budget per</w:t>
      </w:r>
      <w:r w:rsidR="002A2ABF" w:rsidRPr="002C0B4F">
        <w:rPr>
          <w:rFonts w:ascii="Aptos" w:hAnsi="Aptos" w:cs="Tahoma"/>
        </w:rPr>
        <w:t xml:space="preserve"> task</w:t>
      </w:r>
      <w:r w:rsidR="007B2F5E" w:rsidRPr="002C0B4F">
        <w:rPr>
          <w:rFonts w:ascii="Aptos" w:hAnsi="Aptos" w:cs="Tahoma"/>
        </w:rPr>
        <w:t xml:space="preserve">. </w:t>
      </w:r>
    </w:p>
    <w:p w14:paraId="07EA2D84" w14:textId="77777777" w:rsidR="00BC4AD9" w:rsidRPr="002C0B4F" w:rsidRDefault="007B2F5E" w:rsidP="004F0931">
      <w:pPr>
        <w:spacing w:before="120" w:after="120" w:line="259" w:lineRule="auto"/>
        <w:ind w:left="720"/>
        <w:rPr>
          <w:rFonts w:ascii="Aptos" w:hAnsi="Aptos" w:cs="Tahoma"/>
        </w:rPr>
      </w:pPr>
      <w:r w:rsidRPr="002C0B4F">
        <w:rPr>
          <w:rFonts w:ascii="Aptos" w:hAnsi="Aptos" w:cs="Tahoma"/>
        </w:rPr>
        <w:t xml:space="preserve">No, we </w:t>
      </w:r>
      <w:r w:rsidR="00FE625D" w:rsidRPr="002C0B4F">
        <w:rPr>
          <w:rFonts w:ascii="Aptos" w:hAnsi="Aptos" w:cs="Tahoma"/>
        </w:rPr>
        <w:t xml:space="preserve">cannot </w:t>
      </w:r>
      <w:r w:rsidRPr="002C0B4F">
        <w:rPr>
          <w:rFonts w:ascii="Aptos" w:hAnsi="Aptos" w:cs="Tahoma"/>
        </w:rPr>
        <w:t xml:space="preserve">provide the budget breakdown, because </w:t>
      </w:r>
      <w:r w:rsidR="009E5E25" w:rsidRPr="002C0B4F">
        <w:rPr>
          <w:rFonts w:ascii="Aptos" w:hAnsi="Aptos" w:cs="Tahoma"/>
        </w:rPr>
        <w:t>it</w:t>
      </w:r>
      <w:r w:rsidR="000C179E" w:rsidRPr="002C0B4F">
        <w:rPr>
          <w:rFonts w:ascii="Aptos" w:hAnsi="Aptos" w:cs="Tahoma"/>
        </w:rPr>
        <w:t xml:space="preserve"> </w:t>
      </w:r>
      <w:r w:rsidR="00B75C07" w:rsidRPr="002C0B4F">
        <w:rPr>
          <w:rFonts w:ascii="Aptos" w:hAnsi="Aptos" w:cs="Tahoma"/>
        </w:rPr>
        <w:t xml:space="preserve">is </w:t>
      </w:r>
      <w:r w:rsidR="00B40CD1" w:rsidRPr="002C0B4F">
        <w:rPr>
          <w:rFonts w:ascii="Aptos" w:hAnsi="Aptos" w:cs="Tahoma"/>
        </w:rPr>
        <w:t xml:space="preserve">pending </w:t>
      </w:r>
      <w:r w:rsidR="00B75C07" w:rsidRPr="002C0B4F">
        <w:rPr>
          <w:rFonts w:ascii="Aptos" w:hAnsi="Aptos" w:cs="Tahoma"/>
        </w:rPr>
        <w:t xml:space="preserve">and </w:t>
      </w:r>
      <w:r w:rsidR="009A5C85" w:rsidRPr="002C0B4F">
        <w:rPr>
          <w:rFonts w:ascii="Aptos" w:hAnsi="Aptos" w:cs="Tahoma"/>
        </w:rPr>
        <w:t xml:space="preserve">will </w:t>
      </w:r>
      <w:r w:rsidR="000C179E" w:rsidRPr="002C0B4F">
        <w:rPr>
          <w:rFonts w:ascii="Aptos" w:hAnsi="Aptos" w:cs="Tahoma"/>
        </w:rPr>
        <w:t>not</w:t>
      </w:r>
      <w:r w:rsidR="009A5C85" w:rsidRPr="002C0B4F">
        <w:rPr>
          <w:rFonts w:ascii="Aptos" w:hAnsi="Aptos" w:cs="Tahoma"/>
        </w:rPr>
        <w:t xml:space="preserve"> be</w:t>
      </w:r>
      <w:r w:rsidR="006375BD" w:rsidRPr="002C0B4F">
        <w:rPr>
          <w:rFonts w:ascii="Aptos" w:hAnsi="Aptos" w:cs="Tahoma"/>
        </w:rPr>
        <w:t xml:space="preserve"> </w:t>
      </w:r>
      <w:r w:rsidR="00B40CD1" w:rsidRPr="002C0B4F">
        <w:rPr>
          <w:rFonts w:ascii="Aptos" w:hAnsi="Aptos" w:cs="Tahoma"/>
        </w:rPr>
        <w:t>finalized</w:t>
      </w:r>
      <w:r w:rsidR="00811356" w:rsidRPr="002C0B4F">
        <w:rPr>
          <w:rFonts w:ascii="Aptos" w:hAnsi="Aptos" w:cs="Tahoma"/>
        </w:rPr>
        <w:t xml:space="preserve"> until after the </w:t>
      </w:r>
      <w:r w:rsidR="001D5471" w:rsidRPr="002C0B4F">
        <w:rPr>
          <w:rFonts w:ascii="Aptos" w:hAnsi="Aptos" w:cs="Tahoma"/>
        </w:rPr>
        <w:t>SOQ submission deadline</w:t>
      </w:r>
      <w:r w:rsidR="00811356" w:rsidRPr="002C0B4F">
        <w:rPr>
          <w:rFonts w:ascii="Aptos" w:hAnsi="Aptos" w:cs="Tahoma"/>
        </w:rPr>
        <w:t xml:space="preserve">. </w:t>
      </w:r>
    </w:p>
    <w:p w14:paraId="3FFA8EF9" w14:textId="1BC8F84C" w:rsidR="00811356" w:rsidRPr="002C0B4F" w:rsidRDefault="00F542BC" w:rsidP="004F0931">
      <w:pPr>
        <w:spacing w:before="120" w:after="120" w:line="259" w:lineRule="auto"/>
        <w:ind w:left="720"/>
        <w:rPr>
          <w:rFonts w:ascii="Aptos" w:hAnsi="Aptos" w:cs="Tahoma"/>
        </w:rPr>
      </w:pPr>
      <w:r w:rsidRPr="002C0B4F">
        <w:rPr>
          <w:rFonts w:ascii="Aptos" w:hAnsi="Aptos" w:cs="Tahoma"/>
        </w:rPr>
        <w:t>Yes, t</w:t>
      </w:r>
      <w:r w:rsidR="00B543F1" w:rsidRPr="002C0B4F">
        <w:rPr>
          <w:rFonts w:ascii="Aptos" w:hAnsi="Aptos" w:cs="Tahoma"/>
        </w:rPr>
        <w:t>here may be an opportunity to redistribute the</w:t>
      </w:r>
      <w:r w:rsidR="00B26D7A" w:rsidRPr="002C0B4F">
        <w:rPr>
          <w:rFonts w:ascii="Aptos" w:hAnsi="Aptos" w:cs="Tahoma"/>
        </w:rPr>
        <w:t xml:space="preserve"> planned</w:t>
      </w:r>
      <w:r w:rsidR="00B543F1" w:rsidRPr="002C0B4F">
        <w:rPr>
          <w:rFonts w:ascii="Aptos" w:hAnsi="Aptos" w:cs="Tahoma"/>
        </w:rPr>
        <w:t xml:space="preserve"> task budgets </w:t>
      </w:r>
      <w:r w:rsidR="00100002" w:rsidRPr="002C0B4F">
        <w:rPr>
          <w:rFonts w:ascii="Aptos" w:hAnsi="Aptos" w:cs="Tahoma"/>
        </w:rPr>
        <w:t>after they are</w:t>
      </w:r>
      <w:r w:rsidR="00B543F1" w:rsidRPr="002C0B4F">
        <w:rPr>
          <w:rFonts w:ascii="Aptos" w:hAnsi="Aptos" w:cs="Tahoma"/>
        </w:rPr>
        <w:t xml:space="preserve"> finalized</w:t>
      </w:r>
      <w:r w:rsidR="00B25E65" w:rsidRPr="002C0B4F">
        <w:rPr>
          <w:rFonts w:ascii="Aptos" w:hAnsi="Aptos" w:cs="Tahoma"/>
        </w:rPr>
        <w:t>, but this will</w:t>
      </w:r>
      <w:r w:rsidR="00FE2C43" w:rsidRPr="002C0B4F">
        <w:rPr>
          <w:rFonts w:ascii="Aptos" w:hAnsi="Aptos" w:cs="Tahoma"/>
        </w:rPr>
        <w:t xml:space="preserve"> depend </w:t>
      </w:r>
      <w:r w:rsidR="00B25E65" w:rsidRPr="002C0B4F">
        <w:rPr>
          <w:rFonts w:ascii="Aptos" w:hAnsi="Aptos" w:cs="Tahoma"/>
        </w:rPr>
        <w:t>up</w:t>
      </w:r>
      <w:r w:rsidR="00FE2C43" w:rsidRPr="002C0B4F">
        <w:rPr>
          <w:rFonts w:ascii="Aptos" w:hAnsi="Aptos" w:cs="Tahoma"/>
        </w:rPr>
        <w:t>on</w:t>
      </w:r>
      <w:r w:rsidR="009E2BA2" w:rsidRPr="002C0B4F">
        <w:rPr>
          <w:rFonts w:ascii="Aptos" w:hAnsi="Aptos" w:cs="Tahoma"/>
        </w:rPr>
        <w:t xml:space="preserve"> </w:t>
      </w:r>
      <w:r w:rsidR="00641E2F" w:rsidRPr="002C0B4F">
        <w:rPr>
          <w:rFonts w:ascii="Aptos" w:hAnsi="Aptos" w:cs="Tahoma"/>
        </w:rPr>
        <w:t>DOE approval and</w:t>
      </w:r>
      <w:r w:rsidR="009E2BA2" w:rsidRPr="002C0B4F">
        <w:rPr>
          <w:rFonts w:ascii="Aptos" w:hAnsi="Aptos" w:cs="Tahoma"/>
        </w:rPr>
        <w:t>/or</w:t>
      </w:r>
      <w:r w:rsidR="00641E2F" w:rsidRPr="002C0B4F">
        <w:rPr>
          <w:rFonts w:ascii="Aptos" w:hAnsi="Aptos" w:cs="Tahoma"/>
        </w:rPr>
        <w:t xml:space="preserve"> other factors. </w:t>
      </w:r>
    </w:p>
    <w:p w14:paraId="35A617A3" w14:textId="620174C9" w:rsidR="005254F4" w:rsidRPr="002C0B4F" w:rsidRDefault="005254F4" w:rsidP="004F0931">
      <w:pPr>
        <w:spacing w:before="120" w:after="120" w:line="259" w:lineRule="auto"/>
        <w:ind w:left="720" w:hanging="720"/>
        <w:rPr>
          <w:rFonts w:ascii="Aptos" w:hAnsi="Aptos" w:cs="Tahoma"/>
          <w:b/>
          <w:bCs/>
        </w:rPr>
      </w:pPr>
      <w:r w:rsidRPr="002C0B4F">
        <w:rPr>
          <w:rFonts w:ascii="Aptos" w:hAnsi="Aptos" w:cs="Tahoma"/>
          <w:b/>
          <w:bCs/>
        </w:rPr>
        <w:t>Q</w:t>
      </w:r>
      <w:r w:rsidR="00285158" w:rsidRPr="002C0B4F">
        <w:rPr>
          <w:rFonts w:ascii="Aptos" w:hAnsi="Aptos" w:cs="Tahoma"/>
          <w:b/>
          <w:bCs/>
        </w:rPr>
        <w:t>23</w:t>
      </w:r>
      <w:r w:rsidRPr="002C0B4F">
        <w:rPr>
          <w:rFonts w:ascii="Aptos" w:hAnsi="Aptos" w:cs="Tahoma"/>
          <w:b/>
          <w:bCs/>
        </w:rPr>
        <w:t>:</w:t>
      </w:r>
      <w:r w:rsidR="00DD21E2" w:rsidRPr="002C0B4F">
        <w:rPr>
          <w:rFonts w:ascii="Aptos" w:hAnsi="Aptos" w:cs="Tahoma"/>
          <w:b/>
          <w:bCs/>
        </w:rPr>
        <w:tab/>
      </w:r>
      <w:r w:rsidRPr="002C0B4F">
        <w:rPr>
          <w:rFonts w:ascii="Aptos" w:hAnsi="Aptos" w:cs="Tahoma"/>
          <w:b/>
          <w:bCs/>
        </w:rPr>
        <w:t xml:space="preserve">Of the </w:t>
      </w:r>
      <w:r w:rsidR="00E96A79" w:rsidRPr="002C0B4F">
        <w:rPr>
          <w:rFonts w:ascii="Aptos" w:hAnsi="Aptos" w:cs="Tahoma"/>
          <w:b/>
          <w:bCs/>
        </w:rPr>
        <w:t xml:space="preserve">available </w:t>
      </w:r>
      <w:r w:rsidRPr="002C0B4F">
        <w:rPr>
          <w:rFonts w:ascii="Aptos" w:hAnsi="Aptos" w:cs="Tahoma"/>
          <w:b/>
          <w:bCs/>
        </w:rPr>
        <w:t xml:space="preserve">$11.5 </w:t>
      </w:r>
      <w:r w:rsidR="001A6920" w:rsidRPr="002C0B4F">
        <w:rPr>
          <w:rFonts w:ascii="Aptos" w:hAnsi="Aptos" w:cs="Tahoma"/>
          <w:b/>
          <w:bCs/>
        </w:rPr>
        <w:t>m</w:t>
      </w:r>
      <w:r w:rsidRPr="002C0B4F">
        <w:rPr>
          <w:rFonts w:ascii="Aptos" w:hAnsi="Aptos" w:cs="Tahoma"/>
          <w:b/>
          <w:bCs/>
        </w:rPr>
        <w:t>il</w:t>
      </w:r>
      <w:r w:rsidR="002D7E18" w:rsidRPr="002C0B4F">
        <w:rPr>
          <w:rFonts w:ascii="Aptos" w:hAnsi="Aptos" w:cs="Tahoma"/>
          <w:b/>
          <w:bCs/>
        </w:rPr>
        <w:t>lion, will some</w:t>
      </w:r>
      <w:r w:rsidR="00E96A79" w:rsidRPr="002C0B4F">
        <w:rPr>
          <w:rFonts w:ascii="Aptos" w:hAnsi="Aptos" w:cs="Tahoma"/>
          <w:b/>
          <w:bCs/>
        </w:rPr>
        <w:t xml:space="preserve"> funding</w:t>
      </w:r>
      <w:r w:rsidR="002D7E18" w:rsidRPr="002C0B4F">
        <w:rPr>
          <w:rFonts w:ascii="Aptos" w:hAnsi="Aptos" w:cs="Tahoma"/>
          <w:b/>
          <w:bCs/>
        </w:rPr>
        <w:t xml:space="preserve"> need to be reserved for </w:t>
      </w:r>
      <w:r w:rsidR="0045077C" w:rsidRPr="002C0B4F">
        <w:rPr>
          <w:rFonts w:ascii="Aptos" w:hAnsi="Aptos" w:cs="Tahoma"/>
          <w:b/>
          <w:bCs/>
        </w:rPr>
        <w:t xml:space="preserve">the </w:t>
      </w:r>
      <w:r w:rsidR="00296C99" w:rsidRPr="002C0B4F">
        <w:rPr>
          <w:rFonts w:ascii="Aptos" w:hAnsi="Aptos" w:cs="Tahoma"/>
          <w:b/>
          <w:bCs/>
        </w:rPr>
        <w:t>local</w:t>
      </w:r>
      <w:r w:rsidR="00B156A0" w:rsidRPr="002C0B4F">
        <w:rPr>
          <w:rFonts w:ascii="Aptos" w:hAnsi="Aptos" w:cs="Tahoma"/>
          <w:b/>
          <w:bCs/>
        </w:rPr>
        <w:t xml:space="preserve"> jurisdictio</w:t>
      </w:r>
      <w:r w:rsidR="0045077C" w:rsidRPr="002C0B4F">
        <w:rPr>
          <w:rFonts w:ascii="Aptos" w:hAnsi="Aptos" w:cs="Tahoma"/>
          <w:b/>
          <w:bCs/>
        </w:rPr>
        <w:t>n</w:t>
      </w:r>
      <w:r w:rsidR="00B156A0" w:rsidRPr="002C0B4F">
        <w:rPr>
          <w:rFonts w:ascii="Aptos" w:hAnsi="Aptos" w:cs="Tahoma"/>
          <w:b/>
          <w:bCs/>
        </w:rPr>
        <w:t xml:space="preserve"> implementation</w:t>
      </w:r>
      <w:r w:rsidR="0045077C" w:rsidRPr="002C0B4F">
        <w:rPr>
          <w:rFonts w:ascii="Aptos" w:hAnsi="Aptos" w:cs="Tahoma"/>
          <w:b/>
          <w:bCs/>
        </w:rPr>
        <w:t xml:space="preserve"> described</w:t>
      </w:r>
      <w:r w:rsidR="00B156A0" w:rsidRPr="002C0B4F">
        <w:rPr>
          <w:rFonts w:ascii="Aptos" w:hAnsi="Aptos" w:cs="Tahoma"/>
          <w:b/>
          <w:bCs/>
        </w:rPr>
        <w:t xml:space="preserve"> in </w:t>
      </w:r>
      <w:r w:rsidR="00026AAF" w:rsidRPr="002C0B4F">
        <w:rPr>
          <w:rFonts w:ascii="Aptos" w:hAnsi="Aptos" w:cs="Tahoma"/>
          <w:b/>
          <w:bCs/>
        </w:rPr>
        <w:t>Task 10</w:t>
      </w:r>
      <w:r w:rsidR="0045077C" w:rsidRPr="002C0B4F">
        <w:rPr>
          <w:rFonts w:ascii="Aptos" w:hAnsi="Aptos" w:cs="Tahoma"/>
          <w:b/>
          <w:bCs/>
        </w:rPr>
        <w:t xml:space="preserve"> of the SOW</w:t>
      </w:r>
      <w:r w:rsidR="00026AAF" w:rsidRPr="002C0B4F">
        <w:rPr>
          <w:rFonts w:ascii="Aptos" w:hAnsi="Aptos" w:cs="Tahoma"/>
          <w:b/>
          <w:bCs/>
        </w:rPr>
        <w:t>?</w:t>
      </w:r>
      <w:r w:rsidR="00CA4F8D" w:rsidRPr="002C0B4F">
        <w:rPr>
          <w:rFonts w:ascii="Aptos" w:hAnsi="Aptos" w:cs="Tahoma"/>
          <w:b/>
          <w:bCs/>
        </w:rPr>
        <w:t xml:space="preserve"> </w:t>
      </w:r>
    </w:p>
    <w:p w14:paraId="3FE5A3DA" w14:textId="767D088A" w:rsidR="005254F4" w:rsidRPr="002C0B4F" w:rsidRDefault="005254F4" w:rsidP="004F0931">
      <w:pPr>
        <w:spacing w:before="120" w:after="120" w:line="259" w:lineRule="auto"/>
        <w:ind w:left="720" w:hanging="720"/>
        <w:rPr>
          <w:rFonts w:ascii="Aptos" w:hAnsi="Aptos" w:cs="Tahoma"/>
        </w:rPr>
      </w:pPr>
      <w:r w:rsidRPr="002C0B4F">
        <w:rPr>
          <w:rFonts w:ascii="Aptos" w:hAnsi="Aptos" w:cs="Tahoma"/>
        </w:rPr>
        <w:t>A</w:t>
      </w:r>
      <w:r w:rsidR="00285158" w:rsidRPr="002C0B4F">
        <w:rPr>
          <w:rFonts w:ascii="Aptos" w:hAnsi="Aptos" w:cs="Tahoma"/>
        </w:rPr>
        <w:t>23</w:t>
      </w:r>
      <w:r w:rsidRPr="002C0B4F">
        <w:rPr>
          <w:rFonts w:ascii="Aptos" w:hAnsi="Aptos" w:cs="Tahoma"/>
        </w:rPr>
        <w:t>:</w:t>
      </w:r>
      <w:r w:rsidR="00DD21E2" w:rsidRPr="002C0B4F">
        <w:rPr>
          <w:rFonts w:ascii="Aptos" w:hAnsi="Aptos" w:cs="Tahoma"/>
        </w:rPr>
        <w:tab/>
      </w:r>
      <w:r w:rsidR="006774DA" w:rsidRPr="002C0B4F">
        <w:rPr>
          <w:rFonts w:ascii="Aptos" w:hAnsi="Aptos" w:cs="Tahoma"/>
        </w:rPr>
        <w:t xml:space="preserve">No, none of the available $11.5 million </w:t>
      </w:r>
      <w:r w:rsidR="007A168D" w:rsidRPr="002C0B4F">
        <w:rPr>
          <w:rFonts w:ascii="Aptos" w:hAnsi="Aptos" w:cs="Tahoma"/>
        </w:rPr>
        <w:t>needs</w:t>
      </w:r>
      <w:r w:rsidR="006774DA" w:rsidRPr="002C0B4F">
        <w:rPr>
          <w:rFonts w:ascii="Aptos" w:hAnsi="Aptos" w:cs="Tahoma"/>
        </w:rPr>
        <w:t xml:space="preserve"> to be reserved for the local jurisdiction implementation described in Task 10. The Prime Contractor will provide technical support services </w:t>
      </w:r>
      <w:r w:rsidR="006774DA" w:rsidRPr="002C0B4F">
        <w:rPr>
          <w:rFonts w:ascii="Aptos" w:hAnsi="Aptos" w:cs="Tahoma"/>
          <w:u w:val="single"/>
        </w:rPr>
        <w:t>only</w:t>
      </w:r>
      <w:r w:rsidR="006774DA" w:rsidRPr="002C0B4F">
        <w:rPr>
          <w:rFonts w:ascii="Aptos" w:hAnsi="Aptos" w:cs="Tahoma"/>
        </w:rPr>
        <w:t xml:space="preserve"> for Task 10. </w:t>
      </w:r>
      <w:r w:rsidR="00117424" w:rsidRPr="002C0B4F">
        <w:rPr>
          <w:rFonts w:ascii="Aptos" w:hAnsi="Aptos" w:cs="Tahoma"/>
        </w:rPr>
        <w:t xml:space="preserve">No solicitations or agreements will be awarded out of the agreement resulting from this solicitation. </w:t>
      </w:r>
    </w:p>
    <w:p w14:paraId="3E59C106" w14:textId="47CBA5B8" w:rsidR="00BE5E5D" w:rsidRPr="002C0B4F" w:rsidRDefault="00BE5E5D" w:rsidP="004F0931">
      <w:pPr>
        <w:spacing w:before="120" w:after="120" w:line="259" w:lineRule="auto"/>
        <w:ind w:left="720" w:hanging="720"/>
        <w:rPr>
          <w:rFonts w:ascii="Aptos" w:hAnsi="Aptos" w:cs="Tahoma"/>
          <w:b/>
          <w:bCs/>
        </w:rPr>
      </w:pPr>
      <w:r w:rsidRPr="002C0B4F">
        <w:rPr>
          <w:rFonts w:ascii="Aptos" w:hAnsi="Aptos" w:cs="Tahoma"/>
          <w:b/>
          <w:bCs/>
        </w:rPr>
        <w:t>Q</w:t>
      </w:r>
      <w:r w:rsidR="00285158" w:rsidRPr="002C0B4F">
        <w:rPr>
          <w:rFonts w:ascii="Aptos" w:hAnsi="Aptos" w:cs="Tahoma"/>
          <w:b/>
          <w:bCs/>
        </w:rPr>
        <w:t>24</w:t>
      </w:r>
      <w:r w:rsidRPr="002C0B4F">
        <w:rPr>
          <w:rFonts w:ascii="Aptos" w:hAnsi="Aptos" w:cs="Tahoma"/>
          <w:b/>
          <w:bCs/>
        </w:rPr>
        <w:t>:</w:t>
      </w:r>
      <w:r w:rsidRPr="002C0B4F">
        <w:rPr>
          <w:rFonts w:ascii="Aptos" w:hAnsi="Aptos" w:cs="Tahoma"/>
          <w:b/>
          <w:bCs/>
        </w:rPr>
        <w:tab/>
        <w:t xml:space="preserve">Can you </w:t>
      </w:r>
      <w:r w:rsidR="00121C14" w:rsidRPr="002C0B4F">
        <w:rPr>
          <w:rFonts w:ascii="Aptos" w:hAnsi="Aptos" w:cs="Tahoma"/>
          <w:b/>
          <w:bCs/>
        </w:rPr>
        <w:t>confirm the amount of funds</w:t>
      </w:r>
      <w:r w:rsidR="00090FC3" w:rsidRPr="002C0B4F">
        <w:rPr>
          <w:rFonts w:ascii="Aptos" w:hAnsi="Aptos" w:cs="Tahoma"/>
          <w:b/>
          <w:bCs/>
        </w:rPr>
        <w:t xml:space="preserve"> reserved for </w:t>
      </w:r>
      <w:r w:rsidR="00121C14" w:rsidRPr="002C0B4F">
        <w:rPr>
          <w:rFonts w:ascii="Aptos" w:hAnsi="Aptos" w:cs="Tahoma"/>
          <w:b/>
          <w:bCs/>
        </w:rPr>
        <w:t xml:space="preserve">the </w:t>
      </w:r>
      <w:r w:rsidR="00090FC3" w:rsidRPr="002C0B4F">
        <w:rPr>
          <w:rFonts w:ascii="Aptos" w:hAnsi="Aptos" w:cs="Tahoma"/>
          <w:b/>
          <w:bCs/>
        </w:rPr>
        <w:t xml:space="preserve">local jurisdiction </w:t>
      </w:r>
      <w:r w:rsidR="00EC7443" w:rsidRPr="002C0B4F">
        <w:rPr>
          <w:rFonts w:ascii="Aptos" w:hAnsi="Aptos" w:cs="Tahoma"/>
          <w:b/>
          <w:bCs/>
        </w:rPr>
        <w:t xml:space="preserve">implementation described in Task 10? </w:t>
      </w:r>
    </w:p>
    <w:p w14:paraId="5B77B52C" w14:textId="3E268311" w:rsidR="00EC7443" w:rsidRPr="002C0B4F" w:rsidRDefault="00EC7443" w:rsidP="004F0931">
      <w:pPr>
        <w:spacing w:before="120" w:after="120" w:line="259" w:lineRule="auto"/>
        <w:ind w:left="720" w:hanging="720"/>
        <w:rPr>
          <w:rFonts w:ascii="Aptos" w:hAnsi="Aptos" w:cs="Tahoma"/>
          <w:b/>
          <w:bCs/>
        </w:rPr>
      </w:pPr>
      <w:r w:rsidRPr="002C0B4F">
        <w:rPr>
          <w:rFonts w:ascii="Aptos" w:hAnsi="Aptos" w:cs="Tahoma"/>
        </w:rPr>
        <w:t>A</w:t>
      </w:r>
      <w:r w:rsidR="00285158" w:rsidRPr="002C0B4F">
        <w:rPr>
          <w:rFonts w:ascii="Aptos" w:hAnsi="Aptos" w:cs="Tahoma"/>
        </w:rPr>
        <w:t>24</w:t>
      </w:r>
      <w:r w:rsidRPr="002C0B4F">
        <w:rPr>
          <w:rFonts w:ascii="Aptos" w:hAnsi="Aptos" w:cs="Tahoma"/>
        </w:rPr>
        <w:t>:</w:t>
      </w:r>
      <w:r w:rsidRPr="002C0B4F">
        <w:rPr>
          <w:rFonts w:ascii="Aptos" w:hAnsi="Aptos" w:cs="Tahoma"/>
        </w:rPr>
        <w:tab/>
      </w:r>
      <w:r w:rsidR="00970EA5" w:rsidRPr="002C0B4F">
        <w:rPr>
          <w:rFonts w:ascii="Aptos" w:hAnsi="Aptos" w:cs="Tahoma"/>
        </w:rPr>
        <w:t xml:space="preserve">Yes, the CEC has approximately $3.6 million </w:t>
      </w:r>
      <w:r w:rsidR="00D836CF" w:rsidRPr="002C0B4F">
        <w:rPr>
          <w:rFonts w:ascii="Aptos" w:hAnsi="Aptos" w:cs="Tahoma"/>
        </w:rPr>
        <w:t xml:space="preserve">in funds reserved for the local jurisdiction implementation described in Task 10. </w:t>
      </w:r>
      <w:r w:rsidR="00525D38" w:rsidRPr="002C0B4F">
        <w:rPr>
          <w:rFonts w:ascii="Aptos" w:hAnsi="Aptos" w:cs="Tahoma"/>
        </w:rPr>
        <w:t>It is important to note</w:t>
      </w:r>
      <w:r w:rsidR="003920CB" w:rsidRPr="002C0B4F">
        <w:rPr>
          <w:rFonts w:ascii="Aptos" w:hAnsi="Aptos" w:cs="Tahoma"/>
        </w:rPr>
        <w:t>, however,</w:t>
      </w:r>
      <w:r w:rsidR="00E918E9" w:rsidRPr="002C0B4F">
        <w:rPr>
          <w:rFonts w:ascii="Aptos" w:hAnsi="Aptos" w:cs="Tahoma"/>
        </w:rPr>
        <w:t xml:space="preserve"> that</w:t>
      </w:r>
      <w:r w:rsidR="007046B0" w:rsidRPr="002C0B4F">
        <w:rPr>
          <w:rFonts w:ascii="Aptos" w:hAnsi="Aptos" w:cs="Tahoma"/>
        </w:rPr>
        <w:t xml:space="preserve"> none of the $11.5 million </w:t>
      </w:r>
      <w:r w:rsidR="008A4080" w:rsidRPr="002C0B4F">
        <w:rPr>
          <w:rFonts w:ascii="Aptos" w:hAnsi="Aptos" w:cs="Tahoma"/>
        </w:rPr>
        <w:t>in funds</w:t>
      </w:r>
      <w:r w:rsidR="00112CB7" w:rsidRPr="002C0B4F">
        <w:rPr>
          <w:rFonts w:ascii="Aptos" w:hAnsi="Aptos" w:cs="Tahoma"/>
        </w:rPr>
        <w:t xml:space="preserve"> </w:t>
      </w:r>
      <w:r w:rsidR="002E430B" w:rsidRPr="002C0B4F">
        <w:rPr>
          <w:rFonts w:ascii="Aptos" w:hAnsi="Aptos" w:cs="Tahoma"/>
        </w:rPr>
        <w:t xml:space="preserve">available </w:t>
      </w:r>
      <w:r w:rsidR="008A4080" w:rsidRPr="002C0B4F">
        <w:rPr>
          <w:rFonts w:ascii="Aptos" w:hAnsi="Aptos" w:cs="Tahoma"/>
        </w:rPr>
        <w:t>via</w:t>
      </w:r>
      <w:r w:rsidR="009E7CA0" w:rsidRPr="002C0B4F">
        <w:rPr>
          <w:rFonts w:ascii="Aptos" w:hAnsi="Aptos" w:cs="Tahoma"/>
        </w:rPr>
        <w:t xml:space="preserve"> this solicitation</w:t>
      </w:r>
      <w:r w:rsidR="007046B0" w:rsidRPr="002C0B4F">
        <w:rPr>
          <w:rFonts w:ascii="Aptos" w:hAnsi="Aptos" w:cs="Tahoma"/>
        </w:rPr>
        <w:t xml:space="preserve"> </w:t>
      </w:r>
      <w:r w:rsidR="00E918E9" w:rsidRPr="002C0B4F">
        <w:rPr>
          <w:rFonts w:ascii="Aptos" w:hAnsi="Aptos" w:cs="Tahoma"/>
        </w:rPr>
        <w:t>need</w:t>
      </w:r>
      <w:r w:rsidR="007046B0" w:rsidRPr="002C0B4F">
        <w:rPr>
          <w:rFonts w:ascii="Aptos" w:hAnsi="Aptos" w:cs="Tahoma"/>
        </w:rPr>
        <w:t xml:space="preserve"> to be reserved for local jurisdiction implementation. </w:t>
      </w:r>
      <w:r w:rsidR="00525D38" w:rsidRPr="002C0B4F">
        <w:rPr>
          <w:rFonts w:ascii="Aptos" w:hAnsi="Aptos" w:cs="Tahoma"/>
        </w:rPr>
        <w:t xml:space="preserve">The Prime </w:t>
      </w:r>
      <w:r w:rsidR="009747FC" w:rsidRPr="002C0B4F">
        <w:rPr>
          <w:rFonts w:ascii="Aptos" w:hAnsi="Aptos" w:cs="Tahoma"/>
        </w:rPr>
        <w:t>C</w:t>
      </w:r>
      <w:r w:rsidR="00525D38" w:rsidRPr="002C0B4F">
        <w:rPr>
          <w:rFonts w:ascii="Aptos" w:hAnsi="Aptos" w:cs="Tahoma"/>
        </w:rPr>
        <w:t xml:space="preserve">ontractor will provide technical support services </w:t>
      </w:r>
      <w:r w:rsidR="00525D38" w:rsidRPr="002C0B4F">
        <w:rPr>
          <w:rFonts w:ascii="Aptos" w:hAnsi="Aptos" w:cs="Tahoma"/>
          <w:u w:val="single"/>
        </w:rPr>
        <w:t>only</w:t>
      </w:r>
      <w:r w:rsidR="00525D38" w:rsidRPr="002C0B4F">
        <w:rPr>
          <w:rFonts w:ascii="Aptos" w:hAnsi="Aptos" w:cs="Tahoma"/>
        </w:rPr>
        <w:t xml:space="preserve"> for Task 10. </w:t>
      </w:r>
      <w:r w:rsidR="007046B0" w:rsidRPr="002C0B4F">
        <w:rPr>
          <w:rFonts w:ascii="Aptos" w:hAnsi="Aptos" w:cs="Tahoma"/>
        </w:rPr>
        <w:t>No solicitations or agreements will be awarded out of the agreement resulting from this solicitation.</w:t>
      </w:r>
    </w:p>
    <w:p w14:paraId="58BD5E26" w14:textId="3849358A" w:rsidR="003F6AB1" w:rsidRPr="002C0B4F" w:rsidRDefault="003F6AB1" w:rsidP="004F0931">
      <w:pPr>
        <w:spacing w:before="120" w:after="120" w:line="259" w:lineRule="auto"/>
        <w:ind w:left="720" w:hanging="720"/>
        <w:rPr>
          <w:rFonts w:ascii="Aptos" w:hAnsi="Aptos" w:cs="Tahoma"/>
          <w:b/>
          <w:bCs/>
        </w:rPr>
      </w:pPr>
      <w:r w:rsidRPr="002C0B4F">
        <w:rPr>
          <w:rFonts w:ascii="Aptos" w:hAnsi="Aptos" w:cs="Tahoma"/>
          <w:b/>
          <w:bCs/>
        </w:rPr>
        <w:t>Q</w:t>
      </w:r>
      <w:r w:rsidR="00285158" w:rsidRPr="002C0B4F">
        <w:rPr>
          <w:rFonts w:ascii="Aptos" w:hAnsi="Aptos" w:cs="Tahoma"/>
          <w:b/>
          <w:bCs/>
        </w:rPr>
        <w:t>25</w:t>
      </w:r>
      <w:r w:rsidRPr="002C0B4F">
        <w:rPr>
          <w:rFonts w:ascii="Aptos" w:hAnsi="Aptos" w:cs="Tahoma"/>
          <w:b/>
          <w:bCs/>
        </w:rPr>
        <w:t>:</w:t>
      </w:r>
      <w:r w:rsidRPr="002C0B4F">
        <w:rPr>
          <w:rFonts w:ascii="Aptos" w:hAnsi="Aptos" w:cs="Tahoma"/>
          <w:b/>
          <w:bCs/>
        </w:rPr>
        <w:tab/>
      </w:r>
      <w:r w:rsidR="00414CC3" w:rsidRPr="002C0B4F">
        <w:rPr>
          <w:rFonts w:ascii="Aptos" w:hAnsi="Aptos" w:cs="Tahoma"/>
          <w:b/>
          <w:bCs/>
        </w:rPr>
        <w:t xml:space="preserve">In our experience when conducting site visits, we often find </w:t>
      </w:r>
      <w:r w:rsidR="000E19A4" w:rsidRPr="002C0B4F">
        <w:rPr>
          <w:rFonts w:ascii="Aptos" w:hAnsi="Aptos" w:cs="Tahoma"/>
          <w:b/>
          <w:bCs/>
        </w:rPr>
        <w:t xml:space="preserve">that </w:t>
      </w:r>
      <w:r w:rsidR="00414CC3" w:rsidRPr="002C0B4F">
        <w:rPr>
          <w:rFonts w:ascii="Aptos" w:hAnsi="Aptos" w:cs="Tahoma"/>
          <w:b/>
          <w:bCs/>
        </w:rPr>
        <w:t>incentives help cost-effectively achieve sample targets. Would the contract allow payment of incentives (and reimbursement) to the selected sample sites</w:t>
      </w:r>
      <w:r w:rsidRPr="002C0B4F">
        <w:rPr>
          <w:rFonts w:ascii="Aptos" w:hAnsi="Aptos" w:cs="Tahoma"/>
          <w:b/>
          <w:bCs/>
        </w:rPr>
        <w:t>?</w:t>
      </w:r>
    </w:p>
    <w:p w14:paraId="726AD9D0" w14:textId="77777777" w:rsidR="00A57155" w:rsidRPr="002C0B4F" w:rsidRDefault="003F6AB1" w:rsidP="004F0931">
      <w:pPr>
        <w:spacing w:before="120" w:after="120" w:line="259" w:lineRule="auto"/>
        <w:ind w:left="720" w:hanging="720"/>
        <w:rPr>
          <w:rFonts w:ascii="Aptos" w:hAnsi="Aptos" w:cs="Tahoma"/>
        </w:rPr>
      </w:pPr>
      <w:r w:rsidRPr="002C0B4F">
        <w:rPr>
          <w:rFonts w:ascii="Aptos" w:hAnsi="Aptos" w:cs="Tahoma"/>
        </w:rPr>
        <w:t>A</w:t>
      </w:r>
      <w:r w:rsidR="00285158" w:rsidRPr="002C0B4F">
        <w:rPr>
          <w:rFonts w:ascii="Aptos" w:hAnsi="Aptos" w:cs="Tahoma"/>
        </w:rPr>
        <w:t>25</w:t>
      </w:r>
      <w:r w:rsidRPr="002C0B4F">
        <w:rPr>
          <w:rFonts w:ascii="Aptos" w:hAnsi="Aptos" w:cs="Tahoma"/>
        </w:rPr>
        <w:t xml:space="preserve">: </w:t>
      </w:r>
      <w:r w:rsidRPr="002C0B4F">
        <w:rPr>
          <w:rFonts w:ascii="Aptos" w:hAnsi="Aptos" w:cs="Tahoma"/>
        </w:rPr>
        <w:tab/>
      </w:r>
      <w:r w:rsidR="00A57155" w:rsidRPr="002C0B4F">
        <w:rPr>
          <w:rFonts w:ascii="Aptos" w:hAnsi="Aptos" w:cs="Tahoma"/>
        </w:rPr>
        <w:t>As stated in Volume 2, Section 208 of the </w:t>
      </w:r>
      <w:hyperlink r:id="rId31" w:tgtFrame="_blank" w:history="1">
        <w:r w:rsidR="00A57155" w:rsidRPr="002C0B4F">
          <w:rPr>
            <w:rStyle w:val="Hyperlink"/>
            <w:rFonts w:ascii="Aptos" w:hAnsi="Aptos" w:cs="Tahoma"/>
          </w:rPr>
          <w:t>State Contracting Manual</w:t>
        </w:r>
      </w:hyperlink>
      <w:r w:rsidR="00A57155" w:rsidRPr="002C0B4F">
        <w:rPr>
          <w:rFonts w:ascii="Aptos" w:hAnsi="Aptos" w:cs="Tahoma"/>
        </w:rPr>
        <w:t xml:space="preserve"> (https://www.dgs.ca.gov/PD/Resources/SCM), “The Constitution of the </w:t>
      </w:r>
      <w:r w:rsidR="00A57155" w:rsidRPr="002C0B4F">
        <w:rPr>
          <w:rFonts w:ascii="Aptos" w:hAnsi="Aptos" w:cs="Tahoma"/>
        </w:rPr>
        <w:lastRenderedPageBreak/>
        <w:t>State of California prohibits any gift of public funds. All expenditures of public funds must support the Department's function, purpose, and benefit the state.”  </w:t>
      </w:r>
    </w:p>
    <w:p w14:paraId="0832F9E0" w14:textId="07D05CB1" w:rsidR="00A57155" w:rsidRPr="002C0B4F" w:rsidRDefault="00A57155" w:rsidP="004F0931">
      <w:pPr>
        <w:spacing w:before="120" w:after="120" w:line="259" w:lineRule="auto"/>
        <w:ind w:left="720"/>
        <w:rPr>
          <w:rFonts w:ascii="Aptos" w:hAnsi="Aptos" w:cs="Tahoma"/>
        </w:rPr>
      </w:pPr>
      <w:r w:rsidRPr="002C0B4F">
        <w:rPr>
          <w:rFonts w:ascii="Aptos" w:hAnsi="Aptos" w:cs="Tahoma"/>
        </w:rPr>
        <w:t>The CEC has approved the use of funds to incentivize survey respondents in some contract agreements. The awarded </w:t>
      </w:r>
      <w:r w:rsidR="00921C53" w:rsidRPr="002C0B4F">
        <w:rPr>
          <w:rFonts w:ascii="Aptos" w:hAnsi="Aptos" w:cs="Tahoma"/>
        </w:rPr>
        <w:t>Prime C</w:t>
      </w:r>
      <w:r w:rsidRPr="002C0B4F">
        <w:rPr>
          <w:rFonts w:ascii="Aptos" w:hAnsi="Aptos" w:cs="Tahoma"/>
        </w:rPr>
        <w:t>ontractor must provide a written justification describing the type</w:t>
      </w:r>
      <w:r w:rsidR="000E19A4" w:rsidRPr="002C0B4F">
        <w:rPr>
          <w:rFonts w:ascii="Aptos" w:hAnsi="Aptos" w:cs="Tahoma"/>
        </w:rPr>
        <w:t>, number,</w:t>
      </w:r>
      <w:r w:rsidRPr="002C0B4F">
        <w:rPr>
          <w:rFonts w:ascii="Aptos" w:hAnsi="Aptos" w:cs="Tahoma"/>
        </w:rPr>
        <w:t xml:space="preserve"> and</w:t>
      </w:r>
      <w:r w:rsidR="000E19A4" w:rsidRPr="002C0B4F">
        <w:rPr>
          <w:rFonts w:ascii="Aptos" w:hAnsi="Aptos" w:cs="Tahoma"/>
        </w:rPr>
        <w:t xml:space="preserve"> dollar</w:t>
      </w:r>
      <w:r w:rsidRPr="002C0B4F">
        <w:rPr>
          <w:rFonts w:ascii="Aptos" w:hAnsi="Aptos" w:cs="Tahoma"/>
        </w:rPr>
        <w:t> amount of incentives, as well as why they are appropriate, to the CEC for review and approval.</w:t>
      </w:r>
      <w:r w:rsidR="0087265C" w:rsidRPr="002C0B4F">
        <w:rPr>
          <w:rFonts w:ascii="Aptos" w:hAnsi="Aptos" w:cs="Tahoma"/>
        </w:rPr>
        <w:t xml:space="preserve"> It is important to note that the use of incentives may also </w:t>
      </w:r>
      <w:r w:rsidR="00330F72" w:rsidRPr="002C0B4F">
        <w:rPr>
          <w:rFonts w:ascii="Aptos" w:hAnsi="Aptos" w:cs="Tahoma"/>
        </w:rPr>
        <w:t xml:space="preserve">require </w:t>
      </w:r>
      <w:r w:rsidR="0087265C" w:rsidRPr="002C0B4F">
        <w:rPr>
          <w:rFonts w:ascii="Aptos" w:hAnsi="Aptos" w:cs="Tahoma"/>
        </w:rPr>
        <w:t xml:space="preserve">DOE </w:t>
      </w:r>
      <w:r w:rsidR="00330F72" w:rsidRPr="002C0B4F">
        <w:rPr>
          <w:rFonts w:ascii="Aptos" w:hAnsi="Aptos" w:cs="Tahoma"/>
        </w:rPr>
        <w:t xml:space="preserve">review and </w:t>
      </w:r>
      <w:r w:rsidR="0087265C" w:rsidRPr="002C0B4F">
        <w:rPr>
          <w:rFonts w:ascii="Aptos" w:hAnsi="Aptos" w:cs="Tahoma"/>
        </w:rPr>
        <w:t xml:space="preserve">approval. </w:t>
      </w:r>
    </w:p>
    <w:p w14:paraId="26A8BCDA" w14:textId="1E1E0C24" w:rsidR="00A57155" w:rsidRPr="002C0B4F" w:rsidRDefault="00A57155" w:rsidP="004F0931">
      <w:pPr>
        <w:spacing w:before="120" w:after="120" w:line="259" w:lineRule="auto"/>
        <w:ind w:left="720"/>
        <w:rPr>
          <w:rFonts w:ascii="Aptos" w:hAnsi="Aptos" w:cs="Tahoma"/>
        </w:rPr>
      </w:pPr>
      <w:r w:rsidRPr="002C0B4F">
        <w:rPr>
          <w:rFonts w:ascii="Aptos" w:hAnsi="Aptos" w:cs="Tahoma"/>
        </w:rPr>
        <w:t>Should the use of incentives be approved for the agreement resulting from this solicitation, the incentives would come from the contract budget.</w:t>
      </w:r>
    </w:p>
    <w:p w14:paraId="13B650E8" w14:textId="6F45FF21" w:rsidR="005D1DB0" w:rsidRPr="00A41F08" w:rsidRDefault="005D1DB0" w:rsidP="00A41F08">
      <w:pPr>
        <w:pStyle w:val="Heading3"/>
        <w:rPr>
          <w:rFonts w:ascii="Aptos" w:eastAsia="Times New Roman" w:hAnsi="Aptos" w:cs="Tahoma"/>
          <w:b/>
          <w:bCs/>
          <w:color w:val="3C6AA2"/>
        </w:rPr>
      </w:pPr>
      <w:r w:rsidRPr="002C0B4F">
        <w:rPr>
          <w:rFonts w:ascii="Aptos" w:eastAsia="Times New Roman" w:hAnsi="Aptos" w:cs="Tahoma"/>
          <w:b/>
          <w:bCs/>
          <w:color w:val="3C6AA2"/>
        </w:rPr>
        <w:t>Prime Contractor &amp; Subcontractor Eligibility Questions</w:t>
      </w:r>
    </w:p>
    <w:p w14:paraId="783A30C7" w14:textId="1F7AA95C" w:rsidR="008E5EF4" w:rsidRPr="002C0B4F" w:rsidRDefault="008E5EF4" w:rsidP="004F0931">
      <w:pPr>
        <w:spacing w:before="120" w:after="120" w:line="259" w:lineRule="auto"/>
        <w:ind w:left="720" w:hanging="720"/>
        <w:rPr>
          <w:rFonts w:ascii="Aptos" w:hAnsi="Aptos" w:cs="Tahoma"/>
        </w:rPr>
      </w:pPr>
      <w:r w:rsidRPr="002C0B4F">
        <w:rPr>
          <w:rFonts w:ascii="Aptos" w:hAnsi="Aptos" w:cs="Tahoma"/>
          <w:b/>
          <w:bCs/>
        </w:rPr>
        <w:t>Q26:</w:t>
      </w:r>
      <w:r w:rsidRPr="002C0B4F">
        <w:rPr>
          <w:rFonts w:ascii="Aptos" w:hAnsi="Aptos" w:cs="Tahoma"/>
          <w:b/>
          <w:bCs/>
        </w:rPr>
        <w:tab/>
        <w:t xml:space="preserve">We are not a large company, but we have a lot of experience. Do we have any chance of winning this award as a smaller business? </w:t>
      </w:r>
    </w:p>
    <w:p w14:paraId="4815A52E" w14:textId="3741B7A0" w:rsidR="00F316F2" w:rsidRPr="002C0B4F" w:rsidRDefault="008E5EF4" w:rsidP="004F0931">
      <w:pPr>
        <w:spacing w:before="120" w:after="120" w:line="259" w:lineRule="auto"/>
        <w:ind w:left="720" w:hanging="720"/>
        <w:rPr>
          <w:rFonts w:ascii="Aptos" w:hAnsi="Aptos" w:cs="Tahoma"/>
        </w:rPr>
      </w:pPr>
      <w:r w:rsidRPr="002C0B4F">
        <w:rPr>
          <w:rFonts w:ascii="Aptos" w:hAnsi="Aptos" w:cs="Tahoma"/>
        </w:rPr>
        <w:t>A26:</w:t>
      </w:r>
      <w:r w:rsidRPr="002C0B4F">
        <w:rPr>
          <w:rFonts w:ascii="Aptos" w:hAnsi="Aptos" w:cs="Tahoma"/>
        </w:rPr>
        <w:tab/>
        <w:t>Yes</w:t>
      </w:r>
      <w:r w:rsidR="008D6892" w:rsidRPr="002C0B4F">
        <w:rPr>
          <w:rFonts w:ascii="Aptos" w:hAnsi="Aptos" w:cs="Tahoma"/>
        </w:rPr>
        <w:t>, t</w:t>
      </w:r>
      <w:r w:rsidRPr="002C0B4F">
        <w:rPr>
          <w:rFonts w:ascii="Aptos" w:hAnsi="Aptos" w:cs="Tahoma"/>
        </w:rPr>
        <w:t xml:space="preserve">he CEC encourages all eligible Firms to respond to this solicitation. Responses shall be in the form of an SOQ. </w:t>
      </w:r>
      <w:r w:rsidR="001D0E6E" w:rsidRPr="002C0B4F">
        <w:rPr>
          <w:rFonts w:ascii="Aptos" w:hAnsi="Aptos" w:cs="Tahoma"/>
          <w:color w:val="000000"/>
        </w:rPr>
        <w:t xml:space="preserve">The SOQ shall detail the Firm’s qualifications to perform the tasks outlined in the SOW. </w:t>
      </w:r>
      <w:r w:rsidR="00004957" w:rsidRPr="002C0B4F">
        <w:rPr>
          <w:rFonts w:ascii="Aptos" w:hAnsi="Aptos" w:cs="Tahoma"/>
          <w:color w:val="000000"/>
        </w:rPr>
        <w:t>P</w:t>
      </w:r>
      <w:r w:rsidR="001D0E6E" w:rsidRPr="002C0B4F">
        <w:rPr>
          <w:rFonts w:ascii="Aptos" w:hAnsi="Aptos" w:cs="Tahoma"/>
          <w:color w:val="000000"/>
        </w:rPr>
        <w:t>lease see the “Project Team Relevant Experience and Qualifications” section located on pages 105 and 116 of the solicitation manual</w:t>
      </w:r>
      <w:r w:rsidR="00004957" w:rsidRPr="002C0B4F">
        <w:rPr>
          <w:rFonts w:ascii="Aptos" w:hAnsi="Aptos" w:cs="Tahoma"/>
          <w:color w:val="000000"/>
        </w:rPr>
        <w:t xml:space="preserve"> for more information</w:t>
      </w:r>
      <w:r w:rsidR="00160811" w:rsidRPr="002C0B4F">
        <w:rPr>
          <w:rFonts w:ascii="Aptos" w:hAnsi="Aptos" w:cs="Tahoma"/>
        </w:rPr>
        <w:t>.</w:t>
      </w:r>
      <w:r w:rsidR="001044C5" w:rsidRPr="002C0B4F">
        <w:rPr>
          <w:rFonts w:ascii="Aptos" w:hAnsi="Aptos" w:cs="Tahoma"/>
        </w:rPr>
        <w:t xml:space="preserve"> </w:t>
      </w:r>
    </w:p>
    <w:p w14:paraId="1DF481E4" w14:textId="190ABFDD" w:rsidR="0070563E" w:rsidRPr="002C0B4F" w:rsidRDefault="00F316F2" w:rsidP="004F0931">
      <w:pPr>
        <w:spacing w:before="120" w:after="120" w:line="259" w:lineRule="auto"/>
        <w:ind w:left="720"/>
        <w:rPr>
          <w:rFonts w:ascii="Aptos" w:hAnsi="Aptos" w:cs="Tahoma"/>
        </w:rPr>
      </w:pPr>
      <w:r w:rsidRPr="002C0B4F">
        <w:rPr>
          <w:rFonts w:ascii="Aptos" w:hAnsi="Aptos" w:cs="Tahoma"/>
        </w:rPr>
        <w:t>T</w:t>
      </w:r>
      <w:r w:rsidR="008E5EF4" w:rsidRPr="002C0B4F">
        <w:rPr>
          <w:rFonts w:ascii="Aptos" w:hAnsi="Aptos" w:cs="Tahoma"/>
        </w:rPr>
        <w:t xml:space="preserve">he CEC must evaluate each SOQ uniformly and fairly. Format requirements and instructions on how to submit an SOQ are located on pages 101 through 108 of the solicitation manual. </w:t>
      </w:r>
      <w:r w:rsidRPr="002C0B4F">
        <w:rPr>
          <w:rFonts w:ascii="Aptos" w:hAnsi="Aptos" w:cs="Tahoma"/>
        </w:rPr>
        <w:t>In addition</w:t>
      </w:r>
      <w:r w:rsidR="008E5EF4" w:rsidRPr="002C0B4F">
        <w:rPr>
          <w:rFonts w:ascii="Aptos" w:hAnsi="Aptos" w:cs="Tahoma"/>
        </w:rPr>
        <w:t>, Section IV “Evaluation Process and Criteria” located on pages 109 through 118 of the solicitation manual details specifically how the CEC will screen, review, and score each SOQ received in response to this solicitation.</w:t>
      </w:r>
      <w:r w:rsidR="001044C5" w:rsidRPr="002C0B4F">
        <w:rPr>
          <w:rFonts w:ascii="Aptos" w:hAnsi="Aptos" w:cs="Tahoma"/>
        </w:rPr>
        <w:t xml:space="preserve"> </w:t>
      </w:r>
    </w:p>
    <w:p w14:paraId="6B6E4950" w14:textId="0E062CE2" w:rsidR="008E5EF4" w:rsidRPr="002C0B4F" w:rsidRDefault="001044C5" w:rsidP="004F0931">
      <w:pPr>
        <w:spacing w:before="120" w:after="120" w:line="259" w:lineRule="auto"/>
        <w:ind w:left="720"/>
        <w:rPr>
          <w:rFonts w:ascii="Aptos" w:hAnsi="Aptos" w:cs="Tahoma"/>
        </w:rPr>
      </w:pPr>
      <w:r w:rsidRPr="002C0B4F">
        <w:rPr>
          <w:rFonts w:ascii="Aptos" w:hAnsi="Aptos" w:cs="Tahoma"/>
        </w:rPr>
        <w:t xml:space="preserve">The solicitation manual is available on the </w:t>
      </w:r>
      <w:hyperlink r:id="rId32" w:history="1">
        <w:r w:rsidRPr="002C0B4F">
          <w:rPr>
            <w:rStyle w:val="Hyperlink"/>
            <w:rFonts w:ascii="Aptos" w:hAnsi="Aptos" w:cs="Tahoma"/>
          </w:rPr>
          <w:t>RFQ-25-401 solicitation webpage</w:t>
        </w:r>
      </w:hyperlink>
      <w:r w:rsidRPr="002C0B4F">
        <w:rPr>
          <w:rFonts w:ascii="Aptos" w:hAnsi="Aptos" w:cs="Tahoma"/>
        </w:rPr>
        <w:t xml:space="preserve"> (https://www.energy.ca.gov/solicitations/2026-05/rfq-25-401-energy-code-compliance-evaluation-support)</w:t>
      </w:r>
      <w:r w:rsidR="00F316F2" w:rsidRPr="002C0B4F">
        <w:rPr>
          <w:rFonts w:ascii="Aptos" w:hAnsi="Aptos" w:cs="Tahoma"/>
        </w:rPr>
        <w:t>.</w:t>
      </w:r>
    </w:p>
    <w:p w14:paraId="3F34A3A8" w14:textId="3FDFAE16" w:rsidR="00285158" w:rsidRPr="002C0B4F" w:rsidRDefault="00285158" w:rsidP="004F0931">
      <w:pPr>
        <w:pStyle w:val="paragraph"/>
        <w:spacing w:before="120" w:beforeAutospacing="0" w:after="120" w:afterAutospacing="0" w:line="259" w:lineRule="auto"/>
        <w:ind w:left="720" w:hanging="720"/>
        <w:textAlignment w:val="baseline"/>
        <w:rPr>
          <w:rStyle w:val="tabchar"/>
          <w:rFonts w:ascii="Aptos" w:hAnsi="Aptos" w:cs="Tahoma"/>
        </w:rPr>
      </w:pPr>
      <w:r w:rsidRPr="002C0B4F">
        <w:rPr>
          <w:rStyle w:val="normaltextrun"/>
          <w:rFonts w:ascii="Aptos" w:hAnsi="Aptos" w:cs="Tahoma"/>
          <w:b/>
          <w:bCs/>
        </w:rPr>
        <w:t>Q</w:t>
      </w:r>
      <w:r w:rsidR="008E5EF4" w:rsidRPr="002C0B4F">
        <w:rPr>
          <w:rStyle w:val="normaltextrun"/>
          <w:rFonts w:ascii="Aptos" w:hAnsi="Aptos" w:cs="Tahoma"/>
          <w:b/>
          <w:bCs/>
        </w:rPr>
        <w:t>27</w:t>
      </w:r>
      <w:r w:rsidRPr="002C0B4F">
        <w:rPr>
          <w:rStyle w:val="normaltextrun"/>
          <w:rFonts w:ascii="Aptos" w:hAnsi="Aptos" w:cs="Tahoma"/>
          <w:b/>
          <w:bCs/>
        </w:rPr>
        <w:t>:</w:t>
      </w:r>
      <w:r w:rsidRPr="002C0B4F">
        <w:rPr>
          <w:rStyle w:val="tabchar"/>
          <w:rFonts w:ascii="Aptos" w:hAnsi="Aptos" w:cs="Tahoma"/>
        </w:rPr>
        <w:tab/>
      </w:r>
      <w:r w:rsidRPr="002C0B4F">
        <w:rPr>
          <w:rStyle w:val="tabchar"/>
          <w:rFonts w:ascii="Aptos" w:hAnsi="Aptos" w:cs="Tahoma"/>
          <w:b/>
          <w:bCs/>
        </w:rPr>
        <w:t xml:space="preserve">The proposal requires architectural and engineering consultants. Are Firms or their staff required to be </w:t>
      </w:r>
      <w:r w:rsidRPr="002C0B4F">
        <w:rPr>
          <w:rStyle w:val="tabchar"/>
          <w:rFonts w:ascii="Aptos" w:hAnsi="Aptos" w:cs="Tahoma"/>
          <w:b/>
          <w:bCs/>
          <w:u w:val="single"/>
        </w:rPr>
        <w:t>licensed</w:t>
      </w:r>
      <w:r w:rsidRPr="002C0B4F">
        <w:rPr>
          <w:rStyle w:val="tabchar"/>
          <w:rFonts w:ascii="Aptos" w:hAnsi="Aptos" w:cs="Tahoma"/>
          <w:b/>
          <w:bCs/>
        </w:rPr>
        <w:t xml:space="preserve"> professional engineers or </w:t>
      </w:r>
      <w:r w:rsidRPr="002C0B4F">
        <w:rPr>
          <w:rStyle w:val="tabchar"/>
          <w:rFonts w:ascii="Aptos" w:hAnsi="Aptos" w:cs="Tahoma"/>
          <w:b/>
          <w:bCs/>
          <w:u w:val="single"/>
        </w:rPr>
        <w:t>licensed</w:t>
      </w:r>
      <w:r w:rsidRPr="002C0B4F">
        <w:rPr>
          <w:rStyle w:val="tabchar"/>
          <w:rFonts w:ascii="Aptos" w:hAnsi="Aptos" w:cs="Tahoma"/>
          <w:b/>
          <w:bCs/>
        </w:rPr>
        <w:t xml:space="preserve"> architects?</w:t>
      </w:r>
    </w:p>
    <w:p w14:paraId="61773121" w14:textId="3DD73612" w:rsidR="00285158" w:rsidRPr="002C0B4F" w:rsidRDefault="00285158" w:rsidP="004F0931">
      <w:pPr>
        <w:spacing w:before="120" w:after="120" w:line="259" w:lineRule="auto"/>
        <w:ind w:left="720" w:hanging="720"/>
        <w:rPr>
          <w:rFonts w:ascii="Aptos" w:hAnsi="Aptos" w:cs="Tahoma"/>
        </w:rPr>
      </w:pPr>
      <w:r w:rsidRPr="002C0B4F">
        <w:rPr>
          <w:rStyle w:val="tabchar"/>
          <w:rFonts w:ascii="Aptos" w:hAnsi="Aptos" w:cs="Tahoma"/>
        </w:rPr>
        <w:t>A</w:t>
      </w:r>
      <w:r w:rsidR="008E5EF4" w:rsidRPr="002C0B4F">
        <w:rPr>
          <w:rStyle w:val="tabchar"/>
          <w:rFonts w:ascii="Aptos" w:hAnsi="Aptos" w:cs="Tahoma"/>
        </w:rPr>
        <w:t>27</w:t>
      </w:r>
      <w:r w:rsidRPr="002C0B4F">
        <w:rPr>
          <w:rFonts w:ascii="Aptos" w:hAnsi="Aptos" w:cs="Tahoma"/>
        </w:rPr>
        <w:t>:</w:t>
      </w:r>
      <w:r w:rsidRPr="002C0B4F">
        <w:rPr>
          <w:rFonts w:ascii="Aptos" w:hAnsi="Aptos" w:cs="Tahoma"/>
        </w:rPr>
        <w:tab/>
        <w:t xml:space="preserve">No, not every member of the proposed team must be a </w:t>
      </w:r>
      <w:r w:rsidRPr="002C0B4F">
        <w:rPr>
          <w:rFonts w:ascii="Aptos" w:hAnsi="Aptos" w:cs="Tahoma"/>
          <w:u w:val="single"/>
        </w:rPr>
        <w:t>licensed</w:t>
      </w:r>
      <w:r w:rsidRPr="002C0B4F">
        <w:rPr>
          <w:rFonts w:ascii="Aptos" w:hAnsi="Aptos" w:cs="Tahoma"/>
        </w:rPr>
        <w:t xml:space="preserve"> architect or engineer. However, the project team must be qualified to perform the tasks as described in the SOW located on pages 18 through 100 of the solicitation manual, which is available on the </w:t>
      </w:r>
      <w:hyperlink r:id="rId33" w:history="1">
        <w:r w:rsidRPr="002C0B4F">
          <w:rPr>
            <w:rStyle w:val="Hyperlink"/>
            <w:rFonts w:ascii="Aptos" w:hAnsi="Aptos" w:cs="Tahoma"/>
          </w:rPr>
          <w:t>RFQ-25-401 solicitation webpage</w:t>
        </w:r>
      </w:hyperlink>
      <w:r w:rsidRPr="002C0B4F">
        <w:rPr>
          <w:rFonts w:ascii="Aptos" w:hAnsi="Aptos" w:cs="Tahoma"/>
        </w:rPr>
        <w:t xml:space="preserve"> (https://www.energy.ca.gov/solicitations/2026-05/rfq-25-401-energy-code-compliance-evaluation-support).</w:t>
      </w:r>
    </w:p>
    <w:p w14:paraId="120588E5" w14:textId="6E1F27D0" w:rsidR="00E84145" w:rsidRPr="002C0B4F" w:rsidRDefault="00285158" w:rsidP="004F0931">
      <w:pPr>
        <w:spacing w:before="120" w:after="120" w:line="259" w:lineRule="auto"/>
        <w:ind w:left="720"/>
        <w:rPr>
          <w:rFonts w:ascii="Aptos" w:hAnsi="Aptos" w:cs="Tahoma"/>
        </w:rPr>
      </w:pPr>
      <w:r w:rsidRPr="002C0B4F">
        <w:rPr>
          <w:rFonts w:ascii="Aptos" w:hAnsi="Aptos" w:cs="Tahoma"/>
          <w:color w:val="000000"/>
        </w:rPr>
        <w:t xml:space="preserve">The CEC encourages all eligible Firms to respond to this solicitation. Responses shall be in the form of an SOQ. The SOQ shall detail the Firm’s qualifications to </w:t>
      </w:r>
      <w:r w:rsidRPr="002C0B4F">
        <w:rPr>
          <w:rFonts w:ascii="Aptos" w:hAnsi="Aptos" w:cs="Tahoma"/>
          <w:color w:val="000000"/>
        </w:rPr>
        <w:lastRenderedPageBreak/>
        <w:t xml:space="preserve">perform the tasks outlined in the SOW. </w:t>
      </w:r>
      <w:r w:rsidR="009543BA" w:rsidRPr="002C0B4F">
        <w:rPr>
          <w:rFonts w:ascii="Aptos" w:hAnsi="Aptos" w:cs="Tahoma"/>
          <w:color w:val="000000"/>
        </w:rPr>
        <w:t>P</w:t>
      </w:r>
      <w:r w:rsidR="00E84145" w:rsidRPr="002C0B4F">
        <w:rPr>
          <w:rFonts w:ascii="Aptos" w:hAnsi="Aptos" w:cs="Tahoma"/>
          <w:color w:val="000000"/>
        </w:rPr>
        <w:t>lease see the “Project Team Relevant Experience and Qualifications” section located on pages 105 and 116 of the solicitation manual</w:t>
      </w:r>
      <w:r w:rsidR="009543BA" w:rsidRPr="002C0B4F">
        <w:rPr>
          <w:rFonts w:ascii="Aptos" w:hAnsi="Aptos" w:cs="Tahoma"/>
          <w:color w:val="000000"/>
        </w:rPr>
        <w:t xml:space="preserve"> for more information</w:t>
      </w:r>
      <w:r w:rsidR="00E84145" w:rsidRPr="002C0B4F">
        <w:rPr>
          <w:rFonts w:ascii="Aptos" w:hAnsi="Aptos" w:cs="Tahoma"/>
        </w:rPr>
        <w:t xml:space="preserve">. </w:t>
      </w:r>
    </w:p>
    <w:p w14:paraId="2EC0728D" w14:textId="1292474A" w:rsidR="00285158" w:rsidRPr="002C0B4F" w:rsidRDefault="00B760B4" w:rsidP="004F0931">
      <w:pPr>
        <w:pStyle w:val="paragraph"/>
        <w:spacing w:before="120" w:beforeAutospacing="0" w:after="120" w:afterAutospacing="0" w:line="259" w:lineRule="auto"/>
        <w:ind w:left="720"/>
        <w:textAlignment w:val="baseline"/>
        <w:rPr>
          <w:rFonts w:ascii="Aptos" w:hAnsi="Aptos" w:cs="Tahoma"/>
        </w:rPr>
      </w:pPr>
      <w:r w:rsidRPr="002C0B4F">
        <w:rPr>
          <w:rFonts w:ascii="Aptos" w:hAnsi="Aptos" w:cs="Tahoma"/>
          <w:color w:val="000000"/>
        </w:rPr>
        <w:t>In addition, t</w:t>
      </w:r>
      <w:r w:rsidR="00285158" w:rsidRPr="002C0B4F">
        <w:rPr>
          <w:rFonts w:ascii="Aptos" w:hAnsi="Aptos" w:cs="Tahoma"/>
          <w:color w:val="000000"/>
        </w:rPr>
        <w:t>he CEC must evaluate each SOQ uniformly and fairly. Format requirements and instructions on how to submit an SOQ are located on pages 101 through 108 of the solicitation manual</w:t>
      </w:r>
      <w:r w:rsidR="00285158" w:rsidRPr="002C0B4F">
        <w:rPr>
          <w:rFonts w:ascii="Aptos" w:hAnsi="Aptos" w:cs="Tahoma"/>
        </w:rPr>
        <w:t>.</w:t>
      </w:r>
      <w:r w:rsidR="00285158" w:rsidRPr="002C0B4F">
        <w:rPr>
          <w:rFonts w:ascii="Aptos" w:hAnsi="Aptos" w:cs="Tahoma"/>
          <w:color w:val="000000"/>
        </w:rPr>
        <w:t xml:space="preserve"> In addition, Section IV “Evaluation Process and Criteria” located on pages 109 through 118 of the solicitation manual details specifically how the CEC will screen, review, and score each SOQ received in response to this solicitation.</w:t>
      </w:r>
    </w:p>
    <w:p w14:paraId="3A2944EB" w14:textId="16947710" w:rsidR="005D1DB0" w:rsidRPr="002C0B4F" w:rsidRDefault="005D1DB0" w:rsidP="004F0931">
      <w:pPr>
        <w:spacing w:before="120" w:after="120" w:line="259" w:lineRule="auto"/>
        <w:ind w:left="720" w:hanging="720"/>
        <w:rPr>
          <w:rFonts w:ascii="Aptos" w:hAnsi="Aptos" w:cs="Tahoma"/>
          <w:b/>
          <w:bCs/>
        </w:rPr>
      </w:pPr>
      <w:r w:rsidRPr="002C0B4F">
        <w:rPr>
          <w:rFonts w:ascii="Aptos" w:hAnsi="Aptos" w:cs="Tahoma"/>
          <w:b/>
          <w:bCs/>
        </w:rPr>
        <w:t>Q</w:t>
      </w:r>
      <w:r w:rsidR="008E5EF4" w:rsidRPr="002C0B4F">
        <w:rPr>
          <w:rFonts w:ascii="Aptos" w:hAnsi="Aptos" w:cs="Tahoma"/>
          <w:b/>
          <w:bCs/>
        </w:rPr>
        <w:t>28</w:t>
      </w:r>
      <w:r w:rsidRPr="002C0B4F">
        <w:rPr>
          <w:rFonts w:ascii="Aptos" w:hAnsi="Aptos" w:cs="Tahoma"/>
          <w:b/>
          <w:bCs/>
        </w:rPr>
        <w:t>:</w:t>
      </w:r>
      <w:r w:rsidRPr="002C0B4F">
        <w:rPr>
          <w:rFonts w:ascii="Aptos" w:hAnsi="Aptos" w:cs="Tahoma"/>
          <w:b/>
          <w:bCs/>
        </w:rPr>
        <w:tab/>
        <w:t>Are there any minimum qualifications required of the Prime Contractor for this solicitation?</w:t>
      </w:r>
    </w:p>
    <w:p w14:paraId="0ACE3041" w14:textId="37731872" w:rsidR="00B760B4" w:rsidRPr="002C0B4F" w:rsidRDefault="005D1DB0" w:rsidP="004F0931">
      <w:pPr>
        <w:spacing w:before="120" w:after="120" w:line="259" w:lineRule="auto"/>
        <w:ind w:left="720" w:hanging="720"/>
        <w:rPr>
          <w:rFonts w:ascii="Aptos" w:hAnsi="Aptos" w:cs="Tahoma"/>
        </w:rPr>
      </w:pPr>
      <w:r w:rsidRPr="002C0B4F">
        <w:rPr>
          <w:rFonts w:ascii="Aptos" w:hAnsi="Aptos" w:cs="Tahoma"/>
        </w:rPr>
        <w:t>A</w:t>
      </w:r>
      <w:r w:rsidR="008E5EF4" w:rsidRPr="002C0B4F">
        <w:rPr>
          <w:rFonts w:ascii="Aptos" w:hAnsi="Aptos" w:cs="Tahoma"/>
        </w:rPr>
        <w:t>28</w:t>
      </w:r>
      <w:r w:rsidRPr="002C0B4F">
        <w:rPr>
          <w:rFonts w:ascii="Aptos" w:hAnsi="Aptos" w:cs="Tahoma"/>
        </w:rPr>
        <w:t>:</w:t>
      </w:r>
      <w:r w:rsidRPr="002C0B4F">
        <w:rPr>
          <w:rFonts w:ascii="Aptos" w:hAnsi="Aptos" w:cs="Tahoma"/>
        </w:rPr>
        <w:tab/>
        <w:t>Please see</w:t>
      </w:r>
      <w:r w:rsidR="0032058D" w:rsidRPr="002C0B4F">
        <w:rPr>
          <w:rFonts w:ascii="Aptos" w:hAnsi="Aptos" w:cs="Tahoma"/>
        </w:rPr>
        <w:t xml:space="preserve"> the</w:t>
      </w:r>
      <w:r w:rsidRPr="002C0B4F">
        <w:rPr>
          <w:rFonts w:ascii="Aptos" w:hAnsi="Aptos" w:cs="Tahoma"/>
        </w:rPr>
        <w:t xml:space="preserve"> </w:t>
      </w:r>
      <w:r w:rsidR="00602E06" w:rsidRPr="002C0B4F">
        <w:rPr>
          <w:rFonts w:ascii="Aptos" w:hAnsi="Aptos" w:cs="Tahoma"/>
        </w:rPr>
        <w:t>“</w:t>
      </w:r>
      <w:r w:rsidRPr="002C0B4F">
        <w:rPr>
          <w:rFonts w:ascii="Aptos" w:hAnsi="Aptos" w:cs="Tahoma"/>
        </w:rPr>
        <w:t>Eligible Firms</w:t>
      </w:r>
      <w:r w:rsidR="00602E06" w:rsidRPr="002C0B4F">
        <w:rPr>
          <w:rFonts w:ascii="Aptos" w:hAnsi="Aptos" w:cs="Tahoma"/>
        </w:rPr>
        <w:t>”</w:t>
      </w:r>
      <w:r w:rsidRPr="002C0B4F">
        <w:rPr>
          <w:rFonts w:ascii="Aptos" w:hAnsi="Aptos" w:cs="Tahoma"/>
        </w:rPr>
        <w:t xml:space="preserve"> </w:t>
      </w:r>
      <w:r w:rsidR="003817EC" w:rsidRPr="002C0B4F">
        <w:rPr>
          <w:rFonts w:ascii="Aptos" w:hAnsi="Aptos" w:cs="Tahoma"/>
        </w:rPr>
        <w:t xml:space="preserve">section </w:t>
      </w:r>
      <w:r w:rsidRPr="002C0B4F">
        <w:rPr>
          <w:rFonts w:ascii="Aptos" w:hAnsi="Aptos" w:cs="Tahoma"/>
        </w:rPr>
        <w:t>located on page 13 of the solicitation manual, which opens the solicitation to all public and private entities as eligible applicants. Please also refer to</w:t>
      </w:r>
      <w:r w:rsidR="0032058D" w:rsidRPr="002C0B4F">
        <w:rPr>
          <w:rFonts w:ascii="Aptos" w:hAnsi="Aptos" w:cs="Tahoma"/>
        </w:rPr>
        <w:t xml:space="preserve"> the</w:t>
      </w:r>
      <w:r w:rsidRPr="002C0B4F">
        <w:rPr>
          <w:rFonts w:ascii="Aptos" w:hAnsi="Aptos" w:cs="Tahoma"/>
        </w:rPr>
        <w:t xml:space="preserve"> </w:t>
      </w:r>
      <w:r w:rsidR="00602E06" w:rsidRPr="002C0B4F">
        <w:rPr>
          <w:rFonts w:ascii="Aptos" w:hAnsi="Aptos" w:cs="Tahoma"/>
        </w:rPr>
        <w:t>“</w:t>
      </w:r>
      <w:r w:rsidRPr="002C0B4F">
        <w:rPr>
          <w:rFonts w:ascii="Aptos" w:hAnsi="Aptos" w:cs="Tahoma"/>
        </w:rPr>
        <w:t>Evaluation of SOQ – Criteria</w:t>
      </w:r>
      <w:r w:rsidR="00602E06" w:rsidRPr="002C0B4F">
        <w:rPr>
          <w:rFonts w:ascii="Aptos" w:hAnsi="Aptos" w:cs="Tahoma"/>
        </w:rPr>
        <w:t>”</w:t>
      </w:r>
      <w:r w:rsidR="003817EC" w:rsidRPr="002C0B4F">
        <w:rPr>
          <w:rFonts w:ascii="Aptos" w:hAnsi="Aptos" w:cs="Tahoma"/>
        </w:rPr>
        <w:t xml:space="preserve"> section</w:t>
      </w:r>
      <w:r w:rsidRPr="002C0B4F">
        <w:rPr>
          <w:rFonts w:ascii="Aptos" w:hAnsi="Aptos" w:cs="Tahoma"/>
        </w:rPr>
        <w:t xml:space="preserve"> located on pages 114-118 of the solicitation manual, which describes how each applicant’s statement of qualifications will be reviewed. All companies must be registered with California Secretary of State, provide a United States tax identification number, and comply with all other RFQ requirements. The selected </w:t>
      </w:r>
      <w:r w:rsidR="009747FC" w:rsidRPr="002C0B4F">
        <w:rPr>
          <w:rFonts w:ascii="Aptos" w:hAnsi="Aptos" w:cs="Tahoma"/>
        </w:rPr>
        <w:t>Prime C</w:t>
      </w:r>
      <w:r w:rsidRPr="002C0B4F">
        <w:rPr>
          <w:rFonts w:ascii="Aptos" w:hAnsi="Aptos" w:cs="Tahoma"/>
        </w:rPr>
        <w:t>ontractor will need to comply with California law and sign a contract similar to Attachment 6, Standard Agreement Example</w:t>
      </w:r>
      <w:r w:rsidR="00F24862" w:rsidRPr="002C0B4F">
        <w:rPr>
          <w:rFonts w:ascii="Aptos" w:hAnsi="Aptos" w:cs="Tahoma"/>
        </w:rPr>
        <w:t xml:space="preserve">, which is available on the </w:t>
      </w:r>
      <w:hyperlink r:id="rId34" w:history="1">
        <w:r w:rsidR="00F24862" w:rsidRPr="002C0B4F">
          <w:rPr>
            <w:rStyle w:val="Hyperlink"/>
            <w:rFonts w:ascii="Aptos" w:hAnsi="Aptos" w:cs="Tahoma"/>
          </w:rPr>
          <w:t>RFQ-25-401 solicitation webpage</w:t>
        </w:r>
      </w:hyperlink>
      <w:r w:rsidR="00F24862" w:rsidRPr="002C0B4F">
        <w:rPr>
          <w:rFonts w:ascii="Aptos" w:hAnsi="Aptos" w:cs="Tahoma"/>
        </w:rPr>
        <w:t xml:space="preserve"> (https://www.energy.ca.gov/solicitations/2026-05/rfq-25-401-energy-code-compliance-evaluation-support). </w:t>
      </w:r>
    </w:p>
    <w:p w14:paraId="5C45C236" w14:textId="10C5AEC3" w:rsidR="005D1DB0" w:rsidRPr="002C0B4F" w:rsidRDefault="00F24862" w:rsidP="004F0931">
      <w:pPr>
        <w:spacing w:before="120" w:after="120" w:line="259" w:lineRule="auto"/>
        <w:ind w:left="720"/>
        <w:rPr>
          <w:rFonts w:ascii="Aptos" w:hAnsi="Aptos" w:cs="Tahoma"/>
        </w:rPr>
      </w:pPr>
      <w:r w:rsidRPr="002C0B4F">
        <w:rPr>
          <w:rFonts w:ascii="Aptos" w:hAnsi="Aptos" w:cs="Tahoma"/>
        </w:rPr>
        <w:t>It is also important to note that all work performed under the agreement resulting from this solicitation must be performed in the United States unless DOE provides a waiver.</w:t>
      </w:r>
    </w:p>
    <w:p w14:paraId="3A6747D4" w14:textId="23645584" w:rsidR="00563F10" w:rsidRPr="002C0B4F" w:rsidRDefault="00563F10" w:rsidP="004F0931">
      <w:pPr>
        <w:spacing w:before="120" w:after="120" w:line="259" w:lineRule="auto"/>
        <w:ind w:left="720" w:hanging="720"/>
        <w:rPr>
          <w:rFonts w:ascii="Aptos" w:hAnsi="Aptos" w:cs="Tahoma"/>
          <w:b/>
          <w:bCs/>
        </w:rPr>
      </w:pPr>
      <w:r w:rsidRPr="002C0B4F">
        <w:rPr>
          <w:rFonts w:ascii="Aptos" w:hAnsi="Aptos" w:cs="Tahoma"/>
          <w:b/>
          <w:bCs/>
        </w:rPr>
        <w:t>Q</w:t>
      </w:r>
      <w:r w:rsidR="008E5EF4" w:rsidRPr="002C0B4F">
        <w:rPr>
          <w:rFonts w:ascii="Aptos" w:hAnsi="Aptos" w:cs="Tahoma"/>
          <w:b/>
          <w:bCs/>
        </w:rPr>
        <w:t>29</w:t>
      </w:r>
      <w:r w:rsidRPr="002C0B4F">
        <w:rPr>
          <w:rFonts w:ascii="Aptos" w:hAnsi="Aptos" w:cs="Tahoma"/>
          <w:b/>
          <w:bCs/>
        </w:rPr>
        <w:t>:</w:t>
      </w:r>
      <w:r w:rsidRPr="002C0B4F">
        <w:rPr>
          <w:rFonts w:ascii="Aptos" w:hAnsi="Aptos" w:cs="Tahoma"/>
          <w:b/>
          <w:bCs/>
        </w:rPr>
        <w:tab/>
        <w:t xml:space="preserve">Do all </w:t>
      </w:r>
      <w:r w:rsidR="009747FC" w:rsidRPr="002C0B4F">
        <w:rPr>
          <w:rFonts w:ascii="Aptos" w:hAnsi="Aptos" w:cs="Tahoma"/>
          <w:b/>
          <w:bCs/>
        </w:rPr>
        <w:t>S</w:t>
      </w:r>
      <w:r w:rsidRPr="002C0B4F">
        <w:rPr>
          <w:rFonts w:ascii="Aptos" w:hAnsi="Aptos" w:cs="Tahoma"/>
          <w:b/>
          <w:bCs/>
        </w:rPr>
        <w:t>ubcontractors have to be registered with the California Secretary of State?</w:t>
      </w:r>
    </w:p>
    <w:p w14:paraId="273B5FBE" w14:textId="7AC036F6" w:rsidR="00563F10" w:rsidRPr="002C0B4F" w:rsidRDefault="00563F10" w:rsidP="004F0931">
      <w:pPr>
        <w:spacing w:before="120" w:after="120" w:line="259" w:lineRule="auto"/>
        <w:ind w:left="720" w:hanging="720"/>
        <w:rPr>
          <w:rFonts w:ascii="Aptos" w:hAnsi="Aptos" w:cs="Tahoma"/>
        </w:rPr>
      </w:pPr>
      <w:r w:rsidRPr="002C0B4F">
        <w:rPr>
          <w:rFonts w:ascii="Aptos" w:hAnsi="Aptos" w:cs="Tahoma"/>
        </w:rPr>
        <w:t>A</w:t>
      </w:r>
      <w:r w:rsidR="008E5EF4" w:rsidRPr="002C0B4F">
        <w:rPr>
          <w:rFonts w:ascii="Aptos" w:hAnsi="Aptos" w:cs="Tahoma"/>
        </w:rPr>
        <w:t>29</w:t>
      </w:r>
      <w:r w:rsidRPr="002C0B4F">
        <w:rPr>
          <w:rFonts w:ascii="Aptos" w:hAnsi="Aptos" w:cs="Tahoma"/>
        </w:rPr>
        <w:t>:</w:t>
      </w:r>
      <w:r w:rsidRPr="002C0B4F">
        <w:rPr>
          <w:rFonts w:ascii="Aptos" w:hAnsi="Aptos" w:cs="Tahoma"/>
        </w:rPr>
        <w:tab/>
        <w:t xml:space="preserve">Before transacting intrastate business in California, all businesses must first register with the California Secretary of State. Businesses should comply with all applicable laws, ordinances, regulations, and standards and should consult with their own counsel if they have questions regarding Secretary of State registration requirements. </w:t>
      </w:r>
    </w:p>
    <w:p w14:paraId="2BD4B9B1" w14:textId="4CFFD8E2" w:rsidR="00563F10" w:rsidRPr="002C0B4F" w:rsidRDefault="00563F10" w:rsidP="004F0931">
      <w:pPr>
        <w:spacing w:before="120" w:after="120" w:line="259" w:lineRule="auto"/>
        <w:ind w:left="720"/>
        <w:rPr>
          <w:rFonts w:ascii="Aptos" w:hAnsi="Aptos" w:cs="Tahoma"/>
        </w:rPr>
      </w:pPr>
      <w:r w:rsidRPr="002C0B4F">
        <w:rPr>
          <w:rFonts w:ascii="Aptos" w:hAnsi="Aptos" w:cs="Tahoma"/>
        </w:rPr>
        <w:t xml:space="preserve">For purposes of submitting an </w:t>
      </w:r>
      <w:r w:rsidR="004C1360" w:rsidRPr="002C0B4F">
        <w:rPr>
          <w:rFonts w:ascii="Aptos" w:hAnsi="Aptos" w:cs="Tahoma"/>
        </w:rPr>
        <w:t xml:space="preserve">SOQ </w:t>
      </w:r>
      <w:r w:rsidRPr="002C0B4F">
        <w:rPr>
          <w:rFonts w:ascii="Aptos" w:hAnsi="Aptos" w:cs="Tahoma"/>
        </w:rPr>
        <w:t xml:space="preserve">in response to this solicitation, please </w:t>
      </w:r>
      <w:r w:rsidR="00B15106" w:rsidRPr="002C0B4F">
        <w:rPr>
          <w:rFonts w:ascii="Aptos" w:hAnsi="Aptos" w:cs="Tahoma"/>
        </w:rPr>
        <w:t>see</w:t>
      </w:r>
      <w:r w:rsidRPr="002C0B4F">
        <w:rPr>
          <w:rFonts w:ascii="Aptos" w:hAnsi="Aptos" w:cs="Tahoma"/>
        </w:rPr>
        <w:t xml:space="preserve"> page </w:t>
      </w:r>
      <w:r w:rsidR="00D36279" w:rsidRPr="002C0B4F">
        <w:rPr>
          <w:rFonts w:ascii="Aptos" w:hAnsi="Aptos" w:cs="Tahoma"/>
        </w:rPr>
        <w:t>13</w:t>
      </w:r>
      <w:r w:rsidRPr="002C0B4F">
        <w:rPr>
          <w:rFonts w:ascii="Aptos" w:hAnsi="Aptos" w:cs="Tahoma"/>
        </w:rPr>
        <w:t xml:space="preserve"> of the solicitation manual, which is available on the </w:t>
      </w:r>
      <w:hyperlink r:id="rId35" w:history="1">
        <w:r w:rsidRPr="002C0B4F">
          <w:rPr>
            <w:rStyle w:val="Hyperlink"/>
            <w:rFonts w:ascii="Aptos" w:hAnsi="Aptos" w:cs="Tahoma"/>
          </w:rPr>
          <w:t>RFQ-25-401 solicitation webpage</w:t>
        </w:r>
      </w:hyperlink>
      <w:r w:rsidRPr="002C0B4F">
        <w:rPr>
          <w:rFonts w:ascii="Aptos" w:hAnsi="Aptos" w:cs="Tahoma"/>
        </w:rPr>
        <w:t xml:space="preserve"> (https://www.energy.ca.gov/solicitations/2026-05/rfq-25-401-energy-code-compliance-evaluation-support).</w:t>
      </w:r>
    </w:p>
    <w:p w14:paraId="1AE48196" w14:textId="194A6558" w:rsidR="00563F10" w:rsidRPr="002C0B4F" w:rsidRDefault="00563F10" w:rsidP="004F0931">
      <w:pPr>
        <w:spacing w:before="120" w:after="120" w:line="259" w:lineRule="auto"/>
        <w:ind w:left="720"/>
        <w:rPr>
          <w:rFonts w:ascii="Aptos" w:hAnsi="Aptos" w:cs="Tahoma"/>
        </w:rPr>
      </w:pPr>
      <w:r w:rsidRPr="002C0B4F">
        <w:rPr>
          <w:rFonts w:ascii="Aptos" w:hAnsi="Aptos" w:cs="Tahoma"/>
        </w:rPr>
        <w:t xml:space="preserve">It indicates that all corporations, limited liability companies (LLCs), limited partnerships (LPs), and limited liability partnerships (LLPs) that conduct intrastate </w:t>
      </w:r>
      <w:r w:rsidRPr="002C0B4F">
        <w:rPr>
          <w:rFonts w:ascii="Aptos" w:hAnsi="Aptos" w:cs="Tahoma"/>
        </w:rPr>
        <w:lastRenderedPageBreak/>
        <w:t xml:space="preserve">business in California are required to be registered and in good standing with the California Secretary of State prior to a project being recommended for approval at a CEC business meeting. If not currently registered, applicants are encouraged to contact the Secretary of State’s Office as soon as possible to avoid potential delays in beginning the proposed project (should the application be successful). </w:t>
      </w:r>
    </w:p>
    <w:p w14:paraId="4B4C1981" w14:textId="77777777" w:rsidR="00563F10" w:rsidRPr="002C0B4F" w:rsidRDefault="00563F10" w:rsidP="004F0931">
      <w:pPr>
        <w:spacing w:before="120" w:after="120" w:line="259" w:lineRule="auto"/>
        <w:ind w:left="720"/>
        <w:rPr>
          <w:rFonts w:ascii="Aptos" w:hAnsi="Aptos" w:cs="Tahoma"/>
        </w:rPr>
      </w:pPr>
      <w:r w:rsidRPr="002C0B4F">
        <w:rPr>
          <w:rFonts w:ascii="Aptos" w:hAnsi="Aptos" w:cs="Tahoma"/>
        </w:rPr>
        <w:t>In addition, sole proprietors using a fictitious business name must be registered with the appropriate county and provide evidence of registration to the CEC prior to the agreement resulting from this solicitation being recommended for approval at a CEC business meeting.</w:t>
      </w:r>
    </w:p>
    <w:p w14:paraId="07BA45AF" w14:textId="6A0FD170" w:rsidR="007E3872" w:rsidRPr="002C0B4F" w:rsidRDefault="007E3872" w:rsidP="004F0931">
      <w:pPr>
        <w:spacing w:before="120" w:after="120" w:line="259" w:lineRule="auto"/>
        <w:ind w:left="720" w:hanging="720"/>
        <w:rPr>
          <w:rFonts w:ascii="Aptos" w:hAnsi="Aptos" w:cs="Tahoma"/>
          <w:b/>
          <w:bCs/>
        </w:rPr>
      </w:pPr>
      <w:r w:rsidRPr="002C0B4F">
        <w:rPr>
          <w:rFonts w:ascii="Aptos" w:eastAsia="Times New Roman" w:hAnsi="Aptos" w:cs="Tahoma"/>
          <w:b/>
          <w:bCs/>
          <w:color w:val="000000" w:themeColor="text1"/>
        </w:rPr>
        <w:t>Q</w:t>
      </w:r>
      <w:r w:rsidR="008E5EF4" w:rsidRPr="002C0B4F">
        <w:rPr>
          <w:rFonts w:ascii="Aptos" w:eastAsia="Times New Roman" w:hAnsi="Aptos" w:cs="Tahoma"/>
          <w:b/>
          <w:bCs/>
          <w:color w:val="000000" w:themeColor="text1"/>
        </w:rPr>
        <w:t>30</w:t>
      </w:r>
      <w:r w:rsidRPr="002C0B4F">
        <w:rPr>
          <w:rFonts w:ascii="Aptos" w:eastAsia="Times New Roman" w:hAnsi="Aptos" w:cs="Tahoma"/>
          <w:b/>
          <w:bCs/>
          <w:color w:val="000000" w:themeColor="text1"/>
        </w:rPr>
        <w:t>:</w:t>
      </w:r>
      <w:r w:rsidRPr="002C0B4F">
        <w:rPr>
          <w:rFonts w:ascii="Aptos" w:eastAsia="Times New Roman" w:hAnsi="Aptos" w:cs="Tahoma"/>
          <w:b/>
          <w:bCs/>
          <w:color w:val="000000" w:themeColor="text1"/>
        </w:rPr>
        <w:tab/>
        <w:t xml:space="preserve">Can Firms </w:t>
      </w:r>
      <w:r w:rsidR="00547D56" w:rsidRPr="002C0B4F">
        <w:rPr>
          <w:rFonts w:ascii="Aptos" w:eastAsia="Times New Roman" w:hAnsi="Aptos" w:cs="Tahoma"/>
          <w:b/>
          <w:bCs/>
          <w:color w:val="000000" w:themeColor="text1"/>
        </w:rPr>
        <w:t xml:space="preserve">who are </w:t>
      </w:r>
      <w:r w:rsidRPr="002C0B4F">
        <w:rPr>
          <w:rFonts w:ascii="Aptos" w:eastAsia="Times New Roman" w:hAnsi="Aptos" w:cs="Tahoma"/>
          <w:b/>
          <w:bCs/>
          <w:color w:val="000000" w:themeColor="text1"/>
        </w:rPr>
        <w:t>located outside of California apply for this solicitation?</w:t>
      </w:r>
    </w:p>
    <w:p w14:paraId="02BDBDFD" w14:textId="0F6E015F" w:rsidR="00497C8D" w:rsidRPr="002C0B4F" w:rsidRDefault="007E3872" w:rsidP="004F0931">
      <w:pPr>
        <w:spacing w:before="120" w:after="120" w:line="259" w:lineRule="auto"/>
        <w:ind w:left="720" w:hanging="720"/>
        <w:rPr>
          <w:rFonts w:ascii="Aptos" w:hAnsi="Aptos" w:cs="Tahoma"/>
        </w:rPr>
      </w:pPr>
      <w:r w:rsidRPr="002C0B4F">
        <w:rPr>
          <w:rFonts w:ascii="Aptos" w:eastAsia="Times New Roman" w:hAnsi="Aptos" w:cs="Tahoma"/>
          <w:color w:val="000000" w:themeColor="text1"/>
        </w:rPr>
        <w:t>A</w:t>
      </w:r>
      <w:r w:rsidR="008E5EF4" w:rsidRPr="002C0B4F">
        <w:rPr>
          <w:rFonts w:ascii="Aptos" w:eastAsia="Times New Roman" w:hAnsi="Aptos" w:cs="Tahoma"/>
          <w:color w:val="000000" w:themeColor="text1"/>
        </w:rPr>
        <w:t>30</w:t>
      </w:r>
      <w:r w:rsidRPr="002C0B4F">
        <w:rPr>
          <w:rFonts w:ascii="Aptos" w:eastAsia="Times New Roman" w:hAnsi="Aptos" w:cs="Tahoma"/>
          <w:color w:val="000000" w:themeColor="text1"/>
        </w:rPr>
        <w:t xml:space="preserve">: </w:t>
      </w:r>
      <w:r w:rsidRPr="002C0B4F">
        <w:rPr>
          <w:rFonts w:ascii="Aptos" w:eastAsia="Times New Roman" w:hAnsi="Aptos" w:cs="Tahoma"/>
          <w:color w:val="000000" w:themeColor="text1"/>
        </w:rPr>
        <w:tab/>
      </w:r>
      <w:r w:rsidR="00497C8D" w:rsidRPr="002C0B4F">
        <w:rPr>
          <w:rFonts w:ascii="Aptos" w:hAnsi="Aptos" w:cs="Tahoma"/>
        </w:rPr>
        <w:t xml:space="preserve">All work performed under the agreement resulting from this solicitation must be performed in the United States unless DOE provides a waiver. Please see the Federal Terms and Conditions in Exhibit F of Attachment 6, Standard Agreement Example, available on the </w:t>
      </w:r>
      <w:hyperlink r:id="rId36" w:history="1">
        <w:r w:rsidR="00497C8D" w:rsidRPr="002C0B4F">
          <w:rPr>
            <w:rStyle w:val="Hyperlink"/>
            <w:rFonts w:ascii="Aptos" w:hAnsi="Aptos" w:cs="Tahoma"/>
          </w:rPr>
          <w:t>RFQ-25-401 solicitation webpage</w:t>
        </w:r>
      </w:hyperlink>
      <w:r w:rsidR="00497C8D" w:rsidRPr="002C0B4F">
        <w:rPr>
          <w:rFonts w:ascii="Aptos" w:hAnsi="Aptos" w:cs="Tahoma"/>
        </w:rPr>
        <w:t xml:space="preserve"> (https://www.energy.ca.gov/solicitations/2026-05/rfq-25-401-energy-code-compliance-evaluation-support) for more information.</w:t>
      </w:r>
    </w:p>
    <w:p w14:paraId="4E86E1EE" w14:textId="5AD0B717" w:rsidR="007E3872" w:rsidRPr="002C0B4F" w:rsidRDefault="00497C8D" w:rsidP="004F0931">
      <w:pPr>
        <w:spacing w:before="120" w:after="120" w:line="259" w:lineRule="auto"/>
        <w:ind w:left="720"/>
        <w:rPr>
          <w:rFonts w:ascii="Aptos" w:hAnsi="Aptos" w:cs="Tahoma"/>
        </w:rPr>
      </w:pPr>
      <w:r w:rsidRPr="002C0B4F">
        <w:rPr>
          <w:rFonts w:ascii="Aptos" w:eastAsia="Times New Roman" w:hAnsi="Aptos" w:cs="Tahoma"/>
          <w:color w:val="000000" w:themeColor="text1"/>
        </w:rPr>
        <w:t xml:space="preserve">In addition, </w:t>
      </w:r>
      <w:r w:rsidR="00AB7853" w:rsidRPr="002C0B4F">
        <w:rPr>
          <w:rFonts w:ascii="Aptos" w:eastAsia="Times New Roman" w:hAnsi="Aptos" w:cs="Tahoma"/>
          <w:color w:val="000000" w:themeColor="text1"/>
        </w:rPr>
        <w:t>while</w:t>
      </w:r>
      <w:r w:rsidR="007E3872" w:rsidRPr="002C0B4F">
        <w:rPr>
          <w:rFonts w:ascii="Aptos" w:eastAsia="Times New Roman" w:hAnsi="Aptos" w:cs="Tahoma"/>
          <w:color w:val="000000" w:themeColor="text1"/>
        </w:rPr>
        <w:t xml:space="preserve"> nothing </w:t>
      </w:r>
      <w:r w:rsidR="007E3872" w:rsidRPr="002C0B4F">
        <w:rPr>
          <w:rFonts w:ascii="Aptos" w:eastAsia="Times New Roman" w:hAnsi="Aptos" w:cs="Tahoma"/>
          <w:color w:val="000000" w:themeColor="text1"/>
          <w:u w:val="single"/>
        </w:rPr>
        <w:t>in this solicitation</w:t>
      </w:r>
      <w:r w:rsidR="007E3872" w:rsidRPr="002C0B4F">
        <w:rPr>
          <w:rFonts w:ascii="Aptos" w:eastAsia="Times New Roman" w:hAnsi="Aptos" w:cs="Tahoma"/>
          <w:color w:val="000000" w:themeColor="text1"/>
        </w:rPr>
        <w:t xml:space="preserve"> prohibits Firms and their respective </w:t>
      </w:r>
      <w:r w:rsidR="00B87A37" w:rsidRPr="002C0B4F">
        <w:rPr>
          <w:rFonts w:ascii="Aptos" w:eastAsia="Times New Roman" w:hAnsi="Aptos" w:cs="Tahoma"/>
          <w:color w:val="000000" w:themeColor="text1"/>
        </w:rPr>
        <w:t>S</w:t>
      </w:r>
      <w:r w:rsidR="007E3872" w:rsidRPr="002C0B4F">
        <w:rPr>
          <w:rFonts w:ascii="Aptos" w:eastAsia="Times New Roman" w:hAnsi="Aptos" w:cs="Tahoma"/>
          <w:color w:val="000000" w:themeColor="text1"/>
        </w:rPr>
        <w:t xml:space="preserve">ubcontractors outside of California from applying and performing work outside of California, each company should </w:t>
      </w:r>
      <w:r w:rsidR="00A87390" w:rsidRPr="002C0B4F">
        <w:rPr>
          <w:rFonts w:ascii="Aptos" w:eastAsia="Times New Roman" w:hAnsi="Aptos" w:cs="Tahoma"/>
          <w:color w:val="000000" w:themeColor="text1"/>
        </w:rPr>
        <w:t>collaborate</w:t>
      </w:r>
      <w:r w:rsidR="007E3872" w:rsidRPr="002C0B4F">
        <w:rPr>
          <w:rFonts w:ascii="Aptos" w:eastAsia="Times New Roman" w:hAnsi="Aptos" w:cs="Tahoma"/>
          <w:color w:val="000000" w:themeColor="text1"/>
        </w:rPr>
        <w:t xml:space="preserve"> with its own legal counsel to determine if it can legally enter into a contract for this work. Certain laws of California, the United States, or the foreign countries in which the company is located may prohibit a resulting contract. For example only, and by no means legal advice or an exhaustive list, potential applicants may want their own legal counsel to consider:</w:t>
      </w:r>
    </w:p>
    <w:p w14:paraId="4D6D54F3" w14:textId="77777777" w:rsidR="007E3872" w:rsidRPr="002C0B4F" w:rsidRDefault="007E3872" w:rsidP="004F0931">
      <w:pPr>
        <w:pStyle w:val="ListParagraph"/>
        <w:numPr>
          <w:ilvl w:val="0"/>
          <w:numId w:val="4"/>
        </w:numPr>
        <w:spacing w:before="120" w:after="120" w:line="259" w:lineRule="auto"/>
        <w:ind w:left="1260"/>
        <w:contextualSpacing w:val="0"/>
        <w:rPr>
          <w:rFonts w:ascii="Aptos" w:hAnsi="Aptos" w:cs="Tahoma"/>
        </w:rPr>
      </w:pPr>
      <w:r w:rsidRPr="002C0B4F">
        <w:rPr>
          <w:rFonts w:ascii="Aptos" w:eastAsia="Times New Roman" w:hAnsi="Aptos" w:cs="Tahoma"/>
          <w:color w:val="000000" w:themeColor="text1"/>
        </w:rPr>
        <w:t>All companies must be registered with California Secretary of State, provide United States tax identification number, and comply with all other RFQ requirements. The selected Contractor will need to comply with California law and sign a contract similar to Attachment 6, Standard Agreement Example.</w:t>
      </w:r>
    </w:p>
    <w:p w14:paraId="7660D527" w14:textId="77777777" w:rsidR="007E3872" w:rsidRPr="002C0B4F" w:rsidRDefault="007E3872" w:rsidP="004F0931">
      <w:pPr>
        <w:pStyle w:val="ListParagraph"/>
        <w:numPr>
          <w:ilvl w:val="0"/>
          <w:numId w:val="4"/>
        </w:numPr>
        <w:spacing w:before="120" w:after="120" w:line="259" w:lineRule="auto"/>
        <w:ind w:left="1260"/>
        <w:contextualSpacing w:val="0"/>
        <w:rPr>
          <w:rFonts w:ascii="Aptos" w:hAnsi="Aptos" w:cs="Tahoma"/>
        </w:rPr>
      </w:pPr>
      <w:r w:rsidRPr="002C0B4F">
        <w:rPr>
          <w:rFonts w:ascii="Aptos" w:eastAsia="Times New Roman" w:hAnsi="Aptos" w:cs="Tahoma"/>
          <w:color w:val="000000" w:themeColor="text1"/>
        </w:rPr>
        <w:t>The California Taxpayer and Shareholder Protection Act of 2003, California Public Contract Code sections 10286 et seq.</w:t>
      </w:r>
    </w:p>
    <w:p w14:paraId="7BDE2210" w14:textId="77777777" w:rsidR="007E3872" w:rsidRPr="002C0B4F" w:rsidRDefault="007E3872" w:rsidP="004F0931">
      <w:pPr>
        <w:pStyle w:val="ListParagraph"/>
        <w:numPr>
          <w:ilvl w:val="0"/>
          <w:numId w:val="4"/>
        </w:numPr>
        <w:spacing w:before="120" w:after="120" w:line="259" w:lineRule="auto"/>
        <w:ind w:left="1260"/>
        <w:contextualSpacing w:val="0"/>
        <w:rPr>
          <w:rFonts w:ascii="Aptos" w:hAnsi="Aptos" w:cs="Tahoma"/>
        </w:rPr>
      </w:pPr>
      <w:r w:rsidRPr="002C0B4F">
        <w:rPr>
          <w:rFonts w:ascii="Aptos" w:eastAsia="Times New Roman" w:hAnsi="Aptos" w:cs="Tahoma"/>
          <w:color w:val="000000" w:themeColor="text1"/>
        </w:rPr>
        <w:t>California’s Darfur Contract Act of 2008, California Public Contract Code sections 10475 et seq.</w:t>
      </w:r>
    </w:p>
    <w:p w14:paraId="13CDCB68" w14:textId="77777777" w:rsidR="007E3872" w:rsidRPr="002C0B4F" w:rsidRDefault="007E3872" w:rsidP="004F0931">
      <w:pPr>
        <w:pStyle w:val="ListParagraph"/>
        <w:numPr>
          <w:ilvl w:val="0"/>
          <w:numId w:val="4"/>
        </w:numPr>
        <w:spacing w:before="120" w:after="120" w:line="259" w:lineRule="auto"/>
        <w:ind w:left="1260"/>
        <w:contextualSpacing w:val="0"/>
        <w:rPr>
          <w:rFonts w:ascii="Aptos" w:hAnsi="Aptos" w:cs="Tahoma"/>
        </w:rPr>
      </w:pPr>
      <w:r w:rsidRPr="002C0B4F">
        <w:rPr>
          <w:rFonts w:ascii="Aptos" w:eastAsia="Times New Roman" w:hAnsi="Aptos" w:cs="Tahoma"/>
          <w:color w:val="000000" w:themeColor="text1"/>
        </w:rPr>
        <w:t>California’s Iran Contracting Act of 2010, California Public Contract Code sections 2200 et seq.</w:t>
      </w:r>
    </w:p>
    <w:p w14:paraId="5901178B" w14:textId="77777777" w:rsidR="007E3872" w:rsidRPr="002C0B4F" w:rsidRDefault="007E3872" w:rsidP="004F0931">
      <w:pPr>
        <w:pStyle w:val="ListParagraph"/>
        <w:numPr>
          <w:ilvl w:val="0"/>
          <w:numId w:val="4"/>
        </w:numPr>
        <w:spacing w:before="120" w:after="120" w:line="259" w:lineRule="auto"/>
        <w:ind w:left="1260"/>
        <w:contextualSpacing w:val="0"/>
        <w:rPr>
          <w:rFonts w:ascii="Aptos" w:hAnsi="Aptos" w:cs="Tahoma"/>
        </w:rPr>
      </w:pPr>
      <w:r w:rsidRPr="002C0B4F">
        <w:rPr>
          <w:rFonts w:ascii="Aptos" w:eastAsia="Times New Roman" w:hAnsi="Aptos" w:cs="Tahoma"/>
          <w:color w:val="000000" w:themeColor="text1"/>
        </w:rPr>
        <w:t>United States federal export control laws, which prohibit contracts for certain activities with certain countries.</w:t>
      </w:r>
    </w:p>
    <w:p w14:paraId="19F10345" w14:textId="33052202" w:rsidR="007E3872" w:rsidRPr="002C0B4F" w:rsidRDefault="007E3872" w:rsidP="004F0931">
      <w:pPr>
        <w:pStyle w:val="ListParagraph"/>
        <w:numPr>
          <w:ilvl w:val="0"/>
          <w:numId w:val="4"/>
        </w:numPr>
        <w:spacing w:before="120" w:after="120" w:line="259" w:lineRule="auto"/>
        <w:ind w:left="1260"/>
        <w:contextualSpacing w:val="0"/>
        <w:rPr>
          <w:rFonts w:ascii="Aptos" w:hAnsi="Aptos" w:cs="Tahoma"/>
        </w:rPr>
      </w:pPr>
      <w:r w:rsidRPr="002C0B4F">
        <w:rPr>
          <w:rFonts w:ascii="Aptos" w:eastAsia="Times New Roman" w:hAnsi="Aptos" w:cs="Tahoma"/>
          <w:color w:val="000000" w:themeColor="text1"/>
        </w:rPr>
        <w:t>United States trade agreements</w:t>
      </w:r>
      <w:r w:rsidR="00103DA9" w:rsidRPr="002C0B4F">
        <w:rPr>
          <w:rFonts w:ascii="Aptos" w:eastAsia="Times New Roman" w:hAnsi="Aptos" w:cs="Tahoma"/>
          <w:color w:val="000000" w:themeColor="text1"/>
        </w:rPr>
        <w:t>.</w:t>
      </w:r>
    </w:p>
    <w:p w14:paraId="318F56B3" w14:textId="0422951D" w:rsidR="00DF2829" w:rsidRPr="002C0B4F" w:rsidRDefault="00BB1AB5" w:rsidP="004F0931">
      <w:pPr>
        <w:spacing w:before="120" w:after="120" w:line="259" w:lineRule="auto"/>
        <w:ind w:left="720" w:hanging="720"/>
        <w:rPr>
          <w:rFonts w:ascii="Aptos" w:hAnsi="Aptos" w:cs="Tahoma"/>
          <w:b/>
          <w:bCs/>
        </w:rPr>
      </w:pPr>
      <w:r w:rsidRPr="002C0B4F">
        <w:rPr>
          <w:rFonts w:ascii="Aptos" w:hAnsi="Aptos" w:cs="Tahoma"/>
          <w:b/>
          <w:bCs/>
        </w:rPr>
        <w:lastRenderedPageBreak/>
        <w:t>Q</w:t>
      </w:r>
      <w:r w:rsidR="008E5EF4" w:rsidRPr="002C0B4F">
        <w:rPr>
          <w:rFonts w:ascii="Aptos" w:hAnsi="Aptos" w:cs="Tahoma"/>
          <w:b/>
          <w:bCs/>
        </w:rPr>
        <w:t>31</w:t>
      </w:r>
      <w:r w:rsidRPr="002C0B4F">
        <w:rPr>
          <w:rFonts w:ascii="Aptos" w:hAnsi="Aptos" w:cs="Tahoma"/>
          <w:b/>
          <w:bCs/>
        </w:rPr>
        <w:t>:</w:t>
      </w:r>
      <w:r w:rsidRPr="002C0B4F">
        <w:rPr>
          <w:rFonts w:ascii="Aptos" w:hAnsi="Aptos" w:cs="Tahoma"/>
          <w:b/>
          <w:bCs/>
        </w:rPr>
        <w:tab/>
        <w:t>Are there any conflict-of-interest (COI) concerns with Firms currently engaged with either code improvement, compliance, or evaluation activities in the state</w:t>
      </w:r>
      <w:r w:rsidR="00821FC7" w:rsidRPr="002C0B4F">
        <w:rPr>
          <w:rFonts w:ascii="Aptos" w:hAnsi="Aptos" w:cs="Tahoma"/>
          <w:b/>
          <w:bCs/>
        </w:rPr>
        <w:t xml:space="preserve"> of California</w:t>
      </w:r>
      <w:r w:rsidRPr="002C0B4F">
        <w:rPr>
          <w:rFonts w:ascii="Aptos" w:hAnsi="Aptos" w:cs="Tahoma"/>
          <w:b/>
          <w:bCs/>
        </w:rPr>
        <w:t xml:space="preserve">? </w:t>
      </w:r>
    </w:p>
    <w:p w14:paraId="0FA83D4B" w14:textId="44D17A08" w:rsidR="00D37AFA" w:rsidRPr="002C0B4F" w:rsidRDefault="00DF2829" w:rsidP="004F0931">
      <w:pPr>
        <w:spacing w:before="120" w:after="120" w:line="259" w:lineRule="auto"/>
        <w:ind w:left="720" w:hanging="720"/>
        <w:rPr>
          <w:rFonts w:ascii="Aptos" w:hAnsi="Aptos" w:cs="Tahoma"/>
        </w:rPr>
      </w:pPr>
      <w:r w:rsidRPr="002C0B4F">
        <w:rPr>
          <w:rFonts w:ascii="Aptos" w:hAnsi="Aptos" w:cs="Tahoma"/>
        </w:rPr>
        <w:t>A31:</w:t>
      </w:r>
      <w:r w:rsidRPr="002C0B4F">
        <w:rPr>
          <w:rFonts w:ascii="Aptos" w:hAnsi="Aptos" w:cs="Tahoma"/>
        </w:rPr>
        <w:tab/>
      </w:r>
      <w:r w:rsidR="00370E40" w:rsidRPr="002C0B4F">
        <w:rPr>
          <w:rFonts w:ascii="Aptos" w:hAnsi="Aptos" w:cs="Tahoma"/>
        </w:rPr>
        <w:t xml:space="preserve">The CEC is open to having members on the winning </w:t>
      </w:r>
      <w:r w:rsidR="00E85060" w:rsidRPr="002C0B4F">
        <w:rPr>
          <w:rFonts w:ascii="Aptos" w:hAnsi="Aptos" w:cs="Tahoma"/>
        </w:rPr>
        <w:t xml:space="preserve">project </w:t>
      </w:r>
      <w:r w:rsidR="00370E40" w:rsidRPr="002C0B4F">
        <w:rPr>
          <w:rFonts w:ascii="Aptos" w:hAnsi="Aptos" w:cs="Tahoma"/>
        </w:rPr>
        <w:t xml:space="preserve">team who are also </w:t>
      </w:r>
      <w:r w:rsidR="00A22DE0" w:rsidRPr="002C0B4F">
        <w:rPr>
          <w:rFonts w:ascii="Aptos" w:hAnsi="Aptos" w:cs="Tahoma"/>
        </w:rPr>
        <w:t>currently engaged with either code improvement, compliance, or evaluation activities in the state</w:t>
      </w:r>
      <w:r w:rsidR="00821FC7" w:rsidRPr="002C0B4F">
        <w:rPr>
          <w:rFonts w:ascii="Aptos" w:hAnsi="Aptos" w:cs="Tahoma"/>
        </w:rPr>
        <w:t xml:space="preserve"> of California</w:t>
      </w:r>
      <w:r w:rsidR="00A22DE0" w:rsidRPr="002C0B4F">
        <w:rPr>
          <w:rFonts w:ascii="Aptos" w:hAnsi="Aptos" w:cs="Tahoma"/>
        </w:rPr>
        <w:t>.</w:t>
      </w:r>
      <w:r w:rsidR="00370E40" w:rsidRPr="002C0B4F">
        <w:rPr>
          <w:rFonts w:ascii="Aptos" w:hAnsi="Aptos" w:cs="Tahoma"/>
        </w:rPr>
        <w:t xml:space="preserve"> Whether those activities pose a COI as detailed in Exhibit E of </w:t>
      </w:r>
      <w:r w:rsidR="004424B7" w:rsidRPr="002C0B4F">
        <w:rPr>
          <w:rFonts w:ascii="Aptos" w:hAnsi="Aptos" w:cs="Tahoma"/>
        </w:rPr>
        <w:t xml:space="preserve">Attachment 6, Standard Agreement Example </w:t>
      </w:r>
      <w:r w:rsidR="00370E40" w:rsidRPr="002C0B4F">
        <w:rPr>
          <w:rFonts w:ascii="Aptos" w:hAnsi="Aptos" w:cs="Tahoma"/>
        </w:rPr>
        <w:t>would depend on the specific facts of the situation and may necessitate consultation with your legal counsel.</w:t>
      </w:r>
      <w:r w:rsidR="00D37AFA" w:rsidRPr="002C0B4F">
        <w:rPr>
          <w:rFonts w:ascii="Aptos" w:hAnsi="Aptos" w:cs="Tahoma"/>
        </w:rPr>
        <w:t xml:space="preserve"> </w:t>
      </w:r>
    </w:p>
    <w:p w14:paraId="1449811F" w14:textId="022990E4" w:rsidR="00DF2829" w:rsidRPr="002C0B4F" w:rsidRDefault="00D37AFA" w:rsidP="004F0931">
      <w:pPr>
        <w:spacing w:before="120" w:after="120" w:line="259" w:lineRule="auto"/>
        <w:ind w:left="720"/>
        <w:rPr>
          <w:rFonts w:ascii="Aptos" w:hAnsi="Aptos" w:cs="Tahoma"/>
        </w:rPr>
      </w:pPr>
      <w:r w:rsidRPr="002C0B4F">
        <w:rPr>
          <w:rFonts w:ascii="Aptos" w:hAnsi="Aptos" w:cs="Tahoma"/>
        </w:rPr>
        <w:t xml:space="preserve">Attachment 6, Standard Agreement Example is available on the </w:t>
      </w:r>
      <w:hyperlink r:id="rId37" w:history="1">
        <w:r w:rsidRPr="002C0B4F">
          <w:rPr>
            <w:rStyle w:val="Hyperlink"/>
            <w:rFonts w:ascii="Aptos" w:hAnsi="Aptos" w:cs="Tahoma"/>
          </w:rPr>
          <w:t>RFQ-25-401 solicitation webpage</w:t>
        </w:r>
      </w:hyperlink>
      <w:r w:rsidRPr="002C0B4F">
        <w:rPr>
          <w:rFonts w:ascii="Aptos" w:hAnsi="Aptos" w:cs="Tahoma"/>
        </w:rPr>
        <w:t xml:space="preserve"> (https://www.energy.ca.gov/solicitations/2026-05/rfq-25-401-energy-code-compliance-evaluation-support)</w:t>
      </w:r>
    </w:p>
    <w:p w14:paraId="4F8D204B" w14:textId="400C7EDE" w:rsidR="00BB1AB5" w:rsidRPr="002C0B4F" w:rsidRDefault="00DF2829" w:rsidP="004F0931">
      <w:pPr>
        <w:spacing w:before="120" w:after="120" w:line="259" w:lineRule="auto"/>
        <w:ind w:left="720" w:hanging="720"/>
        <w:rPr>
          <w:rFonts w:ascii="Aptos" w:hAnsi="Aptos" w:cs="Tahoma"/>
          <w:b/>
          <w:bCs/>
        </w:rPr>
      </w:pPr>
      <w:r w:rsidRPr="002C0B4F">
        <w:rPr>
          <w:rFonts w:ascii="Aptos" w:hAnsi="Aptos" w:cs="Tahoma"/>
          <w:b/>
          <w:bCs/>
        </w:rPr>
        <w:t>Q32:</w:t>
      </w:r>
      <w:r w:rsidRPr="002C0B4F">
        <w:rPr>
          <w:rFonts w:ascii="Aptos" w:hAnsi="Aptos" w:cs="Tahoma"/>
          <w:b/>
          <w:bCs/>
        </w:rPr>
        <w:tab/>
      </w:r>
      <w:r w:rsidR="00BB1AB5" w:rsidRPr="002C0B4F">
        <w:rPr>
          <w:rFonts w:ascii="Aptos" w:hAnsi="Aptos" w:cs="Tahoma"/>
          <w:b/>
          <w:bCs/>
        </w:rPr>
        <w:t>Are there any COI concerns for Firms currently working with the CEC on code improvement efforts?</w:t>
      </w:r>
    </w:p>
    <w:p w14:paraId="741CC252" w14:textId="3AAE1240" w:rsidR="00BB1AB5" w:rsidRPr="002C0B4F" w:rsidRDefault="00BB1AB5" w:rsidP="004F0931">
      <w:pPr>
        <w:spacing w:before="120" w:after="120" w:line="259" w:lineRule="auto"/>
        <w:ind w:left="720" w:hanging="720"/>
        <w:rPr>
          <w:rFonts w:ascii="Aptos" w:hAnsi="Aptos" w:cs="Tahoma"/>
        </w:rPr>
      </w:pPr>
      <w:r w:rsidRPr="002C0B4F">
        <w:rPr>
          <w:rFonts w:ascii="Aptos" w:hAnsi="Aptos" w:cs="Tahoma"/>
        </w:rPr>
        <w:t>A</w:t>
      </w:r>
      <w:r w:rsidR="008E5EF4" w:rsidRPr="002C0B4F">
        <w:rPr>
          <w:rFonts w:ascii="Aptos" w:hAnsi="Aptos" w:cs="Tahoma"/>
        </w:rPr>
        <w:t>3</w:t>
      </w:r>
      <w:r w:rsidR="00DF2829" w:rsidRPr="002C0B4F">
        <w:rPr>
          <w:rFonts w:ascii="Aptos" w:hAnsi="Aptos" w:cs="Tahoma"/>
        </w:rPr>
        <w:t>2</w:t>
      </w:r>
      <w:r w:rsidRPr="002C0B4F">
        <w:rPr>
          <w:rFonts w:ascii="Aptos" w:hAnsi="Aptos" w:cs="Tahoma"/>
        </w:rPr>
        <w:t>:</w:t>
      </w:r>
      <w:r w:rsidRPr="002C0B4F">
        <w:rPr>
          <w:rFonts w:ascii="Aptos" w:hAnsi="Aptos" w:cs="Tahoma"/>
        </w:rPr>
        <w:tab/>
      </w:r>
      <w:r w:rsidR="00E57FA8" w:rsidRPr="002C0B4F">
        <w:rPr>
          <w:rFonts w:ascii="Aptos" w:hAnsi="Aptos" w:cs="Tahoma"/>
        </w:rPr>
        <w:t>The CEC is open to having members on the winning</w:t>
      </w:r>
      <w:r w:rsidR="007B098A" w:rsidRPr="002C0B4F">
        <w:rPr>
          <w:rFonts w:ascii="Aptos" w:hAnsi="Aptos" w:cs="Tahoma"/>
        </w:rPr>
        <w:t xml:space="preserve"> project</w:t>
      </w:r>
      <w:r w:rsidR="00E57FA8" w:rsidRPr="002C0B4F">
        <w:rPr>
          <w:rFonts w:ascii="Aptos" w:hAnsi="Aptos" w:cs="Tahoma"/>
        </w:rPr>
        <w:t xml:space="preserve"> team </w:t>
      </w:r>
      <w:r w:rsidR="00370E40" w:rsidRPr="002C0B4F">
        <w:rPr>
          <w:rFonts w:ascii="Aptos" w:hAnsi="Aptos" w:cs="Tahoma"/>
        </w:rPr>
        <w:t>who</w:t>
      </w:r>
      <w:r w:rsidR="00E57FA8" w:rsidRPr="002C0B4F">
        <w:rPr>
          <w:rFonts w:ascii="Aptos" w:hAnsi="Aptos" w:cs="Tahoma"/>
        </w:rPr>
        <w:t xml:space="preserve"> are also working with the CEC on code improvement efforts. Whether those </w:t>
      </w:r>
      <w:r w:rsidR="00370E40" w:rsidRPr="002C0B4F">
        <w:rPr>
          <w:rFonts w:ascii="Aptos" w:hAnsi="Aptos" w:cs="Tahoma"/>
        </w:rPr>
        <w:t>activities</w:t>
      </w:r>
      <w:r w:rsidR="00E57FA8" w:rsidRPr="002C0B4F">
        <w:rPr>
          <w:rFonts w:ascii="Aptos" w:hAnsi="Aptos" w:cs="Tahoma"/>
        </w:rPr>
        <w:t xml:space="preserve"> pos</w:t>
      </w:r>
      <w:r w:rsidR="00370E40" w:rsidRPr="002C0B4F">
        <w:rPr>
          <w:rFonts w:ascii="Aptos" w:hAnsi="Aptos" w:cs="Tahoma"/>
        </w:rPr>
        <w:t>e</w:t>
      </w:r>
      <w:r w:rsidR="00E57FA8" w:rsidRPr="002C0B4F">
        <w:rPr>
          <w:rFonts w:ascii="Aptos" w:hAnsi="Aptos" w:cs="Tahoma"/>
        </w:rPr>
        <w:t xml:space="preserve"> a COI as detailed in Exhibit E of Attachment 6, Standard Agreement Example, would depend on the specific facts of the situation and may necessitate consultation with your legal counsel.</w:t>
      </w:r>
    </w:p>
    <w:p w14:paraId="48E84A90" w14:textId="65BF12EE" w:rsidR="00690F36" w:rsidRPr="002C0B4F" w:rsidRDefault="00690F36" w:rsidP="004F0931">
      <w:pPr>
        <w:spacing w:before="120" w:after="120" w:line="259" w:lineRule="auto"/>
        <w:ind w:left="720"/>
        <w:rPr>
          <w:rFonts w:ascii="Aptos" w:hAnsi="Aptos" w:cs="Tahoma"/>
        </w:rPr>
      </w:pPr>
      <w:r w:rsidRPr="002C0B4F">
        <w:rPr>
          <w:rFonts w:ascii="Aptos" w:hAnsi="Aptos" w:cs="Tahoma"/>
        </w:rPr>
        <w:t xml:space="preserve">Attachment 6, Standard Agreement Example is available on the </w:t>
      </w:r>
      <w:hyperlink r:id="rId38" w:history="1">
        <w:r w:rsidRPr="002C0B4F">
          <w:rPr>
            <w:rStyle w:val="Hyperlink"/>
            <w:rFonts w:ascii="Aptos" w:hAnsi="Aptos" w:cs="Tahoma"/>
          </w:rPr>
          <w:t>RFQ-25-401 solicitation webpage</w:t>
        </w:r>
      </w:hyperlink>
      <w:r w:rsidRPr="002C0B4F">
        <w:rPr>
          <w:rFonts w:ascii="Aptos" w:hAnsi="Aptos" w:cs="Tahoma"/>
        </w:rPr>
        <w:t xml:space="preserve"> (https://www.energy.ca.gov/solicitations/2026-05/rfq-25-401-energy-code-compliance-evaluation-support)</w:t>
      </w:r>
    </w:p>
    <w:p w14:paraId="3DA5CE8D" w14:textId="523B8224" w:rsidR="00E46E2B" w:rsidRPr="002C0B4F" w:rsidRDefault="00E46E2B" w:rsidP="004F0931">
      <w:pPr>
        <w:spacing w:before="120" w:after="120" w:line="259" w:lineRule="auto"/>
        <w:ind w:left="720" w:hanging="720"/>
        <w:rPr>
          <w:rFonts w:ascii="Aptos" w:hAnsi="Aptos" w:cs="Tahoma"/>
          <w:b/>
          <w:bCs/>
        </w:rPr>
      </w:pPr>
      <w:r w:rsidRPr="002C0B4F">
        <w:rPr>
          <w:rFonts w:ascii="Aptos" w:hAnsi="Aptos" w:cs="Tahoma"/>
          <w:b/>
          <w:bCs/>
        </w:rPr>
        <w:t>Q</w:t>
      </w:r>
      <w:r w:rsidR="008E5EF4" w:rsidRPr="002C0B4F">
        <w:rPr>
          <w:rFonts w:ascii="Aptos" w:hAnsi="Aptos" w:cs="Tahoma"/>
          <w:b/>
          <w:bCs/>
        </w:rPr>
        <w:t>3</w:t>
      </w:r>
      <w:r w:rsidR="00DF2829" w:rsidRPr="002C0B4F">
        <w:rPr>
          <w:rFonts w:ascii="Aptos" w:hAnsi="Aptos" w:cs="Tahoma"/>
          <w:b/>
          <w:bCs/>
        </w:rPr>
        <w:t>3</w:t>
      </w:r>
      <w:r w:rsidRPr="002C0B4F">
        <w:rPr>
          <w:rFonts w:ascii="Aptos" w:hAnsi="Aptos" w:cs="Tahoma"/>
          <w:b/>
          <w:bCs/>
        </w:rPr>
        <w:t>:</w:t>
      </w:r>
      <w:r w:rsidRPr="002C0B4F">
        <w:rPr>
          <w:rFonts w:ascii="Aptos" w:hAnsi="Aptos" w:cs="Tahoma"/>
          <w:b/>
          <w:bCs/>
        </w:rPr>
        <w:tab/>
        <w:t xml:space="preserve">Are Firms who work on </w:t>
      </w:r>
      <w:r w:rsidR="00DF2829" w:rsidRPr="002C0B4F">
        <w:rPr>
          <w:rFonts w:ascii="Aptos" w:hAnsi="Aptos" w:cs="Tahoma"/>
          <w:b/>
          <w:bCs/>
        </w:rPr>
        <w:t>investor-owned</w:t>
      </w:r>
      <w:r w:rsidRPr="002C0B4F">
        <w:rPr>
          <w:rFonts w:ascii="Aptos" w:hAnsi="Aptos" w:cs="Tahoma"/>
          <w:b/>
          <w:bCs/>
        </w:rPr>
        <w:t xml:space="preserve"> utility (IOU) codes and standards enhancement programs, or code compliance improvement programs in the state of California precluded from bidding on this RFQ?</w:t>
      </w:r>
    </w:p>
    <w:p w14:paraId="1CF1C9DF" w14:textId="119D57A3" w:rsidR="00E46E2B" w:rsidRPr="002C0B4F" w:rsidRDefault="00E46E2B" w:rsidP="004F0931">
      <w:pPr>
        <w:spacing w:before="120" w:after="120" w:line="259" w:lineRule="auto"/>
        <w:ind w:left="720" w:hanging="720"/>
        <w:rPr>
          <w:rFonts w:ascii="Aptos" w:hAnsi="Aptos" w:cs="Tahoma"/>
        </w:rPr>
      </w:pPr>
      <w:r w:rsidRPr="002C0B4F">
        <w:rPr>
          <w:rFonts w:ascii="Aptos" w:hAnsi="Aptos" w:cs="Tahoma"/>
        </w:rPr>
        <w:t>A</w:t>
      </w:r>
      <w:r w:rsidR="008E5EF4" w:rsidRPr="002C0B4F">
        <w:rPr>
          <w:rFonts w:ascii="Aptos" w:hAnsi="Aptos" w:cs="Tahoma"/>
        </w:rPr>
        <w:t>3</w:t>
      </w:r>
      <w:r w:rsidR="00DF2829" w:rsidRPr="002C0B4F">
        <w:rPr>
          <w:rFonts w:ascii="Aptos" w:hAnsi="Aptos" w:cs="Tahoma"/>
        </w:rPr>
        <w:t>3</w:t>
      </w:r>
      <w:r w:rsidRPr="002C0B4F">
        <w:rPr>
          <w:rFonts w:ascii="Aptos" w:hAnsi="Aptos" w:cs="Tahoma"/>
        </w:rPr>
        <w:t>:</w:t>
      </w:r>
      <w:r w:rsidRPr="002C0B4F">
        <w:rPr>
          <w:rFonts w:ascii="Aptos" w:hAnsi="Aptos" w:cs="Tahoma"/>
        </w:rPr>
        <w:tab/>
      </w:r>
      <w:r w:rsidR="00476A37" w:rsidRPr="002C0B4F">
        <w:rPr>
          <w:rFonts w:ascii="Aptos" w:hAnsi="Aptos" w:cs="Tahoma"/>
        </w:rPr>
        <w:t xml:space="preserve">No, Firms </w:t>
      </w:r>
      <w:r w:rsidR="00C42F8A" w:rsidRPr="002C0B4F">
        <w:rPr>
          <w:rFonts w:ascii="Aptos" w:hAnsi="Aptos" w:cs="Tahoma"/>
        </w:rPr>
        <w:t>who work on IOU codes and standards enhancement programs, or code compliance improvement programs</w:t>
      </w:r>
      <w:r w:rsidR="00821FC7" w:rsidRPr="002C0B4F">
        <w:rPr>
          <w:rFonts w:ascii="Aptos" w:hAnsi="Aptos" w:cs="Tahoma"/>
        </w:rPr>
        <w:t xml:space="preserve"> in the state of California</w:t>
      </w:r>
      <w:r w:rsidR="00C42F8A" w:rsidRPr="002C0B4F">
        <w:rPr>
          <w:rFonts w:ascii="Aptos" w:hAnsi="Aptos" w:cs="Tahoma"/>
        </w:rPr>
        <w:t xml:space="preserve"> are not precluded from bidding on this RFQ. </w:t>
      </w:r>
      <w:r w:rsidR="00476A37" w:rsidRPr="002C0B4F">
        <w:rPr>
          <w:rFonts w:ascii="Aptos" w:hAnsi="Aptos" w:cs="Tahoma"/>
        </w:rPr>
        <w:t xml:space="preserve">The CEC is open to having members on the </w:t>
      </w:r>
      <w:r w:rsidR="00D10684" w:rsidRPr="002C0B4F">
        <w:rPr>
          <w:rFonts w:ascii="Aptos" w:hAnsi="Aptos" w:cs="Tahoma"/>
        </w:rPr>
        <w:t>winning project</w:t>
      </w:r>
      <w:r w:rsidR="00153A08" w:rsidRPr="002C0B4F">
        <w:rPr>
          <w:rFonts w:ascii="Aptos" w:hAnsi="Aptos" w:cs="Tahoma"/>
        </w:rPr>
        <w:t xml:space="preserve"> </w:t>
      </w:r>
      <w:r w:rsidR="00476A37" w:rsidRPr="002C0B4F">
        <w:rPr>
          <w:rFonts w:ascii="Aptos" w:hAnsi="Aptos" w:cs="Tahoma"/>
        </w:rPr>
        <w:t xml:space="preserve">team </w:t>
      </w:r>
      <w:r w:rsidR="00370E40" w:rsidRPr="002C0B4F">
        <w:rPr>
          <w:rFonts w:ascii="Aptos" w:hAnsi="Aptos" w:cs="Tahoma"/>
        </w:rPr>
        <w:t>who</w:t>
      </w:r>
      <w:r w:rsidR="00C42F8A" w:rsidRPr="002C0B4F">
        <w:rPr>
          <w:rFonts w:ascii="Aptos" w:hAnsi="Aptos" w:cs="Tahoma"/>
        </w:rPr>
        <w:t xml:space="preserve"> </w:t>
      </w:r>
      <w:r w:rsidR="00476A37" w:rsidRPr="002C0B4F">
        <w:rPr>
          <w:rFonts w:ascii="Aptos" w:hAnsi="Aptos" w:cs="Tahoma"/>
        </w:rPr>
        <w:t xml:space="preserve">are also supporting the IOU </w:t>
      </w:r>
      <w:r w:rsidR="005B673C" w:rsidRPr="002C0B4F">
        <w:rPr>
          <w:rFonts w:ascii="Aptos" w:hAnsi="Aptos" w:cs="Tahoma"/>
        </w:rPr>
        <w:t>c</w:t>
      </w:r>
      <w:r w:rsidR="00476A37" w:rsidRPr="002C0B4F">
        <w:rPr>
          <w:rFonts w:ascii="Aptos" w:hAnsi="Aptos" w:cs="Tahoma"/>
        </w:rPr>
        <w:t xml:space="preserve">odes and </w:t>
      </w:r>
      <w:r w:rsidR="005B673C" w:rsidRPr="002C0B4F">
        <w:rPr>
          <w:rFonts w:ascii="Aptos" w:hAnsi="Aptos" w:cs="Tahoma"/>
        </w:rPr>
        <w:t>s</w:t>
      </w:r>
      <w:r w:rsidR="00476A37" w:rsidRPr="002C0B4F">
        <w:rPr>
          <w:rFonts w:ascii="Aptos" w:hAnsi="Aptos" w:cs="Tahoma"/>
        </w:rPr>
        <w:t>tandard</w:t>
      </w:r>
      <w:r w:rsidR="005B673C" w:rsidRPr="002C0B4F">
        <w:rPr>
          <w:rFonts w:ascii="Aptos" w:hAnsi="Aptos" w:cs="Tahoma"/>
        </w:rPr>
        <w:t>s</w:t>
      </w:r>
      <w:r w:rsidR="00476A37" w:rsidRPr="002C0B4F">
        <w:rPr>
          <w:rFonts w:ascii="Aptos" w:hAnsi="Aptos" w:cs="Tahoma"/>
        </w:rPr>
        <w:t xml:space="preserve"> </w:t>
      </w:r>
      <w:r w:rsidR="005B673C" w:rsidRPr="002C0B4F">
        <w:rPr>
          <w:rFonts w:ascii="Aptos" w:hAnsi="Aptos" w:cs="Tahoma"/>
        </w:rPr>
        <w:t xml:space="preserve">enhancement </w:t>
      </w:r>
      <w:r w:rsidR="00476A37" w:rsidRPr="002C0B4F">
        <w:rPr>
          <w:rFonts w:ascii="Aptos" w:hAnsi="Aptos" w:cs="Tahoma"/>
        </w:rPr>
        <w:t>program</w:t>
      </w:r>
      <w:r w:rsidR="00DA30C3" w:rsidRPr="002C0B4F">
        <w:rPr>
          <w:rFonts w:ascii="Aptos" w:hAnsi="Aptos" w:cs="Tahoma"/>
        </w:rPr>
        <w:t>s and code compliance improvement programs</w:t>
      </w:r>
      <w:r w:rsidR="00476A37" w:rsidRPr="002C0B4F">
        <w:rPr>
          <w:rFonts w:ascii="Aptos" w:hAnsi="Aptos" w:cs="Tahoma"/>
        </w:rPr>
        <w:t xml:space="preserve">. Whether potential code and standards work funded by IOUs could </w:t>
      </w:r>
      <w:r w:rsidR="006205FE" w:rsidRPr="002C0B4F">
        <w:rPr>
          <w:rFonts w:ascii="Aptos" w:hAnsi="Aptos" w:cs="Tahoma"/>
        </w:rPr>
        <w:t>pos</w:t>
      </w:r>
      <w:r w:rsidR="00370E40" w:rsidRPr="002C0B4F">
        <w:rPr>
          <w:rFonts w:ascii="Aptos" w:hAnsi="Aptos" w:cs="Tahoma"/>
        </w:rPr>
        <w:t>e</w:t>
      </w:r>
      <w:r w:rsidR="006205FE" w:rsidRPr="002C0B4F">
        <w:rPr>
          <w:rFonts w:ascii="Aptos" w:hAnsi="Aptos" w:cs="Tahoma"/>
        </w:rPr>
        <w:t xml:space="preserve"> a COI as </w:t>
      </w:r>
      <w:r w:rsidR="003C1B61" w:rsidRPr="002C0B4F">
        <w:rPr>
          <w:rFonts w:ascii="Aptos" w:hAnsi="Aptos" w:cs="Tahoma"/>
        </w:rPr>
        <w:t>detailed in Exhibit E of</w:t>
      </w:r>
      <w:r w:rsidR="00C01069" w:rsidRPr="002C0B4F">
        <w:rPr>
          <w:rFonts w:ascii="Aptos" w:hAnsi="Aptos" w:cs="Tahoma"/>
        </w:rPr>
        <w:t xml:space="preserve"> Attachment</w:t>
      </w:r>
      <w:r w:rsidR="003C1B61" w:rsidRPr="002C0B4F">
        <w:rPr>
          <w:rFonts w:ascii="Aptos" w:hAnsi="Aptos" w:cs="Tahoma"/>
        </w:rPr>
        <w:t xml:space="preserve"> 6</w:t>
      </w:r>
      <w:r w:rsidR="00C01069" w:rsidRPr="002C0B4F">
        <w:rPr>
          <w:rFonts w:ascii="Aptos" w:hAnsi="Aptos" w:cs="Tahoma"/>
        </w:rPr>
        <w:t xml:space="preserve">, Standard Agreement Example, </w:t>
      </w:r>
      <w:r w:rsidR="00476A37" w:rsidRPr="002C0B4F">
        <w:rPr>
          <w:rFonts w:ascii="Aptos" w:hAnsi="Aptos" w:cs="Tahoma"/>
        </w:rPr>
        <w:t>would depend on the specific facts of the situation</w:t>
      </w:r>
      <w:r w:rsidR="00C01069" w:rsidRPr="002C0B4F">
        <w:rPr>
          <w:rFonts w:ascii="Aptos" w:hAnsi="Aptos" w:cs="Tahoma"/>
        </w:rPr>
        <w:t xml:space="preserve"> </w:t>
      </w:r>
      <w:r w:rsidR="00476A37" w:rsidRPr="002C0B4F">
        <w:rPr>
          <w:rFonts w:ascii="Aptos" w:hAnsi="Aptos" w:cs="Tahoma"/>
        </w:rPr>
        <w:t xml:space="preserve">and may necessitate consultation with your legal counsel. </w:t>
      </w:r>
    </w:p>
    <w:p w14:paraId="65336BEC" w14:textId="08D83778" w:rsidR="00DA30C3" w:rsidRPr="002C0B4F" w:rsidRDefault="00DA30C3" w:rsidP="004F0931">
      <w:pPr>
        <w:spacing w:before="120" w:after="120" w:line="259" w:lineRule="auto"/>
        <w:ind w:left="720"/>
        <w:rPr>
          <w:rFonts w:ascii="Aptos" w:hAnsi="Aptos" w:cs="Tahoma"/>
        </w:rPr>
      </w:pPr>
      <w:r w:rsidRPr="002C0B4F">
        <w:rPr>
          <w:rFonts w:ascii="Aptos" w:hAnsi="Aptos" w:cs="Tahoma"/>
        </w:rPr>
        <w:t xml:space="preserve">Attachment 6, Standard Agreement Example is available on the </w:t>
      </w:r>
      <w:hyperlink r:id="rId39" w:history="1">
        <w:r w:rsidRPr="002C0B4F">
          <w:rPr>
            <w:rStyle w:val="Hyperlink"/>
            <w:rFonts w:ascii="Aptos" w:hAnsi="Aptos" w:cs="Tahoma"/>
          </w:rPr>
          <w:t>RFQ-25-401 solicitation webpage</w:t>
        </w:r>
      </w:hyperlink>
      <w:r w:rsidRPr="002C0B4F">
        <w:rPr>
          <w:rFonts w:ascii="Aptos" w:hAnsi="Aptos" w:cs="Tahoma"/>
        </w:rPr>
        <w:t xml:space="preserve"> (https://www.energy.ca.gov/solicitations/2026-05/rfq-25-401-energy-code-compliance-evaluation-support</w:t>
      </w:r>
      <w:r w:rsidR="002755B7" w:rsidRPr="002C0B4F">
        <w:rPr>
          <w:rFonts w:ascii="Aptos" w:hAnsi="Aptos" w:cs="Tahoma"/>
        </w:rPr>
        <w:t>).</w:t>
      </w:r>
    </w:p>
    <w:p w14:paraId="26E6DCC2" w14:textId="7607F0AB" w:rsidR="00563F10" w:rsidRPr="00A41F08" w:rsidRDefault="00563F10" w:rsidP="00A41F08">
      <w:pPr>
        <w:pStyle w:val="Heading3"/>
        <w:rPr>
          <w:rFonts w:ascii="Aptos" w:eastAsia="Times New Roman" w:hAnsi="Aptos" w:cs="Tahoma"/>
          <w:b/>
          <w:bCs/>
          <w:color w:val="3C6AA2"/>
        </w:rPr>
      </w:pPr>
      <w:r w:rsidRPr="002C0B4F">
        <w:rPr>
          <w:rFonts w:ascii="Aptos" w:eastAsia="Times New Roman" w:hAnsi="Aptos" w:cs="Tahoma"/>
          <w:b/>
          <w:bCs/>
          <w:color w:val="3C6AA2"/>
        </w:rPr>
        <w:lastRenderedPageBreak/>
        <w:t>SOQ Submission Questions</w:t>
      </w:r>
    </w:p>
    <w:p w14:paraId="2DF4D5F3" w14:textId="2CEE4621" w:rsidR="00CB05F1" w:rsidRPr="002C0B4F" w:rsidRDefault="00CB05F1" w:rsidP="004F0931">
      <w:pPr>
        <w:spacing w:before="120" w:after="120" w:line="259" w:lineRule="auto"/>
        <w:rPr>
          <w:rFonts w:ascii="Aptos" w:hAnsi="Aptos" w:cs="Tahoma"/>
        </w:rPr>
      </w:pPr>
      <w:r w:rsidRPr="002C0B4F">
        <w:rPr>
          <w:rFonts w:ascii="Aptos" w:hAnsi="Aptos" w:cs="Tahoma"/>
          <w:b/>
          <w:bCs/>
        </w:rPr>
        <w:t>Q</w:t>
      </w:r>
      <w:r w:rsidR="00D96970" w:rsidRPr="002C0B4F">
        <w:rPr>
          <w:rFonts w:ascii="Aptos" w:hAnsi="Aptos" w:cs="Tahoma"/>
          <w:b/>
          <w:bCs/>
        </w:rPr>
        <w:t>34</w:t>
      </w:r>
      <w:r w:rsidR="00DD21E2" w:rsidRPr="002C0B4F">
        <w:rPr>
          <w:rFonts w:ascii="Aptos" w:hAnsi="Aptos" w:cs="Tahoma"/>
          <w:b/>
          <w:bCs/>
        </w:rPr>
        <w:t>:</w:t>
      </w:r>
      <w:r w:rsidR="00DD21E2" w:rsidRPr="002C0B4F">
        <w:rPr>
          <w:rFonts w:ascii="Aptos" w:hAnsi="Aptos" w:cs="Tahoma"/>
          <w:b/>
          <w:bCs/>
        </w:rPr>
        <w:tab/>
      </w:r>
      <w:r w:rsidRPr="002C0B4F">
        <w:rPr>
          <w:rFonts w:ascii="Aptos" w:hAnsi="Aptos" w:cs="Tahoma"/>
          <w:b/>
          <w:bCs/>
        </w:rPr>
        <w:t xml:space="preserve">Can proposals be submitted via email? </w:t>
      </w:r>
    </w:p>
    <w:p w14:paraId="47C67974" w14:textId="17FBE869" w:rsidR="00E52086" w:rsidRPr="002C0B4F" w:rsidRDefault="00CB05F1" w:rsidP="004F0931">
      <w:pPr>
        <w:spacing w:before="120" w:after="120" w:line="259" w:lineRule="auto"/>
        <w:ind w:left="720" w:hanging="720"/>
        <w:rPr>
          <w:rFonts w:ascii="Aptos" w:hAnsi="Aptos" w:cs="Tahoma"/>
        </w:rPr>
      </w:pPr>
      <w:r w:rsidRPr="002C0B4F">
        <w:rPr>
          <w:rFonts w:ascii="Aptos" w:hAnsi="Aptos" w:cs="Tahoma"/>
        </w:rPr>
        <w:t>A</w:t>
      </w:r>
      <w:r w:rsidR="00D96970" w:rsidRPr="002C0B4F">
        <w:rPr>
          <w:rFonts w:ascii="Aptos" w:hAnsi="Aptos" w:cs="Tahoma"/>
        </w:rPr>
        <w:t>34</w:t>
      </w:r>
      <w:r w:rsidRPr="002C0B4F">
        <w:rPr>
          <w:rFonts w:ascii="Aptos" w:hAnsi="Aptos" w:cs="Tahoma"/>
        </w:rPr>
        <w:t>:</w:t>
      </w:r>
      <w:r w:rsidR="00333FE4" w:rsidRPr="002C0B4F">
        <w:rPr>
          <w:rFonts w:ascii="Aptos" w:hAnsi="Aptos" w:cs="Tahoma"/>
        </w:rPr>
        <w:tab/>
      </w:r>
      <w:r w:rsidR="002D1BE4" w:rsidRPr="002C0B4F">
        <w:rPr>
          <w:rFonts w:ascii="Aptos" w:hAnsi="Aptos" w:cs="Tahoma"/>
        </w:rPr>
        <w:t xml:space="preserve">No, </w:t>
      </w:r>
      <w:r w:rsidRPr="002C0B4F">
        <w:rPr>
          <w:rFonts w:ascii="Aptos" w:hAnsi="Aptos" w:cs="Tahoma"/>
        </w:rPr>
        <w:t xml:space="preserve">hard copies or submissions via email or fax will not be accepted for this solicitation. Responses shall be in the form of </w:t>
      </w:r>
      <w:r w:rsidR="00D36B86" w:rsidRPr="002C0B4F">
        <w:rPr>
          <w:rFonts w:ascii="Aptos" w:hAnsi="Aptos" w:cs="Tahoma"/>
        </w:rPr>
        <w:t>an SOQ</w:t>
      </w:r>
      <w:r w:rsidRPr="002C0B4F">
        <w:rPr>
          <w:rFonts w:ascii="Aptos" w:hAnsi="Aptos" w:cs="Tahoma"/>
        </w:rPr>
        <w:t>. The method of delivery for SOQs</w:t>
      </w:r>
      <w:r w:rsidR="00D36B86" w:rsidRPr="002C0B4F">
        <w:rPr>
          <w:rFonts w:ascii="Aptos" w:hAnsi="Aptos" w:cs="Tahoma"/>
        </w:rPr>
        <w:t xml:space="preserve"> is the </w:t>
      </w:r>
      <w:hyperlink r:id="rId40" w:history="1">
        <w:r w:rsidR="00D36B86" w:rsidRPr="002C0B4F">
          <w:rPr>
            <w:rStyle w:val="Hyperlink"/>
            <w:rFonts w:ascii="Aptos" w:hAnsi="Aptos" w:cs="Tahoma"/>
          </w:rPr>
          <w:t>CEC’s Grant Solicitation System (GSS)</w:t>
        </w:r>
      </w:hyperlink>
      <w:r w:rsidR="00D36B86" w:rsidRPr="002C0B4F">
        <w:rPr>
          <w:rFonts w:ascii="Aptos" w:hAnsi="Aptos" w:cs="Tahoma"/>
        </w:rPr>
        <w:t xml:space="preserve">, </w:t>
      </w:r>
      <w:r w:rsidR="003F72E1" w:rsidRPr="002C0B4F">
        <w:rPr>
          <w:rFonts w:ascii="Aptos" w:hAnsi="Aptos" w:cs="Tahoma"/>
        </w:rPr>
        <w:t xml:space="preserve">which is </w:t>
      </w:r>
      <w:r w:rsidR="00D36B86" w:rsidRPr="002C0B4F">
        <w:rPr>
          <w:rFonts w:ascii="Aptos" w:hAnsi="Aptos" w:cs="Tahoma"/>
        </w:rPr>
        <w:t>located at (</w:t>
      </w:r>
      <w:r w:rsidR="00D9342A" w:rsidRPr="002C0B4F">
        <w:rPr>
          <w:rFonts w:ascii="Aptos" w:hAnsi="Aptos" w:cs="Tahoma"/>
        </w:rPr>
        <w:t>https://gss.energy.ca.gov/</w:t>
      </w:r>
      <w:r w:rsidR="00D36B86" w:rsidRPr="002C0B4F">
        <w:rPr>
          <w:rFonts w:ascii="Aptos" w:hAnsi="Aptos" w:cs="Tahoma"/>
        </w:rPr>
        <w:t>).</w:t>
      </w:r>
      <w:r w:rsidR="00D9342A" w:rsidRPr="002C0B4F">
        <w:rPr>
          <w:rFonts w:ascii="Aptos" w:hAnsi="Aptos" w:cs="Tahoma"/>
        </w:rPr>
        <w:t xml:space="preserve"> For instructions on how to apply using the GSS system, please see the "</w:t>
      </w:r>
      <w:hyperlink r:id="rId41" w:history="1">
        <w:r w:rsidR="003F72E1" w:rsidRPr="002C0B4F">
          <w:rPr>
            <w:rStyle w:val="Hyperlink"/>
            <w:rFonts w:ascii="Aptos" w:hAnsi="Aptos" w:cs="Tahoma"/>
          </w:rPr>
          <w:t>GSS How to Apply</w:t>
        </w:r>
      </w:hyperlink>
      <w:r w:rsidR="00D9342A" w:rsidRPr="002C0B4F">
        <w:rPr>
          <w:rFonts w:ascii="Aptos" w:hAnsi="Aptos" w:cs="Tahoma"/>
        </w:rPr>
        <w:t>" document available on the CEC web</w:t>
      </w:r>
      <w:r w:rsidR="00E73FC4" w:rsidRPr="002C0B4F">
        <w:rPr>
          <w:rFonts w:ascii="Aptos" w:hAnsi="Aptos" w:cs="Tahoma"/>
        </w:rPr>
        <w:t>page</w:t>
      </w:r>
      <w:r w:rsidR="00D9342A" w:rsidRPr="002C0B4F">
        <w:rPr>
          <w:rFonts w:ascii="Aptos" w:hAnsi="Aptos" w:cs="Tahoma"/>
        </w:rPr>
        <w:t xml:space="preserve"> at (https://www.energy.ca.gov/media/1654). First time users must register as a new user to access the system.</w:t>
      </w:r>
    </w:p>
    <w:p w14:paraId="5BE52690" w14:textId="3A38F97F" w:rsidR="00B568B5" w:rsidRPr="002C0B4F" w:rsidRDefault="00B568B5" w:rsidP="004F0931">
      <w:pPr>
        <w:spacing w:before="120" w:after="120" w:line="259" w:lineRule="auto"/>
        <w:ind w:left="720" w:hanging="720"/>
        <w:rPr>
          <w:rFonts w:ascii="Aptos" w:hAnsi="Aptos" w:cs="Tahoma"/>
        </w:rPr>
      </w:pPr>
      <w:r w:rsidRPr="002C0B4F">
        <w:rPr>
          <w:rFonts w:ascii="Aptos" w:hAnsi="Aptos" w:cs="Tahoma"/>
          <w:b/>
          <w:bCs/>
        </w:rPr>
        <w:t>Q</w:t>
      </w:r>
      <w:r w:rsidR="00D96970" w:rsidRPr="002C0B4F">
        <w:rPr>
          <w:rFonts w:ascii="Aptos" w:hAnsi="Aptos" w:cs="Tahoma"/>
          <w:b/>
          <w:bCs/>
        </w:rPr>
        <w:t>35</w:t>
      </w:r>
      <w:r w:rsidRPr="002C0B4F">
        <w:rPr>
          <w:rFonts w:ascii="Aptos" w:hAnsi="Aptos" w:cs="Tahoma"/>
          <w:b/>
          <w:bCs/>
        </w:rPr>
        <w:t>:</w:t>
      </w:r>
      <w:r w:rsidR="00DD21E2" w:rsidRPr="002C0B4F">
        <w:rPr>
          <w:rFonts w:ascii="Aptos" w:hAnsi="Aptos" w:cs="Tahoma"/>
          <w:b/>
          <w:bCs/>
        </w:rPr>
        <w:tab/>
      </w:r>
      <w:r w:rsidRPr="002C0B4F">
        <w:rPr>
          <w:rFonts w:ascii="Aptos" w:hAnsi="Aptos" w:cs="Tahoma"/>
          <w:b/>
          <w:bCs/>
        </w:rPr>
        <w:t xml:space="preserve">Can the final submission be one combined PDF? </w:t>
      </w:r>
    </w:p>
    <w:p w14:paraId="31681F79" w14:textId="59C52079" w:rsidR="00B568B5" w:rsidRPr="002C0B4F" w:rsidRDefault="00B568B5" w:rsidP="004F0931">
      <w:pPr>
        <w:spacing w:before="120" w:after="120" w:line="259" w:lineRule="auto"/>
        <w:ind w:left="720" w:hanging="720"/>
        <w:rPr>
          <w:rFonts w:ascii="Aptos" w:hAnsi="Aptos" w:cs="Tahoma"/>
        </w:rPr>
      </w:pPr>
      <w:r w:rsidRPr="002C0B4F">
        <w:rPr>
          <w:rFonts w:ascii="Aptos" w:hAnsi="Aptos" w:cs="Tahoma"/>
        </w:rPr>
        <w:t>A</w:t>
      </w:r>
      <w:r w:rsidR="00D96970" w:rsidRPr="002C0B4F">
        <w:rPr>
          <w:rFonts w:ascii="Aptos" w:hAnsi="Aptos" w:cs="Tahoma"/>
        </w:rPr>
        <w:t>35</w:t>
      </w:r>
      <w:r w:rsidRPr="002C0B4F">
        <w:rPr>
          <w:rFonts w:ascii="Aptos" w:hAnsi="Aptos" w:cs="Tahoma"/>
        </w:rPr>
        <w:t>:</w:t>
      </w:r>
      <w:r w:rsidR="00DD21E2" w:rsidRPr="002C0B4F">
        <w:rPr>
          <w:rFonts w:ascii="Aptos" w:hAnsi="Aptos" w:cs="Tahoma"/>
        </w:rPr>
        <w:tab/>
      </w:r>
      <w:r w:rsidR="00EE284E" w:rsidRPr="002C0B4F">
        <w:rPr>
          <w:rFonts w:ascii="Aptos" w:hAnsi="Aptos" w:cs="Tahoma"/>
        </w:rPr>
        <w:t xml:space="preserve">No. </w:t>
      </w:r>
      <w:r w:rsidR="006A54CA" w:rsidRPr="002C0B4F">
        <w:rPr>
          <w:rFonts w:ascii="Aptos" w:hAnsi="Aptos" w:cs="Tahoma"/>
        </w:rPr>
        <w:t>To avoid file size limitations, please submit each document as a separate file and do not combine multiple documents</w:t>
      </w:r>
      <w:r w:rsidR="00EE284E" w:rsidRPr="002C0B4F">
        <w:rPr>
          <w:rFonts w:ascii="Aptos" w:hAnsi="Aptos" w:cs="Tahoma"/>
        </w:rPr>
        <w:t xml:space="preserve"> into one.</w:t>
      </w:r>
      <w:r w:rsidR="006A54CA" w:rsidRPr="002C0B4F">
        <w:rPr>
          <w:rFonts w:ascii="Aptos" w:hAnsi="Aptos" w:cs="Tahoma"/>
        </w:rPr>
        <w:t xml:space="preserve"> Electronic files must be in MS Word and Excel Office Suite formats unless originally provided in the solicitation in another format. Attachments requiring signatures may be scanned and submitted in PDF format. The system will not allow electronic documents to be submitted after the SOQ due date and time. </w:t>
      </w:r>
      <w:r w:rsidR="005277EE" w:rsidRPr="002C0B4F">
        <w:rPr>
          <w:rFonts w:ascii="Aptos" w:hAnsi="Aptos" w:cs="Tahoma"/>
        </w:rPr>
        <w:t>Applicants will receive a confirmation email after all required documents have been successfully uploaded.</w:t>
      </w:r>
      <w:r w:rsidR="006A5B58" w:rsidRPr="002C0B4F">
        <w:rPr>
          <w:rFonts w:ascii="Aptos" w:hAnsi="Aptos" w:cs="Tahoma"/>
        </w:rPr>
        <w:t xml:space="preserve"> </w:t>
      </w:r>
    </w:p>
    <w:p w14:paraId="1B79D079" w14:textId="77777777" w:rsidR="002D4184" w:rsidRPr="002C0B4F" w:rsidRDefault="006A5B58" w:rsidP="004F0931">
      <w:pPr>
        <w:spacing w:before="120" w:after="120" w:line="259" w:lineRule="auto"/>
        <w:ind w:left="720"/>
        <w:rPr>
          <w:rFonts w:ascii="Aptos" w:hAnsi="Aptos" w:cs="Tahoma"/>
        </w:rPr>
      </w:pPr>
      <w:r w:rsidRPr="002C0B4F">
        <w:rPr>
          <w:rFonts w:ascii="Aptos" w:hAnsi="Aptos" w:cs="Tahoma"/>
        </w:rPr>
        <w:t xml:space="preserve">Please give yourself ample time to complete all steps of the submission process: do not wait until right before the deadline to begin the process. The CEC </w:t>
      </w:r>
      <w:r w:rsidRPr="002C0B4F">
        <w:rPr>
          <w:rFonts w:ascii="Aptos" w:hAnsi="Aptos" w:cs="Tahoma"/>
          <w:u w:val="single"/>
        </w:rPr>
        <w:t>strongly</w:t>
      </w:r>
      <w:r w:rsidRPr="002C0B4F">
        <w:rPr>
          <w:rFonts w:ascii="Aptos" w:hAnsi="Aptos" w:cs="Tahoma"/>
        </w:rPr>
        <w:t xml:space="preserve"> encourages applicants to upload and submit all applications before 5:00 p.m. because CEC staff will not be available after 5:00 p.m. or on weekends to assist with questions or the upload process. </w:t>
      </w:r>
    </w:p>
    <w:p w14:paraId="5393FC96" w14:textId="6A0816E3" w:rsidR="006A5B58" w:rsidRPr="002C0B4F" w:rsidRDefault="006A5B58" w:rsidP="004F0931">
      <w:pPr>
        <w:spacing w:before="120" w:after="120" w:line="259" w:lineRule="auto"/>
        <w:ind w:left="720"/>
        <w:rPr>
          <w:rFonts w:ascii="Aptos" w:hAnsi="Aptos" w:cs="Tahoma"/>
        </w:rPr>
      </w:pPr>
      <w:r w:rsidRPr="002C0B4F">
        <w:rPr>
          <w:rFonts w:ascii="Aptos" w:hAnsi="Aptos" w:cs="Tahoma"/>
        </w:rPr>
        <w:t xml:space="preserve">Please note that while we endeavor to assist all would-be applicants, we cannot guarantee that the Commission Agreement Officer will be available for consultation on the due date, so please plan accordingly. </w:t>
      </w:r>
      <w:r w:rsidR="001E5F97" w:rsidRPr="002C0B4F">
        <w:rPr>
          <w:rFonts w:ascii="Aptos" w:hAnsi="Aptos" w:cs="Tahoma"/>
        </w:rPr>
        <w:t>For more information, p</w:t>
      </w:r>
      <w:r w:rsidRPr="002C0B4F">
        <w:rPr>
          <w:rFonts w:ascii="Aptos" w:hAnsi="Aptos" w:cs="Tahoma"/>
        </w:rPr>
        <w:t xml:space="preserve">lease see Preferred Method for Delivery in the solicitation manual on pages 101-102, available on the </w:t>
      </w:r>
      <w:hyperlink r:id="rId42" w:history="1">
        <w:r w:rsidRPr="002C0B4F">
          <w:rPr>
            <w:rStyle w:val="Hyperlink"/>
            <w:rFonts w:ascii="Aptos" w:hAnsi="Aptos" w:cs="Tahoma"/>
          </w:rPr>
          <w:t>RFQ-25-401 solicitation webpage</w:t>
        </w:r>
      </w:hyperlink>
      <w:r w:rsidRPr="002C0B4F">
        <w:rPr>
          <w:rFonts w:ascii="Aptos" w:hAnsi="Aptos" w:cs="Tahoma"/>
        </w:rPr>
        <w:t xml:space="preserve"> (https://www.energy.ca.gov/solicitations/2026-05/rfq-25-401-energy-code-compliance-evaluation-support).</w:t>
      </w:r>
    </w:p>
    <w:p w14:paraId="23A8048C" w14:textId="62561B9B" w:rsidR="00303D70" w:rsidRPr="002C0B4F" w:rsidRDefault="005277EE" w:rsidP="004F0931">
      <w:pPr>
        <w:spacing w:before="120" w:after="120" w:line="259" w:lineRule="auto"/>
        <w:ind w:left="720" w:hanging="720"/>
        <w:rPr>
          <w:rFonts w:ascii="Aptos" w:hAnsi="Aptos" w:cs="Tahoma"/>
        </w:rPr>
      </w:pPr>
      <w:r w:rsidRPr="002C0B4F">
        <w:rPr>
          <w:rFonts w:ascii="Aptos" w:hAnsi="Aptos" w:cs="Tahoma"/>
          <w:b/>
          <w:bCs/>
        </w:rPr>
        <w:t>Q</w:t>
      </w:r>
      <w:r w:rsidR="00D96970" w:rsidRPr="002C0B4F">
        <w:rPr>
          <w:rFonts w:ascii="Aptos" w:hAnsi="Aptos" w:cs="Tahoma"/>
          <w:b/>
          <w:bCs/>
        </w:rPr>
        <w:t>36</w:t>
      </w:r>
      <w:r w:rsidRPr="002C0B4F">
        <w:rPr>
          <w:rFonts w:ascii="Aptos" w:hAnsi="Aptos" w:cs="Tahoma"/>
          <w:b/>
          <w:bCs/>
        </w:rPr>
        <w:t>:</w:t>
      </w:r>
      <w:r w:rsidRPr="002C0B4F">
        <w:rPr>
          <w:rFonts w:ascii="Aptos" w:hAnsi="Aptos" w:cs="Tahoma"/>
          <w:b/>
          <w:bCs/>
        </w:rPr>
        <w:tab/>
      </w:r>
      <w:r w:rsidR="00303D70" w:rsidRPr="002C0B4F">
        <w:rPr>
          <w:rFonts w:ascii="Aptos" w:hAnsi="Aptos" w:cs="Tahoma"/>
          <w:b/>
          <w:bCs/>
        </w:rPr>
        <w:t xml:space="preserve">Are resumes required in the SOQ for all team members who may bill, or are they only required during the rate negotiation process? </w:t>
      </w:r>
    </w:p>
    <w:p w14:paraId="165E11CC" w14:textId="333E5B22" w:rsidR="00DD21E2" w:rsidRPr="002C0B4F" w:rsidRDefault="00303D70" w:rsidP="004F0931">
      <w:pPr>
        <w:spacing w:before="120" w:after="120" w:line="259" w:lineRule="auto"/>
        <w:ind w:left="720" w:hanging="720"/>
        <w:rPr>
          <w:rFonts w:ascii="Aptos" w:hAnsi="Aptos" w:cs="Tahoma"/>
        </w:rPr>
      </w:pPr>
      <w:r w:rsidRPr="002C0B4F">
        <w:rPr>
          <w:rFonts w:ascii="Aptos" w:hAnsi="Aptos" w:cs="Tahoma"/>
        </w:rPr>
        <w:t>A</w:t>
      </w:r>
      <w:r w:rsidR="00D96970" w:rsidRPr="002C0B4F">
        <w:rPr>
          <w:rFonts w:ascii="Aptos" w:hAnsi="Aptos" w:cs="Tahoma"/>
        </w:rPr>
        <w:t>36</w:t>
      </w:r>
      <w:r w:rsidRPr="002C0B4F">
        <w:rPr>
          <w:rFonts w:ascii="Aptos" w:hAnsi="Aptos" w:cs="Tahoma"/>
        </w:rPr>
        <w:t xml:space="preserve">: </w:t>
      </w:r>
      <w:r w:rsidR="005277EE" w:rsidRPr="002C0B4F">
        <w:rPr>
          <w:rFonts w:ascii="Aptos" w:hAnsi="Aptos" w:cs="Tahoma"/>
        </w:rPr>
        <w:tab/>
      </w:r>
      <w:r w:rsidRPr="002C0B4F">
        <w:rPr>
          <w:rFonts w:ascii="Aptos" w:hAnsi="Aptos" w:cs="Tahoma"/>
        </w:rPr>
        <w:t>On page</w:t>
      </w:r>
      <w:r w:rsidR="00A6746F" w:rsidRPr="002C0B4F">
        <w:rPr>
          <w:rFonts w:ascii="Aptos" w:hAnsi="Aptos" w:cs="Tahoma"/>
        </w:rPr>
        <w:t>s 105 and 116</w:t>
      </w:r>
      <w:r w:rsidRPr="002C0B4F">
        <w:rPr>
          <w:rFonts w:ascii="Aptos" w:hAnsi="Aptos" w:cs="Tahoma"/>
        </w:rPr>
        <w:t xml:space="preserve"> of the solicitation manual under the </w:t>
      </w:r>
      <w:r w:rsidR="007C3DF6" w:rsidRPr="002C0B4F">
        <w:rPr>
          <w:rFonts w:ascii="Aptos" w:hAnsi="Aptos" w:cs="Tahoma"/>
          <w:color w:val="000000"/>
        </w:rPr>
        <w:t xml:space="preserve">“Project Team Relevant Experience and Qualifications” </w:t>
      </w:r>
      <w:r w:rsidRPr="002C0B4F">
        <w:rPr>
          <w:rFonts w:ascii="Aptos" w:hAnsi="Aptos" w:cs="Tahoma"/>
        </w:rPr>
        <w:t>section, which is part of the SOQ Section 2 Technical Response, it states the following, “</w:t>
      </w:r>
      <w:r w:rsidR="00584CFB" w:rsidRPr="002C0B4F">
        <w:rPr>
          <w:rFonts w:ascii="Aptos" w:hAnsi="Aptos" w:cs="Tahoma"/>
        </w:rPr>
        <w:t xml:space="preserve">Provides a current resume for </w:t>
      </w:r>
      <w:r w:rsidR="00584CFB" w:rsidRPr="002C0B4F">
        <w:rPr>
          <w:rFonts w:ascii="Aptos" w:hAnsi="Aptos" w:cs="Tahoma"/>
          <w:u w:val="single"/>
        </w:rPr>
        <w:t>all</w:t>
      </w:r>
      <w:r w:rsidR="00584CFB" w:rsidRPr="002C0B4F">
        <w:rPr>
          <w:rFonts w:ascii="Aptos" w:hAnsi="Aptos" w:cs="Tahoma"/>
        </w:rPr>
        <w:t xml:space="preserve"> team members listed, including job classification and description, relevant experience, start and end dates (month and year), education, academic degrees, and professional licenses</w:t>
      </w:r>
      <w:r w:rsidRPr="002C0B4F">
        <w:rPr>
          <w:rFonts w:ascii="Aptos" w:hAnsi="Aptos" w:cs="Tahoma"/>
        </w:rPr>
        <w:t>.”</w:t>
      </w:r>
      <w:r w:rsidR="00EC0E15" w:rsidRPr="002C0B4F">
        <w:rPr>
          <w:rFonts w:ascii="Aptos" w:hAnsi="Aptos" w:cs="Tahoma"/>
        </w:rPr>
        <w:t xml:space="preserve"> Firms are cautioned that they should include </w:t>
      </w:r>
      <w:r w:rsidR="00EC0E15" w:rsidRPr="002C0B4F">
        <w:rPr>
          <w:rFonts w:ascii="Aptos" w:hAnsi="Aptos" w:cs="Tahoma"/>
          <w:u w:val="single"/>
        </w:rPr>
        <w:t>all</w:t>
      </w:r>
      <w:r w:rsidR="00EC0E15" w:rsidRPr="002C0B4F">
        <w:rPr>
          <w:rFonts w:ascii="Aptos" w:hAnsi="Aptos" w:cs="Tahoma"/>
        </w:rPr>
        <w:t xml:space="preserve"> team members in their SOQ. The CEC does not want to be in the position of assessing </w:t>
      </w:r>
      <w:r w:rsidR="00EC0E15" w:rsidRPr="002C0B4F">
        <w:rPr>
          <w:rFonts w:ascii="Aptos" w:hAnsi="Aptos" w:cs="Tahoma"/>
        </w:rPr>
        <w:lastRenderedPageBreak/>
        <w:t>additional team members during rate negotiations.</w:t>
      </w:r>
      <w:r w:rsidR="00DD21E2" w:rsidRPr="002C0B4F">
        <w:rPr>
          <w:rFonts w:ascii="Aptos" w:hAnsi="Aptos" w:cs="Tahoma"/>
        </w:rPr>
        <w:t xml:space="preserve"> The solicitation manual is available on the </w:t>
      </w:r>
      <w:hyperlink r:id="rId43" w:history="1">
        <w:r w:rsidR="00DD21E2" w:rsidRPr="002C0B4F">
          <w:rPr>
            <w:rStyle w:val="Hyperlink"/>
            <w:rFonts w:ascii="Aptos" w:hAnsi="Aptos" w:cs="Tahoma"/>
          </w:rPr>
          <w:t>RFQ-25-401 solicitation webpage</w:t>
        </w:r>
      </w:hyperlink>
      <w:r w:rsidR="00DD21E2" w:rsidRPr="002C0B4F">
        <w:rPr>
          <w:rFonts w:ascii="Aptos" w:hAnsi="Aptos" w:cs="Tahoma"/>
        </w:rPr>
        <w:t xml:space="preserve"> (https://www.energy.ca.gov/solicitations/2026-05/rfq-25-401-energy-code-compliance-evaluation-support).</w:t>
      </w:r>
    </w:p>
    <w:p w14:paraId="0F58FFE2" w14:textId="3DF78F9D" w:rsidR="00646CDC" w:rsidRPr="002C0B4F" w:rsidRDefault="00646CDC" w:rsidP="004F0931">
      <w:pPr>
        <w:spacing w:before="120" w:after="120" w:line="259" w:lineRule="auto"/>
        <w:ind w:left="720" w:hanging="720"/>
        <w:rPr>
          <w:rFonts w:ascii="Aptos" w:hAnsi="Aptos" w:cs="Tahoma"/>
        </w:rPr>
      </w:pPr>
      <w:r w:rsidRPr="002C0B4F">
        <w:rPr>
          <w:rFonts w:ascii="Aptos" w:hAnsi="Aptos" w:cs="Tahoma"/>
          <w:b/>
          <w:bCs/>
        </w:rPr>
        <w:t>Q</w:t>
      </w:r>
      <w:r w:rsidR="00D96970" w:rsidRPr="002C0B4F">
        <w:rPr>
          <w:rFonts w:ascii="Aptos" w:hAnsi="Aptos" w:cs="Tahoma"/>
          <w:b/>
          <w:bCs/>
        </w:rPr>
        <w:t>37</w:t>
      </w:r>
      <w:r w:rsidRPr="002C0B4F">
        <w:rPr>
          <w:rFonts w:ascii="Aptos" w:hAnsi="Aptos" w:cs="Tahoma"/>
          <w:b/>
          <w:bCs/>
        </w:rPr>
        <w:t>:</w:t>
      </w:r>
      <w:r w:rsidR="00DD21E2" w:rsidRPr="002C0B4F">
        <w:rPr>
          <w:rFonts w:ascii="Aptos" w:hAnsi="Aptos" w:cs="Tahoma"/>
          <w:b/>
          <w:bCs/>
        </w:rPr>
        <w:tab/>
      </w:r>
      <w:r w:rsidRPr="002C0B4F">
        <w:rPr>
          <w:rFonts w:ascii="Aptos" w:hAnsi="Aptos" w:cs="Tahoma"/>
          <w:b/>
          <w:bCs/>
        </w:rPr>
        <w:t xml:space="preserve">Are we able to add additional attachments and/or supporting documents in GSS that are not explicitly requested in the solicitation? </w:t>
      </w:r>
    </w:p>
    <w:p w14:paraId="645D4549" w14:textId="54051A8A" w:rsidR="00646CDC" w:rsidRPr="002C0B4F" w:rsidRDefault="00646CDC" w:rsidP="004F0931">
      <w:pPr>
        <w:spacing w:before="120" w:after="120" w:line="259" w:lineRule="auto"/>
        <w:ind w:left="720" w:hanging="720"/>
        <w:rPr>
          <w:rFonts w:ascii="Aptos" w:hAnsi="Aptos" w:cs="Tahoma"/>
        </w:rPr>
      </w:pPr>
      <w:r w:rsidRPr="002C0B4F">
        <w:rPr>
          <w:rFonts w:ascii="Aptos" w:hAnsi="Aptos" w:cs="Tahoma"/>
        </w:rPr>
        <w:t>A</w:t>
      </w:r>
      <w:r w:rsidR="00D96970" w:rsidRPr="002C0B4F">
        <w:rPr>
          <w:rFonts w:ascii="Aptos" w:hAnsi="Aptos" w:cs="Tahoma"/>
        </w:rPr>
        <w:t>37</w:t>
      </w:r>
      <w:r w:rsidRPr="002C0B4F">
        <w:rPr>
          <w:rFonts w:ascii="Aptos" w:hAnsi="Aptos" w:cs="Tahoma"/>
        </w:rPr>
        <w:t>:</w:t>
      </w:r>
      <w:r w:rsidR="00DD21E2" w:rsidRPr="002C0B4F">
        <w:rPr>
          <w:rFonts w:ascii="Aptos" w:hAnsi="Aptos" w:cs="Tahoma"/>
        </w:rPr>
        <w:tab/>
      </w:r>
      <w:r w:rsidRPr="002C0B4F">
        <w:rPr>
          <w:rFonts w:ascii="Aptos" w:hAnsi="Aptos" w:cs="Tahoma"/>
        </w:rPr>
        <w:t>Yes</w:t>
      </w:r>
      <w:r w:rsidR="000F1C9B" w:rsidRPr="002C0B4F">
        <w:rPr>
          <w:rFonts w:ascii="Aptos" w:hAnsi="Aptos" w:cs="Tahoma"/>
        </w:rPr>
        <w:t>, a</w:t>
      </w:r>
      <w:r w:rsidRPr="002C0B4F">
        <w:rPr>
          <w:rFonts w:ascii="Aptos" w:hAnsi="Aptos" w:cs="Tahoma"/>
        </w:rPr>
        <w:t xml:space="preserve">dditional attachments and supporting documentation may be included with the application through GSS. </w:t>
      </w:r>
    </w:p>
    <w:p w14:paraId="4E865E39" w14:textId="77777777" w:rsidR="002D4184" w:rsidRPr="002C0B4F" w:rsidRDefault="00646CDC" w:rsidP="004F0931">
      <w:pPr>
        <w:spacing w:before="120" w:after="120" w:line="259" w:lineRule="auto"/>
        <w:ind w:left="720"/>
        <w:rPr>
          <w:rFonts w:ascii="Aptos" w:hAnsi="Aptos" w:cs="Tahoma"/>
        </w:rPr>
      </w:pPr>
      <w:r w:rsidRPr="002C0B4F">
        <w:rPr>
          <w:rFonts w:ascii="Aptos" w:hAnsi="Aptos" w:cs="Tahoma"/>
        </w:rPr>
        <w:t xml:space="preserve">Please give yourself ample time to complete all steps of the submission process: do not wait until right before the deadline to begin the process. The CEC strongly encourages applicants to upload and submit all applications before 5:00 p.m. because CEC staff will not be available after 5:00 p.m. or on weekends to assist with questions or the upload process. </w:t>
      </w:r>
    </w:p>
    <w:p w14:paraId="27855BC4" w14:textId="34EE944A" w:rsidR="00D62767" w:rsidRPr="002C0B4F" w:rsidRDefault="00646CDC" w:rsidP="004F0931">
      <w:pPr>
        <w:spacing w:before="120" w:after="120" w:line="259" w:lineRule="auto"/>
        <w:ind w:left="720"/>
        <w:rPr>
          <w:rFonts w:ascii="Aptos" w:hAnsi="Aptos" w:cs="Tahoma"/>
        </w:rPr>
      </w:pPr>
      <w:r w:rsidRPr="002C0B4F">
        <w:rPr>
          <w:rFonts w:ascii="Aptos" w:hAnsi="Aptos" w:cs="Tahoma"/>
        </w:rPr>
        <w:t xml:space="preserve">Please note that while we endeavor to assist all would-be applicants, we cannot guarantee that the </w:t>
      </w:r>
      <w:r w:rsidR="008525DF" w:rsidRPr="002C0B4F">
        <w:rPr>
          <w:rFonts w:ascii="Aptos" w:hAnsi="Aptos" w:cs="Tahoma"/>
        </w:rPr>
        <w:t>Commission Agreement Officer</w:t>
      </w:r>
      <w:r w:rsidRPr="002C0B4F">
        <w:rPr>
          <w:rFonts w:ascii="Aptos" w:hAnsi="Aptos" w:cs="Tahoma"/>
        </w:rPr>
        <w:t xml:space="preserve"> will be available for consultation on the due date, so please plan accordingly. </w:t>
      </w:r>
      <w:r w:rsidR="000F1C9B" w:rsidRPr="002C0B4F">
        <w:rPr>
          <w:rFonts w:ascii="Aptos" w:hAnsi="Aptos" w:cs="Tahoma"/>
        </w:rPr>
        <w:t>For more information, p</w:t>
      </w:r>
      <w:r w:rsidRPr="002C0B4F">
        <w:rPr>
          <w:rFonts w:ascii="Aptos" w:hAnsi="Aptos" w:cs="Tahoma"/>
        </w:rPr>
        <w:t xml:space="preserve">lease see </w:t>
      </w:r>
      <w:r w:rsidR="00060384" w:rsidRPr="002C0B4F">
        <w:rPr>
          <w:rFonts w:ascii="Aptos" w:hAnsi="Aptos" w:cs="Tahoma"/>
        </w:rPr>
        <w:t>the “</w:t>
      </w:r>
      <w:r w:rsidR="008525DF" w:rsidRPr="002C0B4F">
        <w:rPr>
          <w:rFonts w:ascii="Aptos" w:hAnsi="Aptos" w:cs="Tahoma"/>
        </w:rPr>
        <w:t xml:space="preserve">Preferred </w:t>
      </w:r>
      <w:r w:rsidRPr="002C0B4F">
        <w:rPr>
          <w:rFonts w:ascii="Aptos" w:hAnsi="Aptos" w:cs="Tahoma"/>
        </w:rPr>
        <w:t xml:space="preserve">Method </w:t>
      </w:r>
      <w:r w:rsidR="00F57813" w:rsidRPr="002C0B4F">
        <w:rPr>
          <w:rFonts w:ascii="Aptos" w:hAnsi="Aptos" w:cs="Tahoma"/>
        </w:rPr>
        <w:t xml:space="preserve">for </w:t>
      </w:r>
      <w:r w:rsidRPr="002C0B4F">
        <w:rPr>
          <w:rFonts w:ascii="Aptos" w:hAnsi="Aptos" w:cs="Tahoma"/>
        </w:rPr>
        <w:t>Delivery</w:t>
      </w:r>
      <w:r w:rsidR="00060384" w:rsidRPr="002C0B4F">
        <w:rPr>
          <w:rFonts w:ascii="Aptos" w:hAnsi="Aptos" w:cs="Tahoma"/>
        </w:rPr>
        <w:t>” section</w:t>
      </w:r>
      <w:r w:rsidRPr="002C0B4F">
        <w:rPr>
          <w:rFonts w:ascii="Aptos" w:hAnsi="Aptos" w:cs="Tahoma"/>
        </w:rPr>
        <w:t xml:space="preserve"> in the solicitation manual on pages </w:t>
      </w:r>
      <w:r w:rsidR="00F57813" w:rsidRPr="002C0B4F">
        <w:rPr>
          <w:rFonts w:ascii="Aptos" w:hAnsi="Aptos" w:cs="Tahoma"/>
        </w:rPr>
        <w:t xml:space="preserve">101-102, available on the </w:t>
      </w:r>
      <w:hyperlink r:id="rId44" w:history="1">
        <w:r w:rsidR="00F57813" w:rsidRPr="002C0B4F">
          <w:rPr>
            <w:rStyle w:val="Hyperlink"/>
            <w:rFonts w:ascii="Aptos" w:hAnsi="Aptos" w:cs="Tahoma"/>
          </w:rPr>
          <w:t>RFQ-25-401 solicitation webpage</w:t>
        </w:r>
      </w:hyperlink>
      <w:r w:rsidR="00F57813" w:rsidRPr="002C0B4F">
        <w:rPr>
          <w:rFonts w:ascii="Aptos" w:hAnsi="Aptos" w:cs="Tahoma"/>
        </w:rPr>
        <w:t xml:space="preserve"> (https://www.energy.ca.gov/solicitations/2026-05/rfq-25-401-energy-code-compliance-evaluation-support).</w:t>
      </w:r>
    </w:p>
    <w:p w14:paraId="402E8863" w14:textId="1F4E0C4C" w:rsidR="00921B6B" w:rsidRPr="002C0B4F" w:rsidRDefault="00921B6B" w:rsidP="00A41F08">
      <w:pPr>
        <w:pStyle w:val="Heading3"/>
        <w:rPr>
          <w:rFonts w:ascii="Aptos" w:eastAsia="Times New Roman" w:hAnsi="Aptos" w:cs="Tahoma"/>
          <w:b/>
          <w:bCs/>
          <w:color w:val="3C6AA2"/>
        </w:rPr>
      </w:pPr>
      <w:r w:rsidRPr="002C0B4F">
        <w:rPr>
          <w:rFonts w:ascii="Aptos" w:eastAsia="Times New Roman" w:hAnsi="Aptos" w:cs="Tahoma"/>
          <w:b/>
          <w:bCs/>
          <w:color w:val="3C6AA2"/>
        </w:rPr>
        <w:t>Technical Questions</w:t>
      </w:r>
    </w:p>
    <w:p w14:paraId="695928ED" w14:textId="724431B7" w:rsidR="00921B6B" w:rsidRPr="002C0B4F" w:rsidRDefault="00921B6B" w:rsidP="004F0931">
      <w:pPr>
        <w:spacing w:before="120" w:after="120" w:line="259" w:lineRule="auto"/>
        <w:ind w:left="720" w:hanging="720"/>
        <w:rPr>
          <w:rFonts w:ascii="Aptos" w:hAnsi="Aptos" w:cs="Tahoma"/>
          <w:b/>
          <w:bCs/>
        </w:rPr>
      </w:pPr>
      <w:r w:rsidRPr="002C0B4F">
        <w:rPr>
          <w:rFonts w:ascii="Aptos" w:hAnsi="Aptos" w:cs="Tahoma"/>
          <w:b/>
          <w:bCs/>
        </w:rPr>
        <w:t>Q</w:t>
      </w:r>
      <w:r w:rsidR="00D96970" w:rsidRPr="002C0B4F">
        <w:rPr>
          <w:rFonts w:ascii="Aptos" w:hAnsi="Aptos" w:cs="Tahoma"/>
          <w:b/>
          <w:bCs/>
        </w:rPr>
        <w:t>38</w:t>
      </w:r>
      <w:r w:rsidRPr="002C0B4F">
        <w:rPr>
          <w:rFonts w:ascii="Aptos" w:hAnsi="Aptos" w:cs="Tahoma"/>
          <w:b/>
          <w:bCs/>
        </w:rPr>
        <w:t>:</w:t>
      </w:r>
      <w:r w:rsidRPr="002C0B4F">
        <w:rPr>
          <w:rFonts w:ascii="Aptos" w:hAnsi="Aptos" w:cs="Tahoma"/>
          <w:b/>
          <w:bCs/>
        </w:rPr>
        <w:tab/>
        <w:t>Does the CEC have a priority focus for this work across the seven building categories? If so</w:t>
      </w:r>
      <w:r w:rsidR="00D93844" w:rsidRPr="002C0B4F">
        <w:rPr>
          <w:rFonts w:ascii="Aptos" w:hAnsi="Aptos" w:cs="Tahoma"/>
          <w:b/>
          <w:bCs/>
        </w:rPr>
        <w:t>, can you please provide details on th</w:t>
      </w:r>
      <w:r w:rsidR="00D96970" w:rsidRPr="002C0B4F">
        <w:rPr>
          <w:rFonts w:ascii="Aptos" w:hAnsi="Aptos" w:cs="Tahoma"/>
          <w:b/>
          <w:bCs/>
        </w:rPr>
        <w:t>e</w:t>
      </w:r>
      <w:r w:rsidR="00D93844" w:rsidRPr="002C0B4F">
        <w:rPr>
          <w:rFonts w:ascii="Aptos" w:hAnsi="Aptos" w:cs="Tahoma"/>
          <w:b/>
          <w:bCs/>
        </w:rPr>
        <w:t xml:space="preserve"> priorities?</w:t>
      </w:r>
    </w:p>
    <w:p w14:paraId="41811598" w14:textId="77777777" w:rsidR="00E96AEB" w:rsidRPr="002C0B4F" w:rsidRDefault="00921B6B" w:rsidP="004F0931">
      <w:pPr>
        <w:spacing w:before="120" w:after="120" w:line="259" w:lineRule="auto"/>
        <w:ind w:left="720" w:hanging="720"/>
        <w:rPr>
          <w:rFonts w:ascii="Aptos" w:hAnsi="Aptos" w:cs="Tahoma"/>
        </w:rPr>
      </w:pPr>
      <w:r w:rsidRPr="002C0B4F">
        <w:rPr>
          <w:rFonts w:ascii="Aptos" w:hAnsi="Aptos" w:cs="Tahoma"/>
        </w:rPr>
        <w:t>A</w:t>
      </w:r>
      <w:r w:rsidR="00D96970" w:rsidRPr="002C0B4F">
        <w:rPr>
          <w:rFonts w:ascii="Aptos" w:hAnsi="Aptos" w:cs="Tahoma"/>
        </w:rPr>
        <w:t>38</w:t>
      </w:r>
      <w:r w:rsidRPr="002C0B4F">
        <w:rPr>
          <w:rFonts w:ascii="Aptos" w:hAnsi="Aptos" w:cs="Tahoma"/>
        </w:rPr>
        <w:t>:</w:t>
      </w:r>
      <w:r w:rsidRPr="002C0B4F">
        <w:rPr>
          <w:rFonts w:ascii="Aptos" w:hAnsi="Aptos" w:cs="Tahoma"/>
        </w:rPr>
        <w:tab/>
      </w:r>
      <w:r w:rsidR="005B7DC3" w:rsidRPr="002C0B4F">
        <w:rPr>
          <w:rFonts w:ascii="Aptos" w:hAnsi="Aptos" w:cs="Tahoma"/>
        </w:rPr>
        <w:t>Yes, the CEC has a priority focus for this work across the seven building categories.</w:t>
      </w:r>
      <w:r w:rsidR="00912561" w:rsidRPr="002C0B4F">
        <w:rPr>
          <w:rFonts w:ascii="Aptos" w:hAnsi="Aptos" w:cs="Tahoma"/>
        </w:rPr>
        <w:t xml:space="preserve"> </w:t>
      </w:r>
      <w:r w:rsidR="00ED5A7E" w:rsidRPr="002C0B4F">
        <w:rPr>
          <w:rFonts w:ascii="Aptos" w:hAnsi="Aptos" w:cs="Tahoma"/>
        </w:rPr>
        <w:t xml:space="preserve">The current prioritization </w:t>
      </w:r>
      <w:r w:rsidR="00E96AEB" w:rsidRPr="002C0B4F">
        <w:rPr>
          <w:rFonts w:ascii="Aptos" w:hAnsi="Aptos" w:cs="Tahoma"/>
        </w:rPr>
        <w:t>of building categories is as follows:</w:t>
      </w:r>
    </w:p>
    <w:p w14:paraId="1C840961" w14:textId="6C2EA862" w:rsidR="00921B6B" w:rsidRPr="002C0B4F" w:rsidRDefault="00E96AEB" w:rsidP="004F0931">
      <w:pPr>
        <w:pStyle w:val="ListParagraph"/>
        <w:numPr>
          <w:ilvl w:val="0"/>
          <w:numId w:val="7"/>
        </w:numPr>
        <w:spacing w:before="120" w:after="120" w:line="259" w:lineRule="auto"/>
        <w:contextualSpacing w:val="0"/>
        <w:rPr>
          <w:rFonts w:ascii="Aptos" w:hAnsi="Aptos" w:cs="Tahoma"/>
        </w:rPr>
      </w:pPr>
      <w:r w:rsidRPr="002C0B4F">
        <w:rPr>
          <w:rFonts w:ascii="Aptos" w:hAnsi="Aptos" w:cs="Tahoma"/>
        </w:rPr>
        <w:t xml:space="preserve">Existing </w:t>
      </w:r>
      <w:r w:rsidR="007B282E" w:rsidRPr="002C0B4F">
        <w:rPr>
          <w:rFonts w:ascii="Aptos" w:hAnsi="Aptos" w:cs="Tahoma"/>
        </w:rPr>
        <w:t>s</w:t>
      </w:r>
      <w:r w:rsidRPr="002C0B4F">
        <w:rPr>
          <w:rFonts w:ascii="Aptos" w:hAnsi="Aptos" w:cs="Tahoma"/>
        </w:rPr>
        <w:t>ingle-</w:t>
      </w:r>
      <w:r w:rsidR="007B282E" w:rsidRPr="002C0B4F">
        <w:rPr>
          <w:rFonts w:ascii="Aptos" w:hAnsi="Aptos" w:cs="Tahoma"/>
        </w:rPr>
        <w:t>family residential</w:t>
      </w:r>
      <w:r w:rsidR="00912561" w:rsidRPr="002C0B4F" w:rsidDel="007B282E">
        <w:rPr>
          <w:rFonts w:ascii="Aptos" w:hAnsi="Aptos" w:cs="Tahoma"/>
        </w:rPr>
        <w:t xml:space="preserve"> </w:t>
      </w:r>
      <w:r w:rsidR="00572DF2" w:rsidRPr="002C0B4F">
        <w:rPr>
          <w:rFonts w:ascii="Aptos" w:hAnsi="Aptos" w:cs="Tahoma"/>
        </w:rPr>
        <w:t>buildings.</w:t>
      </w:r>
    </w:p>
    <w:p w14:paraId="4ABAD7F9" w14:textId="2FA0273F" w:rsidR="007B282E" w:rsidRPr="002C0B4F" w:rsidRDefault="007B282E" w:rsidP="004F0931">
      <w:pPr>
        <w:pStyle w:val="ListParagraph"/>
        <w:numPr>
          <w:ilvl w:val="0"/>
          <w:numId w:val="7"/>
        </w:numPr>
        <w:spacing w:before="120" w:after="120" w:line="259" w:lineRule="auto"/>
        <w:contextualSpacing w:val="0"/>
        <w:rPr>
          <w:rFonts w:ascii="Aptos" w:hAnsi="Aptos" w:cs="Tahoma"/>
        </w:rPr>
      </w:pPr>
      <w:r w:rsidRPr="002C0B4F">
        <w:rPr>
          <w:rFonts w:ascii="Aptos" w:hAnsi="Aptos" w:cs="Tahoma"/>
        </w:rPr>
        <w:t>Newly constructed nonresidential</w:t>
      </w:r>
      <w:r w:rsidR="00572DF2" w:rsidRPr="002C0B4F">
        <w:rPr>
          <w:rFonts w:ascii="Aptos" w:hAnsi="Aptos" w:cs="Tahoma"/>
        </w:rPr>
        <w:t xml:space="preserve"> buildings.</w:t>
      </w:r>
    </w:p>
    <w:p w14:paraId="38F661CC" w14:textId="19D1CC25" w:rsidR="007B282E" w:rsidRPr="002C0B4F" w:rsidRDefault="007B282E" w:rsidP="004F0931">
      <w:pPr>
        <w:pStyle w:val="ListParagraph"/>
        <w:numPr>
          <w:ilvl w:val="0"/>
          <w:numId w:val="7"/>
        </w:numPr>
        <w:spacing w:before="120" w:after="120" w:line="259" w:lineRule="auto"/>
        <w:contextualSpacing w:val="0"/>
        <w:rPr>
          <w:rFonts w:ascii="Aptos" w:hAnsi="Aptos" w:cs="Tahoma"/>
        </w:rPr>
      </w:pPr>
      <w:r w:rsidRPr="002C0B4F">
        <w:rPr>
          <w:rFonts w:ascii="Aptos" w:hAnsi="Aptos" w:cs="Tahoma"/>
        </w:rPr>
        <w:t>Covered process</w:t>
      </w:r>
      <w:r w:rsidR="00572DF2" w:rsidRPr="002C0B4F">
        <w:rPr>
          <w:rFonts w:ascii="Aptos" w:hAnsi="Aptos" w:cs="Tahoma"/>
        </w:rPr>
        <w:t>es.</w:t>
      </w:r>
    </w:p>
    <w:p w14:paraId="6ED214A5" w14:textId="049FF759" w:rsidR="007B282E" w:rsidRPr="002C0B4F" w:rsidRDefault="007B282E" w:rsidP="004F0931">
      <w:pPr>
        <w:pStyle w:val="ListParagraph"/>
        <w:numPr>
          <w:ilvl w:val="0"/>
          <w:numId w:val="7"/>
        </w:numPr>
        <w:spacing w:before="120" w:after="120" w:line="259" w:lineRule="auto"/>
        <w:contextualSpacing w:val="0"/>
        <w:rPr>
          <w:rFonts w:ascii="Aptos" w:hAnsi="Aptos" w:cs="Tahoma"/>
        </w:rPr>
      </w:pPr>
      <w:r w:rsidRPr="002C0B4F">
        <w:rPr>
          <w:rFonts w:ascii="Aptos" w:hAnsi="Aptos" w:cs="Tahoma"/>
        </w:rPr>
        <w:t>Existing nonresidential</w:t>
      </w:r>
      <w:r w:rsidR="00572DF2" w:rsidRPr="002C0B4F">
        <w:rPr>
          <w:rFonts w:ascii="Aptos" w:hAnsi="Aptos" w:cs="Tahoma"/>
        </w:rPr>
        <w:t xml:space="preserve"> buildings.</w:t>
      </w:r>
    </w:p>
    <w:p w14:paraId="1467ADC3" w14:textId="5C9660F6" w:rsidR="005F7A87" w:rsidRPr="002C0B4F" w:rsidRDefault="005F7A87" w:rsidP="004F0931">
      <w:pPr>
        <w:pStyle w:val="ListParagraph"/>
        <w:numPr>
          <w:ilvl w:val="0"/>
          <w:numId w:val="7"/>
        </w:numPr>
        <w:spacing w:before="120" w:after="120" w:line="259" w:lineRule="auto"/>
        <w:contextualSpacing w:val="0"/>
        <w:rPr>
          <w:rFonts w:ascii="Aptos" w:hAnsi="Aptos" w:cs="Tahoma"/>
        </w:rPr>
      </w:pPr>
      <w:r w:rsidRPr="002C0B4F">
        <w:rPr>
          <w:rFonts w:ascii="Aptos" w:hAnsi="Aptos" w:cs="Tahoma"/>
        </w:rPr>
        <w:t>Newly constructed multifamily</w:t>
      </w:r>
      <w:r w:rsidR="00A63862" w:rsidRPr="002C0B4F">
        <w:rPr>
          <w:rFonts w:ascii="Aptos" w:hAnsi="Aptos" w:cs="Tahoma"/>
        </w:rPr>
        <w:t xml:space="preserve"> residential</w:t>
      </w:r>
      <w:r w:rsidR="00875442" w:rsidRPr="002C0B4F">
        <w:rPr>
          <w:rFonts w:ascii="Aptos" w:hAnsi="Aptos" w:cs="Tahoma"/>
        </w:rPr>
        <w:t xml:space="preserve"> buildings.</w:t>
      </w:r>
    </w:p>
    <w:p w14:paraId="19FA890F" w14:textId="2A8D4126" w:rsidR="007B282E" w:rsidRPr="002C0B4F" w:rsidRDefault="007B282E" w:rsidP="004F0931">
      <w:pPr>
        <w:pStyle w:val="ListParagraph"/>
        <w:numPr>
          <w:ilvl w:val="0"/>
          <w:numId w:val="7"/>
        </w:numPr>
        <w:spacing w:before="120" w:after="120" w:line="259" w:lineRule="auto"/>
        <w:contextualSpacing w:val="0"/>
        <w:rPr>
          <w:rFonts w:ascii="Aptos" w:hAnsi="Aptos" w:cs="Tahoma"/>
        </w:rPr>
      </w:pPr>
      <w:r w:rsidRPr="002C0B4F">
        <w:rPr>
          <w:rFonts w:ascii="Aptos" w:hAnsi="Aptos" w:cs="Tahoma"/>
        </w:rPr>
        <w:t>Existing multifamily residential</w:t>
      </w:r>
      <w:r w:rsidR="00B45234" w:rsidRPr="002C0B4F">
        <w:rPr>
          <w:rFonts w:ascii="Aptos" w:hAnsi="Aptos" w:cs="Tahoma"/>
        </w:rPr>
        <w:t xml:space="preserve"> buildings.</w:t>
      </w:r>
    </w:p>
    <w:p w14:paraId="38ED0DC3" w14:textId="54AB7C66" w:rsidR="007B282E" w:rsidRPr="002C0B4F" w:rsidRDefault="00A63862" w:rsidP="004F0931">
      <w:pPr>
        <w:pStyle w:val="ListParagraph"/>
        <w:numPr>
          <w:ilvl w:val="0"/>
          <w:numId w:val="7"/>
        </w:numPr>
        <w:spacing w:before="120" w:after="120" w:line="259" w:lineRule="auto"/>
        <w:contextualSpacing w:val="0"/>
        <w:rPr>
          <w:rFonts w:ascii="Aptos" w:hAnsi="Aptos" w:cs="Tahoma"/>
        </w:rPr>
      </w:pPr>
      <w:r w:rsidRPr="002C0B4F">
        <w:rPr>
          <w:rFonts w:ascii="Aptos" w:hAnsi="Aptos" w:cs="Tahoma"/>
        </w:rPr>
        <w:t xml:space="preserve">Newly constructed </w:t>
      </w:r>
      <w:r w:rsidR="003B4CFA" w:rsidRPr="002C0B4F">
        <w:rPr>
          <w:rFonts w:ascii="Aptos" w:hAnsi="Aptos" w:cs="Tahoma"/>
        </w:rPr>
        <w:t xml:space="preserve">single-family </w:t>
      </w:r>
      <w:r w:rsidRPr="002C0B4F">
        <w:rPr>
          <w:rFonts w:ascii="Aptos" w:hAnsi="Aptos" w:cs="Tahoma"/>
        </w:rPr>
        <w:t>residential</w:t>
      </w:r>
      <w:r w:rsidR="003B4CFA" w:rsidRPr="002C0B4F">
        <w:rPr>
          <w:rFonts w:ascii="Aptos" w:hAnsi="Aptos" w:cs="Tahoma"/>
        </w:rPr>
        <w:t xml:space="preserve"> </w:t>
      </w:r>
      <w:r w:rsidR="00580F73" w:rsidRPr="002C0B4F">
        <w:rPr>
          <w:rFonts w:ascii="Aptos" w:hAnsi="Aptos" w:cs="Tahoma"/>
        </w:rPr>
        <w:t>buildings</w:t>
      </w:r>
      <w:r w:rsidR="003B4CFA" w:rsidRPr="002C0B4F">
        <w:rPr>
          <w:rFonts w:ascii="Aptos" w:hAnsi="Aptos" w:cs="Tahoma"/>
        </w:rPr>
        <w:t>.</w:t>
      </w:r>
    </w:p>
    <w:p w14:paraId="3971A6D8" w14:textId="7A251668" w:rsidR="007A709A" w:rsidRPr="002C0B4F" w:rsidRDefault="007A709A" w:rsidP="004F0931">
      <w:pPr>
        <w:spacing w:before="120" w:after="120" w:line="259" w:lineRule="auto"/>
        <w:ind w:left="720"/>
        <w:rPr>
          <w:rFonts w:ascii="Aptos" w:hAnsi="Aptos" w:cs="Tahoma"/>
        </w:rPr>
      </w:pPr>
      <w:r w:rsidRPr="002C0B4F">
        <w:rPr>
          <w:rFonts w:ascii="Aptos" w:hAnsi="Aptos" w:cs="Tahoma"/>
        </w:rPr>
        <w:t xml:space="preserve">We do </w:t>
      </w:r>
      <w:r w:rsidR="001802FB" w:rsidRPr="002C0B4F">
        <w:rPr>
          <w:rFonts w:ascii="Aptos" w:hAnsi="Aptos" w:cs="Tahoma"/>
        </w:rPr>
        <w:t xml:space="preserve">expect to revisit this prioritization with the selected </w:t>
      </w:r>
      <w:r w:rsidR="00453992" w:rsidRPr="002C0B4F">
        <w:rPr>
          <w:rFonts w:ascii="Aptos" w:hAnsi="Aptos" w:cs="Tahoma"/>
        </w:rPr>
        <w:t>C</w:t>
      </w:r>
      <w:r w:rsidR="001802FB" w:rsidRPr="002C0B4F">
        <w:rPr>
          <w:rFonts w:ascii="Aptos" w:hAnsi="Aptos" w:cs="Tahoma"/>
        </w:rPr>
        <w:t xml:space="preserve">ontractor, and the order </w:t>
      </w:r>
      <w:r w:rsidR="005F3B77" w:rsidRPr="002C0B4F">
        <w:rPr>
          <w:rFonts w:ascii="Aptos" w:hAnsi="Aptos" w:cs="Tahoma"/>
        </w:rPr>
        <w:t>may</w:t>
      </w:r>
      <w:r w:rsidR="001802FB" w:rsidRPr="002C0B4F">
        <w:rPr>
          <w:rFonts w:ascii="Aptos" w:hAnsi="Aptos" w:cs="Tahoma"/>
        </w:rPr>
        <w:t xml:space="preserve"> change based on this collaboration.</w:t>
      </w:r>
    </w:p>
    <w:p w14:paraId="57BC85FF" w14:textId="37D27843" w:rsidR="002075B1" w:rsidRPr="002C0B4F" w:rsidRDefault="002075B1" w:rsidP="004F0931">
      <w:pPr>
        <w:spacing w:before="120" w:after="120" w:line="259" w:lineRule="auto"/>
        <w:ind w:left="720" w:hanging="720"/>
        <w:rPr>
          <w:rFonts w:ascii="Aptos" w:hAnsi="Aptos" w:cs="Tahoma"/>
          <w:b/>
          <w:bCs/>
        </w:rPr>
      </w:pPr>
      <w:r w:rsidRPr="002C0B4F">
        <w:rPr>
          <w:rFonts w:ascii="Aptos" w:hAnsi="Aptos" w:cs="Tahoma"/>
          <w:b/>
          <w:bCs/>
        </w:rPr>
        <w:lastRenderedPageBreak/>
        <w:t>Q</w:t>
      </w:r>
      <w:r w:rsidR="00037E58" w:rsidRPr="002C0B4F">
        <w:rPr>
          <w:rFonts w:ascii="Aptos" w:hAnsi="Aptos" w:cs="Tahoma"/>
          <w:b/>
          <w:bCs/>
        </w:rPr>
        <w:t>39</w:t>
      </w:r>
      <w:r w:rsidRPr="002C0B4F">
        <w:rPr>
          <w:rFonts w:ascii="Aptos" w:hAnsi="Aptos" w:cs="Tahoma"/>
          <w:b/>
          <w:bCs/>
        </w:rPr>
        <w:t>:</w:t>
      </w:r>
      <w:r w:rsidRPr="002C0B4F">
        <w:rPr>
          <w:rFonts w:ascii="Aptos" w:hAnsi="Aptos" w:cs="Tahoma"/>
          <w:b/>
          <w:bCs/>
        </w:rPr>
        <w:tab/>
        <w:t>In the Background Summary section of the solicitation manual on page</w:t>
      </w:r>
      <w:r w:rsidR="003E33A3" w:rsidRPr="002C0B4F">
        <w:rPr>
          <w:rFonts w:ascii="Aptos" w:hAnsi="Aptos" w:cs="Tahoma"/>
          <w:b/>
          <w:bCs/>
        </w:rPr>
        <w:t xml:space="preserve"> 1</w:t>
      </w:r>
      <w:r w:rsidRPr="002C0B4F">
        <w:rPr>
          <w:rFonts w:ascii="Aptos" w:hAnsi="Aptos" w:cs="Tahoma"/>
          <w:b/>
          <w:bCs/>
        </w:rPr>
        <w:t xml:space="preserve">1, </w:t>
      </w:r>
      <w:r w:rsidR="003E33A3" w:rsidRPr="002C0B4F">
        <w:rPr>
          <w:rFonts w:ascii="Aptos" w:hAnsi="Aptos" w:cs="Tahoma"/>
          <w:b/>
          <w:bCs/>
        </w:rPr>
        <w:t>“covered processes” is included in the</w:t>
      </w:r>
      <w:r w:rsidRPr="002C0B4F">
        <w:rPr>
          <w:rFonts w:ascii="Aptos" w:hAnsi="Aptos" w:cs="Tahoma"/>
          <w:b/>
          <w:bCs/>
        </w:rPr>
        <w:t xml:space="preserve"> seven building categories</w:t>
      </w:r>
      <w:r w:rsidR="003E33A3" w:rsidRPr="002C0B4F">
        <w:rPr>
          <w:rFonts w:ascii="Aptos" w:hAnsi="Aptos" w:cs="Tahoma"/>
          <w:b/>
          <w:bCs/>
        </w:rPr>
        <w:t xml:space="preserve">. Can you elaborate </w:t>
      </w:r>
      <w:r w:rsidR="00037E58" w:rsidRPr="002C0B4F">
        <w:rPr>
          <w:rFonts w:ascii="Aptos" w:hAnsi="Aptos" w:cs="Tahoma"/>
          <w:b/>
          <w:bCs/>
        </w:rPr>
        <w:t xml:space="preserve">on </w:t>
      </w:r>
      <w:r w:rsidR="003E33A3" w:rsidRPr="002C0B4F">
        <w:rPr>
          <w:rFonts w:ascii="Aptos" w:hAnsi="Aptos" w:cs="Tahoma"/>
          <w:b/>
          <w:bCs/>
        </w:rPr>
        <w:t>what is meant by “covered processes”?</w:t>
      </w:r>
    </w:p>
    <w:p w14:paraId="3B894DA7" w14:textId="505BA24B" w:rsidR="002075B1" w:rsidRPr="002C0B4F" w:rsidRDefault="002075B1" w:rsidP="004F0931">
      <w:pPr>
        <w:spacing w:before="120" w:after="120" w:line="259" w:lineRule="auto"/>
        <w:ind w:left="720" w:hanging="720"/>
        <w:rPr>
          <w:rFonts w:ascii="Aptos" w:hAnsi="Aptos" w:cs="Tahoma"/>
        </w:rPr>
      </w:pPr>
      <w:r w:rsidRPr="002C0B4F">
        <w:rPr>
          <w:rFonts w:ascii="Aptos" w:hAnsi="Aptos" w:cs="Tahoma"/>
        </w:rPr>
        <w:t>A</w:t>
      </w:r>
      <w:r w:rsidR="00037E58" w:rsidRPr="002C0B4F">
        <w:rPr>
          <w:rFonts w:ascii="Aptos" w:hAnsi="Aptos" w:cs="Tahoma"/>
        </w:rPr>
        <w:t>39</w:t>
      </w:r>
      <w:r w:rsidRPr="002C0B4F">
        <w:rPr>
          <w:rFonts w:ascii="Aptos" w:hAnsi="Aptos" w:cs="Tahoma"/>
        </w:rPr>
        <w:t>:</w:t>
      </w:r>
      <w:r w:rsidRPr="002C0B4F">
        <w:rPr>
          <w:rFonts w:ascii="Aptos" w:hAnsi="Aptos" w:cs="Tahoma"/>
        </w:rPr>
        <w:tab/>
      </w:r>
      <w:r w:rsidR="00BF2D12" w:rsidRPr="002C0B4F">
        <w:rPr>
          <w:rFonts w:ascii="Aptos" w:hAnsi="Aptos" w:cs="Tahoma"/>
        </w:rPr>
        <w:t xml:space="preserve">Yes, </w:t>
      </w:r>
      <w:r w:rsidR="00242DE6" w:rsidRPr="002C0B4F">
        <w:rPr>
          <w:rFonts w:ascii="Aptos" w:hAnsi="Aptos" w:cs="Tahoma"/>
        </w:rPr>
        <w:t xml:space="preserve">the term “covered process” is defined in the </w:t>
      </w:r>
      <w:hyperlink r:id="rId45" w:history="1">
        <w:r w:rsidR="00242DE6" w:rsidRPr="002C0B4F">
          <w:rPr>
            <w:rStyle w:val="Hyperlink"/>
            <w:rFonts w:ascii="Aptos" w:hAnsi="Aptos" w:cs="Tahoma"/>
          </w:rPr>
          <w:t xml:space="preserve">2025 </w:t>
        </w:r>
        <w:r w:rsidR="00902652" w:rsidRPr="002C0B4F">
          <w:rPr>
            <w:rStyle w:val="Hyperlink"/>
            <w:rFonts w:ascii="Aptos" w:hAnsi="Aptos" w:cs="Tahoma"/>
          </w:rPr>
          <w:t>Building Energy Efficiency Standards</w:t>
        </w:r>
      </w:hyperlink>
      <w:r w:rsidR="00902652" w:rsidRPr="002C0B4F">
        <w:rPr>
          <w:rFonts w:ascii="Aptos" w:hAnsi="Aptos" w:cs="Tahoma"/>
        </w:rPr>
        <w:t xml:space="preserve"> (https://www.energy.ca.gov/publications/2025/2025-building-energy-efficiency-standards-residential-and-nonresidential)</w:t>
      </w:r>
      <w:r w:rsidR="00242DE6" w:rsidRPr="002C0B4F">
        <w:rPr>
          <w:rFonts w:ascii="Aptos" w:hAnsi="Aptos" w:cs="Tahoma"/>
        </w:rPr>
        <w:t xml:space="preserve"> as “a process that includes computer rooms, data centers, elevators, escalators and moving walkways, laboratories, enclosed parking garages, commercial kitchens, refrigerated warehouses, commercial refrigeration, compressed air systems, process boilers, process heating and cooling piping, and controlled environment horticultural spaces.”</w:t>
      </w:r>
    </w:p>
    <w:p w14:paraId="552900D2" w14:textId="37404493" w:rsidR="00ED670F" w:rsidRPr="002C0B4F" w:rsidRDefault="00ED670F" w:rsidP="004F0931">
      <w:pPr>
        <w:spacing w:before="120" w:after="120" w:line="259" w:lineRule="auto"/>
        <w:ind w:left="720" w:hanging="720"/>
        <w:rPr>
          <w:rFonts w:ascii="Aptos" w:hAnsi="Aptos" w:cs="Tahoma"/>
        </w:rPr>
      </w:pPr>
      <w:r w:rsidRPr="002C0B4F">
        <w:rPr>
          <w:rFonts w:ascii="Aptos" w:hAnsi="Aptos" w:cs="Tahoma"/>
        </w:rPr>
        <w:tab/>
      </w:r>
      <w:r w:rsidR="00185DB0" w:rsidRPr="002C0B4F">
        <w:rPr>
          <w:rFonts w:ascii="Aptos" w:hAnsi="Aptos" w:cs="Tahoma"/>
        </w:rPr>
        <w:t xml:space="preserve">For reference, </w:t>
      </w:r>
      <w:r w:rsidR="001B4569" w:rsidRPr="002C0B4F">
        <w:rPr>
          <w:rFonts w:ascii="Aptos" w:hAnsi="Aptos" w:cs="Tahoma"/>
        </w:rPr>
        <w:t xml:space="preserve">the </w:t>
      </w:r>
      <w:r w:rsidR="006378C3" w:rsidRPr="002C0B4F">
        <w:rPr>
          <w:rFonts w:ascii="Aptos" w:hAnsi="Aptos"/>
        </w:rPr>
        <w:t>2025 Building Energy Efficiency Standards</w:t>
      </w:r>
      <w:r w:rsidR="005356F8" w:rsidRPr="002C0B4F">
        <w:rPr>
          <w:rFonts w:ascii="Aptos" w:hAnsi="Aptos" w:cs="Tahoma"/>
        </w:rPr>
        <w:t xml:space="preserve"> </w:t>
      </w:r>
      <w:r w:rsidR="00F93ADD" w:rsidRPr="002C0B4F">
        <w:rPr>
          <w:rFonts w:ascii="Aptos" w:hAnsi="Aptos" w:cs="Tahoma"/>
        </w:rPr>
        <w:t>also</w:t>
      </w:r>
      <w:r w:rsidR="001B4569" w:rsidRPr="002C0B4F">
        <w:rPr>
          <w:rFonts w:ascii="Aptos" w:hAnsi="Aptos" w:cs="Tahoma"/>
        </w:rPr>
        <w:t xml:space="preserve"> define a “process” as “</w:t>
      </w:r>
      <w:r w:rsidRPr="002C0B4F">
        <w:rPr>
          <w:rFonts w:ascii="Aptos" w:hAnsi="Aptos" w:cs="Tahoma"/>
        </w:rPr>
        <w:t>an activity or treatment that is not related to the space conditioning, lighting, service water heating, or ventilating of a building as it relates to human occupancy.</w:t>
      </w:r>
      <w:r w:rsidR="001B4569" w:rsidRPr="002C0B4F">
        <w:rPr>
          <w:rFonts w:ascii="Aptos" w:hAnsi="Aptos" w:cs="Tahoma"/>
        </w:rPr>
        <w:t>”</w:t>
      </w:r>
    </w:p>
    <w:p w14:paraId="77516DD3" w14:textId="2D6447AA" w:rsidR="0026243E" w:rsidRPr="002C0B4F" w:rsidRDefault="0026243E" w:rsidP="004F0931">
      <w:pPr>
        <w:spacing w:before="120" w:after="120" w:line="259" w:lineRule="auto"/>
        <w:ind w:left="720" w:hanging="720"/>
        <w:rPr>
          <w:rFonts w:ascii="Aptos" w:hAnsi="Aptos" w:cs="Tahoma"/>
        </w:rPr>
      </w:pPr>
      <w:r w:rsidRPr="002C0B4F">
        <w:rPr>
          <w:rFonts w:ascii="Aptos" w:hAnsi="Aptos" w:cs="Tahoma"/>
        </w:rPr>
        <w:tab/>
        <w:t>Refer to</w:t>
      </w:r>
      <w:r w:rsidR="00215EF4" w:rsidRPr="002C0B4F">
        <w:rPr>
          <w:rFonts w:ascii="Aptos" w:hAnsi="Aptos" w:cs="Tahoma"/>
        </w:rPr>
        <w:t xml:space="preserve"> the</w:t>
      </w:r>
      <w:r w:rsidRPr="002C0B4F">
        <w:rPr>
          <w:rFonts w:ascii="Aptos" w:hAnsi="Aptos" w:cs="Tahoma"/>
        </w:rPr>
        <w:t xml:space="preserve"> </w:t>
      </w:r>
      <w:hyperlink r:id="rId46" w:history="1">
        <w:r w:rsidR="00215EF4" w:rsidRPr="002C0B4F">
          <w:rPr>
            <w:rStyle w:val="Hyperlink"/>
            <w:rFonts w:ascii="Aptos" w:hAnsi="Aptos" w:cs="Tahoma"/>
          </w:rPr>
          <w:t>California Energy Code Compliance Gap Analysis</w:t>
        </w:r>
      </w:hyperlink>
      <w:r w:rsidR="003D58A4" w:rsidRPr="002C0B4F">
        <w:rPr>
          <w:rFonts w:ascii="Aptos" w:hAnsi="Aptos" w:cs="Tahoma"/>
        </w:rPr>
        <w:t xml:space="preserve"> (</w:t>
      </w:r>
      <w:r w:rsidR="007E21D0" w:rsidRPr="002C0B4F">
        <w:rPr>
          <w:rFonts w:ascii="Aptos" w:hAnsi="Aptos" w:cs="Tahoma"/>
        </w:rPr>
        <w:t>https://www.energy.ca.gov/publications/2025/california-energy-code-compliance-gap-analysis</w:t>
      </w:r>
      <w:r w:rsidR="00AC38F6" w:rsidRPr="002C0B4F">
        <w:rPr>
          <w:rFonts w:ascii="Aptos" w:hAnsi="Aptos" w:cs="Tahoma"/>
        </w:rPr>
        <w:t>)</w:t>
      </w:r>
      <w:r w:rsidR="00DC612D" w:rsidRPr="002C0B4F">
        <w:rPr>
          <w:rFonts w:ascii="Aptos" w:hAnsi="Aptos" w:cs="Tahoma"/>
        </w:rPr>
        <w:t xml:space="preserve">, Chapter 3.1.5 for more information. </w:t>
      </w:r>
    </w:p>
    <w:p w14:paraId="50F621FD" w14:textId="3BF83CF4" w:rsidR="00711DAA" w:rsidRPr="002C0B4F" w:rsidRDefault="00711DAA" w:rsidP="004F0931">
      <w:pPr>
        <w:spacing w:before="120" w:after="120" w:line="259" w:lineRule="auto"/>
        <w:ind w:left="720" w:hanging="720"/>
        <w:rPr>
          <w:rFonts w:ascii="Aptos" w:hAnsi="Aptos" w:cs="Tahoma"/>
          <w:b/>
          <w:bCs/>
        </w:rPr>
      </w:pPr>
      <w:r w:rsidRPr="002C0B4F">
        <w:rPr>
          <w:rFonts w:ascii="Aptos" w:hAnsi="Aptos" w:cs="Tahoma"/>
          <w:b/>
          <w:bCs/>
        </w:rPr>
        <w:t>Q</w:t>
      </w:r>
      <w:r w:rsidR="00037E58" w:rsidRPr="002C0B4F">
        <w:rPr>
          <w:rFonts w:ascii="Aptos" w:hAnsi="Aptos" w:cs="Tahoma"/>
          <w:b/>
          <w:bCs/>
        </w:rPr>
        <w:t>40</w:t>
      </w:r>
      <w:r w:rsidRPr="002C0B4F">
        <w:rPr>
          <w:rFonts w:ascii="Aptos" w:hAnsi="Aptos" w:cs="Tahoma"/>
          <w:b/>
          <w:bCs/>
        </w:rPr>
        <w:t>:</w:t>
      </w:r>
      <w:r w:rsidRPr="002C0B4F">
        <w:rPr>
          <w:rFonts w:ascii="Aptos" w:hAnsi="Aptos" w:cs="Tahoma"/>
          <w:b/>
          <w:bCs/>
        </w:rPr>
        <w:tab/>
        <w:t xml:space="preserve">Under Subtask 4.1 in the SOW on page 47, </w:t>
      </w:r>
      <w:r w:rsidR="00241612" w:rsidRPr="002C0B4F">
        <w:rPr>
          <w:rFonts w:ascii="Aptos" w:hAnsi="Aptos" w:cs="Tahoma"/>
          <w:b/>
          <w:bCs/>
        </w:rPr>
        <w:t>it mentions “</w:t>
      </w:r>
      <w:r w:rsidR="00EC48AD" w:rsidRPr="002C0B4F">
        <w:rPr>
          <w:rFonts w:ascii="Aptos" w:hAnsi="Aptos" w:cs="Tahoma"/>
          <w:b/>
          <w:bCs/>
        </w:rPr>
        <w:t>precision targets (such as margin of error and confidence level)”. Does the CEC have an expected minimum precision target for this work?</w:t>
      </w:r>
    </w:p>
    <w:p w14:paraId="0D82CF70" w14:textId="54FEA90B" w:rsidR="00711DAA" w:rsidRPr="002C0B4F" w:rsidRDefault="00711DAA" w:rsidP="004F0931">
      <w:pPr>
        <w:spacing w:before="120" w:after="120" w:line="259" w:lineRule="auto"/>
        <w:ind w:left="720" w:hanging="720"/>
        <w:rPr>
          <w:rFonts w:ascii="Aptos" w:hAnsi="Aptos" w:cs="Tahoma"/>
        </w:rPr>
      </w:pPr>
      <w:r w:rsidRPr="002C0B4F">
        <w:rPr>
          <w:rFonts w:ascii="Aptos" w:hAnsi="Aptos" w:cs="Tahoma"/>
        </w:rPr>
        <w:t>A</w:t>
      </w:r>
      <w:r w:rsidR="00037E58" w:rsidRPr="002C0B4F">
        <w:rPr>
          <w:rFonts w:ascii="Aptos" w:hAnsi="Aptos" w:cs="Tahoma"/>
        </w:rPr>
        <w:t>4</w:t>
      </w:r>
      <w:r w:rsidR="007E4B58" w:rsidRPr="002C0B4F">
        <w:rPr>
          <w:rFonts w:ascii="Aptos" w:hAnsi="Aptos" w:cs="Tahoma"/>
        </w:rPr>
        <w:t>0</w:t>
      </w:r>
      <w:r w:rsidRPr="002C0B4F">
        <w:rPr>
          <w:rFonts w:ascii="Aptos" w:hAnsi="Aptos" w:cs="Tahoma"/>
        </w:rPr>
        <w:t>:</w:t>
      </w:r>
      <w:r w:rsidRPr="002C0B4F">
        <w:rPr>
          <w:rFonts w:ascii="Aptos" w:hAnsi="Aptos" w:cs="Tahoma"/>
        </w:rPr>
        <w:tab/>
      </w:r>
      <w:r w:rsidR="00850583" w:rsidRPr="002C0B4F">
        <w:rPr>
          <w:rFonts w:ascii="Aptos" w:hAnsi="Aptos" w:cs="Tahoma"/>
        </w:rPr>
        <w:t xml:space="preserve">The CEC does not </w:t>
      </w:r>
      <w:r w:rsidR="00B24869" w:rsidRPr="002C0B4F">
        <w:rPr>
          <w:rFonts w:ascii="Aptos" w:hAnsi="Aptos" w:cs="Tahoma"/>
        </w:rPr>
        <w:t xml:space="preserve">have </w:t>
      </w:r>
      <w:r w:rsidR="00850583" w:rsidRPr="002C0B4F">
        <w:rPr>
          <w:rFonts w:ascii="Aptos" w:hAnsi="Aptos" w:cs="Tahoma"/>
        </w:rPr>
        <w:t>fixed minimum precision target</w:t>
      </w:r>
      <w:r w:rsidR="003B4A67" w:rsidRPr="002C0B4F">
        <w:rPr>
          <w:rFonts w:ascii="Aptos" w:hAnsi="Aptos" w:cs="Tahoma"/>
        </w:rPr>
        <w:t>s</w:t>
      </w:r>
      <w:r w:rsidR="00850583" w:rsidRPr="002C0B4F">
        <w:rPr>
          <w:rFonts w:ascii="Aptos" w:hAnsi="Aptos" w:cs="Tahoma"/>
        </w:rPr>
        <w:t xml:space="preserve">; however, </w:t>
      </w:r>
      <w:r w:rsidR="00670F11" w:rsidRPr="002C0B4F">
        <w:rPr>
          <w:rFonts w:ascii="Aptos" w:hAnsi="Aptos" w:cs="Tahoma"/>
        </w:rPr>
        <w:t>Firms</w:t>
      </w:r>
      <w:r w:rsidR="00850583" w:rsidRPr="002C0B4F">
        <w:rPr>
          <w:rFonts w:ascii="Aptos" w:hAnsi="Aptos" w:cs="Tahoma"/>
        </w:rPr>
        <w:t xml:space="preserve"> should </w:t>
      </w:r>
      <w:r w:rsidR="00094F21" w:rsidRPr="002C0B4F">
        <w:rPr>
          <w:rFonts w:ascii="Aptos" w:hAnsi="Aptos" w:cs="Tahoma"/>
        </w:rPr>
        <w:t xml:space="preserve">consider a </w:t>
      </w:r>
      <w:r w:rsidR="00284E72" w:rsidRPr="002C0B4F">
        <w:rPr>
          <w:rFonts w:ascii="Aptos" w:hAnsi="Aptos" w:cs="Tahoma"/>
        </w:rPr>
        <w:t>90%</w:t>
      </w:r>
      <w:r w:rsidR="00094F21" w:rsidRPr="002C0B4F">
        <w:rPr>
          <w:rFonts w:ascii="Aptos" w:hAnsi="Aptos" w:cs="Tahoma"/>
        </w:rPr>
        <w:t xml:space="preserve"> confidence level with ±10% </w:t>
      </w:r>
      <w:r w:rsidR="00610657" w:rsidRPr="002C0B4F">
        <w:rPr>
          <w:rFonts w:ascii="Aptos" w:hAnsi="Aptos" w:cs="Tahoma"/>
        </w:rPr>
        <w:t xml:space="preserve">precision as a benchmark commonly used for </w:t>
      </w:r>
      <w:r w:rsidR="00EC065C" w:rsidRPr="002C0B4F">
        <w:rPr>
          <w:rFonts w:ascii="Aptos" w:hAnsi="Aptos" w:cs="Tahoma"/>
        </w:rPr>
        <w:t>E</w:t>
      </w:r>
      <w:r w:rsidR="00610657" w:rsidRPr="002C0B4F">
        <w:rPr>
          <w:rFonts w:ascii="Aptos" w:hAnsi="Aptos" w:cs="Tahoma"/>
        </w:rPr>
        <w:t xml:space="preserve">nergy </w:t>
      </w:r>
      <w:r w:rsidR="00EC065C" w:rsidRPr="002C0B4F">
        <w:rPr>
          <w:rFonts w:ascii="Aptos" w:hAnsi="Aptos" w:cs="Tahoma"/>
        </w:rPr>
        <w:t>C</w:t>
      </w:r>
      <w:r w:rsidR="00610657" w:rsidRPr="002C0B4F">
        <w:rPr>
          <w:rFonts w:ascii="Aptos" w:hAnsi="Aptos" w:cs="Tahoma"/>
        </w:rPr>
        <w:t>ode compliance</w:t>
      </w:r>
      <w:r w:rsidR="00284E72" w:rsidRPr="002C0B4F">
        <w:rPr>
          <w:rFonts w:ascii="Aptos" w:hAnsi="Aptos" w:cs="Tahoma"/>
        </w:rPr>
        <w:t xml:space="preserve"> field studies</w:t>
      </w:r>
      <w:r w:rsidR="003E22F0" w:rsidRPr="002C0B4F">
        <w:rPr>
          <w:rFonts w:ascii="Aptos" w:hAnsi="Aptos" w:cs="Tahoma"/>
        </w:rPr>
        <w:t xml:space="preserve">. </w:t>
      </w:r>
      <w:r w:rsidR="00F100D2" w:rsidRPr="002C0B4F">
        <w:rPr>
          <w:rFonts w:ascii="Aptos" w:hAnsi="Aptos" w:cs="Tahoma"/>
        </w:rPr>
        <w:t xml:space="preserve">See </w:t>
      </w:r>
      <w:r w:rsidR="00C10533" w:rsidRPr="002C0B4F">
        <w:rPr>
          <w:rFonts w:ascii="Aptos" w:hAnsi="Aptos" w:cs="Tahoma"/>
        </w:rPr>
        <w:t xml:space="preserve">an example </w:t>
      </w:r>
      <w:r w:rsidR="00022E2A" w:rsidRPr="002C0B4F">
        <w:rPr>
          <w:rFonts w:ascii="Aptos" w:hAnsi="Aptos" w:cs="Tahoma"/>
        </w:rPr>
        <w:t xml:space="preserve">reference </w:t>
      </w:r>
      <w:r w:rsidR="00036F00" w:rsidRPr="002C0B4F">
        <w:rPr>
          <w:rFonts w:ascii="Aptos" w:hAnsi="Aptos" w:cs="Tahoma"/>
        </w:rPr>
        <w:t xml:space="preserve">in the </w:t>
      </w:r>
      <w:hyperlink r:id="rId47" w:history="1">
        <w:r w:rsidR="00036F00" w:rsidRPr="002C0B4F">
          <w:rPr>
            <w:rStyle w:val="Hyperlink"/>
            <w:rFonts w:ascii="Aptos" w:hAnsi="Aptos" w:cs="Tahoma"/>
          </w:rPr>
          <w:t>Residential Building Energy Code Field Study Data Collection &amp; Analysis Methodology</w:t>
        </w:r>
      </w:hyperlink>
      <w:r w:rsidR="00022E2A" w:rsidRPr="002C0B4F">
        <w:rPr>
          <w:rFonts w:ascii="Aptos" w:hAnsi="Aptos" w:cs="Tahoma"/>
        </w:rPr>
        <w:t xml:space="preserve"> (</w:t>
      </w:r>
      <w:r w:rsidR="00036F00" w:rsidRPr="002C0B4F">
        <w:rPr>
          <w:rFonts w:ascii="Aptos" w:hAnsi="Aptos" w:cs="Tahoma"/>
        </w:rPr>
        <w:t>https://www.energy.gov/documents/bto-res-field-study-methodology-060618-2pdf</w:t>
      </w:r>
      <w:r w:rsidR="00022E2A" w:rsidRPr="002C0B4F">
        <w:rPr>
          <w:rFonts w:ascii="Aptos" w:hAnsi="Aptos" w:cs="Tahoma"/>
        </w:rPr>
        <w:t xml:space="preserve">). </w:t>
      </w:r>
      <w:r w:rsidR="003458C8" w:rsidRPr="002C0B4F">
        <w:rPr>
          <w:rFonts w:ascii="Aptos" w:hAnsi="Aptos" w:cs="Tahoma"/>
        </w:rPr>
        <w:t>Firms</w:t>
      </w:r>
      <w:r w:rsidR="00BE769C" w:rsidRPr="002C0B4F">
        <w:rPr>
          <w:rFonts w:ascii="Aptos" w:hAnsi="Aptos" w:cs="Tahoma"/>
        </w:rPr>
        <w:t xml:space="preserve"> may recommend alternative precision targets if they are methodologically justified and better aligned with the study objectives, sample availability, budget, or implementation constraints. </w:t>
      </w:r>
    </w:p>
    <w:p w14:paraId="0D027E5C" w14:textId="0E413F1B" w:rsidR="00771A39" w:rsidRPr="002C0B4F" w:rsidRDefault="00771A39" w:rsidP="004F0931">
      <w:pPr>
        <w:spacing w:before="120" w:after="120" w:line="259" w:lineRule="auto"/>
        <w:ind w:left="720" w:hanging="720"/>
        <w:rPr>
          <w:rFonts w:ascii="Aptos" w:hAnsi="Aptos" w:cs="Tahoma"/>
          <w:b/>
          <w:bCs/>
        </w:rPr>
      </w:pPr>
      <w:r w:rsidRPr="002C0B4F">
        <w:rPr>
          <w:rFonts w:ascii="Aptos" w:hAnsi="Aptos" w:cs="Tahoma"/>
          <w:b/>
          <w:bCs/>
        </w:rPr>
        <w:t>Q</w:t>
      </w:r>
      <w:r w:rsidR="00B269D0" w:rsidRPr="002C0B4F">
        <w:rPr>
          <w:rFonts w:ascii="Aptos" w:hAnsi="Aptos" w:cs="Tahoma"/>
          <w:b/>
          <w:bCs/>
        </w:rPr>
        <w:t>4</w:t>
      </w:r>
      <w:r w:rsidR="007E4B58" w:rsidRPr="002C0B4F">
        <w:rPr>
          <w:rFonts w:ascii="Aptos" w:hAnsi="Aptos" w:cs="Tahoma"/>
          <w:b/>
          <w:bCs/>
        </w:rPr>
        <w:t>1</w:t>
      </w:r>
      <w:r w:rsidRPr="002C0B4F">
        <w:rPr>
          <w:rFonts w:ascii="Aptos" w:hAnsi="Aptos" w:cs="Tahoma"/>
          <w:b/>
          <w:bCs/>
        </w:rPr>
        <w:t>:</w:t>
      </w:r>
      <w:r w:rsidRPr="002C0B4F">
        <w:rPr>
          <w:rFonts w:ascii="Aptos" w:hAnsi="Aptos" w:cs="Tahoma"/>
          <w:b/>
          <w:bCs/>
        </w:rPr>
        <w:tab/>
        <w:t>Regarding Subtask 10.3 in the SOW</w:t>
      </w:r>
      <w:r w:rsidR="003D4D25" w:rsidRPr="002C0B4F">
        <w:rPr>
          <w:rFonts w:ascii="Aptos" w:hAnsi="Aptos" w:cs="Tahoma"/>
          <w:b/>
          <w:bCs/>
        </w:rPr>
        <w:t xml:space="preserve"> on pages 86-87</w:t>
      </w:r>
      <w:r w:rsidRPr="002C0B4F">
        <w:rPr>
          <w:rFonts w:ascii="Aptos" w:hAnsi="Aptos" w:cs="Tahoma"/>
          <w:b/>
          <w:bCs/>
        </w:rPr>
        <w:t xml:space="preserve">, the CEC has an active contract to obtain similar services for monitoring and compliance for federal funded programs, which was solicited under </w:t>
      </w:r>
      <w:r w:rsidR="008C55A1" w:rsidRPr="002C0B4F">
        <w:rPr>
          <w:rFonts w:ascii="Aptos" w:hAnsi="Aptos" w:cs="Tahoma"/>
          <w:b/>
          <w:bCs/>
        </w:rPr>
        <w:t>RFP-24-301. How wi</w:t>
      </w:r>
      <w:r w:rsidR="00B269D0" w:rsidRPr="002C0B4F">
        <w:rPr>
          <w:rFonts w:ascii="Aptos" w:hAnsi="Aptos" w:cs="Tahoma"/>
          <w:b/>
          <w:bCs/>
        </w:rPr>
        <w:t xml:space="preserve">ll </w:t>
      </w:r>
      <w:r w:rsidR="008C55A1" w:rsidRPr="002C0B4F">
        <w:rPr>
          <w:rFonts w:ascii="Aptos" w:hAnsi="Aptos" w:cs="Tahoma"/>
          <w:b/>
          <w:bCs/>
        </w:rPr>
        <w:t xml:space="preserve">the contract </w:t>
      </w:r>
      <w:r w:rsidR="00B269D0" w:rsidRPr="002C0B4F">
        <w:rPr>
          <w:rFonts w:ascii="Aptos" w:hAnsi="Aptos" w:cs="Tahoma"/>
          <w:b/>
          <w:bCs/>
        </w:rPr>
        <w:t xml:space="preserve">that </w:t>
      </w:r>
      <w:r w:rsidR="008C55A1" w:rsidRPr="002C0B4F">
        <w:rPr>
          <w:rFonts w:ascii="Aptos" w:hAnsi="Aptos" w:cs="Tahoma"/>
          <w:b/>
          <w:bCs/>
        </w:rPr>
        <w:t>result</w:t>
      </w:r>
      <w:r w:rsidR="00B269D0" w:rsidRPr="002C0B4F">
        <w:rPr>
          <w:rFonts w:ascii="Aptos" w:hAnsi="Aptos" w:cs="Tahoma"/>
          <w:b/>
          <w:bCs/>
        </w:rPr>
        <w:t>s</w:t>
      </w:r>
      <w:r w:rsidR="008C55A1" w:rsidRPr="002C0B4F">
        <w:rPr>
          <w:rFonts w:ascii="Aptos" w:hAnsi="Aptos" w:cs="Tahoma"/>
          <w:b/>
          <w:bCs/>
        </w:rPr>
        <w:t xml:space="preserve"> from this solicitation interface with the other existing contract</w:t>
      </w:r>
      <w:r w:rsidRPr="002C0B4F">
        <w:rPr>
          <w:rFonts w:ascii="Aptos" w:hAnsi="Aptos" w:cs="Tahoma"/>
          <w:b/>
          <w:bCs/>
        </w:rPr>
        <w:t>?</w:t>
      </w:r>
    </w:p>
    <w:p w14:paraId="7DD96340" w14:textId="36B588AD" w:rsidR="00690603" w:rsidRPr="002C0B4F" w:rsidRDefault="00771A39" w:rsidP="004F0931">
      <w:pPr>
        <w:spacing w:before="120" w:after="120" w:line="259" w:lineRule="auto"/>
        <w:ind w:left="720" w:hanging="720"/>
        <w:rPr>
          <w:rFonts w:ascii="Aptos" w:hAnsi="Aptos" w:cs="Tahoma"/>
        </w:rPr>
      </w:pPr>
      <w:r w:rsidRPr="002C0B4F">
        <w:rPr>
          <w:rFonts w:ascii="Aptos" w:hAnsi="Aptos" w:cs="Tahoma"/>
        </w:rPr>
        <w:t>A</w:t>
      </w:r>
      <w:r w:rsidR="00B269D0" w:rsidRPr="002C0B4F">
        <w:rPr>
          <w:rFonts w:ascii="Aptos" w:hAnsi="Aptos" w:cs="Tahoma"/>
        </w:rPr>
        <w:t>4</w:t>
      </w:r>
      <w:r w:rsidR="007E4B58" w:rsidRPr="002C0B4F">
        <w:rPr>
          <w:rFonts w:ascii="Aptos" w:hAnsi="Aptos" w:cs="Tahoma"/>
        </w:rPr>
        <w:t>1</w:t>
      </w:r>
      <w:r w:rsidRPr="002C0B4F">
        <w:rPr>
          <w:rFonts w:ascii="Aptos" w:hAnsi="Aptos" w:cs="Tahoma"/>
        </w:rPr>
        <w:t>:</w:t>
      </w:r>
      <w:r w:rsidRPr="002C0B4F">
        <w:rPr>
          <w:rFonts w:ascii="Aptos" w:hAnsi="Aptos" w:cs="Tahoma"/>
        </w:rPr>
        <w:tab/>
      </w:r>
      <w:r w:rsidR="00690603" w:rsidRPr="002C0B4F">
        <w:rPr>
          <w:rFonts w:ascii="Aptos" w:hAnsi="Aptos" w:cs="Tahoma"/>
        </w:rPr>
        <w:t xml:space="preserve">When appropriate and/or applicable and to ensure consistency, the CEC Project Manager for the agreement resulting from this solicitation will coordinate with the CEC Project Manager </w:t>
      </w:r>
      <w:r w:rsidR="000107DB" w:rsidRPr="002C0B4F">
        <w:rPr>
          <w:rFonts w:ascii="Aptos" w:hAnsi="Aptos" w:cs="Tahoma"/>
        </w:rPr>
        <w:t>assigned to</w:t>
      </w:r>
      <w:r w:rsidR="00690603" w:rsidRPr="002C0B4F">
        <w:rPr>
          <w:rFonts w:ascii="Aptos" w:hAnsi="Aptos" w:cs="Tahoma"/>
        </w:rPr>
        <w:t xml:space="preserve"> the </w:t>
      </w:r>
      <w:r w:rsidR="00DE1708" w:rsidRPr="002C0B4F">
        <w:rPr>
          <w:rFonts w:ascii="Aptos" w:hAnsi="Aptos" w:cs="Tahoma"/>
        </w:rPr>
        <w:t xml:space="preserve">existing </w:t>
      </w:r>
      <w:r w:rsidR="00690603" w:rsidRPr="002C0B4F">
        <w:rPr>
          <w:rFonts w:ascii="Aptos" w:hAnsi="Aptos" w:cs="Tahoma"/>
        </w:rPr>
        <w:t xml:space="preserve">active contract. While </w:t>
      </w:r>
      <w:r w:rsidR="00C70837" w:rsidRPr="002C0B4F">
        <w:rPr>
          <w:rFonts w:ascii="Aptos" w:hAnsi="Aptos" w:cs="Tahoma"/>
        </w:rPr>
        <w:t>some similarity exists</w:t>
      </w:r>
      <w:r w:rsidR="00FA0F30" w:rsidRPr="002C0B4F">
        <w:rPr>
          <w:rFonts w:ascii="Aptos" w:hAnsi="Aptos" w:cs="Tahoma"/>
        </w:rPr>
        <w:t>,</w:t>
      </w:r>
      <w:r w:rsidR="0094728D" w:rsidRPr="002C0B4F">
        <w:rPr>
          <w:rFonts w:ascii="Aptos" w:hAnsi="Aptos" w:cs="Tahoma"/>
        </w:rPr>
        <w:t xml:space="preserve"> </w:t>
      </w:r>
      <w:r w:rsidR="0048609F" w:rsidRPr="002C0B4F">
        <w:rPr>
          <w:rFonts w:ascii="Aptos" w:hAnsi="Aptos" w:cs="Tahoma"/>
        </w:rPr>
        <w:t>the</w:t>
      </w:r>
      <w:r w:rsidR="00BE7549" w:rsidRPr="002C0B4F">
        <w:rPr>
          <w:rFonts w:ascii="Aptos" w:hAnsi="Aptos" w:cs="Tahoma"/>
        </w:rPr>
        <w:t xml:space="preserve"> target audience for the </w:t>
      </w:r>
      <w:r w:rsidR="0094728D" w:rsidRPr="002C0B4F">
        <w:rPr>
          <w:rFonts w:ascii="Aptos" w:hAnsi="Aptos" w:cs="Tahoma"/>
        </w:rPr>
        <w:t xml:space="preserve">services </w:t>
      </w:r>
      <w:r w:rsidR="00AE42C0" w:rsidRPr="002C0B4F">
        <w:rPr>
          <w:rFonts w:ascii="Aptos" w:hAnsi="Aptos" w:cs="Tahoma"/>
        </w:rPr>
        <w:t>provided</w:t>
      </w:r>
      <w:r w:rsidR="00BE7549" w:rsidRPr="002C0B4F">
        <w:rPr>
          <w:rFonts w:ascii="Aptos" w:hAnsi="Aptos" w:cs="Tahoma"/>
        </w:rPr>
        <w:t xml:space="preserve"> v</w:t>
      </w:r>
      <w:r w:rsidR="0094728D" w:rsidRPr="002C0B4F">
        <w:rPr>
          <w:rFonts w:ascii="Aptos" w:hAnsi="Aptos" w:cs="Tahoma"/>
        </w:rPr>
        <w:t xml:space="preserve">aries between the two agreements. </w:t>
      </w:r>
    </w:p>
    <w:p w14:paraId="33B64AFE" w14:textId="5CD8F1F7" w:rsidR="00771A39" w:rsidRPr="002C0B4F" w:rsidRDefault="00687AE7" w:rsidP="004F0931">
      <w:pPr>
        <w:spacing w:before="120" w:after="120" w:line="259" w:lineRule="auto"/>
        <w:ind w:left="720"/>
        <w:rPr>
          <w:rFonts w:ascii="Aptos" w:hAnsi="Aptos" w:cs="Tahoma"/>
        </w:rPr>
      </w:pPr>
      <w:r w:rsidRPr="002C0B4F">
        <w:rPr>
          <w:rFonts w:ascii="Aptos" w:hAnsi="Aptos" w:cs="Tahoma"/>
        </w:rPr>
        <w:lastRenderedPageBreak/>
        <w:t>Specifically, t</w:t>
      </w:r>
      <w:r w:rsidR="00396523" w:rsidRPr="002C0B4F">
        <w:rPr>
          <w:rFonts w:ascii="Aptos" w:hAnsi="Aptos" w:cs="Tahoma"/>
        </w:rPr>
        <w:t xml:space="preserve">he purpose of </w:t>
      </w:r>
      <w:r w:rsidRPr="002C0B4F">
        <w:rPr>
          <w:rFonts w:ascii="Aptos" w:hAnsi="Aptos" w:cs="Tahoma"/>
        </w:rPr>
        <w:t>the active CEC contract that resulted from sol</w:t>
      </w:r>
      <w:r w:rsidR="007F1BAD" w:rsidRPr="002C0B4F">
        <w:rPr>
          <w:rFonts w:ascii="Aptos" w:hAnsi="Aptos" w:cs="Tahoma"/>
        </w:rPr>
        <w:t xml:space="preserve">icitation number </w:t>
      </w:r>
      <w:r w:rsidR="00396523" w:rsidRPr="002C0B4F">
        <w:rPr>
          <w:rFonts w:ascii="Aptos" w:hAnsi="Aptos" w:cs="Tahoma"/>
        </w:rPr>
        <w:t>RFP</w:t>
      </w:r>
      <w:r w:rsidR="00941D84" w:rsidRPr="002C0B4F">
        <w:rPr>
          <w:rFonts w:ascii="Aptos" w:hAnsi="Aptos" w:cs="Tahoma"/>
        </w:rPr>
        <w:t xml:space="preserve">-24-301 </w:t>
      </w:r>
      <w:r w:rsidR="00D3397E" w:rsidRPr="002C0B4F">
        <w:rPr>
          <w:rFonts w:ascii="Aptos" w:hAnsi="Aptos" w:cs="Tahoma"/>
        </w:rPr>
        <w:t>is</w:t>
      </w:r>
      <w:r w:rsidR="00941D84" w:rsidRPr="002C0B4F">
        <w:rPr>
          <w:rFonts w:ascii="Aptos" w:hAnsi="Aptos" w:cs="Tahoma"/>
        </w:rPr>
        <w:t xml:space="preserve"> </w:t>
      </w:r>
      <w:r w:rsidR="00396523" w:rsidRPr="002C0B4F">
        <w:rPr>
          <w:rFonts w:ascii="Aptos" w:hAnsi="Aptos" w:cs="Tahoma"/>
        </w:rPr>
        <w:t xml:space="preserve">to </w:t>
      </w:r>
      <w:r w:rsidR="007F1BAD" w:rsidRPr="002C0B4F">
        <w:rPr>
          <w:rFonts w:ascii="Aptos" w:hAnsi="Aptos" w:cs="Tahoma"/>
        </w:rPr>
        <w:t>provide</w:t>
      </w:r>
      <w:r w:rsidR="00396523" w:rsidRPr="002C0B4F">
        <w:rPr>
          <w:rFonts w:ascii="Aptos" w:hAnsi="Aptos" w:cs="Tahoma"/>
        </w:rPr>
        <w:t xml:space="preserve"> </w:t>
      </w:r>
      <w:r w:rsidR="00837D25" w:rsidRPr="002C0B4F">
        <w:rPr>
          <w:rFonts w:ascii="Aptos" w:hAnsi="Aptos" w:cs="Tahoma"/>
          <w:u w:val="single"/>
        </w:rPr>
        <w:t>the CEC</w:t>
      </w:r>
      <w:r w:rsidR="00837D25" w:rsidRPr="002C0B4F">
        <w:rPr>
          <w:rFonts w:ascii="Aptos" w:hAnsi="Aptos" w:cs="Tahoma"/>
        </w:rPr>
        <w:t xml:space="preserve"> </w:t>
      </w:r>
      <w:r w:rsidR="00396523" w:rsidRPr="002C0B4F">
        <w:rPr>
          <w:rFonts w:ascii="Aptos" w:hAnsi="Aptos" w:cs="Tahoma"/>
        </w:rPr>
        <w:t xml:space="preserve">with </w:t>
      </w:r>
      <w:r w:rsidR="00D10684" w:rsidRPr="002C0B4F">
        <w:rPr>
          <w:rFonts w:ascii="Aptos" w:hAnsi="Aptos" w:cs="Tahoma"/>
        </w:rPr>
        <w:t>assistance in a</w:t>
      </w:r>
      <w:r w:rsidR="00396523" w:rsidRPr="002C0B4F">
        <w:rPr>
          <w:rFonts w:ascii="Aptos" w:hAnsi="Aptos" w:cs="Tahoma"/>
        </w:rPr>
        <w:t>dministrative monitoring, reporting, compliance, and auditing requirements associated with federal funding received by the CEC.</w:t>
      </w:r>
      <w:r w:rsidR="00503D63" w:rsidRPr="002C0B4F">
        <w:rPr>
          <w:rFonts w:ascii="Aptos" w:hAnsi="Aptos" w:cs="Tahoma"/>
        </w:rPr>
        <w:t xml:space="preserve"> </w:t>
      </w:r>
    </w:p>
    <w:p w14:paraId="58B925A6" w14:textId="64E55AF8" w:rsidR="00741B33" w:rsidRPr="002C0B4F" w:rsidRDefault="00503D63" w:rsidP="004F0931">
      <w:pPr>
        <w:spacing w:before="120" w:after="120" w:line="259" w:lineRule="auto"/>
        <w:ind w:left="720" w:hanging="720"/>
        <w:rPr>
          <w:rFonts w:ascii="Aptos" w:hAnsi="Aptos" w:cs="Tahoma"/>
        </w:rPr>
      </w:pPr>
      <w:r w:rsidRPr="002C0B4F">
        <w:rPr>
          <w:rFonts w:ascii="Aptos" w:hAnsi="Aptos" w:cs="Tahoma"/>
        </w:rPr>
        <w:tab/>
      </w:r>
      <w:r w:rsidR="001B6CCC" w:rsidRPr="002C0B4F">
        <w:rPr>
          <w:rFonts w:ascii="Aptos" w:hAnsi="Aptos" w:cs="Tahoma"/>
        </w:rPr>
        <w:t>Alternatively</w:t>
      </w:r>
      <w:r w:rsidRPr="002C0B4F">
        <w:rPr>
          <w:rFonts w:ascii="Aptos" w:hAnsi="Aptos" w:cs="Tahoma"/>
        </w:rPr>
        <w:t xml:space="preserve">, the purpose of Subtask 10.3 </w:t>
      </w:r>
      <w:r w:rsidR="00506069" w:rsidRPr="002C0B4F">
        <w:rPr>
          <w:rFonts w:ascii="Aptos" w:hAnsi="Aptos" w:cs="Tahoma"/>
        </w:rPr>
        <w:t>as</w:t>
      </w:r>
      <w:r w:rsidRPr="002C0B4F">
        <w:rPr>
          <w:rFonts w:ascii="Aptos" w:hAnsi="Aptos" w:cs="Tahoma"/>
        </w:rPr>
        <w:t xml:space="preserve"> on pages 86-87 of the</w:t>
      </w:r>
      <w:r w:rsidR="00506069" w:rsidRPr="002C0B4F">
        <w:rPr>
          <w:rFonts w:ascii="Aptos" w:hAnsi="Aptos" w:cs="Tahoma"/>
        </w:rPr>
        <w:t xml:space="preserve"> RFQ-25-401</w:t>
      </w:r>
      <w:r w:rsidRPr="002C0B4F">
        <w:rPr>
          <w:rFonts w:ascii="Aptos" w:hAnsi="Aptos" w:cs="Tahoma"/>
        </w:rPr>
        <w:t xml:space="preserve"> solicitation </w:t>
      </w:r>
      <w:r w:rsidR="001B6CCC" w:rsidRPr="002C0B4F">
        <w:rPr>
          <w:rFonts w:ascii="Aptos" w:hAnsi="Aptos" w:cs="Tahoma"/>
        </w:rPr>
        <w:t>manual</w:t>
      </w:r>
      <w:r w:rsidRPr="002C0B4F">
        <w:rPr>
          <w:rFonts w:ascii="Aptos" w:hAnsi="Aptos" w:cs="Tahoma"/>
        </w:rPr>
        <w:t xml:space="preserve"> </w:t>
      </w:r>
      <w:r w:rsidR="004A3A6E" w:rsidRPr="002C0B4F">
        <w:rPr>
          <w:rFonts w:ascii="Aptos" w:hAnsi="Aptos" w:cs="Tahoma"/>
        </w:rPr>
        <w:t>is</w:t>
      </w:r>
      <w:r w:rsidR="001B6CCC" w:rsidRPr="002C0B4F">
        <w:rPr>
          <w:rFonts w:ascii="Aptos" w:hAnsi="Aptos" w:cs="Tahoma"/>
        </w:rPr>
        <w:t xml:space="preserve"> for the Prime Contractor</w:t>
      </w:r>
      <w:r w:rsidR="004A3A6E" w:rsidRPr="002C0B4F">
        <w:rPr>
          <w:rFonts w:ascii="Aptos" w:hAnsi="Aptos" w:cs="Tahoma"/>
        </w:rPr>
        <w:t xml:space="preserve"> to provide assistance </w:t>
      </w:r>
      <w:r w:rsidR="00AC5C42" w:rsidRPr="002C0B4F">
        <w:rPr>
          <w:rFonts w:ascii="Aptos" w:hAnsi="Aptos" w:cs="Tahoma"/>
          <w:u w:val="single"/>
        </w:rPr>
        <w:t>to awarded local jurisdictions</w:t>
      </w:r>
      <w:r w:rsidR="00AC5C42" w:rsidRPr="002C0B4F">
        <w:rPr>
          <w:rFonts w:ascii="Aptos" w:hAnsi="Aptos" w:cs="Tahoma"/>
        </w:rPr>
        <w:t xml:space="preserve"> to ensure that the</w:t>
      </w:r>
      <w:r w:rsidR="00A11BDD" w:rsidRPr="002C0B4F">
        <w:rPr>
          <w:rFonts w:ascii="Aptos" w:hAnsi="Aptos"/>
        </w:rPr>
        <w:t xml:space="preserve"> </w:t>
      </w:r>
      <w:r w:rsidR="00A11BDD" w:rsidRPr="002C0B4F">
        <w:rPr>
          <w:rFonts w:ascii="Aptos" w:hAnsi="Aptos" w:cs="Tahoma"/>
        </w:rPr>
        <w:t xml:space="preserve">reserved funding is successfully implemented and reported in accordance with federal and State requirements. </w:t>
      </w:r>
      <w:r w:rsidR="00741B33" w:rsidRPr="002C0B4F">
        <w:rPr>
          <w:rFonts w:ascii="Aptos" w:hAnsi="Aptos" w:cs="Tahoma"/>
        </w:rPr>
        <w:tab/>
      </w:r>
    </w:p>
    <w:p w14:paraId="20330E6D" w14:textId="25F7158E" w:rsidR="00FC44E0" w:rsidRPr="002C0B4F" w:rsidRDefault="00E4365D" w:rsidP="004F0931">
      <w:pPr>
        <w:spacing w:before="120" w:after="120" w:line="259" w:lineRule="auto"/>
        <w:ind w:left="720"/>
        <w:rPr>
          <w:rFonts w:ascii="Aptos" w:hAnsi="Aptos" w:cs="Tahoma"/>
        </w:rPr>
      </w:pPr>
      <w:r w:rsidRPr="002C0B4F">
        <w:rPr>
          <w:rFonts w:ascii="Aptos" w:hAnsi="Aptos" w:cs="Tahoma"/>
        </w:rPr>
        <w:t>T</w:t>
      </w:r>
      <w:r w:rsidR="00FC44E0" w:rsidRPr="002C0B4F">
        <w:rPr>
          <w:rFonts w:ascii="Aptos" w:hAnsi="Aptos" w:cs="Tahoma"/>
        </w:rPr>
        <w:t xml:space="preserve">he solicitation manual is available on the </w:t>
      </w:r>
      <w:hyperlink r:id="rId48" w:history="1">
        <w:r w:rsidR="00FC44E0" w:rsidRPr="002C0B4F">
          <w:rPr>
            <w:rStyle w:val="Hyperlink"/>
            <w:rFonts w:ascii="Aptos" w:hAnsi="Aptos" w:cs="Tahoma"/>
          </w:rPr>
          <w:t>RFQ-25-401 solicitation webpage</w:t>
        </w:r>
      </w:hyperlink>
      <w:r w:rsidR="00FC44E0" w:rsidRPr="002C0B4F">
        <w:rPr>
          <w:rFonts w:ascii="Aptos" w:hAnsi="Aptos" w:cs="Tahoma"/>
        </w:rPr>
        <w:t xml:space="preserve"> (https://www.energy.ca.gov/solicitations/2026-05/rfq-25-401-energy-code-compliance-evaluation-support).</w:t>
      </w:r>
    </w:p>
    <w:p w14:paraId="45A86A73" w14:textId="7B6120FE" w:rsidR="00D5405E" w:rsidRPr="002C0B4F" w:rsidRDefault="00E64891" w:rsidP="004F0931">
      <w:pPr>
        <w:spacing w:before="120" w:after="120" w:line="259" w:lineRule="auto"/>
        <w:ind w:left="720" w:hanging="720"/>
        <w:rPr>
          <w:rFonts w:ascii="Aptos" w:hAnsi="Aptos" w:cs="Tahoma"/>
          <w:b/>
          <w:bCs/>
        </w:rPr>
      </w:pPr>
      <w:r w:rsidRPr="002C0B4F">
        <w:rPr>
          <w:rFonts w:ascii="Aptos" w:hAnsi="Aptos" w:cs="Tahoma"/>
          <w:b/>
          <w:bCs/>
        </w:rPr>
        <w:t>Q</w:t>
      </w:r>
      <w:r w:rsidR="00B269D0" w:rsidRPr="002C0B4F">
        <w:rPr>
          <w:rFonts w:ascii="Aptos" w:hAnsi="Aptos" w:cs="Tahoma"/>
          <w:b/>
          <w:bCs/>
        </w:rPr>
        <w:t>4</w:t>
      </w:r>
      <w:r w:rsidR="007E4B58" w:rsidRPr="002C0B4F">
        <w:rPr>
          <w:rFonts w:ascii="Aptos" w:hAnsi="Aptos" w:cs="Tahoma"/>
          <w:b/>
          <w:bCs/>
        </w:rPr>
        <w:t>2</w:t>
      </w:r>
      <w:r w:rsidRPr="002C0B4F">
        <w:rPr>
          <w:rFonts w:ascii="Aptos" w:hAnsi="Aptos" w:cs="Tahoma"/>
          <w:b/>
          <w:bCs/>
        </w:rPr>
        <w:t>:</w:t>
      </w:r>
      <w:r w:rsidRPr="002C0B4F">
        <w:rPr>
          <w:rFonts w:ascii="Aptos" w:hAnsi="Aptos" w:cs="Tahoma"/>
          <w:b/>
          <w:bCs/>
        </w:rPr>
        <w:tab/>
      </w:r>
      <w:r w:rsidR="009F3EBB" w:rsidRPr="002C0B4F">
        <w:rPr>
          <w:rFonts w:ascii="Aptos" w:hAnsi="Aptos" w:cs="Tahoma"/>
          <w:b/>
          <w:bCs/>
        </w:rPr>
        <w:t xml:space="preserve">On page 106 of the solicitation manual, it says the Firm and each Subcontractor shall provide </w:t>
      </w:r>
      <w:r w:rsidR="007607B8" w:rsidRPr="002C0B4F">
        <w:rPr>
          <w:rFonts w:ascii="Aptos" w:hAnsi="Aptos" w:cs="Tahoma"/>
          <w:b/>
          <w:bCs/>
        </w:rPr>
        <w:t xml:space="preserve">one </w:t>
      </w:r>
      <w:r w:rsidR="00FF0AB3" w:rsidRPr="002C0B4F">
        <w:rPr>
          <w:rFonts w:ascii="Aptos" w:hAnsi="Aptos" w:cs="Tahoma"/>
          <w:b/>
          <w:bCs/>
        </w:rPr>
        <w:t xml:space="preserve">example </w:t>
      </w:r>
      <w:r w:rsidR="007607B8" w:rsidRPr="002C0B4F">
        <w:rPr>
          <w:rFonts w:ascii="Aptos" w:hAnsi="Aptos" w:cs="Tahoma"/>
          <w:b/>
          <w:bCs/>
        </w:rPr>
        <w:t>of each type of</w:t>
      </w:r>
      <w:r w:rsidR="0055048F" w:rsidRPr="002C0B4F">
        <w:rPr>
          <w:rFonts w:ascii="Aptos" w:hAnsi="Aptos" w:cs="Tahoma"/>
          <w:b/>
          <w:bCs/>
        </w:rPr>
        <w:t xml:space="preserve"> </w:t>
      </w:r>
      <w:r w:rsidR="007607B8" w:rsidRPr="002C0B4F">
        <w:rPr>
          <w:rFonts w:ascii="Aptos" w:hAnsi="Aptos" w:cs="Tahoma"/>
          <w:b/>
          <w:bCs/>
        </w:rPr>
        <w:t>work product</w:t>
      </w:r>
      <w:r w:rsidR="0055048F" w:rsidRPr="002C0B4F">
        <w:rPr>
          <w:rFonts w:ascii="Aptos" w:hAnsi="Aptos" w:cs="Tahoma"/>
          <w:b/>
          <w:bCs/>
        </w:rPr>
        <w:t xml:space="preserve"> example</w:t>
      </w:r>
      <w:r w:rsidR="007607B8" w:rsidRPr="002C0B4F">
        <w:rPr>
          <w:rFonts w:ascii="Aptos" w:hAnsi="Aptos" w:cs="Tahoma"/>
          <w:b/>
          <w:bCs/>
        </w:rPr>
        <w:t xml:space="preserve"> </w:t>
      </w:r>
      <w:r w:rsidR="00E722E7" w:rsidRPr="002C0B4F">
        <w:rPr>
          <w:rFonts w:ascii="Aptos" w:hAnsi="Aptos" w:cs="Tahoma"/>
          <w:b/>
          <w:bCs/>
        </w:rPr>
        <w:t>t</w:t>
      </w:r>
      <w:r w:rsidR="007607B8" w:rsidRPr="002C0B4F">
        <w:rPr>
          <w:rFonts w:ascii="Aptos" w:hAnsi="Aptos" w:cs="Tahoma"/>
          <w:b/>
          <w:bCs/>
        </w:rPr>
        <w:t>hat is representative of the services it will provide under the agreement.</w:t>
      </w:r>
      <w:r w:rsidR="00132E16" w:rsidRPr="002C0B4F">
        <w:rPr>
          <w:rFonts w:ascii="Aptos" w:hAnsi="Aptos" w:cs="Tahoma"/>
          <w:b/>
          <w:bCs/>
        </w:rPr>
        <w:t xml:space="preserve"> </w:t>
      </w:r>
      <w:r w:rsidR="00CC1DA7" w:rsidRPr="002C0B4F">
        <w:rPr>
          <w:rFonts w:ascii="Aptos" w:hAnsi="Aptos" w:cs="Tahoma"/>
          <w:b/>
          <w:bCs/>
        </w:rPr>
        <w:t xml:space="preserve">Are items A-E located on pages 106-108 the “types” and therefore, a minimum of five sample work products </w:t>
      </w:r>
      <w:r w:rsidR="0002032B" w:rsidRPr="002C0B4F">
        <w:rPr>
          <w:rFonts w:ascii="Aptos" w:hAnsi="Aptos" w:cs="Tahoma"/>
          <w:b/>
          <w:bCs/>
        </w:rPr>
        <w:t>is</w:t>
      </w:r>
      <w:r w:rsidR="00CC1DA7" w:rsidRPr="002C0B4F">
        <w:rPr>
          <w:rFonts w:ascii="Aptos" w:hAnsi="Aptos" w:cs="Tahoma"/>
          <w:b/>
          <w:bCs/>
        </w:rPr>
        <w:t xml:space="preserve"> </w:t>
      </w:r>
      <w:r w:rsidR="0002032B" w:rsidRPr="002C0B4F">
        <w:rPr>
          <w:rFonts w:ascii="Aptos" w:hAnsi="Aptos" w:cs="Tahoma"/>
          <w:b/>
          <w:bCs/>
        </w:rPr>
        <w:t>required</w:t>
      </w:r>
      <w:r w:rsidR="00CC1DA7" w:rsidRPr="002C0B4F">
        <w:rPr>
          <w:rFonts w:ascii="Aptos" w:hAnsi="Aptos" w:cs="Tahoma"/>
          <w:b/>
          <w:bCs/>
        </w:rPr>
        <w:t>?</w:t>
      </w:r>
      <w:r w:rsidR="00D5405E" w:rsidRPr="002C0B4F">
        <w:rPr>
          <w:rFonts w:ascii="Aptos" w:hAnsi="Aptos" w:cs="Tahoma"/>
          <w:b/>
          <w:bCs/>
        </w:rPr>
        <w:t xml:space="preserve"> </w:t>
      </w:r>
    </w:p>
    <w:p w14:paraId="723273E0" w14:textId="2B7A18C9" w:rsidR="002C2D00" w:rsidRPr="002C0B4F" w:rsidRDefault="00FC3DCA" w:rsidP="004F0931">
      <w:pPr>
        <w:spacing w:before="120" w:after="120" w:line="259" w:lineRule="auto"/>
        <w:ind w:left="720" w:hanging="720"/>
        <w:rPr>
          <w:rFonts w:ascii="Aptos" w:hAnsi="Aptos" w:cs="Tahoma"/>
        </w:rPr>
      </w:pPr>
      <w:r w:rsidRPr="002C0B4F">
        <w:rPr>
          <w:rFonts w:ascii="Aptos" w:hAnsi="Aptos" w:cs="Tahoma"/>
        </w:rPr>
        <w:t>A4</w:t>
      </w:r>
      <w:r w:rsidR="007E4B58" w:rsidRPr="002C0B4F">
        <w:rPr>
          <w:rFonts w:ascii="Aptos" w:hAnsi="Aptos" w:cs="Tahoma"/>
        </w:rPr>
        <w:t>2</w:t>
      </w:r>
      <w:r w:rsidRPr="002C0B4F">
        <w:rPr>
          <w:rFonts w:ascii="Aptos" w:hAnsi="Aptos" w:cs="Tahoma"/>
        </w:rPr>
        <w:t>:</w:t>
      </w:r>
      <w:r w:rsidRPr="002C0B4F">
        <w:rPr>
          <w:rFonts w:ascii="Aptos" w:hAnsi="Aptos" w:cs="Tahoma"/>
        </w:rPr>
        <w:tab/>
      </w:r>
      <w:r w:rsidR="00CF0715" w:rsidRPr="002C0B4F">
        <w:rPr>
          <w:rFonts w:ascii="Aptos" w:hAnsi="Aptos" w:cs="Tahoma"/>
        </w:rPr>
        <w:t xml:space="preserve">Yes, the five </w:t>
      </w:r>
      <w:r w:rsidR="00C92CAA" w:rsidRPr="002C0B4F">
        <w:rPr>
          <w:rFonts w:ascii="Aptos" w:hAnsi="Aptos" w:cs="Tahoma"/>
        </w:rPr>
        <w:t>“</w:t>
      </w:r>
      <w:r w:rsidR="00CF0715" w:rsidRPr="002C0B4F">
        <w:rPr>
          <w:rFonts w:ascii="Aptos" w:hAnsi="Aptos" w:cs="Tahoma"/>
        </w:rPr>
        <w:t>types</w:t>
      </w:r>
      <w:r w:rsidR="00C92CAA" w:rsidRPr="002C0B4F">
        <w:rPr>
          <w:rFonts w:ascii="Aptos" w:hAnsi="Aptos" w:cs="Tahoma"/>
        </w:rPr>
        <w:t>”</w:t>
      </w:r>
      <w:r w:rsidR="00CF0715" w:rsidRPr="002C0B4F">
        <w:rPr>
          <w:rFonts w:ascii="Aptos" w:hAnsi="Aptos" w:cs="Tahoma"/>
        </w:rPr>
        <w:t xml:space="preserve"> of </w:t>
      </w:r>
      <w:r w:rsidR="00506E8F" w:rsidRPr="002C0B4F">
        <w:rPr>
          <w:rFonts w:ascii="Aptos" w:hAnsi="Aptos" w:cs="Tahoma"/>
        </w:rPr>
        <w:t>example</w:t>
      </w:r>
      <w:r w:rsidR="00EF1C45" w:rsidRPr="002C0B4F">
        <w:rPr>
          <w:rFonts w:ascii="Aptos" w:hAnsi="Aptos" w:cs="Tahoma"/>
        </w:rPr>
        <w:t>s of</w:t>
      </w:r>
      <w:r w:rsidR="00506E8F" w:rsidRPr="002C0B4F">
        <w:rPr>
          <w:rFonts w:ascii="Aptos" w:hAnsi="Aptos" w:cs="Tahoma"/>
        </w:rPr>
        <w:t xml:space="preserve"> previous </w:t>
      </w:r>
      <w:r w:rsidR="00CF0715" w:rsidRPr="002C0B4F">
        <w:rPr>
          <w:rFonts w:ascii="Aptos" w:hAnsi="Aptos" w:cs="Tahoma"/>
        </w:rPr>
        <w:t>work produ</w:t>
      </w:r>
      <w:r w:rsidR="008414F0" w:rsidRPr="002C0B4F">
        <w:rPr>
          <w:rFonts w:ascii="Aptos" w:hAnsi="Aptos" w:cs="Tahoma"/>
        </w:rPr>
        <w:t>cts are:</w:t>
      </w:r>
    </w:p>
    <w:p w14:paraId="773991C8" w14:textId="77777777" w:rsidR="00C92CAA" w:rsidRPr="002C0B4F" w:rsidRDefault="008414F0" w:rsidP="004F0931">
      <w:pPr>
        <w:pStyle w:val="ListParagraph"/>
        <w:numPr>
          <w:ilvl w:val="0"/>
          <w:numId w:val="6"/>
        </w:numPr>
        <w:spacing w:before="120" w:after="120" w:line="259" w:lineRule="auto"/>
        <w:ind w:left="1260"/>
        <w:contextualSpacing w:val="0"/>
        <w:rPr>
          <w:rFonts w:ascii="Aptos" w:hAnsi="Aptos" w:cs="Tahoma"/>
        </w:rPr>
      </w:pPr>
      <w:r w:rsidRPr="002C0B4F">
        <w:rPr>
          <w:rFonts w:ascii="Aptos" w:hAnsi="Aptos" w:cs="Tahoma"/>
        </w:rPr>
        <w:t>Field Studies</w:t>
      </w:r>
    </w:p>
    <w:p w14:paraId="28FDF312" w14:textId="77777777" w:rsidR="00C92CAA" w:rsidRPr="002C0B4F" w:rsidRDefault="00C92CAA" w:rsidP="004F0931">
      <w:pPr>
        <w:pStyle w:val="ListParagraph"/>
        <w:numPr>
          <w:ilvl w:val="0"/>
          <w:numId w:val="6"/>
        </w:numPr>
        <w:spacing w:before="120" w:after="120" w:line="259" w:lineRule="auto"/>
        <w:ind w:left="1260"/>
        <w:contextualSpacing w:val="0"/>
        <w:rPr>
          <w:rFonts w:ascii="Aptos" w:hAnsi="Aptos" w:cs="Tahoma"/>
        </w:rPr>
      </w:pPr>
      <w:r w:rsidRPr="002C0B4F">
        <w:rPr>
          <w:rFonts w:ascii="Aptos" w:hAnsi="Aptos" w:cs="Tahoma"/>
        </w:rPr>
        <w:t>Statistical Data Analysis and Quality Assurance</w:t>
      </w:r>
    </w:p>
    <w:p w14:paraId="073554DC" w14:textId="77777777" w:rsidR="00C92CAA" w:rsidRPr="002C0B4F" w:rsidRDefault="00C92CAA" w:rsidP="004F0931">
      <w:pPr>
        <w:pStyle w:val="ListParagraph"/>
        <w:numPr>
          <w:ilvl w:val="0"/>
          <w:numId w:val="6"/>
        </w:numPr>
        <w:spacing w:before="120" w:after="120" w:line="259" w:lineRule="auto"/>
        <w:ind w:left="1260"/>
        <w:contextualSpacing w:val="0"/>
        <w:rPr>
          <w:rFonts w:ascii="Aptos" w:hAnsi="Aptos" w:cs="Tahoma"/>
        </w:rPr>
      </w:pPr>
      <w:r w:rsidRPr="002C0B4F">
        <w:rPr>
          <w:rFonts w:ascii="Aptos" w:hAnsi="Aptos" w:cs="Tahoma"/>
        </w:rPr>
        <w:t>Data Science and Advance Analytics</w:t>
      </w:r>
    </w:p>
    <w:p w14:paraId="094D7B0D" w14:textId="77777777" w:rsidR="00C92CAA" w:rsidRPr="002C0B4F" w:rsidRDefault="00C92CAA" w:rsidP="004F0931">
      <w:pPr>
        <w:pStyle w:val="ListParagraph"/>
        <w:numPr>
          <w:ilvl w:val="0"/>
          <w:numId w:val="6"/>
        </w:numPr>
        <w:spacing w:before="120" w:after="120" w:line="259" w:lineRule="auto"/>
        <w:ind w:left="1260"/>
        <w:contextualSpacing w:val="0"/>
        <w:rPr>
          <w:rFonts w:ascii="Aptos" w:hAnsi="Aptos" w:cs="Tahoma"/>
        </w:rPr>
      </w:pPr>
      <w:r w:rsidRPr="002C0B4F">
        <w:rPr>
          <w:rFonts w:ascii="Aptos" w:hAnsi="Aptos" w:cs="Tahoma"/>
        </w:rPr>
        <w:t>Batch Building Energy Modeling</w:t>
      </w:r>
    </w:p>
    <w:p w14:paraId="74320228" w14:textId="05EA51B7" w:rsidR="00C92CAA" w:rsidRPr="002C0B4F" w:rsidRDefault="00C92CAA" w:rsidP="004F0931">
      <w:pPr>
        <w:pStyle w:val="ListParagraph"/>
        <w:numPr>
          <w:ilvl w:val="0"/>
          <w:numId w:val="6"/>
        </w:numPr>
        <w:spacing w:before="120" w:after="120" w:line="259" w:lineRule="auto"/>
        <w:ind w:left="1260"/>
        <w:contextualSpacing w:val="0"/>
        <w:rPr>
          <w:rFonts w:ascii="Aptos" w:hAnsi="Aptos" w:cs="Tahoma"/>
        </w:rPr>
      </w:pPr>
      <w:r w:rsidRPr="002C0B4F">
        <w:rPr>
          <w:rFonts w:ascii="Aptos" w:hAnsi="Aptos" w:cs="Tahoma"/>
        </w:rPr>
        <w:t>Workforce Development and Program Technical Assistance</w:t>
      </w:r>
    </w:p>
    <w:p w14:paraId="179B1B24" w14:textId="2B8BEAF6" w:rsidR="00800509" w:rsidRPr="002C0B4F" w:rsidRDefault="00FE6BE1" w:rsidP="004F0931">
      <w:pPr>
        <w:spacing w:before="120" w:after="120" w:line="259" w:lineRule="auto"/>
        <w:ind w:left="720"/>
        <w:rPr>
          <w:rFonts w:ascii="Aptos" w:hAnsi="Aptos" w:cs="Tahoma"/>
        </w:rPr>
      </w:pPr>
      <w:r w:rsidRPr="002C0B4F">
        <w:rPr>
          <w:rFonts w:ascii="Aptos" w:hAnsi="Aptos" w:cs="Tahoma"/>
        </w:rPr>
        <w:t xml:space="preserve">A minimum of one example of </w:t>
      </w:r>
      <w:r w:rsidR="00A45AF3" w:rsidRPr="002C0B4F">
        <w:rPr>
          <w:rFonts w:ascii="Aptos" w:hAnsi="Aptos" w:cs="Tahoma"/>
        </w:rPr>
        <w:t xml:space="preserve">each </w:t>
      </w:r>
      <w:r w:rsidR="00C37306" w:rsidRPr="002C0B4F">
        <w:rPr>
          <w:rFonts w:ascii="Aptos" w:hAnsi="Aptos" w:cs="Tahoma"/>
        </w:rPr>
        <w:t>work product</w:t>
      </w:r>
      <w:r w:rsidRPr="002C0B4F">
        <w:rPr>
          <w:rFonts w:ascii="Aptos" w:hAnsi="Aptos" w:cs="Tahoma"/>
        </w:rPr>
        <w:t xml:space="preserve"> </w:t>
      </w:r>
      <w:r w:rsidR="001B5816" w:rsidRPr="002C0B4F">
        <w:rPr>
          <w:rFonts w:ascii="Aptos" w:hAnsi="Aptos" w:cs="Tahoma"/>
        </w:rPr>
        <w:t>type</w:t>
      </w:r>
      <w:r w:rsidRPr="002C0B4F">
        <w:rPr>
          <w:rFonts w:ascii="Aptos" w:hAnsi="Aptos" w:cs="Tahoma"/>
        </w:rPr>
        <w:t xml:space="preserve"> is required</w:t>
      </w:r>
      <w:r w:rsidR="00C37306" w:rsidRPr="002C0B4F">
        <w:rPr>
          <w:rFonts w:ascii="Aptos" w:hAnsi="Aptos" w:cs="Tahoma"/>
        </w:rPr>
        <w:t>.</w:t>
      </w:r>
      <w:r w:rsidR="00A45AF3" w:rsidRPr="002C0B4F">
        <w:rPr>
          <w:rFonts w:ascii="Aptos" w:hAnsi="Aptos" w:cs="Tahoma"/>
        </w:rPr>
        <w:t xml:space="preserve"> </w:t>
      </w:r>
      <w:r w:rsidR="0004503D" w:rsidRPr="002C0B4F">
        <w:rPr>
          <w:rFonts w:ascii="Aptos" w:hAnsi="Aptos" w:cs="Tahoma"/>
        </w:rPr>
        <w:t xml:space="preserve">The examples can be provided by either the Firm or its Subcontractors. </w:t>
      </w:r>
      <w:r w:rsidR="004F0931" w:rsidRPr="002C0B4F">
        <w:rPr>
          <w:rFonts w:ascii="Aptos" w:hAnsi="Aptos" w:cs="Tahoma"/>
        </w:rPr>
        <w:t>An example is not required from each Firm or every Subcontractor.</w:t>
      </w:r>
    </w:p>
    <w:p w14:paraId="0E4EB6AE" w14:textId="5E85FAE2" w:rsidR="004A6B14" w:rsidRPr="002C0B4F" w:rsidRDefault="004A6B14" w:rsidP="004F0931">
      <w:pPr>
        <w:spacing w:before="120" w:after="120" w:line="259" w:lineRule="auto"/>
        <w:ind w:left="720"/>
        <w:rPr>
          <w:rFonts w:ascii="Aptos" w:hAnsi="Aptos" w:cs="Tahoma"/>
        </w:rPr>
      </w:pPr>
      <w:r w:rsidRPr="002C0B4F">
        <w:rPr>
          <w:rFonts w:ascii="Aptos" w:hAnsi="Aptos" w:cs="Tahoma"/>
        </w:rPr>
        <w:t>Each example must be representative of the services that will be provided under the agreement. The CEC can accept the same work product as an example for more than one type, but only if the Firm clearly labels the example with all applicable work product types</w:t>
      </w:r>
      <w:r w:rsidR="00303590" w:rsidRPr="002C0B4F">
        <w:rPr>
          <w:rFonts w:ascii="Aptos" w:hAnsi="Aptos" w:cs="Tahoma"/>
        </w:rPr>
        <w:t xml:space="preserve"> prior to submission</w:t>
      </w:r>
      <w:r w:rsidRPr="002C0B4F">
        <w:rPr>
          <w:rFonts w:ascii="Aptos" w:hAnsi="Aptos" w:cs="Tahoma"/>
        </w:rPr>
        <w:t>.</w:t>
      </w:r>
    </w:p>
    <w:p w14:paraId="20FFD5E4" w14:textId="5A9D0B21" w:rsidR="00DD7BA5" w:rsidRPr="002C0B4F" w:rsidRDefault="00DD7BA5" w:rsidP="004F0931">
      <w:pPr>
        <w:spacing w:before="120" w:after="120" w:line="259" w:lineRule="auto"/>
        <w:ind w:left="720"/>
        <w:rPr>
          <w:rFonts w:ascii="Aptos" w:hAnsi="Aptos" w:cs="Tahoma"/>
        </w:rPr>
      </w:pPr>
      <w:r w:rsidRPr="002C0B4F">
        <w:rPr>
          <w:rFonts w:ascii="Aptos" w:hAnsi="Aptos" w:cs="Tahoma"/>
        </w:rPr>
        <w:t xml:space="preserve">The CEC posted Addendum 2 to the solicitation manual on June </w:t>
      </w:r>
      <w:r w:rsidR="00294F9E" w:rsidRPr="002C0B4F">
        <w:rPr>
          <w:rFonts w:ascii="Aptos" w:hAnsi="Aptos" w:cs="Tahoma"/>
        </w:rPr>
        <w:t>3</w:t>
      </w:r>
      <w:r w:rsidRPr="002C0B4F">
        <w:rPr>
          <w:rFonts w:ascii="Aptos" w:hAnsi="Aptos" w:cs="Tahoma"/>
        </w:rPr>
        <w:t xml:space="preserve">, 2026, which updated the requirements for this evaluation criteria item. </w:t>
      </w:r>
      <w:r w:rsidR="00D0692D" w:rsidRPr="002C0B4F">
        <w:rPr>
          <w:rFonts w:ascii="Aptos" w:hAnsi="Aptos" w:cs="Tahoma"/>
        </w:rPr>
        <w:t>The updated solicitation manual and</w:t>
      </w:r>
      <w:r w:rsidRPr="002C0B4F">
        <w:rPr>
          <w:rFonts w:ascii="Aptos" w:hAnsi="Aptos" w:cs="Tahoma"/>
        </w:rPr>
        <w:t xml:space="preserve"> cover letter detailing </w:t>
      </w:r>
      <w:r w:rsidR="00D627F0" w:rsidRPr="002C0B4F">
        <w:rPr>
          <w:rFonts w:ascii="Aptos" w:hAnsi="Aptos" w:cs="Tahoma"/>
        </w:rPr>
        <w:t>the</w:t>
      </w:r>
      <w:r w:rsidRPr="002C0B4F">
        <w:rPr>
          <w:rFonts w:ascii="Aptos" w:hAnsi="Aptos" w:cs="Tahoma"/>
        </w:rPr>
        <w:t xml:space="preserve"> changes</w:t>
      </w:r>
      <w:r w:rsidR="00D627F0" w:rsidRPr="002C0B4F">
        <w:rPr>
          <w:rFonts w:ascii="Aptos" w:hAnsi="Aptos" w:cs="Tahoma"/>
        </w:rPr>
        <w:t xml:space="preserve"> made</w:t>
      </w:r>
      <w:r w:rsidRPr="002C0B4F">
        <w:rPr>
          <w:rFonts w:ascii="Aptos" w:hAnsi="Aptos" w:cs="Tahoma"/>
        </w:rPr>
        <w:t xml:space="preserve"> </w:t>
      </w:r>
      <w:r w:rsidR="002E4920" w:rsidRPr="002C0B4F">
        <w:rPr>
          <w:rFonts w:ascii="Aptos" w:hAnsi="Aptos" w:cs="Tahoma"/>
        </w:rPr>
        <w:t>are</w:t>
      </w:r>
      <w:r w:rsidRPr="002C0B4F">
        <w:rPr>
          <w:rFonts w:ascii="Aptos" w:hAnsi="Aptos" w:cs="Tahoma"/>
        </w:rPr>
        <w:t xml:space="preserve"> available on the </w:t>
      </w:r>
      <w:hyperlink r:id="rId49" w:history="1">
        <w:r w:rsidRPr="002C0B4F">
          <w:rPr>
            <w:rStyle w:val="Hyperlink"/>
            <w:rFonts w:ascii="Aptos" w:hAnsi="Aptos" w:cs="Tahoma"/>
          </w:rPr>
          <w:t>RFQ-25-401 solicitation webpage</w:t>
        </w:r>
      </w:hyperlink>
      <w:r w:rsidRPr="002C0B4F">
        <w:rPr>
          <w:rFonts w:ascii="Aptos" w:hAnsi="Aptos" w:cs="Tahoma"/>
        </w:rPr>
        <w:t xml:space="preserve"> (https://www.energy.ca.gov/solicitations/2026-05/rfq-25-401-energy-code-compliance-evaluation-support).</w:t>
      </w:r>
    </w:p>
    <w:p w14:paraId="3547E10D" w14:textId="77777777" w:rsidR="00882749" w:rsidRPr="002C0B4F" w:rsidRDefault="00882749" w:rsidP="004F0931">
      <w:pPr>
        <w:spacing w:before="120" w:after="120" w:line="259" w:lineRule="auto"/>
        <w:ind w:left="720"/>
        <w:rPr>
          <w:rFonts w:ascii="Aptos" w:hAnsi="Aptos" w:cs="Tahoma"/>
        </w:rPr>
      </w:pPr>
      <w:r w:rsidRPr="002C0B4F">
        <w:rPr>
          <w:rFonts w:ascii="Aptos" w:hAnsi="Aptos" w:cs="Tahoma"/>
        </w:rPr>
        <w:t xml:space="preserve">It is also important to note that the CEC will not accept or retain any SOQs that contain confidential information or have any portion marked confidential. </w:t>
      </w:r>
      <w:r w:rsidRPr="002C0B4F">
        <w:rPr>
          <w:rFonts w:ascii="Aptos" w:hAnsi="Aptos" w:cs="Tahoma"/>
          <w:u w:val="single"/>
        </w:rPr>
        <w:t xml:space="preserve">Please </w:t>
      </w:r>
      <w:r w:rsidRPr="002C0B4F">
        <w:rPr>
          <w:rFonts w:ascii="Aptos" w:hAnsi="Aptos" w:cs="Tahoma"/>
          <w:u w:val="single"/>
        </w:rPr>
        <w:lastRenderedPageBreak/>
        <w:t>ensure that any examples of previous work products submitted with your SOW do not contain confidential information or have any portion marked confidential</w:t>
      </w:r>
      <w:r w:rsidRPr="002C0B4F">
        <w:rPr>
          <w:rFonts w:ascii="Aptos" w:hAnsi="Aptos" w:cs="Tahoma"/>
        </w:rPr>
        <w:t xml:space="preserve">. </w:t>
      </w:r>
    </w:p>
    <w:p w14:paraId="21917017" w14:textId="77777777" w:rsidR="00882749" w:rsidRPr="002C0B4F" w:rsidRDefault="00882749" w:rsidP="004F0931">
      <w:pPr>
        <w:spacing w:before="120" w:after="120" w:line="259" w:lineRule="auto"/>
        <w:ind w:left="720"/>
        <w:rPr>
          <w:rFonts w:ascii="Aptos" w:hAnsi="Aptos" w:cs="Tahoma"/>
        </w:rPr>
      </w:pPr>
      <w:r w:rsidRPr="002C0B4F">
        <w:rPr>
          <w:rFonts w:ascii="Aptos" w:hAnsi="Aptos" w:cs="Tahoma"/>
        </w:rPr>
        <w:t xml:space="preserve">The solicitation manual is available on the </w:t>
      </w:r>
      <w:hyperlink r:id="rId50" w:history="1">
        <w:r w:rsidRPr="002C0B4F">
          <w:rPr>
            <w:rStyle w:val="Hyperlink"/>
            <w:rFonts w:ascii="Aptos" w:hAnsi="Aptos" w:cs="Tahoma"/>
          </w:rPr>
          <w:t>RFQ-25-401 solicitation webpage</w:t>
        </w:r>
      </w:hyperlink>
      <w:r w:rsidRPr="002C0B4F">
        <w:rPr>
          <w:rFonts w:ascii="Aptos" w:hAnsi="Aptos" w:cs="Tahoma"/>
        </w:rPr>
        <w:t xml:space="preserve"> (https://www.energy.ca.gov/solicitations/2026-05/rfq-25-401-energy-code-compliance-evaluation-support).</w:t>
      </w:r>
    </w:p>
    <w:p w14:paraId="452AC602" w14:textId="6A1D7CE9" w:rsidR="00FC3DCA" w:rsidRPr="002C0B4F" w:rsidRDefault="00132E16" w:rsidP="004F0931">
      <w:pPr>
        <w:spacing w:before="120" w:after="120" w:line="259" w:lineRule="auto"/>
        <w:ind w:left="720" w:hanging="720"/>
        <w:rPr>
          <w:rFonts w:ascii="Aptos" w:hAnsi="Aptos" w:cs="Tahoma"/>
          <w:b/>
          <w:bCs/>
        </w:rPr>
      </w:pPr>
      <w:r w:rsidRPr="002C0B4F">
        <w:rPr>
          <w:rFonts w:ascii="Aptos" w:hAnsi="Aptos" w:cs="Tahoma"/>
          <w:b/>
          <w:bCs/>
        </w:rPr>
        <w:t>Q4</w:t>
      </w:r>
      <w:r w:rsidR="007E4B58" w:rsidRPr="002C0B4F">
        <w:rPr>
          <w:rFonts w:ascii="Aptos" w:hAnsi="Aptos" w:cs="Tahoma"/>
          <w:b/>
          <w:bCs/>
        </w:rPr>
        <w:t>3</w:t>
      </w:r>
      <w:r w:rsidRPr="002C0B4F">
        <w:rPr>
          <w:rFonts w:ascii="Aptos" w:hAnsi="Aptos" w:cs="Tahoma"/>
          <w:b/>
          <w:bCs/>
        </w:rPr>
        <w:t>:</w:t>
      </w:r>
      <w:r w:rsidRPr="002C0B4F">
        <w:rPr>
          <w:rFonts w:ascii="Aptos" w:hAnsi="Aptos" w:cs="Tahoma"/>
          <w:b/>
          <w:bCs/>
        </w:rPr>
        <w:tab/>
      </w:r>
      <w:r w:rsidR="00D5405E" w:rsidRPr="002C0B4F">
        <w:rPr>
          <w:rFonts w:ascii="Aptos" w:hAnsi="Aptos" w:cs="Tahoma"/>
          <w:b/>
          <w:bCs/>
        </w:rPr>
        <w:t>Does the</w:t>
      </w:r>
      <w:r w:rsidR="00C54ABF" w:rsidRPr="002C0B4F">
        <w:rPr>
          <w:rFonts w:ascii="Aptos" w:hAnsi="Aptos" w:cs="Tahoma"/>
          <w:b/>
          <w:bCs/>
        </w:rPr>
        <w:t xml:space="preserve"> Prime </w:t>
      </w:r>
      <w:r w:rsidR="009747FC" w:rsidRPr="002C0B4F">
        <w:rPr>
          <w:rFonts w:ascii="Aptos" w:hAnsi="Aptos" w:cs="Tahoma"/>
          <w:b/>
          <w:bCs/>
        </w:rPr>
        <w:t>C</w:t>
      </w:r>
      <w:r w:rsidR="00C54ABF" w:rsidRPr="002C0B4F">
        <w:rPr>
          <w:rFonts w:ascii="Aptos" w:hAnsi="Aptos" w:cs="Tahoma"/>
          <w:b/>
          <w:bCs/>
        </w:rPr>
        <w:t xml:space="preserve">ontractor need to submit one work product </w:t>
      </w:r>
      <w:r w:rsidR="000246AE" w:rsidRPr="002C0B4F">
        <w:rPr>
          <w:rFonts w:ascii="Aptos" w:hAnsi="Aptos" w:cs="Tahoma"/>
          <w:b/>
          <w:bCs/>
        </w:rPr>
        <w:t xml:space="preserve">example </w:t>
      </w:r>
      <w:r w:rsidR="00C54ABF" w:rsidRPr="002C0B4F">
        <w:rPr>
          <w:rFonts w:ascii="Aptos" w:hAnsi="Aptos" w:cs="Tahoma"/>
          <w:b/>
          <w:bCs/>
        </w:rPr>
        <w:t xml:space="preserve">for each </w:t>
      </w:r>
      <w:r w:rsidR="0002032B" w:rsidRPr="002C0B4F">
        <w:rPr>
          <w:rFonts w:ascii="Aptos" w:hAnsi="Aptos" w:cs="Tahoma"/>
          <w:b/>
          <w:bCs/>
        </w:rPr>
        <w:t>area,</w:t>
      </w:r>
      <w:r w:rsidR="00C54ABF" w:rsidRPr="002C0B4F">
        <w:rPr>
          <w:rFonts w:ascii="Aptos" w:hAnsi="Aptos" w:cs="Tahoma"/>
          <w:b/>
          <w:bCs/>
        </w:rPr>
        <w:t xml:space="preserve"> or can</w:t>
      </w:r>
      <w:r w:rsidR="0002032B" w:rsidRPr="002C0B4F">
        <w:rPr>
          <w:rFonts w:ascii="Aptos" w:hAnsi="Aptos" w:cs="Tahoma"/>
          <w:b/>
          <w:bCs/>
        </w:rPr>
        <w:t xml:space="preserve"> a</w:t>
      </w:r>
      <w:r w:rsidR="00C54ABF" w:rsidRPr="002C0B4F">
        <w:rPr>
          <w:rFonts w:ascii="Aptos" w:hAnsi="Aptos" w:cs="Tahoma"/>
          <w:b/>
          <w:bCs/>
        </w:rPr>
        <w:t xml:space="preserve"> Subcontractor</w:t>
      </w:r>
      <w:r w:rsidR="00C72690" w:rsidRPr="002C0B4F">
        <w:rPr>
          <w:rFonts w:ascii="Aptos" w:hAnsi="Aptos" w:cs="Tahoma"/>
          <w:b/>
          <w:bCs/>
        </w:rPr>
        <w:t xml:space="preserve"> </w:t>
      </w:r>
      <w:r w:rsidR="00AD63E4" w:rsidRPr="002C0B4F">
        <w:rPr>
          <w:rFonts w:ascii="Aptos" w:hAnsi="Aptos" w:cs="Tahoma"/>
          <w:b/>
          <w:bCs/>
        </w:rPr>
        <w:t xml:space="preserve">provide a </w:t>
      </w:r>
      <w:r w:rsidR="0002032B" w:rsidRPr="002C0B4F">
        <w:rPr>
          <w:rFonts w:ascii="Aptos" w:hAnsi="Aptos" w:cs="Tahoma"/>
          <w:b/>
          <w:bCs/>
        </w:rPr>
        <w:t>work product</w:t>
      </w:r>
      <w:r w:rsidR="00C54ABF" w:rsidRPr="002C0B4F">
        <w:rPr>
          <w:rFonts w:ascii="Aptos" w:hAnsi="Aptos" w:cs="Tahoma"/>
          <w:b/>
          <w:bCs/>
        </w:rPr>
        <w:t xml:space="preserve"> </w:t>
      </w:r>
      <w:r w:rsidR="00AD63E4" w:rsidRPr="002C0B4F">
        <w:rPr>
          <w:rFonts w:ascii="Aptos" w:hAnsi="Aptos" w:cs="Tahoma"/>
          <w:b/>
          <w:bCs/>
        </w:rPr>
        <w:t xml:space="preserve">to </w:t>
      </w:r>
      <w:r w:rsidR="00C54ABF" w:rsidRPr="002C0B4F">
        <w:rPr>
          <w:rFonts w:ascii="Aptos" w:hAnsi="Aptos" w:cs="Tahoma"/>
          <w:b/>
          <w:bCs/>
        </w:rPr>
        <w:t>fulfill this request?</w:t>
      </w:r>
    </w:p>
    <w:p w14:paraId="6130447A" w14:textId="1D25CF73" w:rsidR="00D04051" w:rsidRPr="002C0B4F" w:rsidRDefault="00FC3DCA" w:rsidP="004F0931">
      <w:pPr>
        <w:spacing w:before="120" w:after="120" w:line="259" w:lineRule="auto"/>
        <w:ind w:left="720" w:hanging="720"/>
        <w:rPr>
          <w:rFonts w:ascii="Aptos" w:hAnsi="Aptos" w:cs="Tahoma"/>
        </w:rPr>
      </w:pPr>
      <w:r w:rsidRPr="002C0B4F">
        <w:rPr>
          <w:rFonts w:ascii="Aptos" w:hAnsi="Aptos" w:cs="Tahoma"/>
        </w:rPr>
        <w:t>A</w:t>
      </w:r>
      <w:r w:rsidR="00132E16" w:rsidRPr="002C0B4F">
        <w:rPr>
          <w:rFonts w:ascii="Aptos" w:hAnsi="Aptos" w:cs="Tahoma"/>
        </w:rPr>
        <w:t>4</w:t>
      </w:r>
      <w:r w:rsidR="007E4B58" w:rsidRPr="002C0B4F">
        <w:rPr>
          <w:rFonts w:ascii="Aptos" w:hAnsi="Aptos" w:cs="Tahoma"/>
        </w:rPr>
        <w:t>3</w:t>
      </w:r>
      <w:r w:rsidRPr="002C0B4F">
        <w:rPr>
          <w:rFonts w:ascii="Aptos" w:hAnsi="Aptos" w:cs="Tahoma"/>
        </w:rPr>
        <w:t>:</w:t>
      </w:r>
      <w:r w:rsidR="002C2D00" w:rsidRPr="002C0B4F">
        <w:rPr>
          <w:rFonts w:ascii="Aptos" w:hAnsi="Aptos" w:cs="Tahoma"/>
        </w:rPr>
        <w:tab/>
      </w:r>
      <w:r w:rsidR="00583CC4" w:rsidRPr="002C0B4F">
        <w:rPr>
          <w:rFonts w:ascii="Aptos" w:hAnsi="Aptos" w:cs="Tahoma"/>
        </w:rPr>
        <w:t xml:space="preserve">A minimum of </w:t>
      </w:r>
      <w:r w:rsidR="00D04051" w:rsidRPr="002C0B4F">
        <w:rPr>
          <w:rFonts w:ascii="Aptos" w:hAnsi="Aptos" w:cs="Tahoma"/>
        </w:rPr>
        <w:t xml:space="preserve">one example of each work product </w:t>
      </w:r>
      <w:r w:rsidR="00192F59" w:rsidRPr="002C0B4F">
        <w:rPr>
          <w:rFonts w:ascii="Aptos" w:hAnsi="Aptos" w:cs="Tahoma"/>
        </w:rPr>
        <w:t>type</w:t>
      </w:r>
      <w:r w:rsidR="00D04051" w:rsidRPr="002C0B4F">
        <w:rPr>
          <w:rFonts w:ascii="Aptos" w:hAnsi="Aptos" w:cs="Tahoma"/>
        </w:rPr>
        <w:t xml:space="preserve"> is required. The examples can be provided by either the Firm or its Subcontractors. </w:t>
      </w:r>
      <w:r w:rsidR="008E0EEB" w:rsidRPr="002C0B4F">
        <w:rPr>
          <w:rFonts w:ascii="Aptos" w:hAnsi="Aptos" w:cs="Tahoma"/>
        </w:rPr>
        <w:t>An example is not required from each Firm or every Subcontractor.</w:t>
      </w:r>
    </w:p>
    <w:p w14:paraId="13BFF28F" w14:textId="77777777" w:rsidR="00D04051" w:rsidRPr="002C0B4F" w:rsidRDefault="00D04051" w:rsidP="004F0931">
      <w:pPr>
        <w:spacing w:before="120" w:after="120" w:line="259" w:lineRule="auto"/>
        <w:ind w:left="720"/>
        <w:rPr>
          <w:rFonts w:ascii="Aptos" w:hAnsi="Aptos" w:cs="Tahoma"/>
        </w:rPr>
      </w:pPr>
      <w:r w:rsidRPr="002C0B4F">
        <w:rPr>
          <w:rFonts w:ascii="Aptos" w:hAnsi="Aptos" w:cs="Tahoma"/>
        </w:rPr>
        <w:t>Each example must be representative of the services that will be provided under the agreement. The CEC can accept the same work product as an example for more than one type, but only if the Firm clearly labels the example with all applicable work product types prior to submission.</w:t>
      </w:r>
    </w:p>
    <w:p w14:paraId="4E7D126E" w14:textId="65C7EA56" w:rsidR="00D04051" w:rsidRPr="002C0B4F" w:rsidRDefault="00D04051" w:rsidP="004F0931">
      <w:pPr>
        <w:spacing w:before="120" w:after="120" w:line="259" w:lineRule="auto"/>
        <w:ind w:left="720"/>
        <w:rPr>
          <w:rFonts w:ascii="Aptos" w:hAnsi="Aptos" w:cs="Tahoma"/>
        </w:rPr>
      </w:pPr>
      <w:r w:rsidRPr="002C0B4F">
        <w:rPr>
          <w:rFonts w:ascii="Aptos" w:hAnsi="Aptos" w:cs="Tahoma"/>
        </w:rPr>
        <w:t xml:space="preserve">The CEC posted Addendum 2 to the solicitation manual on June </w:t>
      </w:r>
      <w:r w:rsidR="00294F9E" w:rsidRPr="002C0B4F">
        <w:rPr>
          <w:rFonts w:ascii="Aptos" w:hAnsi="Aptos" w:cs="Tahoma"/>
        </w:rPr>
        <w:t>3</w:t>
      </w:r>
      <w:r w:rsidRPr="002C0B4F">
        <w:rPr>
          <w:rFonts w:ascii="Aptos" w:hAnsi="Aptos" w:cs="Tahoma"/>
        </w:rPr>
        <w:t xml:space="preserve">, 2026, which updated the requirements for this evaluation criteria item. The updated solicitation manual and cover letter detailing the changes made are available on the </w:t>
      </w:r>
      <w:hyperlink r:id="rId51" w:history="1">
        <w:r w:rsidRPr="002C0B4F">
          <w:rPr>
            <w:rStyle w:val="Hyperlink"/>
            <w:rFonts w:ascii="Aptos" w:hAnsi="Aptos" w:cs="Tahoma"/>
          </w:rPr>
          <w:t>RFQ-25-401 solicitation webpage</w:t>
        </w:r>
      </w:hyperlink>
      <w:r w:rsidRPr="002C0B4F">
        <w:rPr>
          <w:rFonts w:ascii="Aptos" w:hAnsi="Aptos" w:cs="Tahoma"/>
        </w:rPr>
        <w:t xml:space="preserve"> (https://www.energy.ca.gov/solicitations/2026-05/rfq-25-401-energy-code-compliance-evaluation-support).</w:t>
      </w:r>
    </w:p>
    <w:p w14:paraId="1BB644E1" w14:textId="77777777" w:rsidR="00882749" w:rsidRPr="002C0B4F" w:rsidRDefault="00882749" w:rsidP="004F0931">
      <w:pPr>
        <w:spacing w:before="120" w:after="120" w:line="259" w:lineRule="auto"/>
        <w:ind w:left="720"/>
        <w:rPr>
          <w:rFonts w:ascii="Aptos" w:hAnsi="Aptos" w:cs="Tahoma"/>
        </w:rPr>
      </w:pPr>
      <w:r w:rsidRPr="002C0B4F">
        <w:rPr>
          <w:rFonts w:ascii="Aptos" w:hAnsi="Aptos" w:cs="Tahoma"/>
        </w:rPr>
        <w:t xml:space="preserve">It is also important to note that the CEC will not accept or retain any SOQs that contain confidential information or have any portion marked confidential. </w:t>
      </w:r>
      <w:r w:rsidRPr="002C0B4F">
        <w:rPr>
          <w:rFonts w:ascii="Aptos" w:hAnsi="Aptos" w:cs="Tahoma"/>
          <w:u w:val="single"/>
        </w:rPr>
        <w:t>Please ensure that any examples of previous work products submitted with your SOW do not contain confidential information or have any portion marked confidential</w:t>
      </w:r>
      <w:r w:rsidRPr="002C0B4F">
        <w:rPr>
          <w:rFonts w:ascii="Aptos" w:hAnsi="Aptos" w:cs="Tahoma"/>
        </w:rPr>
        <w:t xml:space="preserve">. </w:t>
      </w:r>
    </w:p>
    <w:p w14:paraId="3A7D1DB7" w14:textId="77777777" w:rsidR="00882749" w:rsidRPr="002C0B4F" w:rsidRDefault="00882749" w:rsidP="004F0931">
      <w:pPr>
        <w:spacing w:before="120" w:after="120" w:line="259" w:lineRule="auto"/>
        <w:ind w:left="720"/>
        <w:rPr>
          <w:rFonts w:ascii="Aptos" w:hAnsi="Aptos" w:cs="Tahoma"/>
        </w:rPr>
      </w:pPr>
      <w:r w:rsidRPr="002C0B4F">
        <w:rPr>
          <w:rFonts w:ascii="Aptos" w:hAnsi="Aptos" w:cs="Tahoma"/>
        </w:rPr>
        <w:t xml:space="preserve">The solicitation manual is available on the </w:t>
      </w:r>
      <w:hyperlink r:id="rId52" w:history="1">
        <w:r w:rsidRPr="002C0B4F">
          <w:rPr>
            <w:rStyle w:val="Hyperlink"/>
            <w:rFonts w:ascii="Aptos" w:hAnsi="Aptos" w:cs="Tahoma"/>
          </w:rPr>
          <w:t>RFQ-25-401 solicitation webpage</w:t>
        </w:r>
      </w:hyperlink>
      <w:r w:rsidRPr="002C0B4F">
        <w:rPr>
          <w:rFonts w:ascii="Aptos" w:hAnsi="Aptos" w:cs="Tahoma"/>
        </w:rPr>
        <w:t xml:space="preserve"> (https://www.energy.ca.gov/solicitations/2026-05/rfq-25-401-energy-code-compliance-evaluation-support).</w:t>
      </w:r>
    </w:p>
    <w:p w14:paraId="58F6C7E0" w14:textId="43698DCE" w:rsidR="00FC3DCA" w:rsidRPr="002C0B4F" w:rsidRDefault="00132E16" w:rsidP="004F0931">
      <w:pPr>
        <w:spacing w:before="120" w:after="120" w:line="259" w:lineRule="auto"/>
        <w:ind w:left="720" w:hanging="720"/>
        <w:rPr>
          <w:rFonts w:ascii="Aptos" w:hAnsi="Aptos" w:cs="Tahoma"/>
          <w:b/>
          <w:bCs/>
        </w:rPr>
      </w:pPr>
      <w:r w:rsidRPr="002C0B4F">
        <w:rPr>
          <w:rFonts w:ascii="Aptos" w:hAnsi="Aptos" w:cs="Tahoma"/>
          <w:b/>
          <w:bCs/>
        </w:rPr>
        <w:t>Q4</w:t>
      </w:r>
      <w:r w:rsidR="007E4B58" w:rsidRPr="002C0B4F">
        <w:rPr>
          <w:rFonts w:ascii="Aptos" w:hAnsi="Aptos" w:cs="Tahoma"/>
          <w:b/>
          <w:bCs/>
        </w:rPr>
        <w:t>4</w:t>
      </w:r>
      <w:r w:rsidRPr="002C0B4F">
        <w:rPr>
          <w:rFonts w:ascii="Aptos" w:hAnsi="Aptos" w:cs="Tahoma"/>
          <w:b/>
          <w:bCs/>
        </w:rPr>
        <w:t>:</w:t>
      </w:r>
      <w:r w:rsidRPr="002C0B4F">
        <w:rPr>
          <w:rFonts w:ascii="Aptos" w:hAnsi="Aptos" w:cs="Tahoma"/>
          <w:b/>
          <w:bCs/>
        </w:rPr>
        <w:tab/>
      </w:r>
      <w:r w:rsidR="004B30AF" w:rsidRPr="002C0B4F">
        <w:rPr>
          <w:rFonts w:ascii="Aptos" w:hAnsi="Aptos" w:cs="Tahoma"/>
          <w:b/>
          <w:bCs/>
        </w:rPr>
        <w:t>What is</w:t>
      </w:r>
      <w:r w:rsidR="002A3019" w:rsidRPr="002C0B4F">
        <w:rPr>
          <w:rFonts w:ascii="Aptos" w:hAnsi="Aptos" w:cs="Tahoma"/>
          <w:b/>
          <w:bCs/>
        </w:rPr>
        <w:t xml:space="preserve"> the </w:t>
      </w:r>
      <w:r w:rsidR="004B30AF" w:rsidRPr="002C0B4F">
        <w:rPr>
          <w:rFonts w:ascii="Aptos" w:hAnsi="Aptos" w:cs="Tahoma"/>
          <w:b/>
          <w:bCs/>
        </w:rPr>
        <w:t xml:space="preserve">expected </w:t>
      </w:r>
      <w:r w:rsidR="002A3019" w:rsidRPr="002C0B4F">
        <w:rPr>
          <w:rFonts w:ascii="Aptos" w:hAnsi="Aptos" w:cs="Tahoma"/>
          <w:b/>
          <w:bCs/>
        </w:rPr>
        <w:t xml:space="preserve">example </w:t>
      </w:r>
      <w:r w:rsidR="00C72690" w:rsidRPr="002C0B4F">
        <w:rPr>
          <w:rFonts w:ascii="Aptos" w:hAnsi="Aptos" w:cs="Tahoma"/>
          <w:b/>
          <w:bCs/>
        </w:rPr>
        <w:t>work product related to “Batch Building Energy Modeling”?</w:t>
      </w:r>
      <w:r w:rsidR="002A3019" w:rsidRPr="002C0B4F">
        <w:rPr>
          <w:rFonts w:ascii="Aptos" w:hAnsi="Aptos" w:cs="Tahoma"/>
          <w:b/>
          <w:bCs/>
        </w:rPr>
        <w:t xml:space="preserve"> </w:t>
      </w:r>
      <w:r w:rsidR="009C5E52" w:rsidRPr="002C0B4F">
        <w:rPr>
          <w:rFonts w:ascii="Aptos" w:hAnsi="Aptos" w:cs="Tahoma"/>
          <w:b/>
          <w:bCs/>
        </w:rPr>
        <w:t>This type of work is</w:t>
      </w:r>
      <w:r w:rsidR="00FC3DCA" w:rsidRPr="002C0B4F">
        <w:rPr>
          <w:rFonts w:ascii="Aptos" w:hAnsi="Aptos" w:cs="Tahoma"/>
          <w:b/>
          <w:bCs/>
        </w:rPr>
        <w:t xml:space="preserve"> often completed</w:t>
      </w:r>
      <w:r w:rsidR="009C5E52" w:rsidRPr="002C0B4F">
        <w:rPr>
          <w:rFonts w:ascii="Aptos" w:hAnsi="Aptos" w:cs="Tahoma"/>
          <w:b/>
          <w:bCs/>
        </w:rPr>
        <w:t xml:space="preserve"> behind the scenes with no specific work products to </w:t>
      </w:r>
      <w:r w:rsidR="002A3019" w:rsidRPr="002C0B4F">
        <w:rPr>
          <w:rFonts w:ascii="Aptos" w:hAnsi="Aptos" w:cs="Tahoma"/>
          <w:b/>
          <w:bCs/>
        </w:rPr>
        <w:t>show</w:t>
      </w:r>
      <w:r w:rsidR="00FC3DCA" w:rsidRPr="002C0B4F">
        <w:rPr>
          <w:rFonts w:ascii="Aptos" w:hAnsi="Aptos" w:cs="Tahoma"/>
          <w:b/>
          <w:bCs/>
        </w:rPr>
        <w:t xml:space="preserve">. It may also </w:t>
      </w:r>
      <w:r w:rsidR="009C5E52" w:rsidRPr="002C0B4F">
        <w:rPr>
          <w:rFonts w:ascii="Aptos" w:hAnsi="Aptos" w:cs="Tahoma"/>
          <w:b/>
          <w:bCs/>
        </w:rPr>
        <w:t>be confidential.</w:t>
      </w:r>
    </w:p>
    <w:p w14:paraId="4D79DCBC" w14:textId="3DD648F2" w:rsidR="00473051" w:rsidRPr="002C0B4F" w:rsidRDefault="00FC3DCA" w:rsidP="004F0931">
      <w:pPr>
        <w:spacing w:before="120" w:after="120" w:line="259" w:lineRule="auto"/>
        <w:ind w:left="720" w:hanging="720"/>
        <w:rPr>
          <w:rFonts w:ascii="Aptos" w:hAnsi="Aptos" w:cs="Tahoma"/>
        </w:rPr>
      </w:pPr>
      <w:r w:rsidRPr="002C0B4F">
        <w:rPr>
          <w:rFonts w:ascii="Aptos" w:hAnsi="Aptos" w:cs="Tahoma"/>
        </w:rPr>
        <w:t>A</w:t>
      </w:r>
      <w:r w:rsidR="00132E16" w:rsidRPr="002C0B4F">
        <w:rPr>
          <w:rFonts w:ascii="Aptos" w:hAnsi="Aptos" w:cs="Tahoma"/>
        </w:rPr>
        <w:t>4</w:t>
      </w:r>
      <w:r w:rsidR="007E4B58" w:rsidRPr="002C0B4F">
        <w:rPr>
          <w:rFonts w:ascii="Aptos" w:hAnsi="Aptos" w:cs="Tahoma"/>
        </w:rPr>
        <w:t>4</w:t>
      </w:r>
      <w:r w:rsidRPr="002C0B4F">
        <w:rPr>
          <w:rFonts w:ascii="Aptos" w:hAnsi="Aptos" w:cs="Tahoma"/>
        </w:rPr>
        <w:t>:</w:t>
      </w:r>
      <w:r w:rsidR="00132E16" w:rsidRPr="002C0B4F">
        <w:rPr>
          <w:rFonts w:ascii="Aptos" w:hAnsi="Aptos" w:cs="Tahoma"/>
        </w:rPr>
        <w:tab/>
      </w:r>
      <w:r w:rsidR="002A1B53" w:rsidRPr="002C0B4F">
        <w:rPr>
          <w:rFonts w:ascii="Aptos" w:hAnsi="Aptos" w:cs="Tahoma"/>
          <w:color w:val="000000"/>
        </w:rPr>
        <w:t xml:space="preserve">Many of the tasks outlined in the SOW will </w:t>
      </w:r>
      <w:r w:rsidR="00100B3B" w:rsidRPr="002C0B4F">
        <w:rPr>
          <w:rFonts w:ascii="Aptos" w:hAnsi="Aptos" w:cs="Tahoma"/>
          <w:color w:val="000000"/>
        </w:rPr>
        <w:t xml:space="preserve">require </w:t>
      </w:r>
      <w:r w:rsidR="00F94935" w:rsidRPr="002C0B4F">
        <w:rPr>
          <w:rFonts w:ascii="Aptos" w:hAnsi="Aptos" w:cs="Tahoma"/>
          <w:color w:val="000000"/>
        </w:rPr>
        <w:t xml:space="preserve">the project team to </w:t>
      </w:r>
      <w:r w:rsidR="00A56B5A" w:rsidRPr="002C0B4F">
        <w:rPr>
          <w:rFonts w:ascii="Aptos" w:hAnsi="Aptos" w:cs="Tahoma"/>
          <w:color w:val="000000"/>
        </w:rPr>
        <w:t>complet</w:t>
      </w:r>
      <w:r w:rsidR="00F94935" w:rsidRPr="002C0B4F">
        <w:rPr>
          <w:rFonts w:ascii="Aptos" w:hAnsi="Aptos" w:cs="Tahoma"/>
          <w:color w:val="000000"/>
        </w:rPr>
        <w:t>e</w:t>
      </w:r>
      <w:r w:rsidR="002A1B53" w:rsidRPr="002C0B4F">
        <w:rPr>
          <w:rFonts w:ascii="Aptos" w:hAnsi="Aptos" w:cs="Tahoma"/>
          <w:color w:val="000000"/>
        </w:rPr>
        <w:t xml:space="preserve"> </w:t>
      </w:r>
      <w:r w:rsidR="00AB47AD" w:rsidRPr="002C0B4F">
        <w:rPr>
          <w:rFonts w:ascii="Aptos" w:hAnsi="Aptos" w:cs="Tahoma"/>
          <w:color w:val="000000"/>
        </w:rPr>
        <w:t>detailed analysis</w:t>
      </w:r>
      <w:r w:rsidR="00100B3B" w:rsidRPr="002C0B4F">
        <w:rPr>
          <w:rFonts w:ascii="Aptos" w:hAnsi="Aptos" w:cs="Tahoma"/>
          <w:color w:val="000000"/>
        </w:rPr>
        <w:t xml:space="preserve"> at a statewide level</w:t>
      </w:r>
      <w:r w:rsidR="00AB47AD" w:rsidRPr="002C0B4F">
        <w:rPr>
          <w:rFonts w:ascii="Aptos" w:hAnsi="Aptos" w:cs="Tahoma"/>
          <w:color w:val="000000"/>
        </w:rPr>
        <w:t xml:space="preserve">. </w:t>
      </w:r>
      <w:r w:rsidR="007F2759" w:rsidRPr="002C0B4F">
        <w:rPr>
          <w:rFonts w:ascii="Aptos" w:hAnsi="Aptos" w:cs="Tahoma"/>
        </w:rPr>
        <w:t xml:space="preserve">The CEC </w:t>
      </w:r>
      <w:r w:rsidR="000919F0" w:rsidRPr="002C0B4F">
        <w:rPr>
          <w:rFonts w:ascii="Aptos" w:hAnsi="Aptos" w:cs="Tahoma"/>
        </w:rPr>
        <w:t xml:space="preserve">is interested in </w:t>
      </w:r>
      <w:r w:rsidR="00B82726" w:rsidRPr="002C0B4F">
        <w:rPr>
          <w:rFonts w:ascii="Aptos" w:hAnsi="Aptos" w:cs="Tahoma"/>
        </w:rPr>
        <w:t>an applicant’s</w:t>
      </w:r>
      <w:r w:rsidR="000919F0" w:rsidRPr="002C0B4F">
        <w:rPr>
          <w:rFonts w:ascii="Aptos" w:hAnsi="Aptos" w:cs="Tahoma"/>
        </w:rPr>
        <w:t xml:space="preserve"> ability </w:t>
      </w:r>
      <w:r w:rsidR="001610E9" w:rsidRPr="002C0B4F">
        <w:rPr>
          <w:rFonts w:ascii="Aptos" w:hAnsi="Aptos" w:cs="Tahoma"/>
        </w:rPr>
        <w:t>and/</w:t>
      </w:r>
      <w:r w:rsidR="000919F0" w:rsidRPr="002C0B4F">
        <w:rPr>
          <w:rFonts w:ascii="Aptos" w:hAnsi="Aptos" w:cs="Tahoma"/>
        </w:rPr>
        <w:t xml:space="preserve">or experience </w:t>
      </w:r>
      <w:r w:rsidR="001610E9" w:rsidRPr="002C0B4F">
        <w:rPr>
          <w:rFonts w:ascii="Aptos" w:hAnsi="Aptos" w:cs="Tahoma"/>
        </w:rPr>
        <w:t>with</w:t>
      </w:r>
      <w:r w:rsidR="000919F0" w:rsidRPr="002C0B4F">
        <w:rPr>
          <w:rFonts w:ascii="Aptos" w:hAnsi="Aptos" w:cs="Tahoma"/>
        </w:rPr>
        <w:t xml:space="preserve"> Batch Building Energy Modeling</w:t>
      </w:r>
      <w:r w:rsidR="00A56B5A" w:rsidRPr="002C0B4F">
        <w:rPr>
          <w:rFonts w:ascii="Aptos" w:hAnsi="Aptos" w:cs="Tahoma"/>
        </w:rPr>
        <w:t xml:space="preserve"> because </w:t>
      </w:r>
      <w:r w:rsidR="00F94935" w:rsidRPr="002C0B4F">
        <w:rPr>
          <w:rFonts w:ascii="Aptos" w:hAnsi="Aptos" w:cs="Tahoma"/>
        </w:rPr>
        <w:t xml:space="preserve">it </w:t>
      </w:r>
      <w:r w:rsidR="002B5260" w:rsidRPr="002C0B4F">
        <w:rPr>
          <w:rFonts w:ascii="Aptos" w:hAnsi="Aptos" w:cs="Tahoma"/>
        </w:rPr>
        <w:t xml:space="preserve">requires analysis and </w:t>
      </w:r>
      <w:r w:rsidR="000919F0" w:rsidRPr="002C0B4F">
        <w:rPr>
          <w:rFonts w:ascii="Aptos" w:hAnsi="Aptos" w:cs="Tahoma"/>
        </w:rPr>
        <w:t xml:space="preserve">efficiencies </w:t>
      </w:r>
      <w:r w:rsidR="001610E9" w:rsidRPr="002C0B4F">
        <w:rPr>
          <w:rFonts w:ascii="Aptos" w:hAnsi="Aptos" w:cs="Tahoma"/>
        </w:rPr>
        <w:t xml:space="preserve">that could prove </w:t>
      </w:r>
      <w:r w:rsidR="00F94935" w:rsidRPr="002C0B4F">
        <w:rPr>
          <w:rFonts w:ascii="Aptos" w:hAnsi="Aptos" w:cs="Tahoma"/>
        </w:rPr>
        <w:t xml:space="preserve">beneficial to the work planned for this contract. </w:t>
      </w:r>
    </w:p>
    <w:p w14:paraId="627A44FB" w14:textId="77777777" w:rsidR="009A10FF" w:rsidRPr="002C0B4F" w:rsidRDefault="002B5260" w:rsidP="004F0931">
      <w:pPr>
        <w:spacing w:before="120" w:after="120" w:line="259" w:lineRule="auto"/>
        <w:ind w:left="720"/>
        <w:rPr>
          <w:rFonts w:ascii="Aptos" w:hAnsi="Aptos" w:cs="Tahoma"/>
        </w:rPr>
      </w:pPr>
      <w:r w:rsidRPr="002C0B4F">
        <w:rPr>
          <w:rFonts w:ascii="Aptos" w:hAnsi="Aptos" w:cs="Tahoma"/>
        </w:rPr>
        <w:t>In addition, as</w:t>
      </w:r>
      <w:r w:rsidR="00DA3EDF" w:rsidRPr="002C0B4F">
        <w:rPr>
          <w:rFonts w:ascii="Aptos" w:hAnsi="Aptos" w:cs="Tahoma"/>
        </w:rPr>
        <w:t xml:space="preserve"> stated on page 107 of the solicitation manual, </w:t>
      </w:r>
      <w:r w:rsidR="00532F0D" w:rsidRPr="002C0B4F">
        <w:rPr>
          <w:rFonts w:ascii="Aptos" w:hAnsi="Aptos" w:cs="Tahoma"/>
        </w:rPr>
        <w:t xml:space="preserve">the “Batch Building Energy Modeling” </w:t>
      </w:r>
      <w:r w:rsidR="00DA3EDF" w:rsidRPr="002C0B4F">
        <w:rPr>
          <w:rFonts w:ascii="Aptos" w:hAnsi="Aptos" w:cs="Tahoma"/>
        </w:rPr>
        <w:t xml:space="preserve">examples should demonstrate analytical or evaluative use of modeling rather than single-project design compliance modeling. </w:t>
      </w:r>
    </w:p>
    <w:p w14:paraId="480F224F" w14:textId="18F3B7A7" w:rsidR="00DA3EDF" w:rsidRPr="002C0B4F" w:rsidRDefault="00267C61" w:rsidP="004F0931">
      <w:pPr>
        <w:spacing w:before="120" w:after="120" w:line="259" w:lineRule="auto"/>
        <w:ind w:left="720"/>
        <w:rPr>
          <w:rFonts w:ascii="Aptos" w:hAnsi="Aptos" w:cs="Tahoma"/>
        </w:rPr>
      </w:pPr>
      <w:r w:rsidRPr="002C0B4F">
        <w:rPr>
          <w:rFonts w:ascii="Aptos" w:hAnsi="Aptos" w:cs="Tahoma"/>
        </w:rPr>
        <w:lastRenderedPageBreak/>
        <w:t xml:space="preserve">As such, </w:t>
      </w:r>
      <w:r w:rsidR="000417B1" w:rsidRPr="002C0B4F">
        <w:rPr>
          <w:rFonts w:ascii="Aptos" w:hAnsi="Aptos" w:cs="Tahoma"/>
        </w:rPr>
        <w:t>Firms and Subcontractors</w:t>
      </w:r>
      <w:r w:rsidRPr="002C0B4F">
        <w:rPr>
          <w:rFonts w:ascii="Aptos" w:hAnsi="Aptos" w:cs="Tahoma"/>
        </w:rPr>
        <w:t xml:space="preserve"> may provide representative </w:t>
      </w:r>
      <w:r w:rsidR="00AB2FE8" w:rsidRPr="002C0B4F">
        <w:rPr>
          <w:rFonts w:ascii="Aptos" w:hAnsi="Aptos" w:cs="Tahoma"/>
        </w:rPr>
        <w:t>examples of relevant experience and capabilities, which may include</w:t>
      </w:r>
      <w:r w:rsidR="00424B68" w:rsidRPr="002C0B4F">
        <w:rPr>
          <w:rFonts w:ascii="Aptos" w:hAnsi="Aptos" w:cs="Tahoma"/>
        </w:rPr>
        <w:t>,</w:t>
      </w:r>
      <w:r w:rsidR="00AB2FE8" w:rsidRPr="002C0B4F">
        <w:rPr>
          <w:rFonts w:ascii="Aptos" w:hAnsi="Aptos" w:cs="Tahoma"/>
        </w:rPr>
        <w:t xml:space="preserve"> but not limited to</w:t>
      </w:r>
      <w:r w:rsidR="00424B68" w:rsidRPr="002C0B4F">
        <w:rPr>
          <w:rFonts w:ascii="Aptos" w:hAnsi="Aptos" w:cs="Tahoma"/>
        </w:rPr>
        <w:t>,</w:t>
      </w:r>
      <w:r w:rsidR="00AB2FE8" w:rsidRPr="002C0B4F">
        <w:rPr>
          <w:rFonts w:ascii="Aptos" w:hAnsi="Aptos" w:cs="Tahoma"/>
        </w:rPr>
        <w:t xml:space="preserve"> non-confidential deliverables</w:t>
      </w:r>
      <w:r w:rsidR="0078160E" w:rsidRPr="002C0B4F">
        <w:rPr>
          <w:rFonts w:ascii="Aptos" w:hAnsi="Aptos" w:cs="Tahoma"/>
        </w:rPr>
        <w:t xml:space="preserve">, anonymized or redacted technical memoranda, methodology descriptions, model workflows, quality assurance/quality control documentation, summary results, dashboards, </w:t>
      </w:r>
      <w:r w:rsidR="00016821" w:rsidRPr="002C0B4F">
        <w:rPr>
          <w:rFonts w:ascii="Aptos" w:hAnsi="Aptos" w:cs="Tahoma"/>
        </w:rPr>
        <w:t>scripts,</w:t>
      </w:r>
      <w:r w:rsidR="0078160E" w:rsidRPr="002C0B4F">
        <w:rPr>
          <w:rFonts w:ascii="Aptos" w:hAnsi="Aptos" w:cs="Tahoma"/>
        </w:rPr>
        <w:t xml:space="preserve"> or case studies that demonstrate comparable technical expertise. </w:t>
      </w:r>
      <w:r w:rsidR="005422D0" w:rsidRPr="002C0B4F">
        <w:rPr>
          <w:rFonts w:ascii="Aptos" w:hAnsi="Aptos" w:cs="Tahoma"/>
        </w:rPr>
        <w:t xml:space="preserve">The intent is to demonstrate the </w:t>
      </w:r>
      <w:r w:rsidR="006A5167" w:rsidRPr="002C0B4F">
        <w:rPr>
          <w:rFonts w:ascii="Aptos" w:hAnsi="Aptos" w:cs="Tahoma"/>
        </w:rPr>
        <w:t>Firm</w:t>
      </w:r>
      <w:r w:rsidR="00DD4ED6" w:rsidRPr="002C0B4F">
        <w:rPr>
          <w:rFonts w:ascii="Aptos" w:hAnsi="Aptos" w:cs="Tahoma"/>
        </w:rPr>
        <w:t>’s</w:t>
      </w:r>
      <w:r w:rsidR="006A5167" w:rsidRPr="002C0B4F">
        <w:rPr>
          <w:rFonts w:ascii="Aptos" w:hAnsi="Aptos" w:cs="Tahoma"/>
        </w:rPr>
        <w:t xml:space="preserve"> or Subcontractor’s</w:t>
      </w:r>
      <w:r w:rsidR="005422D0" w:rsidRPr="002C0B4F">
        <w:rPr>
          <w:rFonts w:ascii="Aptos" w:hAnsi="Aptos" w:cs="Tahoma"/>
        </w:rPr>
        <w:t xml:space="preserve"> experience, technical approach, and ability to perform this type of work rather than </w:t>
      </w:r>
      <w:r w:rsidR="002D075E" w:rsidRPr="002C0B4F">
        <w:rPr>
          <w:rFonts w:ascii="Aptos" w:hAnsi="Aptos" w:cs="Tahoma"/>
        </w:rPr>
        <w:t xml:space="preserve">require disclosure of confidential </w:t>
      </w:r>
      <w:r w:rsidR="000D4CB9" w:rsidRPr="002C0B4F">
        <w:rPr>
          <w:rFonts w:ascii="Aptos" w:hAnsi="Aptos" w:cs="Tahoma"/>
        </w:rPr>
        <w:t xml:space="preserve">information. </w:t>
      </w:r>
    </w:p>
    <w:p w14:paraId="6BE8D15B" w14:textId="06B768F9" w:rsidR="0008215C" w:rsidRPr="002C0B4F" w:rsidRDefault="00473051" w:rsidP="004F0931">
      <w:pPr>
        <w:spacing w:before="120" w:after="120" w:line="259" w:lineRule="auto"/>
        <w:ind w:left="720"/>
        <w:rPr>
          <w:rFonts w:ascii="Aptos" w:hAnsi="Aptos" w:cs="Tahoma"/>
        </w:rPr>
      </w:pPr>
      <w:r w:rsidRPr="002C0B4F">
        <w:rPr>
          <w:rFonts w:ascii="Aptos" w:hAnsi="Aptos" w:cs="Tahoma"/>
        </w:rPr>
        <w:t>It is also important to note that the CEC will not accept or retain any SOQs that contain confidential information or have any portion marked confidential.</w:t>
      </w:r>
      <w:r w:rsidR="00532F0D" w:rsidRPr="002C0B4F">
        <w:rPr>
          <w:rFonts w:ascii="Aptos" w:hAnsi="Aptos" w:cs="Tahoma"/>
        </w:rPr>
        <w:t xml:space="preserve"> </w:t>
      </w:r>
      <w:r w:rsidR="00532F0D" w:rsidRPr="002C0B4F">
        <w:rPr>
          <w:rFonts w:ascii="Aptos" w:hAnsi="Aptos" w:cs="Tahoma"/>
          <w:u w:val="single"/>
        </w:rPr>
        <w:t xml:space="preserve">Please ensure that any </w:t>
      </w:r>
      <w:r w:rsidR="00882749" w:rsidRPr="002C0B4F">
        <w:rPr>
          <w:rFonts w:ascii="Aptos" w:hAnsi="Aptos" w:cs="Tahoma"/>
          <w:u w:val="single"/>
        </w:rPr>
        <w:t>examples of previous work products</w:t>
      </w:r>
      <w:r w:rsidR="00532F0D" w:rsidRPr="002C0B4F">
        <w:rPr>
          <w:rFonts w:ascii="Aptos" w:hAnsi="Aptos" w:cs="Tahoma"/>
          <w:u w:val="single"/>
        </w:rPr>
        <w:t xml:space="preserve"> submitted</w:t>
      </w:r>
      <w:r w:rsidR="00882749" w:rsidRPr="002C0B4F">
        <w:rPr>
          <w:rFonts w:ascii="Aptos" w:hAnsi="Aptos" w:cs="Tahoma"/>
          <w:u w:val="single"/>
        </w:rPr>
        <w:t xml:space="preserve"> with your SOW do not contain confidential information or have any portion marked confidential. </w:t>
      </w:r>
    </w:p>
    <w:p w14:paraId="1E3D3209" w14:textId="77777777" w:rsidR="002C2D00" w:rsidRPr="002C0B4F" w:rsidRDefault="002C2D00" w:rsidP="004F0931">
      <w:pPr>
        <w:spacing w:before="120" w:after="120" w:line="259" w:lineRule="auto"/>
        <w:ind w:left="720"/>
        <w:rPr>
          <w:rFonts w:ascii="Aptos" w:hAnsi="Aptos" w:cs="Tahoma"/>
        </w:rPr>
      </w:pPr>
      <w:r w:rsidRPr="002C0B4F">
        <w:rPr>
          <w:rFonts w:ascii="Aptos" w:hAnsi="Aptos" w:cs="Tahoma"/>
        </w:rPr>
        <w:t xml:space="preserve">The solicitation manual is available on the </w:t>
      </w:r>
      <w:hyperlink r:id="rId53" w:history="1">
        <w:r w:rsidRPr="002C0B4F">
          <w:rPr>
            <w:rStyle w:val="Hyperlink"/>
            <w:rFonts w:ascii="Aptos" w:hAnsi="Aptos" w:cs="Tahoma"/>
          </w:rPr>
          <w:t>RFQ-25-401 solicitation webpage</w:t>
        </w:r>
      </w:hyperlink>
      <w:r w:rsidRPr="002C0B4F">
        <w:rPr>
          <w:rFonts w:ascii="Aptos" w:hAnsi="Aptos" w:cs="Tahoma"/>
        </w:rPr>
        <w:t xml:space="preserve"> (https://www.energy.ca.gov/solicitations/2026-05/rfq-25-401-energy-code-compliance-evaluation-support).</w:t>
      </w:r>
    </w:p>
    <w:p w14:paraId="56307B31" w14:textId="2BC64356" w:rsidR="003E75D2" w:rsidRPr="002C0B4F" w:rsidRDefault="003E75D2" w:rsidP="004F0931">
      <w:pPr>
        <w:spacing w:before="120" w:after="120" w:line="259" w:lineRule="auto"/>
        <w:ind w:left="720" w:hanging="720"/>
        <w:rPr>
          <w:rFonts w:ascii="Aptos" w:hAnsi="Aptos" w:cs="Tahoma"/>
          <w:b/>
          <w:bCs/>
        </w:rPr>
      </w:pPr>
      <w:r w:rsidRPr="002C0B4F">
        <w:rPr>
          <w:rFonts w:ascii="Aptos" w:hAnsi="Aptos" w:cs="Tahoma"/>
          <w:b/>
          <w:bCs/>
        </w:rPr>
        <w:t>Q</w:t>
      </w:r>
      <w:r w:rsidR="00FC3DCA" w:rsidRPr="002C0B4F">
        <w:rPr>
          <w:rFonts w:ascii="Aptos" w:hAnsi="Aptos" w:cs="Tahoma"/>
          <w:b/>
          <w:bCs/>
        </w:rPr>
        <w:t>4</w:t>
      </w:r>
      <w:r w:rsidR="007E4B58" w:rsidRPr="002C0B4F">
        <w:rPr>
          <w:rFonts w:ascii="Aptos" w:hAnsi="Aptos" w:cs="Tahoma"/>
          <w:b/>
          <w:bCs/>
        </w:rPr>
        <w:t>5</w:t>
      </w:r>
      <w:r w:rsidRPr="002C0B4F">
        <w:rPr>
          <w:rFonts w:ascii="Aptos" w:hAnsi="Aptos" w:cs="Tahoma"/>
          <w:b/>
          <w:bCs/>
        </w:rPr>
        <w:t>:</w:t>
      </w:r>
      <w:r w:rsidRPr="002C0B4F">
        <w:rPr>
          <w:rFonts w:ascii="Aptos" w:hAnsi="Aptos" w:cs="Tahoma"/>
          <w:b/>
          <w:bCs/>
        </w:rPr>
        <w:tab/>
        <w:t xml:space="preserve">For evaluation of energy savings, does the CEC anticipate sharing data from </w:t>
      </w:r>
      <w:r w:rsidR="00B67D1C" w:rsidRPr="002C0B4F">
        <w:rPr>
          <w:rFonts w:ascii="Aptos" w:hAnsi="Aptos" w:cs="Tahoma"/>
          <w:b/>
          <w:bCs/>
        </w:rPr>
        <w:t>its</w:t>
      </w:r>
      <w:r w:rsidRPr="002C0B4F">
        <w:rPr>
          <w:rFonts w:ascii="Aptos" w:hAnsi="Aptos" w:cs="Tahoma"/>
          <w:b/>
          <w:bCs/>
        </w:rPr>
        <w:t xml:space="preserve"> </w:t>
      </w:r>
      <w:r w:rsidR="000C408E" w:rsidRPr="002C0B4F">
        <w:rPr>
          <w:rFonts w:ascii="Aptos" w:hAnsi="Aptos" w:cs="Tahoma"/>
          <w:b/>
          <w:bCs/>
        </w:rPr>
        <w:t>A</w:t>
      </w:r>
      <w:r w:rsidR="006E0ED3" w:rsidRPr="002C0B4F">
        <w:rPr>
          <w:rFonts w:ascii="Aptos" w:hAnsi="Aptos" w:cs="Tahoma"/>
          <w:b/>
          <w:bCs/>
        </w:rPr>
        <w:t xml:space="preserve">dvanced </w:t>
      </w:r>
      <w:r w:rsidR="000C408E" w:rsidRPr="002C0B4F">
        <w:rPr>
          <w:rFonts w:ascii="Aptos" w:hAnsi="Aptos" w:cs="Tahoma"/>
          <w:b/>
          <w:bCs/>
        </w:rPr>
        <w:t>M</w:t>
      </w:r>
      <w:r w:rsidR="006E0ED3" w:rsidRPr="002C0B4F">
        <w:rPr>
          <w:rFonts w:ascii="Aptos" w:hAnsi="Aptos" w:cs="Tahoma"/>
          <w:b/>
          <w:bCs/>
        </w:rPr>
        <w:t xml:space="preserve">etering </w:t>
      </w:r>
      <w:r w:rsidR="000C408E" w:rsidRPr="002C0B4F">
        <w:rPr>
          <w:rFonts w:ascii="Aptos" w:hAnsi="Aptos" w:cs="Tahoma"/>
          <w:b/>
          <w:bCs/>
        </w:rPr>
        <w:t>I</w:t>
      </w:r>
      <w:r w:rsidR="006E0ED3" w:rsidRPr="002C0B4F">
        <w:rPr>
          <w:rFonts w:ascii="Aptos" w:hAnsi="Aptos" w:cs="Tahoma"/>
          <w:b/>
          <w:bCs/>
        </w:rPr>
        <w:t>nfrastructure (AMI)</w:t>
      </w:r>
      <w:r w:rsidRPr="002C0B4F">
        <w:rPr>
          <w:rFonts w:ascii="Aptos" w:hAnsi="Aptos" w:cs="Tahoma"/>
          <w:b/>
          <w:bCs/>
        </w:rPr>
        <w:t xml:space="preserve"> data </w:t>
      </w:r>
      <w:r w:rsidR="00B67D1C" w:rsidRPr="002C0B4F">
        <w:rPr>
          <w:rFonts w:ascii="Aptos" w:hAnsi="Aptos" w:cs="Tahoma"/>
          <w:b/>
          <w:bCs/>
        </w:rPr>
        <w:t>repository</w:t>
      </w:r>
      <w:r w:rsidRPr="002C0B4F">
        <w:rPr>
          <w:rFonts w:ascii="Aptos" w:hAnsi="Aptos" w:cs="Tahoma"/>
          <w:b/>
          <w:bCs/>
        </w:rPr>
        <w:t xml:space="preserve"> to compare actual energy usage versus modeling?</w:t>
      </w:r>
    </w:p>
    <w:p w14:paraId="1CF2E357" w14:textId="7E471366" w:rsidR="003E75D2" w:rsidRPr="002C0B4F" w:rsidRDefault="003E75D2" w:rsidP="004F0931">
      <w:pPr>
        <w:spacing w:before="120" w:after="120" w:line="259" w:lineRule="auto"/>
        <w:ind w:left="720" w:hanging="720"/>
        <w:rPr>
          <w:rFonts w:ascii="Aptos" w:hAnsi="Aptos" w:cs="Tahoma"/>
        </w:rPr>
      </w:pPr>
      <w:r w:rsidRPr="002C0B4F">
        <w:rPr>
          <w:rFonts w:ascii="Aptos" w:hAnsi="Aptos" w:cs="Tahoma"/>
        </w:rPr>
        <w:t>A</w:t>
      </w:r>
      <w:r w:rsidR="006E0ED3" w:rsidRPr="002C0B4F">
        <w:rPr>
          <w:rFonts w:ascii="Aptos" w:hAnsi="Aptos" w:cs="Tahoma"/>
        </w:rPr>
        <w:t>4</w:t>
      </w:r>
      <w:r w:rsidR="007E4B58" w:rsidRPr="002C0B4F">
        <w:rPr>
          <w:rFonts w:ascii="Aptos" w:hAnsi="Aptos" w:cs="Tahoma"/>
        </w:rPr>
        <w:t>5</w:t>
      </w:r>
      <w:r w:rsidRPr="002C0B4F">
        <w:rPr>
          <w:rFonts w:ascii="Aptos" w:hAnsi="Aptos" w:cs="Tahoma"/>
        </w:rPr>
        <w:t>:</w:t>
      </w:r>
      <w:r w:rsidRPr="002C0B4F">
        <w:rPr>
          <w:rFonts w:ascii="Aptos" w:hAnsi="Aptos" w:cs="Tahoma"/>
        </w:rPr>
        <w:tab/>
      </w:r>
      <w:r w:rsidR="000D1401" w:rsidRPr="002C0B4F">
        <w:rPr>
          <w:rFonts w:ascii="Aptos" w:hAnsi="Aptos" w:cs="Tahoma"/>
        </w:rPr>
        <w:t>No, the CEC does not anticipate sharing data from its AMI data repository</w:t>
      </w:r>
      <w:r w:rsidR="00E14733" w:rsidRPr="002C0B4F">
        <w:rPr>
          <w:rFonts w:ascii="Aptos" w:hAnsi="Aptos" w:cs="Tahoma"/>
        </w:rPr>
        <w:t xml:space="preserve"> </w:t>
      </w:r>
      <w:r w:rsidR="005C1216" w:rsidRPr="002C0B4F">
        <w:rPr>
          <w:rFonts w:ascii="Aptos" w:hAnsi="Aptos" w:cs="Tahoma"/>
        </w:rPr>
        <w:t>to complete the tasks as outlined in the SOW</w:t>
      </w:r>
      <w:r w:rsidR="00F2731B" w:rsidRPr="002C0B4F">
        <w:rPr>
          <w:rFonts w:ascii="Aptos" w:hAnsi="Aptos" w:cs="Tahoma"/>
        </w:rPr>
        <w:t>.</w:t>
      </w:r>
    </w:p>
    <w:p w14:paraId="46117FE8" w14:textId="77777777" w:rsidR="00F2731B" w:rsidRPr="002C0B4F" w:rsidRDefault="00F2731B" w:rsidP="004F0931">
      <w:pPr>
        <w:ind w:left="720" w:hanging="720"/>
        <w:rPr>
          <w:rFonts w:ascii="Aptos" w:hAnsi="Aptos" w:cs="Tahoma"/>
        </w:rPr>
      </w:pPr>
    </w:p>
    <w:p w14:paraId="3D79A69D" w14:textId="77777777" w:rsidR="00F2731B" w:rsidRPr="002C0B4F" w:rsidRDefault="00F2731B" w:rsidP="004F0931">
      <w:pPr>
        <w:ind w:left="720" w:hanging="720"/>
        <w:rPr>
          <w:rFonts w:ascii="Aptos" w:hAnsi="Aptos" w:cs="Tahoma"/>
        </w:rPr>
      </w:pPr>
    </w:p>
    <w:p w14:paraId="4B467E17" w14:textId="77777777" w:rsidR="00F2731B" w:rsidRPr="002C0B4F" w:rsidRDefault="00F2731B" w:rsidP="00A153C1">
      <w:pPr>
        <w:rPr>
          <w:rFonts w:ascii="Aptos" w:hAnsi="Aptos" w:cs="Tahoma"/>
        </w:rPr>
      </w:pPr>
    </w:p>
    <w:p w14:paraId="527E643F" w14:textId="6CAF516C" w:rsidR="00F32514" w:rsidRPr="002C0B4F" w:rsidRDefault="00F32514" w:rsidP="004F0931">
      <w:pPr>
        <w:rPr>
          <w:rFonts w:ascii="Aptos" w:hAnsi="Aptos" w:cs="Tahoma"/>
          <w:b/>
          <w:bCs/>
        </w:rPr>
      </w:pPr>
      <w:r w:rsidRPr="002C0B4F">
        <w:rPr>
          <w:rFonts w:ascii="Aptos" w:hAnsi="Aptos" w:cs="Tahoma"/>
          <w:b/>
          <w:bCs/>
        </w:rPr>
        <w:t>Diana Grady,</w:t>
      </w:r>
    </w:p>
    <w:p w14:paraId="55D8B248" w14:textId="77777777" w:rsidR="00F32514" w:rsidRPr="002C0B4F" w:rsidRDefault="00F32514" w:rsidP="004F0931">
      <w:pPr>
        <w:rPr>
          <w:rFonts w:ascii="Aptos" w:hAnsi="Aptos" w:cs="Tahoma"/>
          <w:b/>
          <w:bCs/>
        </w:rPr>
      </w:pPr>
      <w:r w:rsidRPr="002C0B4F">
        <w:rPr>
          <w:rFonts w:ascii="Aptos" w:hAnsi="Aptos" w:cs="Tahoma"/>
          <w:b/>
          <w:bCs/>
        </w:rPr>
        <w:t>Commission Agreement Officer</w:t>
      </w:r>
    </w:p>
    <w:p w14:paraId="6AEDE6BC" w14:textId="754996E4" w:rsidR="7ED56795" w:rsidRPr="004F0931" w:rsidRDefault="7ED56795" w:rsidP="004F0931">
      <w:pPr>
        <w:spacing w:before="120" w:after="120" w:line="259" w:lineRule="auto"/>
        <w:rPr>
          <w:rStyle w:val="eop"/>
          <w:rFonts w:ascii="Aptos" w:hAnsi="Aptos"/>
        </w:rPr>
      </w:pPr>
    </w:p>
    <w:sectPr w:rsidR="7ED56795" w:rsidRPr="004F0931" w:rsidSect="00CA0A0B">
      <w:footerReference w:type="default" r:id="rId54"/>
      <w:headerReference w:type="first" r:id="rId55"/>
      <w:footerReference w:type="first" r:id="rId56"/>
      <w:pgSz w:w="12240" w:h="15840" w:code="1"/>
      <w:pgMar w:top="1440" w:right="1440" w:bottom="1440" w:left="1440" w:header="547"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0A364" w14:textId="77777777" w:rsidR="003A2C63" w:rsidRDefault="003A2C63" w:rsidP="00F86D2B">
      <w:r>
        <w:separator/>
      </w:r>
    </w:p>
  </w:endnote>
  <w:endnote w:type="continuationSeparator" w:id="0">
    <w:p w14:paraId="1CE09AEE" w14:textId="77777777" w:rsidR="003A2C63" w:rsidRDefault="003A2C63" w:rsidP="00F86D2B">
      <w:r>
        <w:continuationSeparator/>
      </w:r>
    </w:p>
  </w:endnote>
  <w:endnote w:type="continuationNotice" w:id="1">
    <w:p w14:paraId="0F2DE9C2" w14:textId="77777777" w:rsidR="003A2C63" w:rsidRDefault="003A2C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594240"/>
      <w:docPartObj>
        <w:docPartGallery w:val="Page Numbers (Bottom of Page)"/>
        <w:docPartUnique/>
      </w:docPartObj>
    </w:sdtPr>
    <w:sdtEndPr/>
    <w:sdtContent>
      <w:sdt>
        <w:sdtPr>
          <w:id w:val="237985922"/>
          <w:docPartObj>
            <w:docPartGallery w:val="Page Numbers (Top of Page)"/>
            <w:docPartUnique/>
          </w:docPartObj>
        </w:sdtPr>
        <w:sdtEndPr/>
        <w:sdtContent>
          <w:p w14:paraId="5581E6DA" w14:textId="77777777" w:rsidR="00CA0A0B" w:rsidRDefault="00CA0A0B" w:rsidP="00CA0A0B">
            <w:pPr>
              <w:pStyle w:val="Footer"/>
              <w:jc w:val="center"/>
            </w:pPr>
            <w:r w:rsidRPr="00CA0A0B">
              <w:rPr>
                <w:rFonts w:ascii="Aptos" w:hAnsi="Aptos"/>
                <w:sz w:val="22"/>
                <w:szCs w:val="22"/>
              </w:rPr>
              <w:t xml:space="preserve">Page </w:t>
            </w:r>
            <w:r w:rsidRPr="00CA0A0B">
              <w:rPr>
                <w:rFonts w:ascii="Aptos" w:hAnsi="Aptos"/>
                <w:sz w:val="22"/>
                <w:szCs w:val="22"/>
              </w:rPr>
              <w:fldChar w:fldCharType="begin"/>
            </w:r>
            <w:r w:rsidRPr="00CA0A0B">
              <w:rPr>
                <w:rFonts w:ascii="Aptos" w:hAnsi="Aptos"/>
                <w:sz w:val="22"/>
                <w:szCs w:val="22"/>
              </w:rPr>
              <w:instrText xml:space="preserve"> PAGE </w:instrText>
            </w:r>
            <w:r w:rsidRPr="00CA0A0B">
              <w:rPr>
                <w:rFonts w:ascii="Aptos" w:hAnsi="Aptos"/>
                <w:sz w:val="22"/>
                <w:szCs w:val="22"/>
              </w:rPr>
              <w:fldChar w:fldCharType="separate"/>
            </w:r>
            <w:r w:rsidRPr="00CA0A0B">
              <w:rPr>
                <w:rFonts w:ascii="Aptos" w:hAnsi="Aptos"/>
                <w:noProof/>
                <w:sz w:val="22"/>
                <w:szCs w:val="22"/>
              </w:rPr>
              <w:t>2</w:t>
            </w:r>
            <w:r w:rsidRPr="00CA0A0B">
              <w:rPr>
                <w:rFonts w:ascii="Aptos" w:hAnsi="Aptos"/>
                <w:sz w:val="22"/>
                <w:szCs w:val="22"/>
              </w:rPr>
              <w:fldChar w:fldCharType="end"/>
            </w:r>
            <w:r w:rsidRPr="00CA0A0B">
              <w:rPr>
                <w:rFonts w:ascii="Aptos" w:hAnsi="Aptos"/>
                <w:sz w:val="22"/>
                <w:szCs w:val="22"/>
              </w:rPr>
              <w:t xml:space="preserve"> of </w:t>
            </w:r>
            <w:r w:rsidRPr="00CA0A0B">
              <w:rPr>
                <w:rFonts w:ascii="Aptos" w:hAnsi="Aptos"/>
                <w:sz w:val="22"/>
                <w:szCs w:val="22"/>
              </w:rPr>
              <w:fldChar w:fldCharType="begin"/>
            </w:r>
            <w:r w:rsidRPr="00CA0A0B">
              <w:rPr>
                <w:rFonts w:ascii="Aptos" w:hAnsi="Aptos"/>
                <w:sz w:val="22"/>
                <w:szCs w:val="22"/>
              </w:rPr>
              <w:instrText xml:space="preserve"> NUMPAGES  </w:instrText>
            </w:r>
            <w:r w:rsidRPr="00CA0A0B">
              <w:rPr>
                <w:rFonts w:ascii="Aptos" w:hAnsi="Aptos"/>
                <w:sz w:val="22"/>
                <w:szCs w:val="22"/>
              </w:rPr>
              <w:fldChar w:fldCharType="separate"/>
            </w:r>
            <w:r w:rsidRPr="00CA0A0B">
              <w:rPr>
                <w:rFonts w:ascii="Aptos" w:hAnsi="Aptos"/>
                <w:noProof/>
                <w:sz w:val="22"/>
                <w:szCs w:val="22"/>
              </w:rPr>
              <w:t>2</w:t>
            </w:r>
            <w:r w:rsidRPr="00CA0A0B">
              <w:rPr>
                <w:rFonts w:ascii="Aptos" w:hAnsi="Aptos"/>
                <w:sz w:val="22"/>
                <w:szCs w:val="22"/>
              </w:rPr>
              <w:fldChar w:fldCharType="end"/>
            </w:r>
          </w:p>
        </w:sdtContent>
      </w:sdt>
    </w:sdtContent>
  </w:sdt>
  <w:p w14:paraId="73822889" w14:textId="77777777" w:rsidR="00CA0A0B" w:rsidRDefault="00CA0A0B" w:rsidP="00CA0A0B">
    <w:pPr>
      <w:pStyle w:val="Footer"/>
      <w:tabs>
        <w:tab w:val="clear" w:pos="43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660156"/>
      <w:docPartObj>
        <w:docPartGallery w:val="Page Numbers (Bottom of Page)"/>
        <w:docPartUnique/>
      </w:docPartObj>
    </w:sdtPr>
    <w:sdtEndPr/>
    <w:sdtContent>
      <w:sdt>
        <w:sdtPr>
          <w:id w:val="-1632243534"/>
          <w:docPartObj>
            <w:docPartGallery w:val="Page Numbers (Top of Page)"/>
            <w:docPartUnique/>
          </w:docPartObj>
        </w:sdtPr>
        <w:sdtEndPr/>
        <w:sdtContent>
          <w:p w14:paraId="23B9F5A9" w14:textId="77777777" w:rsidR="00CA0A0B" w:rsidRDefault="00CA0A0B" w:rsidP="00CA0A0B">
            <w:pPr>
              <w:pStyle w:val="Footer"/>
              <w:tabs>
                <w:tab w:val="clear" w:pos="4320"/>
              </w:tabs>
              <w:jc w:val="center"/>
            </w:pPr>
            <w:r w:rsidRPr="00CA0A0B">
              <w:rPr>
                <w:rFonts w:ascii="Aptos" w:hAnsi="Aptos"/>
                <w:sz w:val="22"/>
                <w:szCs w:val="22"/>
              </w:rPr>
              <w:t xml:space="preserve">Page </w:t>
            </w:r>
            <w:r w:rsidRPr="00CA0A0B">
              <w:rPr>
                <w:rFonts w:ascii="Aptos" w:hAnsi="Aptos"/>
                <w:sz w:val="22"/>
                <w:szCs w:val="22"/>
              </w:rPr>
              <w:fldChar w:fldCharType="begin"/>
            </w:r>
            <w:r w:rsidRPr="00CA0A0B">
              <w:rPr>
                <w:rFonts w:ascii="Aptos" w:hAnsi="Aptos"/>
                <w:sz w:val="22"/>
                <w:szCs w:val="22"/>
              </w:rPr>
              <w:instrText xml:space="preserve"> PAGE </w:instrText>
            </w:r>
            <w:r w:rsidRPr="00CA0A0B">
              <w:rPr>
                <w:rFonts w:ascii="Aptos" w:hAnsi="Aptos"/>
                <w:sz w:val="22"/>
                <w:szCs w:val="22"/>
              </w:rPr>
              <w:fldChar w:fldCharType="separate"/>
            </w:r>
            <w:r>
              <w:rPr>
                <w:rFonts w:ascii="Aptos" w:hAnsi="Aptos"/>
                <w:sz w:val="22"/>
                <w:szCs w:val="22"/>
              </w:rPr>
              <w:t>4</w:t>
            </w:r>
            <w:r w:rsidRPr="00CA0A0B">
              <w:rPr>
                <w:rFonts w:ascii="Aptos" w:hAnsi="Aptos"/>
                <w:sz w:val="22"/>
                <w:szCs w:val="22"/>
              </w:rPr>
              <w:fldChar w:fldCharType="end"/>
            </w:r>
            <w:r w:rsidRPr="00CA0A0B">
              <w:rPr>
                <w:rFonts w:ascii="Aptos" w:hAnsi="Aptos"/>
                <w:sz w:val="22"/>
                <w:szCs w:val="22"/>
              </w:rPr>
              <w:t xml:space="preserve"> of </w:t>
            </w:r>
            <w:r w:rsidRPr="00CA0A0B">
              <w:rPr>
                <w:rFonts w:ascii="Aptos" w:hAnsi="Aptos"/>
                <w:sz w:val="22"/>
                <w:szCs w:val="22"/>
              </w:rPr>
              <w:fldChar w:fldCharType="begin"/>
            </w:r>
            <w:r w:rsidRPr="00CA0A0B">
              <w:rPr>
                <w:rFonts w:ascii="Aptos" w:hAnsi="Aptos"/>
                <w:sz w:val="22"/>
                <w:szCs w:val="22"/>
              </w:rPr>
              <w:instrText xml:space="preserve"> NUMPAGES  </w:instrText>
            </w:r>
            <w:r w:rsidRPr="00CA0A0B">
              <w:rPr>
                <w:rFonts w:ascii="Aptos" w:hAnsi="Aptos"/>
                <w:sz w:val="22"/>
                <w:szCs w:val="22"/>
              </w:rPr>
              <w:fldChar w:fldCharType="separate"/>
            </w:r>
            <w:r>
              <w:rPr>
                <w:rFonts w:ascii="Aptos" w:hAnsi="Aptos"/>
                <w:sz w:val="22"/>
                <w:szCs w:val="22"/>
              </w:rPr>
              <w:t>18</w:t>
            </w:r>
            <w:r w:rsidRPr="00CA0A0B">
              <w:rPr>
                <w:rFonts w:ascii="Aptos" w:hAnsi="Aptos"/>
                <w:sz w:val="22"/>
                <w:szCs w:val="22"/>
              </w:rPr>
              <w:fldChar w:fldCharType="end"/>
            </w:r>
          </w:p>
        </w:sdtContent>
      </w:sdt>
    </w:sdtContent>
  </w:sdt>
  <w:p w14:paraId="1365FE87" w14:textId="6E743E17" w:rsidR="00CA0A0B" w:rsidRDefault="00CA0A0B" w:rsidP="002D11A5">
    <w:pPr>
      <w:pStyle w:val="Footer"/>
      <w:ind w:hanging="1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2A388" w14:textId="77777777" w:rsidR="003A2C63" w:rsidRDefault="003A2C63" w:rsidP="00F86D2B">
      <w:r>
        <w:separator/>
      </w:r>
    </w:p>
  </w:footnote>
  <w:footnote w:type="continuationSeparator" w:id="0">
    <w:p w14:paraId="2DEB95A1" w14:textId="77777777" w:rsidR="003A2C63" w:rsidRDefault="003A2C63" w:rsidP="00F86D2B">
      <w:r>
        <w:continuationSeparator/>
      </w:r>
    </w:p>
  </w:footnote>
  <w:footnote w:type="continuationNotice" w:id="1">
    <w:p w14:paraId="18CB8C24" w14:textId="77777777" w:rsidR="003A2C63" w:rsidRDefault="003A2C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941E" w14:textId="2CE1FF67" w:rsidR="00CA0A0B" w:rsidRDefault="00CA0A0B" w:rsidP="0098590A">
    <w:pPr>
      <w:pStyle w:val="Header"/>
      <w:ind w:hanging="1350"/>
      <w:jc w:val="center"/>
    </w:pPr>
  </w:p>
  <w:p w14:paraId="30D90F7A" w14:textId="77777777" w:rsidR="00CA0A0B" w:rsidRDefault="00CA0A0B" w:rsidP="002D11A5">
    <w:pPr>
      <w:pStyle w:val="Header"/>
      <w:ind w:hanging="1800"/>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B9A"/>
    <w:multiLevelType w:val="hybridMultilevel"/>
    <w:tmpl w:val="EB70A8DE"/>
    <w:lvl w:ilvl="0" w:tplc="C30A07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23CE0"/>
    <w:multiLevelType w:val="hybridMultilevel"/>
    <w:tmpl w:val="DEB8F6E8"/>
    <w:lvl w:ilvl="0" w:tplc="04090015">
      <w:start w:val="1"/>
      <w:numFmt w:val="upperLetter"/>
      <w:lvlText w:val="%1."/>
      <w:lvlJc w:val="left"/>
      <w:pPr>
        <w:ind w:left="7470" w:hanging="360"/>
      </w:pPr>
    </w:lvl>
    <w:lvl w:ilvl="1" w:tplc="04090019" w:tentative="1">
      <w:start w:val="1"/>
      <w:numFmt w:val="lowerLetter"/>
      <w:lvlText w:val="%2."/>
      <w:lvlJc w:val="left"/>
      <w:pPr>
        <w:ind w:left="8190" w:hanging="360"/>
      </w:pPr>
    </w:lvl>
    <w:lvl w:ilvl="2" w:tplc="0409001B" w:tentative="1">
      <w:start w:val="1"/>
      <w:numFmt w:val="lowerRoman"/>
      <w:lvlText w:val="%3."/>
      <w:lvlJc w:val="right"/>
      <w:pPr>
        <w:ind w:left="8910" w:hanging="180"/>
      </w:pPr>
    </w:lvl>
    <w:lvl w:ilvl="3" w:tplc="0409000F" w:tentative="1">
      <w:start w:val="1"/>
      <w:numFmt w:val="decimal"/>
      <w:lvlText w:val="%4."/>
      <w:lvlJc w:val="left"/>
      <w:pPr>
        <w:ind w:left="9630" w:hanging="360"/>
      </w:pPr>
    </w:lvl>
    <w:lvl w:ilvl="4" w:tplc="04090019" w:tentative="1">
      <w:start w:val="1"/>
      <w:numFmt w:val="lowerLetter"/>
      <w:lvlText w:val="%5."/>
      <w:lvlJc w:val="left"/>
      <w:pPr>
        <w:ind w:left="10350" w:hanging="360"/>
      </w:pPr>
    </w:lvl>
    <w:lvl w:ilvl="5" w:tplc="0409001B" w:tentative="1">
      <w:start w:val="1"/>
      <w:numFmt w:val="lowerRoman"/>
      <w:lvlText w:val="%6."/>
      <w:lvlJc w:val="right"/>
      <w:pPr>
        <w:ind w:left="11070" w:hanging="180"/>
      </w:pPr>
    </w:lvl>
    <w:lvl w:ilvl="6" w:tplc="0409000F" w:tentative="1">
      <w:start w:val="1"/>
      <w:numFmt w:val="decimal"/>
      <w:lvlText w:val="%7."/>
      <w:lvlJc w:val="left"/>
      <w:pPr>
        <w:ind w:left="11790" w:hanging="360"/>
      </w:pPr>
    </w:lvl>
    <w:lvl w:ilvl="7" w:tplc="04090019" w:tentative="1">
      <w:start w:val="1"/>
      <w:numFmt w:val="lowerLetter"/>
      <w:lvlText w:val="%8."/>
      <w:lvlJc w:val="left"/>
      <w:pPr>
        <w:ind w:left="12510" w:hanging="360"/>
      </w:pPr>
    </w:lvl>
    <w:lvl w:ilvl="8" w:tplc="0409001B" w:tentative="1">
      <w:start w:val="1"/>
      <w:numFmt w:val="lowerRoman"/>
      <w:lvlText w:val="%9."/>
      <w:lvlJc w:val="right"/>
      <w:pPr>
        <w:ind w:left="13230" w:hanging="180"/>
      </w:pPr>
    </w:lvl>
  </w:abstractNum>
  <w:abstractNum w:abstractNumId="2" w15:restartNumberingAfterBreak="0">
    <w:nsid w:val="19173158"/>
    <w:multiLevelType w:val="hybridMultilevel"/>
    <w:tmpl w:val="2E8E52C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8701E5"/>
    <w:multiLevelType w:val="hybridMultilevel"/>
    <w:tmpl w:val="CBB6A1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9A20A0"/>
    <w:multiLevelType w:val="hybridMultilevel"/>
    <w:tmpl w:val="AC8AABA2"/>
    <w:lvl w:ilvl="0" w:tplc="1674E02A">
      <w:start w:val="1"/>
      <w:numFmt w:val="lowerLetter"/>
      <w:lvlText w:val="%1."/>
      <w:lvlJc w:val="left"/>
      <w:pPr>
        <w:ind w:left="1020" w:hanging="360"/>
      </w:pPr>
    </w:lvl>
    <w:lvl w:ilvl="1" w:tplc="520049D8">
      <w:start w:val="1"/>
      <w:numFmt w:val="lowerLetter"/>
      <w:lvlText w:val="%2."/>
      <w:lvlJc w:val="left"/>
      <w:pPr>
        <w:ind w:left="1020" w:hanging="360"/>
      </w:pPr>
    </w:lvl>
    <w:lvl w:ilvl="2" w:tplc="3A706D20">
      <w:start w:val="1"/>
      <w:numFmt w:val="lowerLetter"/>
      <w:lvlText w:val="%3."/>
      <w:lvlJc w:val="left"/>
      <w:pPr>
        <w:ind w:left="1020" w:hanging="360"/>
      </w:pPr>
    </w:lvl>
    <w:lvl w:ilvl="3" w:tplc="DFA42E68">
      <w:start w:val="1"/>
      <w:numFmt w:val="lowerLetter"/>
      <w:lvlText w:val="%4."/>
      <w:lvlJc w:val="left"/>
      <w:pPr>
        <w:ind w:left="1020" w:hanging="360"/>
      </w:pPr>
    </w:lvl>
    <w:lvl w:ilvl="4" w:tplc="BE149DD4">
      <w:start w:val="1"/>
      <w:numFmt w:val="lowerLetter"/>
      <w:lvlText w:val="%5."/>
      <w:lvlJc w:val="left"/>
      <w:pPr>
        <w:ind w:left="1020" w:hanging="360"/>
      </w:pPr>
    </w:lvl>
    <w:lvl w:ilvl="5" w:tplc="7F2ADDF4">
      <w:start w:val="1"/>
      <w:numFmt w:val="lowerLetter"/>
      <w:lvlText w:val="%6."/>
      <w:lvlJc w:val="left"/>
      <w:pPr>
        <w:ind w:left="1020" w:hanging="360"/>
      </w:pPr>
    </w:lvl>
    <w:lvl w:ilvl="6" w:tplc="8DA0BF08">
      <w:start w:val="1"/>
      <w:numFmt w:val="lowerLetter"/>
      <w:lvlText w:val="%7."/>
      <w:lvlJc w:val="left"/>
      <w:pPr>
        <w:ind w:left="1020" w:hanging="360"/>
      </w:pPr>
    </w:lvl>
    <w:lvl w:ilvl="7" w:tplc="29A05A4A">
      <w:start w:val="1"/>
      <w:numFmt w:val="lowerLetter"/>
      <w:lvlText w:val="%8."/>
      <w:lvlJc w:val="left"/>
      <w:pPr>
        <w:ind w:left="1020" w:hanging="360"/>
      </w:pPr>
    </w:lvl>
    <w:lvl w:ilvl="8" w:tplc="5204CEFA">
      <w:start w:val="1"/>
      <w:numFmt w:val="lowerLetter"/>
      <w:lvlText w:val="%9."/>
      <w:lvlJc w:val="left"/>
      <w:pPr>
        <w:ind w:left="1020" w:hanging="360"/>
      </w:pPr>
    </w:lvl>
  </w:abstractNum>
  <w:abstractNum w:abstractNumId="5" w15:restartNumberingAfterBreak="0">
    <w:nsid w:val="2E9A7786"/>
    <w:multiLevelType w:val="hybridMultilevel"/>
    <w:tmpl w:val="3C02941C"/>
    <w:lvl w:ilvl="0" w:tplc="7E3431E0">
      <w:start w:val="1"/>
      <w:numFmt w:val="lowerLetter"/>
      <w:lvlText w:val="%1."/>
      <w:lvlJc w:val="left"/>
      <w:pPr>
        <w:ind w:left="1020" w:hanging="360"/>
      </w:pPr>
    </w:lvl>
    <w:lvl w:ilvl="1" w:tplc="E69A1EE4">
      <w:start w:val="1"/>
      <w:numFmt w:val="lowerLetter"/>
      <w:lvlText w:val="%2."/>
      <w:lvlJc w:val="left"/>
      <w:pPr>
        <w:ind w:left="1020" w:hanging="360"/>
      </w:pPr>
    </w:lvl>
    <w:lvl w:ilvl="2" w:tplc="6BDC4340">
      <w:start w:val="1"/>
      <w:numFmt w:val="lowerLetter"/>
      <w:lvlText w:val="%3."/>
      <w:lvlJc w:val="left"/>
      <w:pPr>
        <w:ind w:left="1020" w:hanging="360"/>
      </w:pPr>
    </w:lvl>
    <w:lvl w:ilvl="3" w:tplc="40349F2E">
      <w:start w:val="1"/>
      <w:numFmt w:val="lowerLetter"/>
      <w:lvlText w:val="%4."/>
      <w:lvlJc w:val="left"/>
      <w:pPr>
        <w:ind w:left="1020" w:hanging="360"/>
      </w:pPr>
    </w:lvl>
    <w:lvl w:ilvl="4" w:tplc="1CC6456A">
      <w:start w:val="1"/>
      <w:numFmt w:val="lowerLetter"/>
      <w:lvlText w:val="%5."/>
      <w:lvlJc w:val="left"/>
      <w:pPr>
        <w:ind w:left="1020" w:hanging="360"/>
      </w:pPr>
    </w:lvl>
    <w:lvl w:ilvl="5" w:tplc="689204C8">
      <w:start w:val="1"/>
      <w:numFmt w:val="lowerLetter"/>
      <w:lvlText w:val="%6."/>
      <w:lvlJc w:val="left"/>
      <w:pPr>
        <w:ind w:left="1020" w:hanging="360"/>
      </w:pPr>
    </w:lvl>
    <w:lvl w:ilvl="6" w:tplc="ED2684C4">
      <w:start w:val="1"/>
      <w:numFmt w:val="lowerLetter"/>
      <w:lvlText w:val="%7."/>
      <w:lvlJc w:val="left"/>
      <w:pPr>
        <w:ind w:left="1020" w:hanging="360"/>
      </w:pPr>
    </w:lvl>
    <w:lvl w:ilvl="7" w:tplc="FA02B066">
      <w:start w:val="1"/>
      <w:numFmt w:val="lowerLetter"/>
      <w:lvlText w:val="%8."/>
      <w:lvlJc w:val="left"/>
      <w:pPr>
        <w:ind w:left="1020" w:hanging="360"/>
      </w:pPr>
    </w:lvl>
    <w:lvl w:ilvl="8" w:tplc="D64A8026">
      <w:start w:val="1"/>
      <w:numFmt w:val="lowerLetter"/>
      <w:lvlText w:val="%9."/>
      <w:lvlJc w:val="left"/>
      <w:pPr>
        <w:ind w:left="1020" w:hanging="360"/>
      </w:pPr>
    </w:lvl>
  </w:abstractNum>
  <w:abstractNum w:abstractNumId="6" w15:restartNumberingAfterBreak="0">
    <w:nsid w:val="31E26CD0"/>
    <w:multiLevelType w:val="hybridMultilevel"/>
    <w:tmpl w:val="7F460AAC"/>
    <w:lvl w:ilvl="0" w:tplc="FFFFFFFF">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FC38CF"/>
    <w:multiLevelType w:val="hybridMultilevel"/>
    <w:tmpl w:val="1F00C0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37434E3"/>
    <w:multiLevelType w:val="hybridMultilevel"/>
    <w:tmpl w:val="E15E514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31482644">
    <w:abstractNumId w:val="0"/>
  </w:num>
  <w:num w:numId="2" w16cid:durableId="823544554">
    <w:abstractNumId w:val="6"/>
  </w:num>
  <w:num w:numId="3" w16cid:durableId="840320299">
    <w:abstractNumId w:val="2"/>
  </w:num>
  <w:num w:numId="4" w16cid:durableId="808936378">
    <w:abstractNumId w:val="3"/>
  </w:num>
  <w:num w:numId="5" w16cid:durableId="7368586">
    <w:abstractNumId w:val="7"/>
  </w:num>
  <w:num w:numId="6" w16cid:durableId="281569477">
    <w:abstractNumId w:val="1"/>
  </w:num>
  <w:num w:numId="7" w16cid:durableId="1879128033">
    <w:abstractNumId w:val="8"/>
  </w:num>
  <w:num w:numId="8" w16cid:durableId="1266111208">
    <w:abstractNumId w:val="5"/>
  </w:num>
  <w:num w:numId="9" w16cid:durableId="16824665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01E14"/>
    <w:rsid w:val="0000278D"/>
    <w:rsid w:val="0000485E"/>
    <w:rsid w:val="00004957"/>
    <w:rsid w:val="000072A9"/>
    <w:rsid w:val="0000783A"/>
    <w:rsid w:val="000100E0"/>
    <w:rsid w:val="000107DB"/>
    <w:rsid w:val="00012DCB"/>
    <w:rsid w:val="00013D59"/>
    <w:rsid w:val="00013F6D"/>
    <w:rsid w:val="000149E5"/>
    <w:rsid w:val="000150F9"/>
    <w:rsid w:val="0001559D"/>
    <w:rsid w:val="00015969"/>
    <w:rsid w:val="00016728"/>
    <w:rsid w:val="00016821"/>
    <w:rsid w:val="00016AE4"/>
    <w:rsid w:val="0002032B"/>
    <w:rsid w:val="00020958"/>
    <w:rsid w:val="00022E2A"/>
    <w:rsid w:val="000246AE"/>
    <w:rsid w:val="0002498A"/>
    <w:rsid w:val="000249BB"/>
    <w:rsid w:val="000255A0"/>
    <w:rsid w:val="00026AAF"/>
    <w:rsid w:val="00027125"/>
    <w:rsid w:val="00027A4C"/>
    <w:rsid w:val="0003117F"/>
    <w:rsid w:val="00036293"/>
    <w:rsid w:val="00036F00"/>
    <w:rsid w:val="00037E58"/>
    <w:rsid w:val="000417B1"/>
    <w:rsid w:val="00041A57"/>
    <w:rsid w:val="00041CB1"/>
    <w:rsid w:val="0004503D"/>
    <w:rsid w:val="00045595"/>
    <w:rsid w:val="00045F91"/>
    <w:rsid w:val="000477C9"/>
    <w:rsid w:val="00050DE4"/>
    <w:rsid w:val="00054432"/>
    <w:rsid w:val="00054739"/>
    <w:rsid w:val="00055206"/>
    <w:rsid w:val="000557AC"/>
    <w:rsid w:val="000559D4"/>
    <w:rsid w:val="00060384"/>
    <w:rsid w:val="00060899"/>
    <w:rsid w:val="00063B9D"/>
    <w:rsid w:val="00063CE3"/>
    <w:rsid w:val="00070677"/>
    <w:rsid w:val="0007163A"/>
    <w:rsid w:val="00071CD7"/>
    <w:rsid w:val="00072623"/>
    <w:rsid w:val="00073BDF"/>
    <w:rsid w:val="00076745"/>
    <w:rsid w:val="00077802"/>
    <w:rsid w:val="00080192"/>
    <w:rsid w:val="00081B7F"/>
    <w:rsid w:val="0008215C"/>
    <w:rsid w:val="000834A3"/>
    <w:rsid w:val="00087492"/>
    <w:rsid w:val="0009064B"/>
    <w:rsid w:val="00090FC3"/>
    <w:rsid w:val="00091554"/>
    <w:rsid w:val="000919F0"/>
    <w:rsid w:val="000921A8"/>
    <w:rsid w:val="00094F21"/>
    <w:rsid w:val="0009547A"/>
    <w:rsid w:val="0009587A"/>
    <w:rsid w:val="00095AEC"/>
    <w:rsid w:val="00096069"/>
    <w:rsid w:val="00096D52"/>
    <w:rsid w:val="00097072"/>
    <w:rsid w:val="000A1AEF"/>
    <w:rsid w:val="000A1B4F"/>
    <w:rsid w:val="000A1C7D"/>
    <w:rsid w:val="000A3533"/>
    <w:rsid w:val="000A420B"/>
    <w:rsid w:val="000A4660"/>
    <w:rsid w:val="000A6CE7"/>
    <w:rsid w:val="000A704D"/>
    <w:rsid w:val="000B09D7"/>
    <w:rsid w:val="000B2324"/>
    <w:rsid w:val="000B24D8"/>
    <w:rsid w:val="000B4AE7"/>
    <w:rsid w:val="000B61CD"/>
    <w:rsid w:val="000B7549"/>
    <w:rsid w:val="000C0302"/>
    <w:rsid w:val="000C063D"/>
    <w:rsid w:val="000C0AEF"/>
    <w:rsid w:val="000C16AE"/>
    <w:rsid w:val="000C179E"/>
    <w:rsid w:val="000C408E"/>
    <w:rsid w:val="000C4CB1"/>
    <w:rsid w:val="000D022B"/>
    <w:rsid w:val="000D1401"/>
    <w:rsid w:val="000D4A33"/>
    <w:rsid w:val="000D4CB9"/>
    <w:rsid w:val="000E0253"/>
    <w:rsid w:val="000E036F"/>
    <w:rsid w:val="000E0F21"/>
    <w:rsid w:val="000E19A4"/>
    <w:rsid w:val="000E254E"/>
    <w:rsid w:val="000E31D6"/>
    <w:rsid w:val="000E54F0"/>
    <w:rsid w:val="000E7BA1"/>
    <w:rsid w:val="000F1C9B"/>
    <w:rsid w:val="000F2449"/>
    <w:rsid w:val="000F29FC"/>
    <w:rsid w:val="000F2D57"/>
    <w:rsid w:val="000F4078"/>
    <w:rsid w:val="000F4758"/>
    <w:rsid w:val="000F5D19"/>
    <w:rsid w:val="00100002"/>
    <w:rsid w:val="00100B3B"/>
    <w:rsid w:val="00100E36"/>
    <w:rsid w:val="00101AE3"/>
    <w:rsid w:val="0010265F"/>
    <w:rsid w:val="00103DA9"/>
    <w:rsid w:val="001044C5"/>
    <w:rsid w:val="0010709A"/>
    <w:rsid w:val="0010763D"/>
    <w:rsid w:val="00107DA0"/>
    <w:rsid w:val="00110037"/>
    <w:rsid w:val="00112A9C"/>
    <w:rsid w:val="00112CB7"/>
    <w:rsid w:val="00113D67"/>
    <w:rsid w:val="00115B1F"/>
    <w:rsid w:val="00115E98"/>
    <w:rsid w:val="00117424"/>
    <w:rsid w:val="00121C14"/>
    <w:rsid w:val="001225AF"/>
    <w:rsid w:val="00122FA4"/>
    <w:rsid w:val="00123ADD"/>
    <w:rsid w:val="0012428F"/>
    <w:rsid w:val="00124DDE"/>
    <w:rsid w:val="00126DF1"/>
    <w:rsid w:val="00127146"/>
    <w:rsid w:val="00127A09"/>
    <w:rsid w:val="00127BE6"/>
    <w:rsid w:val="001304D0"/>
    <w:rsid w:val="00130BCA"/>
    <w:rsid w:val="00132E16"/>
    <w:rsid w:val="00135900"/>
    <w:rsid w:val="00137850"/>
    <w:rsid w:val="0014043C"/>
    <w:rsid w:val="00141719"/>
    <w:rsid w:val="00142DA1"/>
    <w:rsid w:val="0014731B"/>
    <w:rsid w:val="001475B3"/>
    <w:rsid w:val="00151813"/>
    <w:rsid w:val="00153428"/>
    <w:rsid w:val="00153A08"/>
    <w:rsid w:val="00154E90"/>
    <w:rsid w:val="001567D6"/>
    <w:rsid w:val="0015731F"/>
    <w:rsid w:val="00160811"/>
    <w:rsid w:val="001610E9"/>
    <w:rsid w:val="00164176"/>
    <w:rsid w:val="00165C4E"/>
    <w:rsid w:val="00165D16"/>
    <w:rsid w:val="00165E94"/>
    <w:rsid w:val="0016634C"/>
    <w:rsid w:val="00170911"/>
    <w:rsid w:val="00172A11"/>
    <w:rsid w:val="001740B1"/>
    <w:rsid w:val="00175A1E"/>
    <w:rsid w:val="001802FB"/>
    <w:rsid w:val="001836BF"/>
    <w:rsid w:val="001837EA"/>
    <w:rsid w:val="00185DB0"/>
    <w:rsid w:val="00192F59"/>
    <w:rsid w:val="00193395"/>
    <w:rsid w:val="00193BD5"/>
    <w:rsid w:val="001949A6"/>
    <w:rsid w:val="001952CB"/>
    <w:rsid w:val="001967EC"/>
    <w:rsid w:val="001970B1"/>
    <w:rsid w:val="00197154"/>
    <w:rsid w:val="00197855"/>
    <w:rsid w:val="00197B02"/>
    <w:rsid w:val="001A32A2"/>
    <w:rsid w:val="001A6521"/>
    <w:rsid w:val="001A68F0"/>
    <w:rsid w:val="001A6920"/>
    <w:rsid w:val="001A7A1A"/>
    <w:rsid w:val="001A7FA2"/>
    <w:rsid w:val="001B1B39"/>
    <w:rsid w:val="001B2F99"/>
    <w:rsid w:val="001B37E9"/>
    <w:rsid w:val="001B4569"/>
    <w:rsid w:val="001B5259"/>
    <w:rsid w:val="001B52D1"/>
    <w:rsid w:val="001B54FE"/>
    <w:rsid w:val="001B5816"/>
    <w:rsid w:val="001B6CCC"/>
    <w:rsid w:val="001B790A"/>
    <w:rsid w:val="001C0AE5"/>
    <w:rsid w:val="001C0DFF"/>
    <w:rsid w:val="001C2822"/>
    <w:rsid w:val="001C372C"/>
    <w:rsid w:val="001C57CF"/>
    <w:rsid w:val="001C6452"/>
    <w:rsid w:val="001C75E7"/>
    <w:rsid w:val="001D0E6E"/>
    <w:rsid w:val="001D2632"/>
    <w:rsid w:val="001D5471"/>
    <w:rsid w:val="001D62F2"/>
    <w:rsid w:val="001E15A9"/>
    <w:rsid w:val="001E1B4C"/>
    <w:rsid w:val="001E31D5"/>
    <w:rsid w:val="001E5F97"/>
    <w:rsid w:val="001F12A8"/>
    <w:rsid w:val="001F4A72"/>
    <w:rsid w:val="001F5488"/>
    <w:rsid w:val="001F5A57"/>
    <w:rsid w:val="001F62F3"/>
    <w:rsid w:val="001F6D95"/>
    <w:rsid w:val="0020029D"/>
    <w:rsid w:val="00203587"/>
    <w:rsid w:val="002056F3"/>
    <w:rsid w:val="002075B1"/>
    <w:rsid w:val="002077DC"/>
    <w:rsid w:val="00207F77"/>
    <w:rsid w:val="00210810"/>
    <w:rsid w:val="002116C9"/>
    <w:rsid w:val="00211735"/>
    <w:rsid w:val="0021252D"/>
    <w:rsid w:val="00215EF4"/>
    <w:rsid w:val="00216AF6"/>
    <w:rsid w:val="00221C7C"/>
    <w:rsid w:val="00221CC9"/>
    <w:rsid w:val="0022249B"/>
    <w:rsid w:val="00222D47"/>
    <w:rsid w:val="00222FA1"/>
    <w:rsid w:val="00225CAC"/>
    <w:rsid w:val="0023114D"/>
    <w:rsid w:val="002328A8"/>
    <w:rsid w:val="00232B9C"/>
    <w:rsid w:val="00233D64"/>
    <w:rsid w:val="00233FE0"/>
    <w:rsid w:val="0023460C"/>
    <w:rsid w:val="00234BF6"/>
    <w:rsid w:val="00235167"/>
    <w:rsid w:val="00235486"/>
    <w:rsid w:val="002410BC"/>
    <w:rsid w:val="00241343"/>
    <w:rsid w:val="00241612"/>
    <w:rsid w:val="00242B32"/>
    <w:rsid w:val="00242DE6"/>
    <w:rsid w:val="00246251"/>
    <w:rsid w:val="002465CB"/>
    <w:rsid w:val="002502B1"/>
    <w:rsid w:val="00253120"/>
    <w:rsid w:val="00253FE5"/>
    <w:rsid w:val="002543F4"/>
    <w:rsid w:val="002553E4"/>
    <w:rsid w:val="002576B3"/>
    <w:rsid w:val="0026243E"/>
    <w:rsid w:val="00262F0C"/>
    <w:rsid w:val="0026478B"/>
    <w:rsid w:val="00266254"/>
    <w:rsid w:val="00267484"/>
    <w:rsid w:val="00267C61"/>
    <w:rsid w:val="00271B57"/>
    <w:rsid w:val="00272279"/>
    <w:rsid w:val="00273283"/>
    <w:rsid w:val="002747CF"/>
    <w:rsid w:val="002755B7"/>
    <w:rsid w:val="002777D1"/>
    <w:rsid w:val="002804B9"/>
    <w:rsid w:val="00281385"/>
    <w:rsid w:val="0028361A"/>
    <w:rsid w:val="002847B8"/>
    <w:rsid w:val="00284E72"/>
    <w:rsid w:val="00285158"/>
    <w:rsid w:val="00286CA9"/>
    <w:rsid w:val="002924E4"/>
    <w:rsid w:val="00292591"/>
    <w:rsid w:val="00292C73"/>
    <w:rsid w:val="00294F9E"/>
    <w:rsid w:val="0029685D"/>
    <w:rsid w:val="00296C99"/>
    <w:rsid w:val="002A1B53"/>
    <w:rsid w:val="002A2ABF"/>
    <w:rsid w:val="002A3019"/>
    <w:rsid w:val="002A5781"/>
    <w:rsid w:val="002A5F7A"/>
    <w:rsid w:val="002B11BA"/>
    <w:rsid w:val="002B1702"/>
    <w:rsid w:val="002B2108"/>
    <w:rsid w:val="002B3A8C"/>
    <w:rsid w:val="002B5260"/>
    <w:rsid w:val="002B5641"/>
    <w:rsid w:val="002B5FB3"/>
    <w:rsid w:val="002B6156"/>
    <w:rsid w:val="002B65D7"/>
    <w:rsid w:val="002C0B4F"/>
    <w:rsid w:val="002C2D00"/>
    <w:rsid w:val="002C4138"/>
    <w:rsid w:val="002C534B"/>
    <w:rsid w:val="002C64E9"/>
    <w:rsid w:val="002C70D1"/>
    <w:rsid w:val="002D075E"/>
    <w:rsid w:val="002D11A5"/>
    <w:rsid w:val="002D1BE4"/>
    <w:rsid w:val="002D2BF1"/>
    <w:rsid w:val="002D3D2A"/>
    <w:rsid w:val="002D40B3"/>
    <w:rsid w:val="002D4184"/>
    <w:rsid w:val="002D4CE3"/>
    <w:rsid w:val="002D6F81"/>
    <w:rsid w:val="002D7E18"/>
    <w:rsid w:val="002E430B"/>
    <w:rsid w:val="002E4920"/>
    <w:rsid w:val="002E6064"/>
    <w:rsid w:val="002E7EF8"/>
    <w:rsid w:val="002F0A37"/>
    <w:rsid w:val="002F0D41"/>
    <w:rsid w:val="002F0F63"/>
    <w:rsid w:val="002F20BC"/>
    <w:rsid w:val="002F31A8"/>
    <w:rsid w:val="002F4F27"/>
    <w:rsid w:val="002F51E1"/>
    <w:rsid w:val="002F74F7"/>
    <w:rsid w:val="00300FB1"/>
    <w:rsid w:val="003031BA"/>
    <w:rsid w:val="00303590"/>
    <w:rsid w:val="00303D70"/>
    <w:rsid w:val="00305F7D"/>
    <w:rsid w:val="00306C82"/>
    <w:rsid w:val="00313C66"/>
    <w:rsid w:val="00313D09"/>
    <w:rsid w:val="003156ED"/>
    <w:rsid w:val="0031688F"/>
    <w:rsid w:val="00316DED"/>
    <w:rsid w:val="0031706A"/>
    <w:rsid w:val="003177AB"/>
    <w:rsid w:val="0032058D"/>
    <w:rsid w:val="0032228A"/>
    <w:rsid w:val="0032647C"/>
    <w:rsid w:val="003275E3"/>
    <w:rsid w:val="00327671"/>
    <w:rsid w:val="00330F72"/>
    <w:rsid w:val="00331E56"/>
    <w:rsid w:val="0033352D"/>
    <w:rsid w:val="00333FE4"/>
    <w:rsid w:val="0033465F"/>
    <w:rsid w:val="00337588"/>
    <w:rsid w:val="00337949"/>
    <w:rsid w:val="003402E0"/>
    <w:rsid w:val="003407BE"/>
    <w:rsid w:val="00340B16"/>
    <w:rsid w:val="00340C7D"/>
    <w:rsid w:val="00341C21"/>
    <w:rsid w:val="00342377"/>
    <w:rsid w:val="00342E20"/>
    <w:rsid w:val="003444A5"/>
    <w:rsid w:val="003458C8"/>
    <w:rsid w:val="003532F0"/>
    <w:rsid w:val="00357C8B"/>
    <w:rsid w:val="003603A4"/>
    <w:rsid w:val="00370E40"/>
    <w:rsid w:val="00370FB3"/>
    <w:rsid w:val="003722F9"/>
    <w:rsid w:val="00375A7A"/>
    <w:rsid w:val="00376425"/>
    <w:rsid w:val="00377466"/>
    <w:rsid w:val="00377BEF"/>
    <w:rsid w:val="00377D5C"/>
    <w:rsid w:val="003817EC"/>
    <w:rsid w:val="00384C35"/>
    <w:rsid w:val="00384FB9"/>
    <w:rsid w:val="003867F1"/>
    <w:rsid w:val="0039163E"/>
    <w:rsid w:val="003920CB"/>
    <w:rsid w:val="00392DB2"/>
    <w:rsid w:val="00394339"/>
    <w:rsid w:val="00396523"/>
    <w:rsid w:val="003A093F"/>
    <w:rsid w:val="003A1457"/>
    <w:rsid w:val="003A21F6"/>
    <w:rsid w:val="003A2C63"/>
    <w:rsid w:val="003A2E84"/>
    <w:rsid w:val="003A5141"/>
    <w:rsid w:val="003A5210"/>
    <w:rsid w:val="003A5FD6"/>
    <w:rsid w:val="003A61EF"/>
    <w:rsid w:val="003A6D1D"/>
    <w:rsid w:val="003A73F4"/>
    <w:rsid w:val="003B0DAE"/>
    <w:rsid w:val="003B2629"/>
    <w:rsid w:val="003B35CB"/>
    <w:rsid w:val="003B4805"/>
    <w:rsid w:val="003B4A67"/>
    <w:rsid w:val="003B4CFA"/>
    <w:rsid w:val="003B4F33"/>
    <w:rsid w:val="003B5687"/>
    <w:rsid w:val="003B651F"/>
    <w:rsid w:val="003B67A4"/>
    <w:rsid w:val="003B6F26"/>
    <w:rsid w:val="003C0C76"/>
    <w:rsid w:val="003C1B61"/>
    <w:rsid w:val="003C1F66"/>
    <w:rsid w:val="003C3A29"/>
    <w:rsid w:val="003C43A1"/>
    <w:rsid w:val="003C4A2E"/>
    <w:rsid w:val="003C64F8"/>
    <w:rsid w:val="003D2439"/>
    <w:rsid w:val="003D358E"/>
    <w:rsid w:val="003D4BAB"/>
    <w:rsid w:val="003D4D25"/>
    <w:rsid w:val="003D4D59"/>
    <w:rsid w:val="003D58A4"/>
    <w:rsid w:val="003D61BF"/>
    <w:rsid w:val="003D7658"/>
    <w:rsid w:val="003D76C3"/>
    <w:rsid w:val="003E001A"/>
    <w:rsid w:val="003E0AD6"/>
    <w:rsid w:val="003E0D2D"/>
    <w:rsid w:val="003E22F0"/>
    <w:rsid w:val="003E33A3"/>
    <w:rsid w:val="003E3D26"/>
    <w:rsid w:val="003E404F"/>
    <w:rsid w:val="003E45F2"/>
    <w:rsid w:val="003E5798"/>
    <w:rsid w:val="003E5C9D"/>
    <w:rsid w:val="003E684C"/>
    <w:rsid w:val="003E75D2"/>
    <w:rsid w:val="003E7F4E"/>
    <w:rsid w:val="003E7F86"/>
    <w:rsid w:val="003F05E5"/>
    <w:rsid w:val="003F2D80"/>
    <w:rsid w:val="003F3715"/>
    <w:rsid w:val="003F69D3"/>
    <w:rsid w:val="003F6AB1"/>
    <w:rsid w:val="003F72E1"/>
    <w:rsid w:val="00401215"/>
    <w:rsid w:val="004019CB"/>
    <w:rsid w:val="00402CA7"/>
    <w:rsid w:val="00403194"/>
    <w:rsid w:val="00405571"/>
    <w:rsid w:val="00407A97"/>
    <w:rsid w:val="00410AC7"/>
    <w:rsid w:val="004128BC"/>
    <w:rsid w:val="00414CC3"/>
    <w:rsid w:val="004155CA"/>
    <w:rsid w:val="00415DE9"/>
    <w:rsid w:val="0041625D"/>
    <w:rsid w:val="004168B9"/>
    <w:rsid w:val="00424B68"/>
    <w:rsid w:val="00430859"/>
    <w:rsid w:val="0043123D"/>
    <w:rsid w:val="00431260"/>
    <w:rsid w:val="004322FE"/>
    <w:rsid w:val="00432A71"/>
    <w:rsid w:val="00434B4F"/>
    <w:rsid w:val="0043512D"/>
    <w:rsid w:val="004379A5"/>
    <w:rsid w:val="00437C01"/>
    <w:rsid w:val="00437D5F"/>
    <w:rsid w:val="004404E0"/>
    <w:rsid w:val="00441DFE"/>
    <w:rsid w:val="00441EA0"/>
    <w:rsid w:val="004424B7"/>
    <w:rsid w:val="00446FA5"/>
    <w:rsid w:val="00447DEF"/>
    <w:rsid w:val="004504D5"/>
    <w:rsid w:val="0045077C"/>
    <w:rsid w:val="00453992"/>
    <w:rsid w:val="004541DD"/>
    <w:rsid w:val="00455918"/>
    <w:rsid w:val="00455B9D"/>
    <w:rsid w:val="004602F7"/>
    <w:rsid w:val="00462757"/>
    <w:rsid w:val="00462A6D"/>
    <w:rsid w:val="00463BF5"/>
    <w:rsid w:val="00464502"/>
    <w:rsid w:val="00464F75"/>
    <w:rsid w:val="004714D8"/>
    <w:rsid w:val="00473051"/>
    <w:rsid w:val="00475B35"/>
    <w:rsid w:val="00475E6F"/>
    <w:rsid w:val="00475E75"/>
    <w:rsid w:val="00476A37"/>
    <w:rsid w:val="00481DED"/>
    <w:rsid w:val="00482FB2"/>
    <w:rsid w:val="00485E45"/>
    <w:rsid w:val="0048609F"/>
    <w:rsid w:val="00490C81"/>
    <w:rsid w:val="0049263F"/>
    <w:rsid w:val="00493781"/>
    <w:rsid w:val="00495285"/>
    <w:rsid w:val="00497C8D"/>
    <w:rsid w:val="00497DDE"/>
    <w:rsid w:val="004A1AAA"/>
    <w:rsid w:val="004A253B"/>
    <w:rsid w:val="004A3A6E"/>
    <w:rsid w:val="004A3E96"/>
    <w:rsid w:val="004A4C18"/>
    <w:rsid w:val="004A5DC8"/>
    <w:rsid w:val="004A6192"/>
    <w:rsid w:val="004A6B14"/>
    <w:rsid w:val="004A725C"/>
    <w:rsid w:val="004A7D55"/>
    <w:rsid w:val="004B03F1"/>
    <w:rsid w:val="004B0728"/>
    <w:rsid w:val="004B10D8"/>
    <w:rsid w:val="004B1931"/>
    <w:rsid w:val="004B2E63"/>
    <w:rsid w:val="004B30AF"/>
    <w:rsid w:val="004B325A"/>
    <w:rsid w:val="004B4308"/>
    <w:rsid w:val="004C0DF7"/>
    <w:rsid w:val="004C1360"/>
    <w:rsid w:val="004C1761"/>
    <w:rsid w:val="004C1B2C"/>
    <w:rsid w:val="004C1D2D"/>
    <w:rsid w:val="004C2584"/>
    <w:rsid w:val="004C2D2C"/>
    <w:rsid w:val="004C3319"/>
    <w:rsid w:val="004C369E"/>
    <w:rsid w:val="004D0D3A"/>
    <w:rsid w:val="004D128F"/>
    <w:rsid w:val="004D3866"/>
    <w:rsid w:val="004D5AB0"/>
    <w:rsid w:val="004D656C"/>
    <w:rsid w:val="004E2DD4"/>
    <w:rsid w:val="004E439B"/>
    <w:rsid w:val="004E5B24"/>
    <w:rsid w:val="004F0931"/>
    <w:rsid w:val="004F1DAA"/>
    <w:rsid w:val="004F37C4"/>
    <w:rsid w:val="004F6D6F"/>
    <w:rsid w:val="00500C57"/>
    <w:rsid w:val="005014F5"/>
    <w:rsid w:val="00501BB5"/>
    <w:rsid w:val="00503D63"/>
    <w:rsid w:val="00506069"/>
    <w:rsid w:val="00506E8F"/>
    <w:rsid w:val="005100D5"/>
    <w:rsid w:val="00510C70"/>
    <w:rsid w:val="00512559"/>
    <w:rsid w:val="00513237"/>
    <w:rsid w:val="005150BE"/>
    <w:rsid w:val="005207A3"/>
    <w:rsid w:val="00521107"/>
    <w:rsid w:val="00523548"/>
    <w:rsid w:val="00523A3E"/>
    <w:rsid w:val="00524EA9"/>
    <w:rsid w:val="0052538C"/>
    <w:rsid w:val="005254F4"/>
    <w:rsid w:val="00525D38"/>
    <w:rsid w:val="00525E2C"/>
    <w:rsid w:val="00527519"/>
    <w:rsid w:val="005277EE"/>
    <w:rsid w:val="00527817"/>
    <w:rsid w:val="00530A6E"/>
    <w:rsid w:val="00530D7A"/>
    <w:rsid w:val="00532F0D"/>
    <w:rsid w:val="00534797"/>
    <w:rsid w:val="005351FE"/>
    <w:rsid w:val="005356F8"/>
    <w:rsid w:val="00535913"/>
    <w:rsid w:val="00536CFD"/>
    <w:rsid w:val="00536E8A"/>
    <w:rsid w:val="00537BE3"/>
    <w:rsid w:val="00537C6C"/>
    <w:rsid w:val="00540E08"/>
    <w:rsid w:val="005422D0"/>
    <w:rsid w:val="00546507"/>
    <w:rsid w:val="00546E95"/>
    <w:rsid w:val="00547AC4"/>
    <w:rsid w:val="00547D56"/>
    <w:rsid w:val="0055048F"/>
    <w:rsid w:val="005528EE"/>
    <w:rsid w:val="00553B42"/>
    <w:rsid w:val="005552D5"/>
    <w:rsid w:val="005568CA"/>
    <w:rsid w:val="005577AD"/>
    <w:rsid w:val="00560356"/>
    <w:rsid w:val="00561A6B"/>
    <w:rsid w:val="00563F10"/>
    <w:rsid w:val="0056489B"/>
    <w:rsid w:val="00566D9C"/>
    <w:rsid w:val="00570DC1"/>
    <w:rsid w:val="005715F7"/>
    <w:rsid w:val="00571D4D"/>
    <w:rsid w:val="00572DF2"/>
    <w:rsid w:val="005740F4"/>
    <w:rsid w:val="005759A4"/>
    <w:rsid w:val="005775A7"/>
    <w:rsid w:val="00577D95"/>
    <w:rsid w:val="00580F73"/>
    <w:rsid w:val="00582333"/>
    <w:rsid w:val="00583CC4"/>
    <w:rsid w:val="00584CFB"/>
    <w:rsid w:val="0059050A"/>
    <w:rsid w:val="00593CA4"/>
    <w:rsid w:val="0059475D"/>
    <w:rsid w:val="0059609D"/>
    <w:rsid w:val="00596CFC"/>
    <w:rsid w:val="005A1DC1"/>
    <w:rsid w:val="005A3B52"/>
    <w:rsid w:val="005A4D0F"/>
    <w:rsid w:val="005A69C2"/>
    <w:rsid w:val="005B2FC2"/>
    <w:rsid w:val="005B5534"/>
    <w:rsid w:val="005B5F53"/>
    <w:rsid w:val="005B673C"/>
    <w:rsid w:val="005B7DC3"/>
    <w:rsid w:val="005C1216"/>
    <w:rsid w:val="005C728C"/>
    <w:rsid w:val="005C7861"/>
    <w:rsid w:val="005C7E7D"/>
    <w:rsid w:val="005D01D9"/>
    <w:rsid w:val="005D058A"/>
    <w:rsid w:val="005D1D97"/>
    <w:rsid w:val="005D1DB0"/>
    <w:rsid w:val="005D2B09"/>
    <w:rsid w:val="005D5EB7"/>
    <w:rsid w:val="005D6300"/>
    <w:rsid w:val="005E2EDD"/>
    <w:rsid w:val="005E320F"/>
    <w:rsid w:val="005E348B"/>
    <w:rsid w:val="005E44E3"/>
    <w:rsid w:val="005E4975"/>
    <w:rsid w:val="005E4F3E"/>
    <w:rsid w:val="005E6591"/>
    <w:rsid w:val="005E6FA2"/>
    <w:rsid w:val="005E7111"/>
    <w:rsid w:val="005F1BCF"/>
    <w:rsid w:val="005F2F85"/>
    <w:rsid w:val="005F3B77"/>
    <w:rsid w:val="005F3CEB"/>
    <w:rsid w:val="005F54F3"/>
    <w:rsid w:val="005F5D4E"/>
    <w:rsid w:val="005F7A87"/>
    <w:rsid w:val="00602E06"/>
    <w:rsid w:val="00604BAF"/>
    <w:rsid w:val="00605DD4"/>
    <w:rsid w:val="00610657"/>
    <w:rsid w:val="00610FCC"/>
    <w:rsid w:val="0061236D"/>
    <w:rsid w:val="00614386"/>
    <w:rsid w:val="00614B13"/>
    <w:rsid w:val="00615FF5"/>
    <w:rsid w:val="006173F0"/>
    <w:rsid w:val="00617A5A"/>
    <w:rsid w:val="006205FE"/>
    <w:rsid w:val="00620C6F"/>
    <w:rsid w:val="00625D0F"/>
    <w:rsid w:val="00626349"/>
    <w:rsid w:val="0062754F"/>
    <w:rsid w:val="0062787F"/>
    <w:rsid w:val="006307AE"/>
    <w:rsid w:val="00630F83"/>
    <w:rsid w:val="00632532"/>
    <w:rsid w:val="006358B2"/>
    <w:rsid w:val="00636369"/>
    <w:rsid w:val="00636B8F"/>
    <w:rsid w:val="0063712E"/>
    <w:rsid w:val="006375BD"/>
    <w:rsid w:val="006378C3"/>
    <w:rsid w:val="00637E5E"/>
    <w:rsid w:val="00640466"/>
    <w:rsid w:val="00641DC0"/>
    <w:rsid w:val="00641E2F"/>
    <w:rsid w:val="00643998"/>
    <w:rsid w:val="006445F1"/>
    <w:rsid w:val="00646CDC"/>
    <w:rsid w:val="006511D6"/>
    <w:rsid w:val="00651925"/>
    <w:rsid w:val="00651F25"/>
    <w:rsid w:val="00652D85"/>
    <w:rsid w:val="006531AD"/>
    <w:rsid w:val="00654BE4"/>
    <w:rsid w:val="0065546E"/>
    <w:rsid w:val="0065612A"/>
    <w:rsid w:val="006563C2"/>
    <w:rsid w:val="006569EE"/>
    <w:rsid w:val="00665AAB"/>
    <w:rsid w:val="00666451"/>
    <w:rsid w:val="00670D49"/>
    <w:rsid w:val="00670F11"/>
    <w:rsid w:val="00671A05"/>
    <w:rsid w:val="00671D54"/>
    <w:rsid w:val="00672DE5"/>
    <w:rsid w:val="00677295"/>
    <w:rsid w:val="006774DA"/>
    <w:rsid w:val="00680CD6"/>
    <w:rsid w:val="0068246E"/>
    <w:rsid w:val="00682A91"/>
    <w:rsid w:val="00682DE0"/>
    <w:rsid w:val="00684C46"/>
    <w:rsid w:val="0068539D"/>
    <w:rsid w:val="00685C26"/>
    <w:rsid w:val="00687AE7"/>
    <w:rsid w:val="00690603"/>
    <w:rsid w:val="006909BE"/>
    <w:rsid w:val="00690B9C"/>
    <w:rsid w:val="00690DAA"/>
    <w:rsid w:val="00690F36"/>
    <w:rsid w:val="00691F38"/>
    <w:rsid w:val="00693454"/>
    <w:rsid w:val="006946C8"/>
    <w:rsid w:val="006A0EEE"/>
    <w:rsid w:val="006A1AA1"/>
    <w:rsid w:val="006A5167"/>
    <w:rsid w:val="006A54CA"/>
    <w:rsid w:val="006A57AF"/>
    <w:rsid w:val="006A5B58"/>
    <w:rsid w:val="006A5EE9"/>
    <w:rsid w:val="006B13F0"/>
    <w:rsid w:val="006B2FAF"/>
    <w:rsid w:val="006B6EF1"/>
    <w:rsid w:val="006C02CA"/>
    <w:rsid w:val="006C2A59"/>
    <w:rsid w:val="006C6DF7"/>
    <w:rsid w:val="006C6F2F"/>
    <w:rsid w:val="006D3827"/>
    <w:rsid w:val="006D3880"/>
    <w:rsid w:val="006D3B91"/>
    <w:rsid w:val="006D4850"/>
    <w:rsid w:val="006D5578"/>
    <w:rsid w:val="006D7088"/>
    <w:rsid w:val="006E0D07"/>
    <w:rsid w:val="006E0ED3"/>
    <w:rsid w:val="006E146A"/>
    <w:rsid w:val="006E5D9B"/>
    <w:rsid w:val="006E7E56"/>
    <w:rsid w:val="006F0B3B"/>
    <w:rsid w:val="006F1555"/>
    <w:rsid w:val="006F17D5"/>
    <w:rsid w:val="006F3029"/>
    <w:rsid w:val="006F433B"/>
    <w:rsid w:val="006F5246"/>
    <w:rsid w:val="00700842"/>
    <w:rsid w:val="00701930"/>
    <w:rsid w:val="00701F25"/>
    <w:rsid w:val="007045CB"/>
    <w:rsid w:val="007046B0"/>
    <w:rsid w:val="0070563E"/>
    <w:rsid w:val="007068CD"/>
    <w:rsid w:val="00710829"/>
    <w:rsid w:val="00710B5A"/>
    <w:rsid w:val="00710DE4"/>
    <w:rsid w:val="00711DAA"/>
    <w:rsid w:val="007134AE"/>
    <w:rsid w:val="0071467B"/>
    <w:rsid w:val="00720805"/>
    <w:rsid w:val="007211FC"/>
    <w:rsid w:val="00721CBB"/>
    <w:rsid w:val="00722AC8"/>
    <w:rsid w:val="00726F3C"/>
    <w:rsid w:val="0073027A"/>
    <w:rsid w:val="00731D5E"/>
    <w:rsid w:val="00732958"/>
    <w:rsid w:val="00733804"/>
    <w:rsid w:val="00733B0B"/>
    <w:rsid w:val="0073742F"/>
    <w:rsid w:val="00741B33"/>
    <w:rsid w:val="00742F6A"/>
    <w:rsid w:val="007456A2"/>
    <w:rsid w:val="00745C63"/>
    <w:rsid w:val="007469B2"/>
    <w:rsid w:val="007477DC"/>
    <w:rsid w:val="007511F0"/>
    <w:rsid w:val="00751C0F"/>
    <w:rsid w:val="00751F3D"/>
    <w:rsid w:val="0075238F"/>
    <w:rsid w:val="00753AD9"/>
    <w:rsid w:val="00754976"/>
    <w:rsid w:val="007573B2"/>
    <w:rsid w:val="00757F8B"/>
    <w:rsid w:val="00760581"/>
    <w:rsid w:val="007607B8"/>
    <w:rsid w:val="00761F8B"/>
    <w:rsid w:val="00762156"/>
    <w:rsid w:val="007648EB"/>
    <w:rsid w:val="00767D4C"/>
    <w:rsid w:val="00771A39"/>
    <w:rsid w:val="0077265A"/>
    <w:rsid w:val="007728E2"/>
    <w:rsid w:val="007742F3"/>
    <w:rsid w:val="00774578"/>
    <w:rsid w:val="00776537"/>
    <w:rsid w:val="00777798"/>
    <w:rsid w:val="0078154A"/>
    <w:rsid w:val="0078160E"/>
    <w:rsid w:val="007822D6"/>
    <w:rsid w:val="00782BC1"/>
    <w:rsid w:val="00783717"/>
    <w:rsid w:val="007863BF"/>
    <w:rsid w:val="00786748"/>
    <w:rsid w:val="007879F5"/>
    <w:rsid w:val="0079033D"/>
    <w:rsid w:val="00791EF5"/>
    <w:rsid w:val="00793552"/>
    <w:rsid w:val="00793F7A"/>
    <w:rsid w:val="007A0A28"/>
    <w:rsid w:val="007A168D"/>
    <w:rsid w:val="007A68EF"/>
    <w:rsid w:val="007A709A"/>
    <w:rsid w:val="007A7526"/>
    <w:rsid w:val="007A7BFB"/>
    <w:rsid w:val="007B098A"/>
    <w:rsid w:val="007B0A8A"/>
    <w:rsid w:val="007B282E"/>
    <w:rsid w:val="007B2F5E"/>
    <w:rsid w:val="007B4D1F"/>
    <w:rsid w:val="007B4E4A"/>
    <w:rsid w:val="007B7941"/>
    <w:rsid w:val="007B7A20"/>
    <w:rsid w:val="007C0A81"/>
    <w:rsid w:val="007C28B9"/>
    <w:rsid w:val="007C3DF6"/>
    <w:rsid w:val="007C4FE6"/>
    <w:rsid w:val="007D215D"/>
    <w:rsid w:val="007D545A"/>
    <w:rsid w:val="007D6231"/>
    <w:rsid w:val="007D6ABB"/>
    <w:rsid w:val="007E00F4"/>
    <w:rsid w:val="007E21D0"/>
    <w:rsid w:val="007E27B7"/>
    <w:rsid w:val="007E31F5"/>
    <w:rsid w:val="007E36F5"/>
    <w:rsid w:val="007E3872"/>
    <w:rsid w:val="007E4B58"/>
    <w:rsid w:val="007E4E04"/>
    <w:rsid w:val="007F126B"/>
    <w:rsid w:val="007F1BAD"/>
    <w:rsid w:val="007F24A7"/>
    <w:rsid w:val="007F2759"/>
    <w:rsid w:val="007F55E6"/>
    <w:rsid w:val="007F7ED4"/>
    <w:rsid w:val="00800509"/>
    <w:rsid w:val="0080102C"/>
    <w:rsid w:val="00807B52"/>
    <w:rsid w:val="00807C11"/>
    <w:rsid w:val="00811356"/>
    <w:rsid w:val="008129B4"/>
    <w:rsid w:val="008138C4"/>
    <w:rsid w:val="0081533B"/>
    <w:rsid w:val="00816846"/>
    <w:rsid w:val="00821FC7"/>
    <w:rsid w:val="00822AAD"/>
    <w:rsid w:val="00822D77"/>
    <w:rsid w:val="00823026"/>
    <w:rsid w:val="008239AA"/>
    <w:rsid w:val="008245D0"/>
    <w:rsid w:val="00825795"/>
    <w:rsid w:val="00826117"/>
    <w:rsid w:val="00826A42"/>
    <w:rsid w:val="00826D75"/>
    <w:rsid w:val="00832A8D"/>
    <w:rsid w:val="0083312B"/>
    <w:rsid w:val="008348D2"/>
    <w:rsid w:val="00836CC2"/>
    <w:rsid w:val="0083750B"/>
    <w:rsid w:val="00837D25"/>
    <w:rsid w:val="008414F0"/>
    <w:rsid w:val="00842C62"/>
    <w:rsid w:val="00845AF2"/>
    <w:rsid w:val="00846985"/>
    <w:rsid w:val="00850583"/>
    <w:rsid w:val="00851427"/>
    <w:rsid w:val="00851F20"/>
    <w:rsid w:val="008525DF"/>
    <w:rsid w:val="008555A5"/>
    <w:rsid w:val="00863C42"/>
    <w:rsid w:val="00865E55"/>
    <w:rsid w:val="00866B2B"/>
    <w:rsid w:val="0086713E"/>
    <w:rsid w:val="008722B1"/>
    <w:rsid w:val="0087265C"/>
    <w:rsid w:val="00872BE5"/>
    <w:rsid w:val="00874988"/>
    <w:rsid w:val="00875442"/>
    <w:rsid w:val="00875797"/>
    <w:rsid w:val="00880597"/>
    <w:rsid w:val="00882749"/>
    <w:rsid w:val="00882B4E"/>
    <w:rsid w:val="00883D88"/>
    <w:rsid w:val="00885C7C"/>
    <w:rsid w:val="00891290"/>
    <w:rsid w:val="00891410"/>
    <w:rsid w:val="00894393"/>
    <w:rsid w:val="008957D1"/>
    <w:rsid w:val="00896280"/>
    <w:rsid w:val="00897148"/>
    <w:rsid w:val="008A0463"/>
    <w:rsid w:val="008A0BF3"/>
    <w:rsid w:val="008A225C"/>
    <w:rsid w:val="008A4080"/>
    <w:rsid w:val="008A5085"/>
    <w:rsid w:val="008B1C96"/>
    <w:rsid w:val="008B2DCF"/>
    <w:rsid w:val="008B6612"/>
    <w:rsid w:val="008C06CB"/>
    <w:rsid w:val="008C11B8"/>
    <w:rsid w:val="008C2169"/>
    <w:rsid w:val="008C245A"/>
    <w:rsid w:val="008C433C"/>
    <w:rsid w:val="008C483B"/>
    <w:rsid w:val="008C4F36"/>
    <w:rsid w:val="008C55A1"/>
    <w:rsid w:val="008C7394"/>
    <w:rsid w:val="008D2AF6"/>
    <w:rsid w:val="008D4735"/>
    <w:rsid w:val="008D4F43"/>
    <w:rsid w:val="008D6781"/>
    <w:rsid w:val="008D6892"/>
    <w:rsid w:val="008E0046"/>
    <w:rsid w:val="008E0EEB"/>
    <w:rsid w:val="008E1433"/>
    <w:rsid w:val="008E2911"/>
    <w:rsid w:val="008E2CB5"/>
    <w:rsid w:val="008E3131"/>
    <w:rsid w:val="008E3926"/>
    <w:rsid w:val="008E422C"/>
    <w:rsid w:val="008E4591"/>
    <w:rsid w:val="008E5104"/>
    <w:rsid w:val="008E5EF4"/>
    <w:rsid w:val="008E7852"/>
    <w:rsid w:val="008E7DBE"/>
    <w:rsid w:val="008F3D50"/>
    <w:rsid w:val="008F50A6"/>
    <w:rsid w:val="008F55A5"/>
    <w:rsid w:val="008F5A0F"/>
    <w:rsid w:val="008F6579"/>
    <w:rsid w:val="008F65E0"/>
    <w:rsid w:val="008F7BB2"/>
    <w:rsid w:val="00901238"/>
    <w:rsid w:val="00901411"/>
    <w:rsid w:val="00901441"/>
    <w:rsid w:val="009022C0"/>
    <w:rsid w:val="00902652"/>
    <w:rsid w:val="0090629A"/>
    <w:rsid w:val="0090646F"/>
    <w:rsid w:val="00907BFF"/>
    <w:rsid w:val="00907DFB"/>
    <w:rsid w:val="00910710"/>
    <w:rsid w:val="00910DCD"/>
    <w:rsid w:val="00912561"/>
    <w:rsid w:val="009130B8"/>
    <w:rsid w:val="0091510B"/>
    <w:rsid w:val="00916EE9"/>
    <w:rsid w:val="009201C1"/>
    <w:rsid w:val="00921B6B"/>
    <w:rsid w:val="00921C53"/>
    <w:rsid w:val="00925BC4"/>
    <w:rsid w:val="009267BC"/>
    <w:rsid w:val="00927CB3"/>
    <w:rsid w:val="009313C8"/>
    <w:rsid w:val="00931E50"/>
    <w:rsid w:val="00933D57"/>
    <w:rsid w:val="00934620"/>
    <w:rsid w:val="009407F5"/>
    <w:rsid w:val="00940B4C"/>
    <w:rsid w:val="00941D84"/>
    <w:rsid w:val="00942D76"/>
    <w:rsid w:val="0094548A"/>
    <w:rsid w:val="00946FEA"/>
    <w:rsid w:val="0094728D"/>
    <w:rsid w:val="00950AF4"/>
    <w:rsid w:val="009523E8"/>
    <w:rsid w:val="00952A81"/>
    <w:rsid w:val="0095406D"/>
    <w:rsid w:val="009543BA"/>
    <w:rsid w:val="00954642"/>
    <w:rsid w:val="00954BF2"/>
    <w:rsid w:val="0095546D"/>
    <w:rsid w:val="0095594E"/>
    <w:rsid w:val="00956683"/>
    <w:rsid w:val="009575ED"/>
    <w:rsid w:val="00960AA7"/>
    <w:rsid w:val="00961610"/>
    <w:rsid w:val="0096164B"/>
    <w:rsid w:val="00964689"/>
    <w:rsid w:val="009664EF"/>
    <w:rsid w:val="009700FF"/>
    <w:rsid w:val="00970EA5"/>
    <w:rsid w:val="00971628"/>
    <w:rsid w:val="00972067"/>
    <w:rsid w:val="00974112"/>
    <w:rsid w:val="009747FC"/>
    <w:rsid w:val="009771C3"/>
    <w:rsid w:val="00977ACF"/>
    <w:rsid w:val="00977B53"/>
    <w:rsid w:val="00980E5A"/>
    <w:rsid w:val="0098590A"/>
    <w:rsid w:val="00985E61"/>
    <w:rsid w:val="00986F72"/>
    <w:rsid w:val="0099129B"/>
    <w:rsid w:val="009938BF"/>
    <w:rsid w:val="0099391B"/>
    <w:rsid w:val="00994C44"/>
    <w:rsid w:val="00995433"/>
    <w:rsid w:val="009A10FF"/>
    <w:rsid w:val="009A37F8"/>
    <w:rsid w:val="009A53F0"/>
    <w:rsid w:val="009A5C85"/>
    <w:rsid w:val="009B0F00"/>
    <w:rsid w:val="009B1D25"/>
    <w:rsid w:val="009B1F12"/>
    <w:rsid w:val="009B273B"/>
    <w:rsid w:val="009B30CB"/>
    <w:rsid w:val="009B60BA"/>
    <w:rsid w:val="009B6D17"/>
    <w:rsid w:val="009C18C2"/>
    <w:rsid w:val="009C3231"/>
    <w:rsid w:val="009C41E9"/>
    <w:rsid w:val="009C4522"/>
    <w:rsid w:val="009C5E52"/>
    <w:rsid w:val="009C660B"/>
    <w:rsid w:val="009D0277"/>
    <w:rsid w:val="009D3E66"/>
    <w:rsid w:val="009D3F49"/>
    <w:rsid w:val="009D4280"/>
    <w:rsid w:val="009D4C51"/>
    <w:rsid w:val="009D4D94"/>
    <w:rsid w:val="009D75AE"/>
    <w:rsid w:val="009E0F3C"/>
    <w:rsid w:val="009E1B81"/>
    <w:rsid w:val="009E2BA2"/>
    <w:rsid w:val="009E41CD"/>
    <w:rsid w:val="009E5E25"/>
    <w:rsid w:val="009E6C35"/>
    <w:rsid w:val="009E754B"/>
    <w:rsid w:val="009E7702"/>
    <w:rsid w:val="009E777C"/>
    <w:rsid w:val="009E7ABB"/>
    <w:rsid w:val="009E7CA0"/>
    <w:rsid w:val="009F23D8"/>
    <w:rsid w:val="009F2F5E"/>
    <w:rsid w:val="009F31B1"/>
    <w:rsid w:val="009F3EBB"/>
    <w:rsid w:val="009F6FDF"/>
    <w:rsid w:val="009F7DCA"/>
    <w:rsid w:val="00A00D27"/>
    <w:rsid w:val="00A029A3"/>
    <w:rsid w:val="00A0510D"/>
    <w:rsid w:val="00A05699"/>
    <w:rsid w:val="00A05ED7"/>
    <w:rsid w:val="00A06F94"/>
    <w:rsid w:val="00A07179"/>
    <w:rsid w:val="00A10D71"/>
    <w:rsid w:val="00A11BDD"/>
    <w:rsid w:val="00A11CF0"/>
    <w:rsid w:val="00A14B10"/>
    <w:rsid w:val="00A1528D"/>
    <w:rsid w:val="00A153C1"/>
    <w:rsid w:val="00A15916"/>
    <w:rsid w:val="00A15FA8"/>
    <w:rsid w:val="00A17202"/>
    <w:rsid w:val="00A21757"/>
    <w:rsid w:val="00A22DE0"/>
    <w:rsid w:val="00A24935"/>
    <w:rsid w:val="00A25484"/>
    <w:rsid w:val="00A25861"/>
    <w:rsid w:val="00A25DA2"/>
    <w:rsid w:val="00A272BB"/>
    <w:rsid w:val="00A300CC"/>
    <w:rsid w:val="00A30BDF"/>
    <w:rsid w:val="00A3384C"/>
    <w:rsid w:val="00A342A1"/>
    <w:rsid w:val="00A34E30"/>
    <w:rsid w:val="00A35139"/>
    <w:rsid w:val="00A36CF5"/>
    <w:rsid w:val="00A375DE"/>
    <w:rsid w:val="00A37E24"/>
    <w:rsid w:val="00A4132B"/>
    <w:rsid w:val="00A41F08"/>
    <w:rsid w:val="00A43D33"/>
    <w:rsid w:val="00A45AF3"/>
    <w:rsid w:val="00A4650A"/>
    <w:rsid w:val="00A46665"/>
    <w:rsid w:val="00A502A3"/>
    <w:rsid w:val="00A50904"/>
    <w:rsid w:val="00A5333D"/>
    <w:rsid w:val="00A53E19"/>
    <w:rsid w:val="00A5492B"/>
    <w:rsid w:val="00A55087"/>
    <w:rsid w:val="00A56B5A"/>
    <w:rsid w:val="00A57155"/>
    <w:rsid w:val="00A57572"/>
    <w:rsid w:val="00A57A48"/>
    <w:rsid w:val="00A603D5"/>
    <w:rsid w:val="00A63862"/>
    <w:rsid w:val="00A64055"/>
    <w:rsid w:val="00A65FF0"/>
    <w:rsid w:val="00A667F6"/>
    <w:rsid w:val="00A6746F"/>
    <w:rsid w:val="00A71A3D"/>
    <w:rsid w:val="00A721F7"/>
    <w:rsid w:val="00A72A17"/>
    <w:rsid w:val="00A73089"/>
    <w:rsid w:val="00A73164"/>
    <w:rsid w:val="00A7411F"/>
    <w:rsid w:val="00A7704E"/>
    <w:rsid w:val="00A77DC1"/>
    <w:rsid w:val="00A80C18"/>
    <w:rsid w:val="00A82137"/>
    <w:rsid w:val="00A822AF"/>
    <w:rsid w:val="00A83937"/>
    <w:rsid w:val="00A86562"/>
    <w:rsid w:val="00A87390"/>
    <w:rsid w:val="00A90DC6"/>
    <w:rsid w:val="00A90F5F"/>
    <w:rsid w:val="00A910A7"/>
    <w:rsid w:val="00A92478"/>
    <w:rsid w:val="00A9296D"/>
    <w:rsid w:val="00A92CC6"/>
    <w:rsid w:val="00A94C02"/>
    <w:rsid w:val="00A96A43"/>
    <w:rsid w:val="00AA12EB"/>
    <w:rsid w:val="00AA1B64"/>
    <w:rsid w:val="00AA2CD5"/>
    <w:rsid w:val="00AA3FA4"/>
    <w:rsid w:val="00AA6603"/>
    <w:rsid w:val="00AA6A12"/>
    <w:rsid w:val="00AB02FB"/>
    <w:rsid w:val="00AB20AE"/>
    <w:rsid w:val="00AB283A"/>
    <w:rsid w:val="00AB2FE8"/>
    <w:rsid w:val="00AB3F65"/>
    <w:rsid w:val="00AB47AD"/>
    <w:rsid w:val="00AB4E20"/>
    <w:rsid w:val="00AB6B1F"/>
    <w:rsid w:val="00AB7853"/>
    <w:rsid w:val="00AC0F48"/>
    <w:rsid w:val="00AC21BB"/>
    <w:rsid w:val="00AC38F6"/>
    <w:rsid w:val="00AC52BC"/>
    <w:rsid w:val="00AC5C42"/>
    <w:rsid w:val="00AC61CB"/>
    <w:rsid w:val="00AC7034"/>
    <w:rsid w:val="00AD079C"/>
    <w:rsid w:val="00AD1ACF"/>
    <w:rsid w:val="00AD1F04"/>
    <w:rsid w:val="00AD21FC"/>
    <w:rsid w:val="00AD24B4"/>
    <w:rsid w:val="00AD32DA"/>
    <w:rsid w:val="00AD4E7E"/>
    <w:rsid w:val="00AD5870"/>
    <w:rsid w:val="00AD63E4"/>
    <w:rsid w:val="00AD7670"/>
    <w:rsid w:val="00AE05B9"/>
    <w:rsid w:val="00AE42C0"/>
    <w:rsid w:val="00AE5EA0"/>
    <w:rsid w:val="00AE6567"/>
    <w:rsid w:val="00AE7A00"/>
    <w:rsid w:val="00AE7A37"/>
    <w:rsid w:val="00AE7C81"/>
    <w:rsid w:val="00AF0267"/>
    <w:rsid w:val="00AF2708"/>
    <w:rsid w:val="00AF2AF0"/>
    <w:rsid w:val="00AF5900"/>
    <w:rsid w:val="00AF7C59"/>
    <w:rsid w:val="00B01591"/>
    <w:rsid w:val="00B03AD3"/>
    <w:rsid w:val="00B1043E"/>
    <w:rsid w:val="00B11588"/>
    <w:rsid w:val="00B131D1"/>
    <w:rsid w:val="00B15106"/>
    <w:rsid w:val="00B156A0"/>
    <w:rsid w:val="00B20370"/>
    <w:rsid w:val="00B204C3"/>
    <w:rsid w:val="00B2094B"/>
    <w:rsid w:val="00B242DB"/>
    <w:rsid w:val="00B24869"/>
    <w:rsid w:val="00B25E01"/>
    <w:rsid w:val="00B25E65"/>
    <w:rsid w:val="00B269D0"/>
    <w:rsid w:val="00B26D7A"/>
    <w:rsid w:val="00B369D3"/>
    <w:rsid w:val="00B40CD1"/>
    <w:rsid w:val="00B40CE3"/>
    <w:rsid w:val="00B41D0F"/>
    <w:rsid w:val="00B41D90"/>
    <w:rsid w:val="00B43A66"/>
    <w:rsid w:val="00B445F7"/>
    <w:rsid w:val="00B4489B"/>
    <w:rsid w:val="00B45234"/>
    <w:rsid w:val="00B45ACA"/>
    <w:rsid w:val="00B47EAA"/>
    <w:rsid w:val="00B50521"/>
    <w:rsid w:val="00B5069A"/>
    <w:rsid w:val="00B52161"/>
    <w:rsid w:val="00B52463"/>
    <w:rsid w:val="00B53D30"/>
    <w:rsid w:val="00B543F1"/>
    <w:rsid w:val="00B55057"/>
    <w:rsid w:val="00B568B5"/>
    <w:rsid w:val="00B57DF8"/>
    <w:rsid w:val="00B63383"/>
    <w:rsid w:val="00B65696"/>
    <w:rsid w:val="00B657AB"/>
    <w:rsid w:val="00B65A20"/>
    <w:rsid w:val="00B67D1C"/>
    <w:rsid w:val="00B75C07"/>
    <w:rsid w:val="00B760B4"/>
    <w:rsid w:val="00B77391"/>
    <w:rsid w:val="00B77B0B"/>
    <w:rsid w:val="00B80E72"/>
    <w:rsid w:val="00B819A7"/>
    <w:rsid w:val="00B82726"/>
    <w:rsid w:val="00B8493C"/>
    <w:rsid w:val="00B84D31"/>
    <w:rsid w:val="00B84FE2"/>
    <w:rsid w:val="00B85E81"/>
    <w:rsid w:val="00B87787"/>
    <w:rsid w:val="00B87A37"/>
    <w:rsid w:val="00B906E9"/>
    <w:rsid w:val="00B9381B"/>
    <w:rsid w:val="00B9465C"/>
    <w:rsid w:val="00B95615"/>
    <w:rsid w:val="00B96397"/>
    <w:rsid w:val="00BA0156"/>
    <w:rsid w:val="00BA1317"/>
    <w:rsid w:val="00BA181F"/>
    <w:rsid w:val="00BA3EB3"/>
    <w:rsid w:val="00BA3F4C"/>
    <w:rsid w:val="00BA4042"/>
    <w:rsid w:val="00BA47E2"/>
    <w:rsid w:val="00BA5D2E"/>
    <w:rsid w:val="00BA76C7"/>
    <w:rsid w:val="00BB19F5"/>
    <w:rsid w:val="00BB1AB5"/>
    <w:rsid w:val="00BB1FD8"/>
    <w:rsid w:val="00BB5DCD"/>
    <w:rsid w:val="00BB604C"/>
    <w:rsid w:val="00BB73AB"/>
    <w:rsid w:val="00BC2A58"/>
    <w:rsid w:val="00BC4AD9"/>
    <w:rsid w:val="00BC4FAF"/>
    <w:rsid w:val="00BC591D"/>
    <w:rsid w:val="00BC5B83"/>
    <w:rsid w:val="00BC6978"/>
    <w:rsid w:val="00BC6ED9"/>
    <w:rsid w:val="00BC74D6"/>
    <w:rsid w:val="00BD2CC9"/>
    <w:rsid w:val="00BD4570"/>
    <w:rsid w:val="00BD64A3"/>
    <w:rsid w:val="00BD7FD5"/>
    <w:rsid w:val="00BE1650"/>
    <w:rsid w:val="00BE195D"/>
    <w:rsid w:val="00BE2E36"/>
    <w:rsid w:val="00BE3D8E"/>
    <w:rsid w:val="00BE472B"/>
    <w:rsid w:val="00BE5E5D"/>
    <w:rsid w:val="00BE7549"/>
    <w:rsid w:val="00BE769C"/>
    <w:rsid w:val="00BF2D12"/>
    <w:rsid w:val="00BF4649"/>
    <w:rsid w:val="00BF76B7"/>
    <w:rsid w:val="00BF77EE"/>
    <w:rsid w:val="00BF789E"/>
    <w:rsid w:val="00C00E4F"/>
    <w:rsid w:val="00C01069"/>
    <w:rsid w:val="00C01839"/>
    <w:rsid w:val="00C01893"/>
    <w:rsid w:val="00C01C97"/>
    <w:rsid w:val="00C0212C"/>
    <w:rsid w:val="00C0251D"/>
    <w:rsid w:val="00C03527"/>
    <w:rsid w:val="00C03EA7"/>
    <w:rsid w:val="00C048CC"/>
    <w:rsid w:val="00C05992"/>
    <w:rsid w:val="00C05D6A"/>
    <w:rsid w:val="00C07FA2"/>
    <w:rsid w:val="00C1028D"/>
    <w:rsid w:val="00C10533"/>
    <w:rsid w:val="00C10B54"/>
    <w:rsid w:val="00C12798"/>
    <w:rsid w:val="00C20417"/>
    <w:rsid w:val="00C2336E"/>
    <w:rsid w:val="00C25719"/>
    <w:rsid w:val="00C30564"/>
    <w:rsid w:val="00C31BE7"/>
    <w:rsid w:val="00C345B5"/>
    <w:rsid w:val="00C35855"/>
    <w:rsid w:val="00C361E3"/>
    <w:rsid w:val="00C36694"/>
    <w:rsid w:val="00C36C28"/>
    <w:rsid w:val="00C37306"/>
    <w:rsid w:val="00C40387"/>
    <w:rsid w:val="00C4101B"/>
    <w:rsid w:val="00C42F8A"/>
    <w:rsid w:val="00C469E3"/>
    <w:rsid w:val="00C47596"/>
    <w:rsid w:val="00C4760E"/>
    <w:rsid w:val="00C50422"/>
    <w:rsid w:val="00C5160F"/>
    <w:rsid w:val="00C51CEF"/>
    <w:rsid w:val="00C525C2"/>
    <w:rsid w:val="00C54ABF"/>
    <w:rsid w:val="00C60278"/>
    <w:rsid w:val="00C60CAB"/>
    <w:rsid w:val="00C616A2"/>
    <w:rsid w:val="00C619BB"/>
    <w:rsid w:val="00C61EDD"/>
    <w:rsid w:val="00C63E6D"/>
    <w:rsid w:val="00C6477C"/>
    <w:rsid w:val="00C64F38"/>
    <w:rsid w:val="00C65B44"/>
    <w:rsid w:val="00C65D92"/>
    <w:rsid w:val="00C66811"/>
    <w:rsid w:val="00C67037"/>
    <w:rsid w:val="00C70789"/>
    <w:rsid w:val="00C70837"/>
    <w:rsid w:val="00C70BE1"/>
    <w:rsid w:val="00C72690"/>
    <w:rsid w:val="00C73825"/>
    <w:rsid w:val="00C768B5"/>
    <w:rsid w:val="00C77059"/>
    <w:rsid w:val="00C81A0A"/>
    <w:rsid w:val="00C837A4"/>
    <w:rsid w:val="00C8467F"/>
    <w:rsid w:val="00C92BB9"/>
    <w:rsid w:val="00C92CAA"/>
    <w:rsid w:val="00C96483"/>
    <w:rsid w:val="00C96BDD"/>
    <w:rsid w:val="00C97D22"/>
    <w:rsid w:val="00CA01EC"/>
    <w:rsid w:val="00CA0A0B"/>
    <w:rsid w:val="00CA1DDF"/>
    <w:rsid w:val="00CA2747"/>
    <w:rsid w:val="00CA29D0"/>
    <w:rsid w:val="00CA3483"/>
    <w:rsid w:val="00CA4F8D"/>
    <w:rsid w:val="00CA5EED"/>
    <w:rsid w:val="00CA6B2B"/>
    <w:rsid w:val="00CA6EF7"/>
    <w:rsid w:val="00CA7FD4"/>
    <w:rsid w:val="00CB05F1"/>
    <w:rsid w:val="00CB3414"/>
    <w:rsid w:val="00CB48EF"/>
    <w:rsid w:val="00CB4B3A"/>
    <w:rsid w:val="00CB5A09"/>
    <w:rsid w:val="00CB6D96"/>
    <w:rsid w:val="00CC1CBB"/>
    <w:rsid w:val="00CC1DA7"/>
    <w:rsid w:val="00CC3584"/>
    <w:rsid w:val="00CC4E88"/>
    <w:rsid w:val="00CC5797"/>
    <w:rsid w:val="00CC64D7"/>
    <w:rsid w:val="00CC6F77"/>
    <w:rsid w:val="00CD1342"/>
    <w:rsid w:val="00CD2E49"/>
    <w:rsid w:val="00CD3DCF"/>
    <w:rsid w:val="00CD4ACC"/>
    <w:rsid w:val="00CD5933"/>
    <w:rsid w:val="00CE02FA"/>
    <w:rsid w:val="00CE05E4"/>
    <w:rsid w:val="00CE174F"/>
    <w:rsid w:val="00CE3C5B"/>
    <w:rsid w:val="00CE4E4A"/>
    <w:rsid w:val="00CF0231"/>
    <w:rsid w:val="00CF0715"/>
    <w:rsid w:val="00CF67A4"/>
    <w:rsid w:val="00D02373"/>
    <w:rsid w:val="00D02519"/>
    <w:rsid w:val="00D02FA5"/>
    <w:rsid w:val="00D04051"/>
    <w:rsid w:val="00D04F65"/>
    <w:rsid w:val="00D0692D"/>
    <w:rsid w:val="00D100CA"/>
    <w:rsid w:val="00D10684"/>
    <w:rsid w:val="00D10889"/>
    <w:rsid w:val="00D13396"/>
    <w:rsid w:val="00D14A20"/>
    <w:rsid w:val="00D152A5"/>
    <w:rsid w:val="00D155F3"/>
    <w:rsid w:val="00D17A8F"/>
    <w:rsid w:val="00D200DC"/>
    <w:rsid w:val="00D233E6"/>
    <w:rsid w:val="00D26994"/>
    <w:rsid w:val="00D32C3D"/>
    <w:rsid w:val="00D33013"/>
    <w:rsid w:val="00D3397E"/>
    <w:rsid w:val="00D33CEE"/>
    <w:rsid w:val="00D350B9"/>
    <w:rsid w:val="00D3529D"/>
    <w:rsid w:val="00D35C1D"/>
    <w:rsid w:val="00D36279"/>
    <w:rsid w:val="00D36B86"/>
    <w:rsid w:val="00D37AFA"/>
    <w:rsid w:val="00D40398"/>
    <w:rsid w:val="00D408DD"/>
    <w:rsid w:val="00D431C2"/>
    <w:rsid w:val="00D43B83"/>
    <w:rsid w:val="00D503EE"/>
    <w:rsid w:val="00D50932"/>
    <w:rsid w:val="00D50EFD"/>
    <w:rsid w:val="00D51617"/>
    <w:rsid w:val="00D51697"/>
    <w:rsid w:val="00D51F99"/>
    <w:rsid w:val="00D5260D"/>
    <w:rsid w:val="00D53E40"/>
    <w:rsid w:val="00D5405E"/>
    <w:rsid w:val="00D57561"/>
    <w:rsid w:val="00D60AC2"/>
    <w:rsid w:val="00D60EDC"/>
    <w:rsid w:val="00D62767"/>
    <w:rsid w:val="00D627F0"/>
    <w:rsid w:val="00D62C88"/>
    <w:rsid w:val="00D64083"/>
    <w:rsid w:val="00D64504"/>
    <w:rsid w:val="00D64C69"/>
    <w:rsid w:val="00D65E43"/>
    <w:rsid w:val="00D668A8"/>
    <w:rsid w:val="00D67E17"/>
    <w:rsid w:val="00D700E5"/>
    <w:rsid w:val="00D70DA5"/>
    <w:rsid w:val="00D73D70"/>
    <w:rsid w:val="00D73F42"/>
    <w:rsid w:val="00D81D6F"/>
    <w:rsid w:val="00D836CF"/>
    <w:rsid w:val="00D83965"/>
    <w:rsid w:val="00D83C91"/>
    <w:rsid w:val="00D8447F"/>
    <w:rsid w:val="00D85542"/>
    <w:rsid w:val="00D8709B"/>
    <w:rsid w:val="00D87309"/>
    <w:rsid w:val="00D87E46"/>
    <w:rsid w:val="00D91816"/>
    <w:rsid w:val="00D9342A"/>
    <w:rsid w:val="00D93844"/>
    <w:rsid w:val="00D96970"/>
    <w:rsid w:val="00DA061C"/>
    <w:rsid w:val="00DA1AF3"/>
    <w:rsid w:val="00DA30C3"/>
    <w:rsid w:val="00DA3187"/>
    <w:rsid w:val="00DA3EDF"/>
    <w:rsid w:val="00DB05BA"/>
    <w:rsid w:val="00DB174F"/>
    <w:rsid w:val="00DB3831"/>
    <w:rsid w:val="00DB4DA8"/>
    <w:rsid w:val="00DB734D"/>
    <w:rsid w:val="00DC03D2"/>
    <w:rsid w:val="00DC044D"/>
    <w:rsid w:val="00DC3DB6"/>
    <w:rsid w:val="00DC4129"/>
    <w:rsid w:val="00DC612D"/>
    <w:rsid w:val="00DC684B"/>
    <w:rsid w:val="00DC7F34"/>
    <w:rsid w:val="00DD1D07"/>
    <w:rsid w:val="00DD21E2"/>
    <w:rsid w:val="00DD4ED6"/>
    <w:rsid w:val="00DD546E"/>
    <w:rsid w:val="00DD6AC5"/>
    <w:rsid w:val="00DD7BA5"/>
    <w:rsid w:val="00DD7D2B"/>
    <w:rsid w:val="00DD7FCA"/>
    <w:rsid w:val="00DE1573"/>
    <w:rsid w:val="00DE1708"/>
    <w:rsid w:val="00DE427F"/>
    <w:rsid w:val="00DE44BD"/>
    <w:rsid w:val="00DE5FA7"/>
    <w:rsid w:val="00DE6C86"/>
    <w:rsid w:val="00DF2829"/>
    <w:rsid w:val="00DF4718"/>
    <w:rsid w:val="00E02E32"/>
    <w:rsid w:val="00E03268"/>
    <w:rsid w:val="00E03781"/>
    <w:rsid w:val="00E06B28"/>
    <w:rsid w:val="00E07519"/>
    <w:rsid w:val="00E10951"/>
    <w:rsid w:val="00E12EA5"/>
    <w:rsid w:val="00E13131"/>
    <w:rsid w:val="00E14733"/>
    <w:rsid w:val="00E1599A"/>
    <w:rsid w:val="00E177F8"/>
    <w:rsid w:val="00E210F6"/>
    <w:rsid w:val="00E21BAB"/>
    <w:rsid w:val="00E23367"/>
    <w:rsid w:val="00E269E9"/>
    <w:rsid w:val="00E310A0"/>
    <w:rsid w:val="00E31BD1"/>
    <w:rsid w:val="00E32DC3"/>
    <w:rsid w:val="00E341A3"/>
    <w:rsid w:val="00E34572"/>
    <w:rsid w:val="00E36103"/>
    <w:rsid w:val="00E40088"/>
    <w:rsid w:val="00E4159E"/>
    <w:rsid w:val="00E43562"/>
    <w:rsid w:val="00E4365D"/>
    <w:rsid w:val="00E44255"/>
    <w:rsid w:val="00E44C9A"/>
    <w:rsid w:val="00E46E2B"/>
    <w:rsid w:val="00E52086"/>
    <w:rsid w:val="00E520F2"/>
    <w:rsid w:val="00E52E13"/>
    <w:rsid w:val="00E57B2F"/>
    <w:rsid w:val="00E57FA8"/>
    <w:rsid w:val="00E6056F"/>
    <w:rsid w:val="00E61BAA"/>
    <w:rsid w:val="00E61C84"/>
    <w:rsid w:val="00E62715"/>
    <w:rsid w:val="00E64891"/>
    <w:rsid w:val="00E64ED8"/>
    <w:rsid w:val="00E67883"/>
    <w:rsid w:val="00E67911"/>
    <w:rsid w:val="00E707AF"/>
    <w:rsid w:val="00E70CE2"/>
    <w:rsid w:val="00E71B00"/>
    <w:rsid w:val="00E72037"/>
    <w:rsid w:val="00E722E7"/>
    <w:rsid w:val="00E72DC7"/>
    <w:rsid w:val="00E73FC4"/>
    <w:rsid w:val="00E74D54"/>
    <w:rsid w:val="00E75E2B"/>
    <w:rsid w:val="00E7664F"/>
    <w:rsid w:val="00E77525"/>
    <w:rsid w:val="00E81998"/>
    <w:rsid w:val="00E81DE8"/>
    <w:rsid w:val="00E825C8"/>
    <w:rsid w:val="00E8286B"/>
    <w:rsid w:val="00E84145"/>
    <w:rsid w:val="00E84B40"/>
    <w:rsid w:val="00E85060"/>
    <w:rsid w:val="00E85D58"/>
    <w:rsid w:val="00E90131"/>
    <w:rsid w:val="00E904E7"/>
    <w:rsid w:val="00E9115B"/>
    <w:rsid w:val="00E916E5"/>
    <w:rsid w:val="00E918E9"/>
    <w:rsid w:val="00E93144"/>
    <w:rsid w:val="00E95AA9"/>
    <w:rsid w:val="00E95B05"/>
    <w:rsid w:val="00E96A79"/>
    <w:rsid w:val="00E96AEB"/>
    <w:rsid w:val="00EA1E92"/>
    <w:rsid w:val="00EA2F76"/>
    <w:rsid w:val="00EA4BB5"/>
    <w:rsid w:val="00EA607C"/>
    <w:rsid w:val="00EA6FB4"/>
    <w:rsid w:val="00EA7BDE"/>
    <w:rsid w:val="00EB1341"/>
    <w:rsid w:val="00EB1F02"/>
    <w:rsid w:val="00EB2E3F"/>
    <w:rsid w:val="00EB61EC"/>
    <w:rsid w:val="00EB6F06"/>
    <w:rsid w:val="00EC065C"/>
    <w:rsid w:val="00EC0D07"/>
    <w:rsid w:val="00EC0E15"/>
    <w:rsid w:val="00EC1435"/>
    <w:rsid w:val="00EC1A5C"/>
    <w:rsid w:val="00EC2020"/>
    <w:rsid w:val="00EC447A"/>
    <w:rsid w:val="00EC48AD"/>
    <w:rsid w:val="00EC7443"/>
    <w:rsid w:val="00ED006F"/>
    <w:rsid w:val="00ED03F8"/>
    <w:rsid w:val="00ED18F1"/>
    <w:rsid w:val="00ED1B81"/>
    <w:rsid w:val="00ED3E9B"/>
    <w:rsid w:val="00ED4232"/>
    <w:rsid w:val="00ED5A7E"/>
    <w:rsid w:val="00ED5C8B"/>
    <w:rsid w:val="00ED6553"/>
    <w:rsid w:val="00ED670F"/>
    <w:rsid w:val="00EE15D6"/>
    <w:rsid w:val="00EE2674"/>
    <w:rsid w:val="00EE284E"/>
    <w:rsid w:val="00EE4335"/>
    <w:rsid w:val="00EE501B"/>
    <w:rsid w:val="00EE5874"/>
    <w:rsid w:val="00EF0198"/>
    <w:rsid w:val="00EF07E0"/>
    <w:rsid w:val="00EF0F2A"/>
    <w:rsid w:val="00EF1147"/>
    <w:rsid w:val="00EF1C45"/>
    <w:rsid w:val="00EF2C9A"/>
    <w:rsid w:val="00EF32A9"/>
    <w:rsid w:val="00EF33E5"/>
    <w:rsid w:val="00EF3E28"/>
    <w:rsid w:val="00EF55B3"/>
    <w:rsid w:val="00EF5C5B"/>
    <w:rsid w:val="00EF67BF"/>
    <w:rsid w:val="00EF67F7"/>
    <w:rsid w:val="00EF7B72"/>
    <w:rsid w:val="00F00CA2"/>
    <w:rsid w:val="00F027CB"/>
    <w:rsid w:val="00F02C9F"/>
    <w:rsid w:val="00F03BC7"/>
    <w:rsid w:val="00F04082"/>
    <w:rsid w:val="00F053EC"/>
    <w:rsid w:val="00F0573B"/>
    <w:rsid w:val="00F0574F"/>
    <w:rsid w:val="00F06944"/>
    <w:rsid w:val="00F100D2"/>
    <w:rsid w:val="00F10DFF"/>
    <w:rsid w:val="00F14DEB"/>
    <w:rsid w:val="00F17C9D"/>
    <w:rsid w:val="00F21691"/>
    <w:rsid w:val="00F220FC"/>
    <w:rsid w:val="00F2233D"/>
    <w:rsid w:val="00F22AD4"/>
    <w:rsid w:val="00F22F75"/>
    <w:rsid w:val="00F24862"/>
    <w:rsid w:val="00F26B25"/>
    <w:rsid w:val="00F2731B"/>
    <w:rsid w:val="00F316F2"/>
    <w:rsid w:val="00F32514"/>
    <w:rsid w:val="00F3315B"/>
    <w:rsid w:val="00F33830"/>
    <w:rsid w:val="00F33D2B"/>
    <w:rsid w:val="00F34FF8"/>
    <w:rsid w:val="00F4112D"/>
    <w:rsid w:val="00F43124"/>
    <w:rsid w:val="00F4438F"/>
    <w:rsid w:val="00F44564"/>
    <w:rsid w:val="00F45BFC"/>
    <w:rsid w:val="00F46973"/>
    <w:rsid w:val="00F50233"/>
    <w:rsid w:val="00F520A7"/>
    <w:rsid w:val="00F52FE8"/>
    <w:rsid w:val="00F542BC"/>
    <w:rsid w:val="00F57813"/>
    <w:rsid w:val="00F58332"/>
    <w:rsid w:val="00F602AE"/>
    <w:rsid w:val="00F602D4"/>
    <w:rsid w:val="00F6055A"/>
    <w:rsid w:val="00F614C9"/>
    <w:rsid w:val="00F61AFB"/>
    <w:rsid w:val="00F6281F"/>
    <w:rsid w:val="00F6598A"/>
    <w:rsid w:val="00F660C1"/>
    <w:rsid w:val="00F71A61"/>
    <w:rsid w:val="00F72E85"/>
    <w:rsid w:val="00F7696E"/>
    <w:rsid w:val="00F82265"/>
    <w:rsid w:val="00F85688"/>
    <w:rsid w:val="00F86D2B"/>
    <w:rsid w:val="00F8713E"/>
    <w:rsid w:val="00F877C4"/>
    <w:rsid w:val="00F90A5F"/>
    <w:rsid w:val="00F90F6B"/>
    <w:rsid w:val="00F93ADD"/>
    <w:rsid w:val="00F93DFA"/>
    <w:rsid w:val="00F947AC"/>
    <w:rsid w:val="00F94935"/>
    <w:rsid w:val="00F95D8D"/>
    <w:rsid w:val="00F967DF"/>
    <w:rsid w:val="00FA0955"/>
    <w:rsid w:val="00FA0F30"/>
    <w:rsid w:val="00FA4E9B"/>
    <w:rsid w:val="00FA61D8"/>
    <w:rsid w:val="00FA77C7"/>
    <w:rsid w:val="00FB03B5"/>
    <w:rsid w:val="00FB15BE"/>
    <w:rsid w:val="00FB3F2D"/>
    <w:rsid w:val="00FC24B9"/>
    <w:rsid w:val="00FC2F4E"/>
    <w:rsid w:val="00FC3329"/>
    <w:rsid w:val="00FC3DCA"/>
    <w:rsid w:val="00FC44E0"/>
    <w:rsid w:val="00FC45AB"/>
    <w:rsid w:val="00FC6019"/>
    <w:rsid w:val="00FC7EF7"/>
    <w:rsid w:val="00FD1BCC"/>
    <w:rsid w:val="00FD2465"/>
    <w:rsid w:val="00FD2A3B"/>
    <w:rsid w:val="00FE0D97"/>
    <w:rsid w:val="00FE0F57"/>
    <w:rsid w:val="00FE2C43"/>
    <w:rsid w:val="00FE5320"/>
    <w:rsid w:val="00FE625D"/>
    <w:rsid w:val="00FE6BE1"/>
    <w:rsid w:val="00FF0AB3"/>
    <w:rsid w:val="00FF1B13"/>
    <w:rsid w:val="00FF4BBD"/>
    <w:rsid w:val="00FF567D"/>
    <w:rsid w:val="00FF7303"/>
    <w:rsid w:val="0109A762"/>
    <w:rsid w:val="02E8DBE6"/>
    <w:rsid w:val="03734D72"/>
    <w:rsid w:val="03F18A8C"/>
    <w:rsid w:val="043EAC12"/>
    <w:rsid w:val="0627B0F7"/>
    <w:rsid w:val="0627D8A0"/>
    <w:rsid w:val="06B0B302"/>
    <w:rsid w:val="0739FD48"/>
    <w:rsid w:val="0884F26A"/>
    <w:rsid w:val="0A6D6815"/>
    <w:rsid w:val="0B841730"/>
    <w:rsid w:val="0B9C5A50"/>
    <w:rsid w:val="0C59C59D"/>
    <w:rsid w:val="0CDE3617"/>
    <w:rsid w:val="0FF1594D"/>
    <w:rsid w:val="1020B2F6"/>
    <w:rsid w:val="1050A3F8"/>
    <w:rsid w:val="11BFFEAE"/>
    <w:rsid w:val="1251D4D5"/>
    <w:rsid w:val="131130C6"/>
    <w:rsid w:val="1379BF83"/>
    <w:rsid w:val="13B49FA6"/>
    <w:rsid w:val="1434F42F"/>
    <w:rsid w:val="14C05B41"/>
    <w:rsid w:val="15079216"/>
    <w:rsid w:val="15089CFE"/>
    <w:rsid w:val="15812CDE"/>
    <w:rsid w:val="15E2B012"/>
    <w:rsid w:val="169C22FA"/>
    <w:rsid w:val="16D211CF"/>
    <w:rsid w:val="170407E1"/>
    <w:rsid w:val="1931B1F9"/>
    <w:rsid w:val="1965F84E"/>
    <w:rsid w:val="1B6E5D13"/>
    <w:rsid w:val="1C1F3A18"/>
    <w:rsid w:val="1E6D92B0"/>
    <w:rsid w:val="20319798"/>
    <w:rsid w:val="20E74ABB"/>
    <w:rsid w:val="21F29462"/>
    <w:rsid w:val="2407BBC1"/>
    <w:rsid w:val="25B503AF"/>
    <w:rsid w:val="27143E3F"/>
    <w:rsid w:val="29973678"/>
    <w:rsid w:val="2BB3262D"/>
    <w:rsid w:val="2BCA10F0"/>
    <w:rsid w:val="2BCF7C43"/>
    <w:rsid w:val="2D1C3E1B"/>
    <w:rsid w:val="2D47973F"/>
    <w:rsid w:val="2D6629D2"/>
    <w:rsid w:val="2D844118"/>
    <w:rsid w:val="2E913E51"/>
    <w:rsid w:val="312BDBCC"/>
    <w:rsid w:val="313A761D"/>
    <w:rsid w:val="32067386"/>
    <w:rsid w:val="3267318E"/>
    <w:rsid w:val="32C0D9EC"/>
    <w:rsid w:val="32D14963"/>
    <w:rsid w:val="32E673DA"/>
    <w:rsid w:val="3340129D"/>
    <w:rsid w:val="33CB7650"/>
    <w:rsid w:val="341112F6"/>
    <w:rsid w:val="358E4BC6"/>
    <w:rsid w:val="376325B6"/>
    <w:rsid w:val="3AEE14ED"/>
    <w:rsid w:val="3CC5A43D"/>
    <w:rsid w:val="3DB4BA9C"/>
    <w:rsid w:val="3EB9A800"/>
    <w:rsid w:val="3EECAB14"/>
    <w:rsid w:val="40D3B1A0"/>
    <w:rsid w:val="427AF164"/>
    <w:rsid w:val="429C2237"/>
    <w:rsid w:val="45746B23"/>
    <w:rsid w:val="4D7C6706"/>
    <w:rsid w:val="4E6316F6"/>
    <w:rsid w:val="5002CB92"/>
    <w:rsid w:val="50F73D28"/>
    <w:rsid w:val="52521B09"/>
    <w:rsid w:val="537EBC70"/>
    <w:rsid w:val="545C5FA4"/>
    <w:rsid w:val="5489042C"/>
    <w:rsid w:val="549B8723"/>
    <w:rsid w:val="5655EAA2"/>
    <w:rsid w:val="56B5E4B0"/>
    <w:rsid w:val="5770E9BA"/>
    <w:rsid w:val="5825F6C8"/>
    <w:rsid w:val="59AA3195"/>
    <w:rsid w:val="5BB8EBE2"/>
    <w:rsid w:val="5CEF28DE"/>
    <w:rsid w:val="5E8B5DBA"/>
    <w:rsid w:val="5F508770"/>
    <w:rsid w:val="5FFB1AD4"/>
    <w:rsid w:val="603108AD"/>
    <w:rsid w:val="616F13CE"/>
    <w:rsid w:val="62006E28"/>
    <w:rsid w:val="63C3B749"/>
    <w:rsid w:val="64F4E5A8"/>
    <w:rsid w:val="65B14D97"/>
    <w:rsid w:val="669E4787"/>
    <w:rsid w:val="66FF98D7"/>
    <w:rsid w:val="67A110EA"/>
    <w:rsid w:val="6838974B"/>
    <w:rsid w:val="69B87C1A"/>
    <w:rsid w:val="6A7C1731"/>
    <w:rsid w:val="6C57FA9A"/>
    <w:rsid w:val="6CCDC08C"/>
    <w:rsid w:val="6DACF009"/>
    <w:rsid w:val="6EBD8B7C"/>
    <w:rsid w:val="6EEC1D92"/>
    <w:rsid w:val="6FBBBA60"/>
    <w:rsid w:val="6FC2ED34"/>
    <w:rsid w:val="6FD5C76E"/>
    <w:rsid w:val="71E005F9"/>
    <w:rsid w:val="7276251B"/>
    <w:rsid w:val="72F576E6"/>
    <w:rsid w:val="73241326"/>
    <w:rsid w:val="740F1D47"/>
    <w:rsid w:val="749ABA24"/>
    <w:rsid w:val="74ADB8FD"/>
    <w:rsid w:val="75081D1E"/>
    <w:rsid w:val="7591BD88"/>
    <w:rsid w:val="7723D97D"/>
    <w:rsid w:val="7784894C"/>
    <w:rsid w:val="778918BC"/>
    <w:rsid w:val="784E9F05"/>
    <w:rsid w:val="7952B3DC"/>
    <w:rsid w:val="79A6A4EF"/>
    <w:rsid w:val="7A358130"/>
    <w:rsid w:val="7A8ACAE0"/>
    <w:rsid w:val="7A945860"/>
    <w:rsid w:val="7AF185FC"/>
    <w:rsid w:val="7B577A59"/>
    <w:rsid w:val="7BC0ACAE"/>
    <w:rsid w:val="7C8F48B9"/>
    <w:rsid w:val="7EBDD3E5"/>
    <w:rsid w:val="7ED56795"/>
    <w:rsid w:val="7EED7A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8D208C"/>
  <w14:defaultImageDpi w14:val="330"/>
  <w15:docId w15:val="{08D77327-AA7D-499F-B918-54852156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5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42C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57F8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27CB3"/>
    <w:rPr>
      <w:b/>
      <w:bCs/>
    </w:rPr>
  </w:style>
  <w:style w:type="character" w:customStyle="1" w:styleId="CommentSubjectChar">
    <w:name w:val="Comment Subject Char"/>
    <w:basedOn w:val="CommentTextChar"/>
    <w:link w:val="CommentSubject"/>
    <w:uiPriority w:val="99"/>
    <w:semiHidden/>
    <w:rsid w:val="00927CB3"/>
    <w:rPr>
      <w:b/>
      <w:bCs/>
      <w:sz w:val="20"/>
      <w:szCs w:val="20"/>
    </w:rPr>
  </w:style>
  <w:style w:type="character" w:customStyle="1" w:styleId="wacimagecontainer">
    <w:name w:val="wacimagecontainer"/>
    <w:basedOn w:val="DefaultParagraphFont"/>
    <w:rsid w:val="00126DF1"/>
  </w:style>
  <w:style w:type="paragraph" w:styleId="ListParagraph">
    <w:name w:val="List Paragraph"/>
    <w:basedOn w:val="Normal"/>
    <w:uiPriority w:val="34"/>
    <w:qFormat/>
    <w:rsid w:val="000C4CB1"/>
    <w:pPr>
      <w:ind w:left="720"/>
      <w:contextualSpacing/>
    </w:pPr>
  </w:style>
  <w:style w:type="character" w:customStyle="1" w:styleId="Heading1Char">
    <w:name w:val="Heading 1 Char"/>
    <w:basedOn w:val="DefaultParagraphFont"/>
    <w:link w:val="Heading1"/>
    <w:uiPriority w:val="9"/>
    <w:rsid w:val="00F32514"/>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D62767"/>
    <w:rPr>
      <w:color w:val="605E5C"/>
      <w:shd w:val="clear" w:color="auto" w:fill="E1DFDD"/>
    </w:rPr>
  </w:style>
  <w:style w:type="character" w:customStyle="1" w:styleId="tabchar">
    <w:name w:val="tabchar"/>
    <w:basedOn w:val="DefaultParagraphFont"/>
    <w:rsid w:val="00BC6ED9"/>
  </w:style>
  <w:style w:type="character" w:styleId="FollowedHyperlink">
    <w:name w:val="FollowedHyperlink"/>
    <w:basedOn w:val="DefaultParagraphFont"/>
    <w:uiPriority w:val="99"/>
    <w:semiHidden/>
    <w:unhideWhenUsed/>
    <w:rsid w:val="00A05ED7"/>
    <w:rPr>
      <w:color w:val="800080" w:themeColor="followedHyperlink"/>
      <w:u w:val="single"/>
    </w:rPr>
  </w:style>
  <w:style w:type="paragraph" w:styleId="Revision">
    <w:name w:val="Revision"/>
    <w:hidden/>
    <w:uiPriority w:val="99"/>
    <w:semiHidden/>
    <w:rsid w:val="00A25484"/>
  </w:style>
  <w:style w:type="character" w:styleId="Mention">
    <w:name w:val="Mention"/>
    <w:basedOn w:val="DefaultParagraphFont"/>
    <w:uiPriority w:val="99"/>
    <w:unhideWhenUsed/>
    <w:rsid w:val="00A25484"/>
    <w:rPr>
      <w:color w:val="2B579A"/>
      <w:shd w:val="clear" w:color="auto" w:fill="E1DFDD"/>
    </w:rPr>
  </w:style>
  <w:style w:type="character" w:customStyle="1" w:styleId="Heading2Char">
    <w:name w:val="Heading 2 Char"/>
    <w:basedOn w:val="DefaultParagraphFont"/>
    <w:link w:val="Heading2"/>
    <w:uiPriority w:val="9"/>
    <w:rsid w:val="00842C6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57F8B"/>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ergy.ca.gov/event/2026-05/pre-bid-conference-rfq-25-401-energy-code-compliance-evaluation-support" TargetMode="External"/><Relationship Id="rId18" Type="http://schemas.openxmlformats.org/officeDocument/2006/relationships/hyperlink" Target="https://www.energy.ca.gov/solicitations/2026-05/rfq-25-401-energy-code-compliance-evaluation-support" TargetMode="External"/><Relationship Id="rId26" Type="http://schemas.openxmlformats.org/officeDocument/2006/relationships/hyperlink" Target="https://www.energy.ca.gov/solicitations/2026-05/rfq-25-401-energy-code-compliance-evaluation-support" TargetMode="External"/><Relationship Id="rId39" Type="http://schemas.openxmlformats.org/officeDocument/2006/relationships/hyperlink" Target="https://www.energy.ca.gov/solicitations/2026-05/rfq-25-401-energy-code-compliance-evaluation-support" TargetMode="External"/><Relationship Id="rId21" Type="http://schemas.openxmlformats.org/officeDocument/2006/relationships/hyperlink" Target="mailto:diana.grady@energy.ca.gov" TargetMode="External"/><Relationship Id="rId34" Type="http://schemas.openxmlformats.org/officeDocument/2006/relationships/hyperlink" Target="https://www.energy.ca.gov/solicitations/2026-05/rfq-25-401-energy-code-compliance-evaluation-support" TargetMode="External"/><Relationship Id="rId42" Type="http://schemas.openxmlformats.org/officeDocument/2006/relationships/hyperlink" Target="https://www.energy.ca.gov/solicitations/2026-05/rfq-25-401-energy-code-compliance-evaluation-support" TargetMode="External"/><Relationship Id="rId47" Type="http://schemas.openxmlformats.org/officeDocument/2006/relationships/hyperlink" Target="Residential%20Building%20Energy%20Code%20Field%20Study%20Data%20Collection%20&amp;%20Analysis%20Methodology" TargetMode="External"/><Relationship Id="rId50" Type="http://schemas.openxmlformats.org/officeDocument/2006/relationships/hyperlink" Target="https://www.energy.ca.gov/solicitations/2026-05/rfq-25-401-energy-code-compliance-evaluation-support"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nergy.ca.gov/solicitations/2026-05/rfq-25-401-energy-code-compliance-evaluation-support" TargetMode="External"/><Relationship Id="rId29" Type="http://schemas.openxmlformats.org/officeDocument/2006/relationships/hyperlink" Target="https://www.energy.ca.gov/solicitations/2026-05/rfq-25-401-energy-code-compliance-evaluation-support" TargetMode="External"/><Relationship Id="rId11" Type="http://schemas.openxmlformats.org/officeDocument/2006/relationships/hyperlink" Target="https://www.energy.ca.gov/solicitations/2026-05/rfq-25-401-energy-code-compliance-evaluation-support" TargetMode="External"/><Relationship Id="rId24" Type="http://schemas.openxmlformats.org/officeDocument/2006/relationships/hyperlink" Target="https://www.energy.ca.gov/solicitations/2026-05/rfq-25-401-energy-code-compliance-evaluation-support" TargetMode="External"/><Relationship Id="rId32" Type="http://schemas.openxmlformats.org/officeDocument/2006/relationships/hyperlink" Target="https://www.energy.ca.gov/solicitations/2026-05/rfq-25-401-energy-code-compliance-evaluation-support" TargetMode="External"/><Relationship Id="rId37" Type="http://schemas.openxmlformats.org/officeDocument/2006/relationships/hyperlink" Target="https://www.energy.ca.gov/solicitations/2026-05/rfq-25-401-energy-code-compliance-evaluation-support" TargetMode="External"/><Relationship Id="rId40" Type="http://schemas.openxmlformats.org/officeDocument/2006/relationships/hyperlink" Target="https://gss.energy.ca.gov/" TargetMode="External"/><Relationship Id="rId45" Type="http://schemas.openxmlformats.org/officeDocument/2006/relationships/hyperlink" Target="https://www.energy.ca.gov/publications/2025/2025-building-energy-efficiency-standards-residential-and-nonresidential" TargetMode="External"/><Relationship Id="rId53" Type="http://schemas.openxmlformats.org/officeDocument/2006/relationships/hyperlink" Target="https://www.energy.ca.gov/solicitations/2026-05/rfq-25-401-energy-code-compliance-evaluation-support"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mailto:diana.grady@energy.c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ana.grady@energy.ca.gov" TargetMode="External"/><Relationship Id="rId22" Type="http://schemas.openxmlformats.org/officeDocument/2006/relationships/hyperlink" Target="https://www.energy.ca.gov/event/2026-05/pre-bid-conference-rfq-25-401-energy-code-compliance-evaluation-support" TargetMode="External"/><Relationship Id="rId27" Type="http://schemas.openxmlformats.org/officeDocument/2006/relationships/hyperlink" Target="https://www.energy.ca.gov/solicitations/2026-05/rfq-25-401-energy-code-compliance-evaluation-support" TargetMode="External"/><Relationship Id="rId30" Type="http://schemas.openxmlformats.org/officeDocument/2006/relationships/hyperlink" Target="https://www.energy.ca.gov/solicitations/2026-05/rfq-25-401-energy-code-compliance-evaluation-support" TargetMode="External"/><Relationship Id="rId35" Type="http://schemas.openxmlformats.org/officeDocument/2006/relationships/hyperlink" Target="https://www.energy.ca.gov/solicitations/2026-05/rfq-25-401-energy-code-compliance-evaluation-support" TargetMode="External"/><Relationship Id="rId43" Type="http://schemas.openxmlformats.org/officeDocument/2006/relationships/hyperlink" Target="https://www.energy.ca.gov/solicitations/2026-05/rfq-25-401-energy-code-compliance-evaluation-support" TargetMode="External"/><Relationship Id="rId48" Type="http://schemas.openxmlformats.org/officeDocument/2006/relationships/hyperlink" Target="https://www.energy.ca.gov/solicitations/2026-05/rfq-25-401-energy-code-compliance-evaluation-support"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energy.ca.gov/solicitations/2026-05/rfq-25-401-energy-code-compliance-evaluation-support" TargetMode="External"/><Relationship Id="rId3" Type="http://schemas.openxmlformats.org/officeDocument/2006/relationships/customXml" Target="../customXml/item3.xml"/><Relationship Id="rId12" Type="http://schemas.openxmlformats.org/officeDocument/2006/relationships/hyperlink" Target="https://www.energy.ca.gov/event/2026-05/pre-bid-conference-rfq-25-401-energy-code-compliance-evaluation-support" TargetMode="External"/><Relationship Id="rId17" Type="http://schemas.openxmlformats.org/officeDocument/2006/relationships/hyperlink" Target="mailto:diana.grady@energy.ca.gov" TargetMode="External"/><Relationship Id="rId25" Type="http://schemas.openxmlformats.org/officeDocument/2006/relationships/hyperlink" Target="https://www.ecfr.gov/current/title-2/subtitle-A/chapter-II/part-200/subpart-D/subject-group-ECFR031321e29ac5bbd/section-200.331" TargetMode="External"/><Relationship Id="rId33" Type="http://schemas.openxmlformats.org/officeDocument/2006/relationships/hyperlink" Target="https://www.energy.ca.gov/solicitations/2026-05/rfq-25-401-energy-code-compliance-evaluation-support" TargetMode="External"/><Relationship Id="rId38" Type="http://schemas.openxmlformats.org/officeDocument/2006/relationships/hyperlink" Target="https://www.energy.ca.gov/solicitations/2026-05/rfq-25-401-energy-code-compliance-evaluation-support" TargetMode="External"/><Relationship Id="rId46" Type="http://schemas.openxmlformats.org/officeDocument/2006/relationships/hyperlink" Target="https://www.energy.ca.gov/publications/2025/california-energy-code-compliance-gap-analysis" TargetMode="External"/><Relationship Id="rId59" Type="http://schemas.microsoft.com/office/2020/10/relationships/intelligence" Target="intelligence2.xml"/><Relationship Id="rId20" Type="http://schemas.openxmlformats.org/officeDocument/2006/relationships/hyperlink" Target="https://www.energy.ca.gov/solicitations/2026-05/rfq-25-401-energy-code-compliance-evaluation-support" TargetMode="External"/><Relationship Id="rId41" Type="http://schemas.openxmlformats.org/officeDocument/2006/relationships/hyperlink" Target="https://www.energy.ca.gov/media/1654"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nergy.ca.gov/solicitations/2026-05/rfq-25-401-energy-code-compliance-evaluation-support" TargetMode="External"/><Relationship Id="rId23" Type="http://schemas.openxmlformats.org/officeDocument/2006/relationships/hyperlink" Target="https://www.energy.ca.gov/solicitations/2026-05/rfq-25-401-energy-code-compliance-evaluation-support" TargetMode="External"/><Relationship Id="rId28" Type="http://schemas.openxmlformats.org/officeDocument/2006/relationships/hyperlink" Target="https://www.energy.ca.gov/solicitations/2026-05/rfq-25-401-energy-code-compliance-evaluation-support" TargetMode="External"/><Relationship Id="rId36" Type="http://schemas.openxmlformats.org/officeDocument/2006/relationships/hyperlink" Target="https://www.energy.ca.gov/solicitations/2026-05/rfq-25-401-energy-code-compliance-evaluation-support" TargetMode="External"/><Relationship Id="rId49" Type="http://schemas.openxmlformats.org/officeDocument/2006/relationships/hyperlink" Target="https://www.energy.ca.gov/solicitations/2026-05/rfq-25-401-energy-code-compliance-evaluation-support"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dgs.ca.gov/PD/Resources/SCM" TargetMode="External"/><Relationship Id="rId44" Type="http://schemas.openxmlformats.org/officeDocument/2006/relationships/hyperlink" Target="https://www.energy.ca.gov/solicitations/2026-05/rfq-25-401-energy-code-compliance-evaluation-support" TargetMode="External"/><Relationship Id="rId52" Type="http://schemas.openxmlformats.org/officeDocument/2006/relationships/hyperlink" Target="https://www.energy.ca.gov/solicitations/2026-05/rfq-25-401-energy-code-compliance-evaluation-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5685f2-c2e1-4352-89aa-3faca8eaba52">
      <Terms xmlns="http://schemas.microsoft.com/office/infopath/2007/PartnerControls"/>
    </lcf76f155ced4ddcb4097134ff3c332f>
    <TaxCatchAll xmlns="5067c814-4b34-462c-a21d-c185ff6548d2" xsi:nil="true"/>
  </documentManagement>
</p:properties>
</file>

<file path=customXml/itemProps1.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2.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3.xml><?xml version="1.0" encoding="utf-8"?>
<ds:datastoreItem xmlns:ds="http://schemas.openxmlformats.org/officeDocument/2006/customXml" ds:itemID="{9115D2B3-CFA7-4EF2-91FF-C36FC288F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785685f2-c2e1-4352-89aa-3faca8eaba52"/>
    <ds:schemaRef ds:uri="5067c814-4b34-462c-a21d-c185ff6548d2"/>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6954</Words>
  <Characters>39643</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RFQ-25-401_Questions_and_Answers_ada</vt:lpstr>
    </vt:vector>
  </TitlesOfParts>
  <Company>Wobschall Design</Company>
  <LinksUpToDate>false</LinksUpToDate>
  <CharactersWithSpaces>46504</CharactersWithSpaces>
  <SharedDoc>false</SharedDoc>
  <HLinks>
    <vt:vector size="258" baseType="variant">
      <vt:variant>
        <vt:i4>851970</vt:i4>
      </vt:variant>
      <vt:variant>
        <vt:i4>126</vt:i4>
      </vt:variant>
      <vt:variant>
        <vt:i4>0</vt:i4>
      </vt:variant>
      <vt:variant>
        <vt:i4>5</vt:i4>
      </vt:variant>
      <vt:variant>
        <vt:lpwstr>https://www.energy.ca.gov/solicitations/2026-05/rfq-25-401-energy-code-compliance-evaluation-support</vt:lpwstr>
      </vt:variant>
      <vt:variant>
        <vt:lpwstr/>
      </vt:variant>
      <vt:variant>
        <vt:i4>851970</vt:i4>
      </vt:variant>
      <vt:variant>
        <vt:i4>123</vt:i4>
      </vt:variant>
      <vt:variant>
        <vt:i4>0</vt:i4>
      </vt:variant>
      <vt:variant>
        <vt:i4>5</vt:i4>
      </vt:variant>
      <vt:variant>
        <vt:lpwstr>https://www.energy.ca.gov/solicitations/2026-05/rfq-25-401-energy-code-compliance-evaluation-support</vt:lpwstr>
      </vt:variant>
      <vt:variant>
        <vt:lpwstr/>
      </vt:variant>
      <vt:variant>
        <vt:i4>851970</vt:i4>
      </vt:variant>
      <vt:variant>
        <vt:i4>120</vt:i4>
      </vt:variant>
      <vt:variant>
        <vt:i4>0</vt:i4>
      </vt:variant>
      <vt:variant>
        <vt:i4>5</vt:i4>
      </vt:variant>
      <vt:variant>
        <vt:lpwstr>https://www.energy.ca.gov/solicitations/2026-05/rfq-25-401-energy-code-compliance-evaluation-support</vt:lpwstr>
      </vt:variant>
      <vt:variant>
        <vt:lpwstr/>
      </vt:variant>
      <vt:variant>
        <vt:i4>851970</vt:i4>
      </vt:variant>
      <vt:variant>
        <vt:i4>117</vt:i4>
      </vt:variant>
      <vt:variant>
        <vt:i4>0</vt:i4>
      </vt:variant>
      <vt:variant>
        <vt:i4>5</vt:i4>
      </vt:variant>
      <vt:variant>
        <vt:lpwstr>https://www.energy.ca.gov/solicitations/2026-05/rfq-25-401-energy-code-compliance-evaluation-support</vt:lpwstr>
      </vt:variant>
      <vt:variant>
        <vt:lpwstr/>
      </vt:variant>
      <vt:variant>
        <vt:i4>851970</vt:i4>
      </vt:variant>
      <vt:variant>
        <vt:i4>114</vt:i4>
      </vt:variant>
      <vt:variant>
        <vt:i4>0</vt:i4>
      </vt:variant>
      <vt:variant>
        <vt:i4>5</vt:i4>
      </vt:variant>
      <vt:variant>
        <vt:lpwstr>https://www.energy.ca.gov/solicitations/2026-05/rfq-25-401-energy-code-compliance-evaluation-support</vt:lpwstr>
      </vt:variant>
      <vt:variant>
        <vt:lpwstr/>
      </vt:variant>
      <vt:variant>
        <vt:i4>851970</vt:i4>
      </vt:variant>
      <vt:variant>
        <vt:i4>111</vt:i4>
      </vt:variant>
      <vt:variant>
        <vt:i4>0</vt:i4>
      </vt:variant>
      <vt:variant>
        <vt:i4>5</vt:i4>
      </vt:variant>
      <vt:variant>
        <vt:lpwstr>https://www.energy.ca.gov/solicitations/2026-05/rfq-25-401-energy-code-compliance-evaluation-support</vt:lpwstr>
      </vt:variant>
      <vt:variant>
        <vt:lpwstr/>
      </vt:variant>
      <vt:variant>
        <vt:i4>3997821</vt:i4>
      </vt:variant>
      <vt:variant>
        <vt:i4>108</vt:i4>
      </vt:variant>
      <vt:variant>
        <vt:i4>0</vt:i4>
      </vt:variant>
      <vt:variant>
        <vt:i4>5</vt:i4>
      </vt:variant>
      <vt:variant>
        <vt:lpwstr>Residential Building Energy Code Field Study Data Collection &amp; Analysis Methodology</vt:lpwstr>
      </vt:variant>
      <vt:variant>
        <vt:lpwstr/>
      </vt:variant>
      <vt:variant>
        <vt:i4>3538980</vt:i4>
      </vt:variant>
      <vt:variant>
        <vt:i4>105</vt:i4>
      </vt:variant>
      <vt:variant>
        <vt:i4>0</vt:i4>
      </vt:variant>
      <vt:variant>
        <vt:i4>5</vt:i4>
      </vt:variant>
      <vt:variant>
        <vt:lpwstr>https://www.energy.ca.gov/publications/2025/california-energy-code-compliance-gap-analysis</vt:lpwstr>
      </vt:variant>
      <vt:variant>
        <vt:lpwstr/>
      </vt:variant>
      <vt:variant>
        <vt:i4>5963855</vt:i4>
      </vt:variant>
      <vt:variant>
        <vt:i4>102</vt:i4>
      </vt:variant>
      <vt:variant>
        <vt:i4>0</vt:i4>
      </vt:variant>
      <vt:variant>
        <vt:i4>5</vt:i4>
      </vt:variant>
      <vt:variant>
        <vt:lpwstr>https://www.energy.ca.gov/publications/2025/2025-building-energy-efficiency-standards-residential-and-nonresidential</vt:lpwstr>
      </vt:variant>
      <vt:variant>
        <vt:lpwstr/>
      </vt:variant>
      <vt:variant>
        <vt:i4>851970</vt:i4>
      </vt:variant>
      <vt:variant>
        <vt:i4>99</vt:i4>
      </vt:variant>
      <vt:variant>
        <vt:i4>0</vt:i4>
      </vt:variant>
      <vt:variant>
        <vt:i4>5</vt:i4>
      </vt:variant>
      <vt:variant>
        <vt:lpwstr>https://www.energy.ca.gov/solicitations/2026-05/rfq-25-401-energy-code-compliance-evaluation-support</vt:lpwstr>
      </vt:variant>
      <vt:variant>
        <vt:lpwstr/>
      </vt:variant>
      <vt:variant>
        <vt:i4>851970</vt:i4>
      </vt:variant>
      <vt:variant>
        <vt:i4>96</vt:i4>
      </vt:variant>
      <vt:variant>
        <vt:i4>0</vt:i4>
      </vt:variant>
      <vt:variant>
        <vt:i4>5</vt:i4>
      </vt:variant>
      <vt:variant>
        <vt:lpwstr>https://www.energy.ca.gov/solicitations/2026-05/rfq-25-401-energy-code-compliance-evaluation-support</vt:lpwstr>
      </vt:variant>
      <vt:variant>
        <vt:lpwstr/>
      </vt:variant>
      <vt:variant>
        <vt:i4>851970</vt:i4>
      </vt:variant>
      <vt:variant>
        <vt:i4>93</vt:i4>
      </vt:variant>
      <vt:variant>
        <vt:i4>0</vt:i4>
      </vt:variant>
      <vt:variant>
        <vt:i4>5</vt:i4>
      </vt:variant>
      <vt:variant>
        <vt:lpwstr>https://www.energy.ca.gov/solicitations/2026-05/rfq-25-401-energy-code-compliance-evaluation-support</vt:lpwstr>
      </vt:variant>
      <vt:variant>
        <vt:lpwstr/>
      </vt:variant>
      <vt:variant>
        <vt:i4>65557</vt:i4>
      </vt:variant>
      <vt:variant>
        <vt:i4>90</vt:i4>
      </vt:variant>
      <vt:variant>
        <vt:i4>0</vt:i4>
      </vt:variant>
      <vt:variant>
        <vt:i4>5</vt:i4>
      </vt:variant>
      <vt:variant>
        <vt:lpwstr>https://www.energy.ca.gov/media/1654</vt:lpwstr>
      </vt:variant>
      <vt:variant>
        <vt:lpwstr/>
      </vt:variant>
      <vt:variant>
        <vt:i4>2359405</vt:i4>
      </vt:variant>
      <vt:variant>
        <vt:i4>87</vt:i4>
      </vt:variant>
      <vt:variant>
        <vt:i4>0</vt:i4>
      </vt:variant>
      <vt:variant>
        <vt:i4>5</vt:i4>
      </vt:variant>
      <vt:variant>
        <vt:lpwstr>https://gss.energy.ca.gov/</vt:lpwstr>
      </vt:variant>
      <vt:variant>
        <vt:lpwstr/>
      </vt:variant>
      <vt:variant>
        <vt:i4>851970</vt:i4>
      </vt:variant>
      <vt:variant>
        <vt:i4>84</vt:i4>
      </vt:variant>
      <vt:variant>
        <vt:i4>0</vt:i4>
      </vt:variant>
      <vt:variant>
        <vt:i4>5</vt:i4>
      </vt:variant>
      <vt:variant>
        <vt:lpwstr>https://www.energy.ca.gov/solicitations/2026-05/rfq-25-401-energy-code-compliance-evaluation-support</vt:lpwstr>
      </vt:variant>
      <vt:variant>
        <vt:lpwstr/>
      </vt:variant>
      <vt:variant>
        <vt:i4>851970</vt:i4>
      </vt:variant>
      <vt:variant>
        <vt:i4>81</vt:i4>
      </vt:variant>
      <vt:variant>
        <vt:i4>0</vt:i4>
      </vt:variant>
      <vt:variant>
        <vt:i4>5</vt:i4>
      </vt:variant>
      <vt:variant>
        <vt:lpwstr>https://www.energy.ca.gov/solicitations/2026-05/rfq-25-401-energy-code-compliance-evaluation-support</vt:lpwstr>
      </vt:variant>
      <vt:variant>
        <vt:lpwstr/>
      </vt:variant>
      <vt:variant>
        <vt:i4>851970</vt:i4>
      </vt:variant>
      <vt:variant>
        <vt:i4>78</vt:i4>
      </vt:variant>
      <vt:variant>
        <vt:i4>0</vt:i4>
      </vt:variant>
      <vt:variant>
        <vt:i4>5</vt:i4>
      </vt:variant>
      <vt:variant>
        <vt:lpwstr>https://www.energy.ca.gov/solicitations/2026-05/rfq-25-401-energy-code-compliance-evaluation-support</vt:lpwstr>
      </vt:variant>
      <vt:variant>
        <vt:lpwstr/>
      </vt:variant>
      <vt:variant>
        <vt:i4>851970</vt:i4>
      </vt:variant>
      <vt:variant>
        <vt:i4>75</vt:i4>
      </vt:variant>
      <vt:variant>
        <vt:i4>0</vt:i4>
      </vt:variant>
      <vt:variant>
        <vt:i4>5</vt:i4>
      </vt:variant>
      <vt:variant>
        <vt:lpwstr>https://www.energy.ca.gov/solicitations/2026-05/rfq-25-401-energy-code-compliance-evaluation-support</vt:lpwstr>
      </vt:variant>
      <vt:variant>
        <vt:lpwstr/>
      </vt:variant>
      <vt:variant>
        <vt:i4>851970</vt:i4>
      </vt:variant>
      <vt:variant>
        <vt:i4>72</vt:i4>
      </vt:variant>
      <vt:variant>
        <vt:i4>0</vt:i4>
      </vt:variant>
      <vt:variant>
        <vt:i4>5</vt:i4>
      </vt:variant>
      <vt:variant>
        <vt:lpwstr>https://www.energy.ca.gov/solicitations/2026-05/rfq-25-401-energy-code-compliance-evaluation-support</vt:lpwstr>
      </vt:variant>
      <vt:variant>
        <vt:lpwstr/>
      </vt:variant>
      <vt:variant>
        <vt:i4>851970</vt:i4>
      </vt:variant>
      <vt:variant>
        <vt:i4>69</vt:i4>
      </vt:variant>
      <vt:variant>
        <vt:i4>0</vt:i4>
      </vt:variant>
      <vt:variant>
        <vt:i4>5</vt:i4>
      </vt:variant>
      <vt:variant>
        <vt:lpwstr>https://www.energy.ca.gov/solicitations/2026-05/rfq-25-401-energy-code-compliance-evaluation-support</vt:lpwstr>
      </vt:variant>
      <vt:variant>
        <vt:lpwstr/>
      </vt:variant>
      <vt:variant>
        <vt:i4>851970</vt:i4>
      </vt:variant>
      <vt:variant>
        <vt:i4>66</vt:i4>
      </vt:variant>
      <vt:variant>
        <vt:i4>0</vt:i4>
      </vt:variant>
      <vt:variant>
        <vt:i4>5</vt:i4>
      </vt:variant>
      <vt:variant>
        <vt:lpwstr>https://www.energy.ca.gov/solicitations/2026-05/rfq-25-401-energy-code-compliance-evaluation-support</vt:lpwstr>
      </vt:variant>
      <vt:variant>
        <vt:lpwstr/>
      </vt:variant>
      <vt:variant>
        <vt:i4>851970</vt:i4>
      </vt:variant>
      <vt:variant>
        <vt:i4>63</vt:i4>
      </vt:variant>
      <vt:variant>
        <vt:i4>0</vt:i4>
      </vt:variant>
      <vt:variant>
        <vt:i4>5</vt:i4>
      </vt:variant>
      <vt:variant>
        <vt:lpwstr>https://www.energy.ca.gov/solicitations/2026-05/rfq-25-401-energy-code-compliance-evaluation-support</vt:lpwstr>
      </vt:variant>
      <vt:variant>
        <vt:lpwstr/>
      </vt:variant>
      <vt:variant>
        <vt:i4>8323113</vt:i4>
      </vt:variant>
      <vt:variant>
        <vt:i4>60</vt:i4>
      </vt:variant>
      <vt:variant>
        <vt:i4>0</vt:i4>
      </vt:variant>
      <vt:variant>
        <vt:i4>5</vt:i4>
      </vt:variant>
      <vt:variant>
        <vt:lpwstr>https://www.dgs.ca.gov/PD/Resources/SCM</vt:lpwstr>
      </vt:variant>
      <vt:variant>
        <vt:lpwstr/>
      </vt:variant>
      <vt:variant>
        <vt:i4>851970</vt:i4>
      </vt:variant>
      <vt:variant>
        <vt:i4>57</vt:i4>
      </vt:variant>
      <vt:variant>
        <vt:i4>0</vt:i4>
      </vt:variant>
      <vt:variant>
        <vt:i4>5</vt:i4>
      </vt:variant>
      <vt:variant>
        <vt:lpwstr>https://www.energy.ca.gov/solicitations/2026-05/rfq-25-401-energy-code-compliance-evaluation-support</vt:lpwstr>
      </vt:variant>
      <vt:variant>
        <vt:lpwstr/>
      </vt:variant>
      <vt:variant>
        <vt:i4>851970</vt:i4>
      </vt:variant>
      <vt:variant>
        <vt:i4>54</vt:i4>
      </vt:variant>
      <vt:variant>
        <vt:i4>0</vt:i4>
      </vt:variant>
      <vt:variant>
        <vt:i4>5</vt:i4>
      </vt:variant>
      <vt:variant>
        <vt:lpwstr>https://www.energy.ca.gov/solicitations/2026-05/rfq-25-401-energy-code-compliance-evaluation-support</vt:lpwstr>
      </vt:variant>
      <vt:variant>
        <vt:lpwstr/>
      </vt:variant>
      <vt:variant>
        <vt:i4>851970</vt:i4>
      </vt:variant>
      <vt:variant>
        <vt:i4>51</vt:i4>
      </vt:variant>
      <vt:variant>
        <vt:i4>0</vt:i4>
      </vt:variant>
      <vt:variant>
        <vt:i4>5</vt:i4>
      </vt:variant>
      <vt:variant>
        <vt:lpwstr>https://www.energy.ca.gov/solicitations/2026-05/rfq-25-401-energy-code-compliance-evaluation-support</vt:lpwstr>
      </vt:variant>
      <vt:variant>
        <vt:lpwstr/>
      </vt:variant>
      <vt:variant>
        <vt:i4>851970</vt:i4>
      </vt:variant>
      <vt:variant>
        <vt:i4>48</vt:i4>
      </vt:variant>
      <vt:variant>
        <vt:i4>0</vt:i4>
      </vt:variant>
      <vt:variant>
        <vt:i4>5</vt:i4>
      </vt:variant>
      <vt:variant>
        <vt:lpwstr>https://www.energy.ca.gov/solicitations/2026-05/rfq-25-401-energy-code-compliance-evaluation-support</vt:lpwstr>
      </vt:variant>
      <vt:variant>
        <vt:lpwstr/>
      </vt:variant>
      <vt:variant>
        <vt:i4>851970</vt:i4>
      </vt:variant>
      <vt:variant>
        <vt:i4>45</vt:i4>
      </vt:variant>
      <vt:variant>
        <vt:i4>0</vt:i4>
      </vt:variant>
      <vt:variant>
        <vt:i4>5</vt:i4>
      </vt:variant>
      <vt:variant>
        <vt:lpwstr>https://www.energy.ca.gov/solicitations/2026-05/rfq-25-401-energy-code-compliance-evaluation-support</vt:lpwstr>
      </vt:variant>
      <vt:variant>
        <vt:lpwstr/>
      </vt:variant>
      <vt:variant>
        <vt:i4>8061055</vt:i4>
      </vt:variant>
      <vt:variant>
        <vt:i4>42</vt:i4>
      </vt:variant>
      <vt:variant>
        <vt:i4>0</vt:i4>
      </vt:variant>
      <vt:variant>
        <vt:i4>5</vt:i4>
      </vt:variant>
      <vt:variant>
        <vt:lpwstr>https://www.ecfr.gov/current/title-2/subtitle-A/chapter-II/part-200/subpart-D/subject-group-ECFR031321e29ac5bbd/section-200.331</vt:lpwstr>
      </vt:variant>
      <vt:variant>
        <vt:lpwstr/>
      </vt:variant>
      <vt:variant>
        <vt:i4>851970</vt:i4>
      </vt:variant>
      <vt:variant>
        <vt:i4>39</vt:i4>
      </vt:variant>
      <vt:variant>
        <vt:i4>0</vt:i4>
      </vt:variant>
      <vt:variant>
        <vt:i4>5</vt:i4>
      </vt:variant>
      <vt:variant>
        <vt:lpwstr>https://www.energy.ca.gov/solicitations/2026-05/rfq-25-401-energy-code-compliance-evaluation-support</vt:lpwstr>
      </vt:variant>
      <vt:variant>
        <vt:lpwstr/>
      </vt:variant>
      <vt:variant>
        <vt:i4>851970</vt:i4>
      </vt:variant>
      <vt:variant>
        <vt:i4>36</vt:i4>
      </vt:variant>
      <vt:variant>
        <vt:i4>0</vt:i4>
      </vt:variant>
      <vt:variant>
        <vt:i4>5</vt:i4>
      </vt:variant>
      <vt:variant>
        <vt:lpwstr>https://www.energy.ca.gov/solicitations/2026-05/rfq-25-401-energy-code-compliance-evaluation-support</vt:lpwstr>
      </vt:variant>
      <vt:variant>
        <vt:lpwstr/>
      </vt:variant>
      <vt:variant>
        <vt:i4>6684707</vt:i4>
      </vt:variant>
      <vt:variant>
        <vt:i4>33</vt:i4>
      </vt:variant>
      <vt:variant>
        <vt:i4>0</vt:i4>
      </vt:variant>
      <vt:variant>
        <vt:i4>5</vt:i4>
      </vt:variant>
      <vt:variant>
        <vt:lpwstr>https://www.energy.ca.gov/event/2026-05/pre-bid-conference-rfq-25-401-energy-code-compliance-evaluation-support</vt:lpwstr>
      </vt:variant>
      <vt:variant>
        <vt:lpwstr/>
      </vt:variant>
      <vt:variant>
        <vt:i4>4194418</vt:i4>
      </vt:variant>
      <vt:variant>
        <vt:i4>30</vt:i4>
      </vt:variant>
      <vt:variant>
        <vt:i4>0</vt:i4>
      </vt:variant>
      <vt:variant>
        <vt:i4>5</vt:i4>
      </vt:variant>
      <vt:variant>
        <vt:lpwstr>mailto:diana.grady@energy.ca.gov</vt:lpwstr>
      </vt:variant>
      <vt:variant>
        <vt:lpwstr/>
      </vt:variant>
      <vt:variant>
        <vt:i4>851970</vt:i4>
      </vt:variant>
      <vt:variant>
        <vt:i4>27</vt:i4>
      </vt:variant>
      <vt:variant>
        <vt:i4>0</vt:i4>
      </vt:variant>
      <vt:variant>
        <vt:i4>5</vt:i4>
      </vt:variant>
      <vt:variant>
        <vt:lpwstr>https://www.energy.ca.gov/solicitations/2026-05/rfq-25-401-energy-code-compliance-evaluation-support</vt:lpwstr>
      </vt:variant>
      <vt:variant>
        <vt:lpwstr/>
      </vt:variant>
      <vt:variant>
        <vt:i4>4194418</vt:i4>
      </vt:variant>
      <vt:variant>
        <vt:i4>24</vt:i4>
      </vt:variant>
      <vt:variant>
        <vt:i4>0</vt:i4>
      </vt:variant>
      <vt:variant>
        <vt:i4>5</vt:i4>
      </vt:variant>
      <vt:variant>
        <vt:lpwstr>mailto:diana.grady@energy.ca.gov</vt:lpwstr>
      </vt:variant>
      <vt:variant>
        <vt:lpwstr/>
      </vt:variant>
      <vt:variant>
        <vt:i4>851970</vt:i4>
      </vt:variant>
      <vt:variant>
        <vt:i4>21</vt:i4>
      </vt:variant>
      <vt:variant>
        <vt:i4>0</vt:i4>
      </vt:variant>
      <vt:variant>
        <vt:i4>5</vt:i4>
      </vt:variant>
      <vt:variant>
        <vt:lpwstr>https://www.energy.ca.gov/solicitations/2026-05/rfq-25-401-energy-code-compliance-evaluation-support</vt:lpwstr>
      </vt:variant>
      <vt:variant>
        <vt:lpwstr/>
      </vt:variant>
      <vt:variant>
        <vt:i4>4194418</vt:i4>
      </vt:variant>
      <vt:variant>
        <vt:i4>18</vt:i4>
      </vt:variant>
      <vt:variant>
        <vt:i4>0</vt:i4>
      </vt:variant>
      <vt:variant>
        <vt:i4>5</vt:i4>
      </vt:variant>
      <vt:variant>
        <vt:lpwstr>mailto:diana.grady@energy.ca.gov</vt:lpwstr>
      </vt:variant>
      <vt:variant>
        <vt:lpwstr/>
      </vt:variant>
      <vt:variant>
        <vt:i4>851970</vt:i4>
      </vt:variant>
      <vt:variant>
        <vt:i4>15</vt:i4>
      </vt:variant>
      <vt:variant>
        <vt:i4>0</vt:i4>
      </vt:variant>
      <vt:variant>
        <vt:i4>5</vt:i4>
      </vt:variant>
      <vt:variant>
        <vt:lpwstr>https://www.energy.ca.gov/solicitations/2026-05/rfq-25-401-energy-code-compliance-evaluation-support</vt:lpwstr>
      </vt:variant>
      <vt:variant>
        <vt:lpwstr/>
      </vt:variant>
      <vt:variant>
        <vt:i4>851970</vt:i4>
      </vt:variant>
      <vt:variant>
        <vt:i4>12</vt:i4>
      </vt:variant>
      <vt:variant>
        <vt:i4>0</vt:i4>
      </vt:variant>
      <vt:variant>
        <vt:i4>5</vt:i4>
      </vt:variant>
      <vt:variant>
        <vt:lpwstr>https://www.energy.ca.gov/solicitations/2026-05/rfq-25-401-energy-code-compliance-evaluation-support</vt:lpwstr>
      </vt:variant>
      <vt:variant>
        <vt:lpwstr/>
      </vt:variant>
      <vt:variant>
        <vt:i4>4194418</vt:i4>
      </vt:variant>
      <vt:variant>
        <vt:i4>9</vt:i4>
      </vt:variant>
      <vt:variant>
        <vt:i4>0</vt:i4>
      </vt:variant>
      <vt:variant>
        <vt:i4>5</vt:i4>
      </vt:variant>
      <vt:variant>
        <vt:lpwstr>mailto:diana.grady@energy.ca.gov</vt:lpwstr>
      </vt:variant>
      <vt:variant>
        <vt:lpwstr/>
      </vt:variant>
      <vt:variant>
        <vt:i4>6684707</vt:i4>
      </vt:variant>
      <vt:variant>
        <vt:i4>6</vt:i4>
      </vt:variant>
      <vt:variant>
        <vt:i4>0</vt:i4>
      </vt:variant>
      <vt:variant>
        <vt:i4>5</vt:i4>
      </vt:variant>
      <vt:variant>
        <vt:lpwstr>https://www.energy.ca.gov/event/2026-05/pre-bid-conference-rfq-25-401-energy-code-compliance-evaluation-support</vt:lpwstr>
      </vt:variant>
      <vt:variant>
        <vt:lpwstr/>
      </vt:variant>
      <vt:variant>
        <vt:i4>6684707</vt:i4>
      </vt:variant>
      <vt:variant>
        <vt:i4>3</vt:i4>
      </vt:variant>
      <vt:variant>
        <vt:i4>0</vt:i4>
      </vt:variant>
      <vt:variant>
        <vt:i4>5</vt:i4>
      </vt:variant>
      <vt:variant>
        <vt:lpwstr>https://www.energy.ca.gov/event/2026-05/pre-bid-conference-rfq-25-401-energy-code-compliance-evaluation-support</vt:lpwstr>
      </vt:variant>
      <vt:variant>
        <vt:lpwstr/>
      </vt:variant>
      <vt:variant>
        <vt:i4>851970</vt:i4>
      </vt:variant>
      <vt:variant>
        <vt:i4>0</vt:i4>
      </vt:variant>
      <vt:variant>
        <vt:i4>0</vt:i4>
      </vt:variant>
      <vt:variant>
        <vt:i4>5</vt:i4>
      </vt:variant>
      <vt:variant>
        <vt:lpwstr>https://www.energy.ca.gov/solicitations/2026-05/rfq-25-401-energy-code-compliance-evaluation-support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RFQ-25-401_Questions_and_Answers_ada</dc:title>
  <dc:subject/>
  <dc:creator>CEC@public.govdelivery.com</dc:creator>
  <cp:keywords>RFQ-25-401</cp:keywords>
  <dc:description/>
  <cp:lastModifiedBy>Grady, Diana@Energy</cp:lastModifiedBy>
  <cp:revision>727</cp:revision>
  <cp:lastPrinted>2019-04-08T16:38:00Z</cp:lastPrinted>
  <dcterms:created xsi:type="dcterms:W3CDTF">2026-05-19T16:23:00Z</dcterms:created>
  <dcterms:modified xsi:type="dcterms:W3CDTF">2026-06-15T17:25:00Z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GrammarlyDocumentId">
    <vt:lpwstr>a3c3490fe0b700743fd941deb0d0301b64d976e5f17c825269bb95c119a40fc0</vt:lpwstr>
  </property>
  <property fmtid="{D5CDD505-2E9C-101B-9397-08002B2CF9AE}" pid="5" name="docLang">
    <vt:lpwstr>en</vt:lpwstr>
  </property>
</Properties>
</file>