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6F852" w14:textId="77777777" w:rsidR="00665B8E" w:rsidRPr="00F11253" w:rsidRDefault="00665B8E" w:rsidP="00A80BFB">
      <w:pPr>
        <w:pStyle w:val="CoverPage-OpportunityType"/>
      </w:pPr>
      <w:r w:rsidRPr="00F11253">
        <w:t>GRANT FUNDING OPPORTUNITY</w:t>
      </w:r>
    </w:p>
    <w:p w14:paraId="2A7150FC" w14:textId="77777777" w:rsidR="00665B8E" w:rsidRPr="005A2DF5" w:rsidRDefault="00665B8E" w:rsidP="00A80BFB">
      <w:pPr>
        <w:keepLines/>
        <w:widowControl w:val="0"/>
        <w:ind w:right="-216"/>
        <w:jc w:val="center"/>
        <w:rPr>
          <w:b/>
          <w:color w:val="C00000"/>
          <w:szCs w:val="22"/>
          <w:u w:val="single"/>
        </w:rPr>
      </w:pPr>
    </w:p>
    <w:p w14:paraId="2D488A5A" w14:textId="77777777" w:rsidR="003A08FB" w:rsidRPr="003A08FB" w:rsidRDefault="003A08FB" w:rsidP="00A80BFB">
      <w:pPr>
        <w:keepLines/>
        <w:widowControl w:val="0"/>
        <w:jc w:val="center"/>
        <w:rPr>
          <w:b/>
          <w:sz w:val="36"/>
        </w:rPr>
      </w:pPr>
      <w:bookmarkStart w:id="0" w:name="_[INSERT_TITLE_HERE]"/>
      <w:bookmarkEnd w:id="0"/>
      <w:r w:rsidRPr="003A08FB">
        <w:rPr>
          <w:b/>
          <w:sz w:val="36"/>
          <w:szCs w:val="36"/>
        </w:rPr>
        <w:t>Innovations in open data and modeling for a climate- and wildfire-resilient electricity system</w:t>
      </w:r>
    </w:p>
    <w:p w14:paraId="28451E20" w14:textId="77777777" w:rsidR="00665B8E" w:rsidRDefault="00665B8E" w:rsidP="00A80BFB">
      <w:pPr>
        <w:keepLines/>
        <w:widowControl w:val="0"/>
        <w:jc w:val="center"/>
        <w:rPr>
          <w:b/>
          <w:sz w:val="36"/>
        </w:rPr>
      </w:pPr>
    </w:p>
    <w:p w14:paraId="7EA17788" w14:textId="23BF7746" w:rsidR="00665B8E" w:rsidRDefault="00665B8E" w:rsidP="00A80BFB">
      <w:pPr>
        <w:pStyle w:val="CoverPage-ProgramType"/>
        <w:jc w:val="center"/>
      </w:pPr>
      <w:r>
        <w:t>EPIC Program</w:t>
      </w:r>
    </w:p>
    <w:p w14:paraId="1373884E" w14:textId="77777777" w:rsidR="00665B8E" w:rsidRPr="00AF32D6" w:rsidRDefault="00665B8E" w:rsidP="00B97CF4">
      <w:pPr>
        <w:keepLines/>
        <w:widowControl w:val="0"/>
        <w:jc w:val="left"/>
        <w:rPr>
          <w:rFonts w:ascii="Times New Roman" w:hAnsi="Times New Roman"/>
          <w:szCs w:val="24"/>
        </w:rPr>
      </w:pPr>
    </w:p>
    <w:p w14:paraId="5240E164" w14:textId="77777777" w:rsidR="00665B8E" w:rsidRPr="00EF7BA7" w:rsidRDefault="00665B8E" w:rsidP="00A80BFB">
      <w:pPr>
        <w:pStyle w:val="NormalWeb"/>
        <w:jc w:val="center"/>
        <w:rPr>
          <w:rFonts w:ascii="Times New Roman" w:hAnsi="Times New Roman"/>
          <w:szCs w:val="24"/>
        </w:rPr>
      </w:pPr>
      <w:r w:rsidRPr="00EF7BA7">
        <w:rPr>
          <w:rFonts w:ascii="Times New Roman" w:hAnsi="Times New Roman"/>
          <w:noProof/>
          <w:szCs w:val="24"/>
        </w:rPr>
        <w:drawing>
          <wp:inline distT="0" distB="0" distL="0" distR="0" wp14:anchorId="05EA47CB" wp14:editId="07D0F311">
            <wp:extent cx="2438400" cy="2438400"/>
            <wp:effectExtent l="0" t="0" r="0" b="0"/>
            <wp:docPr id="3" name="Picture 2" descr="A graphic of the California Energy Commiss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aphic of the California Energy Commission's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p w14:paraId="1E1396FE" w14:textId="77777777" w:rsidR="00665B8E" w:rsidRDefault="00665B8E" w:rsidP="00A80BFB">
      <w:pPr>
        <w:keepLines/>
        <w:widowControl w:val="0"/>
        <w:jc w:val="center"/>
        <w:rPr>
          <w:szCs w:val="22"/>
        </w:rPr>
      </w:pPr>
    </w:p>
    <w:p w14:paraId="2EA13097" w14:textId="77777777" w:rsidR="00A442D7" w:rsidRDefault="00A442D7" w:rsidP="00A80BFB">
      <w:pPr>
        <w:keepLines/>
        <w:widowControl w:val="0"/>
        <w:jc w:val="center"/>
        <w:rPr>
          <w:szCs w:val="22"/>
        </w:rPr>
      </w:pPr>
    </w:p>
    <w:p w14:paraId="56977E67" w14:textId="77777777" w:rsidR="00AF32D6" w:rsidRPr="005A2DF5" w:rsidRDefault="00AF32D6" w:rsidP="00A80BFB">
      <w:pPr>
        <w:keepLines/>
        <w:widowControl w:val="0"/>
        <w:jc w:val="center"/>
        <w:rPr>
          <w:szCs w:val="22"/>
        </w:rPr>
      </w:pPr>
    </w:p>
    <w:p w14:paraId="709443B2" w14:textId="17839276" w:rsidR="00665B8E" w:rsidRPr="00500B40" w:rsidRDefault="00665B8E" w:rsidP="00A80BFB">
      <w:pPr>
        <w:pStyle w:val="CoverPage-GFONo"/>
      </w:pPr>
      <w:r w:rsidRPr="005A2DF5">
        <w:t>GFO</w:t>
      </w:r>
      <w:r w:rsidRPr="00500B40">
        <w:t>-</w:t>
      </w:r>
      <w:r w:rsidR="001D130E" w:rsidRPr="00500B40">
        <w:t>26-501</w:t>
      </w:r>
    </w:p>
    <w:p w14:paraId="02F5F110" w14:textId="77777777" w:rsidR="00665B8E" w:rsidRDefault="00665B8E" w:rsidP="00A80BFB">
      <w:pPr>
        <w:jc w:val="center"/>
        <w:rPr>
          <w:u w:val="single"/>
        </w:rPr>
      </w:pPr>
      <w:hyperlink r:id="rId12" w:history="1">
        <w:r w:rsidRPr="00CB3347">
          <w:rPr>
            <w:rStyle w:val="Hyperlink"/>
            <w:rFonts w:cs="Arial"/>
            <w:szCs w:val="22"/>
          </w:rPr>
          <w:t>Solicitation postings</w:t>
        </w:r>
      </w:hyperlink>
      <w:r>
        <w:t xml:space="preserve"> are available at </w:t>
      </w:r>
      <w:r w:rsidRPr="00AA1680">
        <w:t>https://www.energy.ca.gov/funding-opportunities/solicitations</w:t>
      </w:r>
    </w:p>
    <w:p w14:paraId="302DADC8" w14:textId="77777777" w:rsidR="00665B8E" w:rsidRPr="005A2DF5" w:rsidRDefault="00665B8E" w:rsidP="00A80BFB">
      <w:pPr>
        <w:keepLines/>
        <w:widowControl w:val="0"/>
        <w:jc w:val="center"/>
        <w:rPr>
          <w:b/>
          <w:szCs w:val="22"/>
        </w:rPr>
      </w:pPr>
      <w:r w:rsidRPr="005A2DF5">
        <w:rPr>
          <w:b/>
          <w:szCs w:val="22"/>
        </w:rPr>
        <w:t>State of California</w:t>
      </w:r>
    </w:p>
    <w:p w14:paraId="6370A99F" w14:textId="77777777" w:rsidR="00665B8E" w:rsidRPr="005A2DF5" w:rsidRDefault="00665B8E" w:rsidP="00A80BFB">
      <w:pPr>
        <w:keepLines/>
        <w:widowControl w:val="0"/>
        <w:jc w:val="center"/>
        <w:rPr>
          <w:b/>
          <w:szCs w:val="22"/>
        </w:rPr>
      </w:pPr>
      <w:r w:rsidRPr="005A2DF5">
        <w:rPr>
          <w:b/>
          <w:szCs w:val="22"/>
        </w:rPr>
        <w:t>California Energy Commission</w:t>
      </w:r>
    </w:p>
    <w:p w14:paraId="7428330B" w14:textId="72742DB4" w:rsidR="00665B8E" w:rsidRPr="00D90D78" w:rsidRDefault="003A08FB" w:rsidP="00A80BFB">
      <w:pPr>
        <w:keepLines/>
        <w:widowControl w:val="0"/>
        <w:tabs>
          <w:tab w:val="left" w:pos="1440"/>
        </w:tabs>
        <w:jc w:val="center"/>
      </w:pPr>
      <w:r w:rsidRPr="00D90D78">
        <w:t>August 2026</w:t>
      </w:r>
    </w:p>
    <w:p w14:paraId="453B179E" w14:textId="77777777" w:rsidR="00665B8E" w:rsidRPr="003A08FB" w:rsidRDefault="00665B8E" w:rsidP="00A80BFB">
      <w:pPr>
        <w:keepLines/>
        <w:widowControl w:val="0"/>
        <w:tabs>
          <w:tab w:val="left" w:pos="1440"/>
        </w:tabs>
        <w:jc w:val="center"/>
        <w:rPr>
          <w:strike/>
          <w:color w:val="0070C0"/>
        </w:rPr>
      </w:pPr>
    </w:p>
    <w:p w14:paraId="0A827048" w14:textId="77777777" w:rsidR="00665B8E" w:rsidRPr="005A2DF5" w:rsidRDefault="00665B8E" w:rsidP="00A80BFB">
      <w:pPr>
        <w:keepLines/>
        <w:widowControl w:val="0"/>
        <w:tabs>
          <w:tab w:val="left" w:pos="1440"/>
        </w:tabs>
        <w:jc w:val="center"/>
        <w:rPr>
          <w:color w:val="0070C0"/>
          <w:szCs w:val="22"/>
        </w:rPr>
        <w:sectPr w:rsidR="00665B8E" w:rsidRPr="005A2DF5" w:rsidSect="00665B8E">
          <w:headerReference w:type="default" r:id="rId13"/>
          <w:footerReference w:type="first" r:id="rId14"/>
          <w:type w:val="continuous"/>
          <w:pgSz w:w="12240" w:h="15840" w:code="1"/>
          <w:pgMar w:top="1440" w:right="1440" w:bottom="1440" w:left="1440" w:header="1008" w:footer="432" w:gutter="0"/>
          <w:pgNumType w:fmt="lowerRoman" w:start="1"/>
          <w:cols w:space="720"/>
        </w:sectPr>
      </w:pPr>
    </w:p>
    <w:p w14:paraId="75DFE338" w14:textId="759CD78F" w:rsidR="00DE2922" w:rsidRDefault="00665B8E" w:rsidP="00E266DE">
      <w:pPr>
        <w:pStyle w:val="Title"/>
        <w:jc w:val="center"/>
      </w:pPr>
      <w:r w:rsidRPr="00C31C1D">
        <w:lastRenderedPageBreak/>
        <w:t>Table of Contents</w:t>
      </w:r>
    </w:p>
    <w:p w14:paraId="2DDFF312" w14:textId="1A8DD90E" w:rsidR="0078061F" w:rsidRDefault="0078061F" w:rsidP="00B97CF4">
      <w:pPr>
        <w:pStyle w:val="TOC1"/>
        <w:jc w:val="left"/>
        <w:rPr>
          <w:rFonts w:asciiTheme="minorHAnsi" w:eastAsiaTheme="minorEastAsia" w:hAnsiTheme="minorHAnsi" w:cstheme="minorBidi"/>
          <w:b w:val="0"/>
          <w:bCs w:val="0"/>
          <w:caps w:val="0"/>
          <w:kern w:val="2"/>
          <w:szCs w:val="24"/>
          <w14:ligatures w14:val="standardContextual"/>
        </w:rPr>
      </w:pPr>
      <w:r>
        <w:rPr>
          <w:b w:val="0"/>
          <w:bCs w:val="0"/>
          <w:caps w:val="0"/>
          <w:color w:val="2B579A"/>
          <w:szCs w:val="24"/>
          <w:shd w:val="clear" w:color="auto" w:fill="E6E6E6"/>
        </w:rPr>
        <w:fldChar w:fldCharType="begin"/>
      </w:r>
      <w:r>
        <w:rPr>
          <w:b w:val="0"/>
          <w:bCs w:val="0"/>
          <w:caps w:val="0"/>
          <w:color w:val="2B579A"/>
          <w:szCs w:val="24"/>
          <w:shd w:val="clear" w:color="auto" w:fill="E6E6E6"/>
        </w:rPr>
        <w:instrText xml:space="preserve"> TOC \t "Heading 2,1,Heading 3,2,Style Heading 2Heading 2 Char1Heading 2 Char Char + After:  3 pt,2,Style Heading 2Heading 2 Char1Heading 2 Char Char + After:  3 pt1,2" </w:instrText>
      </w:r>
      <w:r>
        <w:rPr>
          <w:b w:val="0"/>
          <w:bCs w:val="0"/>
          <w:caps w:val="0"/>
          <w:color w:val="2B579A"/>
          <w:szCs w:val="24"/>
          <w:shd w:val="clear" w:color="auto" w:fill="E6E6E6"/>
        </w:rPr>
        <w:fldChar w:fldCharType="separate"/>
      </w:r>
      <w:r>
        <w:t>I.</w:t>
      </w:r>
      <w:r>
        <w:rPr>
          <w:rFonts w:asciiTheme="minorHAnsi" w:eastAsiaTheme="minorEastAsia" w:hAnsiTheme="minorHAnsi" w:cstheme="minorBidi"/>
          <w:b w:val="0"/>
          <w:bCs w:val="0"/>
          <w:caps w:val="0"/>
          <w:kern w:val="2"/>
          <w:szCs w:val="24"/>
          <w14:ligatures w14:val="standardContextual"/>
        </w:rPr>
        <w:tab/>
      </w:r>
      <w:r>
        <w:t>Introduction</w:t>
      </w:r>
      <w:r>
        <w:tab/>
      </w:r>
      <w:r>
        <w:fldChar w:fldCharType="begin"/>
      </w:r>
      <w:r>
        <w:instrText xml:space="preserve"> PAGEREF _Toc233727878 \h </w:instrText>
      </w:r>
      <w:r>
        <w:fldChar w:fldCharType="separate"/>
      </w:r>
      <w:r w:rsidR="00B26560">
        <w:t>1</w:t>
      </w:r>
      <w:r>
        <w:fldChar w:fldCharType="end"/>
      </w:r>
    </w:p>
    <w:p w14:paraId="037CB4A9" w14:textId="1B5C031E" w:rsidR="0078061F" w:rsidRDefault="0078061F" w:rsidP="00B97CF4">
      <w:pPr>
        <w:pStyle w:val="TOC2"/>
        <w:jc w:val="left"/>
        <w:rPr>
          <w:rFonts w:asciiTheme="minorHAnsi" w:eastAsiaTheme="minorEastAsia" w:hAnsiTheme="minorHAnsi" w:cstheme="minorBidi"/>
          <w:smallCaps w:val="0"/>
          <w:kern w:val="2"/>
          <w:szCs w:val="24"/>
          <w14:ligatures w14:val="standardContextual"/>
        </w:rPr>
      </w:pPr>
      <w:r>
        <w:t>A.</w:t>
      </w:r>
      <w:r>
        <w:rPr>
          <w:rFonts w:asciiTheme="minorHAnsi" w:eastAsiaTheme="minorEastAsia" w:hAnsiTheme="minorHAnsi" w:cstheme="minorBidi"/>
          <w:smallCaps w:val="0"/>
          <w:kern w:val="2"/>
          <w:szCs w:val="24"/>
          <w14:ligatures w14:val="standardContextual"/>
        </w:rPr>
        <w:tab/>
      </w:r>
      <w:r>
        <w:t>Purpose of Solicitation</w:t>
      </w:r>
      <w:r>
        <w:tab/>
      </w:r>
      <w:r>
        <w:fldChar w:fldCharType="begin"/>
      </w:r>
      <w:r>
        <w:instrText xml:space="preserve"> PAGEREF _Toc233727879 \h </w:instrText>
      </w:r>
      <w:r>
        <w:fldChar w:fldCharType="separate"/>
      </w:r>
      <w:r w:rsidR="00B26560">
        <w:t>1</w:t>
      </w:r>
      <w:r>
        <w:fldChar w:fldCharType="end"/>
      </w:r>
    </w:p>
    <w:p w14:paraId="622B76EF" w14:textId="24C89336" w:rsidR="0078061F" w:rsidRDefault="0078061F" w:rsidP="00B97CF4">
      <w:pPr>
        <w:pStyle w:val="TOC2"/>
        <w:jc w:val="left"/>
        <w:rPr>
          <w:rFonts w:asciiTheme="minorHAnsi" w:eastAsiaTheme="minorEastAsia" w:hAnsiTheme="minorHAnsi" w:cstheme="minorBidi"/>
          <w:smallCaps w:val="0"/>
          <w:kern w:val="2"/>
          <w:szCs w:val="24"/>
          <w14:ligatures w14:val="standardContextual"/>
        </w:rPr>
      </w:pPr>
      <w:r>
        <w:t>B.</w:t>
      </w:r>
      <w:r>
        <w:rPr>
          <w:rFonts w:asciiTheme="minorHAnsi" w:eastAsiaTheme="minorEastAsia" w:hAnsiTheme="minorHAnsi" w:cstheme="minorBidi"/>
          <w:smallCaps w:val="0"/>
          <w:kern w:val="2"/>
          <w:szCs w:val="24"/>
          <w14:ligatures w14:val="standardContextual"/>
        </w:rPr>
        <w:tab/>
      </w:r>
      <w:r>
        <w:t>Key Words/Terms</w:t>
      </w:r>
      <w:r>
        <w:tab/>
      </w:r>
      <w:r>
        <w:fldChar w:fldCharType="begin"/>
      </w:r>
      <w:r>
        <w:instrText xml:space="preserve"> PAGEREF _Toc233727880 \h </w:instrText>
      </w:r>
      <w:r>
        <w:fldChar w:fldCharType="separate"/>
      </w:r>
      <w:r w:rsidR="00B26560">
        <w:t>4</w:t>
      </w:r>
      <w:r>
        <w:fldChar w:fldCharType="end"/>
      </w:r>
    </w:p>
    <w:p w14:paraId="387E89DD" w14:textId="2EED0469" w:rsidR="0078061F" w:rsidRDefault="0078061F" w:rsidP="00B97CF4">
      <w:pPr>
        <w:pStyle w:val="TOC2"/>
        <w:jc w:val="left"/>
        <w:rPr>
          <w:rFonts w:asciiTheme="minorHAnsi" w:eastAsiaTheme="minorEastAsia" w:hAnsiTheme="minorHAnsi" w:cstheme="minorBidi"/>
          <w:smallCaps w:val="0"/>
          <w:kern w:val="2"/>
          <w:szCs w:val="24"/>
          <w14:ligatures w14:val="standardContextual"/>
        </w:rPr>
      </w:pPr>
      <w:r>
        <w:t>C.</w:t>
      </w:r>
      <w:r>
        <w:rPr>
          <w:rFonts w:asciiTheme="minorHAnsi" w:eastAsiaTheme="minorEastAsia" w:hAnsiTheme="minorHAnsi" w:cstheme="minorBidi"/>
          <w:smallCaps w:val="0"/>
          <w:kern w:val="2"/>
          <w:szCs w:val="24"/>
          <w14:ligatures w14:val="standardContextual"/>
        </w:rPr>
        <w:tab/>
      </w:r>
      <w:r>
        <w:t>Project Focus</w:t>
      </w:r>
      <w:r>
        <w:tab/>
      </w:r>
      <w:r>
        <w:fldChar w:fldCharType="begin"/>
      </w:r>
      <w:r>
        <w:instrText xml:space="preserve"> PAGEREF _Toc233727881 \h </w:instrText>
      </w:r>
      <w:r>
        <w:fldChar w:fldCharType="separate"/>
      </w:r>
      <w:r w:rsidR="00B26560">
        <w:t>7</w:t>
      </w:r>
      <w:r>
        <w:fldChar w:fldCharType="end"/>
      </w:r>
    </w:p>
    <w:p w14:paraId="697BB15C" w14:textId="0385314D" w:rsidR="0078061F" w:rsidRDefault="0078061F" w:rsidP="00B97CF4">
      <w:pPr>
        <w:pStyle w:val="TOC2"/>
        <w:jc w:val="left"/>
        <w:rPr>
          <w:rFonts w:asciiTheme="minorHAnsi" w:eastAsiaTheme="minorEastAsia" w:hAnsiTheme="minorHAnsi" w:cstheme="minorBidi"/>
          <w:smallCaps w:val="0"/>
          <w:kern w:val="2"/>
          <w:szCs w:val="24"/>
          <w14:ligatures w14:val="standardContextual"/>
        </w:rPr>
      </w:pPr>
      <w:r>
        <w:t>D.</w:t>
      </w:r>
      <w:r>
        <w:rPr>
          <w:rFonts w:asciiTheme="minorHAnsi" w:eastAsiaTheme="minorEastAsia" w:hAnsiTheme="minorHAnsi" w:cstheme="minorBidi"/>
          <w:smallCaps w:val="0"/>
          <w:kern w:val="2"/>
          <w:szCs w:val="24"/>
          <w14:ligatures w14:val="standardContextual"/>
        </w:rPr>
        <w:tab/>
      </w:r>
      <w:r>
        <w:t>Funding</w:t>
      </w:r>
      <w:r>
        <w:tab/>
      </w:r>
      <w:r>
        <w:fldChar w:fldCharType="begin"/>
      </w:r>
      <w:r>
        <w:instrText xml:space="preserve"> PAGEREF _Toc233727882 \h </w:instrText>
      </w:r>
      <w:r>
        <w:fldChar w:fldCharType="separate"/>
      </w:r>
      <w:r w:rsidR="00B26560">
        <w:t>7</w:t>
      </w:r>
      <w:r>
        <w:fldChar w:fldCharType="end"/>
      </w:r>
    </w:p>
    <w:p w14:paraId="494FFA9A" w14:textId="314AEB84" w:rsidR="0078061F" w:rsidRDefault="0078061F" w:rsidP="00B97CF4">
      <w:pPr>
        <w:pStyle w:val="TOC2"/>
        <w:jc w:val="left"/>
        <w:rPr>
          <w:rFonts w:asciiTheme="minorHAnsi" w:eastAsiaTheme="minorEastAsia" w:hAnsiTheme="minorHAnsi" w:cstheme="minorBidi"/>
          <w:smallCaps w:val="0"/>
          <w:kern w:val="2"/>
          <w:szCs w:val="24"/>
          <w14:ligatures w14:val="standardContextual"/>
        </w:rPr>
      </w:pPr>
      <w:r>
        <w:t>E.</w:t>
      </w:r>
      <w:r>
        <w:rPr>
          <w:rFonts w:asciiTheme="minorHAnsi" w:eastAsiaTheme="minorEastAsia" w:hAnsiTheme="minorHAnsi" w:cstheme="minorBidi"/>
          <w:smallCaps w:val="0"/>
          <w:kern w:val="2"/>
          <w:szCs w:val="24"/>
          <w14:ligatures w14:val="standardContextual"/>
        </w:rPr>
        <w:tab/>
      </w:r>
      <w:r>
        <w:t>Key Activities Schedule</w:t>
      </w:r>
      <w:r>
        <w:tab/>
      </w:r>
      <w:r>
        <w:fldChar w:fldCharType="begin"/>
      </w:r>
      <w:r>
        <w:instrText xml:space="preserve"> PAGEREF _Toc233727883 \h </w:instrText>
      </w:r>
      <w:r>
        <w:fldChar w:fldCharType="separate"/>
      </w:r>
      <w:r w:rsidR="00B26560">
        <w:t>13</w:t>
      </w:r>
      <w:r>
        <w:fldChar w:fldCharType="end"/>
      </w:r>
    </w:p>
    <w:p w14:paraId="1C4DBA2B" w14:textId="22354BD9" w:rsidR="0078061F" w:rsidRDefault="0078061F" w:rsidP="00B97CF4">
      <w:pPr>
        <w:pStyle w:val="TOC2"/>
        <w:jc w:val="left"/>
        <w:rPr>
          <w:rFonts w:asciiTheme="minorHAnsi" w:eastAsiaTheme="minorEastAsia" w:hAnsiTheme="minorHAnsi" w:cstheme="minorBidi"/>
          <w:smallCaps w:val="0"/>
          <w:kern w:val="2"/>
          <w:szCs w:val="24"/>
          <w14:ligatures w14:val="standardContextual"/>
        </w:rPr>
      </w:pPr>
      <w:r>
        <w:t>F.</w:t>
      </w:r>
      <w:r>
        <w:rPr>
          <w:rFonts w:asciiTheme="minorHAnsi" w:eastAsiaTheme="minorEastAsia" w:hAnsiTheme="minorHAnsi" w:cstheme="minorBidi"/>
          <w:smallCaps w:val="0"/>
          <w:kern w:val="2"/>
          <w:szCs w:val="24"/>
          <w14:ligatures w14:val="standardContextual"/>
        </w:rPr>
        <w:tab/>
      </w:r>
      <w:r>
        <w:t>Notice of Pre-Application Workshop</w:t>
      </w:r>
      <w:r>
        <w:tab/>
      </w:r>
      <w:r>
        <w:fldChar w:fldCharType="begin"/>
      </w:r>
      <w:r>
        <w:instrText xml:space="preserve"> PAGEREF _Toc233727884 \h </w:instrText>
      </w:r>
      <w:r>
        <w:fldChar w:fldCharType="separate"/>
      </w:r>
      <w:r w:rsidR="00B26560">
        <w:t>14</w:t>
      </w:r>
      <w:r>
        <w:fldChar w:fldCharType="end"/>
      </w:r>
    </w:p>
    <w:p w14:paraId="6CEBBD63" w14:textId="5D3A5EC5" w:rsidR="0078061F" w:rsidRDefault="0078061F" w:rsidP="00B97CF4">
      <w:pPr>
        <w:pStyle w:val="TOC2"/>
        <w:jc w:val="left"/>
        <w:rPr>
          <w:rFonts w:asciiTheme="minorHAnsi" w:eastAsiaTheme="minorEastAsia" w:hAnsiTheme="minorHAnsi" w:cstheme="minorBidi"/>
          <w:smallCaps w:val="0"/>
          <w:kern w:val="2"/>
          <w:szCs w:val="24"/>
          <w14:ligatures w14:val="standardContextual"/>
        </w:rPr>
      </w:pPr>
      <w:r>
        <w:t>G.</w:t>
      </w:r>
      <w:r>
        <w:rPr>
          <w:rFonts w:asciiTheme="minorHAnsi" w:eastAsiaTheme="minorEastAsia" w:hAnsiTheme="minorHAnsi" w:cstheme="minorBidi"/>
          <w:smallCaps w:val="0"/>
          <w:kern w:val="2"/>
          <w:szCs w:val="24"/>
          <w14:ligatures w14:val="standardContextual"/>
        </w:rPr>
        <w:tab/>
      </w:r>
      <w:r>
        <w:t>Questions</w:t>
      </w:r>
      <w:r>
        <w:tab/>
      </w:r>
      <w:r>
        <w:fldChar w:fldCharType="begin"/>
      </w:r>
      <w:r>
        <w:instrText xml:space="preserve"> PAGEREF _Toc233727885 \h </w:instrText>
      </w:r>
      <w:r>
        <w:fldChar w:fldCharType="separate"/>
      </w:r>
      <w:r w:rsidR="00B26560">
        <w:t>15</w:t>
      </w:r>
      <w:r>
        <w:fldChar w:fldCharType="end"/>
      </w:r>
    </w:p>
    <w:p w14:paraId="2ACD80E4" w14:textId="3338D166" w:rsidR="0078061F" w:rsidRDefault="0078061F" w:rsidP="00B97CF4">
      <w:pPr>
        <w:pStyle w:val="TOC2"/>
        <w:jc w:val="left"/>
        <w:rPr>
          <w:rFonts w:asciiTheme="minorHAnsi" w:eastAsiaTheme="minorEastAsia" w:hAnsiTheme="minorHAnsi" w:cstheme="minorBidi"/>
          <w:smallCaps w:val="0"/>
          <w:kern w:val="2"/>
          <w:szCs w:val="24"/>
          <w14:ligatures w14:val="standardContextual"/>
        </w:rPr>
      </w:pPr>
      <w:r>
        <w:t>H.</w:t>
      </w:r>
      <w:r>
        <w:rPr>
          <w:rFonts w:asciiTheme="minorHAnsi" w:eastAsiaTheme="minorEastAsia" w:hAnsiTheme="minorHAnsi" w:cstheme="minorBidi"/>
          <w:smallCaps w:val="0"/>
          <w:kern w:val="2"/>
          <w:szCs w:val="24"/>
          <w14:ligatures w14:val="standardContextual"/>
        </w:rPr>
        <w:tab/>
      </w:r>
      <w:r>
        <w:t>Applicants’ Admonishment</w:t>
      </w:r>
      <w:r>
        <w:tab/>
      </w:r>
      <w:r>
        <w:fldChar w:fldCharType="begin"/>
      </w:r>
      <w:r>
        <w:instrText xml:space="preserve"> PAGEREF _Toc233727886 \h </w:instrText>
      </w:r>
      <w:r>
        <w:fldChar w:fldCharType="separate"/>
      </w:r>
      <w:r w:rsidR="00B26560">
        <w:t>16</w:t>
      </w:r>
      <w:r>
        <w:fldChar w:fldCharType="end"/>
      </w:r>
    </w:p>
    <w:p w14:paraId="28D68378" w14:textId="37C1B3DE" w:rsidR="0078061F" w:rsidRDefault="0078061F" w:rsidP="00B97CF4">
      <w:pPr>
        <w:pStyle w:val="TOC2"/>
        <w:jc w:val="left"/>
        <w:rPr>
          <w:rFonts w:asciiTheme="minorHAnsi" w:eastAsiaTheme="minorEastAsia" w:hAnsiTheme="minorHAnsi" w:cstheme="minorBidi"/>
          <w:smallCaps w:val="0"/>
          <w:kern w:val="2"/>
          <w:szCs w:val="24"/>
          <w14:ligatures w14:val="standardContextual"/>
        </w:rPr>
      </w:pPr>
      <w:r>
        <w:t>I.</w:t>
      </w:r>
      <w:r>
        <w:rPr>
          <w:rFonts w:asciiTheme="minorHAnsi" w:eastAsiaTheme="minorEastAsia" w:hAnsiTheme="minorHAnsi" w:cstheme="minorBidi"/>
          <w:smallCaps w:val="0"/>
          <w:kern w:val="2"/>
          <w:szCs w:val="24"/>
          <w14:ligatures w14:val="standardContextual"/>
        </w:rPr>
        <w:tab/>
      </w:r>
      <w:r>
        <w:t>Additional Requirements regarding environmental review</w:t>
      </w:r>
      <w:r>
        <w:tab/>
      </w:r>
      <w:r>
        <w:fldChar w:fldCharType="begin"/>
      </w:r>
      <w:r>
        <w:instrText xml:space="preserve"> PAGEREF _Toc233727887 \h </w:instrText>
      </w:r>
      <w:r>
        <w:fldChar w:fldCharType="separate"/>
      </w:r>
      <w:r w:rsidR="00B26560">
        <w:t>16</w:t>
      </w:r>
      <w:r>
        <w:fldChar w:fldCharType="end"/>
      </w:r>
    </w:p>
    <w:p w14:paraId="487E67DD" w14:textId="280CC408" w:rsidR="0078061F" w:rsidRDefault="0078061F" w:rsidP="00B97CF4">
      <w:pPr>
        <w:pStyle w:val="TOC2"/>
        <w:jc w:val="left"/>
        <w:rPr>
          <w:rFonts w:asciiTheme="minorHAnsi" w:eastAsiaTheme="minorEastAsia" w:hAnsiTheme="minorHAnsi" w:cstheme="minorBidi"/>
          <w:smallCaps w:val="0"/>
          <w:kern w:val="2"/>
          <w:szCs w:val="24"/>
          <w14:ligatures w14:val="standardContextual"/>
        </w:rPr>
      </w:pPr>
      <w:r>
        <w:t>J.</w:t>
      </w:r>
      <w:r>
        <w:rPr>
          <w:rFonts w:asciiTheme="minorHAnsi" w:eastAsiaTheme="minorEastAsia" w:hAnsiTheme="minorHAnsi" w:cstheme="minorBidi"/>
          <w:smallCaps w:val="0"/>
          <w:kern w:val="2"/>
          <w:szCs w:val="24"/>
          <w14:ligatures w14:val="standardContextual"/>
        </w:rPr>
        <w:tab/>
      </w:r>
      <w:r>
        <w:t>Background</w:t>
      </w:r>
      <w:r>
        <w:tab/>
      </w:r>
      <w:r>
        <w:fldChar w:fldCharType="begin"/>
      </w:r>
      <w:r>
        <w:instrText xml:space="preserve"> PAGEREF _Toc233727888 \h </w:instrText>
      </w:r>
      <w:r>
        <w:fldChar w:fldCharType="separate"/>
      </w:r>
      <w:r w:rsidR="00B26560">
        <w:t>18</w:t>
      </w:r>
      <w:r>
        <w:fldChar w:fldCharType="end"/>
      </w:r>
    </w:p>
    <w:p w14:paraId="346357E3" w14:textId="1F5E35B7" w:rsidR="0078061F" w:rsidRDefault="0078061F" w:rsidP="00B97CF4">
      <w:pPr>
        <w:pStyle w:val="TOC2"/>
        <w:jc w:val="left"/>
        <w:rPr>
          <w:rFonts w:asciiTheme="minorHAnsi" w:eastAsiaTheme="minorEastAsia" w:hAnsiTheme="minorHAnsi" w:cstheme="minorBidi"/>
          <w:smallCaps w:val="0"/>
          <w:kern w:val="2"/>
          <w:szCs w:val="24"/>
          <w14:ligatures w14:val="standardContextual"/>
        </w:rPr>
      </w:pPr>
      <w:r>
        <w:t>K.</w:t>
      </w:r>
      <w:r>
        <w:rPr>
          <w:rFonts w:asciiTheme="minorHAnsi" w:eastAsiaTheme="minorEastAsia" w:hAnsiTheme="minorHAnsi" w:cstheme="minorBidi"/>
          <w:smallCaps w:val="0"/>
          <w:kern w:val="2"/>
          <w:szCs w:val="24"/>
          <w14:ligatures w14:val="standardContextual"/>
        </w:rPr>
        <w:tab/>
      </w:r>
      <w:r>
        <w:t>Match Funding</w:t>
      </w:r>
      <w:r>
        <w:tab/>
      </w:r>
      <w:r>
        <w:fldChar w:fldCharType="begin"/>
      </w:r>
      <w:r>
        <w:instrText xml:space="preserve"> PAGEREF _Toc233727889 \h </w:instrText>
      </w:r>
      <w:r>
        <w:fldChar w:fldCharType="separate"/>
      </w:r>
      <w:r w:rsidR="00B26560">
        <w:t>25</w:t>
      </w:r>
      <w:r>
        <w:fldChar w:fldCharType="end"/>
      </w:r>
    </w:p>
    <w:p w14:paraId="622F67B2" w14:textId="2B627008" w:rsidR="0078061F" w:rsidRDefault="0078061F" w:rsidP="00B97CF4">
      <w:pPr>
        <w:pStyle w:val="TOC2"/>
        <w:jc w:val="left"/>
        <w:rPr>
          <w:rFonts w:asciiTheme="minorHAnsi" w:eastAsiaTheme="minorEastAsia" w:hAnsiTheme="minorHAnsi" w:cstheme="minorBidi"/>
          <w:smallCaps w:val="0"/>
          <w:kern w:val="2"/>
          <w:szCs w:val="24"/>
          <w14:ligatures w14:val="standardContextual"/>
        </w:rPr>
      </w:pPr>
      <w:r>
        <w:t>L.</w:t>
      </w:r>
      <w:r>
        <w:rPr>
          <w:rFonts w:asciiTheme="minorHAnsi" w:eastAsiaTheme="minorEastAsia" w:hAnsiTheme="minorHAnsi" w:cstheme="minorBidi"/>
          <w:smallCaps w:val="0"/>
          <w:kern w:val="2"/>
          <w:szCs w:val="24"/>
          <w14:ligatures w14:val="standardContextual"/>
        </w:rPr>
        <w:tab/>
      </w:r>
      <w:r>
        <w:t>Funds Spent in California</w:t>
      </w:r>
      <w:r>
        <w:tab/>
      </w:r>
      <w:r>
        <w:fldChar w:fldCharType="begin"/>
      </w:r>
      <w:r>
        <w:instrText xml:space="preserve"> PAGEREF _Toc233727890 \h </w:instrText>
      </w:r>
      <w:r>
        <w:fldChar w:fldCharType="separate"/>
      </w:r>
      <w:r w:rsidR="00B26560">
        <w:t>27</w:t>
      </w:r>
      <w:r>
        <w:fldChar w:fldCharType="end"/>
      </w:r>
    </w:p>
    <w:p w14:paraId="4FA9F566" w14:textId="51A9C132" w:rsidR="0078061F" w:rsidRDefault="0078061F" w:rsidP="00B97CF4">
      <w:pPr>
        <w:pStyle w:val="TOC2"/>
        <w:jc w:val="left"/>
        <w:rPr>
          <w:rFonts w:asciiTheme="minorHAnsi" w:eastAsiaTheme="minorEastAsia" w:hAnsiTheme="minorHAnsi" w:cstheme="minorBidi"/>
          <w:smallCaps w:val="0"/>
          <w:kern w:val="2"/>
          <w:szCs w:val="24"/>
          <w14:ligatures w14:val="standardContextual"/>
        </w:rPr>
      </w:pPr>
      <w:r>
        <w:t>M.</w:t>
      </w:r>
      <w:r>
        <w:rPr>
          <w:rFonts w:asciiTheme="minorHAnsi" w:eastAsiaTheme="minorEastAsia" w:hAnsiTheme="minorHAnsi" w:cstheme="minorBidi"/>
          <w:smallCaps w:val="0"/>
          <w:kern w:val="2"/>
          <w:szCs w:val="24"/>
          <w14:ligatures w14:val="standardContextual"/>
        </w:rPr>
        <w:tab/>
      </w:r>
      <w:r>
        <w:t>CEC’s Rights and Remedies</w:t>
      </w:r>
      <w:r>
        <w:tab/>
      </w:r>
      <w:r>
        <w:fldChar w:fldCharType="begin"/>
      </w:r>
      <w:r>
        <w:instrText xml:space="preserve"> PAGEREF _Toc233727891 \h </w:instrText>
      </w:r>
      <w:r>
        <w:fldChar w:fldCharType="separate"/>
      </w:r>
      <w:r w:rsidR="00B26560">
        <w:t>28</w:t>
      </w:r>
      <w:r>
        <w:fldChar w:fldCharType="end"/>
      </w:r>
    </w:p>
    <w:p w14:paraId="46382CCF" w14:textId="69BEDC95" w:rsidR="0078061F" w:rsidRDefault="0078061F" w:rsidP="00B97CF4">
      <w:pPr>
        <w:pStyle w:val="TOC1"/>
        <w:jc w:val="left"/>
        <w:rPr>
          <w:rFonts w:asciiTheme="minorHAnsi" w:eastAsiaTheme="minorEastAsia" w:hAnsiTheme="minorHAnsi" w:cstheme="minorBidi"/>
          <w:b w:val="0"/>
          <w:bCs w:val="0"/>
          <w:caps w:val="0"/>
          <w:kern w:val="2"/>
          <w:szCs w:val="24"/>
          <w14:ligatures w14:val="standardContextual"/>
        </w:rPr>
      </w:pPr>
      <w:r>
        <w:t>II.</w:t>
      </w:r>
      <w:r>
        <w:rPr>
          <w:rFonts w:asciiTheme="minorHAnsi" w:eastAsiaTheme="minorEastAsia" w:hAnsiTheme="minorHAnsi" w:cstheme="minorBidi"/>
          <w:b w:val="0"/>
          <w:bCs w:val="0"/>
          <w:caps w:val="0"/>
          <w:kern w:val="2"/>
          <w:szCs w:val="24"/>
          <w14:ligatures w14:val="standardContextual"/>
        </w:rPr>
        <w:tab/>
      </w:r>
      <w:r>
        <w:t>Eligibility Requirements</w:t>
      </w:r>
      <w:r>
        <w:tab/>
      </w:r>
      <w:r>
        <w:fldChar w:fldCharType="begin"/>
      </w:r>
      <w:r>
        <w:instrText xml:space="preserve"> PAGEREF _Toc233727892 \h </w:instrText>
      </w:r>
      <w:r>
        <w:fldChar w:fldCharType="separate"/>
      </w:r>
      <w:r w:rsidR="00B26560">
        <w:t>29</w:t>
      </w:r>
      <w:r>
        <w:fldChar w:fldCharType="end"/>
      </w:r>
    </w:p>
    <w:p w14:paraId="741BEA78" w14:textId="44FEF8F8" w:rsidR="0078061F" w:rsidRDefault="0078061F" w:rsidP="00B97CF4">
      <w:pPr>
        <w:pStyle w:val="TOC2"/>
        <w:jc w:val="left"/>
        <w:rPr>
          <w:rFonts w:asciiTheme="minorHAnsi" w:eastAsiaTheme="minorEastAsia" w:hAnsiTheme="minorHAnsi" w:cstheme="minorBidi"/>
          <w:smallCaps w:val="0"/>
          <w:kern w:val="2"/>
          <w:szCs w:val="24"/>
          <w14:ligatures w14:val="standardContextual"/>
        </w:rPr>
      </w:pPr>
      <w:r>
        <w:t>A.</w:t>
      </w:r>
      <w:r>
        <w:rPr>
          <w:rFonts w:asciiTheme="minorHAnsi" w:eastAsiaTheme="minorEastAsia" w:hAnsiTheme="minorHAnsi" w:cstheme="minorBidi"/>
          <w:smallCaps w:val="0"/>
          <w:kern w:val="2"/>
          <w:szCs w:val="24"/>
          <w14:ligatures w14:val="standardContextual"/>
        </w:rPr>
        <w:tab/>
      </w:r>
      <w:r>
        <w:t>Applicant Requirements</w:t>
      </w:r>
      <w:r>
        <w:tab/>
      </w:r>
      <w:r>
        <w:fldChar w:fldCharType="begin"/>
      </w:r>
      <w:r>
        <w:instrText xml:space="preserve"> PAGEREF _Toc233727893 \h </w:instrText>
      </w:r>
      <w:r>
        <w:fldChar w:fldCharType="separate"/>
      </w:r>
      <w:r w:rsidR="00B26560">
        <w:t>29</w:t>
      </w:r>
      <w:r>
        <w:fldChar w:fldCharType="end"/>
      </w:r>
    </w:p>
    <w:p w14:paraId="6DFF05A9" w14:textId="5B5E22C0" w:rsidR="0078061F" w:rsidRDefault="0078061F" w:rsidP="00B97CF4">
      <w:pPr>
        <w:pStyle w:val="TOC2"/>
        <w:jc w:val="left"/>
        <w:rPr>
          <w:rFonts w:asciiTheme="minorHAnsi" w:eastAsiaTheme="minorEastAsia" w:hAnsiTheme="minorHAnsi" w:cstheme="minorBidi"/>
          <w:smallCaps w:val="0"/>
          <w:kern w:val="2"/>
          <w:szCs w:val="24"/>
          <w14:ligatures w14:val="standardContextual"/>
        </w:rPr>
      </w:pPr>
      <w:r>
        <w:t>B.</w:t>
      </w:r>
      <w:r>
        <w:rPr>
          <w:rFonts w:asciiTheme="minorHAnsi" w:eastAsiaTheme="minorEastAsia" w:hAnsiTheme="minorHAnsi" w:cstheme="minorBidi"/>
          <w:smallCaps w:val="0"/>
          <w:kern w:val="2"/>
          <w:szCs w:val="24"/>
          <w14:ligatures w14:val="standardContextual"/>
        </w:rPr>
        <w:tab/>
      </w:r>
      <w:r>
        <w:t>Project Requirements</w:t>
      </w:r>
      <w:r>
        <w:tab/>
      </w:r>
      <w:r>
        <w:fldChar w:fldCharType="begin"/>
      </w:r>
      <w:r>
        <w:instrText xml:space="preserve"> PAGEREF _Toc233727894 \h </w:instrText>
      </w:r>
      <w:r>
        <w:fldChar w:fldCharType="separate"/>
      </w:r>
      <w:r w:rsidR="00B26560">
        <w:t>31</w:t>
      </w:r>
      <w:r>
        <w:fldChar w:fldCharType="end"/>
      </w:r>
    </w:p>
    <w:p w14:paraId="6B891F33" w14:textId="45233662" w:rsidR="0078061F" w:rsidRDefault="0078061F" w:rsidP="00B97CF4">
      <w:pPr>
        <w:pStyle w:val="TOC1"/>
        <w:jc w:val="left"/>
        <w:rPr>
          <w:rFonts w:asciiTheme="minorHAnsi" w:eastAsiaTheme="minorEastAsia" w:hAnsiTheme="minorHAnsi" w:cstheme="minorBidi"/>
          <w:b w:val="0"/>
          <w:bCs w:val="0"/>
          <w:caps w:val="0"/>
          <w:kern w:val="2"/>
          <w:szCs w:val="24"/>
          <w14:ligatures w14:val="standardContextual"/>
        </w:rPr>
      </w:pPr>
      <w:r>
        <w:t>III.</w:t>
      </w:r>
      <w:r>
        <w:rPr>
          <w:rFonts w:asciiTheme="minorHAnsi" w:eastAsiaTheme="minorEastAsia" w:hAnsiTheme="minorHAnsi" w:cstheme="minorBidi"/>
          <w:b w:val="0"/>
          <w:bCs w:val="0"/>
          <w:caps w:val="0"/>
          <w:kern w:val="2"/>
          <w:szCs w:val="24"/>
          <w14:ligatures w14:val="standardContextual"/>
        </w:rPr>
        <w:tab/>
      </w:r>
      <w:r>
        <w:t>Application Submission Instructions</w:t>
      </w:r>
      <w:r>
        <w:tab/>
      </w:r>
      <w:r>
        <w:fldChar w:fldCharType="begin"/>
      </w:r>
      <w:r>
        <w:instrText xml:space="preserve"> PAGEREF _Toc233727895 \h </w:instrText>
      </w:r>
      <w:r>
        <w:fldChar w:fldCharType="separate"/>
      </w:r>
      <w:r w:rsidR="00B26560">
        <w:t>33</w:t>
      </w:r>
      <w:r>
        <w:fldChar w:fldCharType="end"/>
      </w:r>
    </w:p>
    <w:p w14:paraId="067EDCA5" w14:textId="1CEF209A" w:rsidR="0078061F" w:rsidRDefault="0078061F" w:rsidP="00B97CF4">
      <w:pPr>
        <w:pStyle w:val="TOC2"/>
        <w:jc w:val="left"/>
        <w:rPr>
          <w:rFonts w:asciiTheme="minorHAnsi" w:eastAsiaTheme="minorEastAsia" w:hAnsiTheme="minorHAnsi" w:cstheme="minorBidi"/>
          <w:smallCaps w:val="0"/>
          <w:kern w:val="2"/>
          <w:szCs w:val="24"/>
          <w14:ligatures w14:val="standardContextual"/>
        </w:rPr>
      </w:pPr>
      <w:r>
        <w:t>A.</w:t>
      </w:r>
      <w:r>
        <w:rPr>
          <w:rFonts w:asciiTheme="minorHAnsi" w:eastAsiaTheme="minorEastAsia" w:hAnsiTheme="minorHAnsi" w:cstheme="minorBidi"/>
          <w:smallCaps w:val="0"/>
          <w:kern w:val="2"/>
          <w:szCs w:val="24"/>
          <w14:ligatures w14:val="standardContextual"/>
        </w:rPr>
        <w:tab/>
      </w:r>
      <w:r>
        <w:t>Application Format, Page Limits</w:t>
      </w:r>
      <w:r>
        <w:tab/>
      </w:r>
      <w:r>
        <w:fldChar w:fldCharType="begin"/>
      </w:r>
      <w:r>
        <w:instrText xml:space="preserve"> PAGEREF _Toc233727896 \h </w:instrText>
      </w:r>
      <w:r>
        <w:fldChar w:fldCharType="separate"/>
      </w:r>
      <w:r w:rsidR="00B26560">
        <w:t>33</w:t>
      </w:r>
      <w:r>
        <w:fldChar w:fldCharType="end"/>
      </w:r>
    </w:p>
    <w:p w14:paraId="4BE355D2" w14:textId="6D563A3E" w:rsidR="0078061F" w:rsidRDefault="0078061F" w:rsidP="00B97CF4">
      <w:pPr>
        <w:pStyle w:val="TOC2"/>
        <w:jc w:val="left"/>
        <w:rPr>
          <w:rFonts w:asciiTheme="minorHAnsi" w:eastAsiaTheme="minorEastAsia" w:hAnsiTheme="minorHAnsi" w:cstheme="minorBidi"/>
          <w:smallCaps w:val="0"/>
          <w:kern w:val="2"/>
          <w:szCs w:val="24"/>
          <w14:ligatures w14:val="standardContextual"/>
        </w:rPr>
      </w:pPr>
      <w:r>
        <w:t>B.</w:t>
      </w:r>
      <w:r>
        <w:rPr>
          <w:rFonts w:asciiTheme="minorHAnsi" w:eastAsiaTheme="minorEastAsia" w:hAnsiTheme="minorHAnsi" w:cstheme="minorBidi"/>
          <w:smallCaps w:val="0"/>
          <w:kern w:val="2"/>
          <w:szCs w:val="24"/>
          <w14:ligatures w14:val="standardContextual"/>
        </w:rPr>
        <w:tab/>
      </w:r>
      <w:r>
        <w:t>Method For Delivery</w:t>
      </w:r>
      <w:r>
        <w:tab/>
      </w:r>
      <w:r>
        <w:fldChar w:fldCharType="begin"/>
      </w:r>
      <w:r>
        <w:instrText xml:space="preserve"> PAGEREF _Toc233727897 \h </w:instrText>
      </w:r>
      <w:r>
        <w:fldChar w:fldCharType="separate"/>
      </w:r>
      <w:r w:rsidR="00B26560">
        <w:t>33</w:t>
      </w:r>
      <w:r>
        <w:fldChar w:fldCharType="end"/>
      </w:r>
    </w:p>
    <w:p w14:paraId="6B6035C0" w14:textId="0741EEA7" w:rsidR="0078061F" w:rsidRDefault="0078061F" w:rsidP="00B97CF4">
      <w:pPr>
        <w:pStyle w:val="TOC2"/>
        <w:jc w:val="left"/>
        <w:rPr>
          <w:rFonts w:asciiTheme="minorHAnsi" w:eastAsiaTheme="minorEastAsia" w:hAnsiTheme="minorHAnsi" w:cstheme="minorBidi"/>
          <w:smallCaps w:val="0"/>
          <w:kern w:val="2"/>
          <w:szCs w:val="24"/>
          <w14:ligatures w14:val="standardContextual"/>
        </w:rPr>
      </w:pPr>
      <w:r>
        <w:t>C.</w:t>
      </w:r>
      <w:r>
        <w:rPr>
          <w:rFonts w:asciiTheme="minorHAnsi" w:eastAsiaTheme="minorEastAsia" w:hAnsiTheme="minorHAnsi" w:cstheme="minorBidi"/>
          <w:smallCaps w:val="0"/>
          <w:kern w:val="2"/>
          <w:szCs w:val="24"/>
          <w14:ligatures w14:val="standardContextual"/>
        </w:rPr>
        <w:tab/>
      </w:r>
      <w:r>
        <w:t>Application Content</w:t>
      </w:r>
      <w:r>
        <w:tab/>
      </w:r>
      <w:r>
        <w:fldChar w:fldCharType="begin"/>
      </w:r>
      <w:r>
        <w:instrText xml:space="preserve"> PAGEREF _Toc233727898 \h </w:instrText>
      </w:r>
      <w:r>
        <w:fldChar w:fldCharType="separate"/>
      </w:r>
      <w:r w:rsidR="00B26560">
        <w:t>34</w:t>
      </w:r>
      <w:r>
        <w:fldChar w:fldCharType="end"/>
      </w:r>
    </w:p>
    <w:p w14:paraId="64FAE622" w14:textId="005BC9F5" w:rsidR="0078061F" w:rsidRDefault="0078061F" w:rsidP="00B97CF4">
      <w:pPr>
        <w:pStyle w:val="TOC1"/>
        <w:jc w:val="left"/>
        <w:rPr>
          <w:rFonts w:asciiTheme="minorHAnsi" w:eastAsiaTheme="minorEastAsia" w:hAnsiTheme="minorHAnsi" w:cstheme="minorBidi"/>
          <w:b w:val="0"/>
          <w:bCs w:val="0"/>
          <w:caps w:val="0"/>
          <w:kern w:val="2"/>
          <w:szCs w:val="24"/>
          <w14:ligatures w14:val="standardContextual"/>
        </w:rPr>
      </w:pPr>
      <w:r>
        <w:t>IV.</w:t>
      </w:r>
      <w:r>
        <w:rPr>
          <w:rFonts w:asciiTheme="minorHAnsi" w:eastAsiaTheme="minorEastAsia" w:hAnsiTheme="minorHAnsi" w:cstheme="minorBidi"/>
          <w:b w:val="0"/>
          <w:bCs w:val="0"/>
          <w:caps w:val="0"/>
          <w:kern w:val="2"/>
          <w:szCs w:val="24"/>
          <w14:ligatures w14:val="standardContextual"/>
        </w:rPr>
        <w:tab/>
      </w:r>
      <w:r>
        <w:t>Evaluation and Award Process</w:t>
      </w:r>
      <w:r>
        <w:tab/>
      </w:r>
      <w:r>
        <w:fldChar w:fldCharType="begin"/>
      </w:r>
      <w:r>
        <w:instrText xml:space="preserve"> PAGEREF _Toc233727899 \h </w:instrText>
      </w:r>
      <w:r>
        <w:fldChar w:fldCharType="separate"/>
      </w:r>
      <w:r w:rsidR="00B26560">
        <w:t>39</w:t>
      </w:r>
      <w:r>
        <w:fldChar w:fldCharType="end"/>
      </w:r>
    </w:p>
    <w:p w14:paraId="085B8909" w14:textId="53F1371B" w:rsidR="0078061F" w:rsidRDefault="0078061F" w:rsidP="00B97CF4">
      <w:pPr>
        <w:pStyle w:val="TOC2"/>
        <w:jc w:val="left"/>
        <w:rPr>
          <w:rFonts w:asciiTheme="minorHAnsi" w:eastAsiaTheme="minorEastAsia" w:hAnsiTheme="minorHAnsi" w:cstheme="minorBidi"/>
          <w:smallCaps w:val="0"/>
          <w:kern w:val="2"/>
          <w:szCs w:val="24"/>
          <w14:ligatures w14:val="standardContextual"/>
        </w:rPr>
      </w:pPr>
      <w:r>
        <w:t>A.</w:t>
      </w:r>
      <w:r>
        <w:rPr>
          <w:rFonts w:asciiTheme="minorHAnsi" w:eastAsiaTheme="minorEastAsia" w:hAnsiTheme="minorHAnsi" w:cstheme="minorBidi"/>
          <w:smallCaps w:val="0"/>
          <w:kern w:val="2"/>
          <w:szCs w:val="24"/>
          <w14:ligatures w14:val="standardContextual"/>
        </w:rPr>
        <w:tab/>
      </w:r>
      <w:r>
        <w:t>Application Evaluation</w:t>
      </w:r>
      <w:r>
        <w:tab/>
      </w:r>
      <w:r>
        <w:fldChar w:fldCharType="begin"/>
      </w:r>
      <w:r>
        <w:instrText xml:space="preserve"> PAGEREF _Toc233727900 \h </w:instrText>
      </w:r>
      <w:r>
        <w:fldChar w:fldCharType="separate"/>
      </w:r>
      <w:r w:rsidR="00B26560">
        <w:t>39</w:t>
      </w:r>
      <w:r>
        <w:fldChar w:fldCharType="end"/>
      </w:r>
    </w:p>
    <w:p w14:paraId="3AA4DA36" w14:textId="7C06524A" w:rsidR="0078061F" w:rsidRDefault="0078061F" w:rsidP="00B97CF4">
      <w:pPr>
        <w:pStyle w:val="TOC2"/>
        <w:jc w:val="left"/>
        <w:rPr>
          <w:rFonts w:asciiTheme="minorHAnsi" w:eastAsiaTheme="minorEastAsia" w:hAnsiTheme="minorHAnsi" w:cstheme="minorBidi"/>
          <w:smallCaps w:val="0"/>
          <w:kern w:val="2"/>
          <w:szCs w:val="24"/>
          <w14:ligatures w14:val="standardContextual"/>
        </w:rPr>
      </w:pPr>
      <w:r>
        <w:t>B.</w:t>
      </w:r>
      <w:r>
        <w:rPr>
          <w:rFonts w:asciiTheme="minorHAnsi" w:eastAsiaTheme="minorEastAsia" w:hAnsiTheme="minorHAnsi" w:cstheme="minorBidi"/>
          <w:smallCaps w:val="0"/>
          <w:kern w:val="2"/>
          <w:szCs w:val="24"/>
          <w14:ligatures w14:val="standardContextual"/>
        </w:rPr>
        <w:tab/>
      </w:r>
      <w:r>
        <w:t>Ranking, Notice of Proposed Award, and Agreement Development</w:t>
      </w:r>
      <w:r>
        <w:tab/>
      </w:r>
      <w:r>
        <w:fldChar w:fldCharType="begin"/>
      </w:r>
      <w:r>
        <w:instrText xml:space="preserve"> PAGEREF _Toc233727901 \h </w:instrText>
      </w:r>
      <w:r>
        <w:fldChar w:fldCharType="separate"/>
      </w:r>
      <w:r w:rsidR="00B26560">
        <w:t>39</w:t>
      </w:r>
      <w:r>
        <w:fldChar w:fldCharType="end"/>
      </w:r>
    </w:p>
    <w:p w14:paraId="61542F71" w14:textId="3DD510AC" w:rsidR="0078061F" w:rsidRDefault="0078061F" w:rsidP="00B97CF4">
      <w:pPr>
        <w:pStyle w:val="TOC2"/>
        <w:jc w:val="left"/>
        <w:rPr>
          <w:rFonts w:asciiTheme="minorHAnsi" w:eastAsiaTheme="minorEastAsia" w:hAnsiTheme="minorHAnsi" w:cstheme="minorBidi"/>
          <w:smallCaps w:val="0"/>
          <w:kern w:val="2"/>
          <w:szCs w:val="24"/>
          <w14:ligatures w14:val="standardContextual"/>
        </w:rPr>
      </w:pPr>
      <w:r>
        <w:t>C.</w:t>
      </w:r>
      <w:r>
        <w:rPr>
          <w:rFonts w:asciiTheme="minorHAnsi" w:eastAsiaTheme="minorEastAsia" w:hAnsiTheme="minorHAnsi" w:cstheme="minorBidi"/>
          <w:smallCaps w:val="0"/>
          <w:kern w:val="2"/>
          <w:szCs w:val="24"/>
          <w14:ligatures w14:val="standardContextual"/>
        </w:rPr>
        <w:tab/>
      </w:r>
      <w:r>
        <w:t>Grounds to Reject an Application or Cancel an Award</w:t>
      </w:r>
      <w:r>
        <w:tab/>
      </w:r>
      <w:r>
        <w:fldChar w:fldCharType="begin"/>
      </w:r>
      <w:r>
        <w:instrText xml:space="preserve"> PAGEREF _Toc233727902 \h </w:instrText>
      </w:r>
      <w:r>
        <w:fldChar w:fldCharType="separate"/>
      </w:r>
      <w:r w:rsidR="00B26560">
        <w:t>41</w:t>
      </w:r>
      <w:r>
        <w:fldChar w:fldCharType="end"/>
      </w:r>
    </w:p>
    <w:p w14:paraId="75ACFC7B" w14:textId="7A23B28A" w:rsidR="0078061F" w:rsidRDefault="0078061F" w:rsidP="00B97CF4">
      <w:pPr>
        <w:pStyle w:val="TOC2"/>
        <w:jc w:val="left"/>
        <w:rPr>
          <w:rFonts w:asciiTheme="minorHAnsi" w:eastAsiaTheme="minorEastAsia" w:hAnsiTheme="minorHAnsi" w:cstheme="minorBidi"/>
          <w:smallCaps w:val="0"/>
          <w:kern w:val="2"/>
          <w:szCs w:val="24"/>
          <w14:ligatures w14:val="standardContextual"/>
        </w:rPr>
      </w:pPr>
      <w:r>
        <w:t>D.</w:t>
      </w:r>
      <w:r>
        <w:rPr>
          <w:rFonts w:asciiTheme="minorHAnsi" w:eastAsiaTheme="minorEastAsia" w:hAnsiTheme="minorHAnsi" w:cstheme="minorBidi"/>
          <w:smallCaps w:val="0"/>
          <w:kern w:val="2"/>
          <w:szCs w:val="24"/>
          <w14:ligatures w14:val="standardContextual"/>
        </w:rPr>
        <w:tab/>
      </w:r>
      <w:r>
        <w:t>Miscellaneous</w:t>
      </w:r>
      <w:r>
        <w:tab/>
      </w:r>
      <w:r>
        <w:fldChar w:fldCharType="begin"/>
      </w:r>
      <w:r>
        <w:instrText xml:space="preserve"> PAGEREF _Toc233727903 \h </w:instrText>
      </w:r>
      <w:r>
        <w:fldChar w:fldCharType="separate"/>
      </w:r>
      <w:r w:rsidR="00B26560">
        <w:t>41</w:t>
      </w:r>
      <w:r>
        <w:fldChar w:fldCharType="end"/>
      </w:r>
    </w:p>
    <w:p w14:paraId="085EF33F" w14:textId="058F01ED" w:rsidR="0078061F" w:rsidRDefault="0078061F" w:rsidP="00B97CF4">
      <w:pPr>
        <w:pStyle w:val="TOC2"/>
        <w:jc w:val="left"/>
        <w:rPr>
          <w:rFonts w:asciiTheme="minorHAnsi" w:eastAsiaTheme="minorEastAsia" w:hAnsiTheme="minorHAnsi" w:cstheme="minorBidi"/>
          <w:smallCaps w:val="0"/>
          <w:kern w:val="2"/>
          <w:szCs w:val="24"/>
          <w14:ligatures w14:val="standardContextual"/>
        </w:rPr>
      </w:pPr>
      <w:r>
        <w:t>E.</w:t>
      </w:r>
      <w:r>
        <w:rPr>
          <w:rFonts w:asciiTheme="minorHAnsi" w:eastAsiaTheme="minorEastAsia" w:hAnsiTheme="minorHAnsi" w:cstheme="minorBidi"/>
          <w:smallCaps w:val="0"/>
          <w:kern w:val="2"/>
          <w:szCs w:val="24"/>
          <w14:ligatures w14:val="standardContextual"/>
        </w:rPr>
        <w:tab/>
      </w:r>
      <w:r>
        <w:t>Stage One:  Application Screening</w:t>
      </w:r>
      <w:r>
        <w:tab/>
      </w:r>
      <w:r>
        <w:fldChar w:fldCharType="begin"/>
      </w:r>
      <w:r>
        <w:instrText xml:space="preserve"> PAGEREF _Toc233727904 \h </w:instrText>
      </w:r>
      <w:r>
        <w:fldChar w:fldCharType="separate"/>
      </w:r>
      <w:r w:rsidR="00B26560">
        <w:t>45</w:t>
      </w:r>
      <w:r>
        <w:fldChar w:fldCharType="end"/>
      </w:r>
    </w:p>
    <w:p w14:paraId="3DA67567" w14:textId="5303C684" w:rsidR="0078061F" w:rsidRDefault="0078061F" w:rsidP="00B97CF4">
      <w:pPr>
        <w:pStyle w:val="TOC2"/>
        <w:jc w:val="left"/>
        <w:rPr>
          <w:rFonts w:asciiTheme="minorHAnsi" w:eastAsiaTheme="minorEastAsia" w:hAnsiTheme="minorHAnsi" w:cstheme="minorBidi"/>
          <w:smallCaps w:val="0"/>
          <w:kern w:val="2"/>
          <w:szCs w:val="24"/>
          <w14:ligatures w14:val="standardContextual"/>
        </w:rPr>
      </w:pPr>
      <w:r>
        <w:t>F.</w:t>
      </w:r>
      <w:r>
        <w:rPr>
          <w:rFonts w:asciiTheme="minorHAnsi" w:eastAsiaTheme="minorEastAsia" w:hAnsiTheme="minorHAnsi" w:cstheme="minorBidi"/>
          <w:smallCaps w:val="0"/>
          <w:kern w:val="2"/>
          <w:szCs w:val="24"/>
          <w14:ligatures w14:val="standardContextual"/>
        </w:rPr>
        <w:tab/>
      </w:r>
      <w:r>
        <w:t>Stage Two:  Application Scoring</w:t>
      </w:r>
      <w:r>
        <w:tab/>
      </w:r>
      <w:r>
        <w:fldChar w:fldCharType="begin"/>
      </w:r>
      <w:r>
        <w:instrText xml:space="preserve"> PAGEREF _Toc233727905 \h </w:instrText>
      </w:r>
      <w:r>
        <w:fldChar w:fldCharType="separate"/>
      </w:r>
      <w:r w:rsidR="00B26560">
        <w:t>47</w:t>
      </w:r>
      <w:r>
        <w:fldChar w:fldCharType="end"/>
      </w:r>
    </w:p>
    <w:p w14:paraId="3CCEC515" w14:textId="35F2CF21" w:rsidR="00665B8E" w:rsidRPr="00C31C1D" w:rsidRDefault="0078061F" w:rsidP="00B97CF4">
      <w:pPr>
        <w:widowControl w:val="0"/>
        <w:jc w:val="left"/>
      </w:pPr>
      <w:r>
        <w:rPr>
          <w:b/>
          <w:bCs/>
          <w:caps/>
          <w:noProof/>
          <w:color w:val="2B579A"/>
          <w:szCs w:val="24"/>
          <w:shd w:val="clear" w:color="auto" w:fill="E6E6E6"/>
        </w:rPr>
        <w:fldChar w:fldCharType="end"/>
      </w:r>
    </w:p>
    <w:p w14:paraId="0C7D70E1" w14:textId="77777777" w:rsidR="004029F8" w:rsidRDefault="004029F8" w:rsidP="00B97CF4">
      <w:pPr>
        <w:spacing w:after="0"/>
        <w:jc w:val="left"/>
        <w:rPr>
          <w:b/>
        </w:rPr>
        <w:sectPr w:rsidR="004029F8" w:rsidSect="00665B8E">
          <w:headerReference w:type="default" r:id="rId15"/>
          <w:footerReference w:type="default" r:id="rId16"/>
          <w:pgSz w:w="12240" w:h="15840" w:code="1"/>
          <w:pgMar w:top="1440" w:right="1440" w:bottom="1440" w:left="1440" w:header="1008" w:footer="432" w:gutter="0"/>
          <w:pgNumType w:fmt="lowerRoman" w:start="1"/>
          <w:cols w:space="720"/>
        </w:sectPr>
      </w:pPr>
    </w:p>
    <w:p w14:paraId="1DC74EFA" w14:textId="0516C0EC" w:rsidR="00665B8E" w:rsidRDefault="008F420B" w:rsidP="00E266DE">
      <w:pPr>
        <w:pStyle w:val="TableHeaderText"/>
      </w:pPr>
      <w:bookmarkStart w:id="1" w:name="_Toc458602318"/>
      <w:bookmarkStart w:id="2" w:name="_Toc481569610"/>
      <w:bookmarkStart w:id="3" w:name="_Toc481570193"/>
      <w:bookmarkStart w:id="4" w:name="_Toc12770880"/>
      <w:bookmarkStart w:id="5" w:name="_Toc219275079"/>
      <w:bookmarkStart w:id="6" w:name="_Toc336443614"/>
      <w:bookmarkStart w:id="7" w:name="_Toc366671167"/>
      <w:r w:rsidRPr="003F6147">
        <w:lastRenderedPageBreak/>
        <w:t>ATTACHMENTS</w:t>
      </w:r>
    </w:p>
    <w:tbl>
      <w:tblPr>
        <w:tblW w:w="9540" w:type="dxa"/>
        <w:tblInd w:w="-72" w:type="dxa"/>
        <w:tblLayout w:type="fixed"/>
        <w:tblLook w:val="0000" w:firstRow="0" w:lastRow="0" w:firstColumn="0" w:lastColumn="0" w:noHBand="0" w:noVBand="0"/>
      </w:tblPr>
      <w:tblGrid>
        <w:gridCol w:w="9540"/>
      </w:tblGrid>
      <w:tr w:rsidR="008F420B" w:rsidRPr="003F6147" w14:paraId="6470CDAD" w14:textId="77777777" w:rsidTr="00A85A94">
        <w:trPr>
          <w:cantSplit/>
          <w:trHeight w:val="585"/>
        </w:trPr>
        <w:tc>
          <w:tcPr>
            <w:tcW w:w="9540" w:type="dxa"/>
          </w:tcPr>
          <w:tbl>
            <w:tblPr>
              <w:tblStyle w:val="ListTable3"/>
              <w:tblW w:w="9358" w:type="dxa"/>
              <w:jc w:val="center"/>
              <w:tblLayout w:type="fixed"/>
              <w:tblLook w:val="00A0" w:firstRow="1" w:lastRow="0" w:firstColumn="1" w:lastColumn="0" w:noHBand="0" w:noVBand="0"/>
              <w:tblCaption w:val="Attachments Table"/>
              <w:tblDescription w:val="Table lists the attachment number and titile of all attachments to the solicitation. "/>
            </w:tblPr>
            <w:tblGrid>
              <w:gridCol w:w="2220"/>
              <w:gridCol w:w="7138"/>
            </w:tblGrid>
            <w:tr w:rsidR="008F420B" w:rsidRPr="003F6147" w14:paraId="587901AF" w14:textId="77777777" w:rsidTr="00A85A94">
              <w:trPr>
                <w:cnfStyle w:val="100000000000" w:firstRow="1" w:lastRow="0" w:firstColumn="0" w:lastColumn="0" w:oddVBand="0" w:evenVBand="0" w:oddHBand="0" w:evenHBand="0" w:firstRowFirstColumn="0" w:firstRowLastColumn="0" w:lastRowFirstColumn="0" w:lastRowLastColumn="0"/>
                <w:trHeight w:val="681"/>
                <w:tblHeader/>
                <w:jc w:val="center"/>
              </w:trPr>
              <w:tc>
                <w:tcPr>
                  <w:cnfStyle w:val="001000000100" w:firstRow="0" w:lastRow="0" w:firstColumn="1" w:lastColumn="0" w:oddVBand="0" w:evenVBand="0" w:oddHBand="0" w:evenHBand="0" w:firstRowFirstColumn="1" w:firstRowLastColumn="0" w:lastRowFirstColumn="0" w:lastRowLastColumn="0"/>
                  <w:tcW w:w="2220" w:type="dxa"/>
                </w:tcPr>
                <w:p w14:paraId="067CF05F" w14:textId="77777777" w:rsidR="008F420B" w:rsidRPr="00397CB0" w:rsidRDefault="008F420B" w:rsidP="00B97CF4">
                  <w:pPr>
                    <w:pStyle w:val="TableHeaderText"/>
                    <w:jc w:val="left"/>
                    <w:rPr>
                      <w:b/>
                      <w:bCs w:val="0"/>
                    </w:rPr>
                  </w:pPr>
                  <w:r w:rsidRPr="00397CB0">
                    <w:rPr>
                      <w:b/>
                      <w:bCs w:val="0"/>
                    </w:rPr>
                    <w:t>Attachment Number</w:t>
                  </w:r>
                </w:p>
              </w:tc>
              <w:tc>
                <w:tcPr>
                  <w:cnfStyle w:val="000010000000" w:firstRow="0" w:lastRow="0" w:firstColumn="0" w:lastColumn="0" w:oddVBand="1" w:evenVBand="0" w:oddHBand="0" w:evenHBand="0" w:firstRowFirstColumn="0" w:firstRowLastColumn="0" w:lastRowFirstColumn="0" w:lastRowLastColumn="0"/>
                  <w:tcW w:w="7138" w:type="dxa"/>
                </w:tcPr>
                <w:p w14:paraId="021E1E31" w14:textId="77777777" w:rsidR="008F420B" w:rsidRPr="00397CB0" w:rsidRDefault="008F420B" w:rsidP="00B97CF4">
                  <w:pPr>
                    <w:pStyle w:val="TableHeaderText"/>
                    <w:jc w:val="left"/>
                    <w:rPr>
                      <w:b/>
                      <w:bCs w:val="0"/>
                    </w:rPr>
                  </w:pPr>
                  <w:r w:rsidRPr="00397CB0">
                    <w:rPr>
                      <w:b/>
                      <w:bCs w:val="0"/>
                    </w:rPr>
                    <w:t>Title of Section</w:t>
                  </w:r>
                </w:p>
              </w:tc>
            </w:tr>
            <w:tr w:rsidR="008F420B" w:rsidRPr="003F6147" w14:paraId="14497EB1" w14:textId="77777777" w:rsidTr="00A85A94">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220" w:type="dxa"/>
                </w:tcPr>
                <w:p w14:paraId="35428625" w14:textId="77777777" w:rsidR="008F420B" w:rsidRPr="003F6147" w:rsidRDefault="008F420B" w:rsidP="00B97CF4">
                  <w:pPr>
                    <w:spacing w:after="0"/>
                    <w:jc w:val="left"/>
                  </w:pPr>
                  <w:r>
                    <w:t>1</w:t>
                  </w:r>
                </w:p>
              </w:tc>
              <w:tc>
                <w:tcPr>
                  <w:cnfStyle w:val="000010000000" w:firstRow="0" w:lastRow="0" w:firstColumn="0" w:lastColumn="0" w:oddVBand="1" w:evenVBand="0" w:oddHBand="0" w:evenHBand="0" w:firstRowFirstColumn="0" w:firstRowLastColumn="0" w:lastRowFirstColumn="0" w:lastRowLastColumn="0"/>
                  <w:tcW w:w="7138" w:type="dxa"/>
                </w:tcPr>
                <w:p w14:paraId="542115AD" w14:textId="77777777" w:rsidR="008F420B" w:rsidRPr="003F6147" w:rsidRDefault="008F420B" w:rsidP="00B97CF4">
                  <w:pPr>
                    <w:spacing w:after="0"/>
                    <w:jc w:val="left"/>
                  </w:pPr>
                  <w:r w:rsidRPr="003F6147">
                    <w:t xml:space="preserve">Executive Summary </w:t>
                  </w:r>
                  <w:r>
                    <w:t>Form</w:t>
                  </w:r>
                </w:p>
              </w:tc>
            </w:tr>
            <w:tr w:rsidR="008F420B" w:rsidRPr="003F6147" w14:paraId="3F31F04A" w14:textId="77777777" w:rsidTr="00A85A94">
              <w:trPr>
                <w:trHeight w:val="319"/>
                <w:jc w:val="center"/>
              </w:trPr>
              <w:tc>
                <w:tcPr>
                  <w:cnfStyle w:val="001000000000" w:firstRow="0" w:lastRow="0" w:firstColumn="1" w:lastColumn="0" w:oddVBand="0" w:evenVBand="0" w:oddHBand="0" w:evenHBand="0" w:firstRowFirstColumn="0" w:firstRowLastColumn="0" w:lastRowFirstColumn="0" w:lastRowLastColumn="0"/>
                  <w:tcW w:w="2220" w:type="dxa"/>
                </w:tcPr>
                <w:p w14:paraId="628E14E8" w14:textId="77777777" w:rsidR="008F420B" w:rsidRPr="003F6147" w:rsidRDefault="008F420B" w:rsidP="00B97CF4">
                  <w:pPr>
                    <w:spacing w:after="0"/>
                    <w:jc w:val="left"/>
                  </w:pPr>
                  <w:r>
                    <w:t>2</w:t>
                  </w:r>
                </w:p>
              </w:tc>
              <w:tc>
                <w:tcPr>
                  <w:cnfStyle w:val="000010000000" w:firstRow="0" w:lastRow="0" w:firstColumn="0" w:lastColumn="0" w:oddVBand="1" w:evenVBand="0" w:oddHBand="0" w:evenHBand="0" w:firstRowFirstColumn="0" w:firstRowLastColumn="0" w:lastRowFirstColumn="0" w:lastRowLastColumn="0"/>
                  <w:tcW w:w="7138" w:type="dxa"/>
                </w:tcPr>
                <w:p w14:paraId="7FC4E27E" w14:textId="77777777" w:rsidR="008F420B" w:rsidRPr="003F6147" w:rsidRDefault="008F420B" w:rsidP="00B97CF4">
                  <w:pPr>
                    <w:spacing w:after="0"/>
                    <w:jc w:val="left"/>
                  </w:pPr>
                  <w:r w:rsidRPr="003F6147">
                    <w:t xml:space="preserve">Project Narrative </w:t>
                  </w:r>
                  <w:r>
                    <w:t>Form</w:t>
                  </w:r>
                </w:p>
              </w:tc>
            </w:tr>
            <w:tr w:rsidR="008F420B" w:rsidRPr="003F6147" w14:paraId="71D601E4" w14:textId="77777777" w:rsidTr="00A85A94">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220" w:type="dxa"/>
                </w:tcPr>
                <w:p w14:paraId="79DC0BBD" w14:textId="77777777" w:rsidR="008F420B" w:rsidRPr="003F6147" w:rsidRDefault="008F420B" w:rsidP="00B97CF4">
                  <w:pPr>
                    <w:spacing w:after="0"/>
                    <w:jc w:val="left"/>
                  </w:pPr>
                  <w:r>
                    <w:t>3</w:t>
                  </w:r>
                </w:p>
              </w:tc>
              <w:tc>
                <w:tcPr>
                  <w:cnfStyle w:val="000010000000" w:firstRow="0" w:lastRow="0" w:firstColumn="0" w:lastColumn="0" w:oddVBand="1" w:evenVBand="0" w:oddHBand="0" w:evenHBand="0" w:firstRowFirstColumn="0" w:firstRowLastColumn="0" w:lastRowFirstColumn="0" w:lastRowLastColumn="0"/>
                  <w:tcW w:w="7138" w:type="dxa"/>
                </w:tcPr>
                <w:p w14:paraId="09BB4F18" w14:textId="77777777" w:rsidR="008F420B" w:rsidRPr="003F6147" w:rsidRDefault="008F420B" w:rsidP="00B97CF4">
                  <w:pPr>
                    <w:spacing w:after="0"/>
                    <w:jc w:val="left"/>
                  </w:pPr>
                  <w:r w:rsidRPr="003F6147">
                    <w:t xml:space="preserve">Project Team </w:t>
                  </w:r>
                  <w:r>
                    <w:t>Form</w:t>
                  </w:r>
                </w:p>
              </w:tc>
            </w:tr>
            <w:tr w:rsidR="008F420B" w:rsidRPr="003F6147" w14:paraId="63B14E9E" w14:textId="77777777" w:rsidTr="00A85A94">
              <w:trPr>
                <w:trHeight w:val="340"/>
                <w:jc w:val="center"/>
              </w:trPr>
              <w:tc>
                <w:tcPr>
                  <w:cnfStyle w:val="001000000000" w:firstRow="0" w:lastRow="0" w:firstColumn="1" w:lastColumn="0" w:oddVBand="0" w:evenVBand="0" w:oddHBand="0" w:evenHBand="0" w:firstRowFirstColumn="0" w:firstRowLastColumn="0" w:lastRowFirstColumn="0" w:lastRowLastColumn="0"/>
                  <w:tcW w:w="2220" w:type="dxa"/>
                </w:tcPr>
                <w:p w14:paraId="3A136E2E" w14:textId="77777777" w:rsidR="008F420B" w:rsidRPr="003F6147" w:rsidRDefault="008F420B" w:rsidP="00B97CF4">
                  <w:pPr>
                    <w:spacing w:after="0"/>
                    <w:jc w:val="left"/>
                  </w:pPr>
                  <w:r>
                    <w:t>4</w:t>
                  </w:r>
                </w:p>
              </w:tc>
              <w:tc>
                <w:tcPr>
                  <w:cnfStyle w:val="000010000000" w:firstRow="0" w:lastRow="0" w:firstColumn="0" w:lastColumn="0" w:oddVBand="1" w:evenVBand="0" w:oddHBand="0" w:evenHBand="0" w:firstRowFirstColumn="0" w:firstRowLastColumn="0" w:lastRowFirstColumn="0" w:lastRowLastColumn="0"/>
                  <w:tcW w:w="7138" w:type="dxa"/>
                </w:tcPr>
                <w:p w14:paraId="1676B959" w14:textId="77777777" w:rsidR="008F420B" w:rsidRPr="003F6147" w:rsidRDefault="008F420B" w:rsidP="00B97CF4">
                  <w:pPr>
                    <w:spacing w:after="0"/>
                    <w:jc w:val="left"/>
                  </w:pPr>
                  <w:r w:rsidRPr="003F6147">
                    <w:t xml:space="preserve">Scope of Work </w:t>
                  </w:r>
                  <w:r>
                    <w:t>Template</w:t>
                  </w:r>
                </w:p>
              </w:tc>
            </w:tr>
            <w:tr w:rsidR="008F420B" w:rsidRPr="003F6147" w14:paraId="7238486D" w14:textId="77777777" w:rsidTr="00A85A94">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220" w:type="dxa"/>
                </w:tcPr>
                <w:p w14:paraId="2421E196" w14:textId="77777777" w:rsidR="008F420B" w:rsidRPr="003F6147" w:rsidRDefault="008F420B" w:rsidP="00B97CF4">
                  <w:pPr>
                    <w:spacing w:after="0"/>
                    <w:jc w:val="left"/>
                  </w:pPr>
                  <w:r>
                    <w:t>5</w:t>
                  </w:r>
                </w:p>
              </w:tc>
              <w:tc>
                <w:tcPr>
                  <w:cnfStyle w:val="000010000000" w:firstRow="0" w:lastRow="0" w:firstColumn="0" w:lastColumn="0" w:oddVBand="1" w:evenVBand="0" w:oddHBand="0" w:evenHBand="0" w:firstRowFirstColumn="0" w:firstRowLastColumn="0" w:lastRowFirstColumn="0" w:lastRowLastColumn="0"/>
                  <w:tcW w:w="7138" w:type="dxa"/>
                </w:tcPr>
                <w:p w14:paraId="42D7F755" w14:textId="77777777" w:rsidR="008F420B" w:rsidRPr="003F6147" w:rsidRDefault="008F420B" w:rsidP="00B97CF4">
                  <w:pPr>
                    <w:spacing w:after="0"/>
                    <w:jc w:val="left"/>
                  </w:pPr>
                  <w:r w:rsidRPr="003F6147">
                    <w:t>Project Schedule</w:t>
                  </w:r>
                </w:p>
              </w:tc>
            </w:tr>
            <w:tr w:rsidR="008F420B" w:rsidRPr="003F6147" w14:paraId="72D57ADD" w14:textId="77777777" w:rsidTr="00A85A94">
              <w:trPr>
                <w:trHeight w:val="340"/>
                <w:jc w:val="center"/>
              </w:trPr>
              <w:tc>
                <w:tcPr>
                  <w:cnfStyle w:val="001000000000" w:firstRow="0" w:lastRow="0" w:firstColumn="1" w:lastColumn="0" w:oddVBand="0" w:evenVBand="0" w:oddHBand="0" w:evenHBand="0" w:firstRowFirstColumn="0" w:firstRowLastColumn="0" w:lastRowFirstColumn="0" w:lastRowLastColumn="0"/>
                  <w:tcW w:w="2220" w:type="dxa"/>
                </w:tcPr>
                <w:p w14:paraId="743F618D" w14:textId="77777777" w:rsidR="008F420B" w:rsidRPr="003F6147" w:rsidRDefault="008F420B" w:rsidP="00B97CF4">
                  <w:pPr>
                    <w:spacing w:after="0"/>
                    <w:jc w:val="left"/>
                  </w:pPr>
                  <w:r>
                    <w:t>6</w:t>
                  </w:r>
                </w:p>
              </w:tc>
              <w:tc>
                <w:tcPr>
                  <w:cnfStyle w:val="000010000000" w:firstRow="0" w:lastRow="0" w:firstColumn="0" w:lastColumn="0" w:oddVBand="1" w:evenVBand="0" w:oddHBand="0" w:evenHBand="0" w:firstRowFirstColumn="0" w:firstRowLastColumn="0" w:lastRowFirstColumn="0" w:lastRowLastColumn="0"/>
                  <w:tcW w:w="7138" w:type="dxa"/>
                </w:tcPr>
                <w:p w14:paraId="3E8E440D" w14:textId="77777777" w:rsidR="008F420B" w:rsidRPr="003F6147" w:rsidRDefault="008F420B" w:rsidP="00B97CF4">
                  <w:pPr>
                    <w:spacing w:after="0"/>
                    <w:jc w:val="left"/>
                  </w:pPr>
                  <w:r w:rsidRPr="003F6147">
                    <w:t xml:space="preserve">Budget </w:t>
                  </w:r>
                </w:p>
              </w:tc>
            </w:tr>
            <w:tr w:rsidR="008F420B" w:rsidRPr="003F6147" w14:paraId="1CD72EC0" w14:textId="77777777" w:rsidTr="00A85A94">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2220" w:type="dxa"/>
                </w:tcPr>
                <w:p w14:paraId="02D76FD1" w14:textId="77777777" w:rsidR="008F420B" w:rsidRPr="003F6147" w:rsidRDefault="008F420B" w:rsidP="00B97CF4">
                  <w:pPr>
                    <w:spacing w:after="0"/>
                    <w:jc w:val="left"/>
                  </w:pPr>
                  <w:r>
                    <w:t>7</w:t>
                  </w:r>
                </w:p>
              </w:tc>
              <w:tc>
                <w:tcPr>
                  <w:cnfStyle w:val="000010000000" w:firstRow="0" w:lastRow="0" w:firstColumn="0" w:lastColumn="0" w:oddVBand="1" w:evenVBand="0" w:oddHBand="0" w:evenHBand="0" w:firstRowFirstColumn="0" w:firstRowLastColumn="0" w:lastRowFirstColumn="0" w:lastRowLastColumn="0"/>
                  <w:tcW w:w="7138" w:type="dxa"/>
                </w:tcPr>
                <w:p w14:paraId="1DE95E66" w14:textId="77777777" w:rsidR="008F420B" w:rsidRPr="003F6147" w:rsidRDefault="008F420B" w:rsidP="00B97CF4">
                  <w:pPr>
                    <w:spacing w:after="0"/>
                    <w:jc w:val="left"/>
                  </w:pPr>
                  <w:r w:rsidRPr="003F6147">
                    <w:t xml:space="preserve">CEQA Compliance Form </w:t>
                  </w:r>
                </w:p>
              </w:tc>
            </w:tr>
            <w:tr w:rsidR="008F420B" w:rsidRPr="003F6147" w14:paraId="277B35BE" w14:textId="77777777" w:rsidTr="00A85A94">
              <w:trPr>
                <w:trHeight w:val="340"/>
                <w:jc w:val="center"/>
              </w:trPr>
              <w:tc>
                <w:tcPr>
                  <w:cnfStyle w:val="001000000000" w:firstRow="0" w:lastRow="0" w:firstColumn="1" w:lastColumn="0" w:oddVBand="0" w:evenVBand="0" w:oddHBand="0" w:evenHBand="0" w:firstRowFirstColumn="0" w:firstRowLastColumn="0" w:lastRowFirstColumn="0" w:lastRowLastColumn="0"/>
                  <w:tcW w:w="2220" w:type="dxa"/>
                </w:tcPr>
                <w:p w14:paraId="06292F01" w14:textId="77777777" w:rsidR="008F420B" w:rsidRPr="003F6147" w:rsidRDefault="008F420B" w:rsidP="00B97CF4">
                  <w:pPr>
                    <w:spacing w:after="0"/>
                    <w:jc w:val="left"/>
                  </w:pPr>
                  <w:r>
                    <w:t>8</w:t>
                  </w:r>
                </w:p>
              </w:tc>
              <w:tc>
                <w:tcPr>
                  <w:cnfStyle w:val="000010000000" w:firstRow="0" w:lastRow="0" w:firstColumn="0" w:lastColumn="0" w:oddVBand="1" w:evenVBand="0" w:oddHBand="0" w:evenHBand="0" w:firstRowFirstColumn="0" w:firstRowLastColumn="0" w:lastRowFirstColumn="0" w:lastRowLastColumn="0"/>
                  <w:tcW w:w="7138" w:type="dxa"/>
                </w:tcPr>
                <w:p w14:paraId="74FCF621" w14:textId="77777777" w:rsidR="008F420B" w:rsidRPr="003F6147" w:rsidRDefault="008F420B" w:rsidP="00B97CF4">
                  <w:pPr>
                    <w:spacing w:after="0"/>
                    <w:jc w:val="left"/>
                  </w:pPr>
                  <w:r>
                    <w:t>Past Projects Information Form</w:t>
                  </w:r>
                </w:p>
              </w:tc>
            </w:tr>
            <w:tr w:rsidR="008F420B" w:rsidRPr="003F6147" w14:paraId="26F150C4" w14:textId="77777777" w:rsidTr="00A85A94">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220" w:type="dxa"/>
                </w:tcPr>
                <w:p w14:paraId="3CC98746" w14:textId="77777777" w:rsidR="008F420B" w:rsidRPr="003F6147" w:rsidRDefault="008F420B" w:rsidP="00B97CF4">
                  <w:pPr>
                    <w:spacing w:after="0"/>
                    <w:jc w:val="left"/>
                  </w:pPr>
                  <w:r>
                    <w:t>9</w:t>
                  </w:r>
                </w:p>
              </w:tc>
              <w:tc>
                <w:tcPr>
                  <w:cnfStyle w:val="000010000000" w:firstRow="0" w:lastRow="0" w:firstColumn="0" w:lastColumn="0" w:oddVBand="1" w:evenVBand="0" w:oddHBand="0" w:evenHBand="0" w:firstRowFirstColumn="0" w:firstRowLastColumn="0" w:lastRowFirstColumn="0" w:lastRowLastColumn="0"/>
                  <w:tcW w:w="7138" w:type="dxa"/>
                </w:tcPr>
                <w:p w14:paraId="1A576CB0" w14:textId="77777777" w:rsidR="008F420B" w:rsidRPr="003F6147" w:rsidRDefault="008F420B" w:rsidP="00B97CF4">
                  <w:pPr>
                    <w:spacing w:after="0"/>
                    <w:jc w:val="left"/>
                  </w:pPr>
                  <w:r w:rsidRPr="003F6147">
                    <w:t xml:space="preserve">Commitment and Support Letters </w:t>
                  </w:r>
                  <w:r>
                    <w:t xml:space="preserve">Form </w:t>
                  </w:r>
                  <w:r w:rsidRPr="003F6147">
                    <w:rPr>
                      <w:b/>
                      <w:i/>
                      <w:szCs w:val="22"/>
                    </w:rPr>
                    <w:t>(require</w:t>
                  </w:r>
                  <w:r>
                    <w:rPr>
                      <w:b/>
                      <w:i/>
                      <w:szCs w:val="22"/>
                    </w:rPr>
                    <w:t>s</w:t>
                  </w:r>
                  <w:r w:rsidRPr="003F6147">
                    <w:rPr>
                      <w:b/>
                      <w:i/>
                      <w:szCs w:val="22"/>
                    </w:rPr>
                    <w:t xml:space="preserve"> signature)</w:t>
                  </w:r>
                </w:p>
              </w:tc>
            </w:tr>
            <w:tr w:rsidR="008F420B" w:rsidRPr="003F6147" w14:paraId="46AA3C52" w14:textId="77777777" w:rsidTr="00A85A94">
              <w:trPr>
                <w:trHeight w:val="340"/>
                <w:jc w:val="center"/>
              </w:trPr>
              <w:tc>
                <w:tcPr>
                  <w:cnfStyle w:val="001000000000" w:firstRow="0" w:lastRow="0" w:firstColumn="1" w:lastColumn="0" w:oddVBand="0" w:evenVBand="0" w:oddHBand="0" w:evenHBand="0" w:firstRowFirstColumn="0" w:firstRowLastColumn="0" w:lastRowFirstColumn="0" w:lastRowLastColumn="0"/>
                  <w:tcW w:w="2220" w:type="dxa"/>
                </w:tcPr>
                <w:p w14:paraId="12B424DB" w14:textId="77777777" w:rsidR="008F420B" w:rsidRPr="003F6147" w:rsidRDefault="008F420B" w:rsidP="00B97CF4">
                  <w:pPr>
                    <w:spacing w:after="0"/>
                    <w:jc w:val="left"/>
                  </w:pPr>
                  <w:r w:rsidRPr="003F6147">
                    <w:t>1</w:t>
                  </w:r>
                  <w:r>
                    <w:t>0</w:t>
                  </w:r>
                </w:p>
              </w:tc>
              <w:tc>
                <w:tcPr>
                  <w:cnfStyle w:val="000010000000" w:firstRow="0" w:lastRow="0" w:firstColumn="0" w:lastColumn="0" w:oddVBand="1" w:evenVBand="0" w:oddHBand="0" w:evenHBand="0" w:firstRowFirstColumn="0" w:firstRowLastColumn="0" w:lastRowFirstColumn="0" w:lastRowLastColumn="0"/>
                  <w:tcW w:w="7138" w:type="dxa"/>
                </w:tcPr>
                <w:p w14:paraId="23F69B22" w14:textId="77777777" w:rsidR="008F420B" w:rsidRPr="003F6147" w:rsidRDefault="008F420B" w:rsidP="00B97CF4">
                  <w:pPr>
                    <w:spacing w:after="0"/>
                    <w:jc w:val="left"/>
                  </w:pPr>
                  <w:r w:rsidRPr="003F6147">
                    <w:t>Project Performance Metrics</w:t>
                  </w:r>
                </w:p>
              </w:tc>
            </w:tr>
            <w:tr w:rsidR="008F420B" w:rsidRPr="003F6147" w14:paraId="6B716C60" w14:textId="77777777" w:rsidTr="00A85A94">
              <w:trPr>
                <w:cnfStyle w:val="000000100000" w:firstRow="0" w:lastRow="0" w:firstColumn="0" w:lastColumn="0" w:oddVBand="0" w:evenVBand="0" w:oddHBand="1" w:evenHBand="0" w:firstRowFirstColumn="0" w:firstRowLastColumn="0" w:lastRowFirstColumn="0" w:lastRowLastColumn="0"/>
                <w:trHeight w:val="394"/>
                <w:jc w:val="center"/>
              </w:trPr>
              <w:tc>
                <w:tcPr>
                  <w:cnfStyle w:val="001000000000" w:firstRow="0" w:lastRow="0" w:firstColumn="1" w:lastColumn="0" w:oddVBand="0" w:evenVBand="0" w:oddHBand="0" w:evenHBand="0" w:firstRowFirstColumn="0" w:firstRowLastColumn="0" w:lastRowFirstColumn="0" w:lastRowLastColumn="0"/>
                  <w:tcW w:w="2220" w:type="dxa"/>
                </w:tcPr>
                <w:p w14:paraId="0BD8EEE2" w14:textId="77777777" w:rsidR="008F420B" w:rsidRPr="003F6147" w:rsidRDefault="008F420B" w:rsidP="00B97CF4">
                  <w:pPr>
                    <w:spacing w:after="0"/>
                    <w:jc w:val="left"/>
                  </w:pPr>
                  <w:r w:rsidRPr="003F6147">
                    <w:t>1</w:t>
                  </w:r>
                  <w:r>
                    <w:t>1</w:t>
                  </w:r>
                </w:p>
              </w:tc>
              <w:tc>
                <w:tcPr>
                  <w:cnfStyle w:val="000010000000" w:firstRow="0" w:lastRow="0" w:firstColumn="0" w:lastColumn="0" w:oddVBand="1" w:evenVBand="0" w:oddHBand="0" w:evenHBand="0" w:firstRowFirstColumn="0" w:firstRowLastColumn="0" w:lastRowFirstColumn="0" w:lastRowLastColumn="0"/>
                  <w:tcW w:w="7138" w:type="dxa"/>
                </w:tcPr>
                <w:p w14:paraId="1C510675" w14:textId="77777777" w:rsidR="008F420B" w:rsidRPr="003F6147" w:rsidRDefault="008F420B" w:rsidP="00B97CF4">
                  <w:pPr>
                    <w:spacing w:after="0"/>
                    <w:jc w:val="left"/>
                  </w:pPr>
                  <w:r w:rsidRPr="003F6147">
                    <w:t>Applicant Declaration</w:t>
                  </w:r>
                  <w:r>
                    <w:t>s</w:t>
                  </w:r>
                  <w:r w:rsidRPr="003F6147">
                    <w:t xml:space="preserve"> </w:t>
                  </w:r>
                  <w:r w:rsidRPr="003F6147">
                    <w:rPr>
                      <w:b/>
                      <w:i/>
                      <w:szCs w:val="22"/>
                    </w:rPr>
                    <w:t>(require</w:t>
                  </w:r>
                  <w:r>
                    <w:rPr>
                      <w:b/>
                      <w:i/>
                      <w:szCs w:val="22"/>
                    </w:rPr>
                    <w:t>s</w:t>
                  </w:r>
                  <w:r w:rsidRPr="003F6147">
                    <w:rPr>
                      <w:b/>
                      <w:i/>
                      <w:szCs w:val="22"/>
                    </w:rPr>
                    <w:t xml:space="preserve"> signature)</w:t>
                  </w:r>
                </w:p>
              </w:tc>
            </w:tr>
          </w:tbl>
          <w:p w14:paraId="6F1A7113" w14:textId="77777777" w:rsidR="008F420B" w:rsidRPr="003F6147" w:rsidRDefault="008F420B" w:rsidP="00B97CF4">
            <w:pPr>
              <w:keepLines/>
              <w:widowControl w:val="0"/>
              <w:spacing w:after="0"/>
              <w:jc w:val="left"/>
              <w:rPr>
                <w:b/>
                <w:color w:val="0070C0"/>
                <w:szCs w:val="22"/>
              </w:rPr>
            </w:pPr>
          </w:p>
        </w:tc>
      </w:tr>
    </w:tbl>
    <w:p w14:paraId="0E362C98" w14:textId="77777777" w:rsidR="008F420B" w:rsidRPr="003F6147" w:rsidRDefault="008F420B" w:rsidP="00B97CF4">
      <w:pPr>
        <w:spacing w:after="0"/>
        <w:jc w:val="left"/>
      </w:pPr>
    </w:p>
    <w:p w14:paraId="7B1A1A20" w14:textId="77777777" w:rsidR="00657C08" w:rsidRDefault="00657C08" w:rsidP="00B97CF4">
      <w:pPr>
        <w:pStyle w:val="Heading2"/>
        <w:jc w:val="left"/>
        <w:sectPr w:rsidR="00657C08" w:rsidSect="00657C08">
          <w:headerReference w:type="default" r:id="rId17"/>
          <w:footerReference w:type="default" r:id="rId18"/>
          <w:pgSz w:w="12240" w:h="15840" w:code="1"/>
          <w:pgMar w:top="1440" w:right="1440" w:bottom="1440" w:left="1440" w:header="720" w:footer="576" w:gutter="0"/>
          <w:pgNumType w:fmt="lowerRoman" w:start="2"/>
          <w:cols w:space="720"/>
          <w:titlePg/>
          <w:docGrid w:linePitch="326"/>
        </w:sectPr>
      </w:pPr>
      <w:bookmarkStart w:id="8" w:name="_Toc233727878"/>
    </w:p>
    <w:p w14:paraId="2B290109" w14:textId="77777777" w:rsidR="00665B8E" w:rsidRDefault="00665B8E" w:rsidP="00B97CF4">
      <w:pPr>
        <w:pStyle w:val="Heading2"/>
        <w:jc w:val="left"/>
      </w:pPr>
      <w:r w:rsidRPr="00756BAC">
        <w:lastRenderedPageBreak/>
        <w:t>I.</w:t>
      </w:r>
      <w:r w:rsidRPr="00756BAC">
        <w:tab/>
        <w:t>Introduction</w:t>
      </w:r>
      <w:bookmarkEnd w:id="1"/>
      <w:bookmarkEnd w:id="8"/>
    </w:p>
    <w:p w14:paraId="705EC601" w14:textId="77777777" w:rsidR="00665B8E" w:rsidRPr="00756BAC" w:rsidRDefault="00665B8E" w:rsidP="00B97CF4">
      <w:pPr>
        <w:pStyle w:val="Heading3"/>
        <w:jc w:val="left"/>
      </w:pPr>
      <w:bookmarkStart w:id="9" w:name="_Toc458602319"/>
      <w:bookmarkStart w:id="10" w:name="_Toc233727879"/>
      <w:r w:rsidRPr="00756BAC">
        <w:t>Purpose of Solicitation</w:t>
      </w:r>
      <w:bookmarkEnd w:id="9"/>
      <w:bookmarkEnd w:id="10"/>
      <w:r w:rsidRPr="00756BAC">
        <w:t xml:space="preserve"> </w:t>
      </w:r>
      <w:bookmarkStart w:id="11" w:name="_Toc395180593"/>
      <w:bookmarkStart w:id="12" w:name="_Toc381079833"/>
      <w:bookmarkStart w:id="13" w:name="_Toc382571091"/>
    </w:p>
    <w:p w14:paraId="04CD1E3B" w14:textId="4F91C57F" w:rsidR="006E2712" w:rsidRPr="004F0553" w:rsidRDefault="00665B8E" w:rsidP="781912A3">
      <w:pPr>
        <w:pStyle w:val="BodyText"/>
        <w:jc w:val="left"/>
      </w:pPr>
      <w:bookmarkStart w:id="14" w:name="_Toc433981247"/>
      <w:bookmarkEnd w:id="11"/>
      <w:r w:rsidRPr="003F6147">
        <w:t xml:space="preserve">The purpose of this solicitation is to fund </w:t>
      </w:r>
      <w:r w:rsidR="004E6BBA" w:rsidRPr="007B7539">
        <w:t>applied research and development</w:t>
      </w:r>
      <w:r w:rsidR="004E6BBA" w:rsidRPr="007B7539" w:rsidDel="00E20A62">
        <w:t xml:space="preserve"> </w:t>
      </w:r>
      <w:bookmarkEnd w:id="14"/>
      <w:r>
        <w:t xml:space="preserve">projects that </w:t>
      </w:r>
      <w:r w:rsidR="006E2712" w:rsidRPr="004F0553">
        <w:t>inform California’s transition to an equitable, zero-carbon energy system that is climate resilient and meets environmental goals. This solicitation is supported by the Electric Program Investment Charge (EPIC) 2021-2025 investment plan, Climate Resiliency Initiative, Topic 44: Integrating Climate Resilience in Electricity System Planning, which articulates a need to:</w:t>
      </w:r>
    </w:p>
    <w:p w14:paraId="4C0D6A77" w14:textId="77777777" w:rsidR="006E2712" w:rsidRPr="004F0553" w:rsidRDefault="006E2712" w:rsidP="00B97CF4">
      <w:pPr>
        <w:pStyle w:val="ListParagraph"/>
        <w:numPr>
          <w:ilvl w:val="0"/>
          <w:numId w:val="52"/>
        </w:numPr>
        <w:contextualSpacing w:val="0"/>
        <w:jc w:val="left"/>
        <w:rPr>
          <w:rFonts w:eastAsia="Arial"/>
          <w:szCs w:val="22"/>
        </w:rPr>
      </w:pPr>
      <w:r w:rsidRPr="004F0553">
        <w:rPr>
          <w:szCs w:val="22"/>
        </w:rPr>
        <w:t>“i</w:t>
      </w:r>
      <w:r w:rsidRPr="004F0553">
        <w:rPr>
          <w:rFonts w:eastAsia="Arial"/>
          <w:szCs w:val="22"/>
        </w:rPr>
        <w:t>nform resilient decarbonization pathways by better characterizing the climate conditions under which the grid must reliably operate,”</w:t>
      </w:r>
    </w:p>
    <w:p w14:paraId="39BA3770" w14:textId="77777777" w:rsidR="006E2712" w:rsidRPr="004F0553" w:rsidRDefault="006E2712" w:rsidP="00B97CF4">
      <w:pPr>
        <w:pStyle w:val="ListParagraph"/>
        <w:numPr>
          <w:ilvl w:val="0"/>
          <w:numId w:val="52"/>
        </w:numPr>
        <w:contextualSpacing w:val="0"/>
        <w:jc w:val="left"/>
        <w:rPr>
          <w:rFonts w:eastAsia="Arial"/>
        </w:rPr>
      </w:pPr>
      <w:r w:rsidRPr="004F0553">
        <w:rPr>
          <w:rFonts w:eastAsia="Arial"/>
        </w:rPr>
        <w:t xml:space="preserve">“improve forecasting of electricity supply and demand – including </w:t>
      </w:r>
      <w:proofErr w:type="spellStart"/>
      <w:r w:rsidRPr="004F0553">
        <w:rPr>
          <w:rFonts w:eastAsia="Arial"/>
        </w:rPr>
        <w:t>subseasonal</w:t>
      </w:r>
      <w:proofErr w:type="spellEnd"/>
      <w:r w:rsidRPr="004F0553">
        <w:rPr>
          <w:rFonts w:eastAsia="Arial"/>
        </w:rPr>
        <w:t>, seasonal, midterm, and longer-term time horizons,” and</w:t>
      </w:r>
    </w:p>
    <w:p w14:paraId="37EDA638" w14:textId="77777777" w:rsidR="006E2712" w:rsidRPr="004F0553" w:rsidRDefault="006E2712" w:rsidP="00B97CF4">
      <w:pPr>
        <w:pStyle w:val="ListParagraph"/>
        <w:numPr>
          <w:ilvl w:val="0"/>
          <w:numId w:val="52"/>
        </w:numPr>
        <w:contextualSpacing w:val="0"/>
        <w:jc w:val="left"/>
        <w:rPr>
          <w:rFonts w:eastAsia="Arial"/>
          <w:szCs w:val="22"/>
        </w:rPr>
      </w:pPr>
      <w:r w:rsidRPr="004F0553">
        <w:rPr>
          <w:rFonts w:eastAsia="Arial"/>
          <w:szCs w:val="22"/>
        </w:rPr>
        <w:t>“inform approaches to wildfire mitigation and insurance for California’s IOUs.”</w:t>
      </w:r>
    </w:p>
    <w:p w14:paraId="330E86B7" w14:textId="77777777" w:rsidR="006E2712" w:rsidRPr="004F0553" w:rsidRDefault="006E2712" w:rsidP="00B97CF4">
      <w:pPr>
        <w:jc w:val="left"/>
      </w:pPr>
      <w:r w:rsidRPr="004F0553">
        <w:t xml:space="preserve"> </w:t>
      </w:r>
    </w:p>
    <w:p w14:paraId="4F52E230" w14:textId="4B7019FD" w:rsidR="006E2712" w:rsidRPr="004F0553" w:rsidRDefault="006E2712" w:rsidP="00B97CF4">
      <w:pPr>
        <w:jc w:val="left"/>
      </w:pPr>
      <w:r w:rsidRPr="004F0553">
        <w:t>California’s wildfire and climate crisis has intensified the need for rigorous, science</w:t>
      </w:r>
      <w:r w:rsidRPr="004F0553">
        <w:rPr>
          <w:rFonts w:ascii="Cambria Math" w:hAnsi="Cambria Math" w:cs="Cambria Math"/>
        </w:rPr>
        <w:t>‑</w:t>
      </w:r>
      <w:r w:rsidRPr="004F0553">
        <w:t>based strategies that can guide electricity</w:t>
      </w:r>
      <w:r w:rsidRPr="004F0553">
        <w:rPr>
          <w:rFonts w:ascii="Cambria Math" w:hAnsi="Cambria Math" w:cs="Cambria Math"/>
        </w:rPr>
        <w:t>‑</w:t>
      </w:r>
      <w:r w:rsidRPr="004F0553">
        <w:t>sector decision</w:t>
      </w:r>
      <w:r w:rsidRPr="004F0553">
        <w:rPr>
          <w:rFonts w:ascii="Cambria Math" w:hAnsi="Cambria Math" w:cs="Cambria Math"/>
        </w:rPr>
        <w:t>‑</w:t>
      </w:r>
      <w:r w:rsidRPr="004F0553">
        <w:t>making. The EPIC program—funded by electricity ratepayers—has been central to building this technical foundation. However, integration of a climate-informed perspective in many important planning, investment, and operational contexts requires advanced and ongoing support for data integration, analytical frameworks, and tailored data products. This solicitation proposes to support these critical gaps.</w:t>
      </w:r>
      <w:r w:rsidR="008A3657">
        <w:t xml:space="preserve"> </w:t>
      </w:r>
      <w:r w:rsidRPr="004F0553">
        <w:t>To enable climate-informed planning, risk assessment, and adaptation of California’s energy system, EPIC-funded projects have made significant progress in developing open, quality-controlled data products as well as digital innovation and development of pioneering analytics to support their use. The EPIC program has supported development of the Cal-Adapt Analytics Engine (under EPIC agreements EPC-20-007 and EPC-23-024), a powerful platform that enables collaboration to generate innovative analyses and policy advancements leveraging high-resolution climate projections (EPC-20-006) as well as quality-controlled historical observed data (Gas R&amp;D agreement PIR-19-006). This portfolio of ongoing climate-related EPIC research has already directly supported several state planning processes (e.g., California’s Energy Demand forecast, Integrated Resource Planning (IRP)), regulatory proceedings (e.g., California Public Utilities Commission’s (CPUC) Adaptation Rulemaking, Microgrids Rulemaking), and investor-owned utilities’ (IOU) planning efforts and filings (e.g., load forecasting, Community Adaptation and Vulnerability Assessments (CAVA)).</w:t>
      </w:r>
    </w:p>
    <w:p w14:paraId="39BC1EC2" w14:textId="77777777" w:rsidR="006E2712" w:rsidRPr="004F0553" w:rsidRDefault="006E2712" w:rsidP="00B97CF4">
      <w:pPr>
        <w:jc w:val="left"/>
      </w:pPr>
      <w:r w:rsidRPr="004F0553">
        <w:t xml:space="preserve">Sustained investments are needed to further advance data-driven strategies that enable electricity sector stakeholders (e.g., IOUs, state agencies, community choice aggregators) to bolster climate resilience as California’s policy landscape and electricity system continue to evolve. This could include climate data products tailored to shorter time horizons, which would better support seasonal-to-decadal planning processes such as General Rate Cases and reliability analyses. Enhancing data products to address </w:t>
      </w:r>
      <w:r w:rsidRPr="004F0553">
        <w:lastRenderedPageBreak/>
        <w:t>gaps in empirical observations of key meteorological variables would also strengthen modeling of weather-dependent, zero-carbon electricity generation. Further research to understand how climate change will affect renewable resources over time, including the impacts of aerosols, smoke, and coastal clouds on solar generation would further inform grid planning. Likewise, improved analysis of how evolving weather extremes affect specific utility assets could help refine design standards and operational thresholds for critical infrastructure.</w:t>
      </w:r>
    </w:p>
    <w:p w14:paraId="4B1E4022" w14:textId="77777777" w:rsidR="006E2712" w:rsidRPr="004F0553" w:rsidRDefault="006E2712" w:rsidP="00B97CF4">
      <w:pPr>
        <w:jc w:val="left"/>
      </w:pPr>
      <w:r w:rsidRPr="004F0553">
        <w:t xml:space="preserve">Public interest research is critical in the climate resilience space because the underlying data—which involve large spatial domains (California, Western Electricity Coordinating Council) at high resolution for more than 200 different possible futures—are not plug-and play. Rather, extensive collaborations between climate scientists, energy system modelers, and policy experts are needed to develop thoughtful, tailored approaches to data integration that leverage expertise across a range of key disciplines, maintain transparency, and promote coordination across jurisdictions/authorities to ensure that the interests of ratepayers are served. </w:t>
      </w:r>
    </w:p>
    <w:p w14:paraId="628F2C58" w14:textId="2C680542" w:rsidR="006E2712" w:rsidRPr="004F0553" w:rsidRDefault="006E2712" w:rsidP="00B97CF4">
      <w:pPr>
        <w:jc w:val="left"/>
      </w:pPr>
      <w:r w:rsidRPr="004F0553">
        <w:t>In the wildfire space, previous EPIC investments have advanced fuels and fire</w:t>
      </w:r>
      <w:r w:rsidRPr="004F0553">
        <w:rPr>
          <w:rFonts w:ascii="Cambria Math" w:hAnsi="Cambria Math" w:cs="Cambria Math"/>
        </w:rPr>
        <w:t>‑</w:t>
      </w:r>
      <w:r w:rsidRPr="004F0553">
        <w:t>behavior science relevant to California’s unprecedented wildfire conditions, produced long</w:t>
      </w:r>
      <w:r w:rsidRPr="004F0553">
        <w:rPr>
          <w:rFonts w:ascii="Cambria Math" w:hAnsi="Cambria Math" w:cs="Cambria Math"/>
        </w:rPr>
        <w:t>‑</w:t>
      </w:r>
      <w:r w:rsidRPr="004F0553">
        <w:t>term climate</w:t>
      </w:r>
      <w:r w:rsidRPr="004F0553">
        <w:rPr>
          <w:rFonts w:ascii="Cambria Math" w:hAnsi="Cambria Math" w:cs="Cambria Math"/>
        </w:rPr>
        <w:t>‑</w:t>
      </w:r>
      <w:r w:rsidRPr="004F0553">
        <w:t>driven wildfire scenarios, and delivered near</w:t>
      </w:r>
      <w:r w:rsidRPr="004F0553">
        <w:rPr>
          <w:rFonts w:ascii="Cambria Math" w:hAnsi="Cambria Math" w:cs="Cambria Math"/>
        </w:rPr>
        <w:t>‑</w:t>
      </w:r>
      <w:r w:rsidRPr="004F0553">
        <w:t xml:space="preserve">term forecasting capabilities through </w:t>
      </w:r>
      <w:proofErr w:type="spellStart"/>
      <w:r w:rsidRPr="004F0553">
        <w:t>PyreCast</w:t>
      </w:r>
      <w:proofErr w:type="spellEnd"/>
      <w:r w:rsidRPr="004F0553">
        <w:t xml:space="preserve"> (EPC-18-026). Ongoing EPIC projects are extending these capabilities by incorporating coupled weather-wildfire dynamics and performance benchmarking into </w:t>
      </w:r>
      <w:proofErr w:type="spellStart"/>
      <w:r w:rsidRPr="004F0553">
        <w:t>PyreCast</w:t>
      </w:r>
      <w:proofErr w:type="spellEnd"/>
      <w:r w:rsidRPr="004F0553">
        <w:t xml:space="preserve"> (EPC-25-025), applying AI</w:t>
      </w:r>
      <w:r w:rsidRPr="004F0553">
        <w:rPr>
          <w:rFonts w:ascii="Cambria Math" w:hAnsi="Cambria Math" w:cs="Cambria Math"/>
        </w:rPr>
        <w:t>‑</w:t>
      </w:r>
      <w:r w:rsidRPr="004F0553">
        <w:t>based methods for improved weather downscaling and fuels data in near-term fire forecasting (EPC-25-024), and using long</w:t>
      </w:r>
      <w:r w:rsidRPr="004F0553">
        <w:rPr>
          <w:rFonts w:ascii="Cambria Math" w:hAnsi="Cambria Math" w:cs="Cambria Math"/>
        </w:rPr>
        <w:t>‑</w:t>
      </w:r>
      <w:r w:rsidRPr="004F0553">
        <w:t>term scenarios to evaluate wildfire risk to and from utility infrastructure (EPC-25-032). These efforts have significantly strengthened California’s ability to model wildfire behavior and utility</w:t>
      </w:r>
      <w:r w:rsidRPr="004F0553">
        <w:rPr>
          <w:rFonts w:ascii="Cambria Math" w:hAnsi="Cambria Math" w:cs="Cambria Math"/>
        </w:rPr>
        <w:t>‑</w:t>
      </w:r>
      <w:r w:rsidRPr="004F0553">
        <w:t xml:space="preserve">related risk. </w:t>
      </w:r>
    </w:p>
    <w:p w14:paraId="29A52907" w14:textId="0123BF54" w:rsidR="006E2712" w:rsidRPr="004F0553" w:rsidRDefault="006E2712" w:rsidP="00B97CF4">
      <w:pPr>
        <w:jc w:val="left"/>
      </w:pPr>
      <w:r w:rsidRPr="004F0553">
        <w:t>At the same time, California’s policy landscape has created a strong demand for applying this science to real</w:t>
      </w:r>
      <w:r w:rsidRPr="004F0553">
        <w:rPr>
          <w:rFonts w:ascii="Cambria Math" w:hAnsi="Cambria Math" w:cs="Cambria Math"/>
        </w:rPr>
        <w:t>‑</w:t>
      </w:r>
      <w:r w:rsidRPr="004F0553">
        <w:t>world regulatory processes. Utilities must submit Wildfire Mitigation Plans that demonstrate how their investments reduce risk, and regulators—including the CPUC and the Office of Energy Infrastructure Safety (OEIS)—must evaluate these plans using the best available risk information. Under the state’s strict liability regime, utilities have dramatically increased mitigation spending in the last several years, contributing to rapidly rising electricity rates. Wildfire-related costs, including both mitigation and liability, have increased from 0.5-3% of utility rates in 2019 to 8.5-18% in 2023.</w:t>
      </w:r>
      <w:r w:rsidR="002A5A04">
        <w:rPr>
          <w:rStyle w:val="FootnoteReference"/>
        </w:rPr>
        <w:footnoteReference w:id="1"/>
      </w:r>
      <w:r w:rsidRPr="004F0553">
        <w:t xml:space="preserve"> In this liability landscape, successful mitigations made by non-utility actors may have equal or greater ratepayer benefits by reducing wildfire risk more cost-effectively than utility investments. Policymakers therefore need tools that can assess whether utility investments are cost</w:t>
      </w:r>
      <w:r w:rsidRPr="004F0553">
        <w:rPr>
          <w:rFonts w:ascii="Cambria Math" w:hAnsi="Cambria Math" w:cs="Cambria Math"/>
        </w:rPr>
        <w:t>‑</w:t>
      </w:r>
      <w:r w:rsidRPr="004F0553">
        <w:t>effective and, more broadly, to understand how they compare with non</w:t>
      </w:r>
      <w:r w:rsidRPr="004F0553">
        <w:rPr>
          <w:rFonts w:ascii="Cambria Math" w:hAnsi="Cambria Math" w:cs="Cambria Math"/>
        </w:rPr>
        <w:t>‑</w:t>
      </w:r>
      <w:r w:rsidRPr="004F0553">
        <w:t xml:space="preserve">utility strategies such as fuels treatments, home hardening, and community resilience measures. </w:t>
      </w:r>
    </w:p>
    <w:p w14:paraId="4023AB17" w14:textId="77777777" w:rsidR="006E2712" w:rsidRPr="004F0553" w:rsidRDefault="006E2712" w:rsidP="00B97CF4">
      <w:pPr>
        <w:spacing w:line="259" w:lineRule="auto"/>
        <w:jc w:val="left"/>
      </w:pPr>
      <w:r w:rsidRPr="004F0553">
        <w:lastRenderedPageBreak/>
        <w:t>The Senate Bill (SB) 254 (2025) Study Report, Enhancing California’s Resiliency to Natural Catastrophes, underscored this need by calling for a “whole</w:t>
      </w:r>
      <w:r w:rsidRPr="004F0553">
        <w:rPr>
          <w:rFonts w:ascii="Cambria Math" w:hAnsi="Cambria Math" w:cs="Cambria Math"/>
        </w:rPr>
        <w:t>‑</w:t>
      </w:r>
      <w:r w:rsidRPr="004F0553">
        <w:t>of</w:t>
      </w:r>
      <w:r w:rsidRPr="004F0553">
        <w:rPr>
          <w:rFonts w:ascii="Cambria Math" w:hAnsi="Cambria Math" w:cs="Cambria Math"/>
        </w:rPr>
        <w:t>‑</w:t>
      </w:r>
      <w:r w:rsidRPr="004F0553">
        <w:t>government” approach that identifies where the most cost</w:t>
      </w:r>
      <w:r w:rsidRPr="004F0553">
        <w:rPr>
          <w:rFonts w:ascii="Cambria Math" w:hAnsi="Cambria Math" w:cs="Cambria Math"/>
        </w:rPr>
        <w:t>‑</w:t>
      </w:r>
      <w:r w:rsidRPr="004F0553">
        <w:t>effective wildfire risk</w:t>
      </w:r>
      <w:r w:rsidRPr="004F0553">
        <w:rPr>
          <w:rFonts w:ascii="Cambria Math" w:hAnsi="Cambria Math" w:cs="Cambria Math"/>
        </w:rPr>
        <w:t>‑</w:t>
      </w:r>
      <w:r w:rsidRPr="004F0553">
        <w:t>reduction actions lie—whether within utility investments and operations or across land management, local planning, and community preparedness. Yet California currently lacks a unified framework capable of comparing these diverse interventions on standardized metrics. To address this research gap, this solicitation builds on EPIC’s scientific advances by seeking the development of an integrated decision</w:t>
      </w:r>
      <w:r w:rsidRPr="004F0553">
        <w:rPr>
          <w:rFonts w:eastAsia="Arial"/>
        </w:rPr>
        <w:t xml:space="preserve">‑support </w:t>
      </w:r>
      <w:r w:rsidRPr="004F0553">
        <w:t>framework that helps utilities, regulators, and other agencies evaluate tradeoffs, coordinate strategies, and prioritize the most cost</w:t>
      </w:r>
      <w:r w:rsidRPr="004F0553">
        <w:rPr>
          <w:rFonts w:ascii="Cambria Math" w:hAnsi="Cambria Math" w:cs="Cambria Math"/>
        </w:rPr>
        <w:t>‑</w:t>
      </w:r>
      <w:r w:rsidRPr="004F0553">
        <w:t>effective pathways for reducing wildfire risk statewide. CEC staff envision a portfolio of research situated to address this challenge; this solicitation represents a first step in this direction.</w:t>
      </w:r>
    </w:p>
    <w:p w14:paraId="33675804" w14:textId="77777777" w:rsidR="006E2712" w:rsidRPr="004F0553" w:rsidRDefault="006E2712" w:rsidP="00B97CF4">
      <w:pPr>
        <w:jc w:val="left"/>
        <w:rPr>
          <w:bCs/>
        </w:rPr>
      </w:pPr>
      <w:r w:rsidRPr="004F0553">
        <w:rPr>
          <w:bCs/>
        </w:rPr>
        <w:t>This solicitation proposes public interest research to benefit electricity ratepayers through development of innovative and open data products, modeling, and analytical frameworks that are tailored to support management of California’s specific climate- and wildfire-related challenges to the electricity sector.</w:t>
      </w:r>
    </w:p>
    <w:p w14:paraId="1EA84FF2" w14:textId="77777777" w:rsidR="006E2712" w:rsidRPr="004F0553" w:rsidRDefault="006E2712" w:rsidP="00B97CF4">
      <w:pPr>
        <w:jc w:val="left"/>
        <w:rPr>
          <w:szCs w:val="22"/>
        </w:rPr>
      </w:pPr>
      <w:r w:rsidRPr="004F0553">
        <w:rPr>
          <w:szCs w:val="22"/>
        </w:rPr>
        <w:t xml:space="preserve">Projects must fall within the following project groups: </w:t>
      </w:r>
    </w:p>
    <w:p w14:paraId="3A0FBD1F" w14:textId="77777777" w:rsidR="006E2712" w:rsidRPr="004F0553" w:rsidRDefault="006E2712" w:rsidP="00B97CF4">
      <w:pPr>
        <w:numPr>
          <w:ilvl w:val="0"/>
          <w:numId w:val="21"/>
        </w:numPr>
        <w:tabs>
          <w:tab w:val="num" w:pos="360"/>
        </w:tabs>
        <w:jc w:val="left"/>
        <w:rPr>
          <w:b/>
        </w:rPr>
      </w:pPr>
      <w:r w:rsidRPr="004F0553">
        <w:rPr>
          <w:b/>
        </w:rPr>
        <w:t>Group 1</w:t>
      </w:r>
      <w:r w:rsidRPr="004F0553">
        <w:t>: Advance foundational data and analytical resources to fortify climate resilience</w:t>
      </w:r>
    </w:p>
    <w:p w14:paraId="08D72FAC" w14:textId="77777777" w:rsidR="006E2712" w:rsidRPr="004F0553" w:rsidRDefault="006E2712" w:rsidP="00B97CF4">
      <w:pPr>
        <w:numPr>
          <w:ilvl w:val="0"/>
          <w:numId w:val="21"/>
        </w:numPr>
        <w:tabs>
          <w:tab w:val="num" w:pos="360"/>
        </w:tabs>
        <w:jc w:val="left"/>
        <w:rPr>
          <w:b/>
        </w:rPr>
      </w:pPr>
      <w:r w:rsidRPr="004F0553">
        <w:rPr>
          <w:b/>
        </w:rPr>
        <w:t>Group 2</w:t>
      </w:r>
      <w:r w:rsidRPr="004F0553">
        <w:t>: Demonstration of novel analyses, conceptual frameworks, and modeling to advance climate resilience in policy</w:t>
      </w:r>
    </w:p>
    <w:p w14:paraId="424C920E" w14:textId="77777777" w:rsidR="006E2712" w:rsidRPr="004F0553" w:rsidRDefault="006E2712" w:rsidP="00B97CF4">
      <w:pPr>
        <w:numPr>
          <w:ilvl w:val="0"/>
          <w:numId w:val="21"/>
        </w:numPr>
        <w:tabs>
          <w:tab w:val="num" w:pos="360"/>
        </w:tabs>
        <w:jc w:val="left"/>
        <w:rPr>
          <w:b/>
        </w:rPr>
      </w:pPr>
      <w:r w:rsidRPr="004F0553">
        <w:rPr>
          <w:b/>
        </w:rPr>
        <w:t xml:space="preserve">Group 3: </w:t>
      </w:r>
      <w:r w:rsidRPr="004F0553">
        <w:t>Integrated framework for utility wildfire risk mitigation</w:t>
      </w:r>
    </w:p>
    <w:p w14:paraId="5E5D8BCD" w14:textId="77777777" w:rsidR="006E2712" w:rsidRPr="006E2712" w:rsidRDefault="006E2712" w:rsidP="009C48D2">
      <w:pPr>
        <w:pStyle w:val="ListBullet"/>
        <w:numPr>
          <w:ilvl w:val="0"/>
          <w:numId w:val="0"/>
        </w:numPr>
        <w:ind w:left="720"/>
        <w:jc w:val="left"/>
        <w:rPr>
          <w:strike/>
        </w:rPr>
      </w:pPr>
    </w:p>
    <w:bookmarkEnd w:id="12"/>
    <w:bookmarkEnd w:id="13"/>
    <w:p w14:paraId="36F6BBEB" w14:textId="77777777" w:rsidR="00665B8E" w:rsidRDefault="00665B8E" w:rsidP="00B97CF4">
      <w:pPr>
        <w:pStyle w:val="BodyText"/>
        <w:jc w:val="left"/>
      </w:pPr>
      <w:r w:rsidRPr="003F6147">
        <w:rPr>
          <w:szCs w:val="22"/>
        </w:rPr>
        <w:t xml:space="preserve">See </w:t>
      </w:r>
      <w:r>
        <w:rPr>
          <w:szCs w:val="22"/>
        </w:rPr>
        <w:t>Section</w:t>
      </w:r>
      <w:r w:rsidRPr="003F6147">
        <w:rPr>
          <w:szCs w:val="22"/>
        </w:rPr>
        <w:t xml:space="preserve"> II of this solicitation for eligibility requirements. </w:t>
      </w:r>
      <w:r w:rsidRPr="003F6147">
        <w:t xml:space="preserve">Applications will be evaluated as </w:t>
      </w:r>
      <w:r w:rsidRPr="00071B26">
        <w:t>described in Section IV of this solicitation</w:t>
      </w:r>
      <w:r w:rsidRPr="003F6147">
        <w:t xml:space="preserve">. </w:t>
      </w:r>
    </w:p>
    <w:p w14:paraId="711E3D34" w14:textId="7E2064F6" w:rsidR="00665B8E" w:rsidRPr="007B7539" w:rsidRDefault="00665B8E" w:rsidP="00B97CF4">
      <w:pPr>
        <w:pStyle w:val="BodyText"/>
        <w:jc w:val="left"/>
        <w:rPr>
          <w:strike/>
          <w:color w:val="0070C0"/>
        </w:rPr>
      </w:pPr>
      <w:r w:rsidRPr="003F6147">
        <w:t xml:space="preserve">Applicants may submit multiple applications, though each application must address only one of the project groups identified above. If an applicant submits multiple applications that address the same project group, each application must be for a distinct project (i.e., no overlap with respect to the </w:t>
      </w:r>
      <w:r>
        <w:t xml:space="preserve">technical </w:t>
      </w:r>
      <w:r w:rsidRPr="003F6147">
        <w:t>tasks described in</w:t>
      </w:r>
      <w:r>
        <w:t xml:space="preserve"> the Scope of Work</w:t>
      </w:r>
      <w:r w:rsidRPr="003F6147">
        <w:t>).</w:t>
      </w:r>
      <w:r w:rsidRPr="00960D30">
        <w:t xml:space="preserve"> </w:t>
      </w:r>
    </w:p>
    <w:p w14:paraId="301EE21D" w14:textId="7A701D2F" w:rsidR="00665B8E" w:rsidRPr="003F6147" w:rsidRDefault="00665B8E" w:rsidP="00B97CF4">
      <w:pPr>
        <w:pStyle w:val="BodyText"/>
        <w:jc w:val="left"/>
      </w:pPr>
      <w:r w:rsidRPr="00FD6239">
        <w:t xml:space="preserve">Prospective applicants looking for partnering opportunities for this funding opportunity should register on the California Energy Commission’s </w:t>
      </w:r>
      <w:hyperlink r:id="rId19" w:history="1">
        <w:r w:rsidRPr="004925A5">
          <w:rPr>
            <w:rStyle w:val="Hyperlink"/>
            <w:rFonts w:cs="Arial"/>
            <w:szCs w:val="22"/>
          </w:rPr>
          <w:t>Empower Innovation website</w:t>
        </w:r>
      </w:hyperlink>
      <w:r w:rsidRPr="00FD6239">
        <w:t xml:space="preserve"> at www.empowerinnovation.net</w:t>
      </w:r>
      <w:r w:rsidR="001C4521">
        <w:t>.</w:t>
      </w:r>
    </w:p>
    <w:p w14:paraId="1E1F6A65" w14:textId="298CB144" w:rsidR="00665B8E" w:rsidRPr="00DC3F7D" w:rsidRDefault="00F15B8B" w:rsidP="00E94BF0">
      <w:pPr>
        <w:pStyle w:val="Heading3"/>
        <w:jc w:val="left"/>
        <w:rPr>
          <w:b w:val="0"/>
          <w:smallCaps w:val="0"/>
          <w:highlight w:val="lightGray"/>
        </w:rPr>
      </w:pPr>
      <w:bookmarkStart w:id="15" w:name="_Toc458602320"/>
      <w:bookmarkStart w:id="16" w:name="_Toc233727880"/>
      <w:r>
        <w:rPr>
          <w:highlight w:val="lightGray"/>
        </w:rPr>
        <w:br w:type="page"/>
      </w:r>
      <w:r w:rsidR="00665B8E" w:rsidRPr="00756BAC">
        <w:lastRenderedPageBreak/>
        <w:t>Key Words/Terms</w:t>
      </w:r>
      <w:bookmarkEnd w:id="15"/>
      <w:bookmarkEnd w:id="16"/>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Key words and terms"/>
        <w:tblDescription w:val="defines the key words and tems that are found in this document"/>
      </w:tblPr>
      <w:tblGrid>
        <w:gridCol w:w="2430"/>
        <w:gridCol w:w="6930"/>
      </w:tblGrid>
      <w:tr w:rsidR="00665B8E" w:rsidRPr="003F6147" w14:paraId="20CFE335" w14:textId="77777777" w:rsidTr="00A85A94">
        <w:trPr>
          <w:trHeight w:val="235"/>
          <w:tblHeader/>
          <w:jc w:val="center"/>
        </w:trPr>
        <w:tc>
          <w:tcPr>
            <w:tcW w:w="2430" w:type="dxa"/>
            <w:shd w:val="clear" w:color="auto" w:fill="D9D9D9" w:themeFill="background1" w:themeFillShade="D9"/>
            <w:vAlign w:val="center"/>
          </w:tcPr>
          <w:p w14:paraId="07CB6E29" w14:textId="77777777" w:rsidR="00665B8E" w:rsidRPr="003F6147" w:rsidRDefault="00665B8E" w:rsidP="00B97CF4">
            <w:pPr>
              <w:spacing w:after="0"/>
              <w:jc w:val="left"/>
              <w:rPr>
                <w:b/>
              </w:rPr>
            </w:pPr>
            <w:r w:rsidRPr="003F6147">
              <w:rPr>
                <w:b/>
              </w:rPr>
              <w:t>Word/Term</w:t>
            </w:r>
          </w:p>
        </w:tc>
        <w:tc>
          <w:tcPr>
            <w:tcW w:w="6930" w:type="dxa"/>
            <w:shd w:val="clear" w:color="auto" w:fill="D9D9D9" w:themeFill="background1" w:themeFillShade="D9"/>
            <w:vAlign w:val="center"/>
          </w:tcPr>
          <w:p w14:paraId="224DE17B" w14:textId="77777777" w:rsidR="00665B8E" w:rsidRPr="003F6147" w:rsidRDefault="00665B8E" w:rsidP="00B97CF4">
            <w:pPr>
              <w:spacing w:after="0"/>
              <w:jc w:val="left"/>
              <w:rPr>
                <w:b/>
              </w:rPr>
            </w:pPr>
            <w:r w:rsidRPr="003F6147">
              <w:rPr>
                <w:b/>
              </w:rPr>
              <w:t>Definition</w:t>
            </w:r>
          </w:p>
        </w:tc>
      </w:tr>
      <w:tr w:rsidR="00665B8E" w:rsidRPr="003F6147" w14:paraId="6D788A59" w14:textId="77777777" w:rsidTr="00A85A94">
        <w:trPr>
          <w:jc w:val="center"/>
        </w:trPr>
        <w:tc>
          <w:tcPr>
            <w:tcW w:w="2430" w:type="dxa"/>
          </w:tcPr>
          <w:p w14:paraId="624C3295" w14:textId="77777777" w:rsidR="00665B8E" w:rsidRPr="003F6147" w:rsidRDefault="00665B8E" w:rsidP="00B97CF4">
            <w:pPr>
              <w:jc w:val="left"/>
            </w:pPr>
            <w:r w:rsidRPr="003F6147">
              <w:t>Applicant</w:t>
            </w:r>
          </w:p>
        </w:tc>
        <w:tc>
          <w:tcPr>
            <w:tcW w:w="6930" w:type="dxa"/>
          </w:tcPr>
          <w:p w14:paraId="203D5F2A" w14:textId="77777777" w:rsidR="00665B8E" w:rsidRPr="003F6147" w:rsidRDefault="00665B8E" w:rsidP="00B97CF4">
            <w:pPr>
              <w:jc w:val="left"/>
            </w:pPr>
            <w:r>
              <w:t>An</w:t>
            </w:r>
            <w:r w:rsidRPr="003F6147">
              <w:t xml:space="preserve"> entity that submits an application to this solicitation</w:t>
            </w:r>
            <w:r>
              <w:t>.</w:t>
            </w:r>
          </w:p>
        </w:tc>
      </w:tr>
      <w:tr w:rsidR="00665B8E" w:rsidRPr="003F6147" w14:paraId="58218B76" w14:textId="77777777" w:rsidTr="00A85A94">
        <w:trPr>
          <w:jc w:val="center"/>
        </w:trPr>
        <w:tc>
          <w:tcPr>
            <w:tcW w:w="2430" w:type="dxa"/>
          </w:tcPr>
          <w:p w14:paraId="44606C19" w14:textId="77777777" w:rsidR="00665B8E" w:rsidRPr="003F6147" w:rsidRDefault="00665B8E" w:rsidP="00B97CF4">
            <w:pPr>
              <w:jc w:val="left"/>
            </w:pPr>
            <w:r w:rsidRPr="003F6147">
              <w:t>Application</w:t>
            </w:r>
          </w:p>
        </w:tc>
        <w:tc>
          <w:tcPr>
            <w:tcW w:w="6930" w:type="dxa"/>
          </w:tcPr>
          <w:p w14:paraId="421FC6FC" w14:textId="77777777" w:rsidR="00665B8E" w:rsidRPr="003F6147" w:rsidRDefault="00665B8E" w:rsidP="00B97CF4">
            <w:pPr>
              <w:jc w:val="left"/>
            </w:pPr>
            <w:r w:rsidRPr="003F6147">
              <w:t>An applicant’s written response to this solicitation</w:t>
            </w:r>
            <w:r>
              <w:t>.</w:t>
            </w:r>
          </w:p>
        </w:tc>
      </w:tr>
      <w:tr w:rsidR="00665B8E" w:rsidRPr="003F6147" w14:paraId="4D9F9CBC" w14:textId="77777777" w:rsidTr="00A85A94">
        <w:trPr>
          <w:jc w:val="center"/>
        </w:trPr>
        <w:tc>
          <w:tcPr>
            <w:tcW w:w="2430" w:type="dxa"/>
          </w:tcPr>
          <w:p w14:paraId="19F00683" w14:textId="77777777" w:rsidR="00665B8E" w:rsidRPr="003F6147" w:rsidRDefault="00665B8E" w:rsidP="00B97CF4">
            <w:pPr>
              <w:jc w:val="left"/>
            </w:pPr>
            <w:r>
              <w:t>Authorized Representative</w:t>
            </w:r>
          </w:p>
        </w:tc>
        <w:tc>
          <w:tcPr>
            <w:tcW w:w="6930" w:type="dxa"/>
          </w:tcPr>
          <w:p w14:paraId="28367E7F" w14:textId="77777777" w:rsidR="00665B8E" w:rsidRPr="008964A1" w:rsidRDefault="00665B8E" w:rsidP="00B97CF4">
            <w:pPr>
              <w:jc w:val="left"/>
            </w:pPr>
            <w:r>
              <w:t xml:space="preserve">The person submitting the application who has authority to enter into an agreement with the CEC. </w:t>
            </w:r>
          </w:p>
        </w:tc>
      </w:tr>
      <w:tr w:rsidR="00665B8E" w:rsidRPr="003F6147" w14:paraId="51DDD524" w14:textId="77777777" w:rsidTr="00A85A94">
        <w:trPr>
          <w:jc w:val="center"/>
        </w:trPr>
        <w:tc>
          <w:tcPr>
            <w:tcW w:w="2430" w:type="dxa"/>
          </w:tcPr>
          <w:p w14:paraId="7F4CC6E3" w14:textId="77777777" w:rsidR="00665B8E" w:rsidRDefault="00665B8E" w:rsidP="00B97CF4">
            <w:pPr>
              <w:jc w:val="left"/>
            </w:pPr>
            <w:r w:rsidRPr="00206667">
              <w:t>California Native American Tribe</w:t>
            </w:r>
          </w:p>
        </w:tc>
        <w:tc>
          <w:tcPr>
            <w:tcW w:w="6930" w:type="dxa"/>
          </w:tcPr>
          <w:p w14:paraId="3F76F690" w14:textId="77777777" w:rsidR="00665B8E" w:rsidDel="008011F4" w:rsidRDefault="00665B8E" w:rsidP="00B97CF4">
            <w:pPr>
              <w:jc w:val="left"/>
              <w:rPr>
                <w:i/>
              </w:rPr>
            </w:pPr>
            <w:r w:rsidRPr="00206667">
              <w:t>A Native American Tribe located in California that is on the contact list maintained by the Native American Heritage Commission for the purposes of Chapter 905 of the Statutes of 2004 (Pub. Resources Code, § 21073).</w:t>
            </w:r>
          </w:p>
        </w:tc>
      </w:tr>
      <w:tr w:rsidR="00665B8E" w:rsidRPr="003F6147" w14:paraId="5AEB48B1" w14:textId="77777777" w:rsidTr="00A85A94">
        <w:trPr>
          <w:jc w:val="center"/>
        </w:trPr>
        <w:tc>
          <w:tcPr>
            <w:tcW w:w="2430" w:type="dxa"/>
          </w:tcPr>
          <w:p w14:paraId="4646B652" w14:textId="77777777" w:rsidR="00665B8E" w:rsidRPr="00206667" w:rsidRDefault="00665B8E" w:rsidP="00B97CF4">
            <w:pPr>
              <w:jc w:val="left"/>
            </w:pPr>
            <w:r w:rsidRPr="00362F91">
              <w:t>California Tribal Organization</w:t>
            </w:r>
          </w:p>
        </w:tc>
        <w:tc>
          <w:tcPr>
            <w:tcW w:w="6930" w:type="dxa"/>
          </w:tcPr>
          <w:p w14:paraId="21CD4560" w14:textId="77777777" w:rsidR="00665B8E" w:rsidRPr="00206667" w:rsidRDefault="00665B8E" w:rsidP="00B97CF4">
            <w:pPr>
              <w:jc w:val="left"/>
            </w:pPr>
            <w:r w:rsidRPr="00362F91">
              <w:t>A corporation, association, or group controlled, sanctioned, or chartered by a California Native American tribe that is subject to its laws, the laws of the State of California, or the laws of the United States.</w:t>
            </w:r>
          </w:p>
        </w:tc>
      </w:tr>
      <w:tr w:rsidR="00F114FB" w:rsidRPr="00F114FB" w14:paraId="77AB54D0" w14:textId="77777777" w:rsidTr="00A85A94">
        <w:trPr>
          <w:jc w:val="center"/>
        </w:trPr>
        <w:tc>
          <w:tcPr>
            <w:tcW w:w="2430" w:type="dxa"/>
          </w:tcPr>
          <w:p w14:paraId="35268D64" w14:textId="190D5D13" w:rsidR="00F114FB" w:rsidRPr="00F114FB" w:rsidRDefault="00F114FB" w:rsidP="00B97CF4">
            <w:pPr>
              <w:jc w:val="left"/>
            </w:pPr>
            <w:r w:rsidRPr="00F114FB">
              <w:t>Cal-Adapt</w:t>
            </w:r>
          </w:p>
        </w:tc>
        <w:tc>
          <w:tcPr>
            <w:tcW w:w="6930" w:type="dxa"/>
          </w:tcPr>
          <w:p w14:paraId="230AFD7C" w14:textId="30B867D0" w:rsidR="00F114FB" w:rsidRPr="00F114FB" w:rsidRDefault="00F114FB" w:rsidP="00B97CF4">
            <w:pPr>
              <w:jc w:val="left"/>
            </w:pPr>
            <w:r w:rsidRPr="00F114FB">
              <w:t xml:space="preserve">Cal-Adapt comprises multiple, independently funded elements, including the Cal-Adapt Data Explorer and Cal-Adapt Analytics Engine platforms. These open-source platforms enable access to peer-reviewed climate data that can support electricity sector planning and outreach as well as local and regional adaptation planning. Cal-Adapt is currently funded by competitively bid EPIC grants.  </w:t>
            </w:r>
          </w:p>
        </w:tc>
      </w:tr>
      <w:tr w:rsidR="00665B8E" w:rsidRPr="003F6147" w14:paraId="3658BA97" w14:textId="77777777" w:rsidTr="00A85A94">
        <w:trPr>
          <w:jc w:val="center"/>
        </w:trPr>
        <w:tc>
          <w:tcPr>
            <w:tcW w:w="2430" w:type="dxa"/>
          </w:tcPr>
          <w:p w14:paraId="0F509FD2" w14:textId="77777777" w:rsidR="00665B8E" w:rsidRPr="003F6147" w:rsidRDefault="00665B8E" w:rsidP="00B97CF4">
            <w:pPr>
              <w:jc w:val="left"/>
            </w:pPr>
            <w:r w:rsidRPr="003F6147">
              <w:t>CAM</w:t>
            </w:r>
          </w:p>
        </w:tc>
        <w:tc>
          <w:tcPr>
            <w:tcW w:w="6930" w:type="dxa"/>
          </w:tcPr>
          <w:p w14:paraId="230FF5E3" w14:textId="77777777" w:rsidR="00665B8E" w:rsidRPr="003F6147" w:rsidRDefault="00665B8E" w:rsidP="00B97CF4">
            <w:pPr>
              <w:jc w:val="left"/>
            </w:pPr>
            <w:r w:rsidRPr="003F6147">
              <w:rPr>
                <w:i/>
              </w:rPr>
              <w:t>Commission Agreement Manager,</w:t>
            </w:r>
            <w:r w:rsidRPr="003F6147">
              <w:t xml:space="preserve"> the person designated by the CEC to oversee the performance of an agreement resulting from this solicitation and to serve as the main point of contact for the </w:t>
            </w:r>
            <w:r>
              <w:t>grant r</w:t>
            </w:r>
            <w:r w:rsidRPr="003F6147">
              <w:t>ecipient</w:t>
            </w:r>
            <w:r>
              <w:t>.</w:t>
            </w:r>
          </w:p>
        </w:tc>
      </w:tr>
      <w:tr w:rsidR="00665B8E" w:rsidRPr="003F6147" w14:paraId="399704C5" w14:textId="77777777" w:rsidTr="00A85A94">
        <w:trPr>
          <w:jc w:val="center"/>
        </w:trPr>
        <w:tc>
          <w:tcPr>
            <w:tcW w:w="2430" w:type="dxa"/>
          </w:tcPr>
          <w:p w14:paraId="04FB0462" w14:textId="77777777" w:rsidR="00665B8E" w:rsidRPr="003F6147" w:rsidRDefault="00665B8E" w:rsidP="00B97CF4">
            <w:pPr>
              <w:jc w:val="left"/>
            </w:pPr>
            <w:r w:rsidRPr="003F6147">
              <w:t>CAO</w:t>
            </w:r>
          </w:p>
        </w:tc>
        <w:tc>
          <w:tcPr>
            <w:tcW w:w="6930" w:type="dxa"/>
          </w:tcPr>
          <w:p w14:paraId="2CE3C8B1" w14:textId="77777777" w:rsidR="00665B8E" w:rsidRPr="003F6147" w:rsidRDefault="00665B8E" w:rsidP="00B97CF4">
            <w:pPr>
              <w:jc w:val="left"/>
              <w:rPr>
                <w:i/>
              </w:rPr>
            </w:pPr>
            <w:r w:rsidRPr="00CE61FD">
              <w:rPr>
                <w:i/>
                <w:iCs/>
              </w:rPr>
              <w:t>Commission Agreement Officer</w:t>
            </w:r>
            <w:r w:rsidRPr="00CC0D0D">
              <w:t>, the person designated by the CEC to oversee the internal administrative processes and to serves as the main point of contact for solicitation applicants</w:t>
            </w:r>
            <w:r>
              <w:t>.</w:t>
            </w:r>
          </w:p>
        </w:tc>
      </w:tr>
      <w:tr w:rsidR="00665B8E" w:rsidRPr="003F6147" w14:paraId="3884B6B4" w14:textId="77777777" w:rsidTr="00A85A94">
        <w:trPr>
          <w:jc w:val="center"/>
        </w:trPr>
        <w:tc>
          <w:tcPr>
            <w:tcW w:w="2430" w:type="dxa"/>
          </w:tcPr>
          <w:p w14:paraId="719EC491" w14:textId="77777777" w:rsidR="00665B8E" w:rsidRPr="003F6147" w:rsidRDefault="00665B8E" w:rsidP="00B97CF4">
            <w:pPr>
              <w:jc w:val="left"/>
            </w:pPr>
            <w:r w:rsidRPr="003F6147">
              <w:t>CBO</w:t>
            </w:r>
          </w:p>
        </w:tc>
        <w:tc>
          <w:tcPr>
            <w:tcW w:w="6930" w:type="dxa"/>
          </w:tcPr>
          <w:p w14:paraId="72E7E80F" w14:textId="77777777" w:rsidR="00665B8E" w:rsidRPr="003F6147" w:rsidRDefault="00665B8E" w:rsidP="00B97CF4">
            <w:pPr>
              <w:spacing w:after="60"/>
              <w:contextualSpacing/>
              <w:jc w:val="left"/>
            </w:pPr>
            <w:r w:rsidRPr="00CE61FD">
              <w:rPr>
                <w:i/>
                <w:iCs/>
              </w:rPr>
              <w:t>Community Based Organization</w:t>
            </w:r>
            <w:r>
              <w:t>,</w:t>
            </w:r>
            <w:r w:rsidRPr="003F6147">
              <w:t xml:space="preserve"> </w:t>
            </w:r>
            <w:r>
              <w:t>a</w:t>
            </w:r>
            <w:r w:rsidRPr="003F6147">
              <w:t xml:space="preserve"> public or private nonprofit organization of demonstrated effectiveness that: </w:t>
            </w:r>
          </w:p>
          <w:p w14:paraId="45BE6B2E" w14:textId="77777777" w:rsidR="00665B8E" w:rsidRPr="003F6147" w:rsidRDefault="00665B8E" w:rsidP="00B97CF4">
            <w:pPr>
              <w:numPr>
                <w:ilvl w:val="0"/>
                <w:numId w:val="22"/>
              </w:numPr>
              <w:spacing w:after="200"/>
              <w:contextualSpacing/>
              <w:jc w:val="left"/>
            </w:pPr>
            <w:r w:rsidRPr="003F6147">
              <w:t>Has deployed projects and/or outreach efforts within the region (e.g., air basin or county) of the proposed disadvantaged or low-income community</w:t>
            </w:r>
            <w:r>
              <w:t xml:space="preserve"> or similar community</w:t>
            </w:r>
            <w:r w:rsidRPr="003F6147">
              <w:t>.</w:t>
            </w:r>
          </w:p>
          <w:p w14:paraId="3522948F" w14:textId="77777777" w:rsidR="00665B8E" w:rsidRPr="003F6147" w:rsidRDefault="00665B8E" w:rsidP="00B97CF4">
            <w:pPr>
              <w:numPr>
                <w:ilvl w:val="0"/>
                <w:numId w:val="22"/>
              </w:numPr>
              <w:spacing w:after="200"/>
              <w:contextualSpacing/>
              <w:jc w:val="left"/>
            </w:pPr>
            <w:r>
              <w:t>Has an</w:t>
            </w:r>
            <w:r w:rsidRPr="003F6147">
              <w:t xml:space="preserve"> official mission and vision statements that expressly identifies serving disadvantaged and/or low-income communities.</w:t>
            </w:r>
          </w:p>
          <w:p w14:paraId="0AAA0B6B" w14:textId="77777777" w:rsidR="00665B8E" w:rsidRPr="003F6147" w:rsidRDefault="00665B8E" w:rsidP="00B97CF4">
            <w:pPr>
              <w:numPr>
                <w:ilvl w:val="0"/>
                <w:numId w:val="22"/>
              </w:numPr>
              <w:spacing w:after="60"/>
              <w:contextualSpacing/>
              <w:jc w:val="left"/>
            </w:pPr>
            <w:r w:rsidRPr="003F6147">
              <w:t>Currently employs staff member(s) who specialized in and are dedicated to – diversity, or equity, or inclusion, or is a 501(c)(3) non-profit.</w:t>
            </w:r>
          </w:p>
        </w:tc>
      </w:tr>
      <w:tr w:rsidR="00665B8E" w:rsidRPr="003F6147" w14:paraId="6D01FFC4" w14:textId="77777777" w:rsidTr="00A85A94">
        <w:trPr>
          <w:jc w:val="center"/>
        </w:trPr>
        <w:tc>
          <w:tcPr>
            <w:tcW w:w="2430" w:type="dxa"/>
          </w:tcPr>
          <w:p w14:paraId="5661DF05" w14:textId="77777777" w:rsidR="00665B8E" w:rsidRPr="003F6147" w:rsidRDefault="00665B8E" w:rsidP="00B97CF4">
            <w:pPr>
              <w:jc w:val="left"/>
            </w:pPr>
            <w:r w:rsidRPr="003F6147">
              <w:lastRenderedPageBreak/>
              <w:t>CEC</w:t>
            </w:r>
          </w:p>
        </w:tc>
        <w:tc>
          <w:tcPr>
            <w:tcW w:w="6930" w:type="dxa"/>
          </w:tcPr>
          <w:p w14:paraId="03B5B589" w14:textId="51F6D4A2" w:rsidR="00665B8E" w:rsidRPr="003F6147" w:rsidRDefault="00665B8E" w:rsidP="00B97CF4">
            <w:pPr>
              <w:spacing w:after="60"/>
              <w:contextualSpacing/>
              <w:jc w:val="left"/>
            </w:pPr>
            <w:r w:rsidRPr="003F6147">
              <w:t>State Energy Resources Conservation and Development Commission or, the California Energy Commission</w:t>
            </w:r>
            <w:r>
              <w:t>.</w:t>
            </w:r>
          </w:p>
        </w:tc>
      </w:tr>
      <w:tr w:rsidR="00665B8E" w:rsidRPr="003F6147" w14:paraId="7B3AFA3B" w14:textId="77777777" w:rsidTr="00A85A94">
        <w:trPr>
          <w:jc w:val="center"/>
        </w:trPr>
        <w:tc>
          <w:tcPr>
            <w:tcW w:w="2430" w:type="dxa"/>
          </w:tcPr>
          <w:p w14:paraId="00BDE87C" w14:textId="77777777" w:rsidR="00665B8E" w:rsidRPr="003F6147" w:rsidRDefault="00665B8E" w:rsidP="00B97CF4">
            <w:pPr>
              <w:jc w:val="left"/>
            </w:pPr>
            <w:r w:rsidRPr="004E1299">
              <w:t>CEC funds</w:t>
            </w:r>
          </w:p>
        </w:tc>
        <w:tc>
          <w:tcPr>
            <w:tcW w:w="6930" w:type="dxa"/>
          </w:tcPr>
          <w:p w14:paraId="108C8E47" w14:textId="77777777" w:rsidR="00665B8E" w:rsidRPr="003F6147" w:rsidRDefault="00665B8E" w:rsidP="00B97CF4">
            <w:pPr>
              <w:spacing w:after="60"/>
              <w:contextualSpacing/>
              <w:jc w:val="left"/>
            </w:pPr>
            <w:r w:rsidRPr="007D20F4">
              <w:rPr>
                <w:i/>
                <w:iCs/>
              </w:rPr>
              <w:t xml:space="preserve">CEC funds </w:t>
            </w:r>
            <w:r w:rsidRPr="007D20F4">
              <w:t>are EPIC grant funds awarded under this solicitation.  Also referred to as grant funds.</w:t>
            </w:r>
          </w:p>
        </w:tc>
      </w:tr>
      <w:tr w:rsidR="00665B8E" w:rsidRPr="003F6147" w14:paraId="6D5FC70C" w14:textId="77777777" w:rsidTr="00A85A94">
        <w:trPr>
          <w:jc w:val="center"/>
        </w:trPr>
        <w:tc>
          <w:tcPr>
            <w:tcW w:w="2430" w:type="dxa"/>
          </w:tcPr>
          <w:p w14:paraId="209E96DE" w14:textId="77777777" w:rsidR="00665B8E" w:rsidRPr="003F6147" w:rsidRDefault="00665B8E" w:rsidP="00B97CF4">
            <w:pPr>
              <w:jc w:val="left"/>
            </w:pPr>
            <w:r w:rsidRPr="003F6147">
              <w:t>CEQA</w:t>
            </w:r>
          </w:p>
        </w:tc>
        <w:tc>
          <w:tcPr>
            <w:tcW w:w="6930" w:type="dxa"/>
          </w:tcPr>
          <w:p w14:paraId="7F0E9464" w14:textId="77777777" w:rsidR="00665B8E" w:rsidRPr="003F6147" w:rsidRDefault="00665B8E" w:rsidP="00B97CF4">
            <w:pPr>
              <w:keepNext/>
              <w:jc w:val="left"/>
              <w:outlineLvl w:val="1"/>
            </w:pPr>
            <w:r w:rsidRPr="003F6147">
              <w:t>California Environmental Quality Act, California Public Resources Code Section 21000 et seq.</w:t>
            </w:r>
          </w:p>
        </w:tc>
      </w:tr>
      <w:tr w:rsidR="00665B8E" w:rsidRPr="003F6147" w14:paraId="530D338C" w14:textId="77777777" w:rsidTr="00A85A94">
        <w:trPr>
          <w:jc w:val="center"/>
        </w:trPr>
        <w:tc>
          <w:tcPr>
            <w:tcW w:w="2430" w:type="dxa"/>
          </w:tcPr>
          <w:p w14:paraId="0E6407FB" w14:textId="77777777" w:rsidR="00665B8E" w:rsidRPr="003F6147" w:rsidRDefault="00665B8E" w:rsidP="00B97CF4">
            <w:pPr>
              <w:jc w:val="left"/>
            </w:pPr>
            <w:r w:rsidRPr="003F6147">
              <w:t>Days</w:t>
            </w:r>
          </w:p>
        </w:tc>
        <w:tc>
          <w:tcPr>
            <w:tcW w:w="6930" w:type="dxa"/>
          </w:tcPr>
          <w:p w14:paraId="2E92DBF6" w14:textId="77777777" w:rsidR="00665B8E" w:rsidRPr="003F6147" w:rsidRDefault="00665B8E" w:rsidP="00B97CF4">
            <w:pPr>
              <w:jc w:val="left"/>
              <w:rPr>
                <w:i/>
              </w:rPr>
            </w:pPr>
            <w:r w:rsidRPr="00B8391D">
              <w:rPr>
                <w:iCs/>
              </w:rPr>
              <w:t>Days refers to calendar days</w:t>
            </w:r>
            <w:r>
              <w:rPr>
                <w:i/>
              </w:rPr>
              <w:t>.</w:t>
            </w:r>
          </w:p>
        </w:tc>
      </w:tr>
      <w:tr w:rsidR="00665B8E" w:rsidRPr="003F6147" w14:paraId="78BE0025" w14:textId="77777777" w:rsidTr="00A85A94">
        <w:trPr>
          <w:jc w:val="center"/>
        </w:trPr>
        <w:tc>
          <w:tcPr>
            <w:tcW w:w="2430" w:type="dxa"/>
          </w:tcPr>
          <w:p w14:paraId="3C7F7121" w14:textId="77777777" w:rsidR="00665B8E" w:rsidRPr="003F6147" w:rsidRDefault="00665B8E" w:rsidP="00B97CF4">
            <w:pPr>
              <w:jc w:val="left"/>
            </w:pPr>
            <w:r w:rsidRPr="003F6147">
              <w:t>Disadvantaged Community</w:t>
            </w:r>
          </w:p>
        </w:tc>
        <w:tc>
          <w:tcPr>
            <w:tcW w:w="6930" w:type="dxa"/>
          </w:tcPr>
          <w:p w14:paraId="0023CEB7" w14:textId="2546326A" w:rsidR="00665B8E" w:rsidRPr="003F6147" w:rsidRDefault="00665B8E" w:rsidP="00B97CF4">
            <w:pPr>
              <w:jc w:val="left"/>
            </w:pPr>
            <w:r>
              <w:t xml:space="preserve">Communities designated pursuant to Health and Safety Code section 39711 as representing the top 25% scoring census tracts from </w:t>
            </w:r>
            <w:hyperlink r:id="rId20" w:history="1">
              <w:r w:rsidRPr="00B713F9">
                <w:rPr>
                  <w:rStyle w:val="Hyperlink"/>
                  <w:rFonts w:cs="Arial"/>
                </w:rPr>
                <w:t>CalEnviroScreen</w:t>
              </w:r>
            </w:hyperlink>
            <w:r>
              <w:t xml:space="preserve"> along with other areas with high amounts of pollution and low populations as identified by the California Environmental Protection Agency (https://oehha.ca.</w:t>
            </w:r>
            <w:r w:rsidR="00E272B1" w:rsidRPr="00A204DC">
              <w:t xml:space="preserve"> ​</w:t>
            </w:r>
            <w:r>
              <w:t>gov/</w:t>
            </w:r>
            <w:r w:rsidRPr="00A204DC">
              <w:t>​</w:t>
            </w:r>
            <w:proofErr w:type="spellStart"/>
            <w:r>
              <w:t>calenviroscreen</w:t>
            </w:r>
            <w:proofErr w:type="spellEnd"/>
            <w:r>
              <w:t>/</w:t>
            </w:r>
            <w:r w:rsidRPr="00A204DC">
              <w:t>​</w:t>
            </w:r>
            <w:r>
              <w:t>report/</w:t>
            </w:r>
            <w:r w:rsidRPr="00A204DC">
              <w:t>​</w:t>
            </w:r>
            <w:r>
              <w:t>calenviroscreen-40)</w:t>
            </w:r>
            <w:r w:rsidR="00E737DC">
              <w:t>.</w:t>
            </w:r>
          </w:p>
        </w:tc>
      </w:tr>
      <w:tr w:rsidR="00665B8E" w:rsidRPr="003F6147" w14:paraId="11ABF422" w14:textId="77777777" w:rsidTr="00A85A94">
        <w:trPr>
          <w:jc w:val="center"/>
        </w:trPr>
        <w:tc>
          <w:tcPr>
            <w:tcW w:w="2430" w:type="dxa"/>
          </w:tcPr>
          <w:p w14:paraId="2C187817" w14:textId="77777777" w:rsidR="00665B8E" w:rsidRPr="003F6147" w:rsidRDefault="00665B8E" w:rsidP="00B97CF4">
            <w:pPr>
              <w:jc w:val="left"/>
            </w:pPr>
            <w:r w:rsidRPr="003F6147">
              <w:t>Energy Equity</w:t>
            </w:r>
          </w:p>
        </w:tc>
        <w:tc>
          <w:tcPr>
            <w:tcW w:w="6930" w:type="dxa"/>
          </w:tcPr>
          <w:p w14:paraId="41C3DAC1" w14:textId="77777777" w:rsidR="00665B8E" w:rsidRPr="003F6147" w:rsidRDefault="00665B8E" w:rsidP="00B97CF4">
            <w:pPr>
              <w:jc w:val="left"/>
            </w:pPr>
            <w:r w:rsidRPr="003F6147">
              <w:t>The fair distribution of benefits and burdens from energy production and consumption.</w:t>
            </w:r>
          </w:p>
        </w:tc>
      </w:tr>
      <w:tr w:rsidR="00665B8E" w:rsidRPr="003F6147" w14:paraId="2E27B907" w14:textId="77777777" w:rsidTr="00A85A94">
        <w:trPr>
          <w:jc w:val="center"/>
        </w:trPr>
        <w:tc>
          <w:tcPr>
            <w:tcW w:w="2430" w:type="dxa"/>
          </w:tcPr>
          <w:p w14:paraId="0CC183E9" w14:textId="77777777" w:rsidR="00665B8E" w:rsidRPr="003F6147" w:rsidRDefault="00665B8E" w:rsidP="00B97CF4">
            <w:pPr>
              <w:jc w:val="left"/>
            </w:pPr>
            <w:r w:rsidRPr="003F6147">
              <w:t>EPIC</w:t>
            </w:r>
          </w:p>
        </w:tc>
        <w:tc>
          <w:tcPr>
            <w:tcW w:w="6930" w:type="dxa"/>
          </w:tcPr>
          <w:p w14:paraId="76EE4706" w14:textId="77777777" w:rsidR="00665B8E" w:rsidRPr="003F6147" w:rsidRDefault="00665B8E" w:rsidP="00B97CF4">
            <w:pPr>
              <w:jc w:val="left"/>
            </w:pPr>
            <w:r w:rsidRPr="003F6147">
              <w:rPr>
                <w:i/>
              </w:rPr>
              <w:t>Electric Program Investment Charge,</w:t>
            </w:r>
            <w:r w:rsidRPr="003F6147">
              <w:t xml:space="preserve"> the source of funding for the projects awarded under this solicitation</w:t>
            </w:r>
            <w:r>
              <w:t>.</w:t>
            </w:r>
          </w:p>
        </w:tc>
      </w:tr>
      <w:tr w:rsidR="00665B8E" w:rsidRPr="003F6147" w14:paraId="49FCA116" w14:textId="77777777" w:rsidTr="00A85A94">
        <w:trPr>
          <w:jc w:val="center"/>
        </w:trPr>
        <w:tc>
          <w:tcPr>
            <w:tcW w:w="2430" w:type="dxa"/>
          </w:tcPr>
          <w:p w14:paraId="44F20128" w14:textId="77777777" w:rsidR="00665B8E" w:rsidRPr="003F6147" w:rsidRDefault="00665B8E" w:rsidP="00B97CF4">
            <w:pPr>
              <w:jc w:val="left"/>
            </w:pPr>
            <w:r w:rsidRPr="003F6147">
              <w:t>IOU</w:t>
            </w:r>
          </w:p>
        </w:tc>
        <w:tc>
          <w:tcPr>
            <w:tcW w:w="6930" w:type="dxa"/>
          </w:tcPr>
          <w:p w14:paraId="13233D8A" w14:textId="77777777" w:rsidR="00665B8E" w:rsidRPr="003F6147" w:rsidRDefault="00665B8E" w:rsidP="00B97CF4">
            <w:pPr>
              <w:jc w:val="left"/>
            </w:pPr>
            <w:r w:rsidRPr="003F6147">
              <w:rPr>
                <w:i/>
              </w:rPr>
              <w:t>Investor-owned utility,</w:t>
            </w:r>
            <w:r w:rsidRPr="003F6147">
              <w:t xml:space="preserve"> an electrical corporation as defined in California Public Utilities Code section 218. For purposes of this solicitation, it includes Pacific Gas and Electric Co., San Diego Gas and Electric Co., and Southern California Edison Co.</w:t>
            </w:r>
          </w:p>
        </w:tc>
      </w:tr>
      <w:tr w:rsidR="00665B8E" w:rsidRPr="003F6147" w14:paraId="0067CD8E" w14:textId="77777777" w:rsidTr="00A85A94">
        <w:trPr>
          <w:jc w:val="center"/>
        </w:trPr>
        <w:tc>
          <w:tcPr>
            <w:tcW w:w="2430" w:type="dxa"/>
          </w:tcPr>
          <w:p w14:paraId="7BBCAD8B" w14:textId="77777777" w:rsidR="00665B8E" w:rsidRPr="003F6147" w:rsidRDefault="00665B8E" w:rsidP="00B97CF4">
            <w:pPr>
              <w:jc w:val="left"/>
            </w:pPr>
            <w:r w:rsidRPr="003F6147">
              <w:t>Low Income Community</w:t>
            </w:r>
          </w:p>
        </w:tc>
        <w:tc>
          <w:tcPr>
            <w:tcW w:w="6930" w:type="dxa"/>
          </w:tcPr>
          <w:p w14:paraId="105AA48F" w14:textId="28B77AAB" w:rsidR="00665B8E" w:rsidRPr="003F6147" w:rsidRDefault="00665B8E" w:rsidP="00B97CF4">
            <w:pPr>
              <w:shd w:val="clear" w:color="auto" w:fill="FFFFFF"/>
              <w:spacing w:after="60"/>
              <w:jc w:val="left"/>
              <w:textAlignment w:val="baseline"/>
            </w:pPr>
            <w:r>
              <w:t>C</w:t>
            </w:r>
            <w:r w:rsidRPr="00960D30">
              <w:t xml:space="preserve">ommunities within census tracts with median household incomes at or below 80 percent of the statewide median income or the applicable low-income threshold listed in the state income limits updated by the </w:t>
            </w:r>
            <w:hyperlink r:id="rId21" w:history="1">
              <w:r w:rsidRPr="00E272B1">
                <w:rPr>
                  <w:rStyle w:val="Hyperlink"/>
                  <w:rFonts w:cs="Arial"/>
                </w:rPr>
                <w:t>Department of Housing and Community Development</w:t>
              </w:r>
            </w:hyperlink>
            <w:r w:rsidRPr="00960D30">
              <w:t xml:space="preserve"> </w:t>
            </w:r>
            <w:r>
              <w:t>(</w:t>
            </w:r>
            <w:r w:rsidRPr="00605CC9">
              <w:t>https://www.hcd.ca.gov/grants-and-funding/</w:t>
            </w:r>
            <w:r w:rsidR="00397CB0" w:rsidRPr="00A204DC">
              <w:t>​</w:t>
            </w:r>
            <w:r w:rsidRPr="00605CC9">
              <w:t>income-limits</w:t>
            </w:r>
            <w:r>
              <w:t>)</w:t>
            </w:r>
            <w:r w:rsidR="00E737DC">
              <w:t>.</w:t>
            </w:r>
            <w:r>
              <w:t xml:space="preserve"> </w:t>
            </w:r>
          </w:p>
        </w:tc>
      </w:tr>
      <w:tr w:rsidR="00665B8E" w:rsidRPr="003F6147" w14:paraId="28C4DE68" w14:textId="77777777" w:rsidTr="00A85A94">
        <w:trPr>
          <w:jc w:val="center"/>
        </w:trPr>
        <w:tc>
          <w:tcPr>
            <w:tcW w:w="2430" w:type="dxa"/>
          </w:tcPr>
          <w:p w14:paraId="29457EA1" w14:textId="77777777" w:rsidR="00665B8E" w:rsidRPr="003F6147" w:rsidRDefault="00665B8E" w:rsidP="00B97CF4">
            <w:pPr>
              <w:jc w:val="left"/>
            </w:pPr>
            <w:r>
              <w:t xml:space="preserve">Major Subrecipient </w:t>
            </w:r>
          </w:p>
        </w:tc>
        <w:tc>
          <w:tcPr>
            <w:tcW w:w="6930" w:type="dxa"/>
          </w:tcPr>
          <w:p w14:paraId="6A17A940" w14:textId="77777777" w:rsidR="00665B8E" w:rsidRPr="00150DAF" w:rsidRDefault="00665B8E" w:rsidP="00B97CF4">
            <w:pPr>
              <w:jc w:val="left"/>
              <w:rPr>
                <w:iCs/>
              </w:rPr>
            </w:pPr>
            <w:r>
              <w:rPr>
                <w:iCs/>
              </w:rPr>
              <w:t xml:space="preserve">A Subrecipient that is budgeted to receive $100,000 or more of CEC funds, not including any equipment or match funds that may be provide by the Subrecipient.  </w:t>
            </w:r>
          </w:p>
        </w:tc>
      </w:tr>
      <w:tr w:rsidR="00665B8E" w:rsidRPr="003F6147" w14:paraId="6053288E" w14:textId="77777777" w:rsidTr="00E272B1">
        <w:trPr>
          <w:trHeight w:val="593"/>
          <w:jc w:val="center"/>
        </w:trPr>
        <w:tc>
          <w:tcPr>
            <w:tcW w:w="2430" w:type="dxa"/>
          </w:tcPr>
          <w:p w14:paraId="239513AD" w14:textId="77777777" w:rsidR="00665B8E" w:rsidRPr="003F6147" w:rsidRDefault="00665B8E" w:rsidP="00B97CF4">
            <w:pPr>
              <w:jc w:val="left"/>
            </w:pPr>
            <w:r w:rsidRPr="003F6147">
              <w:t>NOPA</w:t>
            </w:r>
          </w:p>
        </w:tc>
        <w:tc>
          <w:tcPr>
            <w:tcW w:w="6930" w:type="dxa"/>
          </w:tcPr>
          <w:p w14:paraId="292089CC" w14:textId="77777777" w:rsidR="00665B8E" w:rsidRPr="003F6147" w:rsidRDefault="00665B8E" w:rsidP="00B97CF4">
            <w:pPr>
              <w:jc w:val="left"/>
            </w:pPr>
            <w:r w:rsidRPr="003F6147">
              <w:rPr>
                <w:i/>
              </w:rPr>
              <w:t>Notice of Proposed Award,</w:t>
            </w:r>
            <w:r w:rsidRPr="003F6147">
              <w:t xml:space="preserve"> a public notice by CEC </w:t>
            </w:r>
            <w:r>
              <w:t xml:space="preserve">staff </w:t>
            </w:r>
            <w:r w:rsidRPr="003F6147">
              <w:t xml:space="preserve">that identifies </w:t>
            </w:r>
            <w:r>
              <w:t>proposed grant</w:t>
            </w:r>
            <w:r w:rsidRPr="003F6147">
              <w:t xml:space="preserve"> recipients</w:t>
            </w:r>
            <w:r>
              <w:t>.</w:t>
            </w:r>
          </w:p>
        </w:tc>
      </w:tr>
      <w:tr w:rsidR="00881BD3" w:rsidRPr="00881BD3" w14:paraId="55D9AF2B" w14:textId="77777777" w:rsidTr="00E272B1">
        <w:trPr>
          <w:trHeight w:val="593"/>
          <w:jc w:val="center"/>
        </w:trPr>
        <w:tc>
          <w:tcPr>
            <w:tcW w:w="2430" w:type="dxa"/>
          </w:tcPr>
          <w:p w14:paraId="358A5329" w14:textId="0074383B" w:rsidR="00881BD3" w:rsidRPr="00881BD3" w:rsidRDefault="00881BD3" w:rsidP="00B97CF4">
            <w:pPr>
              <w:jc w:val="left"/>
            </w:pPr>
            <w:r w:rsidRPr="00881BD3">
              <w:t>Open-source</w:t>
            </w:r>
          </w:p>
        </w:tc>
        <w:tc>
          <w:tcPr>
            <w:tcW w:w="6930" w:type="dxa"/>
          </w:tcPr>
          <w:p w14:paraId="16A51314" w14:textId="059DEE9A" w:rsidR="00881BD3" w:rsidRPr="00881BD3" w:rsidRDefault="00881BD3" w:rsidP="00B97CF4">
            <w:pPr>
              <w:jc w:val="left"/>
              <w:rPr>
                <w:i/>
              </w:rPr>
            </w:pPr>
            <w:r w:rsidRPr="00881BD3">
              <w:rPr>
                <w:rFonts w:eastAsia="Arial"/>
              </w:rPr>
              <w:t xml:space="preserve">Data and tools that can be freely accessed over the internet, used, and redistributed by anyone are considered </w:t>
            </w:r>
            <w:r w:rsidRPr="00881BD3">
              <w:rPr>
                <w:rFonts w:eastAsia="Arial"/>
                <w:i/>
                <w:iCs/>
              </w:rPr>
              <w:t>open-source</w:t>
            </w:r>
            <w:r w:rsidRPr="00881BD3">
              <w:rPr>
                <w:rFonts w:eastAsia="Arial"/>
              </w:rPr>
              <w:t xml:space="preserve">.  </w:t>
            </w:r>
          </w:p>
        </w:tc>
      </w:tr>
      <w:tr w:rsidR="00665B8E" w:rsidRPr="003F6147" w14:paraId="00F0F1B7" w14:textId="77777777" w:rsidTr="00A85A94">
        <w:trPr>
          <w:jc w:val="center"/>
        </w:trPr>
        <w:tc>
          <w:tcPr>
            <w:tcW w:w="2430" w:type="dxa"/>
          </w:tcPr>
          <w:p w14:paraId="7147BA6E" w14:textId="77777777" w:rsidR="00665B8E" w:rsidRPr="003F6147" w:rsidRDefault="00665B8E" w:rsidP="00B97CF4">
            <w:pPr>
              <w:jc w:val="left"/>
            </w:pPr>
            <w:r w:rsidRPr="003F6147">
              <w:t>Pre-Commercial</w:t>
            </w:r>
            <w:r>
              <w:t xml:space="preserve"> Technology</w:t>
            </w:r>
          </w:p>
        </w:tc>
        <w:tc>
          <w:tcPr>
            <w:tcW w:w="6930" w:type="dxa"/>
          </w:tcPr>
          <w:p w14:paraId="67C80EE9" w14:textId="77777777" w:rsidR="00665B8E" w:rsidRPr="00E272B1" w:rsidRDefault="00665B8E" w:rsidP="00B97CF4">
            <w:pPr>
              <w:jc w:val="left"/>
              <w:rPr>
                <w:iCs/>
              </w:rPr>
            </w:pPr>
            <w:r w:rsidRPr="00E272B1">
              <w:rPr>
                <w:iCs/>
              </w:rPr>
              <w:t xml:space="preserve">A technology that has not reached commercial maturity or been deployed at scales sufficiently large and in conditions sufficiently reflective of anticipated actual operating </w:t>
            </w:r>
            <w:r w:rsidRPr="00E272B1">
              <w:rPr>
                <w:iCs/>
              </w:rPr>
              <w:lastRenderedPageBreak/>
              <w:t>environments to enable the appraisal of operational and performance characteristics, or of financial risks.</w:t>
            </w:r>
          </w:p>
        </w:tc>
      </w:tr>
      <w:tr w:rsidR="00665B8E" w:rsidRPr="003F6147" w14:paraId="682F8A57" w14:textId="77777777" w:rsidTr="00A85A94">
        <w:trPr>
          <w:jc w:val="center"/>
        </w:trPr>
        <w:tc>
          <w:tcPr>
            <w:tcW w:w="2430" w:type="dxa"/>
          </w:tcPr>
          <w:p w14:paraId="3675B0A1" w14:textId="77777777" w:rsidR="00665B8E" w:rsidRPr="003F6147" w:rsidRDefault="00665B8E" w:rsidP="00B97CF4">
            <w:pPr>
              <w:jc w:val="left"/>
            </w:pPr>
            <w:r w:rsidRPr="003F6147">
              <w:lastRenderedPageBreak/>
              <w:t>Pilot Test</w:t>
            </w:r>
          </w:p>
        </w:tc>
        <w:tc>
          <w:tcPr>
            <w:tcW w:w="6930" w:type="dxa"/>
          </w:tcPr>
          <w:p w14:paraId="5C05DE57" w14:textId="77777777" w:rsidR="00665B8E" w:rsidRPr="00E272B1" w:rsidRDefault="00665B8E" w:rsidP="00B97CF4">
            <w:pPr>
              <w:jc w:val="left"/>
              <w:rPr>
                <w:iCs/>
              </w:rPr>
            </w:pPr>
            <w:r w:rsidRPr="00E272B1">
              <w:rPr>
                <w:iCs/>
              </w:rPr>
              <w:t>Small scale testing in a laboratory or testing on a small portion of the production line of the affected industry. Pilot tests help verify the design and validity of an approach, and adjustments can be made at this stage before full-scale demonstrations</w:t>
            </w:r>
          </w:p>
        </w:tc>
      </w:tr>
      <w:tr w:rsidR="00665B8E" w:rsidRPr="003F6147" w14:paraId="4B05BD43" w14:textId="77777777" w:rsidTr="00A85A94">
        <w:trPr>
          <w:jc w:val="center"/>
        </w:trPr>
        <w:tc>
          <w:tcPr>
            <w:tcW w:w="2430" w:type="dxa"/>
          </w:tcPr>
          <w:p w14:paraId="02DB2A8A" w14:textId="77777777" w:rsidR="00665B8E" w:rsidRPr="003F6147" w:rsidRDefault="00665B8E" w:rsidP="00B97CF4">
            <w:pPr>
              <w:jc w:val="left"/>
            </w:pPr>
            <w:r w:rsidRPr="003F6147">
              <w:t>Principal Investigator</w:t>
            </w:r>
          </w:p>
        </w:tc>
        <w:tc>
          <w:tcPr>
            <w:tcW w:w="6930" w:type="dxa"/>
          </w:tcPr>
          <w:p w14:paraId="2CFB9812" w14:textId="77777777" w:rsidR="00665B8E" w:rsidRPr="00E272B1" w:rsidRDefault="00665B8E" w:rsidP="00B97CF4">
            <w:pPr>
              <w:jc w:val="left"/>
              <w:rPr>
                <w:iCs/>
              </w:rPr>
            </w:pPr>
            <w:r w:rsidRPr="00E272B1">
              <w:rPr>
                <w:iCs/>
              </w:rPr>
              <w:t xml:space="preserve">The technical lead for the applicant’s project, who is responsible for overseeing the project; in some instances, the Principal Investigator and Project Manager may be the same person.  </w:t>
            </w:r>
          </w:p>
        </w:tc>
      </w:tr>
      <w:tr w:rsidR="00665B8E" w:rsidRPr="003F6147" w14:paraId="3BC812AB" w14:textId="77777777" w:rsidTr="00A85A94">
        <w:trPr>
          <w:jc w:val="center"/>
        </w:trPr>
        <w:tc>
          <w:tcPr>
            <w:tcW w:w="2430" w:type="dxa"/>
          </w:tcPr>
          <w:p w14:paraId="363A9233" w14:textId="77777777" w:rsidR="00665B8E" w:rsidRPr="003F6147" w:rsidRDefault="00665B8E" w:rsidP="00B97CF4">
            <w:pPr>
              <w:jc w:val="left"/>
            </w:pPr>
            <w:r w:rsidRPr="003F6147">
              <w:t>Project Manager</w:t>
            </w:r>
          </w:p>
        </w:tc>
        <w:tc>
          <w:tcPr>
            <w:tcW w:w="6930" w:type="dxa"/>
          </w:tcPr>
          <w:p w14:paraId="000786B9" w14:textId="77777777" w:rsidR="00665B8E" w:rsidRPr="00E272B1" w:rsidRDefault="00665B8E" w:rsidP="00B97CF4">
            <w:pPr>
              <w:jc w:val="left"/>
              <w:rPr>
                <w:iCs/>
              </w:rPr>
            </w:pPr>
            <w:r w:rsidRPr="00E272B1">
              <w:rPr>
                <w:iCs/>
              </w:rPr>
              <w:t>The person designated by the applicant to oversee the project and to serve as the main point of contact for the CEC.</w:t>
            </w:r>
          </w:p>
        </w:tc>
      </w:tr>
      <w:tr w:rsidR="00665B8E" w:rsidRPr="003F6147" w14:paraId="29511BC9" w14:textId="77777777" w:rsidTr="00A85A94">
        <w:trPr>
          <w:jc w:val="center"/>
        </w:trPr>
        <w:tc>
          <w:tcPr>
            <w:tcW w:w="2430" w:type="dxa"/>
          </w:tcPr>
          <w:p w14:paraId="0580EB17" w14:textId="77777777" w:rsidR="00665B8E" w:rsidRPr="003F6147" w:rsidRDefault="00665B8E" w:rsidP="00B97CF4">
            <w:pPr>
              <w:jc w:val="left"/>
            </w:pPr>
            <w:r w:rsidRPr="003F6147">
              <w:t>Project Partner</w:t>
            </w:r>
          </w:p>
        </w:tc>
        <w:tc>
          <w:tcPr>
            <w:tcW w:w="6930" w:type="dxa"/>
          </w:tcPr>
          <w:p w14:paraId="3DC77E9D" w14:textId="77777777" w:rsidR="00665B8E" w:rsidRPr="003F6147" w:rsidRDefault="00665B8E" w:rsidP="00B97CF4">
            <w:pPr>
              <w:jc w:val="left"/>
            </w:pPr>
            <w:r w:rsidRPr="003F6147">
              <w:t>A</w:t>
            </w:r>
            <w:r>
              <w:t xml:space="preserve"> person or</w:t>
            </w:r>
            <w:r w:rsidRPr="003F6147">
              <w:t xml:space="preserve"> entity that contributes financially or otherwise to the project (e.g., match funding, provision of a test, demonstration or deployment site), and does not receive CEC funds</w:t>
            </w:r>
            <w:r>
              <w:t>.</w:t>
            </w:r>
            <w:r w:rsidRPr="003F6147">
              <w:t xml:space="preserve"> </w:t>
            </w:r>
          </w:p>
        </w:tc>
      </w:tr>
      <w:tr w:rsidR="00470BD3" w:rsidRPr="003F6147" w14:paraId="1D6A83DD" w14:textId="77777777" w:rsidTr="00A85A94">
        <w:trPr>
          <w:jc w:val="center"/>
        </w:trPr>
        <w:tc>
          <w:tcPr>
            <w:tcW w:w="2430" w:type="dxa"/>
          </w:tcPr>
          <w:p w14:paraId="74CF5E7D" w14:textId="4749CA6A" w:rsidR="00470BD3" w:rsidRPr="00470BD3" w:rsidRDefault="00470BD3" w:rsidP="00B97CF4">
            <w:pPr>
              <w:jc w:val="left"/>
            </w:pPr>
            <w:proofErr w:type="spellStart"/>
            <w:r w:rsidRPr="00470BD3">
              <w:t>PyreCast</w:t>
            </w:r>
            <w:proofErr w:type="spellEnd"/>
          </w:p>
        </w:tc>
        <w:tc>
          <w:tcPr>
            <w:tcW w:w="6930" w:type="dxa"/>
          </w:tcPr>
          <w:p w14:paraId="5268E6C9" w14:textId="74E72EC1" w:rsidR="00470BD3" w:rsidRPr="00470BD3" w:rsidRDefault="00470BD3" w:rsidP="00B97CF4">
            <w:pPr>
              <w:jc w:val="left"/>
            </w:pPr>
            <w:proofErr w:type="spellStart"/>
            <w:r w:rsidRPr="00470BD3">
              <w:t>PyreCast</w:t>
            </w:r>
            <w:proofErr w:type="spellEnd"/>
            <w:r w:rsidRPr="00470BD3">
              <w:t xml:space="preserve"> is a free online fire forecasting tool developed by the </w:t>
            </w:r>
            <w:proofErr w:type="spellStart"/>
            <w:r w:rsidRPr="00470BD3">
              <w:t>Pyregence</w:t>
            </w:r>
            <w:proofErr w:type="spellEnd"/>
            <w:r w:rsidRPr="00470BD3">
              <w:t xml:space="preserve"> Consortium as a deliverable under the CEC agreement EPC-18-026. The tool shows active fires and projected spread over the next three days, wildfire risk based on weather forecasts over the next five days, and key fire weather parameters over the next eight days that affect wildfire behavior.</w:t>
            </w:r>
          </w:p>
        </w:tc>
      </w:tr>
      <w:tr w:rsidR="00470BD3" w:rsidRPr="003F6147" w14:paraId="35426C85" w14:textId="77777777" w:rsidTr="00A85A94">
        <w:trPr>
          <w:jc w:val="center"/>
        </w:trPr>
        <w:tc>
          <w:tcPr>
            <w:tcW w:w="2430" w:type="dxa"/>
          </w:tcPr>
          <w:p w14:paraId="5978FF18" w14:textId="63F991AE" w:rsidR="00470BD3" w:rsidRPr="00470BD3" w:rsidRDefault="00470BD3" w:rsidP="00B97CF4">
            <w:pPr>
              <w:jc w:val="left"/>
            </w:pPr>
            <w:proofErr w:type="spellStart"/>
            <w:r w:rsidRPr="00470BD3">
              <w:t>Pyregence</w:t>
            </w:r>
            <w:proofErr w:type="spellEnd"/>
            <w:r w:rsidRPr="00470BD3">
              <w:t xml:space="preserve"> Consortium</w:t>
            </w:r>
          </w:p>
        </w:tc>
        <w:tc>
          <w:tcPr>
            <w:tcW w:w="6930" w:type="dxa"/>
          </w:tcPr>
          <w:p w14:paraId="11DF0EAB" w14:textId="7856ABE1" w:rsidR="00470BD3" w:rsidRPr="00470BD3" w:rsidRDefault="00470BD3" w:rsidP="00B97CF4">
            <w:pPr>
              <w:jc w:val="left"/>
            </w:pPr>
            <w:r w:rsidRPr="00470BD3">
              <w:t xml:space="preserve">The </w:t>
            </w:r>
            <w:proofErr w:type="spellStart"/>
            <w:r w:rsidRPr="00470BD3">
              <w:t>Pyregence</w:t>
            </w:r>
            <w:proofErr w:type="spellEnd"/>
            <w:r w:rsidRPr="00470BD3">
              <w:t xml:space="preserve"> Consortium is a consortium of researchers, software developers, and designers from 18 institutions. </w:t>
            </w:r>
            <w:proofErr w:type="spellStart"/>
            <w:r w:rsidRPr="00470BD3">
              <w:t>Pyregence</w:t>
            </w:r>
            <w:proofErr w:type="spellEnd"/>
            <w:r w:rsidRPr="00470BD3">
              <w:t xml:space="preserve"> is largely funded by the CEC grant EPC-18-026 to produce open-source, web-based tools and data to support climate-informed wildfire forecasting in the near- and long-term.  </w:t>
            </w:r>
          </w:p>
        </w:tc>
      </w:tr>
      <w:tr w:rsidR="00665B8E" w:rsidRPr="003F6147" w14:paraId="2DA39FF8" w14:textId="77777777" w:rsidTr="00A85A94">
        <w:trPr>
          <w:jc w:val="center"/>
        </w:trPr>
        <w:tc>
          <w:tcPr>
            <w:tcW w:w="2430" w:type="dxa"/>
          </w:tcPr>
          <w:p w14:paraId="27A3C430" w14:textId="77777777" w:rsidR="00665B8E" w:rsidRPr="003F6147" w:rsidRDefault="00665B8E" w:rsidP="00B97CF4">
            <w:pPr>
              <w:jc w:val="left"/>
            </w:pPr>
            <w:r w:rsidRPr="003F6147">
              <w:t>Recipient</w:t>
            </w:r>
          </w:p>
        </w:tc>
        <w:tc>
          <w:tcPr>
            <w:tcW w:w="6930" w:type="dxa"/>
          </w:tcPr>
          <w:p w14:paraId="50AA3AEE" w14:textId="77777777" w:rsidR="00665B8E" w:rsidRPr="003F6147" w:rsidRDefault="00665B8E" w:rsidP="00B97CF4">
            <w:pPr>
              <w:jc w:val="left"/>
            </w:pPr>
            <w:r w:rsidRPr="003F6147">
              <w:t xml:space="preserve"> A</w:t>
            </w:r>
            <w:r>
              <w:t xml:space="preserve"> person or</w:t>
            </w:r>
            <w:r w:rsidRPr="003F6147">
              <w:t xml:space="preserve"> entity receiving a </w:t>
            </w:r>
            <w:r>
              <w:t xml:space="preserve">grant </w:t>
            </w:r>
            <w:r w:rsidRPr="003F6147">
              <w:t>award under this solicitation</w:t>
            </w:r>
            <w:r>
              <w:t>. “Recipient” may be used interchangeably with “grant recipient”.</w:t>
            </w:r>
          </w:p>
        </w:tc>
      </w:tr>
      <w:tr w:rsidR="00665B8E" w:rsidRPr="003F6147" w14:paraId="2EB6BD6A" w14:textId="77777777" w:rsidTr="00A85A94">
        <w:trPr>
          <w:jc w:val="center"/>
        </w:trPr>
        <w:tc>
          <w:tcPr>
            <w:tcW w:w="2430" w:type="dxa"/>
          </w:tcPr>
          <w:p w14:paraId="793CA8F5" w14:textId="77777777" w:rsidR="00665B8E" w:rsidRPr="003F6147" w:rsidRDefault="00665B8E" w:rsidP="00B97CF4">
            <w:pPr>
              <w:jc w:val="left"/>
            </w:pPr>
            <w:r w:rsidRPr="003F6147">
              <w:t>Solicitation</w:t>
            </w:r>
          </w:p>
        </w:tc>
        <w:tc>
          <w:tcPr>
            <w:tcW w:w="6930" w:type="dxa"/>
          </w:tcPr>
          <w:p w14:paraId="272AC43A" w14:textId="77777777" w:rsidR="00665B8E" w:rsidRPr="003F6147" w:rsidRDefault="00665B8E" w:rsidP="00B97CF4">
            <w:pPr>
              <w:jc w:val="left"/>
            </w:pPr>
            <w:r w:rsidRPr="003F6147">
              <w:t>This entire document, including all attachments, exhibits, addend</w:t>
            </w:r>
            <w:r>
              <w:t>a,</w:t>
            </w:r>
            <w:r w:rsidRPr="003F6147">
              <w:t xml:space="preserve"> written notices, and questions and answers  (“solicitation” may be used interchangeably with “Grant Funding Opportunity”</w:t>
            </w:r>
            <w:r>
              <w:t xml:space="preserve"> or “GFO”</w:t>
            </w:r>
            <w:r w:rsidRPr="003F6147">
              <w:t>)</w:t>
            </w:r>
            <w:r>
              <w:t>.</w:t>
            </w:r>
            <w:r w:rsidRPr="003F6147">
              <w:t xml:space="preserve"> </w:t>
            </w:r>
          </w:p>
        </w:tc>
      </w:tr>
      <w:tr w:rsidR="00665B8E" w:rsidRPr="003F6147" w14:paraId="08F9BA19" w14:textId="77777777" w:rsidTr="00A85A94">
        <w:trPr>
          <w:jc w:val="center"/>
        </w:trPr>
        <w:tc>
          <w:tcPr>
            <w:tcW w:w="2430" w:type="dxa"/>
          </w:tcPr>
          <w:p w14:paraId="338D44E7" w14:textId="77777777" w:rsidR="00665B8E" w:rsidRPr="003F6147" w:rsidRDefault="00665B8E" w:rsidP="00B97CF4">
            <w:pPr>
              <w:jc w:val="left"/>
            </w:pPr>
            <w:r w:rsidRPr="00CA3BD2">
              <w:t xml:space="preserve">Subrecipient  </w:t>
            </w:r>
          </w:p>
        </w:tc>
        <w:tc>
          <w:tcPr>
            <w:tcW w:w="6930" w:type="dxa"/>
          </w:tcPr>
          <w:p w14:paraId="4D993100" w14:textId="6ADFC65F" w:rsidR="00665B8E" w:rsidRPr="003F6147" w:rsidRDefault="00665B8E" w:rsidP="00B97CF4">
            <w:pPr>
              <w:jc w:val="left"/>
            </w:pPr>
            <w:r w:rsidRPr="00CA3BD2">
              <w:t>A person or entity that receives grant funds directly from a grant Recipient and is entrusted to make decisions about how to conduct some of the grant’s activities. A Subrecipient’s role involves discretion over grant activities and is not merely just selling goods or services.</w:t>
            </w:r>
          </w:p>
        </w:tc>
      </w:tr>
      <w:tr w:rsidR="00665B8E" w:rsidRPr="003F6147" w14:paraId="7436FA0F" w14:textId="77777777" w:rsidTr="00A85A94">
        <w:trPr>
          <w:jc w:val="center"/>
        </w:trPr>
        <w:tc>
          <w:tcPr>
            <w:tcW w:w="2430" w:type="dxa"/>
          </w:tcPr>
          <w:p w14:paraId="6F65168A" w14:textId="77777777" w:rsidR="00665B8E" w:rsidRPr="003F6147" w:rsidRDefault="00665B8E" w:rsidP="00B97CF4">
            <w:pPr>
              <w:jc w:val="left"/>
            </w:pPr>
            <w:r w:rsidRPr="00CA3BD2">
              <w:lastRenderedPageBreak/>
              <w:t>Sub-Subrecipient</w:t>
            </w:r>
          </w:p>
        </w:tc>
        <w:tc>
          <w:tcPr>
            <w:tcW w:w="6930" w:type="dxa"/>
          </w:tcPr>
          <w:p w14:paraId="141E9496" w14:textId="77777777" w:rsidR="00665B8E" w:rsidRPr="003F6147" w:rsidRDefault="00665B8E" w:rsidP="00B97CF4">
            <w:pPr>
              <w:jc w:val="left"/>
            </w:pPr>
            <w:r w:rsidRPr="00CA3BD2">
              <w:t>Has the same meaning as a Subrecipient except that it receives grant funds from a Subrecipient or any lower tier level of a Sub-Subrecipient.</w:t>
            </w:r>
          </w:p>
        </w:tc>
      </w:tr>
      <w:tr w:rsidR="00665B8E" w:rsidRPr="003F6147" w14:paraId="7BE94B28" w14:textId="77777777" w:rsidTr="00A85A94">
        <w:trPr>
          <w:jc w:val="center"/>
        </w:trPr>
        <w:tc>
          <w:tcPr>
            <w:tcW w:w="2430" w:type="dxa"/>
          </w:tcPr>
          <w:p w14:paraId="7C23FACC" w14:textId="77777777" w:rsidR="00665B8E" w:rsidRPr="003F6147" w:rsidRDefault="00665B8E" w:rsidP="00B97CF4">
            <w:pPr>
              <w:jc w:val="left"/>
            </w:pPr>
            <w:r w:rsidRPr="003F6147">
              <w:t>State</w:t>
            </w:r>
          </w:p>
        </w:tc>
        <w:tc>
          <w:tcPr>
            <w:tcW w:w="6930" w:type="dxa"/>
          </w:tcPr>
          <w:p w14:paraId="0B594CF0" w14:textId="77777777" w:rsidR="00665B8E" w:rsidRPr="003F6147" w:rsidRDefault="00665B8E" w:rsidP="00B97CF4">
            <w:pPr>
              <w:jc w:val="left"/>
            </w:pPr>
            <w:r w:rsidRPr="003F6147">
              <w:t>State of California</w:t>
            </w:r>
          </w:p>
        </w:tc>
      </w:tr>
      <w:tr w:rsidR="00665B8E" w:rsidRPr="003F6147" w14:paraId="26A0E671" w14:textId="77777777" w:rsidTr="00A85A94">
        <w:trPr>
          <w:jc w:val="center"/>
        </w:trPr>
        <w:tc>
          <w:tcPr>
            <w:tcW w:w="2430" w:type="dxa"/>
          </w:tcPr>
          <w:p w14:paraId="14538742" w14:textId="77777777" w:rsidR="00665B8E" w:rsidRDefault="00665B8E" w:rsidP="00B97CF4">
            <w:pPr>
              <w:jc w:val="left"/>
            </w:pPr>
            <w:r w:rsidRPr="004C0743">
              <w:t>Vendor</w:t>
            </w:r>
          </w:p>
        </w:tc>
        <w:tc>
          <w:tcPr>
            <w:tcW w:w="6930" w:type="dxa"/>
          </w:tcPr>
          <w:p w14:paraId="6378A6B9" w14:textId="77777777" w:rsidR="00665B8E" w:rsidRPr="007076F1" w:rsidRDefault="00665B8E" w:rsidP="00B97CF4">
            <w:pPr>
              <w:jc w:val="left"/>
              <w:rPr>
                <w:szCs w:val="22"/>
              </w:rPr>
            </w:pPr>
            <w:r w:rsidRPr="00A537D3">
              <w:t>A person or entity that sells goods or services to the grant Recipient, Subrecipient, or any lower-tiered level of Sub-Subrecipient, in exchange for some of the grant funds, and does not make decisions about how to perform the grant’s activities.  The Vendor’s role is ministerial and does not involve discretion over grant activities.</w:t>
            </w:r>
          </w:p>
        </w:tc>
      </w:tr>
      <w:tr w:rsidR="005F19FC" w:rsidRPr="005F19FC" w14:paraId="0CC89A4D" w14:textId="77777777" w:rsidTr="00A85A94">
        <w:trPr>
          <w:jc w:val="center"/>
        </w:trPr>
        <w:tc>
          <w:tcPr>
            <w:tcW w:w="2430" w:type="dxa"/>
          </w:tcPr>
          <w:p w14:paraId="7DB1DA5B" w14:textId="47936404" w:rsidR="005F19FC" w:rsidRPr="005F19FC" w:rsidRDefault="005F19FC" w:rsidP="00B97CF4">
            <w:pPr>
              <w:jc w:val="left"/>
            </w:pPr>
            <w:r w:rsidRPr="005F19FC">
              <w:t>WERK</w:t>
            </w:r>
          </w:p>
        </w:tc>
        <w:tc>
          <w:tcPr>
            <w:tcW w:w="6930" w:type="dxa"/>
          </w:tcPr>
          <w:p w14:paraId="2B12D6D6" w14:textId="7C70D5C0" w:rsidR="005F19FC" w:rsidRPr="005F19FC" w:rsidRDefault="005F19FC" w:rsidP="00B97CF4">
            <w:pPr>
              <w:jc w:val="left"/>
            </w:pPr>
            <w:r w:rsidRPr="005F19FC">
              <w:rPr>
                <w:i/>
                <w:iCs/>
                <w:szCs w:val="22"/>
              </w:rPr>
              <w:t>Wildfire, Ecosystem Resilience, &amp; Risk Assessment Initiative</w:t>
            </w:r>
            <w:r w:rsidRPr="005F19FC">
              <w:rPr>
                <w:szCs w:val="22"/>
              </w:rPr>
              <w:t>, State and federal partnership to co-develop actionable, updatable, freely-accessible data products to monitor and to protect California ecosystems.</w:t>
            </w:r>
          </w:p>
        </w:tc>
      </w:tr>
    </w:tbl>
    <w:p w14:paraId="05B551B9" w14:textId="77777777" w:rsidR="00665B8E" w:rsidRPr="00756BAC" w:rsidRDefault="00665B8E" w:rsidP="00B97CF4">
      <w:pPr>
        <w:pStyle w:val="Heading3"/>
        <w:jc w:val="left"/>
      </w:pPr>
      <w:bookmarkStart w:id="17" w:name="_Toc233727881"/>
      <w:bookmarkStart w:id="18" w:name="_Toc458602324"/>
      <w:r w:rsidRPr="00756BAC">
        <w:t>Project Focus</w:t>
      </w:r>
      <w:bookmarkEnd w:id="17"/>
    </w:p>
    <w:p w14:paraId="357B5B67" w14:textId="77777777" w:rsidR="008770FE" w:rsidRPr="008A3657" w:rsidRDefault="008770FE" w:rsidP="00B97CF4">
      <w:pPr>
        <w:keepNext/>
        <w:tabs>
          <w:tab w:val="num" w:pos="360"/>
        </w:tabs>
        <w:spacing w:after="160"/>
        <w:ind w:right="720"/>
        <w:jc w:val="left"/>
      </w:pPr>
      <w:bookmarkStart w:id="19" w:name="_Toc233727882"/>
      <w:r w:rsidRPr="008A3657">
        <w:rPr>
          <w:b/>
          <w:bCs/>
        </w:rPr>
        <w:t>Group 1</w:t>
      </w:r>
      <w:r w:rsidRPr="008A3657">
        <w:t>: Advance foundational data and analytical resources to fortify climate resilience</w:t>
      </w:r>
    </w:p>
    <w:p w14:paraId="586E430D" w14:textId="39CC1F2E" w:rsidR="008770FE" w:rsidRPr="008A3657" w:rsidRDefault="008770FE" w:rsidP="00B97CF4">
      <w:pPr>
        <w:tabs>
          <w:tab w:val="num" w:pos="360"/>
        </w:tabs>
        <w:spacing w:after="160"/>
        <w:ind w:right="720"/>
        <w:jc w:val="left"/>
      </w:pPr>
      <w:r w:rsidRPr="008A3657">
        <w:t xml:space="preserve">This group will advance data and analytical resources that empower California’s electricity stakeholders to use best-available, open climate data to support cost-effective, resilient planning, investment, and operations; develop guidance to scale appropriate use of innovative research products leveraging aforementioned advances in data and analytical resources; and by the first quarter of 2028, </w:t>
      </w:r>
      <w:r w:rsidR="00390A71" w:rsidRPr="00E72075">
        <w:t xml:space="preserve">collaborate with state agencies involved with </w:t>
      </w:r>
      <w:r w:rsidR="00390A71">
        <w:t xml:space="preserve">administration of </w:t>
      </w:r>
      <w:r w:rsidR="00390A71" w:rsidRPr="00E72075">
        <w:t xml:space="preserve">Cal-Adapt </w:t>
      </w:r>
      <w:r w:rsidR="00390A71">
        <w:t>grants</w:t>
      </w:r>
      <w:r w:rsidR="00390A71" w:rsidRPr="00E72075">
        <w:t xml:space="preserve"> to ensure that </w:t>
      </w:r>
      <w:r w:rsidR="00390A71">
        <w:t xml:space="preserve">relevant </w:t>
      </w:r>
      <w:r w:rsidR="00390A71" w:rsidRPr="00E72075">
        <w:t>data products and analytical resources</w:t>
      </w:r>
      <w:r w:rsidR="00390A71">
        <w:t xml:space="preserve"> </w:t>
      </w:r>
      <w:r w:rsidR="00390A71" w:rsidRPr="00E72075">
        <w:t>remain available in the public domain</w:t>
      </w:r>
      <w:r w:rsidR="00D32496">
        <w:t xml:space="preserve"> </w:t>
      </w:r>
      <w:r w:rsidRPr="008A3657">
        <w:t xml:space="preserve">to ensure knowledge transfer and ratepayer impact. </w:t>
      </w:r>
    </w:p>
    <w:p w14:paraId="190F3240" w14:textId="77777777" w:rsidR="008770FE" w:rsidRPr="008A3657" w:rsidRDefault="008770FE" w:rsidP="00B97CF4">
      <w:pPr>
        <w:tabs>
          <w:tab w:val="num" w:pos="360"/>
        </w:tabs>
        <w:spacing w:after="160"/>
        <w:ind w:right="720"/>
        <w:jc w:val="left"/>
      </w:pPr>
      <w:r w:rsidRPr="008A3657">
        <w:t xml:space="preserve">A successful project must: </w:t>
      </w:r>
    </w:p>
    <w:p w14:paraId="770783A2" w14:textId="77777777" w:rsidR="008770FE" w:rsidRPr="008A3657" w:rsidRDefault="008770FE" w:rsidP="00B97CF4">
      <w:pPr>
        <w:pStyle w:val="ListParagraph"/>
        <w:numPr>
          <w:ilvl w:val="0"/>
          <w:numId w:val="57"/>
        </w:numPr>
        <w:tabs>
          <w:tab w:val="num" w:pos="360"/>
        </w:tabs>
        <w:spacing w:after="160"/>
        <w:ind w:right="720"/>
        <w:contextualSpacing w:val="0"/>
        <w:jc w:val="left"/>
      </w:pPr>
      <w:r w:rsidRPr="008A3657">
        <w:t>Address at least two (and preferably more) of the following gaps:</w:t>
      </w:r>
    </w:p>
    <w:p w14:paraId="7651DB81" w14:textId="77777777" w:rsidR="008770FE" w:rsidRPr="008A3657" w:rsidRDefault="008770FE" w:rsidP="00B97CF4">
      <w:pPr>
        <w:numPr>
          <w:ilvl w:val="1"/>
          <w:numId w:val="57"/>
        </w:numPr>
        <w:tabs>
          <w:tab w:val="num" w:pos="360"/>
        </w:tabs>
        <w:spacing w:after="160"/>
        <w:ind w:right="720"/>
        <w:jc w:val="left"/>
      </w:pPr>
      <w:r w:rsidRPr="008A3657">
        <w:rPr>
          <w:b/>
          <w:bCs/>
        </w:rPr>
        <w:t>Development of novel data products that are tailored to shorter time horizons.</w:t>
      </w:r>
      <w:r w:rsidRPr="008A3657">
        <w:t xml:space="preserve"> While currently available climate projections are well-suited to long-term planning, such as the dominant timeframe (20-30 years) articulated by CPUC’s Adaptation Rulemaking, they are not well-suited to shorter-term planning processes with time horizons ranging from seasonal to decadal (e.g., General Rate Case, reliability analyses, load forecasting).</w:t>
      </w:r>
    </w:p>
    <w:p w14:paraId="3D5ED53B" w14:textId="77777777" w:rsidR="008770FE" w:rsidRPr="008A3657" w:rsidRDefault="008770FE" w:rsidP="00B97CF4">
      <w:pPr>
        <w:numPr>
          <w:ilvl w:val="1"/>
          <w:numId w:val="57"/>
        </w:numPr>
        <w:tabs>
          <w:tab w:val="num" w:pos="360"/>
        </w:tabs>
        <w:spacing w:after="160"/>
        <w:ind w:right="720"/>
        <w:jc w:val="left"/>
      </w:pPr>
      <w:r w:rsidRPr="008A3657">
        <w:rPr>
          <w:b/>
          <w:bCs/>
        </w:rPr>
        <w:t>Development of novel data products that address barriers posed by a dearth of empirical observations of meteorological parameters.</w:t>
      </w:r>
      <w:r w:rsidRPr="008A3657">
        <w:t xml:space="preserve"> As California transitions to zero-carbon electricity, the weather-dependence of electricity generation resources becomes increasingly important vis-à-vis cost-effective capacity build-out, </w:t>
      </w:r>
      <w:r w:rsidRPr="008A3657">
        <w:lastRenderedPageBreak/>
        <w:t>operations, and reliability planning. However, in many cases, variables of interest (e.g., hourly and sub-hourly wind, PV-relevant solar radiation) have only sparse publicly available observations.</w:t>
      </w:r>
      <w:r w:rsidRPr="008A3657">
        <w:rPr>
          <w:vertAlign w:val="superscript"/>
        </w:rPr>
        <w:footnoteReference w:id="2"/>
      </w:r>
      <w:r w:rsidRPr="008A3657">
        <w:t xml:space="preserve"> </w:t>
      </w:r>
    </w:p>
    <w:p w14:paraId="7A270B87" w14:textId="77777777" w:rsidR="008770FE" w:rsidRPr="008A3657" w:rsidRDefault="008770FE" w:rsidP="00B97CF4">
      <w:pPr>
        <w:numPr>
          <w:ilvl w:val="1"/>
          <w:numId w:val="57"/>
        </w:numPr>
        <w:tabs>
          <w:tab w:val="num" w:pos="360"/>
        </w:tabs>
        <w:spacing w:after="160"/>
        <w:ind w:right="720"/>
        <w:jc w:val="left"/>
      </w:pPr>
      <w:r w:rsidRPr="008A3657">
        <w:rPr>
          <w:b/>
          <w:bCs/>
        </w:rPr>
        <w:t>Renewable generation in a changing climate.</w:t>
      </w:r>
      <w:r w:rsidRPr="008A3657">
        <w:t xml:space="preserve"> While initial EPIC research has modeled how wind, solar, and hydropower resources may shift (geographically and temporally) with California’s changing climate, additional analyses are needed to further explore climate-related impacts on zero-carbon generation resources and their role in a decarbonizing grid. For example, impacts of aerosols (including smoke and/or coastal low clouds in population centers) on solar generation merits further investigation. </w:t>
      </w:r>
    </w:p>
    <w:p w14:paraId="46F224BE" w14:textId="77777777" w:rsidR="008770FE" w:rsidRPr="008A3657" w:rsidRDefault="008770FE" w:rsidP="00B97CF4">
      <w:pPr>
        <w:numPr>
          <w:ilvl w:val="1"/>
          <w:numId w:val="57"/>
        </w:numPr>
        <w:tabs>
          <w:tab w:val="num" w:pos="360"/>
        </w:tabs>
        <w:spacing w:after="160"/>
        <w:ind w:right="720"/>
        <w:jc w:val="left"/>
      </w:pPr>
      <w:r w:rsidRPr="008A3657">
        <w:rPr>
          <w:b/>
          <w:bCs/>
        </w:rPr>
        <w:t>Analysis of design standards for key infrastructure components and assets.</w:t>
      </w:r>
      <w:r w:rsidRPr="008A3657">
        <w:t xml:space="preserve"> This topic addresses an IOU-identified research gap: understanding how varying weather conditions, as well as their duration, magnitude, and changing likelihood over time, affect specific utility equipment. Analysis of climate hazards including flooding, extreme heat, regional heatwaves, and compound events impacting distribution, transmission, and utility equipment could inform operational thresholds and design standards. The scope may include assets and critical components. </w:t>
      </w:r>
    </w:p>
    <w:p w14:paraId="527859AD" w14:textId="3D4F6445" w:rsidR="008770FE" w:rsidRPr="008A3657" w:rsidRDefault="008770FE" w:rsidP="00B97CF4">
      <w:pPr>
        <w:numPr>
          <w:ilvl w:val="1"/>
          <w:numId w:val="57"/>
        </w:numPr>
        <w:tabs>
          <w:tab w:val="num" w:pos="360"/>
        </w:tabs>
        <w:spacing w:after="160"/>
        <w:ind w:right="720"/>
        <w:jc w:val="left"/>
      </w:pPr>
      <w:r w:rsidRPr="008A3657">
        <w:rPr>
          <w:b/>
          <w:bCs/>
        </w:rPr>
        <w:t>Open concept described and justified by the applicant.</w:t>
      </w:r>
      <w:r w:rsidRPr="008A3657">
        <w:t xml:space="preserve"> The applicant may propose a concept beyond what is suggested above. It is the responsibility of the applicant to articulate ratepayer benefits</w:t>
      </w:r>
      <w:r w:rsidR="00F42C0D">
        <w:rPr>
          <w:rStyle w:val="FootnoteReference"/>
        </w:rPr>
        <w:footnoteReference w:id="3"/>
      </w:r>
      <w:r w:rsidRPr="008A3657">
        <w:t xml:space="preserve">, alignment with EPIC’s public interest research niche, and tractability of the proposed topic.   </w:t>
      </w:r>
    </w:p>
    <w:p w14:paraId="6E1514B7" w14:textId="77777777" w:rsidR="008770FE" w:rsidRPr="008A3657" w:rsidRDefault="008770FE" w:rsidP="00B97CF4">
      <w:pPr>
        <w:pStyle w:val="ListParagraph"/>
        <w:numPr>
          <w:ilvl w:val="0"/>
          <w:numId w:val="57"/>
        </w:numPr>
        <w:tabs>
          <w:tab w:val="num" w:pos="360"/>
        </w:tabs>
        <w:spacing w:after="160"/>
        <w:ind w:right="720"/>
        <w:contextualSpacing w:val="0"/>
        <w:jc w:val="left"/>
      </w:pPr>
      <w:r w:rsidRPr="008A3657">
        <w:rPr>
          <w:i/>
          <w:iCs/>
        </w:rPr>
        <w:t>Either</w:t>
      </w:r>
      <w:r w:rsidRPr="008A3657">
        <w:t xml:space="preserve"> develop new tools that leverage the Cal-Adapt: Analytics Engine (AE) platform and associated data </w:t>
      </w:r>
      <w:r w:rsidRPr="008A3657">
        <w:rPr>
          <w:i/>
          <w:iCs/>
        </w:rPr>
        <w:t>or</w:t>
      </w:r>
      <w:r w:rsidRPr="008A3657">
        <w:t xml:space="preserve"> propose an alternative means of sourcing open data and providing public access to analytical code and related scientific resources (e.g., guidance).</w:t>
      </w:r>
    </w:p>
    <w:p w14:paraId="5BC4C4EE" w14:textId="5F56F12A" w:rsidR="00D32496" w:rsidRDefault="008770FE" w:rsidP="00B97CF4">
      <w:pPr>
        <w:pStyle w:val="ListParagraph"/>
        <w:numPr>
          <w:ilvl w:val="1"/>
          <w:numId w:val="57"/>
        </w:numPr>
        <w:tabs>
          <w:tab w:val="num" w:pos="360"/>
        </w:tabs>
        <w:spacing w:after="160"/>
        <w:ind w:right="720"/>
        <w:contextualSpacing w:val="0"/>
        <w:jc w:val="left"/>
      </w:pPr>
      <w:r w:rsidRPr="008A3657">
        <w:t xml:space="preserve">Specifically, by the first quarter of 2028, the applicant must </w:t>
      </w:r>
      <w:r w:rsidR="00D32496">
        <w:t>either</w:t>
      </w:r>
      <w:r w:rsidR="008213AC">
        <w:t>:</w:t>
      </w:r>
    </w:p>
    <w:p w14:paraId="4E8F2D46" w14:textId="03D2D5CF" w:rsidR="008213AC" w:rsidRDefault="008213AC" w:rsidP="00D32496">
      <w:pPr>
        <w:pStyle w:val="ListParagraph"/>
        <w:numPr>
          <w:ilvl w:val="2"/>
          <w:numId w:val="57"/>
        </w:numPr>
        <w:spacing w:after="160"/>
        <w:ind w:right="720"/>
        <w:contextualSpacing w:val="0"/>
        <w:jc w:val="left"/>
      </w:pPr>
      <w:r w:rsidRPr="00D656A4">
        <w:t>collaborate with state agencies responsible for administering Cal-Adapt grants to ensure that</w:t>
      </w:r>
      <w:r>
        <w:t xml:space="preserve"> </w:t>
      </w:r>
      <w:r w:rsidRPr="00D656A4">
        <w:t>data products and analytical resources</w:t>
      </w:r>
      <w:r>
        <w:t xml:space="preserve"> currently supported by the AE</w:t>
      </w:r>
      <w:r w:rsidRPr="00D656A4">
        <w:t xml:space="preserve"> remain available in the public domain </w:t>
      </w:r>
      <w:r>
        <w:t>throughout</w:t>
      </w:r>
      <w:r w:rsidRPr="00D656A4">
        <w:t xml:space="preserve"> the project performance period</w:t>
      </w:r>
      <w:r>
        <w:t>;</w:t>
      </w:r>
      <w:r w:rsidRPr="008A3657" w:rsidDel="008213AC">
        <w:t xml:space="preserve"> </w:t>
      </w:r>
    </w:p>
    <w:p w14:paraId="39C8ACA3" w14:textId="6419D863" w:rsidR="008770FE" w:rsidRPr="008A3657" w:rsidRDefault="008770FE" w:rsidP="008712EF">
      <w:pPr>
        <w:pStyle w:val="ListParagraph"/>
        <w:numPr>
          <w:ilvl w:val="2"/>
          <w:numId w:val="57"/>
        </w:numPr>
        <w:spacing w:after="160"/>
        <w:ind w:right="720"/>
        <w:contextualSpacing w:val="0"/>
        <w:jc w:val="left"/>
      </w:pPr>
      <w:r w:rsidRPr="008A3657">
        <w:lastRenderedPageBreak/>
        <w:t xml:space="preserve">or ensure availability of a comparable suite of data, scientific, and analytical resources—in the public domain to ensure knowledge transfer and ratepayer impact. </w:t>
      </w:r>
    </w:p>
    <w:p w14:paraId="6293C24E" w14:textId="77777777" w:rsidR="008770FE" w:rsidRPr="008A3657" w:rsidRDefault="008770FE" w:rsidP="00B97CF4">
      <w:pPr>
        <w:pStyle w:val="ListParagraph"/>
        <w:numPr>
          <w:ilvl w:val="1"/>
          <w:numId w:val="57"/>
        </w:numPr>
        <w:tabs>
          <w:tab w:val="num" w:pos="360"/>
        </w:tabs>
        <w:spacing w:after="160"/>
        <w:ind w:right="720"/>
        <w:contextualSpacing w:val="0"/>
        <w:jc w:val="left"/>
      </w:pPr>
      <w:r w:rsidRPr="008A3657">
        <w:t>Applicants must justify their approach in terms of ratepayer benefits and should articulate how their approach demonstrates appropriate stewardship of ratepayer research and development funds.</w:t>
      </w:r>
    </w:p>
    <w:p w14:paraId="5992030D" w14:textId="77777777" w:rsidR="008770FE" w:rsidRPr="008A3657" w:rsidRDefault="008770FE" w:rsidP="00B97CF4">
      <w:pPr>
        <w:pStyle w:val="ListParagraph"/>
        <w:numPr>
          <w:ilvl w:val="0"/>
          <w:numId w:val="57"/>
        </w:numPr>
        <w:tabs>
          <w:tab w:val="num" w:pos="360"/>
        </w:tabs>
        <w:spacing w:after="160"/>
        <w:ind w:right="720"/>
        <w:contextualSpacing w:val="0"/>
        <w:jc w:val="left"/>
      </w:pPr>
      <w:r w:rsidRPr="008A3657">
        <w:rPr>
          <w:rFonts w:eastAsia="Arial"/>
          <w:szCs w:val="22"/>
        </w:rPr>
        <w:t>Develop guidance and a knowledge transfer strategy to scale appropriate use of innovative research products.</w:t>
      </w:r>
    </w:p>
    <w:p w14:paraId="518BE5F5" w14:textId="77777777" w:rsidR="008770FE" w:rsidRPr="008A3657" w:rsidRDefault="008770FE" w:rsidP="00B97CF4">
      <w:pPr>
        <w:pStyle w:val="ListParagraph"/>
        <w:numPr>
          <w:ilvl w:val="0"/>
          <w:numId w:val="57"/>
        </w:numPr>
        <w:tabs>
          <w:tab w:val="num" w:pos="360"/>
        </w:tabs>
        <w:spacing w:after="160"/>
        <w:ind w:right="720"/>
        <w:contextualSpacing w:val="0"/>
        <w:jc w:val="left"/>
        <w:rPr>
          <w:rFonts w:eastAsia="Arial"/>
          <w:szCs w:val="22"/>
        </w:rPr>
      </w:pPr>
      <w:r w:rsidRPr="008A3657">
        <w:rPr>
          <w:rFonts w:eastAsia="Arial"/>
          <w:szCs w:val="22"/>
        </w:rPr>
        <w:t>Articulate a plan for supporting sustained engagement with IOUs and other energy sector stakeholders to build capacity for lasting impact of research.</w:t>
      </w:r>
    </w:p>
    <w:p w14:paraId="7F01D8D8" w14:textId="77777777" w:rsidR="008770FE" w:rsidRPr="008A3657" w:rsidRDefault="008770FE" w:rsidP="00B97CF4">
      <w:pPr>
        <w:pStyle w:val="ListParagraph"/>
        <w:numPr>
          <w:ilvl w:val="1"/>
          <w:numId w:val="57"/>
        </w:numPr>
        <w:tabs>
          <w:tab w:val="num" w:pos="360"/>
        </w:tabs>
        <w:ind w:right="720"/>
        <w:contextualSpacing w:val="0"/>
        <w:jc w:val="left"/>
        <w:rPr>
          <w:rFonts w:eastAsia="Arial"/>
          <w:szCs w:val="22"/>
        </w:rPr>
      </w:pPr>
      <w:r w:rsidRPr="008A3657">
        <w:rPr>
          <w:rFonts w:eastAsia="Arial"/>
          <w:szCs w:val="22"/>
        </w:rPr>
        <w:t xml:space="preserve">Demonstrate how the project will proactively engage stakeholders to ensure that: </w:t>
      </w:r>
    </w:p>
    <w:p w14:paraId="04E8C571" w14:textId="77777777" w:rsidR="008770FE" w:rsidRPr="008A3657" w:rsidRDefault="008770FE" w:rsidP="00B97CF4">
      <w:pPr>
        <w:pStyle w:val="ListParagraph"/>
        <w:numPr>
          <w:ilvl w:val="2"/>
          <w:numId w:val="57"/>
        </w:numPr>
        <w:ind w:right="720"/>
        <w:contextualSpacing w:val="0"/>
        <w:jc w:val="left"/>
        <w:rPr>
          <w:rFonts w:eastAsia="Arial"/>
        </w:rPr>
      </w:pPr>
      <w:r w:rsidRPr="008A3657">
        <w:rPr>
          <w:rFonts w:eastAsia="Arial"/>
        </w:rPr>
        <w:t xml:space="preserve">data and analytical products are tailored to facilitate integration into policy, planning, and other workflows (e.g., engineering analyses) and </w:t>
      </w:r>
    </w:p>
    <w:p w14:paraId="70EB33F9" w14:textId="77777777" w:rsidR="008770FE" w:rsidRPr="008A3657" w:rsidRDefault="008770FE" w:rsidP="00B97CF4">
      <w:pPr>
        <w:pStyle w:val="ListParagraph"/>
        <w:numPr>
          <w:ilvl w:val="2"/>
          <w:numId w:val="57"/>
        </w:numPr>
        <w:ind w:right="720"/>
        <w:contextualSpacing w:val="0"/>
        <w:jc w:val="left"/>
        <w:rPr>
          <w:rFonts w:eastAsia="Arial"/>
          <w:szCs w:val="22"/>
        </w:rPr>
      </w:pPr>
      <w:r w:rsidRPr="008A3657">
        <w:rPr>
          <w:rFonts w:eastAsia="Arial"/>
          <w:szCs w:val="22"/>
        </w:rPr>
        <w:t>research products are relevant and appropriate for the processes they are intended to inform.</w:t>
      </w:r>
    </w:p>
    <w:p w14:paraId="0A35D2F1" w14:textId="77777777" w:rsidR="008770FE" w:rsidRPr="008A3657" w:rsidRDefault="008770FE" w:rsidP="00B97CF4">
      <w:pPr>
        <w:tabs>
          <w:tab w:val="num" w:pos="360"/>
        </w:tabs>
        <w:spacing w:after="160"/>
        <w:ind w:right="720"/>
        <w:jc w:val="left"/>
      </w:pPr>
    </w:p>
    <w:p w14:paraId="4DEA2837" w14:textId="77777777" w:rsidR="008770FE" w:rsidRPr="008A3657" w:rsidRDefault="008770FE" w:rsidP="00B97CF4">
      <w:pPr>
        <w:tabs>
          <w:tab w:val="num" w:pos="360"/>
        </w:tabs>
        <w:spacing w:after="160"/>
        <w:ind w:right="720"/>
        <w:jc w:val="left"/>
      </w:pPr>
      <w:r w:rsidRPr="008A3657">
        <w:rPr>
          <w:b/>
          <w:bCs/>
        </w:rPr>
        <w:t>Group 2</w:t>
      </w:r>
      <w:r w:rsidRPr="008A3657">
        <w:t>: Demonstration of novel analyses, conceptual frameworks, and modeling to advance climate resilience in policy</w:t>
      </w:r>
    </w:p>
    <w:p w14:paraId="2B159674" w14:textId="77777777" w:rsidR="008770FE" w:rsidRPr="008A3657" w:rsidRDefault="008770FE" w:rsidP="00B97CF4">
      <w:pPr>
        <w:tabs>
          <w:tab w:val="num" w:pos="360"/>
        </w:tabs>
        <w:spacing w:after="160"/>
        <w:ind w:right="720"/>
        <w:jc w:val="left"/>
        <w:rPr>
          <w:rFonts w:eastAsia="Arial"/>
        </w:rPr>
      </w:pPr>
      <w:r w:rsidRPr="008A3657">
        <w:rPr>
          <w:rFonts w:eastAsia="Arial"/>
        </w:rPr>
        <w:t xml:space="preserve">Decision-relevant climate and weather data that have been developed to support resilience of California’s electricity sector are research products. As such, they are not plug-and-play but require substantial support to ensure that their use is aligned with scientific best practice, policy needs, and public-sector expectations of transparency. As articulated in Section I.A., leveraging climate and weather data for high-stakes electricity sector planning requires extensive collaboration between policy analysts, scientists, energy system modelers, and technical staff from IOUs and state agencies. </w:t>
      </w:r>
    </w:p>
    <w:p w14:paraId="7639BD20" w14:textId="77777777" w:rsidR="008770FE" w:rsidRPr="008A3657" w:rsidRDefault="008770FE" w:rsidP="00B97CF4">
      <w:pPr>
        <w:tabs>
          <w:tab w:val="num" w:pos="360"/>
        </w:tabs>
        <w:spacing w:after="160"/>
        <w:ind w:right="720"/>
        <w:jc w:val="left"/>
        <w:rPr>
          <w:rFonts w:eastAsia="Arial"/>
        </w:rPr>
      </w:pPr>
      <w:r w:rsidRPr="008A3657">
        <w:rPr>
          <w:rFonts w:eastAsia="Arial"/>
        </w:rPr>
        <w:t>Recognizing that application of cutting-edge climate and weather data must be adequately resourced to be successful, this group will support a demonstration phase to provide proof-of-concept, which is a prerequisite to using data in high-stakes settings (e.g., California’s Demand Forecast, Integrated Resource Planning, GRCs)  that often have rapid workflows and require extensive socialization across multiple stakeholders.</w:t>
      </w:r>
    </w:p>
    <w:p w14:paraId="20195E6D" w14:textId="77777777" w:rsidR="008770FE" w:rsidRPr="008A3657" w:rsidRDefault="008770FE" w:rsidP="00B97CF4">
      <w:pPr>
        <w:tabs>
          <w:tab w:val="num" w:pos="360"/>
        </w:tabs>
        <w:spacing w:after="160"/>
        <w:ind w:right="720"/>
        <w:jc w:val="left"/>
        <w:rPr>
          <w:rFonts w:eastAsia="Arial"/>
          <w:szCs w:val="22"/>
        </w:rPr>
      </w:pPr>
      <w:r w:rsidRPr="008A3657">
        <w:rPr>
          <w:rFonts w:eastAsia="Arial"/>
          <w:szCs w:val="22"/>
        </w:rPr>
        <w:t>The successful applicant must:</w:t>
      </w:r>
    </w:p>
    <w:p w14:paraId="0848415C" w14:textId="77777777" w:rsidR="008770FE" w:rsidRPr="008A3657" w:rsidRDefault="008770FE" w:rsidP="00B97CF4">
      <w:pPr>
        <w:pStyle w:val="ListParagraph"/>
        <w:numPr>
          <w:ilvl w:val="0"/>
          <w:numId w:val="54"/>
        </w:numPr>
        <w:tabs>
          <w:tab w:val="num" w:pos="360"/>
        </w:tabs>
        <w:spacing w:after="160"/>
        <w:ind w:right="720"/>
        <w:contextualSpacing w:val="0"/>
        <w:jc w:val="left"/>
        <w:rPr>
          <w:rFonts w:eastAsia="Arial"/>
        </w:rPr>
      </w:pPr>
      <w:r w:rsidRPr="008A3657">
        <w:rPr>
          <w:rFonts w:eastAsia="Arial"/>
        </w:rPr>
        <w:t>Propose a scope of work that demonstrates how open climate data and analyses could be integrated into high-impact policy frameworks and workflows associated with California’s electricity system;</w:t>
      </w:r>
    </w:p>
    <w:p w14:paraId="57001E05" w14:textId="77777777" w:rsidR="008770FE" w:rsidRPr="008A3657" w:rsidRDefault="008770FE" w:rsidP="00B97CF4">
      <w:pPr>
        <w:pStyle w:val="ListParagraph"/>
        <w:numPr>
          <w:ilvl w:val="0"/>
          <w:numId w:val="54"/>
        </w:numPr>
        <w:tabs>
          <w:tab w:val="num" w:pos="360"/>
        </w:tabs>
        <w:spacing w:after="160"/>
        <w:ind w:right="720"/>
        <w:contextualSpacing w:val="0"/>
        <w:jc w:val="left"/>
        <w:rPr>
          <w:rFonts w:eastAsia="Arial"/>
        </w:rPr>
      </w:pPr>
      <w:r w:rsidRPr="008A3657">
        <w:rPr>
          <w:rFonts w:eastAsia="Arial"/>
        </w:rPr>
        <w:lastRenderedPageBreak/>
        <w:t>Rely on open climate and weather data (e.g., data from Cal-Adapt) and make any analyses developed through this work publicly available; justify choice of open data source;</w:t>
      </w:r>
    </w:p>
    <w:p w14:paraId="3A8C771D" w14:textId="77777777" w:rsidR="008770FE" w:rsidRPr="008A3657" w:rsidRDefault="008770FE" w:rsidP="00B97CF4">
      <w:pPr>
        <w:pStyle w:val="ListParagraph"/>
        <w:numPr>
          <w:ilvl w:val="0"/>
          <w:numId w:val="54"/>
        </w:numPr>
        <w:tabs>
          <w:tab w:val="num" w:pos="360"/>
        </w:tabs>
        <w:spacing w:after="160"/>
        <w:ind w:right="720"/>
        <w:contextualSpacing w:val="0"/>
        <w:jc w:val="left"/>
        <w:rPr>
          <w:rFonts w:eastAsia="Arial"/>
        </w:rPr>
      </w:pPr>
      <w:r w:rsidRPr="008A3657">
        <w:rPr>
          <w:rFonts w:eastAsia="Arial"/>
        </w:rPr>
        <w:t>Justify their choice of policy, planning, and/or investment setting with regard to ratepayer impact, policy alignment, and prospects for implementation beyond the completion timeframe of the EPIC research; and</w:t>
      </w:r>
    </w:p>
    <w:p w14:paraId="39C27072" w14:textId="77777777" w:rsidR="008770FE" w:rsidRPr="008A3657" w:rsidRDefault="008770FE" w:rsidP="00B97CF4">
      <w:pPr>
        <w:pStyle w:val="ListParagraph"/>
        <w:numPr>
          <w:ilvl w:val="0"/>
          <w:numId w:val="54"/>
        </w:numPr>
        <w:tabs>
          <w:tab w:val="num" w:pos="360"/>
        </w:tabs>
        <w:spacing w:after="160"/>
        <w:ind w:right="720"/>
        <w:contextualSpacing w:val="0"/>
        <w:jc w:val="left"/>
        <w:rPr>
          <w:rFonts w:eastAsia="Arial"/>
        </w:rPr>
      </w:pPr>
      <w:r w:rsidRPr="008A3657">
        <w:rPr>
          <w:rFonts w:eastAsia="Arial"/>
        </w:rPr>
        <w:t>Articulate a credible plan for engaging key parties in a manner that builds capacity for appropriate use of climate data, advances electricity sector resilience and is positioned to support uptake of the demonstrated framework.</w:t>
      </w:r>
    </w:p>
    <w:p w14:paraId="7360A83E" w14:textId="77777777" w:rsidR="008770FE" w:rsidRPr="008A3657" w:rsidRDefault="008770FE" w:rsidP="00B97CF4">
      <w:pPr>
        <w:tabs>
          <w:tab w:val="num" w:pos="360"/>
        </w:tabs>
        <w:spacing w:after="160"/>
        <w:ind w:right="720"/>
        <w:jc w:val="left"/>
        <w:rPr>
          <w:rFonts w:eastAsia="Arial"/>
          <w:szCs w:val="22"/>
        </w:rPr>
      </w:pPr>
      <w:r w:rsidRPr="008A3657">
        <w:rPr>
          <w:rFonts w:eastAsia="Arial"/>
          <w:szCs w:val="22"/>
          <w:u w:val="single"/>
        </w:rPr>
        <w:t>Background</w:t>
      </w:r>
    </w:p>
    <w:p w14:paraId="5E2342C4" w14:textId="77777777" w:rsidR="008770FE" w:rsidRPr="008A3657" w:rsidRDefault="008770FE" w:rsidP="00B97CF4">
      <w:pPr>
        <w:tabs>
          <w:tab w:val="num" w:pos="360"/>
        </w:tabs>
        <w:spacing w:after="160"/>
        <w:ind w:right="720"/>
        <w:jc w:val="left"/>
        <w:rPr>
          <w:rFonts w:eastAsia="Arial"/>
          <w:szCs w:val="22"/>
        </w:rPr>
      </w:pPr>
      <w:r w:rsidRPr="008A3657">
        <w:rPr>
          <w:rFonts w:eastAsia="Arial"/>
          <w:szCs w:val="22"/>
        </w:rPr>
        <w:t>As shared at a March 25, 2026</w:t>
      </w:r>
      <w:r w:rsidRPr="008A3657">
        <w:rPr>
          <w:rFonts w:eastAsia="Arial"/>
        </w:rPr>
        <w:t>,</w:t>
      </w:r>
      <w:r w:rsidRPr="008A3657">
        <w:rPr>
          <w:rFonts w:eastAsia="Arial"/>
          <w:szCs w:val="22"/>
        </w:rPr>
        <w:t xml:space="preserve"> meeting of CEC’s Climate Data and Analysis Working Group</w:t>
      </w:r>
      <w:r w:rsidRPr="008A3657">
        <w:rPr>
          <w:rStyle w:val="FootnoteReference"/>
          <w:rFonts w:eastAsia="Arial"/>
          <w:szCs w:val="22"/>
        </w:rPr>
        <w:footnoteReference w:id="4"/>
      </w:r>
      <w:r w:rsidRPr="008A3657">
        <w:rPr>
          <w:rFonts w:eastAsia="Arial"/>
          <w:szCs w:val="22"/>
        </w:rPr>
        <w:t>, integration of best available data into electricity sector policy, planning, and investment processes faces several challenges, including (but not limited to):</w:t>
      </w:r>
    </w:p>
    <w:p w14:paraId="09C536F1" w14:textId="77777777" w:rsidR="008770FE" w:rsidRPr="008A3657" w:rsidRDefault="008770FE" w:rsidP="00B97CF4">
      <w:pPr>
        <w:pStyle w:val="ListParagraph"/>
        <w:numPr>
          <w:ilvl w:val="0"/>
          <w:numId w:val="53"/>
        </w:numPr>
        <w:tabs>
          <w:tab w:val="num" w:pos="720"/>
        </w:tabs>
        <w:spacing w:after="160"/>
        <w:ind w:right="720"/>
        <w:contextualSpacing w:val="0"/>
        <w:jc w:val="left"/>
        <w:rPr>
          <w:rFonts w:eastAsia="Arial"/>
          <w:szCs w:val="22"/>
        </w:rPr>
      </w:pPr>
      <w:r w:rsidRPr="008A3657">
        <w:rPr>
          <w:rFonts w:eastAsia="Arial"/>
          <w:b/>
          <w:bCs/>
          <w:szCs w:val="22"/>
        </w:rPr>
        <w:t>Validation</w:t>
      </w:r>
      <w:r w:rsidRPr="008A3657">
        <w:rPr>
          <w:rFonts w:eastAsia="Arial"/>
          <w:szCs w:val="22"/>
        </w:rPr>
        <w:t xml:space="preserve">: Whereas climate projections are typically validated on a regional, multi-decadal basis, some of their applications involve sub-daily (e.g., hourly) perspective at a “point” location (e.g., a meteorological station). Translating regional projections to such applications is not always readily tractable through generalized workflows. Sometimes this translation requires case-by-case knowledge of historical data (which can have quality control issues), energy system models, projected climate data, and the policy context. </w:t>
      </w:r>
    </w:p>
    <w:p w14:paraId="6DD977F1" w14:textId="77777777" w:rsidR="008770FE" w:rsidRPr="008A3657" w:rsidRDefault="008770FE" w:rsidP="00B97CF4">
      <w:pPr>
        <w:pStyle w:val="ListParagraph"/>
        <w:numPr>
          <w:ilvl w:val="0"/>
          <w:numId w:val="53"/>
        </w:numPr>
        <w:tabs>
          <w:tab w:val="num" w:pos="720"/>
        </w:tabs>
        <w:spacing w:after="160"/>
        <w:ind w:right="720"/>
        <w:contextualSpacing w:val="0"/>
        <w:jc w:val="left"/>
        <w:rPr>
          <w:rFonts w:eastAsia="Arial"/>
          <w:szCs w:val="22"/>
        </w:rPr>
      </w:pPr>
      <w:r w:rsidRPr="008A3657">
        <w:rPr>
          <w:rFonts w:eastAsia="Arial"/>
          <w:b/>
          <w:bCs/>
          <w:szCs w:val="22"/>
        </w:rPr>
        <w:t xml:space="preserve">Discontinuities </w:t>
      </w:r>
      <w:r w:rsidRPr="008A3657">
        <w:rPr>
          <w:rFonts w:eastAsia="Arial"/>
          <w:szCs w:val="22"/>
        </w:rPr>
        <w:t>with policy implications: Even where “new” data that incorporate climate projections are an improvement, their use can introduce perplexing results that need to be fully investigated and socialized before implementation.</w:t>
      </w:r>
    </w:p>
    <w:p w14:paraId="4ADB41D3" w14:textId="77777777" w:rsidR="008770FE" w:rsidRPr="008A3657" w:rsidRDefault="008770FE" w:rsidP="00B97CF4">
      <w:pPr>
        <w:tabs>
          <w:tab w:val="num" w:pos="360"/>
        </w:tabs>
        <w:spacing w:after="160"/>
        <w:ind w:right="720"/>
        <w:jc w:val="left"/>
        <w:rPr>
          <w:rFonts w:eastAsia="Arial"/>
          <w:szCs w:val="22"/>
        </w:rPr>
      </w:pPr>
      <w:r w:rsidRPr="008A3657">
        <w:rPr>
          <w:rFonts w:eastAsia="Arial"/>
          <w:szCs w:val="22"/>
        </w:rPr>
        <w:t>Further, while EPIC 4 has supported substantial progress in development of data and integration into select aspects of electricity system planning and proceedings (e.g., California’s Energy Demand forecast, IOUs’ CAVA filings) as well as advanced climate-informed energy system modeling and research, many opportunities for improved planning, investment, and policy-relevant analyses still exist and require substantial innovation and resources to appropriately address.</w:t>
      </w:r>
    </w:p>
    <w:p w14:paraId="396B06BD" w14:textId="77777777" w:rsidR="008770FE" w:rsidRPr="008A3657" w:rsidRDefault="008770FE" w:rsidP="00B97CF4">
      <w:pPr>
        <w:tabs>
          <w:tab w:val="num" w:pos="360"/>
        </w:tabs>
        <w:spacing w:after="160"/>
        <w:ind w:right="720"/>
        <w:jc w:val="left"/>
      </w:pPr>
      <w:r w:rsidRPr="008A3657">
        <w:rPr>
          <w:b/>
          <w:bCs/>
        </w:rPr>
        <w:t>Group 3</w:t>
      </w:r>
      <w:r w:rsidRPr="008A3657">
        <w:t>: Integrated Framework for Utility Wildfire Risk Mitigation</w:t>
      </w:r>
    </w:p>
    <w:p w14:paraId="59EE4B36" w14:textId="77777777" w:rsidR="008770FE" w:rsidRPr="008A3657" w:rsidRDefault="008770FE" w:rsidP="00B97CF4">
      <w:pPr>
        <w:tabs>
          <w:tab w:val="num" w:pos="360"/>
        </w:tabs>
        <w:spacing w:after="160"/>
        <w:ind w:right="720"/>
        <w:jc w:val="left"/>
      </w:pPr>
      <w:r w:rsidRPr="008A3657">
        <w:t xml:space="preserve">This group will develop a quantitative, spatially explicit wildfire risk‑mitigation framework that allows for comparison of the costs, benefits, and tradeoffs of mitigation options across utility and non‑utility actors, such as grid hardening, situational awareness, de-energization, land management, and community and </w:t>
      </w:r>
      <w:r w:rsidRPr="008A3657">
        <w:lastRenderedPageBreak/>
        <w:t>home hardening strategies. The integrated framework will provide California ratepayer benefits by identifying cost-effective mitigation pathways, addressing both ignition and consequence reduction, highlighting the benefits of cross‑sector coordination, and surfacing priority knowledge gaps. This project is intended as a foundational step towards supporting more cost-effective wildfire mitigation planning that improves grid reliability and safety outcomes across the state while reducing ratepayer costs. While a number of additional desirable elements are articulated below, it is expected that some of these will be beyond the scope of a single research effort. Accordingly, some of these elements may be incorporated in future research solicitations.</w:t>
      </w:r>
    </w:p>
    <w:p w14:paraId="102DB9AF" w14:textId="75E5D9C5" w:rsidR="008770FE" w:rsidRPr="008A3657" w:rsidRDefault="008770FE" w:rsidP="00B97CF4">
      <w:pPr>
        <w:tabs>
          <w:tab w:val="num" w:pos="360"/>
        </w:tabs>
        <w:spacing w:after="160"/>
        <w:ind w:right="720"/>
        <w:jc w:val="left"/>
      </w:pPr>
      <w:r w:rsidRPr="008A3657">
        <w:t xml:space="preserve"> A successful project must:</w:t>
      </w:r>
    </w:p>
    <w:p w14:paraId="453916BC" w14:textId="77777777" w:rsidR="008770FE" w:rsidRPr="008A3657" w:rsidRDefault="008770FE" w:rsidP="00B97CF4">
      <w:pPr>
        <w:pStyle w:val="ListParagraph"/>
        <w:numPr>
          <w:ilvl w:val="0"/>
          <w:numId w:val="56"/>
        </w:numPr>
        <w:tabs>
          <w:tab w:val="num" w:pos="360"/>
        </w:tabs>
        <w:spacing w:after="160"/>
        <w:ind w:right="720"/>
        <w:contextualSpacing w:val="0"/>
        <w:jc w:val="left"/>
      </w:pPr>
      <w:r w:rsidRPr="008A3657">
        <w:t>Engage relevant key parties (e.g., IOUs, energy sector regulators, insurance industry, land managers, fire agencies, community-based organizations) to document key mitigation options, tradeoffs, and costs, as well as planning and implementation processes and timelines;</w:t>
      </w:r>
    </w:p>
    <w:p w14:paraId="3A2A11EC" w14:textId="77777777" w:rsidR="008770FE" w:rsidRPr="008A3657" w:rsidRDefault="008770FE" w:rsidP="00B97CF4">
      <w:pPr>
        <w:pStyle w:val="ListParagraph"/>
        <w:numPr>
          <w:ilvl w:val="0"/>
          <w:numId w:val="56"/>
        </w:numPr>
        <w:tabs>
          <w:tab w:val="num" w:pos="360"/>
        </w:tabs>
        <w:spacing w:after="160"/>
        <w:ind w:right="720"/>
        <w:contextualSpacing w:val="0"/>
        <w:jc w:val="left"/>
      </w:pPr>
      <w:r w:rsidRPr="008A3657">
        <w:t>Identify challenges and opportunities for alignment of data, models, and planning across sectors;</w:t>
      </w:r>
    </w:p>
    <w:p w14:paraId="7AFE6C96" w14:textId="77777777" w:rsidR="008770FE" w:rsidRPr="008A3657" w:rsidRDefault="008770FE" w:rsidP="00B97CF4">
      <w:pPr>
        <w:pStyle w:val="ListParagraph"/>
        <w:numPr>
          <w:ilvl w:val="0"/>
          <w:numId w:val="56"/>
        </w:numPr>
        <w:tabs>
          <w:tab w:val="num" w:pos="360"/>
        </w:tabs>
        <w:spacing w:after="160"/>
        <w:ind w:right="720"/>
        <w:contextualSpacing w:val="0"/>
        <w:jc w:val="left"/>
      </w:pPr>
      <w:r w:rsidRPr="008A3657">
        <w:t>Develop a cost‑benefit framework that integrates mitigation actions across utility and non‑utility actors and supports ratepayer‑focused evaluation of costs, benefits, and their distribution across sectors;</w:t>
      </w:r>
    </w:p>
    <w:p w14:paraId="0D98BF3D" w14:textId="77777777" w:rsidR="008770FE" w:rsidRPr="008A3657" w:rsidRDefault="008770FE" w:rsidP="00B97CF4">
      <w:pPr>
        <w:pStyle w:val="ListParagraph"/>
        <w:numPr>
          <w:ilvl w:val="0"/>
          <w:numId w:val="56"/>
        </w:numPr>
        <w:tabs>
          <w:tab w:val="num" w:pos="360"/>
        </w:tabs>
        <w:spacing w:after="160"/>
        <w:ind w:right="720"/>
        <w:contextualSpacing w:val="0"/>
        <w:jc w:val="left"/>
      </w:pPr>
      <w:r w:rsidRPr="008A3657">
        <w:t>Generate insights from the integrated framework, including comparative analysis of mitigation pathways and identification of cross‑sector interactions;</w:t>
      </w:r>
    </w:p>
    <w:p w14:paraId="37ED4DAB" w14:textId="77777777" w:rsidR="008770FE" w:rsidRPr="008A3657" w:rsidRDefault="008770FE" w:rsidP="00B97CF4">
      <w:pPr>
        <w:pStyle w:val="ListParagraph"/>
        <w:numPr>
          <w:ilvl w:val="0"/>
          <w:numId w:val="56"/>
        </w:numPr>
        <w:tabs>
          <w:tab w:val="num" w:pos="360"/>
        </w:tabs>
        <w:spacing w:after="160"/>
        <w:ind w:right="720"/>
        <w:contextualSpacing w:val="0"/>
        <w:jc w:val="left"/>
      </w:pPr>
      <w:r w:rsidRPr="008A3657">
        <w:t>Identify key knowledge gaps, uncertainties, and recommended next steps for research and development to inform future investments;</w:t>
      </w:r>
    </w:p>
    <w:p w14:paraId="25C9700A" w14:textId="77777777" w:rsidR="008770FE" w:rsidRPr="008A3657" w:rsidRDefault="008770FE" w:rsidP="00B97CF4">
      <w:pPr>
        <w:pStyle w:val="ListParagraph"/>
        <w:numPr>
          <w:ilvl w:val="0"/>
          <w:numId w:val="56"/>
        </w:numPr>
        <w:tabs>
          <w:tab w:val="num" w:pos="360"/>
        </w:tabs>
        <w:spacing w:after="160"/>
        <w:ind w:right="720"/>
        <w:contextualSpacing w:val="0"/>
        <w:jc w:val="left"/>
      </w:pPr>
      <w:r w:rsidRPr="008A3657">
        <w:t>Demonstrate project team expertise relevant to project tasks, including multi-disciplinary team composition or plan to engage relevant experts; and</w:t>
      </w:r>
    </w:p>
    <w:p w14:paraId="3BDBFE15" w14:textId="77777777" w:rsidR="008770FE" w:rsidRPr="008A3657" w:rsidRDefault="008770FE" w:rsidP="00B97CF4">
      <w:pPr>
        <w:pStyle w:val="ListParagraph"/>
        <w:numPr>
          <w:ilvl w:val="0"/>
          <w:numId w:val="56"/>
        </w:numPr>
        <w:tabs>
          <w:tab w:val="num" w:pos="360"/>
        </w:tabs>
        <w:spacing w:after="160"/>
        <w:ind w:right="720"/>
        <w:contextualSpacing w:val="0"/>
        <w:jc w:val="left"/>
      </w:pPr>
      <w:r w:rsidRPr="008A3657">
        <w:t>Justify the proposed research funding by explaining how it advances the long-term goals of more cost-effective wildfire mitigation planning that improves grid reliability and safety outcomes across the state while reducing ratepayer costs; the justification should also describe how the research will achieve – or lay the groundwork to achieve – the applicant’s selected additional desired elements from the list below.</w:t>
      </w:r>
    </w:p>
    <w:p w14:paraId="01AF4C4A" w14:textId="77777777" w:rsidR="008770FE" w:rsidRPr="008A3657" w:rsidRDefault="008770FE" w:rsidP="00B97CF4">
      <w:pPr>
        <w:tabs>
          <w:tab w:val="num" w:pos="360"/>
        </w:tabs>
        <w:spacing w:after="160"/>
        <w:ind w:right="720"/>
        <w:jc w:val="left"/>
      </w:pPr>
      <w:r w:rsidRPr="008A3657">
        <w:t>As noted above, this is part of an anticipated portfolio of EPIC research and development that is intended to help transform the way IOUs work within California’s larger ecosystem of actors and interested parties to successfully manage wildfire risk. To that end, it is desirable that projects also include:</w:t>
      </w:r>
    </w:p>
    <w:p w14:paraId="3D0E727F" w14:textId="77777777" w:rsidR="008770FE" w:rsidRPr="008A3657" w:rsidRDefault="008770FE" w:rsidP="00B97CF4">
      <w:pPr>
        <w:numPr>
          <w:ilvl w:val="0"/>
          <w:numId w:val="55"/>
        </w:numPr>
        <w:tabs>
          <w:tab w:val="num" w:pos="360"/>
        </w:tabs>
        <w:spacing w:after="160"/>
        <w:ind w:right="720"/>
        <w:jc w:val="left"/>
      </w:pPr>
      <w:r w:rsidRPr="008A3657">
        <w:t>Collection and synthesis of best‑available data on mitigation effectiveness, costs, and non‑monetary benefits or tradeoffs.</w:t>
      </w:r>
    </w:p>
    <w:p w14:paraId="6E4B5425" w14:textId="77777777" w:rsidR="008770FE" w:rsidRPr="008A3657" w:rsidRDefault="008770FE" w:rsidP="00B97CF4">
      <w:pPr>
        <w:pStyle w:val="ListParagraph"/>
        <w:numPr>
          <w:ilvl w:val="0"/>
          <w:numId w:val="55"/>
        </w:numPr>
        <w:tabs>
          <w:tab w:val="num" w:pos="360"/>
        </w:tabs>
        <w:spacing w:after="160"/>
        <w:ind w:right="720"/>
        <w:contextualSpacing w:val="0"/>
        <w:jc w:val="left"/>
      </w:pPr>
      <w:r w:rsidRPr="008A3657">
        <w:lastRenderedPageBreak/>
        <w:t>Scenario‑based or optimization analyses using the developed framework to evaluate alternative mitigation portfolios.</w:t>
      </w:r>
    </w:p>
    <w:p w14:paraId="5AE7F066" w14:textId="77777777" w:rsidR="008770FE" w:rsidRPr="008A3657" w:rsidRDefault="008770FE" w:rsidP="00B97CF4">
      <w:pPr>
        <w:pStyle w:val="ListParagraph"/>
        <w:numPr>
          <w:ilvl w:val="0"/>
          <w:numId w:val="55"/>
        </w:numPr>
        <w:tabs>
          <w:tab w:val="num" w:pos="360"/>
        </w:tabs>
        <w:spacing w:after="160"/>
        <w:ind w:right="720"/>
        <w:contextualSpacing w:val="0"/>
        <w:jc w:val="left"/>
      </w:pPr>
      <w:r w:rsidRPr="008A3657">
        <w:t xml:space="preserve">Leverage of existing open‑source data and modeling platforms in the framework (e.g., </w:t>
      </w:r>
      <w:proofErr w:type="spellStart"/>
      <w:r w:rsidRPr="008A3657">
        <w:t>Planscape</w:t>
      </w:r>
      <w:proofErr w:type="spellEnd"/>
      <w:r w:rsidRPr="008A3657">
        <w:t>, Wildfire, Ecosystem Resilience, and Risk Assessment Initiative (WERK) data products, State Catastrophe Model when available, or other publicly accessible tools).</w:t>
      </w:r>
    </w:p>
    <w:p w14:paraId="0EFE54B2" w14:textId="0C3D3F7B" w:rsidR="008770FE" w:rsidRPr="008A3657" w:rsidRDefault="008770FE" w:rsidP="00074630">
      <w:pPr>
        <w:pStyle w:val="ListParagraph"/>
        <w:numPr>
          <w:ilvl w:val="0"/>
          <w:numId w:val="55"/>
        </w:numPr>
        <w:tabs>
          <w:tab w:val="num" w:pos="360"/>
        </w:tabs>
        <w:spacing w:after="0"/>
        <w:ind w:right="720"/>
        <w:contextualSpacing w:val="0"/>
        <w:jc w:val="left"/>
      </w:pPr>
      <w:r w:rsidRPr="008A3657">
        <w:t>Harmonization with, where appropriate, state and federal processes to develop consistent outcome metrics (e.g., USFS outcome-based change metrics</w:t>
      </w:r>
      <w:r w:rsidR="00A96E81">
        <w:rPr>
          <w:rStyle w:val="FootnoteReference"/>
        </w:rPr>
        <w:footnoteReference w:id="5"/>
      </w:r>
      <w:r w:rsidRPr="008A3657">
        <w:t>).</w:t>
      </w:r>
    </w:p>
    <w:p w14:paraId="02670E6B" w14:textId="77777777" w:rsidR="00665B8E" w:rsidRPr="008A3657" w:rsidRDefault="00665B8E" w:rsidP="00B97CF4">
      <w:pPr>
        <w:pStyle w:val="Heading3"/>
        <w:jc w:val="left"/>
      </w:pPr>
      <w:r w:rsidRPr="008A3657">
        <w:t>Funding</w:t>
      </w:r>
      <w:bookmarkEnd w:id="18"/>
      <w:bookmarkEnd w:id="19"/>
    </w:p>
    <w:p w14:paraId="46A0D9C4" w14:textId="77777777" w:rsidR="00665B8E" w:rsidRPr="008A3657" w:rsidRDefault="00665B8E" w:rsidP="00B97CF4">
      <w:pPr>
        <w:pStyle w:val="Heading4"/>
        <w:ind w:hanging="720"/>
        <w:jc w:val="left"/>
      </w:pPr>
      <w:bookmarkStart w:id="20" w:name="_Toc381079878"/>
      <w:bookmarkStart w:id="21" w:name="_Toc382571140"/>
      <w:bookmarkStart w:id="22" w:name="_Toc395180637"/>
      <w:bookmarkStart w:id="23" w:name="_Toc433981282"/>
      <w:r w:rsidRPr="008A3657">
        <w:t>Amount Available and Minimum/ Maximum Funding Amounts</w:t>
      </w:r>
      <w:bookmarkEnd w:id="20"/>
      <w:bookmarkEnd w:id="21"/>
      <w:bookmarkEnd w:id="22"/>
      <w:bookmarkEnd w:id="23"/>
    </w:p>
    <w:p w14:paraId="7C957882" w14:textId="0F070A8E" w:rsidR="00665B8E" w:rsidRPr="008A3657" w:rsidRDefault="00665B8E" w:rsidP="00B97CF4">
      <w:pPr>
        <w:pStyle w:val="BodyText"/>
        <w:jc w:val="left"/>
      </w:pPr>
      <w:bookmarkStart w:id="24" w:name="_Toc381079884"/>
      <w:bookmarkStart w:id="25" w:name="_Toc382571146"/>
      <w:bookmarkStart w:id="26" w:name="_Toc395180643"/>
      <w:bookmarkStart w:id="27" w:name="_Toc433981288"/>
      <w:r w:rsidRPr="008A3657">
        <w:t>There is</w:t>
      </w:r>
      <w:r w:rsidRPr="008A3657">
        <w:rPr>
          <w:b/>
        </w:rPr>
        <w:t xml:space="preserve"> up to $</w:t>
      </w:r>
      <w:r w:rsidR="008A7694" w:rsidRPr="008A3657">
        <w:rPr>
          <w:b/>
        </w:rPr>
        <w:t>5,600,000</w:t>
      </w:r>
      <w:r w:rsidRPr="008A3657">
        <w:t xml:space="preserve"> available for grants awarded under this solicitation. The total, minimum, and maximum funding amounts for each project group are listed below.</w:t>
      </w:r>
      <w:bookmarkEnd w:id="24"/>
      <w:bookmarkEnd w:id="25"/>
      <w:bookmarkEnd w:id="26"/>
      <w:bookmarkEnd w:id="27"/>
    </w:p>
    <w:tbl>
      <w:tblPr>
        <w:tblStyle w:val="ListTable31"/>
        <w:tblW w:w="9713" w:type="dxa"/>
        <w:tblLook w:val="00A0" w:firstRow="1" w:lastRow="0" w:firstColumn="1" w:lastColumn="0" w:noHBand="0" w:noVBand="0"/>
        <w:tblCaption w:val="Available and Minimum/ Maximum Funding Amounts Table"/>
        <w:tblDescription w:val="Table describes the total amount of funding of Energy Commission funds, the minimum and maximum of award amounts, and any match requirements per project group. "/>
      </w:tblPr>
      <w:tblGrid>
        <w:gridCol w:w="1800"/>
        <w:gridCol w:w="1800"/>
        <w:gridCol w:w="1807"/>
        <w:gridCol w:w="2153"/>
        <w:gridCol w:w="2153"/>
      </w:tblGrid>
      <w:tr w:rsidR="00665B8E" w:rsidRPr="008A3657" w14:paraId="5D793FE8" w14:textId="77777777" w:rsidTr="00596AFC">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800" w:type="dxa"/>
          </w:tcPr>
          <w:p w14:paraId="0D3D0160" w14:textId="77777777" w:rsidR="00665B8E" w:rsidRPr="00D60262" w:rsidRDefault="00665B8E" w:rsidP="00B97CF4">
            <w:pPr>
              <w:jc w:val="left"/>
              <w:rPr>
                <w:sz w:val="24"/>
                <w:szCs w:val="24"/>
              </w:rPr>
            </w:pPr>
            <w:bookmarkStart w:id="28" w:name="_Toc395180644"/>
            <w:bookmarkStart w:id="29" w:name="_Toc433981289"/>
            <w:bookmarkStart w:id="30" w:name="_Toc381079895"/>
            <w:bookmarkStart w:id="31" w:name="_Toc382571157"/>
            <w:bookmarkStart w:id="32" w:name="_Toc395180656"/>
            <w:r w:rsidRPr="00D60262">
              <w:rPr>
                <w:sz w:val="24"/>
                <w:szCs w:val="24"/>
              </w:rPr>
              <w:t>Project Group</w:t>
            </w:r>
            <w:bookmarkEnd w:id="28"/>
            <w:bookmarkEnd w:id="29"/>
          </w:p>
        </w:tc>
        <w:tc>
          <w:tcPr>
            <w:cnfStyle w:val="000010000000" w:firstRow="0" w:lastRow="0" w:firstColumn="0" w:lastColumn="0" w:oddVBand="1" w:evenVBand="0" w:oddHBand="0" w:evenHBand="0" w:firstRowFirstColumn="0" w:firstRowLastColumn="0" w:lastRowFirstColumn="0" w:lastRowLastColumn="0"/>
            <w:tcW w:w="1800" w:type="dxa"/>
          </w:tcPr>
          <w:p w14:paraId="786A73F2" w14:textId="77777777" w:rsidR="00665B8E" w:rsidRPr="00D60262" w:rsidRDefault="00665B8E" w:rsidP="00B97CF4">
            <w:pPr>
              <w:jc w:val="left"/>
              <w:rPr>
                <w:sz w:val="24"/>
                <w:szCs w:val="24"/>
              </w:rPr>
            </w:pPr>
            <w:bookmarkStart w:id="33" w:name="_Toc395180645"/>
            <w:bookmarkStart w:id="34" w:name="_Toc433981290"/>
            <w:r w:rsidRPr="00D60262">
              <w:rPr>
                <w:sz w:val="24"/>
                <w:szCs w:val="24"/>
              </w:rPr>
              <w:t>Available CEC funding</w:t>
            </w:r>
            <w:bookmarkEnd w:id="33"/>
            <w:bookmarkEnd w:id="34"/>
          </w:p>
        </w:tc>
        <w:tc>
          <w:tcPr>
            <w:tcW w:w="1807" w:type="dxa"/>
          </w:tcPr>
          <w:p w14:paraId="26EF1456" w14:textId="77777777" w:rsidR="00665B8E" w:rsidRPr="00D60262" w:rsidRDefault="00665B8E" w:rsidP="00B97CF4">
            <w:pPr>
              <w:jc w:val="left"/>
              <w:cnfStyle w:val="100000000000" w:firstRow="1" w:lastRow="0" w:firstColumn="0" w:lastColumn="0" w:oddVBand="0" w:evenVBand="0" w:oddHBand="0" w:evenHBand="0" w:firstRowFirstColumn="0" w:firstRowLastColumn="0" w:lastRowFirstColumn="0" w:lastRowLastColumn="0"/>
              <w:rPr>
                <w:sz w:val="24"/>
                <w:szCs w:val="24"/>
              </w:rPr>
            </w:pPr>
            <w:bookmarkStart w:id="35" w:name="_Toc381079887"/>
            <w:bookmarkStart w:id="36" w:name="_Toc382571149"/>
            <w:bookmarkStart w:id="37" w:name="_Toc395180646"/>
            <w:bookmarkStart w:id="38" w:name="_Toc433981291"/>
            <w:r w:rsidRPr="00D60262">
              <w:rPr>
                <w:sz w:val="24"/>
                <w:szCs w:val="24"/>
              </w:rPr>
              <w:t xml:space="preserve">Minimum CEC award </w:t>
            </w:r>
            <w:bookmarkEnd w:id="35"/>
            <w:bookmarkEnd w:id="36"/>
            <w:bookmarkEnd w:id="37"/>
            <w:bookmarkEnd w:id="38"/>
          </w:p>
        </w:tc>
        <w:tc>
          <w:tcPr>
            <w:cnfStyle w:val="000010000000" w:firstRow="0" w:lastRow="0" w:firstColumn="0" w:lastColumn="0" w:oddVBand="1" w:evenVBand="0" w:oddHBand="0" w:evenHBand="0" w:firstRowFirstColumn="0" w:firstRowLastColumn="0" w:lastRowFirstColumn="0" w:lastRowLastColumn="0"/>
            <w:tcW w:w="2153" w:type="dxa"/>
          </w:tcPr>
          <w:p w14:paraId="3CEBDFD0" w14:textId="77777777" w:rsidR="00665B8E" w:rsidRPr="00D60262" w:rsidRDefault="00665B8E" w:rsidP="00B97CF4">
            <w:pPr>
              <w:jc w:val="left"/>
              <w:rPr>
                <w:sz w:val="24"/>
                <w:szCs w:val="24"/>
              </w:rPr>
            </w:pPr>
            <w:bookmarkStart w:id="39" w:name="_Toc381079888"/>
            <w:bookmarkStart w:id="40" w:name="_Toc382571150"/>
            <w:bookmarkStart w:id="41" w:name="_Toc395180647"/>
            <w:bookmarkStart w:id="42" w:name="_Toc433981292"/>
            <w:r w:rsidRPr="00D60262">
              <w:rPr>
                <w:sz w:val="24"/>
                <w:szCs w:val="24"/>
              </w:rPr>
              <w:t xml:space="preserve">Maximum CEC award </w:t>
            </w:r>
            <w:bookmarkEnd w:id="39"/>
            <w:bookmarkEnd w:id="40"/>
            <w:bookmarkEnd w:id="41"/>
            <w:bookmarkEnd w:id="42"/>
          </w:p>
        </w:tc>
        <w:tc>
          <w:tcPr>
            <w:tcW w:w="2153" w:type="dxa"/>
          </w:tcPr>
          <w:p w14:paraId="3FF60DB9" w14:textId="77777777" w:rsidR="00665B8E" w:rsidRPr="00D60262" w:rsidRDefault="00665B8E" w:rsidP="00B97CF4">
            <w:pPr>
              <w:jc w:val="left"/>
              <w:cnfStyle w:val="100000000000" w:firstRow="1" w:lastRow="0" w:firstColumn="0" w:lastColumn="0" w:oddVBand="0" w:evenVBand="0" w:oddHBand="0" w:evenHBand="0" w:firstRowFirstColumn="0" w:firstRowLastColumn="0" w:lastRowFirstColumn="0" w:lastRowLastColumn="0"/>
              <w:rPr>
                <w:sz w:val="24"/>
                <w:szCs w:val="24"/>
              </w:rPr>
            </w:pPr>
            <w:bookmarkStart w:id="43" w:name="_Toc433981293"/>
            <w:r w:rsidRPr="00D60262">
              <w:rPr>
                <w:sz w:val="24"/>
                <w:szCs w:val="24"/>
              </w:rPr>
              <w:t xml:space="preserve">Minimum total match share percentage </w:t>
            </w:r>
            <w:bookmarkEnd w:id="43"/>
          </w:p>
        </w:tc>
      </w:tr>
      <w:tr w:rsidR="00AE0427" w:rsidRPr="008A3657" w14:paraId="661C702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0F958EFC" w14:textId="72E8CF6A" w:rsidR="00AE0427" w:rsidRPr="00D60262" w:rsidRDefault="00AE0427" w:rsidP="00B97CF4">
            <w:pPr>
              <w:jc w:val="left"/>
              <w:rPr>
                <w:sz w:val="24"/>
                <w:szCs w:val="24"/>
              </w:rPr>
            </w:pPr>
            <w:r w:rsidRPr="00D60262">
              <w:rPr>
                <w:b w:val="0"/>
                <w:bCs w:val="0"/>
                <w:sz w:val="24"/>
                <w:szCs w:val="24"/>
              </w:rPr>
              <w:t>Group 1: Advance foundational data and analytical resources to fortify climate resilience</w:t>
            </w:r>
          </w:p>
        </w:tc>
        <w:tc>
          <w:tcPr>
            <w:cnfStyle w:val="000010000000" w:firstRow="0" w:lastRow="0" w:firstColumn="0" w:lastColumn="0" w:oddVBand="1" w:evenVBand="0" w:oddHBand="0" w:evenHBand="0" w:firstRowFirstColumn="0" w:firstRowLastColumn="0" w:lastRowFirstColumn="0" w:lastRowLastColumn="0"/>
            <w:tcW w:w="1800" w:type="dxa"/>
            <w:vAlign w:val="center"/>
          </w:tcPr>
          <w:p w14:paraId="779B1C01" w14:textId="457CDF25" w:rsidR="00AE0427" w:rsidRPr="00D60262" w:rsidRDefault="00AE0427" w:rsidP="00B97CF4">
            <w:pPr>
              <w:jc w:val="left"/>
              <w:rPr>
                <w:sz w:val="24"/>
                <w:szCs w:val="24"/>
              </w:rPr>
            </w:pPr>
            <w:r w:rsidRPr="00D60262">
              <w:rPr>
                <w:sz w:val="24"/>
                <w:szCs w:val="24"/>
              </w:rPr>
              <w:t>$2,800,000</w:t>
            </w:r>
          </w:p>
        </w:tc>
        <w:tc>
          <w:tcPr>
            <w:tcW w:w="1807" w:type="dxa"/>
            <w:vAlign w:val="center"/>
          </w:tcPr>
          <w:p w14:paraId="148E56FD" w14:textId="4C418607" w:rsidR="00AE0427" w:rsidRPr="00D60262" w:rsidRDefault="00AE0427" w:rsidP="00B97CF4">
            <w:pPr>
              <w:jc w:val="left"/>
              <w:cnfStyle w:val="000000100000" w:firstRow="0" w:lastRow="0" w:firstColumn="0" w:lastColumn="0" w:oddVBand="0" w:evenVBand="0" w:oddHBand="1" w:evenHBand="0" w:firstRowFirstColumn="0" w:firstRowLastColumn="0" w:lastRowFirstColumn="0" w:lastRowLastColumn="0"/>
              <w:rPr>
                <w:sz w:val="24"/>
                <w:szCs w:val="24"/>
              </w:rPr>
            </w:pPr>
            <w:r w:rsidRPr="00D60262">
              <w:rPr>
                <w:sz w:val="24"/>
                <w:szCs w:val="24"/>
              </w:rPr>
              <w:t>$2,600,000</w:t>
            </w:r>
          </w:p>
        </w:tc>
        <w:tc>
          <w:tcPr>
            <w:cnfStyle w:val="000010000000" w:firstRow="0" w:lastRow="0" w:firstColumn="0" w:lastColumn="0" w:oddVBand="1" w:evenVBand="0" w:oddHBand="0" w:evenHBand="0" w:firstRowFirstColumn="0" w:firstRowLastColumn="0" w:lastRowFirstColumn="0" w:lastRowLastColumn="0"/>
            <w:tcW w:w="2153" w:type="dxa"/>
            <w:vAlign w:val="center"/>
          </w:tcPr>
          <w:p w14:paraId="33ABEEDE" w14:textId="379B318F" w:rsidR="00AE0427" w:rsidRPr="00D60262" w:rsidRDefault="00AE0427" w:rsidP="00B97CF4">
            <w:pPr>
              <w:jc w:val="left"/>
              <w:rPr>
                <w:sz w:val="24"/>
                <w:szCs w:val="24"/>
              </w:rPr>
            </w:pPr>
            <w:r w:rsidRPr="00D60262">
              <w:rPr>
                <w:sz w:val="24"/>
                <w:szCs w:val="24"/>
              </w:rPr>
              <w:t>$2,800,000</w:t>
            </w:r>
          </w:p>
        </w:tc>
        <w:tc>
          <w:tcPr>
            <w:tcW w:w="2153" w:type="dxa"/>
            <w:vAlign w:val="center"/>
          </w:tcPr>
          <w:p w14:paraId="65F79503" w14:textId="594BEE40" w:rsidR="00AE0427" w:rsidRPr="00D60262" w:rsidRDefault="00AE0427" w:rsidP="00B97CF4">
            <w:pPr>
              <w:jc w:val="left"/>
              <w:cnfStyle w:val="000000100000" w:firstRow="0" w:lastRow="0" w:firstColumn="0" w:lastColumn="0" w:oddVBand="0" w:evenVBand="0" w:oddHBand="1" w:evenHBand="0" w:firstRowFirstColumn="0" w:firstRowLastColumn="0" w:lastRowFirstColumn="0" w:lastRowLastColumn="0"/>
              <w:rPr>
                <w:sz w:val="24"/>
                <w:szCs w:val="24"/>
              </w:rPr>
            </w:pPr>
            <w:r w:rsidRPr="00D60262">
              <w:rPr>
                <w:sz w:val="24"/>
                <w:szCs w:val="24"/>
              </w:rPr>
              <w:t>0%</w:t>
            </w:r>
          </w:p>
        </w:tc>
      </w:tr>
      <w:tr w:rsidR="00AE0427" w:rsidRPr="008A3657" w14:paraId="724BF952" w14:textId="77777777">
        <w:trPr>
          <w:trHeight w:val="440"/>
        </w:trPr>
        <w:tc>
          <w:tcPr>
            <w:cnfStyle w:val="001000000000" w:firstRow="0" w:lastRow="0" w:firstColumn="1" w:lastColumn="0" w:oddVBand="0" w:evenVBand="0" w:oddHBand="0" w:evenHBand="0" w:firstRowFirstColumn="0" w:firstRowLastColumn="0" w:lastRowFirstColumn="0" w:lastRowLastColumn="0"/>
            <w:tcW w:w="1800" w:type="dxa"/>
          </w:tcPr>
          <w:p w14:paraId="6C085140" w14:textId="065977A0" w:rsidR="00AE0427" w:rsidRPr="00D60262" w:rsidRDefault="00AE0427" w:rsidP="00B97CF4">
            <w:pPr>
              <w:jc w:val="left"/>
              <w:rPr>
                <w:sz w:val="24"/>
                <w:szCs w:val="24"/>
              </w:rPr>
            </w:pPr>
            <w:r w:rsidRPr="00D60262">
              <w:rPr>
                <w:b w:val="0"/>
                <w:bCs w:val="0"/>
                <w:sz w:val="24"/>
                <w:szCs w:val="24"/>
              </w:rPr>
              <w:t>Group 2: Demonstration of novel analyses, conceptual frameworks, and modeling to advance climate resilience in policy</w:t>
            </w:r>
          </w:p>
        </w:tc>
        <w:tc>
          <w:tcPr>
            <w:cnfStyle w:val="000010000000" w:firstRow="0" w:lastRow="0" w:firstColumn="0" w:lastColumn="0" w:oddVBand="1" w:evenVBand="0" w:oddHBand="0" w:evenHBand="0" w:firstRowFirstColumn="0" w:firstRowLastColumn="0" w:lastRowFirstColumn="0" w:lastRowLastColumn="0"/>
            <w:tcW w:w="1800" w:type="dxa"/>
            <w:vAlign w:val="center"/>
          </w:tcPr>
          <w:p w14:paraId="1621FB77" w14:textId="38A06BC0" w:rsidR="00AE0427" w:rsidRPr="00D60262" w:rsidRDefault="00AE0427" w:rsidP="00B97CF4">
            <w:pPr>
              <w:jc w:val="left"/>
              <w:rPr>
                <w:sz w:val="24"/>
                <w:szCs w:val="24"/>
              </w:rPr>
            </w:pPr>
            <w:r w:rsidRPr="00D60262">
              <w:rPr>
                <w:sz w:val="24"/>
                <w:szCs w:val="24"/>
              </w:rPr>
              <w:t>$700,000</w:t>
            </w:r>
          </w:p>
        </w:tc>
        <w:tc>
          <w:tcPr>
            <w:tcW w:w="1807" w:type="dxa"/>
            <w:vAlign w:val="center"/>
          </w:tcPr>
          <w:p w14:paraId="30B8B768" w14:textId="60E9175D" w:rsidR="00AE0427" w:rsidRPr="00D60262" w:rsidRDefault="00AE0427" w:rsidP="00B97CF4">
            <w:pPr>
              <w:jc w:val="left"/>
              <w:cnfStyle w:val="000000000000" w:firstRow="0" w:lastRow="0" w:firstColumn="0" w:lastColumn="0" w:oddVBand="0" w:evenVBand="0" w:oddHBand="0" w:evenHBand="0" w:firstRowFirstColumn="0" w:firstRowLastColumn="0" w:lastRowFirstColumn="0" w:lastRowLastColumn="0"/>
              <w:rPr>
                <w:sz w:val="24"/>
                <w:szCs w:val="24"/>
              </w:rPr>
            </w:pPr>
            <w:r w:rsidRPr="00D60262">
              <w:rPr>
                <w:sz w:val="24"/>
                <w:szCs w:val="24"/>
              </w:rPr>
              <w:t>$550,000</w:t>
            </w:r>
          </w:p>
        </w:tc>
        <w:tc>
          <w:tcPr>
            <w:cnfStyle w:val="000010000000" w:firstRow="0" w:lastRow="0" w:firstColumn="0" w:lastColumn="0" w:oddVBand="1" w:evenVBand="0" w:oddHBand="0" w:evenHBand="0" w:firstRowFirstColumn="0" w:firstRowLastColumn="0" w:lastRowFirstColumn="0" w:lastRowLastColumn="0"/>
            <w:tcW w:w="2153" w:type="dxa"/>
            <w:vAlign w:val="center"/>
          </w:tcPr>
          <w:p w14:paraId="3960ECF2" w14:textId="43D65E3F" w:rsidR="00AE0427" w:rsidRPr="00D60262" w:rsidRDefault="00AE0427" w:rsidP="00B97CF4">
            <w:pPr>
              <w:jc w:val="left"/>
              <w:rPr>
                <w:sz w:val="24"/>
                <w:szCs w:val="24"/>
              </w:rPr>
            </w:pPr>
            <w:r w:rsidRPr="00D60262">
              <w:rPr>
                <w:sz w:val="24"/>
                <w:szCs w:val="24"/>
              </w:rPr>
              <w:t>$700,000</w:t>
            </w:r>
          </w:p>
        </w:tc>
        <w:tc>
          <w:tcPr>
            <w:tcW w:w="2153" w:type="dxa"/>
            <w:vAlign w:val="center"/>
          </w:tcPr>
          <w:p w14:paraId="566EC36C" w14:textId="6838B528" w:rsidR="00AE0427" w:rsidRPr="00D60262" w:rsidRDefault="00AE0427" w:rsidP="00B97CF4">
            <w:pPr>
              <w:jc w:val="left"/>
              <w:cnfStyle w:val="000000000000" w:firstRow="0" w:lastRow="0" w:firstColumn="0" w:lastColumn="0" w:oddVBand="0" w:evenVBand="0" w:oddHBand="0" w:evenHBand="0" w:firstRowFirstColumn="0" w:firstRowLastColumn="0" w:lastRowFirstColumn="0" w:lastRowLastColumn="0"/>
              <w:rPr>
                <w:sz w:val="24"/>
                <w:szCs w:val="24"/>
              </w:rPr>
            </w:pPr>
            <w:r w:rsidRPr="00D60262">
              <w:rPr>
                <w:sz w:val="24"/>
                <w:szCs w:val="24"/>
              </w:rPr>
              <w:t>0%</w:t>
            </w:r>
          </w:p>
        </w:tc>
      </w:tr>
      <w:tr w:rsidR="006526EE" w:rsidRPr="008A3657" w14:paraId="560A0632" w14:textId="77777777">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800" w:type="dxa"/>
          </w:tcPr>
          <w:p w14:paraId="705D7BFE" w14:textId="4ECF6A5D" w:rsidR="006526EE" w:rsidRPr="00D60262" w:rsidRDefault="006526EE" w:rsidP="00B97CF4">
            <w:pPr>
              <w:jc w:val="left"/>
              <w:rPr>
                <w:b w:val="0"/>
                <w:bCs w:val="0"/>
                <w:sz w:val="24"/>
                <w:szCs w:val="24"/>
              </w:rPr>
            </w:pPr>
            <w:r w:rsidRPr="00D60262">
              <w:rPr>
                <w:b w:val="0"/>
                <w:bCs w:val="0"/>
                <w:sz w:val="24"/>
                <w:szCs w:val="24"/>
              </w:rPr>
              <w:lastRenderedPageBreak/>
              <w:t>Group 3: Integrated framework for utility wildfire risk mitigation</w:t>
            </w:r>
          </w:p>
        </w:tc>
        <w:tc>
          <w:tcPr>
            <w:cnfStyle w:val="000010000000" w:firstRow="0" w:lastRow="0" w:firstColumn="0" w:lastColumn="0" w:oddVBand="1" w:evenVBand="0" w:oddHBand="0" w:evenHBand="0" w:firstRowFirstColumn="0" w:firstRowLastColumn="0" w:lastRowFirstColumn="0" w:lastRowLastColumn="0"/>
            <w:tcW w:w="1800" w:type="dxa"/>
            <w:vAlign w:val="center"/>
          </w:tcPr>
          <w:p w14:paraId="4D6ABAE8" w14:textId="063053F2" w:rsidR="006526EE" w:rsidRPr="00D60262" w:rsidRDefault="006526EE" w:rsidP="00B97CF4">
            <w:pPr>
              <w:jc w:val="left"/>
              <w:rPr>
                <w:sz w:val="24"/>
                <w:szCs w:val="24"/>
              </w:rPr>
            </w:pPr>
            <w:r w:rsidRPr="00D60262">
              <w:rPr>
                <w:sz w:val="24"/>
                <w:szCs w:val="24"/>
              </w:rPr>
              <w:t>$2,100,000</w:t>
            </w:r>
          </w:p>
        </w:tc>
        <w:tc>
          <w:tcPr>
            <w:tcW w:w="1807" w:type="dxa"/>
            <w:vAlign w:val="center"/>
          </w:tcPr>
          <w:p w14:paraId="12912509" w14:textId="07111C72" w:rsidR="006526EE" w:rsidRPr="00D60262" w:rsidRDefault="006526EE" w:rsidP="00B97CF4">
            <w:pPr>
              <w:jc w:val="left"/>
              <w:cnfStyle w:val="000000100000" w:firstRow="0" w:lastRow="0" w:firstColumn="0" w:lastColumn="0" w:oddVBand="0" w:evenVBand="0" w:oddHBand="1" w:evenHBand="0" w:firstRowFirstColumn="0" w:firstRowLastColumn="0" w:lastRowFirstColumn="0" w:lastRowLastColumn="0"/>
              <w:rPr>
                <w:sz w:val="24"/>
                <w:szCs w:val="24"/>
              </w:rPr>
            </w:pPr>
            <w:r w:rsidRPr="00D60262">
              <w:rPr>
                <w:sz w:val="24"/>
                <w:szCs w:val="24"/>
              </w:rPr>
              <w:t>$1,900,000</w:t>
            </w:r>
          </w:p>
        </w:tc>
        <w:tc>
          <w:tcPr>
            <w:cnfStyle w:val="000010000000" w:firstRow="0" w:lastRow="0" w:firstColumn="0" w:lastColumn="0" w:oddVBand="1" w:evenVBand="0" w:oddHBand="0" w:evenHBand="0" w:firstRowFirstColumn="0" w:firstRowLastColumn="0" w:lastRowFirstColumn="0" w:lastRowLastColumn="0"/>
            <w:tcW w:w="2153" w:type="dxa"/>
            <w:vAlign w:val="center"/>
          </w:tcPr>
          <w:p w14:paraId="65467A12" w14:textId="367CF75D" w:rsidR="006526EE" w:rsidRPr="00D60262" w:rsidRDefault="006526EE" w:rsidP="00B97CF4">
            <w:pPr>
              <w:jc w:val="left"/>
              <w:rPr>
                <w:sz w:val="24"/>
                <w:szCs w:val="24"/>
              </w:rPr>
            </w:pPr>
            <w:r w:rsidRPr="00D60262">
              <w:rPr>
                <w:sz w:val="24"/>
                <w:szCs w:val="24"/>
              </w:rPr>
              <w:t>$2,100,000</w:t>
            </w:r>
          </w:p>
        </w:tc>
        <w:tc>
          <w:tcPr>
            <w:tcW w:w="2153" w:type="dxa"/>
            <w:vAlign w:val="center"/>
          </w:tcPr>
          <w:p w14:paraId="5BC60065" w14:textId="732A7C3B" w:rsidR="006526EE" w:rsidRPr="00D60262" w:rsidRDefault="006526EE" w:rsidP="00B97CF4">
            <w:pPr>
              <w:jc w:val="left"/>
              <w:cnfStyle w:val="000000100000" w:firstRow="0" w:lastRow="0" w:firstColumn="0" w:lastColumn="0" w:oddVBand="0" w:evenVBand="0" w:oddHBand="1" w:evenHBand="0" w:firstRowFirstColumn="0" w:firstRowLastColumn="0" w:lastRowFirstColumn="0" w:lastRowLastColumn="0"/>
              <w:rPr>
                <w:sz w:val="24"/>
                <w:szCs w:val="24"/>
              </w:rPr>
            </w:pPr>
            <w:r w:rsidRPr="00D60262">
              <w:rPr>
                <w:sz w:val="24"/>
                <w:szCs w:val="24"/>
              </w:rPr>
              <w:t>0%</w:t>
            </w:r>
          </w:p>
        </w:tc>
      </w:tr>
    </w:tbl>
    <w:p w14:paraId="67A8BEFD" w14:textId="77777777" w:rsidR="00665B8E" w:rsidRPr="008A3657" w:rsidRDefault="00665B8E" w:rsidP="00B97CF4">
      <w:pPr>
        <w:jc w:val="left"/>
        <w:rPr>
          <w:b/>
          <w:bCs/>
          <w:i/>
          <w:iCs/>
          <w:u w:val="single"/>
        </w:rPr>
      </w:pPr>
    </w:p>
    <w:bookmarkEnd w:id="30"/>
    <w:bookmarkEnd w:id="31"/>
    <w:bookmarkEnd w:id="32"/>
    <w:p w14:paraId="60566581" w14:textId="77777777" w:rsidR="00665B8E" w:rsidRPr="008A3657" w:rsidRDefault="00665B8E" w:rsidP="00B97CF4">
      <w:pPr>
        <w:pStyle w:val="Heading4"/>
        <w:ind w:hanging="720"/>
        <w:jc w:val="left"/>
        <w:rPr>
          <w:szCs w:val="22"/>
        </w:rPr>
      </w:pPr>
      <w:r w:rsidRPr="008A3657">
        <w:t>Match Funding Requirement</w:t>
      </w:r>
    </w:p>
    <w:p w14:paraId="4EF5075A" w14:textId="0BCD5F23" w:rsidR="00665B8E" w:rsidRPr="008A3657" w:rsidRDefault="00665B8E" w:rsidP="00B97CF4">
      <w:pPr>
        <w:pStyle w:val="BodyText"/>
        <w:jc w:val="left"/>
      </w:pPr>
      <w:r w:rsidRPr="008A3657">
        <w:t xml:space="preserve">Match funding is not required for this solicitation. </w:t>
      </w:r>
    </w:p>
    <w:p w14:paraId="2927D6BF" w14:textId="4296C7DB" w:rsidR="00665B8E" w:rsidRDefault="0086372A" w:rsidP="00B97CF4">
      <w:pPr>
        <w:pStyle w:val="BodyText"/>
        <w:jc w:val="left"/>
      </w:pPr>
      <w:r w:rsidRPr="008712EF">
        <w:t>The total match share percentage is calculated by dividing the Total Match Share Contributions by the sum of the CEC Funds Requested and the Total Match Share Contributions, then multiplying the result by 100.</w:t>
      </w:r>
      <w:r w:rsidRPr="0086372A">
        <w:t> </w:t>
      </w:r>
      <w:r w:rsidR="00665B8E" w:rsidRPr="0086372A">
        <w:t xml:space="preserve"> </w:t>
      </w:r>
    </w:p>
    <w:p w14:paraId="06B00468" w14:textId="77777777" w:rsidR="00624320" w:rsidRPr="0086372A" w:rsidRDefault="00624320" w:rsidP="00624320">
      <w:pPr>
        <w:pStyle w:val="BodyText"/>
        <w:spacing w:after="0"/>
        <w:jc w:val="left"/>
      </w:pPr>
    </w:p>
    <w:p w14:paraId="78662910" w14:textId="77777777" w:rsidR="00665B8E" w:rsidRPr="005E1DC7" w:rsidRDefault="003B050D" w:rsidP="00B97CF4">
      <w:pPr>
        <w:pBdr>
          <w:top w:val="single" w:sz="4" w:space="1" w:color="auto"/>
          <w:left w:val="single" w:sz="4" w:space="4" w:color="auto"/>
          <w:bottom w:val="single" w:sz="4" w:space="1" w:color="auto"/>
          <w:right w:val="single" w:sz="4" w:space="4" w:color="auto"/>
        </w:pBdr>
        <w:jc w:val="left"/>
        <w:rPr>
          <w:szCs w:val="22"/>
          <w:u w:val="single"/>
        </w:rPr>
      </w:pPr>
      <m:oMath>
        <m:f>
          <m:fPr>
            <m:ctrlPr>
              <w:rPr>
                <w:rFonts w:ascii="Cambria Math" w:hAnsi="Cambria Math"/>
                <w:b/>
                <w:bCs/>
                <w:i/>
                <w:szCs w:val="22"/>
              </w:rPr>
            </m:ctrlPr>
          </m:fPr>
          <m:num>
            <m:r>
              <m:rPr>
                <m:sty m:val="bi"/>
              </m:rPr>
              <w:rPr>
                <w:rFonts w:ascii="Cambria Math" w:hAnsi="Cambria Math"/>
                <w:szCs w:val="22"/>
              </w:rPr>
              <m:t>Total Match Share Contributions</m:t>
            </m:r>
          </m:num>
          <m:den>
            <m:r>
              <m:rPr>
                <m:sty m:val="bi"/>
              </m:rPr>
              <w:rPr>
                <w:rFonts w:ascii="Cambria Math" w:hAnsi="Cambria Math"/>
                <w:szCs w:val="22"/>
              </w:rPr>
              <m:t>CEC Funds Requested+ Total Match Share Contributions</m:t>
            </m:r>
          </m:den>
        </m:f>
      </m:oMath>
      <w:r w:rsidR="00665B8E">
        <w:t xml:space="preserve"> </w:t>
      </w:r>
      <w:r w:rsidR="00665B8E" w:rsidRPr="00490F13">
        <w:rPr>
          <w:sz w:val="18"/>
          <w:szCs w:val="16"/>
        </w:rPr>
        <w:t>X 100</w:t>
      </w:r>
      <w:r w:rsidR="00665B8E">
        <w:rPr>
          <w:sz w:val="18"/>
          <w:szCs w:val="16"/>
        </w:rPr>
        <w:t xml:space="preserve"> </w:t>
      </w:r>
      <w:r w:rsidR="00665B8E" w:rsidRPr="00490F13">
        <w:rPr>
          <w:sz w:val="18"/>
          <w:szCs w:val="16"/>
        </w:rPr>
        <w:t xml:space="preserve">= </w:t>
      </w:r>
      <w:r w:rsidR="00665B8E">
        <w:rPr>
          <w:sz w:val="18"/>
          <w:szCs w:val="16"/>
        </w:rPr>
        <w:t xml:space="preserve">Total </w:t>
      </w:r>
      <w:r w:rsidR="00665B8E" w:rsidRPr="00490F13">
        <w:rPr>
          <w:sz w:val="18"/>
          <w:szCs w:val="16"/>
        </w:rPr>
        <w:t>Match Share percentage</w:t>
      </w:r>
    </w:p>
    <w:p w14:paraId="35B6C359" w14:textId="77777777" w:rsidR="00624320" w:rsidRDefault="00624320" w:rsidP="00624320">
      <w:pPr>
        <w:pStyle w:val="BodyText"/>
        <w:spacing w:after="0"/>
        <w:jc w:val="left"/>
      </w:pPr>
    </w:p>
    <w:p w14:paraId="41258E27" w14:textId="755AC14E" w:rsidR="00665B8E" w:rsidRPr="003F6147" w:rsidRDefault="00665B8E" w:rsidP="00B97CF4">
      <w:pPr>
        <w:pStyle w:val="BodyText"/>
        <w:jc w:val="left"/>
      </w:pPr>
      <w:r w:rsidRPr="003F6147">
        <w:t xml:space="preserve">For the definition of match funding see Section </w:t>
      </w:r>
      <w:r>
        <w:t>I</w:t>
      </w:r>
      <w:r w:rsidR="005852A9">
        <w:t>.</w:t>
      </w:r>
      <w:r>
        <w:t xml:space="preserve"> K</w:t>
      </w:r>
      <w:r w:rsidRPr="003F6147">
        <w:t>.</w:t>
      </w:r>
    </w:p>
    <w:p w14:paraId="09C73B35" w14:textId="77777777" w:rsidR="00665B8E" w:rsidRPr="003F6147" w:rsidRDefault="00665B8E" w:rsidP="00B97CF4">
      <w:pPr>
        <w:pStyle w:val="Heading4"/>
        <w:ind w:hanging="720"/>
        <w:jc w:val="left"/>
      </w:pPr>
      <w:r w:rsidRPr="003F6147">
        <w:t>Change in Funding Amount</w:t>
      </w:r>
    </w:p>
    <w:p w14:paraId="3B3710E2" w14:textId="77777777" w:rsidR="00665B8E" w:rsidRPr="005B073B" w:rsidRDefault="00665B8E" w:rsidP="00B97CF4">
      <w:pPr>
        <w:pStyle w:val="BodyText"/>
        <w:jc w:val="left"/>
      </w:pPr>
      <w:r w:rsidRPr="005B073B">
        <w:t>Along with any other rights and remedies available to it, the CEC reserves the right to:</w:t>
      </w:r>
    </w:p>
    <w:p w14:paraId="4A8F8385" w14:textId="77777777" w:rsidR="00665B8E" w:rsidRPr="00596AFC" w:rsidRDefault="00665B8E" w:rsidP="00B97CF4">
      <w:pPr>
        <w:pStyle w:val="ListBullet3"/>
        <w:jc w:val="left"/>
      </w:pPr>
      <w:r w:rsidRPr="00596AFC">
        <w:t>Increase or decrease the available funding and the minimum/maximum grant award amounts described in this section.</w:t>
      </w:r>
    </w:p>
    <w:p w14:paraId="7EB561D9" w14:textId="77777777" w:rsidR="00665B8E" w:rsidRPr="00596AFC" w:rsidRDefault="00665B8E" w:rsidP="00B97CF4">
      <w:pPr>
        <w:pStyle w:val="ListBullet3"/>
        <w:jc w:val="left"/>
      </w:pPr>
      <w:r w:rsidRPr="00596AFC">
        <w:t>Allocate any additional or unawarded funds to passing applications, in rank order.</w:t>
      </w:r>
    </w:p>
    <w:p w14:paraId="0F77CE8D" w14:textId="0D653DC0" w:rsidR="00665B8E" w:rsidRPr="00596AFC" w:rsidRDefault="00665B8E" w:rsidP="00B97CF4">
      <w:pPr>
        <w:pStyle w:val="ListBullet3"/>
        <w:jc w:val="left"/>
      </w:pPr>
      <w:r w:rsidRPr="00596AFC">
        <w:t>Reallocate funding between any of the groups</w:t>
      </w:r>
      <w:bookmarkStart w:id="44" w:name="_Hlk81922666"/>
      <w:r w:rsidRPr="00294AEE">
        <w:rPr>
          <w:strike/>
        </w:rPr>
        <w:t xml:space="preserve"> </w:t>
      </w:r>
    </w:p>
    <w:p w14:paraId="023BAF7F" w14:textId="517551A7" w:rsidR="00665B8E" w:rsidRPr="00596AFC" w:rsidRDefault="00665B8E" w:rsidP="00B97CF4">
      <w:pPr>
        <w:pStyle w:val="ListBullet3"/>
        <w:jc w:val="left"/>
      </w:pPr>
      <w:r w:rsidRPr="00596AFC">
        <w:t>Aggregate funds from multiple groups to fully fund the highest ranked passing applications, regardless of group. (if applicable)</w:t>
      </w:r>
      <w:bookmarkEnd w:id="44"/>
    </w:p>
    <w:p w14:paraId="46C85E6C" w14:textId="58889C87" w:rsidR="00665B8E" w:rsidRPr="00596AFC" w:rsidRDefault="00665B8E" w:rsidP="00B97CF4">
      <w:pPr>
        <w:pStyle w:val="ListBullet3"/>
        <w:jc w:val="left"/>
      </w:pPr>
      <w:r w:rsidRPr="00596AFC">
        <w:t>Reduce funding to an appropriate amount if the budgeted funds do not provide full funding for agreements. In this event, the proposed grant recipient and Commission Agreement Manager (CAM) will attempt to reach agreement on a reduced Scope of Work commensurate with available funding.</w:t>
      </w:r>
    </w:p>
    <w:p w14:paraId="0FDB336D" w14:textId="77777777" w:rsidR="00665B8E" w:rsidRPr="00756BAC" w:rsidRDefault="00665B8E" w:rsidP="00B97CF4">
      <w:pPr>
        <w:pStyle w:val="Heading3"/>
        <w:jc w:val="left"/>
      </w:pPr>
      <w:bookmarkStart w:id="45" w:name="_Toc458602325"/>
      <w:bookmarkStart w:id="46" w:name="_Toc233727883"/>
      <w:r w:rsidRPr="00756BAC">
        <w:t>Key Activities Schedule</w:t>
      </w:r>
      <w:bookmarkEnd w:id="45"/>
      <w:bookmarkEnd w:id="46"/>
    </w:p>
    <w:p w14:paraId="67508D13" w14:textId="77D78234" w:rsidR="00665B8E" w:rsidRPr="003F6147" w:rsidRDefault="00665B8E" w:rsidP="00B97CF4">
      <w:pPr>
        <w:pStyle w:val="BodyText"/>
        <w:jc w:val="left"/>
        <w:rPr>
          <w:color w:val="00B0F0"/>
        </w:rPr>
      </w:pPr>
      <w:r w:rsidRPr="003F6147">
        <w:t xml:space="preserve">Key activities, dates, and times for this solicitation and for agreements resulting from this solicitation are presented below. An addendum will be released if the dates change for activities that appear in </w:t>
      </w:r>
      <w:r w:rsidRPr="003F6147">
        <w:rPr>
          <w:b/>
        </w:rPr>
        <w:t>bold.</w:t>
      </w:r>
    </w:p>
    <w:p w14:paraId="10A0272B" w14:textId="3901C066" w:rsidR="00665B8E" w:rsidRPr="00596AFC" w:rsidRDefault="00665B8E" w:rsidP="00B97CF4">
      <w:pPr>
        <w:pStyle w:val="BodyText"/>
        <w:jc w:val="left"/>
        <w:rPr>
          <w:b/>
          <w:bCs/>
          <w:color w:val="0070C0"/>
        </w:rPr>
      </w:pPr>
    </w:p>
    <w:tbl>
      <w:tblPr>
        <w:tblStyle w:val="ListTable321"/>
        <w:tblW w:w="9299" w:type="dxa"/>
        <w:tblLayout w:type="fixed"/>
        <w:tblLook w:val="0020" w:firstRow="1" w:lastRow="0" w:firstColumn="0" w:lastColumn="0" w:noHBand="0" w:noVBand="0"/>
        <w:tblCaption w:val="Key Activities Schedule Table"/>
        <w:tblDescription w:val="Key activities, dates, and times for this solicitation and for agreements resulting from this solicitation are presented in the table. "/>
      </w:tblPr>
      <w:tblGrid>
        <w:gridCol w:w="5632"/>
        <w:gridCol w:w="2463"/>
        <w:gridCol w:w="1204"/>
      </w:tblGrid>
      <w:tr w:rsidR="00665B8E" w:rsidRPr="00D60262" w14:paraId="785540EE" w14:textId="77777777" w:rsidTr="00CF167F">
        <w:trPr>
          <w:cnfStyle w:val="100000000000" w:firstRow="1" w:lastRow="0" w:firstColumn="0" w:lastColumn="0" w:oddVBand="0" w:evenVBand="0" w:oddHBand="0" w:evenHBand="0" w:firstRowFirstColumn="0" w:firstRowLastColumn="0" w:lastRowFirstColumn="0" w:lastRowLastColumn="0"/>
          <w:trHeight w:hRule="exact" w:val="309"/>
          <w:tblHeader/>
        </w:trPr>
        <w:tc>
          <w:tcPr>
            <w:cnfStyle w:val="000010000000" w:firstRow="0" w:lastRow="0" w:firstColumn="0" w:lastColumn="0" w:oddVBand="1" w:evenVBand="0" w:oddHBand="0" w:evenHBand="0" w:firstRowFirstColumn="0" w:firstRowLastColumn="0" w:lastRowFirstColumn="0" w:lastRowLastColumn="0"/>
            <w:tcW w:w="5632" w:type="dxa"/>
          </w:tcPr>
          <w:p w14:paraId="2DCFEC73" w14:textId="77777777" w:rsidR="00665B8E" w:rsidRPr="00D60262" w:rsidRDefault="00665B8E" w:rsidP="00B97CF4">
            <w:pPr>
              <w:jc w:val="left"/>
              <w:rPr>
                <w:b w:val="0"/>
                <w:sz w:val="24"/>
                <w:szCs w:val="24"/>
              </w:rPr>
            </w:pPr>
            <w:r w:rsidRPr="00D60262">
              <w:rPr>
                <w:sz w:val="24"/>
                <w:szCs w:val="24"/>
              </w:rPr>
              <w:lastRenderedPageBreak/>
              <w:t>ACTIVITY</w:t>
            </w:r>
          </w:p>
        </w:tc>
        <w:tc>
          <w:tcPr>
            <w:tcW w:w="2463" w:type="dxa"/>
          </w:tcPr>
          <w:p w14:paraId="1CAED66A" w14:textId="77777777" w:rsidR="00665B8E" w:rsidRPr="00D60262" w:rsidRDefault="00665B8E" w:rsidP="00B97CF4">
            <w:pPr>
              <w:jc w:val="left"/>
              <w:cnfStyle w:val="100000000000" w:firstRow="1" w:lastRow="0" w:firstColumn="0" w:lastColumn="0" w:oddVBand="0" w:evenVBand="0" w:oddHBand="0" w:evenHBand="0" w:firstRowFirstColumn="0" w:firstRowLastColumn="0" w:lastRowFirstColumn="0" w:lastRowLastColumn="0"/>
              <w:rPr>
                <w:b w:val="0"/>
                <w:sz w:val="24"/>
                <w:szCs w:val="24"/>
              </w:rPr>
            </w:pPr>
            <w:r w:rsidRPr="00D60262">
              <w:rPr>
                <w:sz w:val="24"/>
                <w:szCs w:val="24"/>
              </w:rPr>
              <w:t>DATE</w:t>
            </w:r>
          </w:p>
        </w:tc>
        <w:tc>
          <w:tcPr>
            <w:cnfStyle w:val="000010000000" w:firstRow="0" w:lastRow="0" w:firstColumn="0" w:lastColumn="0" w:oddVBand="1" w:evenVBand="0" w:oddHBand="0" w:evenHBand="0" w:firstRowFirstColumn="0" w:firstRowLastColumn="0" w:lastRowFirstColumn="0" w:lastRowLastColumn="0"/>
            <w:tcW w:w="1204" w:type="dxa"/>
          </w:tcPr>
          <w:p w14:paraId="7A6463CA" w14:textId="77777777" w:rsidR="00665B8E" w:rsidRPr="00D60262" w:rsidDel="00D53B51" w:rsidRDefault="00665B8E" w:rsidP="00B97CF4">
            <w:pPr>
              <w:jc w:val="left"/>
              <w:rPr>
                <w:b w:val="0"/>
                <w:sz w:val="24"/>
                <w:szCs w:val="24"/>
              </w:rPr>
            </w:pPr>
            <w:r w:rsidRPr="00D60262">
              <w:rPr>
                <w:sz w:val="24"/>
                <w:szCs w:val="24"/>
              </w:rPr>
              <w:t>TIME</w:t>
            </w:r>
            <w:r w:rsidRPr="00D60262">
              <w:rPr>
                <w:rFonts w:cs="Times New Roman"/>
                <w:sz w:val="24"/>
                <w:szCs w:val="24"/>
                <w:vertAlign w:val="superscript"/>
              </w:rPr>
              <w:footnoteReference w:id="6"/>
            </w:r>
            <w:r w:rsidRPr="00D60262">
              <w:rPr>
                <w:sz w:val="24"/>
                <w:szCs w:val="24"/>
              </w:rPr>
              <w:t xml:space="preserve"> </w:t>
            </w:r>
          </w:p>
        </w:tc>
      </w:tr>
      <w:tr w:rsidR="00375147" w:rsidRPr="00D60262" w14:paraId="09118487" w14:textId="77777777" w:rsidTr="00CF167F">
        <w:trPr>
          <w:cnfStyle w:val="000000100000" w:firstRow="0" w:lastRow="0" w:firstColumn="0" w:lastColumn="0" w:oddVBand="0" w:evenVBand="0" w:oddHBand="1" w:evenHBand="0" w:firstRowFirstColumn="0" w:firstRowLastColumn="0" w:lastRowFirstColumn="0" w:lastRowLastColumn="0"/>
          <w:trHeight w:hRule="exact" w:val="299"/>
        </w:trPr>
        <w:tc>
          <w:tcPr>
            <w:cnfStyle w:val="000010000000" w:firstRow="0" w:lastRow="0" w:firstColumn="0" w:lastColumn="0" w:oddVBand="1" w:evenVBand="0" w:oddHBand="0" w:evenHBand="0" w:firstRowFirstColumn="0" w:firstRowLastColumn="0" w:lastRowFirstColumn="0" w:lastRowLastColumn="0"/>
            <w:tcW w:w="5632" w:type="dxa"/>
          </w:tcPr>
          <w:p w14:paraId="79A8D0BC" w14:textId="77777777" w:rsidR="00375147" w:rsidRPr="00D60262" w:rsidRDefault="00375147" w:rsidP="00B97CF4">
            <w:pPr>
              <w:keepNext/>
              <w:keepLines/>
              <w:widowControl w:val="0"/>
              <w:jc w:val="left"/>
              <w:rPr>
                <w:sz w:val="24"/>
                <w:szCs w:val="24"/>
              </w:rPr>
            </w:pPr>
            <w:r w:rsidRPr="00D60262">
              <w:rPr>
                <w:sz w:val="24"/>
                <w:szCs w:val="24"/>
              </w:rPr>
              <w:t>Solicitation Release</w:t>
            </w:r>
          </w:p>
        </w:tc>
        <w:tc>
          <w:tcPr>
            <w:tcW w:w="2463" w:type="dxa"/>
          </w:tcPr>
          <w:p w14:paraId="5C5CBA40" w14:textId="1D3A768C" w:rsidR="00375147" w:rsidRPr="00D60262" w:rsidRDefault="00375147" w:rsidP="00B97CF4">
            <w:pPr>
              <w:keepNext/>
              <w:keepLines/>
              <w:widowControl w:val="0"/>
              <w:jc w:val="left"/>
              <w:cnfStyle w:val="000000100000" w:firstRow="0" w:lastRow="0" w:firstColumn="0" w:lastColumn="0" w:oddVBand="0" w:evenVBand="0" w:oddHBand="1" w:evenHBand="0" w:firstRowFirstColumn="0" w:firstRowLastColumn="0" w:lastRowFirstColumn="0" w:lastRowLastColumn="0"/>
              <w:rPr>
                <w:sz w:val="24"/>
                <w:szCs w:val="24"/>
              </w:rPr>
            </w:pPr>
            <w:r w:rsidRPr="00D60262">
              <w:rPr>
                <w:sz w:val="24"/>
                <w:szCs w:val="24"/>
              </w:rPr>
              <w:t>August 2</w:t>
            </w:r>
            <w:r w:rsidR="00E56D31" w:rsidRPr="00D60262">
              <w:rPr>
                <w:sz w:val="24"/>
                <w:szCs w:val="24"/>
              </w:rPr>
              <w:t>8</w:t>
            </w:r>
            <w:r w:rsidRPr="00D60262">
              <w:rPr>
                <w:sz w:val="24"/>
                <w:szCs w:val="24"/>
              </w:rPr>
              <w:t>, 2026</w:t>
            </w:r>
          </w:p>
        </w:tc>
        <w:tc>
          <w:tcPr>
            <w:cnfStyle w:val="000010000000" w:firstRow="0" w:lastRow="0" w:firstColumn="0" w:lastColumn="0" w:oddVBand="1" w:evenVBand="0" w:oddHBand="0" w:evenHBand="0" w:firstRowFirstColumn="0" w:firstRowLastColumn="0" w:lastRowFirstColumn="0" w:lastRowLastColumn="0"/>
            <w:tcW w:w="1204" w:type="dxa"/>
          </w:tcPr>
          <w:p w14:paraId="6C621020" w14:textId="77777777" w:rsidR="00375147" w:rsidRPr="00D60262" w:rsidRDefault="00375147" w:rsidP="00B97CF4">
            <w:pPr>
              <w:keepNext/>
              <w:keepLines/>
              <w:widowControl w:val="0"/>
              <w:jc w:val="left"/>
              <w:rPr>
                <w:sz w:val="24"/>
                <w:szCs w:val="24"/>
              </w:rPr>
            </w:pPr>
          </w:p>
        </w:tc>
      </w:tr>
      <w:tr w:rsidR="00375147" w:rsidRPr="00D60262" w14:paraId="54813CA8" w14:textId="77777777" w:rsidTr="00CF167F">
        <w:trPr>
          <w:trHeight w:hRule="exact" w:val="370"/>
        </w:trPr>
        <w:tc>
          <w:tcPr>
            <w:cnfStyle w:val="000010000000" w:firstRow="0" w:lastRow="0" w:firstColumn="0" w:lastColumn="0" w:oddVBand="1" w:evenVBand="0" w:oddHBand="0" w:evenHBand="0" w:firstRowFirstColumn="0" w:firstRowLastColumn="0" w:lastRowFirstColumn="0" w:lastRowLastColumn="0"/>
            <w:tcW w:w="5632" w:type="dxa"/>
          </w:tcPr>
          <w:p w14:paraId="0015EDE9" w14:textId="7D2696A2" w:rsidR="00375147" w:rsidRPr="00D60262" w:rsidRDefault="00375147" w:rsidP="00B97CF4">
            <w:pPr>
              <w:keepNext/>
              <w:keepLines/>
              <w:widowControl w:val="0"/>
              <w:jc w:val="left"/>
              <w:rPr>
                <w:b/>
                <w:sz w:val="24"/>
                <w:szCs w:val="24"/>
              </w:rPr>
            </w:pPr>
            <w:r w:rsidRPr="00D60262">
              <w:rPr>
                <w:b/>
                <w:sz w:val="24"/>
                <w:szCs w:val="24"/>
              </w:rPr>
              <w:t xml:space="preserve">Pre-Application Workshop </w:t>
            </w:r>
          </w:p>
        </w:tc>
        <w:tc>
          <w:tcPr>
            <w:tcW w:w="2463" w:type="dxa"/>
          </w:tcPr>
          <w:p w14:paraId="6454C654" w14:textId="3E6ECA05" w:rsidR="00375147" w:rsidRPr="00D60262" w:rsidRDefault="00375147" w:rsidP="00B97CF4">
            <w:pPr>
              <w:keepNext/>
              <w:keepLines/>
              <w:widowControl w:val="0"/>
              <w:jc w:val="left"/>
              <w:cnfStyle w:val="000000000000" w:firstRow="0" w:lastRow="0" w:firstColumn="0" w:lastColumn="0" w:oddVBand="0" w:evenVBand="0" w:oddHBand="0" w:evenHBand="0" w:firstRowFirstColumn="0" w:firstRowLastColumn="0" w:lastRowFirstColumn="0" w:lastRowLastColumn="0"/>
              <w:rPr>
                <w:b/>
                <w:sz w:val="24"/>
                <w:szCs w:val="24"/>
              </w:rPr>
            </w:pPr>
            <w:r w:rsidRPr="00D60262">
              <w:rPr>
                <w:b/>
                <w:bCs/>
                <w:sz w:val="24"/>
                <w:szCs w:val="24"/>
              </w:rPr>
              <w:t xml:space="preserve">September </w:t>
            </w:r>
            <w:r w:rsidR="0028481E" w:rsidRPr="00D60262">
              <w:rPr>
                <w:b/>
                <w:bCs/>
                <w:sz w:val="24"/>
                <w:szCs w:val="24"/>
              </w:rPr>
              <w:t>10</w:t>
            </w:r>
            <w:r w:rsidRPr="00D60262">
              <w:rPr>
                <w:b/>
                <w:bCs/>
                <w:sz w:val="24"/>
                <w:szCs w:val="24"/>
              </w:rPr>
              <w:t>, 2026</w:t>
            </w:r>
          </w:p>
        </w:tc>
        <w:tc>
          <w:tcPr>
            <w:cnfStyle w:val="000010000000" w:firstRow="0" w:lastRow="0" w:firstColumn="0" w:lastColumn="0" w:oddVBand="1" w:evenVBand="0" w:oddHBand="0" w:evenHBand="0" w:firstRowFirstColumn="0" w:firstRowLastColumn="0" w:lastRowFirstColumn="0" w:lastRowLastColumn="0"/>
            <w:tcW w:w="1204" w:type="dxa"/>
          </w:tcPr>
          <w:p w14:paraId="234977AF" w14:textId="3CF0FE31" w:rsidR="00375147" w:rsidRPr="00D60262" w:rsidRDefault="0088346E" w:rsidP="00B97CF4">
            <w:pPr>
              <w:keepNext/>
              <w:keepLines/>
              <w:widowControl w:val="0"/>
              <w:jc w:val="left"/>
              <w:rPr>
                <w:b/>
                <w:sz w:val="24"/>
                <w:szCs w:val="24"/>
              </w:rPr>
            </w:pPr>
            <w:r w:rsidRPr="00D60262">
              <w:rPr>
                <w:b/>
                <w:bCs/>
                <w:sz w:val="24"/>
                <w:szCs w:val="24"/>
              </w:rPr>
              <w:t>10:00 a.m.</w:t>
            </w:r>
          </w:p>
        </w:tc>
      </w:tr>
      <w:tr w:rsidR="00375147" w:rsidRPr="00D60262" w14:paraId="73CA96C8" w14:textId="77777777" w:rsidTr="00CF167F">
        <w:trPr>
          <w:cnfStyle w:val="000000100000" w:firstRow="0" w:lastRow="0" w:firstColumn="0" w:lastColumn="0" w:oddVBand="0" w:evenVBand="0" w:oddHBand="1" w:evenHBand="0" w:firstRowFirstColumn="0" w:firstRowLastColumn="0" w:lastRowFirstColumn="0" w:lastRowLastColumn="0"/>
          <w:trHeight w:hRule="exact" w:val="299"/>
        </w:trPr>
        <w:tc>
          <w:tcPr>
            <w:cnfStyle w:val="000010000000" w:firstRow="0" w:lastRow="0" w:firstColumn="0" w:lastColumn="0" w:oddVBand="1" w:evenVBand="0" w:oddHBand="0" w:evenHBand="0" w:firstRowFirstColumn="0" w:firstRowLastColumn="0" w:lastRowFirstColumn="0" w:lastRowLastColumn="0"/>
            <w:tcW w:w="5632" w:type="dxa"/>
          </w:tcPr>
          <w:p w14:paraId="7D00C8D4" w14:textId="77777777" w:rsidR="00375147" w:rsidRPr="00D60262" w:rsidRDefault="00375147" w:rsidP="00B97CF4">
            <w:pPr>
              <w:keepNext/>
              <w:keepLines/>
              <w:widowControl w:val="0"/>
              <w:jc w:val="left"/>
              <w:rPr>
                <w:b/>
                <w:sz w:val="24"/>
                <w:szCs w:val="24"/>
              </w:rPr>
            </w:pPr>
            <w:r w:rsidRPr="00D60262">
              <w:rPr>
                <w:b/>
                <w:sz w:val="24"/>
                <w:szCs w:val="24"/>
              </w:rPr>
              <w:t>Deadline for Written Questions</w:t>
            </w:r>
            <w:r w:rsidRPr="00D60262">
              <w:rPr>
                <w:rFonts w:cs="Times New Roman"/>
                <w:b/>
                <w:sz w:val="24"/>
                <w:szCs w:val="24"/>
                <w:u w:val="single"/>
                <w:vertAlign w:val="superscript"/>
              </w:rPr>
              <w:footnoteReference w:id="7"/>
            </w:r>
          </w:p>
        </w:tc>
        <w:tc>
          <w:tcPr>
            <w:tcW w:w="2463" w:type="dxa"/>
          </w:tcPr>
          <w:p w14:paraId="22255804" w14:textId="0F389DD1" w:rsidR="00375147" w:rsidRPr="00D60262" w:rsidRDefault="00375147" w:rsidP="00B97CF4">
            <w:pPr>
              <w:keepNext/>
              <w:keepLines/>
              <w:widowControl w:val="0"/>
              <w:jc w:val="left"/>
              <w:cnfStyle w:val="000000100000" w:firstRow="0" w:lastRow="0" w:firstColumn="0" w:lastColumn="0" w:oddVBand="0" w:evenVBand="0" w:oddHBand="1" w:evenHBand="0" w:firstRowFirstColumn="0" w:firstRowLastColumn="0" w:lastRowFirstColumn="0" w:lastRowLastColumn="0"/>
              <w:rPr>
                <w:b/>
                <w:sz w:val="24"/>
                <w:szCs w:val="24"/>
              </w:rPr>
            </w:pPr>
            <w:r w:rsidRPr="00D60262">
              <w:rPr>
                <w:b/>
                <w:bCs/>
                <w:sz w:val="24"/>
                <w:szCs w:val="24"/>
              </w:rPr>
              <w:t xml:space="preserve">September </w:t>
            </w:r>
            <w:r w:rsidR="000A39A9" w:rsidRPr="00D60262">
              <w:rPr>
                <w:b/>
                <w:bCs/>
                <w:sz w:val="24"/>
                <w:szCs w:val="24"/>
              </w:rPr>
              <w:t>2</w:t>
            </w:r>
            <w:r w:rsidR="00803B76" w:rsidRPr="00D60262">
              <w:rPr>
                <w:b/>
                <w:bCs/>
                <w:sz w:val="24"/>
                <w:szCs w:val="24"/>
              </w:rPr>
              <w:t>2</w:t>
            </w:r>
            <w:r w:rsidRPr="00D60262">
              <w:rPr>
                <w:b/>
                <w:bCs/>
                <w:sz w:val="24"/>
                <w:szCs w:val="24"/>
              </w:rPr>
              <w:t>, 2026</w:t>
            </w:r>
          </w:p>
        </w:tc>
        <w:tc>
          <w:tcPr>
            <w:cnfStyle w:val="000010000000" w:firstRow="0" w:lastRow="0" w:firstColumn="0" w:lastColumn="0" w:oddVBand="1" w:evenVBand="0" w:oddHBand="0" w:evenHBand="0" w:firstRowFirstColumn="0" w:firstRowLastColumn="0" w:lastRowFirstColumn="0" w:lastRowLastColumn="0"/>
            <w:tcW w:w="1204" w:type="dxa"/>
          </w:tcPr>
          <w:p w14:paraId="0DAE539E" w14:textId="0E51345E" w:rsidR="00375147" w:rsidRPr="00D60262" w:rsidRDefault="00375147" w:rsidP="00B97CF4">
            <w:pPr>
              <w:keepNext/>
              <w:keepLines/>
              <w:widowControl w:val="0"/>
              <w:jc w:val="left"/>
              <w:rPr>
                <w:b/>
                <w:sz w:val="24"/>
                <w:szCs w:val="24"/>
              </w:rPr>
            </w:pPr>
            <w:r w:rsidRPr="00D60262">
              <w:rPr>
                <w:b/>
                <w:sz w:val="24"/>
                <w:szCs w:val="24"/>
              </w:rPr>
              <w:t>5:00 p.m.</w:t>
            </w:r>
          </w:p>
        </w:tc>
      </w:tr>
      <w:tr w:rsidR="00375147" w:rsidRPr="00D60262" w14:paraId="26A630E5" w14:textId="77777777" w:rsidTr="00C71C0A">
        <w:trPr>
          <w:trHeight w:hRule="exact" w:val="622"/>
        </w:trPr>
        <w:tc>
          <w:tcPr>
            <w:cnfStyle w:val="000010000000" w:firstRow="0" w:lastRow="0" w:firstColumn="0" w:lastColumn="0" w:oddVBand="1" w:evenVBand="0" w:oddHBand="0" w:evenHBand="0" w:firstRowFirstColumn="0" w:firstRowLastColumn="0" w:lastRowFirstColumn="0" w:lastRowLastColumn="0"/>
            <w:tcW w:w="5632" w:type="dxa"/>
          </w:tcPr>
          <w:p w14:paraId="3E077450" w14:textId="46F4A050" w:rsidR="00375147" w:rsidRPr="00D60262" w:rsidRDefault="00375147" w:rsidP="00B97CF4">
            <w:pPr>
              <w:widowControl w:val="0"/>
              <w:spacing w:after="0"/>
              <w:jc w:val="left"/>
              <w:rPr>
                <w:sz w:val="24"/>
                <w:szCs w:val="24"/>
              </w:rPr>
            </w:pPr>
            <w:r w:rsidRPr="00D60262">
              <w:rPr>
                <w:sz w:val="24"/>
                <w:szCs w:val="24"/>
              </w:rPr>
              <w:t xml:space="preserve">Anticipated Distribution of Questions and Answers </w:t>
            </w:r>
          </w:p>
        </w:tc>
        <w:tc>
          <w:tcPr>
            <w:tcW w:w="2463" w:type="dxa"/>
          </w:tcPr>
          <w:p w14:paraId="3F05EC11" w14:textId="5B29B7D7" w:rsidR="00375147" w:rsidRPr="00D60262" w:rsidRDefault="00375147" w:rsidP="00B97CF4">
            <w:pPr>
              <w:keepNext/>
              <w:keepLines/>
              <w:widowControl w:val="0"/>
              <w:jc w:val="left"/>
              <w:cnfStyle w:val="000000000000" w:firstRow="0" w:lastRow="0" w:firstColumn="0" w:lastColumn="0" w:oddVBand="0" w:evenVBand="0" w:oddHBand="0" w:evenHBand="0" w:firstRowFirstColumn="0" w:firstRowLastColumn="0" w:lastRowFirstColumn="0" w:lastRowLastColumn="0"/>
              <w:rPr>
                <w:sz w:val="24"/>
                <w:szCs w:val="24"/>
              </w:rPr>
            </w:pPr>
            <w:r w:rsidRPr="00D60262">
              <w:rPr>
                <w:sz w:val="24"/>
                <w:szCs w:val="24"/>
              </w:rPr>
              <w:t xml:space="preserve">Week of October </w:t>
            </w:r>
            <w:r w:rsidR="0065415E" w:rsidRPr="00D60262">
              <w:rPr>
                <w:sz w:val="24"/>
                <w:szCs w:val="24"/>
              </w:rPr>
              <w:t>1</w:t>
            </w:r>
            <w:r w:rsidR="00375508" w:rsidRPr="00D60262">
              <w:rPr>
                <w:sz w:val="24"/>
                <w:szCs w:val="24"/>
              </w:rPr>
              <w:t>2</w:t>
            </w:r>
            <w:r w:rsidRPr="00D60262">
              <w:rPr>
                <w:sz w:val="24"/>
                <w:szCs w:val="24"/>
              </w:rPr>
              <w:t>, 2026</w:t>
            </w:r>
          </w:p>
        </w:tc>
        <w:tc>
          <w:tcPr>
            <w:cnfStyle w:val="000010000000" w:firstRow="0" w:lastRow="0" w:firstColumn="0" w:lastColumn="0" w:oddVBand="1" w:evenVBand="0" w:oddHBand="0" w:evenHBand="0" w:firstRowFirstColumn="0" w:firstRowLastColumn="0" w:lastRowFirstColumn="0" w:lastRowLastColumn="0"/>
            <w:tcW w:w="1204" w:type="dxa"/>
          </w:tcPr>
          <w:p w14:paraId="613E1B32" w14:textId="77777777" w:rsidR="00375147" w:rsidRPr="00D60262" w:rsidRDefault="00375147" w:rsidP="00B97CF4">
            <w:pPr>
              <w:keepNext/>
              <w:keepLines/>
              <w:widowControl w:val="0"/>
              <w:jc w:val="left"/>
              <w:rPr>
                <w:sz w:val="24"/>
                <w:szCs w:val="24"/>
              </w:rPr>
            </w:pPr>
          </w:p>
        </w:tc>
      </w:tr>
      <w:tr w:rsidR="00375147" w:rsidRPr="00D60262" w14:paraId="6B3A9A38" w14:textId="77777777" w:rsidTr="00D62E5C">
        <w:trPr>
          <w:cnfStyle w:val="000000100000" w:firstRow="0" w:lastRow="0" w:firstColumn="0" w:lastColumn="0" w:oddVBand="0" w:evenVBand="0" w:oddHBand="1" w:evenHBand="0" w:firstRowFirstColumn="0" w:firstRowLastColumn="0" w:lastRowFirstColumn="0" w:lastRowLastColumn="0"/>
          <w:trHeight w:hRule="exact" w:val="685"/>
        </w:trPr>
        <w:tc>
          <w:tcPr>
            <w:cnfStyle w:val="000010000000" w:firstRow="0" w:lastRow="0" w:firstColumn="0" w:lastColumn="0" w:oddVBand="1" w:evenVBand="0" w:oddHBand="0" w:evenHBand="0" w:firstRowFirstColumn="0" w:firstRowLastColumn="0" w:lastRowFirstColumn="0" w:lastRowLastColumn="0"/>
            <w:tcW w:w="5632" w:type="dxa"/>
          </w:tcPr>
          <w:p w14:paraId="50AE91F7" w14:textId="77777777" w:rsidR="00375147" w:rsidRPr="00D60262" w:rsidRDefault="00375147" w:rsidP="00B97CF4">
            <w:pPr>
              <w:keepNext/>
              <w:keepLines/>
              <w:widowControl w:val="0"/>
              <w:jc w:val="left"/>
              <w:rPr>
                <w:b/>
                <w:sz w:val="24"/>
                <w:szCs w:val="24"/>
              </w:rPr>
            </w:pPr>
            <w:r w:rsidRPr="00D60262">
              <w:rPr>
                <w:b/>
                <w:sz w:val="24"/>
                <w:szCs w:val="24"/>
              </w:rPr>
              <w:t>Support for Application Submission in ECAMS</w:t>
            </w:r>
          </w:p>
        </w:tc>
        <w:tc>
          <w:tcPr>
            <w:tcW w:w="2463" w:type="dxa"/>
          </w:tcPr>
          <w:p w14:paraId="5422833A" w14:textId="31BDCDAB" w:rsidR="00375147" w:rsidRPr="00D60262" w:rsidRDefault="00375147" w:rsidP="00B97CF4">
            <w:pPr>
              <w:keepNext/>
              <w:keepLines/>
              <w:widowControl w:val="0"/>
              <w:jc w:val="left"/>
              <w:cnfStyle w:val="000000100000" w:firstRow="0" w:lastRow="0" w:firstColumn="0" w:lastColumn="0" w:oddVBand="0" w:evenVBand="0" w:oddHBand="1" w:evenHBand="0" w:firstRowFirstColumn="0" w:firstRowLastColumn="0" w:lastRowFirstColumn="0" w:lastRowLastColumn="0"/>
              <w:rPr>
                <w:b/>
                <w:sz w:val="24"/>
                <w:szCs w:val="24"/>
              </w:rPr>
            </w:pPr>
            <w:r w:rsidRPr="00D60262">
              <w:rPr>
                <w:b/>
                <w:bCs/>
                <w:sz w:val="24"/>
                <w:szCs w:val="24"/>
              </w:rPr>
              <w:t>November 20, 2026</w:t>
            </w:r>
          </w:p>
        </w:tc>
        <w:tc>
          <w:tcPr>
            <w:cnfStyle w:val="000010000000" w:firstRow="0" w:lastRow="0" w:firstColumn="0" w:lastColumn="0" w:oddVBand="1" w:evenVBand="0" w:oddHBand="0" w:evenHBand="0" w:firstRowFirstColumn="0" w:firstRowLastColumn="0" w:lastRowFirstColumn="0" w:lastRowLastColumn="0"/>
            <w:tcW w:w="1204" w:type="dxa"/>
          </w:tcPr>
          <w:p w14:paraId="4B112162" w14:textId="2F0EC40C" w:rsidR="00375147" w:rsidRPr="00D60262" w:rsidRDefault="00375147" w:rsidP="00B97CF4">
            <w:pPr>
              <w:keepNext/>
              <w:keepLines/>
              <w:widowControl w:val="0"/>
              <w:jc w:val="left"/>
              <w:rPr>
                <w:b/>
                <w:sz w:val="24"/>
                <w:szCs w:val="24"/>
              </w:rPr>
            </w:pPr>
            <w:r w:rsidRPr="00D60262">
              <w:rPr>
                <w:b/>
                <w:bCs/>
                <w:sz w:val="24"/>
                <w:szCs w:val="24"/>
              </w:rPr>
              <w:t>5:00 p.m.</w:t>
            </w:r>
            <w:r w:rsidRPr="00D60262">
              <w:rPr>
                <w:rStyle w:val="FootnoteReference"/>
                <w:b/>
                <w:bCs/>
                <w:sz w:val="24"/>
                <w:szCs w:val="24"/>
              </w:rPr>
              <w:footnoteReference w:id="8"/>
            </w:r>
          </w:p>
        </w:tc>
      </w:tr>
      <w:tr w:rsidR="00375147" w:rsidRPr="00D60262" w14:paraId="083E754D" w14:textId="77777777" w:rsidTr="00CF167F">
        <w:trPr>
          <w:trHeight w:hRule="exact" w:val="299"/>
        </w:trPr>
        <w:tc>
          <w:tcPr>
            <w:cnfStyle w:val="000010000000" w:firstRow="0" w:lastRow="0" w:firstColumn="0" w:lastColumn="0" w:oddVBand="1" w:evenVBand="0" w:oddHBand="0" w:evenHBand="0" w:firstRowFirstColumn="0" w:firstRowLastColumn="0" w:lastRowFirstColumn="0" w:lastRowLastColumn="0"/>
            <w:tcW w:w="5632" w:type="dxa"/>
          </w:tcPr>
          <w:p w14:paraId="423B4C95" w14:textId="77777777" w:rsidR="00375147" w:rsidRPr="00D60262" w:rsidRDefault="00375147" w:rsidP="00B97CF4">
            <w:pPr>
              <w:keepNext/>
              <w:keepLines/>
              <w:widowControl w:val="0"/>
              <w:jc w:val="left"/>
              <w:rPr>
                <w:b/>
                <w:sz w:val="24"/>
                <w:szCs w:val="24"/>
              </w:rPr>
            </w:pPr>
            <w:r w:rsidRPr="00D60262">
              <w:rPr>
                <w:b/>
                <w:sz w:val="24"/>
                <w:szCs w:val="24"/>
              </w:rPr>
              <w:t>Deadline to Submit Applications</w:t>
            </w:r>
          </w:p>
        </w:tc>
        <w:tc>
          <w:tcPr>
            <w:tcW w:w="2463" w:type="dxa"/>
          </w:tcPr>
          <w:p w14:paraId="77F5BBE1" w14:textId="18E051B0" w:rsidR="00375147" w:rsidRPr="00D60262" w:rsidRDefault="00375147" w:rsidP="00B97CF4">
            <w:pPr>
              <w:keepNext/>
              <w:keepLines/>
              <w:widowControl w:val="0"/>
              <w:jc w:val="left"/>
              <w:cnfStyle w:val="000000000000" w:firstRow="0" w:lastRow="0" w:firstColumn="0" w:lastColumn="0" w:oddVBand="0" w:evenVBand="0" w:oddHBand="0" w:evenHBand="0" w:firstRowFirstColumn="0" w:firstRowLastColumn="0" w:lastRowFirstColumn="0" w:lastRowLastColumn="0"/>
              <w:rPr>
                <w:b/>
                <w:sz w:val="24"/>
                <w:szCs w:val="24"/>
              </w:rPr>
            </w:pPr>
            <w:r w:rsidRPr="00D60262">
              <w:rPr>
                <w:b/>
                <w:bCs/>
                <w:sz w:val="24"/>
                <w:szCs w:val="24"/>
              </w:rPr>
              <w:t>November 20, 2026</w:t>
            </w:r>
          </w:p>
        </w:tc>
        <w:tc>
          <w:tcPr>
            <w:cnfStyle w:val="000010000000" w:firstRow="0" w:lastRow="0" w:firstColumn="0" w:lastColumn="0" w:oddVBand="1" w:evenVBand="0" w:oddHBand="0" w:evenHBand="0" w:firstRowFirstColumn="0" w:firstRowLastColumn="0" w:lastRowFirstColumn="0" w:lastRowLastColumn="0"/>
            <w:tcW w:w="1204" w:type="dxa"/>
          </w:tcPr>
          <w:p w14:paraId="29359915" w14:textId="56CD8840" w:rsidR="00375147" w:rsidRPr="00D60262" w:rsidRDefault="00375147" w:rsidP="00B97CF4">
            <w:pPr>
              <w:keepNext/>
              <w:keepLines/>
              <w:widowControl w:val="0"/>
              <w:jc w:val="left"/>
              <w:rPr>
                <w:sz w:val="24"/>
                <w:szCs w:val="24"/>
              </w:rPr>
            </w:pPr>
            <w:r w:rsidRPr="00D60262">
              <w:rPr>
                <w:b/>
                <w:sz w:val="24"/>
                <w:szCs w:val="24"/>
              </w:rPr>
              <w:t>11:59 p.m.</w:t>
            </w:r>
          </w:p>
        </w:tc>
      </w:tr>
      <w:tr w:rsidR="00375147" w:rsidRPr="00D60262" w14:paraId="4EC9D32A" w14:textId="77777777" w:rsidTr="00CF167F">
        <w:trPr>
          <w:cnfStyle w:val="000000100000" w:firstRow="0" w:lastRow="0" w:firstColumn="0" w:lastColumn="0" w:oddVBand="0" w:evenVBand="0" w:oddHBand="1" w:evenHBand="0" w:firstRowFirstColumn="0" w:firstRowLastColumn="0" w:lastRowFirstColumn="0" w:lastRowLastColumn="0"/>
          <w:trHeight w:hRule="exact" w:val="618"/>
        </w:trPr>
        <w:tc>
          <w:tcPr>
            <w:cnfStyle w:val="000010000000" w:firstRow="0" w:lastRow="0" w:firstColumn="0" w:lastColumn="0" w:oddVBand="1" w:evenVBand="0" w:oddHBand="0" w:evenHBand="0" w:firstRowFirstColumn="0" w:firstRowLastColumn="0" w:lastRowFirstColumn="0" w:lastRowLastColumn="0"/>
            <w:tcW w:w="5632" w:type="dxa"/>
          </w:tcPr>
          <w:p w14:paraId="5F26C710" w14:textId="77777777" w:rsidR="00375147" w:rsidRPr="00D60262" w:rsidRDefault="00375147" w:rsidP="00B97CF4">
            <w:pPr>
              <w:keepNext/>
              <w:keepLines/>
              <w:widowControl w:val="0"/>
              <w:jc w:val="left"/>
              <w:rPr>
                <w:sz w:val="24"/>
                <w:szCs w:val="24"/>
              </w:rPr>
            </w:pPr>
            <w:r w:rsidRPr="00D60262">
              <w:rPr>
                <w:sz w:val="24"/>
                <w:szCs w:val="24"/>
              </w:rPr>
              <w:t>Anticipated Notice of Proposed Award Posting Date</w:t>
            </w:r>
          </w:p>
        </w:tc>
        <w:tc>
          <w:tcPr>
            <w:tcW w:w="2463" w:type="dxa"/>
          </w:tcPr>
          <w:p w14:paraId="6DAFA493" w14:textId="54C804DE" w:rsidR="00375147" w:rsidRPr="00D60262" w:rsidRDefault="00375147" w:rsidP="00B97CF4">
            <w:pPr>
              <w:keepNext/>
              <w:keepLines/>
              <w:widowControl w:val="0"/>
              <w:jc w:val="left"/>
              <w:cnfStyle w:val="000000100000" w:firstRow="0" w:lastRow="0" w:firstColumn="0" w:lastColumn="0" w:oddVBand="0" w:evenVBand="0" w:oddHBand="1" w:evenHBand="0" w:firstRowFirstColumn="0" w:firstRowLastColumn="0" w:lastRowFirstColumn="0" w:lastRowLastColumn="0"/>
              <w:rPr>
                <w:sz w:val="24"/>
                <w:szCs w:val="24"/>
              </w:rPr>
            </w:pPr>
            <w:r w:rsidRPr="00D60262">
              <w:rPr>
                <w:sz w:val="24"/>
                <w:szCs w:val="24"/>
              </w:rPr>
              <w:t xml:space="preserve">February </w:t>
            </w:r>
            <w:r w:rsidR="00803EB9" w:rsidRPr="00D60262">
              <w:rPr>
                <w:sz w:val="24"/>
                <w:szCs w:val="24"/>
              </w:rPr>
              <w:t>19</w:t>
            </w:r>
            <w:r w:rsidRPr="00D60262">
              <w:rPr>
                <w:sz w:val="24"/>
                <w:szCs w:val="24"/>
              </w:rPr>
              <w:t>, 2027</w:t>
            </w:r>
          </w:p>
        </w:tc>
        <w:tc>
          <w:tcPr>
            <w:cnfStyle w:val="000010000000" w:firstRow="0" w:lastRow="0" w:firstColumn="0" w:lastColumn="0" w:oddVBand="1" w:evenVBand="0" w:oddHBand="0" w:evenHBand="0" w:firstRowFirstColumn="0" w:firstRowLastColumn="0" w:lastRowFirstColumn="0" w:lastRowLastColumn="0"/>
            <w:tcW w:w="1204" w:type="dxa"/>
          </w:tcPr>
          <w:p w14:paraId="06498D99" w14:textId="77777777" w:rsidR="00375147" w:rsidRPr="00D60262" w:rsidRDefault="00375147" w:rsidP="00B97CF4">
            <w:pPr>
              <w:keepNext/>
              <w:keepLines/>
              <w:widowControl w:val="0"/>
              <w:jc w:val="left"/>
              <w:rPr>
                <w:sz w:val="24"/>
                <w:szCs w:val="24"/>
              </w:rPr>
            </w:pPr>
          </w:p>
        </w:tc>
      </w:tr>
      <w:tr w:rsidR="00375147" w:rsidRPr="00D60262" w14:paraId="796DF7FE" w14:textId="77777777" w:rsidTr="00CF167F">
        <w:trPr>
          <w:trHeight w:hRule="exact" w:val="299"/>
        </w:trPr>
        <w:tc>
          <w:tcPr>
            <w:cnfStyle w:val="000010000000" w:firstRow="0" w:lastRow="0" w:firstColumn="0" w:lastColumn="0" w:oddVBand="1" w:evenVBand="0" w:oddHBand="0" w:evenHBand="0" w:firstRowFirstColumn="0" w:firstRowLastColumn="0" w:lastRowFirstColumn="0" w:lastRowLastColumn="0"/>
            <w:tcW w:w="5632" w:type="dxa"/>
          </w:tcPr>
          <w:p w14:paraId="2FB6CF05" w14:textId="77777777" w:rsidR="00375147" w:rsidRPr="00D60262" w:rsidRDefault="00375147" w:rsidP="00B97CF4">
            <w:pPr>
              <w:widowControl w:val="0"/>
              <w:jc w:val="left"/>
              <w:rPr>
                <w:sz w:val="24"/>
                <w:szCs w:val="24"/>
              </w:rPr>
            </w:pPr>
            <w:r w:rsidRPr="00D60262">
              <w:rPr>
                <w:sz w:val="24"/>
                <w:szCs w:val="24"/>
              </w:rPr>
              <w:t>Anticipated Energy Commission Business Meeting Date</w:t>
            </w:r>
          </w:p>
        </w:tc>
        <w:tc>
          <w:tcPr>
            <w:tcW w:w="2463" w:type="dxa"/>
          </w:tcPr>
          <w:p w14:paraId="1330C7B7" w14:textId="5686A278" w:rsidR="00375147" w:rsidRPr="00D60262" w:rsidRDefault="00375147" w:rsidP="00B97CF4">
            <w:pPr>
              <w:keepNext/>
              <w:keepLines/>
              <w:widowControl w:val="0"/>
              <w:jc w:val="left"/>
              <w:cnfStyle w:val="000000000000" w:firstRow="0" w:lastRow="0" w:firstColumn="0" w:lastColumn="0" w:oddVBand="0" w:evenVBand="0" w:oddHBand="0" w:evenHBand="0" w:firstRowFirstColumn="0" w:firstRowLastColumn="0" w:lastRowFirstColumn="0" w:lastRowLastColumn="0"/>
              <w:rPr>
                <w:sz w:val="24"/>
                <w:szCs w:val="24"/>
              </w:rPr>
            </w:pPr>
            <w:r w:rsidRPr="00D60262">
              <w:rPr>
                <w:sz w:val="24"/>
                <w:szCs w:val="24"/>
              </w:rPr>
              <w:t>April, 2027</w:t>
            </w:r>
          </w:p>
        </w:tc>
        <w:tc>
          <w:tcPr>
            <w:cnfStyle w:val="000010000000" w:firstRow="0" w:lastRow="0" w:firstColumn="0" w:lastColumn="0" w:oddVBand="1" w:evenVBand="0" w:oddHBand="0" w:evenHBand="0" w:firstRowFirstColumn="0" w:firstRowLastColumn="0" w:lastRowFirstColumn="0" w:lastRowLastColumn="0"/>
            <w:tcW w:w="1204" w:type="dxa"/>
          </w:tcPr>
          <w:p w14:paraId="516A633D" w14:textId="77777777" w:rsidR="00375147" w:rsidRPr="00D60262" w:rsidRDefault="00375147" w:rsidP="00B97CF4">
            <w:pPr>
              <w:keepNext/>
              <w:keepLines/>
              <w:widowControl w:val="0"/>
              <w:jc w:val="left"/>
              <w:rPr>
                <w:sz w:val="24"/>
                <w:szCs w:val="24"/>
              </w:rPr>
            </w:pPr>
          </w:p>
        </w:tc>
      </w:tr>
      <w:tr w:rsidR="00375147" w:rsidRPr="00D60262" w14:paraId="065ACE3E" w14:textId="77777777" w:rsidTr="00CF167F">
        <w:trPr>
          <w:cnfStyle w:val="000000100000" w:firstRow="0" w:lastRow="0" w:firstColumn="0" w:lastColumn="0" w:oddVBand="0" w:evenVBand="0" w:oddHBand="1" w:evenHBand="0" w:firstRowFirstColumn="0" w:firstRowLastColumn="0" w:lastRowFirstColumn="0" w:lastRowLastColumn="0"/>
          <w:trHeight w:hRule="exact" w:val="299"/>
        </w:trPr>
        <w:tc>
          <w:tcPr>
            <w:cnfStyle w:val="000010000000" w:firstRow="0" w:lastRow="0" w:firstColumn="0" w:lastColumn="0" w:oddVBand="1" w:evenVBand="0" w:oddHBand="0" w:evenHBand="0" w:firstRowFirstColumn="0" w:firstRowLastColumn="0" w:lastRowFirstColumn="0" w:lastRowLastColumn="0"/>
            <w:tcW w:w="5632" w:type="dxa"/>
          </w:tcPr>
          <w:p w14:paraId="0ACFCD81" w14:textId="77777777" w:rsidR="00375147" w:rsidRPr="00D60262" w:rsidRDefault="00375147" w:rsidP="00B97CF4">
            <w:pPr>
              <w:widowControl w:val="0"/>
              <w:jc w:val="left"/>
              <w:rPr>
                <w:sz w:val="24"/>
                <w:szCs w:val="24"/>
              </w:rPr>
            </w:pPr>
            <w:r w:rsidRPr="00D60262">
              <w:rPr>
                <w:sz w:val="24"/>
                <w:szCs w:val="24"/>
              </w:rPr>
              <w:t>Anticipated Agreement Start Date</w:t>
            </w:r>
          </w:p>
        </w:tc>
        <w:tc>
          <w:tcPr>
            <w:tcW w:w="2463" w:type="dxa"/>
          </w:tcPr>
          <w:p w14:paraId="610B75A6" w14:textId="3C2FA7A5" w:rsidR="00375147" w:rsidRPr="00D60262" w:rsidRDefault="00375147" w:rsidP="00B97CF4">
            <w:pPr>
              <w:keepNext/>
              <w:keepLines/>
              <w:widowControl w:val="0"/>
              <w:jc w:val="left"/>
              <w:cnfStyle w:val="000000100000" w:firstRow="0" w:lastRow="0" w:firstColumn="0" w:lastColumn="0" w:oddVBand="0" w:evenVBand="0" w:oddHBand="1" w:evenHBand="0" w:firstRowFirstColumn="0" w:firstRowLastColumn="0" w:lastRowFirstColumn="0" w:lastRowLastColumn="0"/>
              <w:rPr>
                <w:sz w:val="24"/>
                <w:szCs w:val="24"/>
              </w:rPr>
            </w:pPr>
            <w:r w:rsidRPr="00D60262">
              <w:rPr>
                <w:sz w:val="24"/>
                <w:szCs w:val="24"/>
              </w:rPr>
              <w:t>June, 2027</w:t>
            </w:r>
          </w:p>
        </w:tc>
        <w:tc>
          <w:tcPr>
            <w:cnfStyle w:val="000010000000" w:firstRow="0" w:lastRow="0" w:firstColumn="0" w:lastColumn="0" w:oddVBand="1" w:evenVBand="0" w:oddHBand="0" w:evenHBand="0" w:firstRowFirstColumn="0" w:firstRowLastColumn="0" w:lastRowFirstColumn="0" w:lastRowLastColumn="0"/>
            <w:tcW w:w="1204" w:type="dxa"/>
          </w:tcPr>
          <w:p w14:paraId="0FAD4C75" w14:textId="77777777" w:rsidR="00375147" w:rsidRPr="00D60262" w:rsidRDefault="00375147" w:rsidP="00B97CF4">
            <w:pPr>
              <w:keepNext/>
              <w:keepLines/>
              <w:widowControl w:val="0"/>
              <w:jc w:val="left"/>
              <w:rPr>
                <w:sz w:val="24"/>
                <w:szCs w:val="24"/>
              </w:rPr>
            </w:pPr>
          </w:p>
        </w:tc>
      </w:tr>
      <w:tr w:rsidR="00375147" w:rsidRPr="00D60262" w14:paraId="049741CD" w14:textId="77777777" w:rsidTr="00CF167F">
        <w:trPr>
          <w:trHeight w:hRule="exact" w:val="375"/>
        </w:trPr>
        <w:tc>
          <w:tcPr>
            <w:cnfStyle w:val="000010000000" w:firstRow="0" w:lastRow="0" w:firstColumn="0" w:lastColumn="0" w:oddVBand="1" w:evenVBand="0" w:oddHBand="0" w:evenHBand="0" w:firstRowFirstColumn="0" w:firstRowLastColumn="0" w:lastRowFirstColumn="0" w:lastRowLastColumn="0"/>
            <w:tcW w:w="5632" w:type="dxa"/>
          </w:tcPr>
          <w:p w14:paraId="64A6DAAA" w14:textId="77777777" w:rsidR="00375147" w:rsidRPr="00D60262" w:rsidRDefault="00375147" w:rsidP="00B97CF4">
            <w:pPr>
              <w:widowControl w:val="0"/>
              <w:jc w:val="left"/>
              <w:rPr>
                <w:sz w:val="24"/>
                <w:szCs w:val="24"/>
              </w:rPr>
            </w:pPr>
            <w:r w:rsidRPr="00D60262">
              <w:rPr>
                <w:sz w:val="24"/>
                <w:szCs w:val="24"/>
              </w:rPr>
              <w:t xml:space="preserve">Anticipated Agreement End Date </w:t>
            </w:r>
          </w:p>
        </w:tc>
        <w:tc>
          <w:tcPr>
            <w:tcW w:w="2463" w:type="dxa"/>
          </w:tcPr>
          <w:p w14:paraId="701FAA29" w14:textId="119DCFC2" w:rsidR="00375147" w:rsidRPr="00D60262" w:rsidRDefault="00375147" w:rsidP="00B97CF4">
            <w:pPr>
              <w:keepNext/>
              <w:keepLines/>
              <w:widowControl w:val="0"/>
              <w:jc w:val="left"/>
              <w:cnfStyle w:val="000000000000" w:firstRow="0" w:lastRow="0" w:firstColumn="0" w:lastColumn="0" w:oddVBand="0" w:evenVBand="0" w:oddHBand="0" w:evenHBand="0" w:firstRowFirstColumn="0" w:firstRowLastColumn="0" w:lastRowFirstColumn="0" w:lastRowLastColumn="0"/>
              <w:rPr>
                <w:sz w:val="24"/>
                <w:szCs w:val="24"/>
              </w:rPr>
            </w:pPr>
            <w:r w:rsidRPr="00D60262">
              <w:rPr>
                <w:sz w:val="24"/>
                <w:szCs w:val="24"/>
              </w:rPr>
              <w:t>March 31, 2031</w:t>
            </w:r>
          </w:p>
        </w:tc>
        <w:tc>
          <w:tcPr>
            <w:cnfStyle w:val="000010000000" w:firstRow="0" w:lastRow="0" w:firstColumn="0" w:lastColumn="0" w:oddVBand="1" w:evenVBand="0" w:oddHBand="0" w:evenHBand="0" w:firstRowFirstColumn="0" w:firstRowLastColumn="0" w:lastRowFirstColumn="0" w:lastRowLastColumn="0"/>
            <w:tcW w:w="1204" w:type="dxa"/>
          </w:tcPr>
          <w:p w14:paraId="09CFD126" w14:textId="77777777" w:rsidR="00375147" w:rsidRPr="00D60262" w:rsidRDefault="00375147" w:rsidP="00B97CF4">
            <w:pPr>
              <w:keepNext/>
              <w:keepLines/>
              <w:widowControl w:val="0"/>
              <w:jc w:val="left"/>
              <w:rPr>
                <w:sz w:val="24"/>
                <w:szCs w:val="24"/>
              </w:rPr>
            </w:pPr>
          </w:p>
        </w:tc>
      </w:tr>
    </w:tbl>
    <w:p w14:paraId="39C40248" w14:textId="77777777" w:rsidR="00665B8E" w:rsidRPr="00756BAC" w:rsidRDefault="00665B8E" w:rsidP="00B97CF4">
      <w:pPr>
        <w:pStyle w:val="Heading3"/>
        <w:jc w:val="left"/>
      </w:pPr>
      <w:bookmarkStart w:id="47" w:name="_Toc458602326"/>
      <w:bookmarkStart w:id="48" w:name="_Toc233727884"/>
      <w:r w:rsidRPr="00756BAC">
        <w:t>Notice of Pre-Application Workshop</w:t>
      </w:r>
      <w:bookmarkEnd w:id="47"/>
      <w:bookmarkEnd w:id="48"/>
    </w:p>
    <w:p w14:paraId="2F984F76" w14:textId="5BE8F562" w:rsidR="00665B8E" w:rsidRPr="003F6147" w:rsidRDefault="00665B8E" w:rsidP="00B97CF4">
      <w:pPr>
        <w:pStyle w:val="BodyText"/>
        <w:jc w:val="left"/>
      </w:pPr>
      <w:r>
        <w:t xml:space="preserve">CEC staff will hold one Pre-Application Workshop to discuss this solicitation with potential applicants. Participation is optional but encouraged. The Pre-Application Workshop will be held remotely. Applicants may attend the workshop via the internet (Zoom, see instructions below), or via conference call on the date and at the time and location listed below. Please refer to the </w:t>
      </w:r>
      <w:hyperlink r:id="rId22" w:history="1">
        <w:r w:rsidRPr="00263920">
          <w:rPr>
            <w:rStyle w:val="Hyperlink"/>
            <w:rFonts w:cs="Arial"/>
          </w:rPr>
          <w:t>CEC's website</w:t>
        </w:r>
      </w:hyperlink>
      <w:r>
        <w:t xml:space="preserve"> at www.energy.ca.gov/contracts/index.html to confirm the date and time. </w:t>
      </w:r>
      <w:r w:rsidRPr="00C81AA2">
        <w:t>Please be aware that the meeting will be recorded.</w:t>
      </w:r>
    </w:p>
    <w:p w14:paraId="3CC05E4D" w14:textId="10155505" w:rsidR="00665B8E" w:rsidRPr="006A13B7" w:rsidRDefault="00665B8E" w:rsidP="009C6725">
      <w:pPr>
        <w:pStyle w:val="BodyText"/>
        <w:spacing w:before="240"/>
        <w:jc w:val="center"/>
      </w:pPr>
      <w:r w:rsidRPr="00596AFC">
        <w:rPr>
          <w:b/>
          <w:bCs/>
        </w:rPr>
        <w:t xml:space="preserve">Date and time: </w:t>
      </w:r>
      <w:r w:rsidR="00CF167F" w:rsidRPr="006A13B7">
        <w:t xml:space="preserve">September </w:t>
      </w:r>
      <w:r w:rsidR="000514B0">
        <w:t>10</w:t>
      </w:r>
      <w:r w:rsidR="00CF167F" w:rsidRPr="006A13B7">
        <w:t>, 2026</w:t>
      </w:r>
      <w:r w:rsidR="006A13B7">
        <w:t>,</w:t>
      </w:r>
      <w:r w:rsidR="00CF167F" w:rsidRPr="006A13B7">
        <w:t xml:space="preserve"> </w:t>
      </w:r>
      <w:r w:rsidR="006A13B7" w:rsidRPr="006A13B7">
        <w:t>10</w:t>
      </w:r>
      <w:r w:rsidR="0088346E">
        <w:t>:00 a.m.</w:t>
      </w:r>
    </w:p>
    <w:p w14:paraId="6B077AC2" w14:textId="0921B3DC" w:rsidR="00665B8E" w:rsidRPr="00596AFC" w:rsidRDefault="00665B8E" w:rsidP="009C6725">
      <w:pPr>
        <w:pStyle w:val="BodyText"/>
        <w:spacing w:before="240"/>
        <w:jc w:val="left"/>
        <w:rPr>
          <w:b/>
          <w:bCs/>
        </w:rPr>
      </w:pPr>
      <w:r w:rsidRPr="00596AFC">
        <w:rPr>
          <w:b/>
          <w:bCs/>
        </w:rPr>
        <w:t>Zoom Instructions:</w:t>
      </w:r>
    </w:p>
    <w:p w14:paraId="18FD5672" w14:textId="77777777" w:rsidR="00665B8E" w:rsidRPr="005F101E" w:rsidRDefault="00665B8E" w:rsidP="00B97CF4">
      <w:pPr>
        <w:pStyle w:val="BodyText"/>
        <w:jc w:val="left"/>
      </w:pPr>
      <w:r w:rsidRPr="003F6147">
        <w:t xml:space="preserve">To join the </w:t>
      </w:r>
      <w:hyperlink r:id="rId23" w:history="1">
        <w:r w:rsidRPr="00C544D8">
          <w:rPr>
            <w:rStyle w:val="Hyperlink"/>
            <w:rFonts w:cs="Arial"/>
          </w:rPr>
          <w:t>Zoom meeting</w:t>
        </w:r>
      </w:hyperlink>
      <w:r w:rsidRPr="003F6147">
        <w:t xml:space="preserve">, go to </w:t>
      </w:r>
      <w:r w:rsidRPr="00C544D8">
        <w:t>https://zoom.us/join</w:t>
      </w:r>
      <w:r>
        <w:t xml:space="preserve"> </w:t>
      </w:r>
      <w:r w:rsidRPr="003F6147">
        <w:t xml:space="preserve">and enter the </w:t>
      </w:r>
      <w:r>
        <w:t>M</w:t>
      </w:r>
      <w:r w:rsidRPr="003F6147">
        <w:t xml:space="preserve">eeting </w:t>
      </w:r>
      <w:r>
        <w:t>ID</w:t>
      </w:r>
      <w:r w:rsidRPr="003F6147">
        <w:t xml:space="preserve"> below</w:t>
      </w:r>
      <w:r>
        <w:t xml:space="preserve"> and</w:t>
      </w:r>
      <w:r w:rsidRPr="00B02478">
        <w:t xml:space="preserve"> select “join from your browser.”</w:t>
      </w:r>
      <w:r>
        <w:t xml:space="preserve"> Participants will then enter the meeting password listed below and their name. Participants will select the “Join” button</w:t>
      </w:r>
      <w:r w:rsidRPr="003F6147">
        <w:t xml:space="preserve">:  </w:t>
      </w:r>
    </w:p>
    <w:p w14:paraId="49EA1188" w14:textId="77AD9451" w:rsidR="00665B8E" w:rsidRPr="003F6147" w:rsidRDefault="00665B8E" w:rsidP="00B771E1">
      <w:pPr>
        <w:spacing w:before="240" w:after="0"/>
        <w:jc w:val="center"/>
        <w:rPr>
          <w:b/>
          <w:bCs/>
          <w:color w:val="0070C0"/>
        </w:rPr>
      </w:pPr>
      <w:r w:rsidRPr="003F6147">
        <w:rPr>
          <w:b/>
        </w:rPr>
        <w:t xml:space="preserve">Meeting </w:t>
      </w:r>
      <w:r>
        <w:rPr>
          <w:b/>
        </w:rPr>
        <w:t>ID</w:t>
      </w:r>
      <w:r w:rsidRPr="003F6147">
        <w:rPr>
          <w:b/>
        </w:rPr>
        <w:t>:</w:t>
      </w:r>
      <w:r w:rsidRPr="003F6147">
        <w:t xml:space="preserve"> </w:t>
      </w:r>
      <w:hyperlink r:id="rId24" w:tooltip="Original URL: https://energy.zoom.us/j/86389088634?pwd=RnPsElF9iLlntEOjrFgvT2pHZE7VL2.1. Click or tap if you trust this link." w:history="1">
        <w:r w:rsidR="00583939">
          <w:rPr>
            <w:rStyle w:val="Hyperlink"/>
            <w:rFonts w:cs="Arial"/>
          </w:rPr>
          <w:t>Zoom Meeting Link</w:t>
        </w:r>
      </w:hyperlink>
    </w:p>
    <w:p w14:paraId="542E8ACC" w14:textId="055624AE" w:rsidR="0053648E" w:rsidRPr="0053648E" w:rsidRDefault="00665B8E" w:rsidP="00B771E1">
      <w:pPr>
        <w:spacing w:after="0"/>
        <w:jc w:val="center"/>
      </w:pPr>
      <w:r w:rsidRPr="003F6147">
        <w:rPr>
          <w:b/>
        </w:rPr>
        <w:t>Meeting Password:</w:t>
      </w:r>
      <w:r w:rsidR="0053648E">
        <w:t xml:space="preserve"> </w:t>
      </w:r>
      <w:r w:rsidR="0053648E" w:rsidRPr="0053648E">
        <w:t>313285</w:t>
      </w:r>
    </w:p>
    <w:p w14:paraId="77E951D1" w14:textId="77777777" w:rsidR="00A86CB9" w:rsidRPr="00A86CB9" w:rsidRDefault="00665B8E" w:rsidP="00B771E1">
      <w:pPr>
        <w:jc w:val="center"/>
        <w:rPr>
          <w:color w:val="0070C0"/>
        </w:rPr>
      </w:pPr>
      <w:r w:rsidRPr="003F6147">
        <w:rPr>
          <w:b/>
        </w:rPr>
        <w:t>Topic:</w:t>
      </w:r>
      <w:r w:rsidRPr="003F6147">
        <w:rPr>
          <w:color w:val="0070C0"/>
        </w:rPr>
        <w:t xml:space="preserve"> </w:t>
      </w:r>
      <w:r w:rsidR="00A86CB9" w:rsidRPr="003D0138">
        <w:t>GFO-26-501 Pre-Application Workshop</w:t>
      </w:r>
    </w:p>
    <w:p w14:paraId="7CE1213C" w14:textId="77777777" w:rsidR="00665B8E" w:rsidRPr="003F6147" w:rsidRDefault="00665B8E" w:rsidP="009147FA">
      <w:pPr>
        <w:tabs>
          <w:tab w:val="left" w:pos="1080"/>
        </w:tabs>
        <w:spacing w:before="240"/>
        <w:jc w:val="left"/>
        <w:rPr>
          <w:b/>
        </w:rPr>
      </w:pPr>
      <w:r w:rsidRPr="003F6147">
        <w:rPr>
          <w:b/>
        </w:rPr>
        <w:lastRenderedPageBreak/>
        <w:t>Telephone Access Only:</w:t>
      </w:r>
    </w:p>
    <w:p w14:paraId="63C4E2CC" w14:textId="4E9F30BB" w:rsidR="00665B8E" w:rsidRPr="00596AFC" w:rsidRDefault="00665B8E" w:rsidP="00B97CF4">
      <w:pPr>
        <w:pStyle w:val="BodyText"/>
        <w:jc w:val="left"/>
      </w:pPr>
      <w:r w:rsidRPr="00596AFC">
        <w:t xml:space="preserve">Call 1-888 475 4499 (Toll Free) or 1-877 853 5257 (Toll Free). When prompted, enter the meeting number above. </w:t>
      </w:r>
      <w:r w:rsidRPr="00596AFC">
        <w:rPr>
          <w:rStyle w:val="ListParagraphChar"/>
          <w:rFonts w:ascii="Arial" w:hAnsi="Arial" w:cs="Arial"/>
          <w:sz w:val="24"/>
        </w:rPr>
        <w:t xml:space="preserve">International callers may select a number from the </w:t>
      </w:r>
      <w:hyperlink r:id="rId25" w:history="1">
        <w:r w:rsidRPr="00596AFC">
          <w:rPr>
            <w:rStyle w:val="Hyperlink"/>
            <w:rFonts w:cs="Arial"/>
          </w:rPr>
          <w:t>Zoom International Dial-in Number List</w:t>
        </w:r>
      </w:hyperlink>
      <w:r w:rsidRPr="00596AFC">
        <w:rPr>
          <w:rStyle w:val="ListParagraphChar"/>
          <w:rFonts w:ascii="Arial" w:hAnsi="Arial" w:cs="Arial"/>
          <w:sz w:val="24"/>
        </w:rPr>
        <w:t xml:space="preserve"> at: https://energy.zoom.us/u/adjzKUXvoy. To comment, dial *9 to “raise your hand” and *6 to mute/unmute your phone line.</w:t>
      </w:r>
      <w:r w:rsidRPr="00596AFC">
        <w:t> </w:t>
      </w:r>
    </w:p>
    <w:p w14:paraId="133D8A72" w14:textId="77777777" w:rsidR="00665B8E" w:rsidRPr="005F101E" w:rsidRDefault="00665B8E" w:rsidP="00B97CF4">
      <w:pPr>
        <w:spacing w:after="0"/>
        <w:jc w:val="left"/>
        <w:textAlignment w:val="baseline"/>
        <w:rPr>
          <w:sz w:val="22"/>
          <w:szCs w:val="22"/>
        </w:rPr>
      </w:pPr>
      <w:r w:rsidRPr="00DB189C">
        <w:rPr>
          <w:sz w:val="22"/>
          <w:szCs w:val="22"/>
        </w:rPr>
        <w:t> </w:t>
      </w:r>
    </w:p>
    <w:p w14:paraId="3AF50531" w14:textId="77777777" w:rsidR="00665B8E" w:rsidRPr="00596AFC" w:rsidRDefault="00665B8E" w:rsidP="00FC1BD2">
      <w:pPr>
        <w:keepNext/>
        <w:keepLines/>
        <w:jc w:val="left"/>
        <w:rPr>
          <w:b/>
          <w:bCs/>
        </w:rPr>
      </w:pPr>
      <w:r w:rsidRPr="00596AFC">
        <w:rPr>
          <w:b/>
          <w:bCs/>
        </w:rPr>
        <w:t>Access by Mobile Device: </w:t>
      </w:r>
    </w:p>
    <w:p w14:paraId="58327D83" w14:textId="35DA68CB" w:rsidR="00665B8E" w:rsidRPr="00596AFC" w:rsidRDefault="00665B8E" w:rsidP="00FC1BD2">
      <w:pPr>
        <w:pStyle w:val="BodyText"/>
        <w:keepNext/>
        <w:keepLines/>
        <w:jc w:val="left"/>
      </w:pPr>
      <w:r w:rsidRPr="00596AFC">
        <w:t xml:space="preserve">Download the application from the </w:t>
      </w:r>
      <w:hyperlink r:id="rId26" w:history="1">
        <w:r w:rsidRPr="00596AFC">
          <w:rPr>
            <w:rStyle w:val="Hyperlink"/>
          </w:rPr>
          <w:t>Zoom Download Center</w:t>
        </w:r>
      </w:hyperlink>
      <w:r w:rsidRPr="00596AFC">
        <w:t>, https://energy.zoom.us/download.</w:t>
      </w:r>
    </w:p>
    <w:p w14:paraId="2405E93A" w14:textId="77777777" w:rsidR="00665B8E" w:rsidRPr="003F6147" w:rsidRDefault="00665B8E" w:rsidP="00FC1BD2">
      <w:pPr>
        <w:keepNext/>
        <w:keepLines/>
        <w:spacing w:after="0"/>
        <w:jc w:val="left"/>
        <w:rPr>
          <w:color w:val="0000FF"/>
        </w:rPr>
      </w:pPr>
    </w:p>
    <w:p w14:paraId="11D1195C" w14:textId="77777777" w:rsidR="00665B8E" w:rsidRPr="003F6147" w:rsidRDefault="00665B8E" w:rsidP="00B97CF4">
      <w:pPr>
        <w:tabs>
          <w:tab w:val="left" w:pos="1080"/>
        </w:tabs>
        <w:jc w:val="left"/>
        <w:rPr>
          <w:b/>
        </w:rPr>
      </w:pPr>
      <w:r w:rsidRPr="003F6147">
        <w:rPr>
          <w:b/>
        </w:rPr>
        <w:t>Technical Support</w:t>
      </w:r>
      <w:r w:rsidRPr="00B9651C">
        <w:t xml:space="preserve"> </w:t>
      </w:r>
      <w:r w:rsidRPr="00B9651C">
        <w:rPr>
          <w:b/>
        </w:rPr>
        <w:t>for Pre-Application Workshop</w:t>
      </w:r>
      <w:r w:rsidRPr="003F6147">
        <w:rPr>
          <w:b/>
        </w:rPr>
        <w:t>:</w:t>
      </w:r>
    </w:p>
    <w:p w14:paraId="667EAEB9" w14:textId="6DAE5D2B" w:rsidR="00665B8E" w:rsidRPr="00420E06" w:rsidRDefault="00665B8E" w:rsidP="00B97CF4">
      <w:pPr>
        <w:pStyle w:val="ListBullet3"/>
        <w:jc w:val="left"/>
      </w:pPr>
      <w:r w:rsidRPr="003F6147">
        <w:t xml:space="preserve">For assistance with problems or questions about joining or attending the meeting, please call </w:t>
      </w:r>
      <w:r>
        <w:t>Zoom</w:t>
      </w:r>
      <w:r w:rsidRPr="003F6147">
        <w:t xml:space="preserve"> Technical Support at </w:t>
      </w:r>
      <w:r w:rsidRPr="00420E06">
        <w:rPr>
          <w:b/>
        </w:rPr>
        <w:t>1-888-799-9666 ext. 2.</w:t>
      </w:r>
      <w:r w:rsidRPr="003F6147">
        <w:t xml:space="preserve"> You may also contact </w:t>
      </w:r>
      <w:r w:rsidRPr="00A8009F">
        <w:t xml:space="preserve">the </w:t>
      </w:r>
      <w:hyperlink r:id="rId27" w:history="1">
        <w:r w:rsidRPr="00420E06">
          <w:rPr>
            <w:rStyle w:val="Hyperlink"/>
            <w:rFonts w:cs="Arial"/>
          </w:rPr>
          <w:t>CEC’s Public Advisor’s Office</w:t>
        </w:r>
      </w:hyperlink>
      <w:r w:rsidRPr="00A8009F">
        <w:t xml:space="preserve"> at publicadvisor@energy.ca.gov, or </w:t>
      </w:r>
      <w:r w:rsidRPr="0039669B">
        <w:t>(916) 957-7910</w:t>
      </w:r>
      <w:r w:rsidRPr="003F6147">
        <w:t>.</w:t>
      </w:r>
    </w:p>
    <w:p w14:paraId="2501E61F" w14:textId="77777777" w:rsidR="00665B8E" w:rsidRPr="003F6147" w:rsidRDefault="00665B8E" w:rsidP="00B97CF4">
      <w:pPr>
        <w:pStyle w:val="ListBullet3"/>
        <w:jc w:val="left"/>
        <w:rPr>
          <w:b/>
          <w:u w:val="single"/>
        </w:rPr>
      </w:pPr>
      <w:r w:rsidRPr="003F6147">
        <w:t xml:space="preserve">System Requirements: To determine whether your </w:t>
      </w:r>
      <w:hyperlink r:id="rId28" w:history="1">
        <w:r w:rsidRPr="00837FFE">
          <w:rPr>
            <w:rStyle w:val="Hyperlink"/>
            <w:rFonts w:cs="Arial"/>
          </w:rPr>
          <w:t>computer is compatible</w:t>
        </w:r>
      </w:hyperlink>
      <w:r w:rsidRPr="003F6147">
        <w:t>, visit:</w:t>
      </w:r>
    </w:p>
    <w:p w14:paraId="54E5F0DA" w14:textId="69CD1471" w:rsidR="00665B8E" w:rsidRPr="00420E06" w:rsidRDefault="00665B8E" w:rsidP="00B97CF4">
      <w:pPr>
        <w:pStyle w:val="ListBullet3"/>
        <w:jc w:val="left"/>
      </w:pPr>
      <w:r w:rsidRPr="002275CB">
        <w:t>https://support.zoom.us/hc/en-us/articles/201362023-System-requirements-for-Windows-macOS-and-Linux</w:t>
      </w:r>
      <w:r w:rsidRPr="005B073B">
        <w:t>.</w:t>
      </w:r>
    </w:p>
    <w:p w14:paraId="1455C0E0" w14:textId="77777777" w:rsidR="00665B8E" w:rsidRPr="00B703F3" w:rsidRDefault="00665B8E" w:rsidP="00B97CF4">
      <w:pPr>
        <w:pStyle w:val="ListBullet3"/>
        <w:jc w:val="left"/>
        <w:rPr>
          <w:b/>
          <w:u w:val="single"/>
        </w:rPr>
      </w:pPr>
      <w:r w:rsidRPr="003F6147">
        <w:t xml:space="preserve">If you </w:t>
      </w:r>
      <w:r w:rsidRPr="001D3907">
        <w:t>need a reasonable accommodation</w:t>
      </w:r>
      <w:r w:rsidRPr="003F6147">
        <w:t xml:space="preserve"> to participate, please Erica Rodriguez</w:t>
      </w:r>
      <w:r w:rsidRPr="003F6147" w:rsidDel="00205C49">
        <w:t xml:space="preserve"> </w:t>
      </w:r>
      <w:r w:rsidRPr="003F6147">
        <w:t xml:space="preserve">by e-mail at Erica.Rodriguez@energy.ca.gov or (916) </w:t>
      </w:r>
      <w:r>
        <w:t>764</w:t>
      </w:r>
      <w:r w:rsidRPr="003F6147">
        <w:t>-</w:t>
      </w:r>
      <w:r>
        <w:t>5705</w:t>
      </w:r>
      <w:r w:rsidRPr="003F6147">
        <w:t xml:space="preserve"> at least five days in advance. </w:t>
      </w:r>
    </w:p>
    <w:p w14:paraId="38D51782" w14:textId="77777777" w:rsidR="00665B8E" w:rsidRPr="00756BAC" w:rsidRDefault="00665B8E" w:rsidP="00B97CF4">
      <w:pPr>
        <w:pStyle w:val="Heading3"/>
        <w:jc w:val="left"/>
      </w:pPr>
      <w:bookmarkStart w:id="49" w:name="_Toc458602327"/>
      <w:bookmarkStart w:id="50" w:name="_Toc233727885"/>
      <w:bookmarkStart w:id="51" w:name="_Toc336443625"/>
      <w:bookmarkStart w:id="52" w:name="_Toc366671181"/>
      <w:bookmarkStart w:id="53" w:name="_Toc219275088"/>
      <w:r w:rsidRPr="00756BAC">
        <w:t>Questions</w:t>
      </w:r>
      <w:bookmarkEnd w:id="49"/>
      <w:bookmarkEnd w:id="50"/>
    </w:p>
    <w:p w14:paraId="61F3B0AA" w14:textId="053FAC4F" w:rsidR="00665B8E" w:rsidRDefault="00665B8E" w:rsidP="00B97CF4">
      <w:pPr>
        <w:pStyle w:val="BodyText"/>
        <w:jc w:val="left"/>
      </w:pPr>
      <w:r w:rsidRPr="003F6147">
        <w:t xml:space="preserve">During the solicitation process, </w:t>
      </w:r>
      <w:r>
        <w:t xml:space="preserve">for questions only related to submission of application in the new ECAMS system, </w:t>
      </w:r>
      <w:hyperlink r:id="rId29" w:history="1">
        <w:r w:rsidRPr="001C4521">
          <w:rPr>
            <w:rStyle w:val="Hyperlink"/>
            <w:rFonts w:cs="Arial"/>
          </w:rPr>
          <w:t>please contact</w:t>
        </w:r>
      </w:hyperlink>
      <w:r>
        <w:t xml:space="preserve"> </w:t>
      </w:r>
      <w:r w:rsidRPr="00837FFE">
        <w:t>ECAMS.SalesforceSupport@energy.ca.gov</w:t>
      </w:r>
      <w:r>
        <w:t>. Through that email address applicants will be able to access a team of technical assistants who can answer questions about application submission. Please also see Section III.B for additional information about the ECAMS system.</w:t>
      </w:r>
    </w:p>
    <w:p w14:paraId="5CCD4CD0" w14:textId="77777777" w:rsidR="00665B8E" w:rsidRPr="003F6147" w:rsidRDefault="00665B8E" w:rsidP="00B97CF4">
      <w:pPr>
        <w:pStyle w:val="BodyText"/>
        <w:jc w:val="left"/>
      </w:pPr>
      <w:r>
        <w:t xml:space="preserve">For all other questions, including all technical and administrative </w:t>
      </w:r>
      <w:r w:rsidRPr="003F6147">
        <w:t xml:space="preserve">questions </w:t>
      </w:r>
      <w:r>
        <w:t xml:space="preserve">that are not related to submission of applications in the ECAMS system, please contact </w:t>
      </w:r>
      <w:r w:rsidRPr="003F6147">
        <w:t>the Commission Agreement Officer listed below:</w:t>
      </w:r>
    </w:p>
    <w:p w14:paraId="4B08A659" w14:textId="72230DF3" w:rsidR="00665B8E" w:rsidRPr="003F6147" w:rsidRDefault="00792121" w:rsidP="008133B7">
      <w:pPr>
        <w:keepNext/>
        <w:contextualSpacing/>
        <w:jc w:val="center"/>
      </w:pPr>
      <w:r w:rsidRPr="00B025B8">
        <w:t>Chester Hong</w:t>
      </w:r>
      <w:r w:rsidR="00665B8E" w:rsidRPr="00B025B8">
        <w:t>, C</w:t>
      </w:r>
      <w:r w:rsidR="00665B8E" w:rsidRPr="003F6147">
        <w:t>ommission Agreement Officer</w:t>
      </w:r>
    </w:p>
    <w:p w14:paraId="25E2758E" w14:textId="77777777" w:rsidR="00665B8E" w:rsidRPr="003F6147" w:rsidRDefault="00665B8E" w:rsidP="008133B7">
      <w:pPr>
        <w:contextualSpacing/>
        <w:jc w:val="center"/>
      </w:pPr>
      <w:r w:rsidRPr="003F6147">
        <w:t>California Energy Commission</w:t>
      </w:r>
    </w:p>
    <w:p w14:paraId="7BC49E86" w14:textId="77777777" w:rsidR="00665B8E" w:rsidRPr="003F6147" w:rsidRDefault="00665B8E" w:rsidP="008133B7">
      <w:pPr>
        <w:contextualSpacing/>
        <w:jc w:val="center"/>
      </w:pPr>
      <w:r w:rsidRPr="00B06231">
        <w:t>715 P</w:t>
      </w:r>
      <w:r w:rsidRPr="003F6147">
        <w:t>, MS-1</w:t>
      </w:r>
    </w:p>
    <w:p w14:paraId="410287FF" w14:textId="20B8C578" w:rsidR="00665B8E" w:rsidRPr="003F6147" w:rsidRDefault="00665B8E" w:rsidP="008133B7">
      <w:pPr>
        <w:contextualSpacing/>
        <w:jc w:val="center"/>
      </w:pPr>
      <w:r w:rsidRPr="003F6147">
        <w:t>Sacramento, California</w:t>
      </w:r>
      <w:r>
        <w:t>,</w:t>
      </w:r>
      <w:r w:rsidRPr="003F6147">
        <w:t xml:space="preserve"> 95814</w:t>
      </w:r>
    </w:p>
    <w:p w14:paraId="304604EE" w14:textId="3965B74B" w:rsidR="00665B8E" w:rsidRPr="003F6147" w:rsidRDefault="00665B8E" w:rsidP="008133B7">
      <w:pPr>
        <w:spacing w:after="0"/>
        <w:contextualSpacing/>
        <w:jc w:val="center"/>
      </w:pPr>
      <w:r w:rsidRPr="003F6147">
        <w:t xml:space="preserve">E-mail: </w:t>
      </w:r>
      <w:r w:rsidR="00DB52BB">
        <w:t>Chester.Hong</w:t>
      </w:r>
      <w:r w:rsidRPr="003F6147">
        <w:t>@energy.ca.gov</w:t>
      </w:r>
    </w:p>
    <w:p w14:paraId="0937D949" w14:textId="77777777" w:rsidR="00665B8E" w:rsidRPr="003F6147" w:rsidRDefault="00665B8E" w:rsidP="00B97CF4">
      <w:pPr>
        <w:spacing w:after="0"/>
        <w:jc w:val="left"/>
      </w:pPr>
    </w:p>
    <w:p w14:paraId="3E976930" w14:textId="63297A47" w:rsidR="00665B8E" w:rsidRPr="003F6147" w:rsidRDefault="00665B8E" w:rsidP="00B97CF4">
      <w:pPr>
        <w:pStyle w:val="BodyText"/>
        <w:jc w:val="left"/>
      </w:pPr>
      <w:r w:rsidRPr="003F6147">
        <w:t xml:space="preserve">Applicants may ask questions at the Pre-Application Workshop, and may submit written questions via </w:t>
      </w:r>
      <w:r>
        <w:t>e</w:t>
      </w:r>
      <w:r w:rsidRPr="003F6147">
        <w:t xml:space="preserve">mail. However, all </w:t>
      </w:r>
      <w:r w:rsidRPr="003F6147">
        <w:rPr>
          <w:b/>
        </w:rPr>
        <w:t>technical</w:t>
      </w:r>
      <w:r w:rsidRPr="003F6147">
        <w:t xml:space="preserve"> questions must be received by the deadline listed in the “Key Activities Schedule” above. Questions received after the deadline may be answered at the CEC's discretion. </w:t>
      </w:r>
      <w:r w:rsidRPr="003F6147">
        <w:rPr>
          <w:b/>
        </w:rPr>
        <w:t>Non-technical</w:t>
      </w:r>
      <w:r w:rsidRPr="003F6147">
        <w:t xml:space="preserve"> questions (e.g., </w:t>
      </w:r>
      <w:r>
        <w:t xml:space="preserve">administrative </w:t>
      </w:r>
      <w:r w:rsidRPr="003F6147">
        <w:lastRenderedPageBreak/>
        <w:t xml:space="preserve">questions concerning application format requirements or attachment instructions) may be submitted to the CAO at any time prior </w:t>
      </w:r>
      <w:r w:rsidRPr="00EA0DCF">
        <w:t xml:space="preserve">to 5:00 p.m. of </w:t>
      </w:r>
      <w:r w:rsidRPr="003F6147">
        <w:t>the application deadline</w:t>
      </w:r>
      <w:r>
        <w:t xml:space="preserve"> date</w:t>
      </w:r>
      <w:r w:rsidRPr="003F6147">
        <w:t xml:space="preserve">. </w:t>
      </w:r>
      <w:r w:rsidRPr="00B1698E">
        <w:t xml:space="preserve">Similarly, questions related to submission of applications in the ECAMS system may be </w:t>
      </w:r>
      <w:hyperlink r:id="rId30" w:history="1">
        <w:r w:rsidRPr="00791F57">
          <w:rPr>
            <w:rStyle w:val="Hyperlink"/>
            <w:rFonts w:cs="Arial"/>
          </w:rPr>
          <w:t>submitted to</w:t>
        </w:r>
      </w:hyperlink>
      <w:r w:rsidRPr="00B1698E">
        <w:t xml:space="preserve"> ECAMS.SalesforceSupport@energy.ca.gov at any time prior to 5:00 p.m</w:t>
      </w:r>
      <w:r>
        <w:t>.</w:t>
      </w:r>
      <w:r w:rsidRPr="00B1698E">
        <w:t xml:space="preserve"> of the application deadline date.</w:t>
      </w:r>
    </w:p>
    <w:p w14:paraId="51AB1B98" w14:textId="3E389633" w:rsidR="00665B8E" w:rsidRPr="003F6147" w:rsidRDefault="00665B8E" w:rsidP="00B97CF4">
      <w:pPr>
        <w:pStyle w:val="BodyText"/>
        <w:jc w:val="left"/>
      </w:pPr>
      <w:r w:rsidRPr="003F6147">
        <w:t xml:space="preserve">The questions and answers will also be posted on the </w:t>
      </w:r>
      <w:hyperlink r:id="rId31" w:history="1">
        <w:r w:rsidRPr="00837FFE">
          <w:rPr>
            <w:rStyle w:val="Hyperlink"/>
            <w:rFonts w:cs="Arial"/>
          </w:rPr>
          <w:t>CEC’s website</w:t>
        </w:r>
      </w:hyperlink>
      <w:r w:rsidRPr="003F6147">
        <w:t xml:space="preserve"> at: </w:t>
      </w:r>
      <w:r w:rsidRPr="005B073B">
        <w:t>https://www.energy.ca.gov/funding-opportunities/solicitations</w:t>
      </w:r>
      <w:r w:rsidR="00E737DC">
        <w:t>.</w:t>
      </w:r>
    </w:p>
    <w:p w14:paraId="2C4E8929" w14:textId="4EEF4E96" w:rsidR="00665B8E" w:rsidRPr="003F6147" w:rsidRDefault="00665B8E" w:rsidP="00B97CF4">
      <w:pPr>
        <w:pStyle w:val="BodyText"/>
        <w:jc w:val="left"/>
      </w:pPr>
      <w:r w:rsidRPr="003F6147">
        <w:t xml:space="preserve">If an applicant discovers a </w:t>
      </w:r>
      <w:r w:rsidRPr="003F6147">
        <w:rPr>
          <w:b/>
        </w:rPr>
        <w:t>conflict, discrepancy, omission, or other error</w:t>
      </w:r>
      <w:r w:rsidRPr="003F6147">
        <w:t xml:space="preserve"> in the solicitation at any time prior </w:t>
      </w:r>
      <w:r w:rsidRPr="000C0561">
        <w:t xml:space="preserve">5:00 p.m. of </w:t>
      </w:r>
      <w:r w:rsidRPr="003F6147">
        <w:t>the application deadline</w:t>
      </w:r>
      <w:r>
        <w:t xml:space="preserve"> date</w:t>
      </w:r>
      <w:r w:rsidRPr="003F6147">
        <w:t>, the applicant may notify the C</w:t>
      </w:r>
      <w:r>
        <w:t>AO</w:t>
      </w:r>
      <w:r w:rsidRPr="003F6147">
        <w:t xml:space="preserve"> in writing and request modification or clarification of the solicitation. The CEC, at its discretion will provide modifications or clarifications by either an addendum to the solicitation or by written notice to all entities that requested the solicitation. At its discretion, the CEC may, in addition to any other actions it may choose, re-open the question/answer period to provide all applicants the opportunity to seek any further clarification required.  </w:t>
      </w:r>
    </w:p>
    <w:p w14:paraId="3C7B2D06" w14:textId="38A83DCE" w:rsidR="00665B8E" w:rsidRPr="00420E06" w:rsidRDefault="00665B8E" w:rsidP="00B97CF4">
      <w:pPr>
        <w:pStyle w:val="BodyText"/>
        <w:jc w:val="left"/>
        <w:rPr>
          <w:b/>
          <w:bCs/>
        </w:rPr>
      </w:pPr>
      <w:r w:rsidRPr="00420E06">
        <w:rPr>
          <w:b/>
          <w:bCs/>
        </w:rPr>
        <w:t>Any verbal communication with a CEC employee or anyone else concerning this solicitation is not binding on the State and will in no way alter a specification, term, or condition of the solicitation. Therefore, all communication should be directed in writing to the assigned CAO.</w:t>
      </w:r>
    </w:p>
    <w:p w14:paraId="5C7B17D2" w14:textId="77777777" w:rsidR="00665B8E" w:rsidRPr="00BA3BBD" w:rsidRDefault="00665B8E" w:rsidP="00B97CF4">
      <w:pPr>
        <w:pStyle w:val="Heading3"/>
        <w:jc w:val="left"/>
      </w:pPr>
      <w:bookmarkStart w:id="54" w:name="_Toc522777845"/>
      <w:bookmarkStart w:id="55" w:name="_Toc26361578"/>
      <w:bookmarkStart w:id="56" w:name="_Toc233727886"/>
      <w:r w:rsidRPr="002D46F7">
        <w:t>Applicants’ Admonishment</w:t>
      </w:r>
      <w:bookmarkEnd w:id="54"/>
      <w:bookmarkEnd w:id="55"/>
      <w:bookmarkEnd w:id="56"/>
    </w:p>
    <w:p w14:paraId="794DA88E" w14:textId="401E32D9" w:rsidR="00665B8E" w:rsidRPr="00505E89" w:rsidRDefault="00665B8E" w:rsidP="00B97CF4">
      <w:pPr>
        <w:pStyle w:val="BodyText"/>
        <w:jc w:val="left"/>
      </w:pPr>
      <w:r w:rsidRPr="00BA3BBD">
        <w:t xml:space="preserve">This solicitation contains application requirements and instructions. Applicants are responsible for </w:t>
      </w:r>
      <w:r w:rsidRPr="00BA3BBD">
        <w:rPr>
          <w:b/>
        </w:rPr>
        <w:t>carefully reading</w:t>
      </w:r>
      <w:r w:rsidRPr="00BA3BBD">
        <w:t xml:space="preserve"> the </w:t>
      </w:r>
      <w:r>
        <w:t xml:space="preserve">entire </w:t>
      </w:r>
      <w:r w:rsidRPr="00BA3BBD">
        <w:t xml:space="preserve">solicitation, asking appropriate questions in a timely manner, ensuring that all solicitation requirements are met, submitting all required responses in a complete manner by the required date and time, and </w:t>
      </w:r>
      <w:r w:rsidRPr="00BA3BBD">
        <w:rPr>
          <w:b/>
        </w:rPr>
        <w:t>carefully rereading</w:t>
      </w:r>
      <w:r w:rsidRPr="00BA3BBD">
        <w:t xml:space="preserve"> the solicitation before submitting an application</w:t>
      </w:r>
      <w:r w:rsidRPr="00505E89">
        <w:t xml:space="preserve">. In particular, please carefully read the </w:t>
      </w:r>
      <w:r w:rsidRPr="00505E89">
        <w:rPr>
          <w:b/>
        </w:rPr>
        <w:t>Screening</w:t>
      </w:r>
      <w:r>
        <w:rPr>
          <w:b/>
        </w:rPr>
        <w:t xml:space="preserve"> and </w:t>
      </w:r>
      <w:r w:rsidRPr="00505E89">
        <w:rPr>
          <w:b/>
        </w:rPr>
        <w:t>Scoring Criteria and</w:t>
      </w:r>
      <w:r w:rsidRPr="00505E89">
        <w:t xml:space="preserve"> </w:t>
      </w:r>
      <w:r w:rsidRPr="00505E89">
        <w:rPr>
          <w:b/>
        </w:rPr>
        <w:t xml:space="preserve">Grounds </w:t>
      </w:r>
      <w:r>
        <w:rPr>
          <w:b/>
        </w:rPr>
        <w:t>to</w:t>
      </w:r>
      <w:r w:rsidRPr="00505E89">
        <w:rPr>
          <w:b/>
        </w:rPr>
        <w:t xml:space="preserve"> Reject</w:t>
      </w:r>
      <w:r>
        <w:rPr>
          <w:b/>
        </w:rPr>
        <w:t xml:space="preserve"> an Application or Cancel an Award</w:t>
      </w:r>
      <w:r w:rsidRPr="00505E89">
        <w:rPr>
          <w:b/>
        </w:rPr>
        <w:t xml:space="preserve"> </w:t>
      </w:r>
      <w:r w:rsidRPr="00505E89">
        <w:t xml:space="preserve">in Part IV, and the relevant </w:t>
      </w:r>
      <w:hyperlink r:id="rId32" w:history="1">
        <w:r w:rsidRPr="00A537D3">
          <w:rPr>
            <w:rStyle w:val="Hyperlink"/>
            <w:rFonts w:cs="Arial"/>
          </w:rPr>
          <w:t>EPIC Grant terms and conditions</w:t>
        </w:r>
      </w:hyperlink>
      <w:r w:rsidRPr="00505E89">
        <w:t xml:space="preserve"> located at: </w:t>
      </w:r>
      <w:r w:rsidRPr="00A81582">
        <w:t>https://www.energy.ca.gov/funding-opportunities/funding-resources</w:t>
      </w:r>
      <w:r w:rsidRPr="00505E89">
        <w:t xml:space="preserve">.  </w:t>
      </w:r>
    </w:p>
    <w:p w14:paraId="3348448D" w14:textId="7FECA698" w:rsidR="00665B8E" w:rsidRPr="00505E89" w:rsidRDefault="00665B8E" w:rsidP="00B97CF4">
      <w:pPr>
        <w:pStyle w:val="BodyText"/>
        <w:jc w:val="left"/>
      </w:pPr>
      <w:bookmarkStart w:id="57" w:name="_Toc433981277"/>
      <w:bookmarkStart w:id="58" w:name="_Toc395180625"/>
      <w:bookmarkStart w:id="59" w:name="_Toc382571127"/>
      <w:bookmarkStart w:id="60" w:name="_Toc381079868"/>
      <w:r w:rsidRPr="00505E89">
        <w:t xml:space="preserve">Applicants are solely responsible for the cost of developing applications. This cost cannot be charged to the State. </w:t>
      </w:r>
      <w:r w:rsidRPr="005B28C1">
        <w:rPr>
          <w:b/>
          <w:bCs/>
        </w:rPr>
        <w:t>All submitted documents will become publicly available records</w:t>
      </w:r>
      <w:r w:rsidRPr="00505E89">
        <w:t xml:space="preserve"> </w:t>
      </w:r>
      <w:r w:rsidRPr="00646EB5">
        <w:t>and property of the State after the CEC posts</w:t>
      </w:r>
      <w:r w:rsidRPr="00505E89">
        <w:t xml:space="preserve"> the Notice of Proposed Award</w:t>
      </w:r>
      <w:r w:rsidRPr="00E65B10">
        <w:t xml:space="preserve"> or the solicitation is cancelled. Only submit information you want made public. </w:t>
      </w:r>
      <w:r w:rsidRPr="00266A31">
        <w:t xml:space="preserve">Applicants shall not submit any confidential information as part of their applications. </w:t>
      </w:r>
      <w:bookmarkEnd w:id="57"/>
      <w:bookmarkEnd w:id="58"/>
      <w:bookmarkEnd w:id="59"/>
      <w:bookmarkEnd w:id="60"/>
      <w:r w:rsidRPr="00291F1A">
        <w:rPr>
          <w:b/>
          <w:bCs/>
        </w:rPr>
        <w:t>No portion of your application will be considered confidential.</w:t>
      </w:r>
    </w:p>
    <w:p w14:paraId="767A9D87" w14:textId="77777777" w:rsidR="00665B8E" w:rsidRPr="009F6FFB" w:rsidRDefault="00665B8E" w:rsidP="00B97CF4">
      <w:pPr>
        <w:pStyle w:val="Heading3"/>
        <w:jc w:val="left"/>
      </w:pPr>
      <w:bookmarkStart w:id="61" w:name="_Additional_Requirements_regarding"/>
      <w:bookmarkStart w:id="62" w:name="_Toc522777846"/>
      <w:bookmarkStart w:id="63" w:name="_Toc26361579"/>
      <w:bookmarkStart w:id="64" w:name="_Toc233727887"/>
      <w:bookmarkStart w:id="65" w:name="AddReq"/>
      <w:bookmarkEnd w:id="61"/>
      <w:r>
        <w:t>A</w:t>
      </w:r>
      <w:r w:rsidRPr="009F6FFB">
        <w:t xml:space="preserve">dditional </w:t>
      </w:r>
      <w:r>
        <w:t>R</w:t>
      </w:r>
      <w:r w:rsidRPr="009F6FFB">
        <w:t>equirements</w:t>
      </w:r>
      <w:bookmarkEnd w:id="62"/>
      <w:bookmarkEnd w:id="63"/>
      <w:r>
        <w:t xml:space="preserve"> regarding environmental review</w:t>
      </w:r>
      <w:bookmarkEnd w:id="64"/>
    </w:p>
    <w:bookmarkEnd w:id="65"/>
    <w:p w14:paraId="58FA28BF" w14:textId="4E888599" w:rsidR="00665B8E" w:rsidRDefault="00665B8E" w:rsidP="00B97CF4">
      <w:pPr>
        <w:pStyle w:val="ListBullet"/>
        <w:tabs>
          <w:tab w:val="left" w:pos="720"/>
        </w:tabs>
        <w:ind w:hanging="360"/>
        <w:jc w:val="left"/>
      </w:pPr>
      <w:r w:rsidRPr="00BA3BBD">
        <w:t xml:space="preserve">Time is of the essence. </w:t>
      </w:r>
      <w:r>
        <w:t>CEC f</w:t>
      </w:r>
      <w:r w:rsidRPr="00BA3BBD">
        <w:t>unds available under this solicitation have encumbrance deadlines as early a</w:t>
      </w:r>
      <w:r w:rsidRPr="00F23931">
        <w:t xml:space="preserve">s June 30, </w:t>
      </w:r>
      <w:r w:rsidR="00F23931" w:rsidRPr="00F23931">
        <w:t>2027</w:t>
      </w:r>
      <w:r w:rsidRPr="00F23931">
        <w:t xml:space="preserve">. This means that the CEC must approve proposed awards at a business meeting (usually held monthly) prior to June 30, </w:t>
      </w:r>
      <w:r w:rsidR="00F23931" w:rsidRPr="00F23931">
        <w:t>2027</w:t>
      </w:r>
      <w:r w:rsidRPr="00F23931">
        <w:t xml:space="preserve"> in order to avoid expiration of the funds. </w:t>
      </w:r>
    </w:p>
    <w:p w14:paraId="0FFA0606" w14:textId="1D7E409E" w:rsidR="00665B8E" w:rsidRPr="00BA3BBD" w:rsidRDefault="00665B8E" w:rsidP="00B97CF4">
      <w:pPr>
        <w:pStyle w:val="ListBullet"/>
        <w:tabs>
          <w:tab w:val="left" w:pos="720"/>
        </w:tabs>
        <w:ind w:hanging="360"/>
        <w:jc w:val="left"/>
      </w:pPr>
      <w:r>
        <w:lastRenderedPageBreak/>
        <w:t xml:space="preserve">Environmental Review. </w:t>
      </w:r>
      <w:r w:rsidRPr="00BA3BBD">
        <w:t>Prior to approval and encumbrance, the CEC must comply with the California Environmental Quality Act (CEQA)</w:t>
      </w:r>
      <w:r>
        <w:t xml:space="preserve"> and other requirements</w:t>
      </w:r>
      <w:r w:rsidRPr="00BA3BBD">
        <w:t>. To comply with CEQA, the C</w:t>
      </w:r>
      <w:r>
        <w:t>EC</w:t>
      </w:r>
      <w:r w:rsidRPr="00BA3BBD">
        <w:t xml:space="preserve"> must have CEQA-related information from applicants and sometimes other entities, such as local governments, in a timely manner.  Unfortunately, even with this information, the C</w:t>
      </w:r>
      <w:r>
        <w:t>EC</w:t>
      </w:r>
      <w:r w:rsidRPr="00BA3BBD">
        <w:t xml:space="preserve"> may not be able to complete its CEQA review prior to the encumbrance deadline for every project. For example, if a project requires an Environmental Impact Report, the process to complete it can take many months. For these reasons, it is critical that applicants organize </w:t>
      </w:r>
      <w:r>
        <w:t>applications</w:t>
      </w:r>
      <w:r w:rsidRPr="00BA3BBD">
        <w:t xml:space="preserve"> in a manner that minimizes the time required for the C</w:t>
      </w:r>
      <w:r>
        <w:t>EC</w:t>
      </w:r>
      <w:r w:rsidRPr="00BA3BBD">
        <w:t xml:space="preserve"> to comply with CEQA and provide all CEQA-related information to the C</w:t>
      </w:r>
      <w:r>
        <w:t>EC</w:t>
      </w:r>
      <w:r w:rsidRPr="00BA3BBD">
        <w:t xml:space="preserve"> in a timely manner such that the C</w:t>
      </w:r>
      <w:r>
        <w:t>EC</w:t>
      </w:r>
      <w:r w:rsidRPr="00BA3BBD">
        <w:t xml:space="preserve"> is able to complete its review in time for it to meet its encumbrance deadline.</w:t>
      </w:r>
    </w:p>
    <w:p w14:paraId="05C5D778" w14:textId="77777777" w:rsidR="00665B8E" w:rsidRPr="00BA3BBD" w:rsidRDefault="00665B8E" w:rsidP="00B97CF4">
      <w:pPr>
        <w:pStyle w:val="ListBullet"/>
        <w:tabs>
          <w:tab w:val="left" w:pos="720"/>
        </w:tabs>
        <w:ind w:hanging="360"/>
        <w:jc w:val="left"/>
      </w:pPr>
      <w:r w:rsidRPr="00BA3BBD">
        <w:t>Reservation of right to cancel proposed award. In addition to any other right reserved to it under this solicitation or that it otherwise has, if the CEC determines, in its sole and absolute discretion, that the CEQA review associated with a proposed project would not likely be completed prior to the encumbrance deadline referenced above, and that the C</w:t>
      </w:r>
      <w:r>
        <w:t>EC</w:t>
      </w:r>
      <w:r w:rsidRPr="00BA3BBD">
        <w:t>’s ability to meet its encumbrance deadline may thereby be jeopardized, the CEC may cancel a proposed award and award funds to the next highest scoring applicant, regardless of the originally proposed applicant’s diligence in submitting information and materials for CEQA review. Examples of situations that may arise related to CEQA review include but are not limited to:</w:t>
      </w:r>
    </w:p>
    <w:p w14:paraId="11E7CE6B" w14:textId="77777777" w:rsidR="00665B8E" w:rsidRPr="00BA3BBD" w:rsidRDefault="00665B8E" w:rsidP="0039230A">
      <w:pPr>
        <w:pStyle w:val="ListBullet2"/>
        <w:numPr>
          <w:ilvl w:val="0"/>
          <w:numId w:val="62"/>
        </w:numPr>
        <w:jc w:val="left"/>
      </w:pPr>
      <w:r w:rsidRPr="00BA3BBD">
        <w:t>Example 1: If another state agency or local jurisdiction, such as a city or county, has taken the role of lead agency under CEQA, the CEC’s review may be delayed while waiting for a determination from the lead agency.</w:t>
      </w:r>
    </w:p>
    <w:p w14:paraId="04E69EB7" w14:textId="77777777" w:rsidR="00665B8E" w:rsidRPr="00BA3BBD" w:rsidRDefault="00665B8E" w:rsidP="0039230A">
      <w:pPr>
        <w:pStyle w:val="ListBullet2"/>
        <w:numPr>
          <w:ilvl w:val="0"/>
          <w:numId w:val="62"/>
        </w:numPr>
        <w:jc w:val="left"/>
      </w:pPr>
      <w:r w:rsidRPr="00BA3BBD">
        <w:t>Example 2: If the proposed work is part of a larger project for which a detailed environmental analysis has been or will be prepared by another state agency or local jurisdiction, the CEC’s review may be delayed as a result of waiting for a supplemental or initial analysis, respectively, from the other agency.</w:t>
      </w:r>
    </w:p>
    <w:p w14:paraId="1E637CAB" w14:textId="77777777" w:rsidR="00665B8E" w:rsidRPr="00BA3BBD" w:rsidRDefault="00665B8E" w:rsidP="0039230A">
      <w:pPr>
        <w:pStyle w:val="ListBullet2"/>
        <w:numPr>
          <w:ilvl w:val="0"/>
          <w:numId w:val="62"/>
        </w:numPr>
        <w:jc w:val="left"/>
      </w:pPr>
      <w:r w:rsidRPr="00BA3BBD">
        <w:t xml:space="preserve">Example 3: If the nature of the proposed work is such that a project is not categorically or otherwise exempt from the requirements of CEQA, and an </w:t>
      </w:r>
      <w:r>
        <w:t>I</w:t>
      </w:r>
      <w:r w:rsidRPr="00BA3BBD">
        <w:t xml:space="preserve">nitial </w:t>
      </w:r>
      <w:r>
        <w:t>S</w:t>
      </w:r>
      <w:r w:rsidRPr="00BA3BBD">
        <w:t xml:space="preserve">tudy or other detailed environmental analysis appears to be necessary, the CEC’s review, or the lead agency’s review, may take longer than the time available to encumber the funds. If an </w:t>
      </w:r>
      <w:r>
        <w:t>I</w:t>
      </w:r>
      <w:r w:rsidRPr="00BA3BBD">
        <w:t xml:space="preserve">nitial </w:t>
      </w:r>
      <w:r>
        <w:t>S</w:t>
      </w:r>
      <w:r w:rsidRPr="00BA3BBD">
        <w:t>tudy</w:t>
      </w:r>
      <w:r>
        <w:t>, Negative Declaration, Mitigated Negative Declaration,</w:t>
      </w:r>
      <w:r w:rsidRPr="00BA3BBD">
        <w:t xml:space="preserve"> </w:t>
      </w:r>
      <w:r>
        <w:t>E</w:t>
      </w:r>
      <w:r w:rsidRPr="00BA3BBD">
        <w:t xml:space="preserve">nvironmental </w:t>
      </w:r>
      <w:r>
        <w:t>I</w:t>
      </w:r>
      <w:r w:rsidRPr="00BA3BBD">
        <w:t xml:space="preserve">mpact </w:t>
      </w:r>
      <w:r>
        <w:t>R</w:t>
      </w:r>
      <w:r w:rsidRPr="00BA3BBD">
        <w:t>eport</w:t>
      </w:r>
      <w:r>
        <w:t>, or similar document</w:t>
      </w:r>
      <w:r>
        <w:rPr>
          <w:rStyle w:val="FootnoteReference"/>
          <w:szCs w:val="22"/>
        </w:rPr>
        <w:footnoteReference w:id="9"/>
      </w:r>
      <w:r w:rsidRPr="00BA3BBD">
        <w:t xml:space="preserve"> has already been completed by another state agency or a local jurisdiction, serving as the lead agency, the applicant must ensure that such an analysis covers the work in the proposed project, or must obtain a revised analysis and determination from the lead agency reviewing the proposed project.</w:t>
      </w:r>
    </w:p>
    <w:p w14:paraId="69B269B6" w14:textId="77777777" w:rsidR="00665B8E" w:rsidRPr="00BA3BBD" w:rsidRDefault="00665B8E" w:rsidP="0039230A">
      <w:pPr>
        <w:pStyle w:val="ListBullet2"/>
        <w:numPr>
          <w:ilvl w:val="0"/>
          <w:numId w:val="62"/>
        </w:numPr>
        <w:jc w:val="left"/>
        <w:rPr>
          <w:b/>
        </w:rPr>
      </w:pPr>
      <w:r w:rsidRPr="00BA3BBD">
        <w:lastRenderedPageBreak/>
        <w:t xml:space="preserve">Example 4: If the proposed project clearly falls under a statutory or categorical exemption, or is project for which another state agency or local jurisdiction has already </w:t>
      </w:r>
      <w:r w:rsidRPr="00AA7D1A">
        <w:t xml:space="preserve">completed its environmental review and </w:t>
      </w:r>
      <w:r w:rsidRPr="00BA3BBD">
        <w:t>adopted CEQA finding</w:t>
      </w:r>
      <w:r>
        <w:t>s</w:t>
      </w:r>
      <w:r w:rsidRPr="00BA3BBD">
        <w:t xml:space="preserve"> that the project will cause no significant effect on the environment, the project will likely have greater success in attaining rapid completion of CEQA requirements.</w:t>
      </w:r>
    </w:p>
    <w:p w14:paraId="7C8E50CB" w14:textId="486F642C" w:rsidR="00665B8E" w:rsidRDefault="00665B8E" w:rsidP="00B97CF4">
      <w:pPr>
        <w:pStyle w:val="BodyText"/>
        <w:jc w:val="left"/>
      </w:pPr>
      <w:r w:rsidRPr="00BA3BBD">
        <w:t xml:space="preserve">The above examples are not exhaustive of instances in which the CEC may or may not be able to comply with CEQA within the encumbrance deadline and are only provided as further clarification for potential applicants. </w:t>
      </w:r>
      <w:r w:rsidRPr="006E4FF2">
        <w:t>Applicants are encouraged to contact potential lead and responsible agencies under CEQA as early as possible.</w:t>
      </w:r>
      <w:r>
        <w:t xml:space="preserve"> </w:t>
      </w:r>
      <w:r w:rsidRPr="00BA3BBD">
        <w:t xml:space="preserve">Please plan </w:t>
      </w:r>
      <w:r w:rsidRPr="00CD6AC4">
        <w:t>applications</w:t>
      </w:r>
      <w:r w:rsidRPr="00BA3BBD">
        <w:t xml:space="preserve"> accordingly.  </w:t>
      </w:r>
    </w:p>
    <w:p w14:paraId="7ABE683D" w14:textId="77777777" w:rsidR="00665B8E" w:rsidRPr="00BA3BBD" w:rsidRDefault="00665B8E" w:rsidP="00B97CF4">
      <w:pPr>
        <w:pStyle w:val="Heading3"/>
        <w:jc w:val="left"/>
      </w:pPr>
      <w:bookmarkStart w:id="66" w:name="_Toc522777847"/>
      <w:bookmarkStart w:id="67" w:name="_Toc26361580"/>
      <w:bookmarkStart w:id="68" w:name="_Toc233727888"/>
      <w:r w:rsidRPr="002D46F7">
        <w:t>Background</w:t>
      </w:r>
      <w:bookmarkEnd w:id="66"/>
      <w:bookmarkEnd w:id="67"/>
      <w:bookmarkEnd w:id="68"/>
    </w:p>
    <w:p w14:paraId="75B1ECF5" w14:textId="77777777" w:rsidR="00665B8E" w:rsidRPr="00BA3BBD" w:rsidRDefault="00665B8E" w:rsidP="00B97CF4">
      <w:pPr>
        <w:pStyle w:val="Heading4"/>
        <w:numPr>
          <w:ilvl w:val="0"/>
          <w:numId w:val="41"/>
        </w:numPr>
        <w:ind w:hanging="720"/>
        <w:jc w:val="left"/>
      </w:pPr>
      <w:bookmarkStart w:id="69" w:name="_Electric_Program_Investment"/>
      <w:bookmarkStart w:id="70" w:name="_Toc433981280"/>
      <w:bookmarkStart w:id="71" w:name="_Toc395180627"/>
      <w:bookmarkStart w:id="72" w:name="_Toc382571129"/>
      <w:bookmarkStart w:id="73" w:name="_Toc381079870"/>
      <w:bookmarkEnd w:id="69"/>
      <w:r w:rsidRPr="00BA3BBD">
        <w:t>Electric Program Investment Charge (EPIC) Program</w:t>
      </w:r>
      <w:bookmarkEnd w:id="70"/>
      <w:bookmarkEnd w:id="71"/>
      <w:bookmarkEnd w:id="72"/>
      <w:bookmarkEnd w:id="73"/>
    </w:p>
    <w:p w14:paraId="45DC7C7F" w14:textId="1BCB62E3" w:rsidR="00665B8E" w:rsidRPr="00BA3BBD" w:rsidRDefault="00665B8E" w:rsidP="00B97CF4">
      <w:pPr>
        <w:pStyle w:val="BodyText"/>
        <w:jc w:val="left"/>
      </w:pPr>
      <w:r w:rsidRPr="00BA3BBD">
        <w:t>This solicitation will award projects funded by the EPIC, an electricity ratepayer surcharge established by the California Public Utilities Commission (CPUC) in December 2011.</w:t>
      </w:r>
      <w:r w:rsidRPr="00BA3BBD">
        <w:rPr>
          <w:rFonts w:ascii="Times New Roman" w:hAnsi="Times New Roman" w:cs="Times New Roman"/>
          <w:vertAlign w:val="superscript"/>
        </w:rPr>
        <w:footnoteReference w:id="10"/>
      </w:r>
      <w:r w:rsidRPr="00BA3BBD">
        <w:t xml:space="preserve"> The purpose of the EPIC program is to benefit the ratepayers of three IOUs, including Pacific Gas and Electric Co., San Diego Gas and Electric Co., and Southern California Edison Co. The EPIC funds clean energy technology projects that meet the guiding principles of </w:t>
      </w:r>
      <w:r>
        <w:t>(1) improving safety, (2) increasing reliability, (3) increasing affordability, (4) improving environmental sustainability, and (5) improving equity, all as related to California's electric system.</w:t>
      </w:r>
      <w:r>
        <w:rPr>
          <w:rStyle w:val="FootnoteReference"/>
        </w:rPr>
        <w:footnoteReference w:id="11"/>
      </w:r>
      <w:r>
        <w:t xml:space="preserve"> </w:t>
      </w:r>
      <w:r w:rsidRPr="00BA3BBD">
        <w:t>In addition to providing IOU ratepayer benefits, funded projects must lead to technological advancement and breakthroughs to overcome the barriers that prevent the achievement of the state’s statutory energy goals.</w:t>
      </w:r>
      <w:r w:rsidRPr="00BA3BBD">
        <w:rPr>
          <w:rFonts w:ascii="Times New Roman" w:hAnsi="Times New Roman" w:cs="Times New Roman"/>
          <w:vertAlign w:val="superscript"/>
        </w:rPr>
        <w:footnoteReference w:id="12"/>
      </w:r>
      <w:r w:rsidRPr="00BA3BBD">
        <w:t xml:space="preserve"> The EPIC program is administered by the CEC and the IOUs.</w:t>
      </w:r>
    </w:p>
    <w:p w14:paraId="58A24CCD" w14:textId="77777777" w:rsidR="00665B8E" w:rsidRPr="00420E06" w:rsidRDefault="00665B8E" w:rsidP="00B97CF4">
      <w:pPr>
        <w:pStyle w:val="ListBullet"/>
        <w:keepNext/>
        <w:jc w:val="left"/>
        <w:rPr>
          <w:b/>
          <w:bCs/>
        </w:rPr>
      </w:pPr>
      <w:bookmarkStart w:id="74" w:name="PrgmAreas"/>
      <w:bookmarkStart w:id="75" w:name="chkAugment"/>
      <w:r w:rsidRPr="00420E06">
        <w:rPr>
          <w:b/>
          <w:bCs/>
        </w:rPr>
        <w:t>Program Areas, Strategic Objectives, and Funding Initiatives</w:t>
      </w:r>
    </w:p>
    <w:bookmarkEnd w:id="74"/>
    <w:p w14:paraId="656926AB" w14:textId="77777777" w:rsidR="00665B8E" w:rsidRPr="00BA3BBD" w:rsidRDefault="00665B8E" w:rsidP="00B97CF4">
      <w:pPr>
        <w:pStyle w:val="BodyText"/>
        <w:ind w:left="360"/>
        <w:jc w:val="left"/>
        <w:rPr>
          <w:b/>
        </w:rPr>
      </w:pPr>
      <w:r w:rsidRPr="00BA3BBD">
        <w:t xml:space="preserve">EPIC projects must fall within the following </w:t>
      </w:r>
      <w:r w:rsidRPr="00BA3BBD">
        <w:rPr>
          <w:b/>
        </w:rPr>
        <w:t xml:space="preserve">program areas </w:t>
      </w:r>
      <w:r w:rsidRPr="00BA3BBD">
        <w:t>identified by the CPUC:</w:t>
      </w:r>
    </w:p>
    <w:p w14:paraId="0DFD51EE" w14:textId="77777777" w:rsidR="00665B8E" w:rsidRPr="00BA3BBD" w:rsidRDefault="00665B8E" w:rsidP="00AF4B2A">
      <w:pPr>
        <w:pStyle w:val="ListBullet2"/>
        <w:numPr>
          <w:ilvl w:val="0"/>
          <w:numId w:val="63"/>
        </w:numPr>
        <w:jc w:val="left"/>
      </w:pPr>
      <w:r w:rsidRPr="00BA3BBD">
        <w:t>Applied research and development;</w:t>
      </w:r>
    </w:p>
    <w:p w14:paraId="4A3CC8D7" w14:textId="77777777" w:rsidR="00665B8E" w:rsidRPr="00BA3BBD" w:rsidRDefault="00665B8E" w:rsidP="00AF4B2A">
      <w:pPr>
        <w:pStyle w:val="ListBullet2"/>
        <w:numPr>
          <w:ilvl w:val="0"/>
          <w:numId w:val="63"/>
        </w:numPr>
        <w:jc w:val="left"/>
      </w:pPr>
      <w:r w:rsidRPr="00BA3BBD">
        <w:t xml:space="preserve">Technology demonstration and deployment; and </w:t>
      </w:r>
    </w:p>
    <w:p w14:paraId="18F1AE7C" w14:textId="77777777" w:rsidR="00665B8E" w:rsidRDefault="00665B8E" w:rsidP="00AF4B2A">
      <w:pPr>
        <w:pStyle w:val="ListBullet2"/>
        <w:numPr>
          <w:ilvl w:val="0"/>
          <w:numId w:val="63"/>
        </w:numPr>
        <w:jc w:val="left"/>
      </w:pPr>
      <w:r w:rsidRPr="00BA3BBD">
        <w:t>Market facilitation</w:t>
      </w:r>
      <w:r>
        <w:t>.</w:t>
      </w:r>
    </w:p>
    <w:p w14:paraId="6F5FEC9C" w14:textId="76CE38ED" w:rsidR="00665B8E" w:rsidRPr="00BA3BBD" w:rsidRDefault="00665B8E" w:rsidP="00B97CF4">
      <w:pPr>
        <w:pStyle w:val="BodyText"/>
        <w:jc w:val="left"/>
        <w:rPr>
          <w:szCs w:val="22"/>
        </w:rPr>
      </w:pPr>
      <w:r w:rsidRPr="00BA3BBD">
        <w:t>In addition, projects must fall within one of the general focus areas (</w:t>
      </w:r>
      <w:r w:rsidRPr="00BA3BBD">
        <w:rPr>
          <w:b/>
        </w:rPr>
        <w:t>“strategic objectives”</w:t>
      </w:r>
      <w:r w:rsidRPr="00BA3BBD">
        <w:t>) identified in the CEC’s EPIC Investment Plans</w:t>
      </w:r>
      <w:r>
        <w:rPr>
          <w:rStyle w:val="FootnoteReference"/>
        </w:rPr>
        <w:footnoteReference w:id="13"/>
      </w:r>
      <w:r>
        <w:t xml:space="preserve"> </w:t>
      </w:r>
      <w:r w:rsidRPr="00BA3BBD">
        <w:t xml:space="preserve">and within one or more </w:t>
      </w:r>
      <w:r w:rsidRPr="00BA3BBD">
        <w:lastRenderedPageBreak/>
        <w:t>specific focus areas (</w:t>
      </w:r>
      <w:r w:rsidRPr="00BA3BBD">
        <w:rPr>
          <w:b/>
        </w:rPr>
        <w:t>“funding initiatives”</w:t>
      </w:r>
      <w:r w:rsidRPr="00BA3BBD">
        <w:t>) identified in the plan. This solicitation targets the following</w:t>
      </w:r>
      <w:r w:rsidRPr="00BA3BBD">
        <w:rPr>
          <w:szCs w:val="22"/>
        </w:rPr>
        <w:t xml:space="preserve"> program area, strategic objective, and funding initiative:</w:t>
      </w:r>
    </w:p>
    <w:p w14:paraId="46D2A94B" w14:textId="77777777" w:rsidR="00A002CF" w:rsidRPr="00A002CF" w:rsidRDefault="00A002CF" w:rsidP="00B97CF4">
      <w:pPr>
        <w:jc w:val="left"/>
        <w:rPr>
          <w:rStyle w:val="normaltextrun"/>
        </w:rPr>
      </w:pPr>
      <w:bookmarkStart w:id="76" w:name="_Toc395180628"/>
      <w:bookmarkStart w:id="77" w:name="_Toc382571130"/>
      <w:bookmarkStart w:id="78" w:name="_Toc381079871"/>
      <w:bookmarkStart w:id="79" w:name="_Toc395180631"/>
      <w:bookmarkStart w:id="80" w:name="_Toc382571133"/>
      <w:bookmarkStart w:id="81" w:name="_Toc381079874"/>
      <w:r w:rsidRPr="00A002CF">
        <w:rPr>
          <w:rStyle w:val="normaltextrun"/>
          <w:b/>
          <w:bCs/>
          <w:szCs w:val="22"/>
          <w:bdr w:val="none" w:sz="0" w:space="0" w:color="auto" w:frame="1"/>
        </w:rPr>
        <w:t>2021-2025 EPIC Investment Plan</w:t>
      </w:r>
    </w:p>
    <w:p w14:paraId="1AB57472" w14:textId="77777777" w:rsidR="00A002CF" w:rsidRPr="00A002CF" w:rsidRDefault="00A002CF" w:rsidP="00B97CF4">
      <w:pPr>
        <w:numPr>
          <w:ilvl w:val="0"/>
          <w:numId w:val="58"/>
        </w:numPr>
        <w:jc w:val="left"/>
      </w:pPr>
      <w:r w:rsidRPr="00A002CF">
        <w:rPr>
          <w:b/>
        </w:rPr>
        <w:t>Program Area</w:t>
      </w:r>
      <w:r w:rsidRPr="00A002CF">
        <w:t xml:space="preserve">: </w:t>
      </w:r>
      <w:bookmarkEnd w:id="76"/>
      <w:bookmarkEnd w:id="77"/>
      <w:bookmarkEnd w:id="78"/>
      <w:r w:rsidRPr="00A002CF">
        <w:t>Applied Research and Development</w:t>
      </w:r>
    </w:p>
    <w:p w14:paraId="3E40F6DB" w14:textId="77777777" w:rsidR="00A002CF" w:rsidRPr="00A002CF" w:rsidRDefault="00A002CF" w:rsidP="00B97CF4">
      <w:pPr>
        <w:numPr>
          <w:ilvl w:val="0"/>
          <w:numId w:val="58"/>
        </w:numPr>
        <w:jc w:val="left"/>
      </w:pPr>
      <w:bookmarkStart w:id="82" w:name="_Toc395180629"/>
      <w:bookmarkStart w:id="83" w:name="_Toc382571131"/>
      <w:bookmarkStart w:id="84" w:name="_Toc381079872"/>
      <w:r w:rsidRPr="00A002CF">
        <w:rPr>
          <w:b/>
          <w:bCs/>
        </w:rPr>
        <w:t>Strategic Objective</w:t>
      </w:r>
      <w:bookmarkEnd w:id="82"/>
      <w:bookmarkEnd w:id="83"/>
      <w:bookmarkEnd w:id="84"/>
      <w:r w:rsidRPr="00A002CF">
        <w:t>: Inform California’s Transition to an Equitable, Zero-Carbon Energy System that is Climate Resilient and Meets Environmental Goals</w:t>
      </w:r>
    </w:p>
    <w:p w14:paraId="5D4B074C" w14:textId="77777777" w:rsidR="00A002CF" w:rsidRPr="00A002CF" w:rsidRDefault="00A002CF" w:rsidP="00B97CF4">
      <w:pPr>
        <w:numPr>
          <w:ilvl w:val="1"/>
          <w:numId w:val="58"/>
        </w:numPr>
        <w:jc w:val="left"/>
        <w:rPr>
          <w:bCs/>
          <w:sz w:val="16"/>
          <w:szCs w:val="16"/>
        </w:rPr>
      </w:pPr>
      <w:bookmarkStart w:id="85" w:name="_Toc395180630"/>
      <w:bookmarkStart w:id="86" w:name="_Toc382571132"/>
      <w:bookmarkStart w:id="87" w:name="_Toc381079873"/>
      <w:r w:rsidRPr="00A002CF">
        <w:rPr>
          <w:b/>
        </w:rPr>
        <w:t xml:space="preserve">Funding Initiative </w:t>
      </w:r>
      <w:bookmarkEnd w:id="85"/>
      <w:bookmarkEnd w:id="86"/>
      <w:bookmarkEnd w:id="87"/>
      <w:r w:rsidRPr="00A002CF">
        <w:rPr>
          <w:bCs/>
        </w:rPr>
        <w:t>Climate Resiliency</w:t>
      </w:r>
    </w:p>
    <w:p w14:paraId="2263E35A" w14:textId="77777777" w:rsidR="00A002CF" w:rsidRPr="00A002CF" w:rsidRDefault="00A002CF" w:rsidP="00B97CF4">
      <w:pPr>
        <w:numPr>
          <w:ilvl w:val="2"/>
          <w:numId w:val="58"/>
        </w:numPr>
        <w:jc w:val="left"/>
        <w:rPr>
          <w:sz w:val="16"/>
          <w:szCs w:val="16"/>
        </w:rPr>
      </w:pPr>
      <w:r w:rsidRPr="00A002CF">
        <w:rPr>
          <w:b/>
        </w:rPr>
        <w:t xml:space="preserve">Topic 44: </w:t>
      </w:r>
      <w:r w:rsidRPr="00A002CF">
        <w:rPr>
          <w:rStyle w:val="normaltextrun"/>
          <w:szCs w:val="22"/>
          <w:bdr w:val="none" w:sz="0" w:space="0" w:color="auto" w:frame="1"/>
        </w:rPr>
        <w:t>Integrating Climate Resilience into Electricity System Planning</w:t>
      </w:r>
    </w:p>
    <w:p w14:paraId="2CC914E8" w14:textId="77777777" w:rsidR="00665B8E" w:rsidRPr="000A3AF7" w:rsidRDefault="00665B8E" w:rsidP="00B97CF4">
      <w:pPr>
        <w:pStyle w:val="Heading4"/>
        <w:ind w:hanging="720"/>
        <w:jc w:val="left"/>
      </w:pPr>
      <w:bookmarkStart w:id="88" w:name="_Applicable_Laws,_Policies,"/>
      <w:bookmarkStart w:id="89" w:name="AppLaws"/>
      <w:bookmarkEnd w:id="79"/>
      <w:bookmarkEnd w:id="80"/>
      <w:bookmarkEnd w:id="81"/>
      <w:bookmarkEnd w:id="88"/>
      <w:r w:rsidRPr="000A3AF7">
        <w:t xml:space="preserve">Applicable Laws, Policies, and Background Documents </w:t>
      </w:r>
    </w:p>
    <w:bookmarkEnd w:id="89"/>
    <w:p w14:paraId="1199E8EF" w14:textId="77777777" w:rsidR="00665B8E" w:rsidRPr="00BA3BBD" w:rsidRDefault="00665B8E" w:rsidP="00B97CF4">
      <w:pPr>
        <w:pStyle w:val="BodyText"/>
        <w:jc w:val="left"/>
      </w:pPr>
      <w:r w:rsidRPr="00BA3BBD">
        <w:t>This solicitation addresses the energy goals described in the following laws, policies, and background documents.</w:t>
      </w:r>
    </w:p>
    <w:p w14:paraId="3C523669" w14:textId="77777777" w:rsidR="00665B8E" w:rsidRPr="000A3AF7" w:rsidRDefault="00665B8E" w:rsidP="00B97CF4">
      <w:pPr>
        <w:pStyle w:val="Heading5"/>
        <w:jc w:val="left"/>
      </w:pPr>
      <w:bookmarkStart w:id="90" w:name="RefDocs"/>
      <w:r w:rsidRPr="000A3AF7">
        <w:t>Laws/Regulations</w:t>
      </w:r>
    </w:p>
    <w:p w14:paraId="442578B6" w14:textId="6833E6EA" w:rsidR="00665B8E" w:rsidRPr="000A3AF7" w:rsidRDefault="00665B8E" w:rsidP="00B97CF4">
      <w:pPr>
        <w:pStyle w:val="ListBullet3"/>
        <w:jc w:val="left"/>
        <w:rPr>
          <w:b/>
          <w:bCs/>
        </w:rPr>
      </w:pPr>
      <w:r w:rsidRPr="000A3AF7">
        <w:rPr>
          <w:b/>
          <w:bCs/>
        </w:rPr>
        <w:t>Assembly Bill (AB) 32</w:t>
      </w:r>
      <w:r w:rsidRPr="000A3AF7">
        <w:rPr>
          <w:rFonts w:cs="Times New Roman"/>
          <w:b/>
          <w:bCs/>
          <w:vertAlign w:val="superscript"/>
        </w:rPr>
        <w:footnoteReference w:id="14"/>
      </w:r>
      <w:r w:rsidRPr="000A3AF7">
        <w:rPr>
          <w:b/>
          <w:bCs/>
        </w:rPr>
        <w:t xml:space="preserve"> - Global Warming Solutions Act of 2006 </w:t>
      </w:r>
    </w:p>
    <w:p w14:paraId="6C94C0CC" w14:textId="77D50DE5" w:rsidR="00665B8E" w:rsidRPr="00B477E6" w:rsidRDefault="00665B8E" w:rsidP="00B97CF4">
      <w:pPr>
        <w:pStyle w:val="ListBullet3"/>
        <w:numPr>
          <w:ilvl w:val="0"/>
          <w:numId w:val="0"/>
        </w:numPr>
        <w:ind w:left="720"/>
        <w:jc w:val="left"/>
      </w:pPr>
      <w:r w:rsidRPr="00B477E6">
        <w:t>AB 32</w:t>
      </w:r>
      <w:r w:rsidRPr="00B477E6">
        <w:rPr>
          <w:b/>
        </w:rPr>
        <w:t xml:space="preserve"> </w:t>
      </w:r>
      <w:r w:rsidRPr="00B477E6">
        <w:t>created a comprehensive program to reduce greenhouse gas (GHG) emissions in California. GHG reduction strategies include a reduction mandate of 1990 levels by 2020 and a cap-and-trade program. AB 32 also designates the California Air Resources Board (CARB) as the state agency charged with monitoring and regulating sources of GHG emissions and requires CARB to develop a Scoping Plan that describes the approach California will take to reduce GHGs. CARB must update the plan at least once every five years.</w:t>
      </w:r>
    </w:p>
    <w:p w14:paraId="21B5346B" w14:textId="3FEDD182" w:rsidR="00665B8E" w:rsidRPr="00B477E6" w:rsidRDefault="00665B8E" w:rsidP="00B97CF4">
      <w:pPr>
        <w:pStyle w:val="ListBullet3"/>
        <w:numPr>
          <w:ilvl w:val="0"/>
          <w:numId w:val="0"/>
        </w:numPr>
        <w:ind w:left="720"/>
        <w:jc w:val="left"/>
        <w:rPr>
          <w:color w:val="000000"/>
        </w:rPr>
      </w:pPr>
      <w:r w:rsidRPr="00B477E6">
        <w:t>Additional information:</w:t>
      </w:r>
      <w:r w:rsidRPr="00B477E6">
        <w:rPr>
          <w:color w:val="000000"/>
        </w:rPr>
        <w:t xml:space="preserve"> </w:t>
      </w:r>
      <w:hyperlink r:id="rId33" w:history="1">
        <w:r w:rsidR="00344AA3" w:rsidRPr="00344AA3">
          <w:rPr>
            <w:rStyle w:val="Hyperlink"/>
            <w:rFonts w:cs="Arial"/>
          </w:rPr>
          <w:t>Assembly Bill No. 32</w:t>
        </w:r>
      </w:hyperlink>
      <w:r w:rsidR="005A4A22">
        <w:rPr>
          <w:color w:val="000000"/>
        </w:rPr>
        <w:t xml:space="preserve"> </w:t>
      </w:r>
      <w:r w:rsidR="005A4A22" w:rsidRPr="005A4A22">
        <w:t>https://leginfo.legislature.ca.gov</w:t>
      </w:r>
      <w:r w:rsidR="00A537D3" w:rsidRPr="005A4A22">
        <w:t>​</w:t>
      </w:r>
      <w:r w:rsidR="005A4A22" w:rsidRPr="005A4A22">
        <w:t>/faces/​billNav​Client.xhtml​?bill_​id=200520060AB32</w:t>
      </w:r>
      <w:r w:rsidR="005A4A22">
        <w:t xml:space="preserve">; </w:t>
      </w:r>
      <w:hyperlink r:id="rId34" w:history="1">
        <w:r w:rsidR="00344AA3" w:rsidRPr="00344AA3">
          <w:rPr>
            <w:rStyle w:val="Hyperlink"/>
            <w:rFonts w:cs="Arial"/>
          </w:rPr>
          <w:t>AB 32 Climate Change Scoping Plan</w:t>
        </w:r>
      </w:hyperlink>
      <w:r w:rsidR="005A4A22">
        <w:t xml:space="preserve"> </w:t>
      </w:r>
      <w:r w:rsidRPr="00EE44E4">
        <w:t>https://ww2.arb.ca.gov/our-work/</w:t>
      </w:r>
      <w:r w:rsidRPr="00A204DC">
        <w:t>​</w:t>
      </w:r>
      <w:r w:rsidRPr="00EE44E4">
        <w:t>programs/</w:t>
      </w:r>
      <w:r w:rsidR="000A3AF7" w:rsidRPr="00A204DC">
        <w:t>​</w:t>
      </w:r>
      <w:r w:rsidRPr="00EE44E4">
        <w:t>ab-32-climate-change-scoping-plan</w:t>
      </w:r>
      <w:r w:rsidR="00BB0B0E">
        <w:t>.</w:t>
      </w:r>
    </w:p>
    <w:p w14:paraId="3FA8AC56" w14:textId="77777777" w:rsidR="00665B8E" w:rsidRPr="00B477E6" w:rsidRDefault="00665B8E" w:rsidP="00B97CF4">
      <w:pPr>
        <w:pStyle w:val="ListBullet3"/>
        <w:numPr>
          <w:ilvl w:val="0"/>
          <w:numId w:val="0"/>
        </w:numPr>
        <w:ind w:left="720"/>
        <w:jc w:val="left"/>
      </w:pPr>
      <w:r w:rsidRPr="00B477E6">
        <w:t xml:space="preserve">Applicable Law: California Health and Safety Code §§ 38500 et. seq. </w:t>
      </w:r>
    </w:p>
    <w:p w14:paraId="44E83350" w14:textId="77777777" w:rsidR="00665B8E" w:rsidRPr="000A3AF7" w:rsidRDefault="00665B8E" w:rsidP="00B97CF4">
      <w:pPr>
        <w:pStyle w:val="ListBullet3"/>
        <w:jc w:val="left"/>
        <w:rPr>
          <w:b/>
          <w:bCs/>
        </w:rPr>
      </w:pPr>
      <w:r w:rsidRPr="000A3AF7">
        <w:rPr>
          <w:b/>
          <w:bCs/>
        </w:rPr>
        <w:t>Senate Bill (SB) 32 - California Global Warming Solutions Act of 2006: emissions limit</w:t>
      </w:r>
    </w:p>
    <w:p w14:paraId="1B055643" w14:textId="77777777" w:rsidR="00665B8E" w:rsidRPr="00B477E6" w:rsidRDefault="00665B8E" w:rsidP="00B97CF4">
      <w:pPr>
        <w:pStyle w:val="ListBullet3"/>
        <w:numPr>
          <w:ilvl w:val="0"/>
          <w:numId w:val="0"/>
        </w:numPr>
        <w:ind w:left="720"/>
        <w:jc w:val="left"/>
      </w:pPr>
      <w:r w:rsidRPr="00B477E6">
        <w:t xml:space="preserve">SB 32 expands on AB 32 by requiring that CARB ensure statewide GHG emissions are reduced to 40% below the 1990 level by </w:t>
      </w:r>
      <w:r>
        <w:t>no later than December 31, 2030.</w:t>
      </w:r>
      <w:r w:rsidRPr="00B477E6">
        <w:t xml:space="preserve"> SB 32 further requires that these emission reductions are achieved in a manner that benefits the state’s most disadvantaged communities and is transparent and accountable to the public and the Legislature.</w:t>
      </w:r>
    </w:p>
    <w:p w14:paraId="36CB05C8" w14:textId="2DDEB48B" w:rsidR="00665B8E" w:rsidRPr="00B477E6" w:rsidRDefault="00665B8E" w:rsidP="00B97CF4">
      <w:pPr>
        <w:pStyle w:val="ListBullet3"/>
        <w:numPr>
          <w:ilvl w:val="0"/>
          <w:numId w:val="0"/>
        </w:numPr>
        <w:ind w:left="720"/>
        <w:jc w:val="left"/>
      </w:pPr>
      <w:r w:rsidRPr="00B477E6">
        <w:t>Additional information:</w:t>
      </w:r>
      <w:r w:rsidR="00344AA3">
        <w:t xml:space="preserve"> </w:t>
      </w:r>
      <w:hyperlink r:id="rId35" w:history="1">
        <w:r w:rsidR="00344AA3" w:rsidRPr="00344AA3">
          <w:rPr>
            <w:rStyle w:val="Hyperlink"/>
            <w:rFonts w:cs="Arial"/>
          </w:rPr>
          <w:t>Senate Bill No. 32</w:t>
        </w:r>
      </w:hyperlink>
      <w:r w:rsidR="005650BE">
        <w:t xml:space="preserve"> </w:t>
      </w:r>
      <w:r w:rsidRPr="00B477E6">
        <w:t>https://leginfo.</w:t>
      </w:r>
      <w:r w:rsidR="005650BE" w:rsidRPr="00A204DC">
        <w:t>​</w:t>
      </w:r>
      <w:r w:rsidRPr="00B477E6">
        <w:t>legislature.</w:t>
      </w:r>
      <w:r w:rsidR="005650BE" w:rsidRPr="00A204DC">
        <w:t>​</w:t>
      </w:r>
      <w:r w:rsidRPr="00B477E6">
        <w:t>ca.gov/</w:t>
      </w:r>
      <w:r w:rsidR="005650BE" w:rsidRPr="00A204DC">
        <w:t>​</w:t>
      </w:r>
      <w:r w:rsidRPr="00B477E6">
        <w:t>faces/</w:t>
      </w:r>
      <w:r w:rsidR="000A3AF7" w:rsidRPr="00A204DC">
        <w:t>​</w:t>
      </w:r>
      <w:r w:rsidRPr="00B477E6">
        <w:t>billNavClient.xhtml?</w:t>
      </w:r>
      <w:r w:rsidR="000A3AF7" w:rsidRPr="00A204DC">
        <w:t>​</w:t>
      </w:r>
      <w:r w:rsidRPr="00B477E6">
        <w:t>bill_id=201520160SB32</w:t>
      </w:r>
      <w:r w:rsidR="00BB0B0E">
        <w:t>.</w:t>
      </w:r>
    </w:p>
    <w:p w14:paraId="25A9A166" w14:textId="77777777" w:rsidR="00665B8E" w:rsidRPr="00B477E6" w:rsidRDefault="00665B8E" w:rsidP="00B97CF4">
      <w:pPr>
        <w:pStyle w:val="ListBullet3"/>
        <w:numPr>
          <w:ilvl w:val="0"/>
          <w:numId w:val="0"/>
        </w:numPr>
        <w:ind w:left="720"/>
        <w:jc w:val="left"/>
        <w:rPr>
          <w:u w:val="single"/>
        </w:rPr>
      </w:pPr>
      <w:r w:rsidRPr="00B477E6">
        <w:t>Applicable Law: California Health and Safety Code § 38566. </w:t>
      </w:r>
    </w:p>
    <w:p w14:paraId="77A1946D" w14:textId="77777777" w:rsidR="00665B8E" w:rsidRPr="000A3AF7" w:rsidRDefault="00665B8E" w:rsidP="00B97CF4">
      <w:pPr>
        <w:pStyle w:val="ListBullet3"/>
        <w:jc w:val="left"/>
        <w:rPr>
          <w:b/>
          <w:bCs/>
        </w:rPr>
      </w:pPr>
      <w:r w:rsidRPr="000A3AF7">
        <w:rPr>
          <w:b/>
          <w:bCs/>
        </w:rPr>
        <w:lastRenderedPageBreak/>
        <w:t>Senate Bill (SB) X1-2</w:t>
      </w:r>
      <w:r w:rsidRPr="000A3AF7">
        <w:rPr>
          <w:rFonts w:cs="Times New Roman"/>
          <w:b/>
          <w:bCs/>
          <w:vertAlign w:val="superscript"/>
        </w:rPr>
        <w:footnoteReference w:id="15"/>
      </w:r>
      <w:r w:rsidRPr="000A3AF7">
        <w:rPr>
          <w:b/>
          <w:bCs/>
        </w:rPr>
        <w:t xml:space="preserve"> -</w:t>
      </w:r>
      <w:r w:rsidRPr="000A3AF7">
        <w:rPr>
          <w:rFonts w:cs="Univers LT Std 57 Cn"/>
          <w:b/>
          <w:bCs/>
          <w:color w:val="221E1F"/>
          <w:szCs w:val="24"/>
        </w:rPr>
        <w:t xml:space="preserve"> </w:t>
      </w:r>
      <w:r w:rsidRPr="000A3AF7">
        <w:rPr>
          <w:b/>
          <w:bCs/>
        </w:rPr>
        <w:t>Renewables Portfolio Standard</w:t>
      </w:r>
    </w:p>
    <w:p w14:paraId="0CC819A7" w14:textId="6CA93F71" w:rsidR="00665B8E" w:rsidRPr="00BA3BBD" w:rsidRDefault="00665B8E" w:rsidP="00B97CF4">
      <w:pPr>
        <w:pStyle w:val="ListBullet3"/>
        <w:numPr>
          <w:ilvl w:val="0"/>
          <w:numId w:val="0"/>
        </w:numPr>
        <w:ind w:left="720"/>
        <w:jc w:val="left"/>
      </w:pPr>
      <w:r w:rsidRPr="00BA3BBD">
        <w:t>SB X1-2 expanded California’s Renewables Portfolio Standard (RPS) goals and requires retail sellers of electricity and local publicly owned electric utilities to increase their procurement of eligible renewable energy resources to 20% by the end of 2013, 25% by the end of 2016, and 33% by the end of 2020</w:t>
      </w:r>
      <w:r w:rsidR="1B1F43FF">
        <w:t>.</w:t>
      </w:r>
      <w:r w:rsidRPr="00BA3BBD">
        <w:t xml:space="preserve"> </w:t>
      </w:r>
    </w:p>
    <w:p w14:paraId="738CDF7A" w14:textId="77777777" w:rsidR="00665B8E" w:rsidRPr="00BA3BBD" w:rsidRDefault="00665B8E" w:rsidP="00B97CF4">
      <w:pPr>
        <w:pStyle w:val="ListBullet3"/>
        <w:numPr>
          <w:ilvl w:val="0"/>
          <w:numId w:val="0"/>
        </w:numPr>
        <w:ind w:left="720"/>
        <w:jc w:val="left"/>
      </w:pPr>
      <w:r w:rsidRPr="00BA3BBD">
        <w:t>Applicable Law: California Public Utilities Code § 399.11 et seq.</w:t>
      </w:r>
    </w:p>
    <w:p w14:paraId="7E6633EB" w14:textId="77777777" w:rsidR="00665B8E" w:rsidRPr="00C51C4B" w:rsidRDefault="00665B8E" w:rsidP="00B97CF4">
      <w:pPr>
        <w:pStyle w:val="ListBullet3"/>
        <w:jc w:val="left"/>
        <w:rPr>
          <w:b/>
          <w:bCs/>
        </w:rPr>
      </w:pPr>
      <w:r w:rsidRPr="00C51C4B">
        <w:rPr>
          <w:b/>
          <w:bCs/>
        </w:rPr>
        <w:t>AB 758</w:t>
      </w:r>
      <w:r w:rsidRPr="00C51C4B">
        <w:rPr>
          <w:rStyle w:val="FootnoteReference"/>
          <w:b/>
          <w:bCs/>
        </w:rPr>
        <w:footnoteReference w:id="16"/>
      </w:r>
      <w:r w:rsidRPr="00C51C4B">
        <w:rPr>
          <w:b/>
          <w:bCs/>
        </w:rPr>
        <w:t xml:space="preserve">, Building Efficiency </w:t>
      </w:r>
    </w:p>
    <w:p w14:paraId="31E2AE17" w14:textId="6EBFE89F" w:rsidR="00665B8E" w:rsidRPr="00BA3BBD" w:rsidRDefault="00665B8E" w:rsidP="00B97CF4">
      <w:pPr>
        <w:pStyle w:val="ListBullet3"/>
        <w:numPr>
          <w:ilvl w:val="0"/>
          <w:numId w:val="0"/>
        </w:numPr>
        <w:ind w:left="720"/>
        <w:jc w:val="left"/>
      </w:pPr>
      <w:r w:rsidRPr="00BA3BBD">
        <w:t xml:space="preserve">AB 758 </w:t>
      </w:r>
      <w:r>
        <w:t>directs CEC</w:t>
      </w:r>
      <w:r w:rsidRPr="00BA3BBD">
        <w:t xml:space="preserve"> to collaborate with the </w:t>
      </w:r>
      <w:r w:rsidR="006E28C1">
        <w:t xml:space="preserve">CPUC </w:t>
      </w:r>
      <w:r w:rsidRPr="00BA3BBD">
        <w:t xml:space="preserve">and </w:t>
      </w:r>
      <w:r w:rsidR="006E28C1">
        <w:t xml:space="preserve">key parties </w:t>
      </w:r>
      <w:r w:rsidRPr="00BA3BBD">
        <w:t xml:space="preserve">to develop a comprehensive program to achieve greater energy and water savings in existing residential and nonresidential buildings. </w:t>
      </w:r>
      <w:r w:rsidRPr="00255204">
        <w:t>This resulted in the Existing Buildings Energy Efficiency Action Plan, adopted in 2015 and updated in 2016 and 2019, which provided a framework for state and local governments, building industries, and other stakeholders, to increase energy efficiency in existing residential, commercial, and public buildings.</w:t>
      </w:r>
    </w:p>
    <w:p w14:paraId="603D7B99" w14:textId="1A1203E4" w:rsidR="00665B8E" w:rsidRPr="00BA3BBD" w:rsidRDefault="00665B8E" w:rsidP="00B97CF4">
      <w:pPr>
        <w:pStyle w:val="ListBullet3"/>
        <w:numPr>
          <w:ilvl w:val="0"/>
          <w:numId w:val="0"/>
        </w:numPr>
        <w:ind w:left="720"/>
        <w:jc w:val="left"/>
      </w:pPr>
      <w:r w:rsidRPr="00BA3BBD">
        <w:rPr>
          <w:szCs w:val="22"/>
        </w:rPr>
        <w:t>Additional information:</w:t>
      </w:r>
      <w:r w:rsidRPr="00BA3BBD">
        <w:t xml:space="preserve"> </w:t>
      </w:r>
      <w:hyperlink r:id="rId36" w:history="1">
        <w:r w:rsidR="00BD73AE" w:rsidRPr="00BD73AE">
          <w:rPr>
            <w:rStyle w:val="Hyperlink"/>
            <w:rFonts w:cs="Arial"/>
          </w:rPr>
          <w:t>Assembly Bill No. 758</w:t>
        </w:r>
      </w:hyperlink>
      <w:r w:rsidR="00344AA3">
        <w:t xml:space="preserve"> </w:t>
      </w:r>
      <w:r w:rsidRPr="003E0231">
        <w:t>https://leginfo.legislature.</w:t>
      </w:r>
      <w:r w:rsidR="00344AA3" w:rsidRPr="00A204DC">
        <w:t>​</w:t>
      </w:r>
      <w:r w:rsidRPr="003E0231">
        <w:t>ca.gov/</w:t>
      </w:r>
      <w:r w:rsidR="00C51C4B" w:rsidRPr="00A204DC">
        <w:t>​</w:t>
      </w:r>
      <w:r w:rsidRPr="003E0231">
        <w:t>faces/billNavClient.xhtml?</w:t>
      </w:r>
      <w:r w:rsidR="00C51C4B" w:rsidRPr="00A204DC">
        <w:t>​</w:t>
      </w:r>
      <w:r w:rsidRPr="003E0231">
        <w:t xml:space="preserve">bill_id=200920100AB758; </w:t>
      </w:r>
      <w:hyperlink r:id="rId37" w:history="1">
        <w:r w:rsidR="00BD73AE" w:rsidRPr="00BD73AE">
          <w:rPr>
            <w:rStyle w:val="Hyperlink"/>
            <w:rFonts w:cs="Arial"/>
          </w:rPr>
          <w:t>Energy Efficiency in Existing Buildings</w:t>
        </w:r>
      </w:hyperlink>
      <w:r w:rsidR="00344AA3">
        <w:t xml:space="preserve"> </w:t>
      </w:r>
      <w:r w:rsidRPr="003E0231">
        <w:t>https://www.energy.ca.gov/programs-and-topics/</w:t>
      </w:r>
      <w:r w:rsidR="00C51C4B" w:rsidRPr="00A204DC">
        <w:t>​</w:t>
      </w:r>
      <w:r w:rsidRPr="003E0231">
        <w:t>programs/</w:t>
      </w:r>
      <w:r w:rsidR="00C51C4B" w:rsidRPr="00A204DC">
        <w:t>​</w:t>
      </w:r>
      <w:r w:rsidRPr="003E0231">
        <w:t>energy-efficiency</w:t>
      </w:r>
      <w:r w:rsidR="00A537D3" w:rsidRPr="005A4A22">
        <w:t>​</w:t>
      </w:r>
      <w:r w:rsidRPr="003E0231">
        <w:t>-existing-buildings</w:t>
      </w:r>
      <w:r w:rsidR="00BB0B0E">
        <w:t>.</w:t>
      </w:r>
    </w:p>
    <w:p w14:paraId="31BB9538" w14:textId="77777777" w:rsidR="00665B8E" w:rsidRDefault="00665B8E" w:rsidP="00B97CF4">
      <w:pPr>
        <w:pStyle w:val="ListBullet3"/>
        <w:numPr>
          <w:ilvl w:val="0"/>
          <w:numId w:val="0"/>
        </w:numPr>
        <w:ind w:left="720"/>
        <w:jc w:val="left"/>
      </w:pPr>
      <w:r w:rsidRPr="00BA3BBD">
        <w:t>Applicable Law: California Public Resources Code § 25943, California Public Utilities Code §§ 381.2 and 385.2</w:t>
      </w:r>
    </w:p>
    <w:p w14:paraId="045849C2" w14:textId="77777777" w:rsidR="00665B8E" w:rsidRPr="00C51C4B" w:rsidRDefault="00665B8E" w:rsidP="00B97CF4">
      <w:pPr>
        <w:pStyle w:val="ListBullet3"/>
        <w:jc w:val="left"/>
        <w:rPr>
          <w:b/>
          <w:bCs/>
        </w:rPr>
      </w:pPr>
      <w:r w:rsidRPr="00C51C4B">
        <w:rPr>
          <w:b/>
          <w:bCs/>
        </w:rPr>
        <w:t>AB 3232 Zero-Emissions Buildings and Sources of Heat Energy   </w:t>
      </w:r>
    </w:p>
    <w:p w14:paraId="4A1244BC" w14:textId="6B735D1C" w:rsidR="00665B8E" w:rsidRPr="001A79D4" w:rsidRDefault="00665B8E" w:rsidP="00B97CF4">
      <w:pPr>
        <w:pStyle w:val="ListBullet3"/>
        <w:numPr>
          <w:ilvl w:val="0"/>
          <w:numId w:val="0"/>
        </w:numPr>
        <w:ind w:left="720"/>
        <w:jc w:val="left"/>
      </w:pPr>
      <w:r w:rsidRPr="001A79D4">
        <w:t xml:space="preserve">AB 3232 requires the CEC by January 1, 2021, to evaluate the possibility of the state to reduce </w:t>
      </w:r>
      <w:r w:rsidR="001831D1">
        <w:t xml:space="preserve">GHG </w:t>
      </w:r>
      <w:r w:rsidRPr="001A79D4">
        <w:t xml:space="preserve">emissions from the state’s residential and commercial building stock by at least 40% below 1990 levels by January 1, 2030. It also requires the commission to include in the 2021 edition of the integrated energy policy report and all subsequent integrated energy policy reports a report on the emissions of </w:t>
      </w:r>
      <w:r w:rsidR="007251BD">
        <w:t xml:space="preserve">GHGs </w:t>
      </w:r>
      <w:r w:rsidRPr="001A79D4">
        <w:t>associated with the supply of energy to residential and commercial buildings.  </w:t>
      </w:r>
    </w:p>
    <w:p w14:paraId="39E3AF0C" w14:textId="1BE895B7" w:rsidR="00665B8E" w:rsidRPr="001A79D4" w:rsidRDefault="00665B8E" w:rsidP="00B97CF4">
      <w:pPr>
        <w:pStyle w:val="ListBullet3"/>
        <w:numPr>
          <w:ilvl w:val="0"/>
          <w:numId w:val="0"/>
        </w:numPr>
        <w:ind w:left="720"/>
        <w:jc w:val="left"/>
      </w:pPr>
      <w:r w:rsidRPr="001A79D4">
        <w:t xml:space="preserve">Additional information: </w:t>
      </w:r>
      <w:hyperlink r:id="rId38" w:history="1">
        <w:r w:rsidR="00BD73AE" w:rsidRPr="00BD73AE">
          <w:rPr>
            <w:rStyle w:val="Hyperlink"/>
            <w:rFonts w:cs="Arial"/>
          </w:rPr>
          <w:t>Assembly Bill No. 3232</w:t>
        </w:r>
      </w:hyperlink>
      <w:r w:rsidR="00BD73AE">
        <w:t xml:space="preserve"> </w:t>
      </w:r>
      <w:r w:rsidRPr="001A79D4">
        <w:t>https://leginfo.legislature.ca.gov/</w:t>
      </w:r>
      <w:r w:rsidR="00BD73AE" w:rsidRPr="00A204DC">
        <w:t>​</w:t>
      </w:r>
      <w:r w:rsidRPr="001A79D4">
        <w:t>faces/</w:t>
      </w:r>
      <w:r w:rsidR="00C51C4B" w:rsidRPr="00A204DC">
        <w:t>​</w:t>
      </w:r>
      <w:r w:rsidRPr="001A79D4">
        <w:t>billTextClient.xhtml?</w:t>
      </w:r>
      <w:r w:rsidR="00C51C4B" w:rsidRPr="00A204DC">
        <w:t>​</w:t>
      </w:r>
      <w:r w:rsidRPr="001A79D4">
        <w:t>bill_id=201720180AB3232</w:t>
      </w:r>
      <w:r w:rsidR="00BB0B0E">
        <w:t>.</w:t>
      </w:r>
      <w:r w:rsidRPr="001A79D4">
        <w:t> </w:t>
      </w:r>
    </w:p>
    <w:p w14:paraId="6EBF3586" w14:textId="77777777" w:rsidR="00665B8E" w:rsidRPr="00C51C4B" w:rsidRDefault="00665B8E" w:rsidP="00B97CF4">
      <w:pPr>
        <w:pStyle w:val="ListBullet3"/>
        <w:keepNext/>
        <w:jc w:val="left"/>
        <w:rPr>
          <w:b/>
          <w:bCs/>
        </w:rPr>
      </w:pPr>
      <w:r w:rsidRPr="00C51C4B">
        <w:rPr>
          <w:b/>
          <w:bCs/>
        </w:rPr>
        <w:t>SB 350</w:t>
      </w:r>
      <w:r w:rsidRPr="00C51C4B">
        <w:rPr>
          <w:b/>
          <w:bCs/>
          <w:vertAlign w:val="superscript"/>
        </w:rPr>
        <w:footnoteReference w:id="17"/>
      </w:r>
      <w:r w:rsidRPr="00C51C4B">
        <w:rPr>
          <w:b/>
          <w:bCs/>
        </w:rPr>
        <w:t xml:space="preserve"> - Clean Energy and Pollution Reduction Act of 2015 </w:t>
      </w:r>
    </w:p>
    <w:p w14:paraId="38755189" w14:textId="6B0DB113" w:rsidR="00665B8E" w:rsidRPr="001A79D4" w:rsidRDefault="00665B8E" w:rsidP="00B97CF4">
      <w:pPr>
        <w:pStyle w:val="ListBullet3"/>
        <w:numPr>
          <w:ilvl w:val="0"/>
          <w:numId w:val="0"/>
        </w:numPr>
        <w:ind w:left="720"/>
        <w:jc w:val="left"/>
      </w:pPr>
      <w:r w:rsidRPr="001A79D4">
        <w:t xml:space="preserve">SB 350, among other directives, expanded on AB 758 by directing CEC to establish annual targets to achieve a cumulative doubling of statewide energy efficiency savings in electricity and </w:t>
      </w:r>
      <w:r w:rsidR="00095EDF">
        <w:t>fossil</w:t>
      </w:r>
      <w:r w:rsidRPr="001A79D4">
        <w:t xml:space="preserve"> gas final end uses of retail customers by January 1, 2030. This resulted in the </w:t>
      </w:r>
      <w:r w:rsidR="00095EDF">
        <w:t>SB</w:t>
      </w:r>
      <w:r w:rsidRPr="001A79D4">
        <w:t xml:space="preserve"> 350 Doubling of Energy Efficiency by 2030</w:t>
      </w:r>
      <w:r w:rsidRPr="001A79D4">
        <w:rPr>
          <w:i/>
          <w:iCs/>
        </w:rPr>
        <w:t> </w:t>
      </w:r>
      <w:r w:rsidRPr="001A79D4">
        <w:t xml:space="preserve">(Doubling Report), which expanded the focus of the Existing Buildings Energy Efficiency Action Plan from existing buildings to include agriculture, </w:t>
      </w:r>
      <w:r w:rsidRPr="001A79D4">
        <w:lastRenderedPageBreak/>
        <w:t>industry, newly constructed buildings, conservation voltage reduction, and fuel substitution. CEC subsequently consolidated the Existing Buildings Energy Efficiency Action Plan, Doubling Report, and energy efficiency equity efforts to form a comprehensive roadmap to achieving the state’s energy efficiency and building decarbonization goals in the 2019 California Energy Efficiency Action Plan. </w:t>
      </w:r>
    </w:p>
    <w:p w14:paraId="07C5D85A" w14:textId="77777777" w:rsidR="00665B8E" w:rsidRPr="001A79D4" w:rsidRDefault="00665B8E" w:rsidP="00B97CF4">
      <w:pPr>
        <w:pStyle w:val="ListBullet3"/>
        <w:numPr>
          <w:ilvl w:val="0"/>
          <w:numId w:val="0"/>
        </w:numPr>
        <w:ind w:left="720"/>
        <w:jc w:val="left"/>
      </w:pPr>
      <w:r w:rsidRPr="001A79D4">
        <w:t>SB 350 also requires retail sellers of electricity and local publicly owned electricity increase their procurement of eligible renewable energy resources and provided for the transformation of the Independent System Operator into a regional organization.</w:t>
      </w:r>
    </w:p>
    <w:p w14:paraId="4C09B788" w14:textId="3B3621A8" w:rsidR="00665B8E" w:rsidRPr="00BA3BBD" w:rsidRDefault="00665B8E" w:rsidP="00B97CF4">
      <w:pPr>
        <w:pStyle w:val="ListBullet3"/>
        <w:numPr>
          <w:ilvl w:val="0"/>
          <w:numId w:val="0"/>
        </w:numPr>
        <w:ind w:left="720"/>
        <w:jc w:val="left"/>
      </w:pPr>
      <w:r w:rsidRPr="001A79D4">
        <w:t xml:space="preserve">Additional information: </w:t>
      </w:r>
      <w:hyperlink r:id="rId39" w:history="1">
        <w:r w:rsidR="00BD73AE" w:rsidRPr="00BD73AE">
          <w:rPr>
            <w:rStyle w:val="Hyperlink"/>
            <w:rFonts w:cs="Arial"/>
          </w:rPr>
          <w:t>Senate Bill No. 350</w:t>
        </w:r>
      </w:hyperlink>
      <w:r w:rsidR="00BD73AE">
        <w:t xml:space="preserve"> </w:t>
      </w:r>
      <w:r w:rsidRPr="006B2869">
        <w:t>https://leginfo.legislature.ca.gov/faces/</w:t>
      </w:r>
      <w:r w:rsidR="00C51C4B" w:rsidRPr="00A204DC">
        <w:t>​</w:t>
      </w:r>
      <w:r w:rsidRPr="006B2869">
        <w:t>billTextClient.xhtml?</w:t>
      </w:r>
      <w:r w:rsidR="00C51C4B" w:rsidRPr="00A204DC">
        <w:t>​</w:t>
      </w:r>
      <w:r w:rsidRPr="006B2869">
        <w:t>bill_id=201520160SB350</w:t>
      </w:r>
      <w:r w:rsidRPr="001A79D4">
        <w:t xml:space="preserve">; </w:t>
      </w:r>
      <w:hyperlink r:id="rId40" w:history="1">
        <w:r w:rsidR="00BD73AE" w:rsidRPr="00BD73AE">
          <w:rPr>
            <w:rStyle w:val="Hyperlink"/>
            <w:rFonts w:cs="Arial"/>
          </w:rPr>
          <w:t>Energy Efficiency in Existing Buildings</w:t>
        </w:r>
      </w:hyperlink>
      <w:r w:rsidR="00BD73AE">
        <w:t xml:space="preserve"> </w:t>
      </w:r>
      <w:r w:rsidRPr="006B2869">
        <w:t>https://www.energy.ca.gov/programs-and-topics/</w:t>
      </w:r>
      <w:r w:rsidR="00C51C4B" w:rsidRPr="00A204DC">
        <w:t>​</w:t>
      </w:r>
      <w:r w:rsidRPr="006B2869">
        <w:t>programs</w:t>
      </w:r>
      <w:r w:rsidR="00C51C4B" w:rsidRPr="00A204DC">
        <w:t>​</w:t>
      </w:r>
      <w:r w:rsidRPr="006B2869">
        <w:t>/</w:t>
      </w:r>
      <w:r w:rsidR="00C51C4B" w:rsidRPr="00A204DC">
        <w:t>​</w:t>
      </w:r>
      <w:r w:rsidRPr="006B2869">
        <w:t>energy-efficiency-existing-buildings</w:t>
      </w:r>
      <w:r w:rsidR="00BB0B0E">
        <w:t>.</w:t>
      </w:r>
      <w:r w:rsidRPr="001A79D4">
        <w:t xml:space="preserve"> </w:t>
      </w:r>
    </w:p>
    <w:p w14:paraId="4D98898F" w14:textId="08403C6A" w:rsidR="00665B8E" w:rsidRPr="00C51C4B" w:rsidRDefault="00665B8E" w:rsidP="00B97CF4">
      <w:pPr>
        <w:pStyle w:val="ListBullet3"/>
        <w:jc w:val="left"/>
        <w:rPr>
          <w:b/>
          <w:bCs/>
        </w:rPr>
      </w:pPr>
      <w:r w:rsidRPr="00C51C4B">
        <w:rPr>
          <w:b/>
          <w:bCs/>
        </w:rPr>
        <w:t>AB 2514</w:t>
      </w:r>
      <w:r w:rsidRPr="00C51C4B">
        <w:rPr>
          <w:rFonts w:cs="Times New Roman"/>
          <w:b/>
          <w:bCs/>
          <w:vertAlign w:val="superscript"/>
        </w:rPr>
        <w:footnoteReference w:id="18"/>
      </w:r>
      <w:r w:rsidRPr="00C51C4B">
        <w:rPr>
          <w:b/>
          <w:bCs/>
        </w:rPr>
        <w:t xml:space="preserve"> - Energy Storage Systems </w:t>
      </w:r>
    </w:p>
    <w:p w14:paraId="6FE21434" w14:textId="77777777" w:rsidR="00665B8E" w:rsidRPr="00BA3BBD" w:rsidRDefault="00665B8E" w:rsidP="00B97CF4">
      <w:pPr>
        <w:pStyle w:val="ListBullet3"/>
        <w:numPr>
          <w:ilvl w:val="0"/>
          <w:numId w:val="0"/>
        </w:numPr>
        <w:ind w:left="720"/>
        <w:jc w:val="left"/>
      </w:pPr>
      <w:r w:rsidRPr="00BA3BBD">
        <w:t>AB 2514 required the CPUC to determine targets for the procurement of viable, cost-effective energy storage systems by load-serving entities. The CPUC adopted the procurement targets in Decision 13-10-040, issued on October 17, 2013 (see the summary of Decision 13-10-040 in the “Policies/Plans” section below).</w:t>
      </w:r>
    </w:p>
    <w:p w14:paraId="4F2E0640" w14:textId="2EA8789A" w:rsidR="00665B8E" w:rsidRPr="006B2869" w:rsidRDefault="00665B8E" w:rsidP="00B97CF4">
      <w:pPr>
        <w:pStyle w:val="ListBullet3"/>
        <w:numPr>
          <w:ilvl w:val="0"/>
          <w:numId w:val="0"/>
        </w:numPr>
        <w:ind w:left="720"/>
        <w:jc w:val="left"/>
      </w:pPr>
      <w:r w:rsidRPr="00BA3BBD">
        <w:rPr>
          <w:szCs w:val="22"/>
        </w:rPr>
        <w:t>Additional information:</w:t>
      </w:r>
      <w:r w:rsidRPr="00BA3BBD">
        <w:t xml:space="preserve"> </w:t>
      </w:r>
      <w:hyperlink r:id="rId41" w:history="1">
        <w:r w:rsidR="00BD73AE" w:rsidRPr="00BD73AE">
          <w:rPr>
            <w:rStyle w:val="Hyperlink"/>
            <w:rFonts w:cs="Arial"/>
          </w:rPr>
          <w:t>Assembly Bill No. 2514</w:t>
        </w:r>
      </w:hyperlink>
      <w:r w:rsidR="00BD73AE">
        <w:t xml:space="preserve"> </w:t>
      </w:r>
      <w:r w:rsidRPr="006B2869">
        <w:t>https://leginfo.legislature.ca.gov/</w:t>
      </w:r>
      <w:r w:rsidR="00BD73AE" w:rsidRPr="00A204DC">
        <w:t>​</w:t>
      </w:r>
      <w:r w:rsidRPr="006B2869">
        <w:t>faces/billTextClient.xhtml?</w:t>
      </w:r>
      <w:r w:rsidR="00C51C4B" w:rsidRPr="00A204DC">
        <w:t>​</w:t>
      </w:r>
      <w:r w:rsidRPr="006B2869">
        <w:t>bill_id=200920100AB2514</w:t>
      </w:r>
      <w:r w:rsidR="00BB0B0E">
        <w:t>.</w:t>
      </w:r>
    </w:p>
    <w:p w14:paraId="33B2ACBA" w14:textId="20EB2864" w:rsidR="00665B8E" w:rsidRPr="00BA3BBD" w:rsidRDefault="00665B8E" w:rsidP="00B97CF4">
      <w:pPr>
        <w:pStyle w:val="ListBullet3"/>
        <w:numPr>
          <w:ilvl w:val="0"/>
          <w:numId w:val="0"/>
        </w:numPr>
        <w:ind w:left="720"/>
        <w:jc w:val="left"/>
      </w:pPr>
      <w:r w:rsidRPr="00BA3BBD">
        <w:t>Applicable Law: California Public Utilities Code §§ 2835 et. seq., and § 9620</w:t>
      </w:r>
      <w:r w:rsidR="00BB0B0E">
        <w:t>.</w:t>
      </w:r>
      <w:r w:rsidRPr="00BA3BBD">
        <w:t xml:space="preserve"> </w:t>
      </w:r>
    </w:p>
    <w:p w14:paraId="57E3B258" w14:textId="4ED0F5D8" w:rsidR="00665B8E" w:rsidRPr="00C51C4B" w:rsidRDefault="00665B8E" w:rsidP="00B97CF4">
      <w:pPr>
        <w:pStyle w:val="ListBullet3"/>
        <w:keepNext/>
        <w:jc w:val="left"/>
        <w:rPr>
          <w:b/>
          <w:bCs/>
        </w:rPr>
      </w:pPr>
      <w:r w:rsidRPr="00C51C4B">
        <w:rPr>
          <w:b/>
          <w:bCs/>
        </w:rPr>
        <w:t>SB 100 - The 100 Percent Clean Energy Act of 2018</w:t>
      </w:r>
    </w:p>
    <w:p w14:paraId="553DBD8C" w14:textId="4B3B7B87" w:rsidR="00665B8E" w:rsidRPr="00BA3BBD" w:rsidRDefault="00665B8E" w:rsidP="00B97CF4">
      <w:pPr>
        <w:pStyle w:val="ListBullet3"/>
        <w:numPr>
          <w:ilvl w:val="0"/>
          <w:numId w:val="0"/>
        </w:numPr>
        <w:ind w:left="720"/>
        <w:jc w:val="left"/>
        <w:rPr>
          <w:rFonts w:eastAsia="Calibri"/>
        </w:rPr>
      </w:pPr>
      <w:r w:rsidRPr="00BA3BBD">
        <w:t xml:space="preserve">SB 100 requires that 100% of retail sales of electricity to California end-use customers and 100% of electricity procured to serve all state agencies come from eligible renewable energy resources and zero-carbon resources by December 31, 2045. The bill requires the CPUC and the </w:t>
      </w:r>
      <w:r>
        <w:t>CEC</w:t>
      </w:r>
      <w:r w:rsidRPr="00BA3BBD">
        <w:t xml:space="preserve">, in consultation with </w:t>
      </w:r>
      <w:r>
        <w:t>CARB</w:t>
      </w:r>
      <w:r w:rsidRPr="00BA3BBD">
        <w:t xml:space="preserve"> to ensure that California’s transition to a zero-carbon electric system does not cause or contribute to GHG increases elsewhere in the western grid.</w:t>
      </w:r>
    </w:p>
    <w:p w14:paraId="3C9D8D0F" w14:textId="362724FB" w:rsidR="00665B8E" w:rsidRPr="00BA3BBD" w:rsidRDefault="00665B8E" w:rsidP="00B97CF4">
      <w:pPr>
        <w:pStyle w:val="ListBullet3"/>
        <w:numPr>
          <w:ilvl w:val="0"/>
          <w:numId w:val="0"/>
        </w:numPr>
        <w:ind w:left="720"/>
        <w:jc w:val="left"/>
        <w:rPr>
          <w:color w:val="0066FF"/>
        </w:rPr>
      </w:pPr>
      <w:r w:rsidRPr="00BA3BBD">
        <w:t xml:space="preserve">Additional information: </w:t>
      </w:r>
      <w:hyperlink r:id="rId42" w:history="1">
        <w:r w:rsidR="00BD73AE" w:rsidRPr="00BD73AE">
          <w:rPr>
            <w:rStyle w:val="Hyperlink"/>
            <w:rFonts w:cs="Arial"/>
          </w:rPr>
          <w:t>Senate Bill No. 100</w:t>
        </w:r>
      </w:hyperlink>
      <w:r w:rsidR="00BD73AE">
        <w:t xml:space="preserve"> </w:t>
      </w:r>
      <w:r w:rsidRPr="00A614D3">
        <w:t>https://leginfo.legislature.ca.gov/</w:t>
      </w:r>
      <w:r w:rsidR="00BD73AE" w:rsidRPr="00A204DC">
        <w:t>​</w:t>
      </w:r>
      <w:r w:rsidRPr="00A614D3">
        <w:t>faces/billTextClient.xhtml?</w:t>
      </w:r>
      <w:r w:rsidR="00C51C4B" w:rsidRPr="00A204DC">
        <w:t>​</w:t>
      </w:r>
      <w:r w:rsidRPr="00A614D3">
        <w:t>bill_id=201720180SB100</w:t>
      </w:r>
      <w:r w:rsidR="00BB0B0E">
        <w:t>.</w:t>
      </w:r>
      <w:r w:rsidRPr="00BA3BBD">
        <w:rPr>
          <w:color w:val="0066FF"/>
        </w:rPr>
        <w:t xml:space="preserve"> </w:t>
      </w:r>
    </w:p>
    <w:p w14:paraId="03395331" w14:textId="77777777" w:rsidR="00665B8E" w:rsidRPr="00C51C4B" w:rsidRDefault="00665B8E" w:rsidP="00B97CF4">
      <w:pPr>
        <w:pStyle w:val="ListBullet3"/>
        <w:jc w:val="left"/>
        <w:rPr>
          <w:b/>
          <w:bCs/>
        </w:rPr>
      </w:pPr>
      <w:r w:rsidRPr="00C51C4B">
        <w:rPr>
          <w:b/>
          <w:bCs/>
        </w:rPr>
        <w:t>SB 1020 – Clean Energy, Jobs, and Affordability Act of 2022 </w:t>
      </w:r>
    </w:p>
    <w:p w14:paraId="49393101" w14:textId="77777777" w:rsidR="00665B8E" w:rsidRPr="00EF6B0C" w:rsidRDefault="00665B8E" w:rsidP="00B97CF4">
      <w:pPr>
        <w:pStyle w:val="ListBullet3"/>
        <w:numPr>
          <w:ilvl w:val="0"/>
          <w:numId w:val="0"/>
        </w:numPr>
        <w:ind w:left="720"/>
        <w:jc w:val="left"/>
      </w:pPr>
      <w:r w:rsidRPr="00EF6B0C">
        <w:t xml:space="preserve">SB 1020 revises state policy to provide that eligible renewable energy resources and zero-carbon resources supply 90% of all retail sales of electricity to California end-use customers by December 31, 2035, 95% of all retail sales of electricity to California end-use customers by December 31, 2040, 100% of all retail sales of electricity to California end-use customers by December 31, 2045, </w:t>
      </w:r>
      <w:r w:rsidRPr="00EF6B0C">
        <w:lastRenderedPageBreak/>
        <w:t>and 100% of electricity procured to serve all state agencies by December 31, 2035, as specified. </w:t>
      </w:r>
    </w:p>
    <w:p w14:paraId="3219C1AB" w14:textId="0EE5E37F" w:rsidR="00665B8E" w:rsidRPr="00E32C52" w:rsidRDefault="00665B8E" w:rsidP="00B97CF4">
      <w:pPr>
        <w:pStyle w:val="ListBullet3"/>
        <w:numPr>
          <w:ilvl w:val="0"/>
          <w:numId w:val="0"/>
        </w:numPr>
        <w:ind w:left="720"/>
        <w:jc w:val="left"/>
      </w:pPr>
      <w:r w:rsidRPr="00EF6B0C">
        <w:rPr>
          <w:color w:val="000000"/>
        </w:rPr>
        <w:t>Additional information: </w:t>
      </w:r>
      <w:hyperlink r:id="rId43" w:history="1">
        <w:r w:rsidR="0023219F" w:rsidRPr="0023219F">
          <w:rPr>
            <w:rStyle w:val="Hyperlink"/>
            <w:rFonts w:cs="Arial"/>
          </w:rPr>
          <w:t>Senate Bill 1020</w:t>
        </w:r>
      </w:hyperlink>
      <w:r w:rsidR="0023219F">
        <w:rPr>
          <w:color w:val="000000"/>
        </w:rPr>
        <w:t xml:space="preserve"> </w:t>
      </w:r>
      <w:r w:rsidRPr="00E32C52">
        <w:rPr>
          <w:bdr w:val="none" w:sz="0" w:space="0" w:color="auto" w:frame="1"/>
        </w:rPr>
        <w:t>https://leginfo.legislature.ca.gov/faces/</w:t>
      </w:r>
      <w:r w:rsidR="0023219F" w:rsidRPr="00A204DC">
        <w:t>​</w:t>
      </w:r>
      <w:r w:rsidRPr="00E32C52">
        <w:rPr>
          <w:bdr w:val="none" w:sz="0" w:space="0" w:color="auto" w:frame="1"/>
        </w:rPr>
        <w:t>billNavClient.xhtml?bill_id=202120220SB1020</w:t>
      </w:r>
      <w:r w:rsidR="00BB0B0E">
        <w:rPr>
          <w:bdr w:val="none" w:sz="0" w:space="0" w:color="auto" w:frame="1"/>
        </w:rPr>
        <w:t>.</w:t>
      </w:r>
      <w:r w:rsidRPr="00E32C52">
        <w:t> </w:t>
      </w:r>
    </w:p>
    <w:p w14:paraId="2127807C" w14:textId="77777777" w:rsidR="00665B8E" w:rsidRPr="00EF6B0C" w:rsidRDefault="00665B8E" w:rsidP="00B97CF4">
      <w:pPr>
        <w:pStyle w:val="ListBullet3"/>
        <w:numPr>
          <w:ilvl w:val="0"/>
          <w:numId w:val="0"/>
        </w:numPr>
        <w:ind w:left="720"/>
        <w:jc w:val="left"/>
      </w:pPr>
      <w:r w:rsidRPr="00EF6B0C">
        <w:t>Applicable Law: California Health and Safety Code §§ 38561 et. Seq.</w:t>
      </w:r>
    </w:p>
    <w:p w14:paraId="4CD58365" w14:textId="0EA36029" w:rsidR="00665B8E" w:rsidRPr="002532DB" w:rsidRDefault="00665B8E" w:rsidP="00B97CF4">
      <w:pPr>
        <w:pStyle w:val="ListBullet3"/>
        <w:jc w:val="left"/>
        <w:rPr>
          <w:b/>
          <w:bCs/>
        </w:rPr>
      </w:pPr>
      <w:r w:rsidRPr="002532DB">
        <w:rPr>
          <w:b/>
          <w:bCs/>
        </w:rPr>
        <w:t>California Energy Code</w:t>
      </w:r>
    </w:p>
    <w:p w14:paraId="361EA0DE" w14:textId="77777777" w:rsidR="00665B8E" w:rsidRPr="00BA3BBD" w:rsidRDefault="00665B8E" w:rsidP="00B97CF4">
      <w:pPr>
        <w:pStyle w:val="ListBullet3"/>
        <w:numPr>
          <w:ilvl w:val="0"/>
          <w:numId w:val="0"/>
        </w:numPr>
        <w:ind w:left="720"/>
        <w:jc w:val="left"/>
        <w:rPr>
          <w:color w:val="404040"/>
        </w:rPr>
      </w:pPr>
      <w:r w:rsidRPr="00BA3BBD">
        <w:t xml:space="preserve">The Energy Code is a component of the California Building Standards Code, and is published every three years through the collaborative efforts of state agencies including the California Building Standards Commission and the </w:t>
      </w:r>
      <w:r>
        <w:t>CEC</w:t>
      </w:r>
      <w:r w:rsidRPr="00BA3BBD">
        <w:t>. The Code ensures that new and existing buildings achieve energy efficiency and preserve outdoor and indoor environmental quality through use of the most energy ef</w:t>
      </w:r>
      <w:r w:rsidRPr="00BA3BBD">
        <w:softHyphen/>
        <w:t>ficient technologies and construction</w:t>
      </w:r>
      <w:r w:rsidRPr="00BA3BBD">
        <w:rPr>
          <w:rFonts w:cs="Frutiger LT Std 57 Cn"/>
          <w:color w:val="000000"/>
          <w:sz w:val="18"/>
          <w:szCs w:val="18"/>
        </w:rPr>
        <w:t>.</w:t>
      </w:r>
    </w:p>
    <w:p w14:paraId="500E430F" w14:textId="1C3BFA98" w:rsidR="00665B8E" w:rsidRDefault="00665B8E" w:rsidP="00B97CF4">
      <w:pPr>
        <w:pStyle w:val="ListBullet3"/>
        <w:numPr>
          <w:ilvl w:val="0"/>
          <w:numId w:val="0"/>
        </w:numPr>
        <w:ind w:left="720"/>
        <w:jc w:val="left"/>
      </w:pPr>
      <w:r w:rsidRPr="00BA3BBD">
        <w:rPr>
          <w:szCs w:val="22"/>
        </w:rPr>
        <w:t>Additional information:</w:t>
      </w:r>
      <w:r w:rsidRPr="00BA3BBD">
        <w:t xml:space="preserve"> </w:t>
      </w:r>
      <w:hyperlink r:id="rId44" w:history="1">
        <w:r w:rsidR="0023219F" w:rsidRPr="0023219F">
          <w:rPr>
            <w:rStyle w:val="Hyperlink"/>
            <w:rFonts w:cs="Arial"/>
          </w:rPr>
          <w:t>Building Energy Efficiency Standards</w:t>
        </w:r>
      </w:hyperlink>
      <w:r w:rsidR="0023219F">
        <w:t xml:space="preserve"> </w:t>
      </w:r>
      <w:r w:rsidRPr="00BA3BBD">
        <w:t>http://www.energy.ca.gov/title24/</w:t>
      </w:r>
      <w:r w:rsidR="00BB0B0E">
        <w:t>.</w:t>
      </w:r>
      <w:r w:rsidRPr="00BA3BBD">
        <w:t xml:space="preserve"> </w:t>
      </w:r>
    </w:p>
    <w:p w14:paraId="0C30215A" w14:textId="29213437" w:rsidR="00665B8E" w:rsidRDefault="00665B8E" w:rsidP="00B97CF4">
      <w:pPr>
        <w:pStyle w:val="ListBullet3"/>
        <w:numPr>
          <w:ilvl w:val="0"/>
          <w:numId w:val="0"/>
        </w:numPr>
        <w:ind w:left="720"/>
        <w:jc w:val="left"/>
      </w:pPr>
      <w:r w:rsidRPr="00BA3BBD">
        <w:t>Applicable Law: California Code of Regulations, Title 24, Part 6 and associated administrative regulations in Part 1</w:t>
      </w:r>
      <w:r w:rsidR="00BB0B0E">
        <w:t>.</w:t>
      </w:r>
    </w:p>
    <w:p w14:paraId="7FAA0177" w14:textId="77777777" w:rsidR="00FE6F92" w:rsidRPr="00FE6F92" w:rsidRDefault="00FE6F92" w:rsidP="00B97CF4">
      <w:pPr>
        <w:pStyle w:val="ListParagraph"/>
        <w:numPr>
          <w:ilvl w:val="0"/>
          <w:numId w:val="60"/>
        </w:numPr>
        <w:shd w:val="clear" w:color="auto" w:fill="FFFFFF" w:themeFill="background1"/>
        <w:spacing w:before="240"/>
        <w:contextualSpacing w:val="0"/>
        <w:jc w:val="left"/>
        <w:rPr>
          <w:rFonts w:eastAsia="Arial"/>
        </w:rPr>
      </w:pPr>
      <w:r w:rsidRPr="00FE6F92">
        <w:rPr>
          <w:rFonts w:eastAsia="Arial"/>
          <w:b/>
          <w:bCs/>
        </w:rPr>
        <w:t>AB 1279 – The California Climate Crisis Act of 2022</w:t>
      </w:r>
    </w:p>
    <w:p w14:paraId="38071CDB" w14:textId="77777777" w:rsidR="00FE6F92" w:rsidRPr="00FE6F92" w:rsidRDefault="00FE6F92" w:rsidP="00B97CF4">
      <w:pPr>
        <w:shd w:val="clear" w:color="auto" w:fill="FFFFFF" w:themeFill="background1"/>
        <w:ind w:left="720"/>
        <w:jc w:val="left"/>
        <w:rPr>
          <w:rFonts w:eastAsia="Arial"/>
        </w:rPr>
      </w:pPr>
      <w:r w:rsidRPr="00FE6F92">
        <w:rPr>
          <w:rFonts w:eastAsia="Arial"/>
        </w:rPr>
        <w:t>AB 1279 establishes the statewide goal to achieve carbon neutrality as soon as possible, but no later than 2045. The State must maintain net negative GHG emissions thereafter and ensure that by 2045 Statewide anthropogenic GHG emissions are reduced at least 85 percent below 1990 levels.</w:t>
      </w:r>
    </w:p>
    <w:p w14:paraId="03EAC352" w14:textId="77777777" w:rsidR="00FE6F92" w:rsidRPr="00FE6F92" w:rsidRDefault="00FE6F92" w:rsidP="00B97CF4">
      <w:pPr>
        <w:shd w:val="clear" w:color="auto" w:fill="FFFFFF" w:themeFill="background1"/>
        <w:ind w:left="720"/>
        <w:jc w:val="left"/>
        <w:rPr>
          <w:rFonts w:eastAsia="Arial"/>
        </w:rPr>
      </w:pPr>
      <w:r w:rsidRPr="00FE6F92">
        <w:rPr>
          <w:rFonts w:eastAsia="Arial"/>
        </w:rPr>
        <w:t xml:space="preserve">Additional Information: </w:t>
      </w:r>
    </w:p>
    <w:p w14:paraId="6053D862" w14:textId="4579DC64" w:rsidR="00FE6F92" w:rsidRPr="00FE6F92" w:rsidRDefault="00690B3A" w:rsidP="00B97CF4">
      <w:pPr>
        <w:shd w:val="clear" w:color="auto" w:fill="FFFFFF" w:themeFill="background1"/>
        <w:ind w:left="720"/>
        <w:jc w:val="left"/>
        <w:rPr>
          <w:rFonts w:eastAsia="Arial"/>
        </w:rPr>
      </w:pPr>
      <w:hyperlink r:id="rId45">
        <w:r>
          <w:rPr>
            <w:rStyle w:val="Hyperlink"/>
            <w:rFonts w:eastAsia="Arial" w:cs="Arial"/>
            <w:color w:val="auto"/>
            <w:u w:val="none"/>
          </w:rPr>
          <w:t>AB 1279 Leg</w:t>
        </w:r>
      </w:hyperlink>
    </w:p>
    <w:p w14:paraId="0BA11F44" w14:textId="77777777" w:rsidR="00FE6F92" w:rsidRPr="00FE6F92" w:rsidRDefault="00FE6F92" w:rsidP="00B97CF4">
      <w:pPr>
        <w:pStyle w:val="ListParagraph"/>
        <w:numPr>
          <w:ilvl w:val="0"/>
          <w:numId w:val="60"/>
        </w:numPr>
        <w:spacing w:before="240"/>
        <w:contextualSpacing w:val="0"/>
        <w:jc w:val="left"/>
        <w:rPr>
          <w:rFonts w:eastAsia="Arial"/>
        </w:rPr>
      </w:pPr>
      <w:r w:rsidRPr="00FE6F92">
        <w:rPr>
          <w:rFonts w:eastAsia="Arial"/>
          <w:b/>
          <w:bCs/>
        </w:rPr>
        <w:t>SB 379 - Land use: general plan: safety element (2015)</w:t>
      </w:r>
    </w:p>
    <w:p w14:paraId="3F392A40" w14:textId="77777777" w:rsidR="00FE6F92" w:rsidRPr="00FE6F92" w:rsidRDefault="00FE6F92" w:rsidP="00B97CF4">
      <w:pPr>
        <w:shd w:val="clear" w:color="auto" w:fill="FFFFFF" w:themeFill="background1"/>
        <w:ind w:left="720"/>
        <w:jc w:val="left"/>
        <w:rPr>
          <w:rFonts w:eastAsia="Arial"/>
        </w:rPr>
      </w:pPr>
      <w:r w:rsidRPr="00FE6F92">
        <w:rPr>
          <w:rFonts w:eastAsia="Arial"/>
        </w:rPr>
        <w:t>SB 379 amended Government Code Section 65302(g) to require that all California cities and counties incorporate climate adaptation and resiliency into the safety element of their general plans, or by reference to other documents, by completing a vulnerability assessment, addressing climate adaptation and resiliency strategies applicable to that city or county, and to develop goals, policies, objectives, and implementation measures.</w:t>
      </w:r>
    </w:p>
    <w:p w14:paraId="0F16BC15" w14:textId="77777777" w:rsidR="00FE6F92" w:rsidRPr="00FE6F92" w:rsidRDefault="00FE6F92" w:rsidP="00B97CF4">
      <w:pPr>
        <w:shd w:val="clear" w:color="auto" w:fill="FFFFFF" w:themeFill="background1"/>
        <w:ind w:left="720"/>
        <w:jc w:val="left"/>
        <w:rPr>
          <w:rFonts w:eastAsia="Arial"/>
        </w:rPr>
      </w:pPr>
      <w:r w:rsidRPr="00FE6F92">
        <w:rPr>
          <w:rFonts w:eastAsia="Arial"/>
        </w:rPr>
        <w:t xml:space="preserve">Additional Information: </w:t>
      </w:r>
    </w:p>
    <w:p w14:paraId="763A3B81" w14:textId="0C17E491" w:rsidR="00FE6F92" w:rsidRPr="00FE6F92" w:rsidRDefault="00690B3A" w:rsidP="00B97CF4">
      <w:pPr>
        <w:shd w:val="clear" w:color="auto" w:fill="FFFFFF" w:themeFill="background1"/>
        <w:ind w:left="720"/>
        <w:jc w:val="left"/>
        <w:rPr>
          <w:rFonts w:eastAsia="Arial"/>
        </w:rPr>
      </w:pPr>
      <w:hyperlink r:id="rId46">
        <w:r>
          <w:rPr>
            <w:rStyle w:val="Hyperlink"/>
            <w:rFonts w:eastAsia="Arial" w:cs="Arial"/>
            <w:color w:val="auto"/>
            <w:u w:val="none"/>
          </w:rPr>
          <w:t>SB 379 Leg</w:t>
        </w:r>
      </w:hyperlink>
    </w:p>
    <w:p w14:paraId="3309C7D0" w14:textId="77777777" w:rsidR="00FE6F92" w:rsidRPr="00FE6F92" w:rsidRDefault="00FE6F92" w:rsidP="00B97CF4">
      <w:pPr>
        <w:shd w:val="clear" w:color="auto" w:fill="FFFFFF" w:themeFill="background1"/>
        <w:ind w:left="720"/>
        <w:jc w:val="left"/>
        <w:rPr>
          <w:rFonts w:eastAsia="Arial"/>
        </w:rPr>
      </w:pPr>
      <w:r w:rsidRPr="00FE6F92">
        <w:rPr>
          <w:rFonts w:eastAsia="Arial"/>
        </w:rPr>
        <w:t>Applicable Law: California Government Code § 65302</w:t>
      </w:r>
    </w:p>
    <w:p w14:paraId="19434B75" w14:textId="77777777" w:rsidR="00FE6F92" w:rsidRPr="00FE6F92" w:rsidRDefault="00FE6F92" w:rsidP="00B97CF4">
      <w:pPr>
        <w:pStyle w:val="ListParagraph"/>
        <w:numPr>
          <w:ilvl w:val="0"/>
          <w:numId w:val="60"/>
        </w:numPr>
        <w:shd w:val="clear" w:color="auto" w:fill="FFFFFF" w:themeFill="background1"/>
        <w:spacing w:before="240"/>
        <w:contextualSpacing w:val="0"/>
        <w:jc w:val="left"/>
        <w:rPr>
          <w:rFonts w:eastAsia="Arial"/>
        </w:rPr>
      </w:pPr>
      <w:r w:rsidRPr="00FE6F92">
        <w:rPr>
          <w:rFonts w:eastAsia="Arial"/>
          <w:b/>
          <w:bCs/>
        </w:rPr>
        <w:t xml:space="preserve">SB 1035: </w:t>
      </w:r>
    </w:p>
    <w:p w14:paraId="77F2265F" w14:textId="77777777" w:rsidR="00D96372" w:rsidRDefault="00FE6F92" w:rsidP="00B97CF4">
      <w:pPr>
        <w:shd w:val="clear" w:color="auto" w:fill="FFFFFF" w:themeFill="background1"/>
        <w:ind w:left="720"/>
        <w:jc w:val="left"/>
        <w:rPr>
          <w:rFonts w:eastAsia="Arial"/>
        </w:rPr>
      </w:pPr>
      <w:r w:rsidRPr="00FE6F92">
        <w:rPr>
          <w:rFonts w:eastAsia="Arial"/>
        </w:rPr>
        <w:t xml:space="preserve">SB 1035 amended Government Code Section 65302(g) to require regular safety element reviews and, if necessary, updates to local hazard mitigation plans to </w:t>
      </w:r>
    </w:p>
    <w:p w14:paraId="45B299A0" w14:textId="1FB6F822" w:rsidR="00FE6F92" w:rsidRPr="00FE6F92" w:rsidRDefault="00FE6F92" w:rsidP="00B97CF4">
      <w:pPr>
        <w:shd w:val="clear" w:color="auto" w:fill="FFFFFF" w:themeFill="background1"/>
        <w:ind w:left="720"/>
        <w:jc w:val="left"/>
        <w:rPr>
          <w:rFonts w:eastAsia="Arial"/>
        </w:rPr>
      </w:pPr>
      <w:r w:rsidRPr="00FE6F92">
        <w:rPr>
          <w:rFonts w:eastAsia="Arial"/>
        </w:rPr>
        <w:lastRenderedPageBreak/>
        <w:t>identify new information relating to flood and fire hazards and climate adaptation and resiliency strategies.</w:t>
      </w:r>
    </w:p>
    <w:p w14:paraId="6FBC6BF5" w14:textId="77777777" w:rsidR="00FE6F92" w:rsidRPr="00FE6F92" w:rsidRDefault="00FE6F92" w:rsidP="00B97CF4">
      <w:pPr>
        <w:shd w:val="clear" w:color="auto" w:fill="FFFFFF" w:themeFill="background1"/>
        <w:ind w:left="720"/>
        <w:jc w:val="left"/>
        <w:rPr>
          <w:rFonts w:eastAsia="Arial"/>
        </w:rPr>
      </w:pPr>
      <w:r w:rsidRPr="00FE6F92">
        <w:rPr>
          <w:rFonts w:eastAsia="Arial"/>
        </w:rPr>
        <w:t xml:space="preserve">Additional information: </w:t>
      </w:r>
    </w:p>
    <w:p w14:paraId="2A86983B" w14:textId="7E9EE8ED" w:rsidR="00FE6F92" w:rsidRPr="00FE6F92" w:rsidRDefault="00690B3A" w:rsidP="00B97CF4">
      <w:pPr>
        <w:shd w:val="clear" w:color="auto" w:fill="FFFFFF" w:themeFill="background1"/>
        <w:ind w:left="720"/>
        <w:jc w:val="left"/>
        <w:rPr>
          <w:rFonts w:eastAsia="Arial"/>
        </w:rPr>
      </w:pPr>
      <w:hyperlink r:id="rId47">
        <w:r>
          <w:rPr>
            <w:rStyle w:val="Hyperlink"/>
            <w:rFonts w:eastAsia="Arial" w:cs="Arial"/>
            <w:color w:val="auto"/>
            <w:u w:val="none"/>
          </w:rPr>
          <w:t>SB 1035 Leg</w:t>
        </w:r>
      </w:hyperlink>
      <w:r w:rsidR="00FE6F92" w:rsidRPr="00FE6F92">
        <w:rPr>
          <w:rFonts w:eastAsia="Arial"/>
        </w:rPr>
        <w:t>.</w:t>
      </w:r>
    </w:p>
    <w:p w14:paraId="088ADD96" w14:textId="77777777" w:rsidR="00FE6F92" w:rsidRPr="00FE6F92" w:rsidRDefault="00FE6F92" w:rsidP="00B97CF4">
      <w:pPr>
        <w:shd w:val="clear" w:color="auto" w:fill="FFFFFF" w:themeFill="background1"/>
        <w:ind w:left="720"/>
        <w:jc w:val="left"/>
        <w:rPr>
          <w:rFonts w:eastAsia="Arial"/>
        </w:rPr>
      </w:pPr>
      <w:r w:rsidRPr="00FE6F92">
        <w:rPr>
          <w:rFonts w:eastAsia="Arial"/>
        </w:rPr>
        <w:t>Applicable Law: California Government Code § 65302</w:t>
      </w:r>
    </w:p>
    <w:p w14:paraId="52638847" w14:textId="77777777" w:rsidR="00FE6F92" w:rsidRPr="00FE6F92" w:rsidRDefault="00FE6F92" w:rsidP="00B97CF4">
      <w:pPr>
        <w:pStyle w:val="ListParagraph"/>
        <w:numPr>
          <w:ilvl w:val="0"/>
          <w:numId w:val="59"/>
        </w:numPr>
        <w:spacing w:after="0"/>
        <w:contextualSpacing w:val="0"/>
        <w:jc w:val="left"/>
      </w:pPr>
      <w:r w:rsidRPr="00FE6F92">
        <w:rPr>
          <w:b/>
          <w:bCs/>
        </w:rPr>
        <w:t>SB 254:</w:t>
      </w:r>
      <w:r w:rsidRPr="00FE6F92">
        <w:t xml:space="preserve"> </w:t>
      </w:r>
    </w:p>
    <w:p w14:paraId="4F6FDBE4" w14:textId="77777777" w:rsidR="00FE6F92" w:rsidRPr="00FE6F92" w:rsidRDefault="00FE6F92" w:rsidP="00B97CF4">
      <w:pPr>
        <w:pStyle w:val="ListParagraph"/>
        <w:spacing w:after="0"/>
        <w:jc w:val="left"/>
      </w:pPr>
      <w:r w:rsidRPr="00FE6F92">
        <w:t>SB 254 requires utilities and regulators to evaluate wildfire mitigation strategies with greater emphasis on cost-effectiveness in reducing wildfire ignition risk from electric infrastructure. It also directs the Wildfire Fund Administrator to conduct a review of California’s wildfire liability and catastrophe risk framework, including alternative approaches to wildfire damage compensation, insurance affordability, utility liability, and post-fire recovery.</w:t>
      </w:r>
    </w:p>
    <w:p w14:paraId="11539A57" w14:textId="77777777" w:rsidR="00FE6F92" w:rsidRPr="00FE6F92" w:rsidRDefault="00FE6F92" w:rsidP="00B97CF4">
      <w:pPr>
        <w:pStyle w:val="ListParagraph"/>
        <w:spacing w:after="0"/>
        <w:jc w:val="left"/>
      </w:pPr>
    </w:p>
    <w:p w14:paraId="4F54AD48" w14:textId="77777777" w:rsidR="00FE6F92" w:rsidRPr="00FE6F92" w:rsidRDefault="00FE6F92" w:rsidP="00B97CF4">
      <w:pPr>
        <w:pStyle w:val="ListParagraph"/>
        <w:spacing w:after="0"/>
        <w:jc w:val="left"/>
      </w:pPr>
      <w:r w:rsidRPr="00FE6F92">
        <w:t>Additional information:</w:t>
      </w:r>
    </w:p>
    <w:p w14:paraId="7E888D67" w14:textId="0CA2BA66" w:rsidR="00FE6F92" w:rsidRPr="00FE6F92" w:rsidRDefault="00690B3A" w:rsidP="00B97CF4">
      <w:pPr>
        <w:pStyle w:val="ListParagraph"/>
        <w:spacing w:after="0"/>
        <w:jc w:val="left"/>
      </w:pPr>
      <w:hyperlink r:id="rId48" w:history="1">
        <w:r>
          <w:rPr>
            <w:rStyle w:val="Hyperlink"/>
            <w:color w:val="auto"/>
          </w:rPr>
          <w:t>SB 254 Leg</w:t>
        </w:r>
      </w:hyperlink>
    </w:p>
    <w:p w14:paraId="21B4078D" w14:textId="77777777" w:rsidR="00FE6F92" w:rsidRPr="00BA3BBD" w:rsidRDefault="00FE6F92" w:rsidP="007D64B7">
      <w:pPr>
        <w:pStyle w:val="ListBullet3"/>
        <w:numPr>
          <w:ilvl w:val="0"/>
          <w:numId w:val="0"/>
        </w:numPr>
        <w:spacing w:after="0"/>
        <w:jc w:val="left"/>
      </w:pPr>
    </w:p>
    <w:p w14:paraId="118CEF43" w14:textId="57146FA7" w:rsidR="00665B8E" w:rsidRPr="00BA3BBD" w:rsidRDefault="00665B8E" w:rsidP="00B97CF4">
      <w:pPr>
        <w:pStyle w:val="Heading5"/>
        <w:jc w:val="left"/>
      </w:pPr>
      <w:r w:rsidRPr="00BA3BBD">
        <w:t>Policies/Plans</w:t>
      </w:r>
    </w:p>
    <w:p w14:paraId="76514AC7" w14:textId="24FB54CE" w:rsidR="00665B8E" w:rsidRPr="00F56D2E" w:rsidRDefault="00665B8E" w:rsidP="00B97CF4">
      <w:pPr>
        <w:pStyle w:val="ListBullet3"/>
        <w:jc w:val="left"/>
        <w:rPr>
          <w:b/>
          <w:bCs/>
        </w:rPr>
      </w:pPr>
      <w:r w:rsidRPr="00F56D2E">
        <w:rPr>
          <w:b/>
          <w:bCs/>
        </w:rPr>
        <w:t>Integrated Energy Policy Report</w:t>
      </w:r>
      <w:r w:rsidR="00FE6F92">
        <w:rPr>
          <w:b/>
          <w:bCs/>
        </w:rPr>
        <w:t xml:space="preserve"> (IEPR)</w:t>
      </w:r>
      <w:r w:rsidRPr="00F56D2E">
        <w:rPr>
          <w:b/>
          <w:bCs/>
        </w:rPr>
        <w:t xml:space="preserve"> (Biennial)</w:t>
      </w:r>
    </w:p>
    <w:p w14:paraId="27AEA8A9" w14:textId="77777777" w:rsidR="00665B8E" w:rsidRPr="00BA3BBD" w:rsidRDefault="00665B8E" w:rsidP="00B97CF4">
      <w:pPr>
        <w:pStyle w:val="ListBullet3"/>
        <w:numPr>
          <w:ilvl w:val="0"/>
          <w:numId w:val="0"/>
        </w:numPr>
        <w:ind w:left="720"/>
        <w:jc w:val="left"/>
      </w:pPr>
      <w:r w:rsidRPr="00BA3BBD">
        <w:t xml:space="preserve">California Public Resources Code Section 25302 requires the </w:t>
      </w:r>
      <w:r>
        <w:t>CEC</w:t>
      </w:r>
      <w:r w:rsidRPr="00BA3BBD">
        <w:t xml:space="preserve"> to release a biennial report that provides an overview of major energy trends and issues facing the state. </w:t>
      </w:r>
      <w:r w:rsidRPr="00BA3BBD">
        <w:rPr>
          <w:szCs w:val="24"/>
        </w:rPr>
        <w:t xml:space="preserve">The IEPR assesses and forecasts all aspects of energy industry supply, production, transportation, delivery, distribution, demand, and pricing. The </w:t>
      </w:r>
      <w:r>
        <w:rPr>
          <w:szCs w:val="24"/>
        </w:rPr>
        <w:t>CEC</w:t>
      </w:r>
      <w:r w:rsidRPr="00BA3BBD">
        <w:rPr>
          <w:szCs w:val="24"/>
        </w:rPr>
        <w:t xml:space="preserve"> uses these assessments and forecasts to develop energy policies</w:t>
      </w:r>
      <w:r>
        <w:rPr>
          <w:szCs w:val="24"/>
        </w:rPr>
        <w:t xml:space="preserve"> and provide </w:t>
      </w:r>
      <w:r w:rsidRPr="00BA3BBD">
        <w:rPr>
          <w:szCs w:val="24"/>
        </w:rPr>
        <w:t>recommendations for future research and analysis areas.</w:t>
      </w:r>
    </w:p>
    <w:p w14:paraId="72891250" w14:textId="6253E1F5" w:rsidR="00665B8E" w:rsidRPr="00BA3BBD" w:rsidRDefault="00665B8E" w:rsidP="00B97CF4">
      <w:pPr>
        <w:pStyle w:val="ListBullet3"/>
        <w:numPr>
          <w:ilvl w:val="0"/>
          <w:numId w:val="0"/>
        </w:numPr>
        <w:ind w:left="720"/>
        <w:jc w:val="left"/>
      </w:pPr>
      <w:r w:rsidRPr="00BA3BBD">
        <w:rPr>
          <w:szCs w:val="22"/>
        </w:rPr>
        <w:t>Additional information:</w:t>
      </w:r>
      <w:r w:rsidRPr="00BA3BBD">
        <w:t xml:space="preserve"> </w:t>
      </w:r>
      <w:hyperlink r:id="rId49" w:history="1">
        <w:r w:rsidR="00F56D2E" w:rsidRPr="001771C2">
          <w:rPr>
            <w:rStyle w:val="Hyperlink"/>
            <w:rFonts w:cs="Arial"/>
          </w:rPr>
          <w:t>Integrated Energy Policy Report</w:t>
        </w:r>
      </w:hyperlink>
      <w:r w:rsidR="0023219F">
        <w:t xml:space="preserve"> </w:t>
      </w:r>
      <w:r w:rsidR="0023219F" w:rsidRPr="0023219F">
        <w:t>https://www.energy.</w:t>
      </w:r>
      <w:r w:rsidR="00F56D2E" w:rsidRPr="00A204DC">
        <w:t>​</w:t>
      </w:r>
      <w:r w:rsidR="0023219F" w:rsidRPr="0023219F">
        <w:t>ca.gov/</w:t>
      </w:r>
      <w:r w:rsidR="0023219F" w:rsidRPr="00A204DC">
        <w:t>​</w:t>
      </w:r>
      <w:r w:rsidR="0023219F" w:rsidRPr="0023219F">
        <w:t>data-reports/reports/integrated-energy-policy-report-iepr</w:t>
      </w:r>
      <w:r w:rsidR="00BB0B0E">
        <w:t>.</w:t>
      </w:r>
      <w:r w:rsidR="0023219F" w:rsidRPr="0023219F" w:rsidDel="0023219F">
        <w:t xml:space="preserve"> </w:t>
      </w:r>
    </w:p>
    <w:p w14:paraId="0F908CBD" w14:textId="77777777" w:rsidR="00665B8E" w:rsidRPr="00BA3BBD" w:rsidRDefault="00665B8E" w:rsidP="00B97CF4">
      <w:pPr>
        <w:pStyle w:val="ListBullet3"/>
        <w:numPr>
          <w:ilvl w:val="0"/>
          <w:numId w:val="0"/>
        </w:numPr>
        <w:ind w:left="720"/>
        <w:jc w:val="left"/>
      </w:pPr>
      <w:r w:rsidRPr="00BA3BBD">
        <w:t xml:space="preserve">Applicable Law: California Public Resources Code § 25300 et seq. </w:t>
      </w:r>
    </w:p>
    <w:p w14:paraId="03E4C58E" w14:textId="77777777" w:rsidR="00120E5C" w:rsidRPr="00120E5C" w:rsidRDefault="00120E5C" w:rsidP="00B97CF4">
      <w:pPr>
        <w:keepNext/>
        <w:numPr>
          <w:ilvl w:val="0"/>
          <w:numId w:val="5"/>
        </w:numPr>
        <w:tabs>
          <w:tab w:val="left" w:pos="720"/>
        </w:tabs>
        <w:ind w:left="720"/>
        <w:jc w:val="left"/>
        <w:rPr>
          <w:b/>
          <w:bCs/>
        </w:rPr>
      </w:pPr>
      <w:r w:rsidRPr="00120E5C">
        <w:rPr>
          <w:b/>
          <w:bCs/>
        </w:rPr>
        <w:t xml:space="preserve">CPUC Rulemaking </w:t>
      </w:r>
      <w:r w:rsidRPr="00120E5C">
        <w:t>18-04-019</w:t>
      </w:r>
      <w:r w:rsidRPr="00120E5C">
        <w:rPr>
          <w:b/>
          <w:bCs/>
        </w:rPr>
        <w:t>, “Order Instituting Rulemaking to Consider Strategies and Guidance for Climate Change Adaptation” (2018)</w:t>
      </w:r>
    </w:p>
    <w:p w14:paraId="7A7B9247" w14:textId="77777777" w:rsidR="00120E5C" w:rsidRPr="00120E5C" w:rsidRDefault="00120E5C" w:rsidP="00B97CF4">
      <w:pPr>
        <w:keepNext/>
        <w:tabs>
          <w:tab w:val="left" w:pos="720"/>
        </w:tabs>
        <w:ind w:left="720"/>
        <w:jc w:val="left"/>
      </w:pPr>
      <w:r w:rsidRPr="00120E5C">
        <w:t>In this Order Instituting Rulemaking, the CPUC considers strategies to integrate climate change adaptation matters in relevant CPUC proceedings. The rulemaking involves multiple phases to deal with aspects of the water, telecommunication, electric, and gas utilities that require adaptation to climate change.</w:t>
      </w:r>
    </w:p>
    <w:p w14:paraId="71A7A8BF" w14:textId="77777777" w:rsidR="00120E5C" w:rsidRPr="00120E5C" w:rsidRDefault="00120E5C" w:rsidP="00B97CF4">
      <w:pPr>
        <w:keepNext/>
        <w:tabs>
          <w:tab w:val="left" w:pos="720"/>
        </w:tabs>
        <w:ind w:left="720"/>
        <w:jc w:val="left"/>
      </w:pPr>
      <w:r w:rsidRPr="00120E5C">
        <w:t xml:space="preserve">Additional Information: </w:t>
      </w:r>
    </w:p>
    <w:p w14:paraId="4801AA70" w14:textId="44F581EA" w:rsidR="00120E5C" w:rsidRPr="003D0138" w:rsidRDefault="00690B3A" w:rsidP="00B97CF4">
      <w:pPr>
        <w:keepNext/>
        <w:tabs>
          <w:tab w:val="left" w:pos="720"/>
        </w:tabs>
        <w:ind w:left="720"/>
        <w:jc w:val="left"/>
        <w:rPr>
          <w:rStyle w:val="Hyperlink"/>
          <w:rFonts w:cs="Arial"/>
        </w:rPr>
      </w:pPr>
      <w:hyperlink r:id="rId50" w:history="1">
        <w:r w:rsidRPr="003D0138">
          <w:rPr>
            <w:rStyle w:val="Hyperlink"/>
            <w:rFonts w:cs="Arial"/>
          </w:rPr>
          <w:t>CPUC Rulemaking 18-04-019</w:t>
        </w:r>
      </w:hyperlink>
    </w:p>
    <w:p w14:paraId="02F458B1" w14:textId="77777777" w:rsidR="00120E5C" w:rsidRPr="00120E5C" w:rsidRDefault="00120E5C" w:rsidP="00B97CF4">
      <w:pPr>
        <w:keepNext/>
        <w:numPr>
          <w:ilvl w:val="0"/>
          <w:numId w:val="5"/>
        </w:numPr>
        <w:tabs>
          <w:tab w:val="left" w:pos="720"/>
        </w:tabs>
        <w:ind w:left="720"/>
        <w:jc w:val="left"/>
        <w:rPr>
          <w:b/>
          <w:bCs/>
        </w:rPr>
      </w:pPr>
      <w:r w:rsidRPr="00120E5C">
        <w:rPr>
          <w:b/>
          <w:bCs/>
        </w:rPr>
        <w:t xml:space="preserve">CPUC Decision </w:t>
      </w:r>
      <w:r w:rsidRPr="00120E5C">
        <w:t>19-10-054</w:t>
      </w:r>
      <w:r w:rsidRPr="00120E5C">
        <w:rPr>
          <w:b/>
          <w:bCs/>
        </w:rPr>
        <w:t>, “Decision on Phase 1 Topics 1 And 2” (2019)</w:t>
      </w:r>
    </w:p>
    <w:p w14:paraId="72FB3525" w14:textId="77777777" w:rsidR="00120E5C" w:rsidRPr="00120E5C" w:rsidRDefault="00120E5C" w:rsidP="00B97CF4">
      <w:pPr>
        <w:keepNext/>
        <w:tabs>
          <w:tab w:val="left" w:pos="720"/>
        </w:tabs>
        <w:ind w:left="720"/>
        <w:jc w:val="left"/>
      </w:pPr>
      <w:r w:rsidRPr="00120E5C">
        <w:t xml:space="preserve">In support of Phase 1 of CPUC R.18-04-019 (described above), this decision defines climate change adaptation for energy utilities in California; identifies the California Fourth Climate Assessment and any subsequent assessments as the </w:t>
      </w:r>
      <w:r w:rsidRPr="00120E5C">
        <w:lastRenderedPageBreak/>
        <w:t>primary source of climate forecasts, pathways, and scientific studies; points to Cal-Adapt, which provides access to foundational data for California’s climate change assessments, as an acceptable source of data; and establishes the criteria for any further data or models that energy utilities may develop to understand climate impacts.</w:t>
      </w:r>
    </w:p>
    <w:p w14:paraId="2A32CB26" w14:textId="77777777" w:rsidR="00120E5C" w:rsidRPr="00120E5C" w:rsidRDefault="00120E5C" w:rsidP="00B97CF4">
      <w:pPr>
        <w:keepNext/>
        <w:tabs>
          <w:tab w:val="left" w:pos="720"/>
        </w:tabs>
        <w:ind w:left="720"/>
        <w:jc w:val="left"/>
      </w:pPr>
      <w:r w:rsidRPr="00120E5C">
        <w:t xml:space="preserve">Additional Information: </w:t>
      </w:r>
    </w:p>
    <w:p w14:paraId="79A84133" w14:textId="77777777" w:rsidR="00120E5C" w:rsidRPr="00120E5C" w:rsidRDefault="00120E5C" w:rsidP="00B97CF4">
      <w:pPr>
        <w:keepNext/>
        <w:tabs>
          <w:tab w:val="left" w:pos="720"/>
        </w:tabs>
        <w:ind w:left="720"/>
        <w:jc w:val="left"/>
      </w:pPr>
      <w:hyperlink r:id="rId51" w:history="1">
        <w:r w:rsidRPr="00120E5C">
          <w:rPr>
            <w:rStyle w:val="Hyperlink"/>
            <w:rFonts w:cs="Arial"/>
            <w:color w:val="auto"/>
          </w:rPr>
          <w:t>https://docs.cpuc.ca.gov/PublishedDocs/Published/G000/M319/K075/319075453.PDF</w:t>
        </w:r>
      </w:hyperlink>
    </w:p>
    <w:p w14:paraId="46DA3DE9" w14:textId="77777777" w:rsidR="00120E5C" w:rsidRPr="00120E5C" w:rsidRDefault="00120E5C" w:rsidP="00B97CF4">
      <w:pPr>
        <w:pStyle w:val="ListParagraph"/>
        <w:keepNext/>
        <w:numPr>
          <w:ilvl w:val="0"/>
          <w:numId w:val="5"/>
        </w:numPr>
        <w:tabs>
          <w:tab w:val="left" w:pos="720"/>
        </w:tabs>
        <w:ind w:left="720"/>
        <w:contextualSpacing w:val="0"/>
        <w:jc w:val="left"/>
        <w:rPr>
          <w:b/>
          <w:bCs/>
        </w:rPr>
      </w:pPr>
      <w:r w:rsidRPr="00120E5C">
        <w:rPr>
          <w:b/>
          <w:bCs/>
        </w:rPr>
        <w:t>CPUC Decision 20-08-046, “Decision on Energy Utility Climate Change Vulnerability Assessments and Climate Adaptation in Disadvantaged Communities (Phase 1, Topics 4 And 5)” (2020)</w:t>
      </w:r>
    </w:p>
    <w:p w14:paraId="3D85DB34" w14:textId="77777777" w:rsidR="00120E5C" w:rsidRPr="00120E5C" w:rsidRDefault="00120E5C" w:rsidP="00B97CF4">
      <w:pPr>
        <w:pStyle w:val="ListParagraph"/>
        <w:keepNext/>
        <w:tabs>
          <w:tab w:val="left" w:pos="720"/>
        </w:tabs>
        <w:jc w:val="left"/>
      </w:pPr>
      <w:r w:rsidRPr="00120E5C">
        <w:t>In support of CPUC R.18-04-019 (described above), this decision defines Disadvantaged and Vulnerable Communities and Utility Vulnerability Assessments. It requires IOUs to develop and file climate vulnerability assessments and community engagement plans, including a discussion of how the energy utilities promote equity related to their climate adaptation plans.</w:t>
      </w:r>
    </w:p>
    <w:p w14:paraId="53371F46" w14:textId="77777777" w:rsidR="00120E5C" w:rsidRPr="00120E5C" w:rsidRDefault="00120E5C" w:rsidP="00B97CF4">
      <w:pPr>
        <w:pStyle w:val="ListParagraph"/>
        <w:keepNext/>
        <w:tabs>
          <w:tab w:val="left" w:pos="720"/>
        </w:tabs>
        <w:jc w:val="left"/>
      </w:pPr>
      <w:r w:rsidRPr="00120E5C">
        <w:t xml:space="preserve">Additional Information: </w:t>
      </w:r>
    </w:p>
    <w:p w14:paraId="3091F64A" w14:textId="28D1E0CD" w:rsidR="00120E5C" w:rsidRPr="00120E5C" w:rsidRDefault="00120E5C" w:rsidP="00B97CF4">
      <w:pPr>
        <w:pStyle w:val="ListParagraph"/>
        <w:keepNext/>
        <w:tabs>
          <w:tab w:val="left" w:pos="720"/>
        </w:tabs>
        <w:jc w:val="left"/>
      </w:pPr>
      <w:hyperlink r:id="rId52" w:history="1">
        <w:r w:rsidRPr="00120E5C">
          <w:rPr>
            <w:rStyle w:val="Hyperlink"/>
            <w:rFonts w:cs="Arial"/>
            <w:color w:val="auto"/>
          </w:rPr>
          <w:t>https://docs.cpuc.ca.gov/PublishedDocs/Published/G000/M346/K285/346285534.PDF</w:t>
        </w:r>
      </w:hyperlink>
    </w:p>
    <w:p w14:paraId="1DD8C7A0" w14:textId="36A709E3" w:rsidR="0038102B" w:rsidRDefault="0038102B" w:rsidP="00B97CF4">
      <w:pPr>
        <w:pStyle w:val="ListBullet3"/>
        <w:jc w:val="left"/>
        <w:rPr>
          <w:rStyle w:val="cf11"/>
          <w:rFonts w:ascii="Arial" w:hAnsi="Arial" w:cs="Arial"/>
          <w:b/>
          <w:bCs/>
          <w:color w:val="00B050"/>
          <w:sz w:val="22"/>
          <w:szCs w:val="22"/>
        </w:rPr>
      </w:pPr>
      <w:r w:rsidRPr="664EB355">
        <w:t>CPUC Rule</w:t>
      </w:r>
      <w:r w:rsidRPr="00DB7AAA">
        <w:t>making</w:t>
      </w:r>
      <w:r w:rsidRPr="00DB7AAA">
        <w:rPr>
          <w:rStyle w:val="Heading1Char"/>
          <w:rFonts w:cs="Arial"/>
          <w:b/>
          <w:sz w:val="22"/>
          <w:szCs w:val="22"/>
        </w:rPr>
        <w:t xml:space="preserve"> </w:t>
      </w:r>
      <w:r w:rsidRPr="00DB7AAA">
        <w:rPr>
          <w:rStyle w:val="cf01"/>
          <w:rFonts w:ascii="Arial" w:hAnsi="Arial" w:cs="Arial"/>
          <w:sz w:val="22"/>
          <w:szCs w:val="22"/>
        </w:rPr>
        <w:t>26-04-016, Refine the Risk-Based Decision-Making Framework for Electric and Gas Utilities</w:t>
      </w:r>
    </w:p>
    <w:p w14:paraId="206F148D" w14:textId="77777777" w:rsidR="0038102B" w:rsidRDefault="0038102B" w:rsidP="00B97CF4">
      <w:pPr>
        <w:pStyle w:val="ListBullet3"/>
        <w:numPr>
          <w:ilvl w:val="0"/>
          <w:numId w:val="0"/>
        </w:numPr>
        <w:ind w:left="720"/>
        <w:jc w:val="left"/>
      </w:pPr>
      <w:r w:rsidRPr="664EB355">
        <w:t>The Rulemaking considers ways to strengthen the risk-based decision-making framework that regulated energy utilities use to assess, manage, mitigate</w:t>
      </w:r>
      <w:r w:rsidRPr="4900BC06">
        <w:t>,</w:t>
      </w:r>
      <w:r w:rsidRPr="664EB355">
        <w:t xml:space="preserve"> and minimize safety risks.</w:t>
      </w:r>
    </w:p>
    <w:p w14:paraId="60742D60" w14:textId="77777777" w:rsidR="0038102B" w:rsidRDefault="0038102B" w:rsidP="00B97CF4">
      <w:pPr>
        <w:pStyle w:val="ListBullet3"/>
        <w:numPr>
          <w:ilvl w:val="0"/>
          <w:numId w:val="0"/>
        </w:numPr>
        <w:ind w:left="720"/>
        <w:jc w:val="left"/>
      </w:pPr>
      <w:r w:rsidRPr="664EB355">
        <w:t>Additional information: https://docs.cpuc.ca.gov/PublishedDocs/Published/G000/M606/K216/606216455.PDF</w:t>
      </w:r>
    </w:p>
    <w:p w14:paraId="4A1C833A" w14:textId="64CD57EB" w:rsidR="00665B8E" w:rsidRPr="00F56D2E" w:rsidRDefault="00665B8E" w:rsidP="00B97CF4">
      <w:pPr>
        <w:pStyle w:val="ListBullet3"/>
        <w:jc w:val="left"/>
        <w:rPr>
          <w:b/>
          <w:bCs/>
        </w:rPr>
      </w:pPr>
      <w:r w:rsidRPr="00F56D2E">
        <w:rPr>
          <w:b/>
          <w:bCs/>
        </w:rPr>
        <w:t>California’s Existing Buildings Energy Efficiency Action Plan</w:t>
      </w:r>
    </w:p>
    <w:p w14:paraId="42E31300" w14:textId="77777777" w:rsidR="00665B8E" w:rsidRPr="00BA3BBD" w:rsidRDefault="00665B8E" w:rsidP="00B97CF4">
      <w:pPr>
        <w:pStyle w:val="ListBullet3"/>
        <w:numPr>
          <w:ilvl w:val="0"/>
          <w:numId w:val="0"/>
        </w:numPr>
        <w:ind w:left="720"/>
        <w:jc w:val="left"/>
      </w:pPr>
      <w:r w:rsidRPr="00BA3BBD">
        <w:t>The Existing Buildings Energy Efficiency Action Plan provides a 10-year roadmap to activate market forces and transform California’s existing residential, commercial, and public building stock into high performing and energy efficient buildings. The Plan provides a comprehensive framework centered on five goals, each with an objective and a series of strategies to achieve it. Each strategy includes industry and/or government implementation partners. Water related items are addressed in several of the strategies from the Existing Buildings Energy Efficiency Action Plan including but not limited to strategies 1.5, 2.2, 4.1, and 5.7 from the plan.</w:t>
      </w:r>
    </w:p>
    <w:p w14:paraId="1C5CB30E" w14:textId="0431C7CB" w:rsidR="00665B8E" w:rsidRDefault="00665B8E" w:rsidP="00B97CF4">
      <w:pPr>
        <w:pStyle w:val="ListBullet3"/>
        <w:numPr>
          <w:ilvl w:val="0"/>
          <w:numId w:val="0"/>
        </w:numPr>
        <w:ind w:left="720"/>
        <w:jc w:val="left"/>
      </w:pPr>
      <w:r w:rsidRPr="00BA3BBD">
        <w:t xml:space="preserve">Additional Information: </w:t>
      </w:r>
      <w:hyperlink r:id="rId53" w:history="1">
        <w:r w:rsidR="00F56D2E" w:rsidRPr="00F56D2E">
          <w:rPr>
            <w:rStyle w:val="Hyperlink"/>
            <w:rFonts w:cs="Arial"/>
          </w:rPr>
          <w:t>Energy Efficiency in Existing Buildings</w:t>
        </w:r>
      </w:hyperlink>
      <w:r w:rsidR="00F56D2E">
        <w:t xml:space="preserve"> </w:t>
      </w:r>
      <w:r w:rsidRPr="00EC2034">
        <w:t>https://www.energy.</w:t>
      </w:r>
      <w:r w:rsidR="00F56D2E" w:rsidRPr="00A204DC">
        <w:t>​</w:t>
      </w:r>
      <w:r w:rsidRPr="00EC2034">
        <w:t>ca.gov/</w:t>
      </w:r>
      <w:r w:rsidR="00F56D2E" w:rsidRPr="00A204DC">
        <w:t>​</w:t>
      </w:r>
      <w:r w:rsidRPr="00EC2034">
        <w:t>programs-and-topics/</w:t>
      </w:r>
      <w:r w:rsidRPr="00A204DC">
        <w:t>​</w:t>
      </w:r>
      <w:r w:rsidRPr="00EC2034">
        <w:t>programs/energy-efficiency-existing-buildings</w:t>
      </w:r>
      <w:r w:rsidR="00BB0B0E">
        <w:t>.</w:t>
      </w:r>
      <w:r w:rsidRPr="00EC2034">
        <w:t xml:space="preserve"> </w:t>
      </w:r>
    </w:p>
    <w:p w14:paraId="65D394CC" w14:textId="77777777" w:rsidR="00665B8E" w:rsidRPr="00F56D2E" w:rsidRDefault="00665B8E" w:rsidP="00BC4E12">
      <w:pPr>
        <w:pStyle w:val="ListBullet3"/>
        <w:keepNext/>
        <w:jc w:val="left"/>
        <w:rPr>
          <w:b/>
          <w:bCs/>
        </w:rPr>
      </w:pPr>
      <w:r w:rsidRPr="00F56D2E">
        <w:rPr>
          <w:b/>
          <w:bCs/>
        </w:rPr>
        <w:lastRenderedPageBreak/>
        <w:t>2019 California Energy Efficiency Action Plan</w:t>
      </w:r>
    </w:p>
    <w:p w14:paraId="0100527F" w14:textId="77777777" w:rsidR="00665B8E" w:rsidRPr="000B46BF" w:rsidRDefault="00665B8E" w:rsidP="00B97CF4">
      <w:pPr>
        <w:pStyle w:val="ListBullet3"/>
        <w:numPr>
          <w:ilvl w:val="0"/>
          <w:numId w:val="0"/>
        </w:numPr>
        <w:ind w:left="720"/>
        <w:jc w:val="left"/>
      </w:pPr>
      <w:r w:rsidRPr="000B46BF">
        <w:t xml:space="preserve">The Energy Efficiency Action Plan expands on the Existing Buildings Energy Action Plan and includes topics related to existing buildings’ energy efficiency, low-income barriers to energy efficiency, and doubling energy efficiency by 2030. The SB 350 Doubling of Energy Efficiency by 2030 report expands beyond existing buildings to include agriculture, industry, newly constructed buildings, conservation voltage reduction, and electrification. This report combines these topics with the Existing Buildings Energy Efficiency Action Plan to create a comprehensive statewide energy efficiency action plan.  </w:t>
      </w:r>
    </w:p>
    <w:p w14:paraId="04697355" w14:textId="40BA9527" w:rsidR="00665B8E" w:rsidRPr="00420F6C" w:rsidRDefault="00665B8E" w:rsidP="00B97CF4">
      <w:pPr>
        <w:pStyle w:val="ListBullet3"/>
        <w:numPr>
          <w:ilvl w:val="0"/>
          <w:numId w:val="0"/>
        </w:numPr>
        <w:ind w:left="720"/>
        <w:jc w:val="left"/>
        <w:rPr>
          <w:bCs/>
          <w:color w:val="00B050"/>
          <w:szCs w:val="22"/>
        </w:rPr>
      </w:pPr>
      <w:r w:rsidRPr="000B46BF">
        <w:rPr>
          <w:bCs/>
          <w:szCs w:val="22"/>
        </w:rPr>
        <w:t xml:space="preserve">Additional information: </w:t>
      </w:r>
      <w:hyperlink r:id="rId54" w:history="1">
        <w:r w:rsidR="00F56D2E" w:rsidRPr="00F56D2E">
          <w:rPr>
            <w:rStyle w:val="Hyperlink"/>
            <w:rFonts w:cs="Arial"/>
          </w:rPr>
          <w:t>Energy Efficiency in Existing Buildings</w:t>
        </w:r>
      </w:hyperlink>
      <w:r w:rsidR="00F56D2E">
        <w:t xml:space="preserve"> </w:t>
      </w:r>
      <w:r w:rsidR="00F56D2E" w:rsidRPr="00EC2034">
        <w:t>https://www.energy.</w:t>
      </w:r>
      <w:r w:rsidR="00F56D2E" w:rsidRPr="00A204DC">
        <w:t>​</w:t>
      </w:r>
      <w:r w:rsidR="00F56D2E" w:rsidRPr="00EC2034">
        <w:t>ca.gov/</w:t>
      </w:r>
      <w:r w:rsidR="00F56D2E" w:rsidRPr="00A204DC">
        <w:t>​</w:t>
      </w:r>
      <w:r w:rsidR="00F56D2E" w:rsidRPr="00EC2034">
        <w:t>programs-and-topics/</w:t>
      </w:r>
      <w:r w:rsidR="00F56D2E" w:rsidRPr="00A204DC">
        <w:t>​</w:t>
      </w:r>
      <w:r w:rsidR="00F56D2E" w:rsidRPr="00EC2034">
        <w:t>programs/energy-efficiency-existing-buildings</w:t>
      </w:r>
      <w:r w:rsidR="00BB0B0E">
        <w:t>.</w:t>
      </w:r>
      <w:r w:rsidR="00F56D2E" w:rsidRPr="00B21CB1" w:rsidDel="00F56D2E">
        <w:rPr>
          <w:rFonts w:cs="Times New Roman"/>
        </w:rPr>
        <w:t xml:space="preserve"> </w:t>
      </w:r>
    </w:p>
    <w:p w14:paraId="5C7A4943" w14:textId="77777777" w:rsidR="00665B8E" w:rsidRPr="00F56D2E" w:rsidRDefault="00665B8E" w:rsidP="00B97CF4">
      <w:pPr>
        <w:pStyle w:val="ListBullet3"/>
        <w:jc w:val="left"/>
        <w:rPr>
          <w:b/>
          <w:bCs/>
        </w:rPr>
      </w:pPr>
      <w:r w:rsidRPr="00F56D2E">
        <w:rPr>
          <w:b/>
          <w:bCs/>
        </w:rPr>
        <w:t>Executive Order B-29-15</w:t>
      </w:r>
    </w:p>
    <w:p w14:paraId="5A597C51" w14:textId="77777777" w:rsidR="00665B8E" w:rsidRPr="00BA3BBD" w:rsidRDefault="00665B8E" w:rsidP="00B97CF4">
      <w:pPr>
        <w:pStyle w:val="ListBullet3"/>
        <w:numPr>
          <w:ilvl w:val="0"/>
          <w:numId w:val="0"/>
        </w:numPr>
        <w:ind w:left="720"/>
        <w:jc w:val="left"/>
      </w:pPr>
      <w:r w:rsidRPr="00BA3BBD">
        <w:t xml:space="preserve">Governor Brown’s Executive Order B-29-15 proclaims the severity of the drought conditions in California and directs the </w:t>
      </w:r>
      <w:r>
        <w:t>CEC</w:t>
      </w:r>
      <w:r w:rsidRPr="00BA3BBD">
        <w:t xml:space="preserve"> to invest in new technologies that will achieve water and energy savings and greenhouse gas reductions. </w:t>
      </w:r>
    </w:p>
    <w:p w14:paraId="36031C5F" w14:textId="77777777" w:rsidR="00665B8E" w:rsidRPr="00F56D2E" w:rsidRDefault="00665B8E" w:rsidP="00B97CF4">
      <w:pPr>
        <w:pStyle w:val="ListBullet3"/>
        <w:jc w:val="left"/>
        <w:rPr>
          <w:rFonts w:cs="Times New Roman"/>
          <w:b/>
          <w:bCs/>
          <w:u w:val="single"/>
        </w:rPr>
      </w:pPr>
      <w:r w:rsidRPr="00F56D2E">
        <w:rPr>
          <w:b/>
          <w:bCs/>
        </w:rPr>
        <w:t>The Governor's State of Emergency Proclamation on Tree Mortality</w:t>
      </w:r>
    </w:p>
    <w:p w14:paraId="30644666" w14:textId="77777777" w:rsidR="00665B8E" w:rsidRPr="00BA3BBD" w:rsidRDefault="00665B8E" w:rsidP="00B97CF4">
      <w:pPr>
        <w:pStyle w:val="ListBullet3"/>
        <w:numPr>
          <w:ilvl w:val="0"/>
          <w:numId w:val="0"/>
        </w:numPr>
        <w:ind w:left="720"/>
        <w:jc w:val="left"/>
      </w:pPr>
      <w:r w:rsidRPr="00BA3BBD">
        <w:t>The declaration released on October 30, 2015, declared a state of emergency and sought federal action to help mobilize additional resources for the safe removal of dead and dying trees. It also states, “The California Energy Commission shall prioritize grant funding from the Electric Program Investment Charge for woody biomass-to-energy technology development and deployment, consistent with direction from the California Public Utilities Commission.”</w:t>
      </w:r>
    </w:p>
    <w:p w14:paraId="11ED8163" w14:textId="4B240A52" w:rsidR="00665B8E" w:rsidRDefault="00665B8E" w:rsidP="00B97CF4">
      <w:pPr>
        <w:pStyle w:val="ListBullet3"/>
        <w:numPr>
          <w:ilvl w:val="0"/>
          <w:numId w:val="0"/>
        </w:numPr>
        <w:ind w:left="720"/>
        <w:jc w:val="left"/>
      </w:pPr>
      <w:r w:rsidRPr="00BA3BBD">
        <w:rPr>
          <w:color w:val="000000"/>
        </w:rPr>
        <w:t xml:space="preserve">Additional Information: </w:t>
      </w:r>
      <w:hyperlink r:id="rId55" w:history="1">
        <w:r w:rsidR="00F56D2E" w:rsidRPr="00F56D2E">
          <w:rPr>
            <w:rStyle w:val="Hyperlink"/>
            <w:rFonts w:cs="Arial"/>
          </w:rPr>
          <w:t>Governor Brown Takes Action to Protect Communities Against Unprecedented Tree Die-Off</w:t>
        </w:r>
      </w:hyperlink>
      <w:r w:rsidR="00F56D2E">
        <w:rPr>
          <w:color w:val="000000"/>
        </w:rPr>
        <w:t xml:space="preserve"> </w:t>
      </w:r>
      <w:r w:rsidRPr="00C617FC">
        <w:t>https://www.ca.gov/archive/</w:t>
      </w:r>
      <w:r w:rsidR="00F56D2E" w:rsidRPr="00A204DC">
        <w:t>​</w:t>
      </w:r>
      <w:r w:rsidRPr="00C617FC">
        <w:t>gov39/2015/</w:t>
      </w:r>
      <w:r w:rsidR="00F56D2E" w:rsidRPr="00A204DC">
        <w:t>​</w:t>
      </w:r>
      <w:r w:rsidRPr="00C617FC">
        <w:t>10/30/</w:t>
      </w:r>
      <w:r w:rsidR="00F56D2E" w:rsidRPr="00A204DC">
        <w:t>​</w:t>
      </w:r>
      <w:r w:rsidRPr="00C617FC">
        <w:t>news19180/index.html</w:t>
      </w:r>
      <w:r w:rsidR="00BB0B0E">
        <w:t>.</w:t>
      </w:r>
      <w:r w:rsidRPr="00FC2D62" w:rsidDel="00FC2D62">
        <w:t xml:space="preserve"> </w:t>
      </w:r>
    </w:p>
    <w:p w14:paraId="4D3AE618" w14:textId="4EFC3128" w:rsidR="004251C9" w:rsidRDefault="004251C9" w:rsidP="00B97CF4">
      <w:pPr>
        <w:pStyle w:val="Heading5"/>
        <w:jc w:val="left"/>
      </w:pPr>
      <w:bookmarkStart w:id="91" w:name="_Reference_Documents"/>
      <w:bookmarkEnd w:id="90"/>
      <w:bookmarkEnd w:id="91"/>
      <w:r>
        <w:t>Reference Documents</w:t>
      </w:r>
    </w:p>
    <w:p w14:paraId="470E1E1A" w14:textId="7C7735FA" w:rsidR="00665B8E" w:rsidRPr="00BA3BBD" w:rsidRDefault="00665B8E" w:rsidP="00B97CF4">
      <w:pPr>
        <w:pStyle w:val="BodyText"/>
        <w:jc w:val="left"/>
      </w:pPr>
      <w:r w:rsidRPr="00BA3BBD">
        <w:t xml:space="preserve">Refer to the link below for information about past CEC research projects and activities: </w:t>
      </w:r>
    </w:p>
    <w:p w14:paraId="03A59747" w14:textId="5AD60CB2" w:rsidR="00665B8E" w:rsidRDefault="00795E48" w:rsidP="00B97CF4">
      <w:pPr>
        <w:pStyle w:val="ListBullet3"/>
        <w:jc w:val="left"/>
        <w:rPr>
          <w:szCs w:val="22"/>
        </w:rPr>
      </w:pPr>
      <w:hyperlink r:id="rId56" w:history="1">
        <w:r w:rsidRPr="00795E48">
          <w:rPr>
            <w:rStyle w:val="Hyperlink"/>
            <w:rFonts w:cs="Arial"/>
          </w:rPr>
          <w:t>CEC Energy Research and Development</w:t>
        </w:r>
      </w:hyperlink>
      <w:r>
        <w:t xml:space="preserve"> </w:t>
      </w:r>
      <w:r w:rsidR="00665B8E" w:rsidRPr="003225F6">
        <w:t>http://www.energy.ca.gov/research/</w:t>
      </w:r>
      <w:r w:rsidR="00BB0B0E">
        <w:t>.</w:t>
      </w:r>
    </w:p>
    <w:p w14:paraId="02A92B61" w14:textId="5BE2AF31" w:rsidR="00665B8E" w:rsidRPr="00E96433" w:rsidRDefault="00795E48" w:rsidP="00B97CF4">
      <w:pPr>
        <w:pStyle w:val="ListBullet3"/>
        <w:jc w:val="left"/>
      </w:pPr>
      <w:hyperlink r:id="rId57" w:history="1">
        <w:r w:rsidRPr="00795E48">
          <w:rPr>
            <w:rStyle w:val="Hyperlink"/>
            <w:rFonts w:cs="Arial"/>
          </w:rPr>
          <w:t>Electric Program Investment Charge Program</w:t>
        </w:r>
      </w:hyperlink>
      <w:r w:rsidRPr="00E96433">
        <w:t xml:space="preserve"> </w:t>
      </w:r>
      <w:r w:rsidR="00665B8E" w:rsidRPr="00E96433">
        <w:t>https://www.energy.ca.gov/</w:t>
      </w:r>
      <w:r w:rsidRPr="00A204DC">
        <w:t>​</w:t>
      </w:r>
      <w:r w:rsidR="00665B8E" w:rsidRPr="00E96433">
        <w:t>programs-and-topics/</w:t>
      </w:r>
      <w:r w:rsidRPr="00A204DC">
        <w:t>​</w:t>
      </w:r>
      <w:r w:rsidR="00665B8E" w:rsidRPr="00E96433">
        <w:t>programs/electric-program-investment-charge-epic-program</w:t>
      </w:r>
      <w:r w:rsidR="00BB0B0E">
        <w:t>.</w:t>
      </w:r>
      <w:r w:rsidR="00665B8E" w:rsidRPr="00E96433">
        <w:t xml:space="preserve"> </w:t>
      </w:r>
    </w:p>
    <w:p w14:paraId="2EF1DEA3" w14:textId="64538FC1" w:rsidR="00665B8E" w:rsidRPr="00E96433" w:rsidRDefault="00795E48" w:rsidP="00B97CF4">
      <w:pPr>
        <w:pStyle w:val="ListBullet3"/>
        <w:jc w:val="left"/>
      </w:pPr>
      <w:hyperlink r:id="rId58" w:history="1">
        <w:r w:rsidRPr="00795E48">
          <w:rPr>
            <w:rStyle w:val="Hyperlink"/>
            <w:rFonts w:cs="Arial"/>
          </w:rPr>
          <w:t>Energize Innovation</w:t>
        </w:r>
      </w:hyperlink>
      <w:r>
        <w:t xml:space="preserve"> </w:t>
      </w:r>
      <w:r w:rsidRPr="00795E48">
        <w:t>https://www.energizeinnovation.fund/</w:t>
      </w:r>
      <w:r w:rsidR="00BB0B0E">
        <w:t>.</w:t>
      </w:r>
    </w:p>
    <w:p w14:paraId="3A192106" w14:textId="77777777" w:rsidR="00665B8E" w:rsidRPr="00BA3BBD" w:rsidRDefault="00665B8E" w:rsidP="00B97CF4">
      <w:pPr>
        <w:pStyle w:val="Heading3"/>
        <w:jc w:val="left"/>
      </w:pPr>
      <w:bookmarkStart w:id="92" w:name="_Toc522777848"/>
      <w:bookmarkStart w:id="93" w:name="_Toc26361581"/>
      <w:bookmarkStart w:id="94" w:name="_Toc233727889"/>
      <w:r w:rsidRPr="002D46F7">
        <w:t>Match Funding</w:t>
      </w:r>
      <w:bookmarkEnd w:id="92"/>
      <w:bookmarkEnd w:id="93"/>
      <w:bookmarkEnd w:id="94"/>
    </w:p>
    <w:bookmarkEnd w:id="75"/>
    <w:p w14:paraId="24884955" w14:textId="77777777" w:rsidR="00795E48" w:rsidRDefault="00665B8E" w:rsidP="00B97CF4">
      <w:pPr>
        <w:pStyle w:val="ListBullet"/>
        <w:jc w:val="left"/>
      </w:pPr>
      <w:r w:rsidRPr="00BA3BBD">
        <w:rPr>
          <w:b/>
        </w:rPr>
        <w:t>“Match funds”</w:t>
      </w:r>
      <w:r w:rsidRPr="00BA3BBD">
        <w:t xml:space="preserve"> includes cash or in-kind (non-cash) contributions provided by the applicant, sub</w:t>
      </w:r>
      <w:r w:rsidRPr="0093236C">
        <w:t>recipients</w:t>
      </w:r>
      <w:r w:rsidRPr="00BA3BBD">
        <w:t xml:space="preserve">, or other parties including pilot testing, demonstration, and/or deployment sites (e.g., test site staff services) that will be used in performance of the proposed project. </w:t>
      </w:r>
    </w:p>
    <w:p w14:paraId="4DBF9D8C" w14:textId="77777777" w:rsidR="00BE41D5" w:rsidRDefault="00665B8E" w:rsidP="00B97CF4">
      <w:pPr>
        <w:pStyle w:val="ListBullet"/>
        <w:numPr>
          <w:ilvl w:val="0"/>
          <w:numId w:val="0"/>
        </w:numPr>
        <w:ind w:left="720"/>
        <w:jc w:val="left"/>
        <w:rPr>
          <w:szCs w:val="22"/>
        </w:rPr>
      </w:pPr>
      <w:r w:rsidRPr="00795E48">
        <w:rPr>
          <w:szCs w:val="22"/>
        </w:rPr>
        <w:lastRenderedPageBreak/>
        <w:t xml:space="preserve">“Match funds” </w:t>
      </w:r>
      <w:r w:rsidRPr="00795E48">
        <w:rPr>
          <w:szCs w:val="22"/>
          <w:u w:val="single"/>
        </w:rPr>
        <w:t>do not</w:t>
      </w:r>
      <w:r w:rsidRPr="00795E48">
        <w:rPr>
          <w:szCs w:val="22"/>
        </w:rPr>
        <w:t xml:space="preserve"> include: CEC awards, EPIC funds received from other sources, future/contingent awards from other entities (public or private), the cost or value of the project work site, or the cost or value of structures or other improvements affixed to the project work site permanently or for an indefinite period of time (e.g., photovoltaic systems). </w:t>
      </w:r>
    </w:p>
    <w:p w14:paraId="6130CC32" w14:textId="11859C08" w:rsidR="00665B8E" w:rsidRPr="00BE41D5" w:rsidRDefault="00665B8E" w:rsidP="00B97CF4">
      <w:pPr>
        <w:pStyle w:val="ListBullet"/>
        <w:numPr>
          <w:ilvl w:val="0"/>
          <w:numId w:val="0"/>
        </w:numPr>
        <w:ind w:left="720"/>
        <w:jc w:val="left"/>
      </w:pPr>
      <w:r w:rsidRPr="00BA3BBD">
        <w:rPr>
          <w:szCs w:val="22"/>
        </w:rPr>
        <w:t>Definitions of “match funding” categories are listed below:</w:t>
      </w:r>
    </w:p>
    <w:p w14:paraId="28168AB5" w14:textId="17E1CA86" w:rsidR="00665B8E" w:rsidRPr="00795E48" w:rsidRDefault="00665B8E" w:rsidP="00BC4E12">
      <w:pPr>
        <w:pStyle w:val="ListBullet2"/>
        <w:numPr>
          <w:ilvl w:val="0"/>
          <w:numId w:val="64"/>
        </w:numPr>
        <w:jc w:val="left"/>
      </w:pPr>
      <w:r w:rsidRPr="00795E48">
        <w:t xml:space="preserve">“Cash” match means funds that are in the grant recipient’s possession or proposed by a match partner and clearly identified in a support letter, and are reserved for the proposed project, meaning that they have not been committed for use or pledged as match for any other project. Cash match can include </w:t>
      </w:r>
      <w:r w:rsidRPr="00BA3BBD">
        <w:t>funding awards earned or received from other agencies for the proposed technologies or study (but not for the identical work). Proof that the funds exist as cash is required. Cash match will be considered more favorably than in-kind contributions during the scoring phase.</w:t>
      </w:r>
    </w:p>
    <w:p w14:paraId="542F2B09" w14:textId="77777777" w:rsidR="00795E48" w:rsidRDefault="00665B8E" w:rsidP="00BC4E12">
      <w:pPr>
        <w:pStyle w:val="ListBullet2"/>
        <w:numPr>
          <w:ilvl w:val="0"/>
          <w:numId w:val="64"/>
        </w:numPr>
        <w:jc w:val="left"/>
      </w:pPr>
      <w:r w:rsidRPr="00795E48">
        <w:t>“In-Kind”</w:t>
      </w:r>
      <w:r>
        <w:t xml:space="preserve"> </w:t>
      </w:r>
      <w:r w:rsidRPr="00795E48">
        <w:t>match</w:t>
      </w:r>
      <w:r>
        <w:t xml:space="preserve"> can be in the form of goods or services that are not reimbursed with CEC funds such as labor (if reasonable and justified), donated space, existing equipment, existing supplies, services provided by a third-party or subrecipient, and other expendable property in support of the project. The value of in-kind match is based on the fair market value of the goods and services provided at the time it is claimed as match. The value of existing equipment must be prorated for its use in the project, and depreciated or amortized over the term of the project using generally accepted accounting principles (GAAP). Labor rates for hours donated by non-employees who are not paid for their time must be consistent with those paid for similar work. Cost allocations must be reasonable and allocable to the proposed project. In-kind match share must be included in the agreement budget.</w:t>
      </w:r>
    </w:p>
    <w:p w14:paraId="7A30B387" w14:textId="0538194C" w:rsidR="00665B8E" w:rsidRPr="00795E48" w:rsidRDefault="00665B8E" w:rsidP="00B97CF4">
      <w:pPr>
        <w:pStyle w:val="ListBullet2"/>
        <w:numPr>
          <w:ilvl w:val="0"/>
          <w:numId w:val="0"/>
        </w:numPr>
        <w:ind w:left="1080"/>
        <w:jc w:val="left"/>
      </w:pPr>
      <w:r w:rsidRPr="00795E48">
        <w:rPr>
          <w:szCs w:val="22"/>
        </w:rPr>
        <w:t xml:space="preserve">The grant recipient is expected to maintain appropriate documentation to support the fair market value of all in-kind match including match donated by third parties or major subrecipients. </w:t>
      </w:r>
    </w:p>
    <w:p w14:paraId="3964350F" w14:textId="77777777" w:rsidR="00665B8E" w:rsidRPr="00BA3BBD" w:rsidRDefault="00665B8E" w:rsidP="00345F78">
      <w:pPr>
        <w:pStyle w:val="ListBullet"/>
        <w:ind w:left="360" w:hanging="360"/>
      </w:pPr>
      <w:r w:rsidRPr="00BA3BBD">
        <w:t>Match funds m</w:t>
      </w:r>
      <w:r>
        <w:t>ust</w:t>
      </w:r>
      <w:r w:rsidRPr="00BA3BBD">
        <w:t xml:space="preserve"> be spent only during the agreement term, either before or concurrently with </w:t>
      </w:r>
      <w:r>
        <w:t>CEC</w:t>
      </w:r>
      <w:r w:rsidRPr="00BA3BBD">
        <w:t xml:space="preserve"> funds</w:t>
      </w:r>
      <w:r>
        <w:t xml:space="preserve"> or in accordance with an approved Match Fund Spending Plan</w:t>
      </w:r>
      <w:r w:rsidRPr="00BA3BBD">
        <w:t xml:space="preserve">. Match funds also must be </w:t>
      </w:r>
      <w:r w:rsidRPr="00BA3BBD">
        <w:rPr>
          <w:szCs w:val="22"/>
        </w:rPr>
        <w:t>r</w:t>
      </w:r>
      <w:r w:rsidRPr="00BA3BBD">
        <w:t>eported in invoices submitted to the CEC.</w:t>
      </w:r>
      <w:r w:rsidRPr="00BA3BBD">
        <w:rPr>
          <w:b/>
        </w:rPr>
        <w:t xml:space="preserve"> </w:t>
      </w:r>
    </w:p>
    <w:p w14:paraId="54545365" w14:textId="6CFD4E81" w:rsidR="00665B8E" w:rsidRPr="00BA3BBD" w:rsidRDefault="00665B8E" w:rsidP="00345F78">
      <w:pPr>
        <w:pStyle w:val="ListBullet"/>
        <w:ind w:left="360" w:hanging="360"/>
        <w:jc w:val="left"/>
      </w:pPr>
      <w:r w:rsidRPr="00BA3BBD">
        <w:t>All applica</w:t>
      </w:r>
      <w:r>
        <w:t>tions that include</w:t>
      </w:r>
      <w:r w:rsidRPr="00BA3BBD">
        <w:t xml:space="preserve"> match funds must submit commitment letters, </w:t>
      </w:r>
      <w:r w:rsidRPr="00BA3BBD">
        <w:rPr>
          <w:b/>
        </w:rPr>
        <w:t xml:space="preserve">including </w:t>
      </w:r>
      <w:r>
        <w:rPr>
          <w:b/>
        </w:rPr>
        <w:t>applicant,</w:t>
      </w:r>
      <w:r w:rsidRPr="00BA3BBD">
        <w:rPr>
          <w:b/>
        </w:rPr>
        <w:t xml:space="preserve"> sub</w:t>
      </w:r>
      <w:r>
        <w:rPr>
          <w:b/>
        </w:rPr>
        <w:t>recipients</w:t>
      </w:r>
      <w:r w:rsidRPr="00BA3BBD">
        <w:t xml:space="preserve">, </w:t>
      </w:r>
      <w:r>
        <w:t xml:space="preserve">sub-subrecipients, and vendors </w:t>
      </w:r>
      <w:r w:rsidRPr="00BA3BBD">
        <w:t>that: (1) identify the source(s) of the funds; (2) justify the dollar value claimed; (3) provide an unqualified (i.e., without reservation or limitation) commitment that guarantees the availability of the funds for the project; and (4) provide a strategy for replacing the funds if they are significantly reduced or lost. Please see Commitment and Support Letter</w:t>
      </w:r>
      <w:r>
        <w:t>s</w:t>
      </w:r>
      <w:r w:rsidRPr="00BA3BBD">
        <w:t xml:space="preserve"> Form</w:t>
      </w:r>
      <w:r>
        <w:t xml:space="preserve"> Attachment</w:t>
      </w:r>
      <w:r w:rsidRPr="00BA3BBD">
        <w:t xml:space="preserve">. Commitment and support letters must be submitted with the application to be considered. </w:t>
      </w:r>
    </w:p>
    <w:p w14:paraId="42102674" w14:textId="40B78966" w:rsidR="00665B8E" w:rsidRPr="00BA3BBD" w:rsidRDefault="00665B8E" w:rsidP="00345F78">
      <w:pPr>
        <w:pStyle w:val="ListBullet"/>
        <w:ind w:left="360" w:hanging="360"/>
        <w:jc w:val="left"/>
      </w:pPr>
      <w:r w:rsidRPr="00BA3BBD">
        <w:t xml:space="preserve">Any match pledged in </w:t>
      </w:r>
      <w:r>
        <w:t>an application</w:t>
      </w:r>
      <w:r w:rsidRPr="00BA3BBD">
        <w:t xml:space="preserve"> must be consistent</w:t>
      </w:r>
      <w:r>
        <w:t xml:space="preserve">. </w:t>
      </w:r>
      <w:r w:rsidRPr="00917D4A">
        <w:t xml:space="preserve">For example, in the ECAMS system and in the Budget Attachment applicants will be asked to enter the </w:t>
      </w:r>
      <w:r w:rsidRPr="00917D4A">
        <w:lastRenderedPageBreak/>
        <w:t>project’s total match funding. The amounts listed in those places should be consistent</w:t>
      </w:r>
      <w:r w:rsidRPr="00BA3BBD">
        <w:t xml:space="preserve"> with the amount or dollar value described in the commitment letter(s) (e.g., if $5,000 “cash in hand” funds are pledged in a commitment letter, </w:t>
      </w:r>
      <w:r>
        <w:t>the match amounts entered in the ECAMS system and in the Budget</w:t>
      </w:r>
      <w:r w:rsidRPr="00BA3BBD">
        <w:t xml:space="preserve"> must match this amount). </w:t>
      </w:r>
      <w:r w:rsidRPr="00E2104C">
        <w:t>If the amounts listed in an application are inconsistent,</w:t>
      </w:r>
      <w:r>
        <w:t xml:space="preserve"> </w:t>
      </w:r>
      <w:r w:rsidRPr="00BA3BBD">
        <w:t>the total amount pledged in the commitment letter(s) will be considered for match funding points.</w:t>
      </w:r>
    </w:p>
    <w:p w14:paraId="00A0050A" w14:textId="77777777" w:rsidR="00665B8E" w:rsidRPr="00BA3BBD" w:rsidRDefault="00665B8E" w:rsidP="00B97CF4">
      <w:pPr>
        <w:pStyle w:val="BodyText"/>
        <w:jc w:val="left"/>
      </w:pPr>
      <w:r w:rsidRPr="00BA3BBD">
        <w:t>Examples of preferred match share:</w:t>
      </w:r>
    </w:p>
    <w:p w14:paraId="15EDFC65" w14:textId="77777777" w:rsidR="00665B8E" w:rsidRDefault="00665B8E" w:rsidP="00A27A5D">
      <w:pPr>
        <w:pStyle w:val="ListBullet2"/>
        <w:ind w:left="720"/>
        <w:jc w:val="left"/>
      </w:pPr>
      <w:r w:rsidRPr="52B7F3D6">
        <w:rPr>
          <w:b/>
        </w:rPr>
        <w:t xml:space="preserve">“Travel” </w:t>
      </w:r>
      <w:r>
        <w:t xml:space="preserve">refers to all travel required to complete the tasks identified in the Scope of Work. Travel includes in-state and out-of-state, and travel to conferences. Use of match funds for out-of-state travel is encouraged, as the CEC discourages and may not approve the use of its funds for such travel. If an applicant plans to travel to conferences, including registration fees, they must use match funds.  </w:t>
      </w:r>
    </w:p>
    <w:p w14:paraId="65F8652A" w14:textId="3C7A25EB" w:rsidR="00665B8E" w:rsidRPr="00BA3BBD" w:rsidRDefault="00665B8E" w:rsidP="00A27A5D">
      <w:pPr>
        <w:pStyle w:val="ListBullet2"/>
        <w:ind w:left="720"/>
        <w:jc w:val="left"/>
      </w:pPr>
      <w:r w:rsidRPr="2E084C24">
        <w:rPr>
          <w:b/>
        </w:rPr>
        <w:t xml:space="preserve">“Equipment” is </w:t>
      </w:r>
      <w:r w:rsidRPr="2E084C24">
        <w:rPr>
          <w:snapToGrid w:val="0"/>
        </w:rPr>
        <w:t xml:space="preserve">an item </w:t>
      </w:r>
      <w:r w:rsidRPr="2E084C24">
        <w:t>with a unit cost of at least $5,000 and a useful life of at least one ye</w:t>
      </w:r>
      <w:r w:rsidRPr="2E084C24">
        <w:rPr>
          <w:snapToGrid w:val="0"/>
        </w:rPr>
        <w:t xml:space="preserve">ar. </w:t>
      </w:r>
      <w:r w:rsidRPr="2E084C24">
        <w:rPr>
          <w:b/>
          <w:snapToGrid w:val="0"/>
        </w:rPr>
        <w:t>Purchasing equipment with match funding is encouraged</w:t>
      </w:r>
      <w:r w:rsidRPr="00BA3BBD">
        <w:rPr>
          <w:snapToGrid w:val="0"/>
          <w:szCs w:val="22"/>
        </w:rPr>
        <w:t xml:space="preserve"> </w:t>
      </w:r>
      <w:r w:rsidRPr="2E084C24">
        <w:rPr>
          <w:snapToGrid w:val="0"/>
        </w:rPr>
        <w:t xml:space="preserve">as there are no disposition requirements at the end of the agreement for such equipment. Typically, grant recipients may continue to use equipment purchased with CEC funds if the use is consistent with the intent of the original agreement. </w:t>
      </w:r>
    </w:p>
    <w:p w14:paraId="18222760" w14:textId="36FBFC8D" w:rsidR="00665B8E" w:rsidRPr="004251C9" w:rsidRDefault="00665B8E" w:rsidP="00A27A5D">
      <w:pPr>
        <w:pStyle w:val="ListBullet2"/>
        <w:tabs>
          <w:tab w:val="left" w:pos="1080"/>
        </w:tabs>
        <w:suppressAutoHyphens/>
        <w:ind w:left="720"/>
        <w:jc w:val="left"/>
        <w:rPr>
          <w:szCs w:val="22"/>
        </w:rPr>
      </w:pPr>
      <w:r w:rsidRPr="004251C9">
        <w:rPr>
          <w:b/>
          <w:szCs w:val="22"/>
        </w:rPr>
        <w:t xml:space="preserve">“Materials” </w:t>
      </w:r>
      <w:r w:rsidRPr="004251C9">
        <w:rPr>
          <w:szCs w:val="22"/>
        </w:rPr>
        <w:t>under Materials and Miscellaneous are items under the agreement that do not meet the definition of Equipment (unit cost of at least $5,000 and a useful life of at least one ye</w:t>
      </w:r>
      <w:r w:rsidRPr="004251C9">
        <w:rPr>
          <w:snapToGrid w:val="0"/>
          <w:szCs w:val="22"/>
        </w:rPr>
        <w:t>ar)</w:t>
      </w:r>
      <w:r w:rsidRPr="004251C9">
        <w:rPr>
          <w:szCs w:val="22"/>
        </w:rPr>
        <w:t xml:space="preserve">. </w:t>
      </w:r>
      <w:r w:rsidRPr="004251C9">
        <w:rPr>
          <w:b/>
          <w:szCs w:val="22"/>
        </w:rPr>
        <w:t>Using match funds for purchasing items such as laptops, notebooks and/or personal tablets is encouraged, as Energy CEC funds for these purchases is not allowed.</w:t>
      </w:r>
    </w:p>
    <w:p w14:paraId="714D54D4" w14:textId="77777777" w:rsidR="00665B8E" w:rsidRPr="003C09CD" w:rsidRDefault="00665B8E" w:rsidP="00B97CF4">
      <w:pPr>
        <w:pStyle w:val="Heading3"/>
        <w:jc w:val="left"/>
      </w:pPr>
      <w:bookmarkStart w:id="95" w:name="_Toc26361582"/>
      <w:bookmarkStart w:id="96" w:name="_Toc233727890"/>
      <w:r w:rsidRPr="003C09CD">
        <w:t>Funds Spent in California</w:t>
      </w:r>
      <w:bookmarkEnd w:id="95"/>
      <w:bookmarkEnd w:id="96"/>
    </w:p>
    <w:p w14:paraId="3EBC49BE" w14:textId="77777777" w:rsidR="00665B8E" w:rsidRPr="00BA3BBD" w:rsidRDefault="00665B8E" w:rsidP="00A27A5D">
      <w:pPr>
        <w:pStyle w:val="ListBullet"/>
        <w:ind w:hanging="450"/>
        <w:jc w:val="left"/>
        <w:rPr>
          <w:b/>
        </w:rPr>
      </w:pPr>
      <w:r w:rsidRPr="00BA3BBD">
        <w:t>Only CEC funds</w:t>
      </w:r>
      <w:r>
        <w:t xml:space="preserve"> may</w:t>
      </w:r>
      <w:r w:rsidRPr="00BA3BBD">
        <w:t xml:space="preserve"> count towards funds spent in California total.</w:t>
      </w:r>
    </w:p>
    <w:p w14:paraId="5865DA42" w14:textId="77777777" w:rsidR="00665B8E" w:rsidRPr="00BA3BBD" w:rsidRDefault="00665B8E" w:rsidP="00A27A5D">
      <w:pPr>
        <w:pStyle w:val="ListBullet"/>
        <w:ind w:hanging="450"/>
        <w:jc w:val="left"/>
      </w:pPr>
      <w:r w:rsidRPr="00BA3BBD">
        <w:t xml:space="preserve">"Spent in California" means that: </w:t>
      </w:r>
    </w:p>
    <w:p w14:paraId="567306D1" w14:textId="7D7E9173" w:rsidR="00665B8E" w:rsidRPr="00BA3BBD" w:rsidRDefault="00665B8E" w:rsidP="00A27A5D">
      <w:pPr>
        <w:pStyle w:val="ListBullet2"/>
        <w:numPr>
          <w:ilvl w:val="0"/>
          <w:numId w:val="65"/>
        </w:numPr>
        <w:jc w:val="left"/>
      </w:pPr>
      <w:r w:rsidRPr="00BA3BBD">
        <w:t>(1) Funds in the "Direct Labor category and all categories calculated based on direct labor (e.g., fringe benefits, indirect costs and profit) are paid to individuals that pay California state income taxes on wages received for work performed under the agreement. Payments made to out-of-state workers do not count as “funds spent in California.” However, funds spent by out-of-state workers in California (e.g., hotel and food) can count as “funds spent in California”; AND</w:t>
      </w:r>
    </w:p>
    <w:p w14:paraId="15D96EE6" w14:textId="77777777" w:rsidR="00665B8E" w:rsidRPr="00BA3BBD" w:rsidRDefault="00665B8E" w:rsidP="00A27A5D">
      <w:pPr>
        <w:pStyle w:val="ListBullet2"/>
        <w:numPr>
          <w:ilvl w:val="0"/>
          <w:numId w:val="65"/>
        </w:numPr>
        <w:jc w:val="left"/>
      </w:pPr>
      <w:r w:rsidRPr="00BA3BBD">
        <w:t xml:space="preserve">(2) Business transactions (e.g., material and equipment purchases, leases, and rentals) are entered into with a business located in California. </w:t>
      </w:r>
    </w:p>
    <w:p w14:paraId="51802168" w14:textId="77777777" w:rsidR="00665B8E" w:rsidRPr="00EF60F8" w:rsidRDefault="00665B8E" w:rsidP="00A27A5D">
      <w:pPr>
        <w:pStyle w:val="ListBullet2"/>
        <w:numPr>
          <w:ilvl w:val="0"/>
          <w:numId w:val="65"/>
        </w:numPr>
        <w:jc w:val="left"/>
      </w:pPr>
      <w:r w:rsidRPr="00BA3BBD">
        <w:t>(3) Total should include any applicable</w:t>
      </w:r>
      <w:r w:rsidRPr="004270E4">
        <w:t xml:space="preserve">, </w:t>
      </w:r>
      <w:r>
        <w:t xml:space="preserve">subrecipients, </w:t>
      </w:r>
      <w:r w:rsidRPr="004270E4">
        <w:t>sub-subrecipients, and vendors.</w:t>
      </w:r>
    </w:p>
    <w:p w14:paraId="6029759B" w14:textId="1F8BFCE8" w:rsidR="00665B8E" w:rsidRPr="00BA3BBD" w:rsidRDefault="00665B8E" w:rsidP="00B97CF4">
      <w:pPr>
        <w:pStyle w:val="ListBullet"/>
        <w:jc w:val="left"/>
      </w:pPr>
      <w:r w:rsidRPr="00BA3BBD">
        <w:t xml:space="preserve">Airline ticket purchases for out-of-state travel and payments made to out-of-state workers are not considered funds “spent in California.” However, funds spent by out-of-state workers in California (e.g. lodging) and airline travel originating and ending in California are considered funds “spent in California.” A business </w:t>
      </w:r>
      <w:r w:rsidRPr="00BA3BBD">
        <w:lastRenderedPageBreak/>
        <w:t xml:space="preserve">located in California means: 1) businesses registered with Secretary of State AND 2) transaction is with a location in California that is directly related to the grant project (e.g., direct purchase of material and equipment to be used in the grant) and results in the support of California business and jobs. </w:t>
      </w:r>
    </w:p>
    <w:p w14:paraId="3191B1C5" w14:textId="13BACD58" w:rsidR="00665B8E" w:rsidRPr="00BA3BBD" w:rsidRDefault="00665B8E" w:rsidP="00B97CF4">
      <w:pPr>
        <w:pStyle w:val="ListBullet2"/>
        <w:jc w:val="left"/>
      </w:pPr>
      <w:r w:rsidRPr="00BA3BBD">
        <w:t xml:space="preserve">Example 1: </w:t>
      </w:r>
      <w:r>
        <w:t>CEC</w:t>
      </w:r>
      <w:r w:rsidRPr="00BA3BBD">
        <w:t xml:space="preserve"> funds will be spent on temperature sensors. The temperature sensors are manufactured in </w:t>
      </w:r>
      <w:r>
        <w:t>Washington</w:t>
      </w:r>
      <w:r w:rsidRPr="00BA3BBD">
        <w:t xml:space="preserve">. The </w:t>
      </w:r>
      <w:r>
        <w:t xml:space="preserve">grant </w:t>
      </w:r>
      <w:r w:rsidRPr="00BA3BBD">
        <w:t>recipient orders the temperature sensors directly from a CA based supply house. The invoice shows that the transaction occurred with the CA based supply house. This transaction is eligible and can be counted as funds spent in CA.</w:t>
      </w:r>
    </w:p>
    <w:p w14:paraId="3D5DB313" w14:textId="3CB74601" w:rsidR="00665B8E" w:rsidRDefault="00665B8E" w:rsidP="00B97CF4">
      <w:pPr>
        <w:pStyle w:val="ListBullet2"/>
        <w:jc w:val="left"/>
      </w:pPr>
      <w:r w:rsidRPr="00BA3BBD">
        <w:t xml:space="preserve">Example 2: </w:t>
      </w:r>
      <w:r>
        <w:t>CEC</w:t>
      </w:r>
      <w:r w:rsidRPr="00BA3BBD">
        <w:t xml:space="preserve"> funds will be spent on temperature sensors. The temperature sensors are manufactured in </w:t>
      </w:r>
      <w:r>
        <w:t>Washington</w:t>
      </w:r>
      <w:r w:rsidRPr="00BA3BBD">
        <w:t xml:space="preserve">. The </w:t>
      </w:r>
      <w:r>
        <w:t xml:space="preserve">grant </w:t>
      </w:r>
      <w:r w:rsidRPr="00BA3BBD">
        <w:t xml:space="preserve">recipient orders the temperature sensors directly from </w:t>
      </w:r>
      <w:r>
        <w:t>Washington</w:t>
      </w:r>
      <w:r w:rsidRPr="00BA3BBD">
        <w:t xml:space="preserve">. The manufacturer has training centers in CA that instructs purchasers on how to use the sensors. The invoice shows that the transaction occurred in </w:t>
      </w:r>
      <w:r>
        <w:t>Washington</w:t>
      </w:r>
      <w:r w:rsidRPr="00BA3BBD">
        <w:t>. This transaction is not eligible and cannot be counted as funds spent in CA.</w:t>
      </w:r>
    </w:p>
    <w:p w14:paraId="2CBC82CD" w14:textId="77777777" w:rsidR="00665B8E" w:rsidRPr="004251C9" w:rsidRDefault="00665B8E" w:rsidP="00B97CF4">
      <w:pPr>
        <w:pStyle w:val="Heading3"/>
        <w:jc w:val="left"/>
      </w:pPr>
      <w:bookmarkStart w:id="97" w:name="_Toc233727891"/>
      <w:r w:rsidRPr="004251C9">
        <w:t>CEC’s Rights and Remedies</w:t>
      </w:r>
      <w:bookmarkEnd w:id="97"/>
    </w:p>
    <w:p w14:paraId="56F2BBAD" w14:textId="77777777" w:rsidR="00665B8E" w:rsidRDefault="00665B8E" w:rsidP="00B97CF4">
      <w:pPr>
        <w:pStyle w:val="BodyText"/>
        <w:jc w:val="left"/>
      </w:pPr>
      <w:r w:rsidRPr="00292D0C">
        <w:t>Any process explained in this solicitation is in addition to, and does not restrict, any other rights and remedies available to the CEC.</w:t>
      </w:r>
    </w:p>
    <w:p w14:paraId="3916C772" w14:textId="77777777" w:rsidR="00665B8E" w:rsidRDefault="00665B8E" w:rsidP="00B97CF4">
      <w:pPr>
        <w:spacing w:after="0"/>
        <w:jc w:val="left"/>
      </w:pPr>
      <w:r>
        <w:br w:type="page"/>
      </w:r>
    </w:p>
    <w:p w14:paraId="39EE33F6" w14:textId="77777777" w:rsidR="00665B8E" w:rsidRDefault="00665B8E" w:rsidP="00B97CF4">
      <w:pPr>
        <w:pStyle w:val="Heading2"/>
        <w:jc w:val="left"/>
      </w:pPr>
      <w:bookmarkStart w:id="98" w:name="_II._Eligibility_Requirements"/>
      <w:bookmarkStart w:id="99" w:name="_Toc336443618"/>
      <w:bookmarkStart w:id="100" w:name="_Toc366671173"/>
      <w:bookmarkStart w:id="101" w:name="_Toc233727892"/>
      <w:bookmarkStart w:id="102" w:name="_Toc310513471"/>
      <w:bookmarkStart w:id="103" w:name="_Toc198951306"/>
      <w:bookmarkStart w:id="104" w:name="_Toc201713533"/>
      <w:bookmarkStart w:id="105" w:name="_Toc217726087"/>
      <w:bookmarkStart w:id="106" w:name="_Toc219275083"/>
      <w:bookmarkEnd w:id="2"/>
      <w:bookmarkEnd w:id="3"/>
      <w:bookmarkEnd w:id="4"/>
      <w:bookmarkEnd w:id="5"/>
      <w:bookmarkEnd w:id="6"/>
      <w:bookmarkEnd w:id="7"/>
      <w:bookmarkEnd w:id="51"/>
      <w:bookmarkEnd w:id="52"/>
      <w:bookmarkEnd w:id="53"/>
      <w:bookmarkEnd w:id="98"/>
      <w:r w:rsidRPr="00C31C1D">
        <w:lastRenderedPageBreak/>
        <w:t>II.</w:t>
      </w:r>
      <w:r w:rsidRPr="00C31C1D">
        <w:tab/>
        <w:t>Eligibility Requirements</w:t>
      </w:r>
      <w:bookmarkEnd w:id="99"/>
      <w:bookmarkEnd w:id="100"/>
      <w:bookmarkEnd w:id="101"/>
    </w:p>
    <w:p w14:paraId="5D406C67" w14:textId="41AA9CBB" w:rsidR="004251C9" w:rsidRPr="004251C9" w:rsidRDefault="004251C9" w:rsidP="00B97CF4">
      <w:pPr>
        <w:pStyle w:val="Heading3"/>
        <w:numPr>
          <w:ilvl w:val="0"/>
          <w:numId w:val="40"/>
        </w:numPr>
        <w:jc w:val="left"/>
      </w:pPr>
      <w:bookmarkStart w:id="107" w:name="_Toc233727893"/>
      <w:r>
        <w:t>Applicant Requirements</w:t>
      </w:r>
      <w:bookmarkEnd w:id="107"/>
    </w:p>
    <w:p w14:paraId="3F468818" w14:textId="77777777" w:rsidR="00665B8E" w:rsidRPr="00BE64A5" w:rsidRDefault="00665B8E" w:rsidP="00B97CF4">
      <w:pPr>
        <w:pStyle w:val="Heading4"/>
        <w:numPr>
          <w:ilvl w:val="0"/>
          <w:numId w:val="30"/>
        </w:numPr>
        <w:ind w:hanging="720"/>
        <w:jc w:val="left"/>
      </w:pPr>
      <w:bookmarkStart w:id="108" w:name="Elig"/>
      <w:bookmarkEnd w:id="102"/>
      <w:r w:rsidRPr="00BE64A5">
        <w:t>Eligibility</w:t>
      </w:r>
    </w:p>
    <w:bookmarkEnd w:id="108"/>
    <w:p w14:paraId="191B70C6" w14:textId="5DD5D4B8" w:rsidR="00665B8E" w:rsidRPr="00527202" w:rsidRDefault="00665B8E" w:rsidP="00B97CF4">
      <w:pPr>
        <w:pStyle w:val="BodyText"/>
        <w:jc w:val="left"/>
      </w:pPr>
      <w:r w:rsidRPr="00527202">
        <w:t xml:space="preserve">This solicitation is open to all public and </w:t>
      </w:r>
      <w:r>
        <w:t>private entities</w:t>
      </w:r>
      <w:r w:rsidRPr="00527202">
        <w:t xml:space="preserve"> with the exception of </w:t>
      </w:r>
      <w:r>
        <w:t xml:space="preserve">local </w:t>
      </w:r>
      <w:r w:rsidRPr="00527202">
        <w:t>publicly</w:t>
      </w:r>
      <w:r>
        <w:t xml:space="preserve"> </w:t>
      </w:r>
      <w:r w:rsidRPr="00527202">
        <w:t xml:space="preserve">owned </w:t>
      </w:r>
      <w:r>
        <w:t xml:space="preserve">electric </w:t>
      </w:r>
      <w:r w:rsidRPr="00527202">
        <w:t>utilities.</w:t>
      </w:r>
      <w:r>
        <w:rPr>
          <w:rStyle w:val="FootnoteReference"/>
          <w:szCs w:val="22"/>
        </w:rPr>
        <w:footnoteReference w:id="19"/>
      </w:r>
      <w:r w:rsidRPr="00527202">
        <w:t xml:space="preserve"> In accordance with CPUC Decision 12-05-037, funds administered by the </w:t>
      </w:r>
      <w:r>
        <w:t>CEC</w:t>
      </w:r>
      <w:r w:rsidRPr="00527202">
        <w:t xml:space="preserve"> may not be used for any purposes associated with </w:t>
      </w:r>
      <w:r>
        <w:t xml:space="preserve">local </w:t>
      </w:r>
      <w:r w:rsidRPr="00527202">
        <w:t>publicly</w:t>
      </w:r>
      <w:r>
        <w:t xml:space="preserve"> </w:t>
      </w:r>
      <w:r w:rsidRPr="00527202">
        <w:t xml:space="preserve">owned </w:t>
      </w:r>
      <w:r>
        <w:t xml:space="preserve">electric </w:t>
      </w:r>
      <w:r w:rsidRPr="00527202">
        <w:t xml:space="preserve">utility activities. </w:t>
      </w:r>
    </w:p>
    <w:p w14:paraId="6B994BCA" w14:textId="77777777" w:rsidR="00C96578" w:rsidRDefault="00665B8E" w:rsidP="00B97CF4">
      <w:pPr>
        <w:pStyle w:val="Heading4"/>
        <w:numPr>
          <w:ilvl w:val="0"/>
          <w:numId w:val="30"/>
        </w:numPr>
        <w:ind w:hanging="720"/>
        <w:jc w:val="left"/>
      </w:pPr>
      <w:bookmarkStart w:id="109" w:name="_Toc381079914"/>
      <w:bookmarkStart w:id="110" w:name="_Toc382571176"/>
      <w:bookmarkStart w:id="111" w:name="_Toc395180678"/>
      <w:bookmarkStart w:id="112" w:name="_Toc433981305"/>
      <w:r w:rsidRPr="00C07F85">
        <w:t>Terms and Conditions</w:t>
      </w:r>
      <w:bookmarkEnd w:id="109"/>
      <w:bookmarkEnd w:id="110"/>
      <w:bookmarkEnd w:id="111"/>
      <w:bookmarkEnd w:id="112"/>
    </w:p>
    <w:p w14:paraId="72041E91" w14:textId="3A9D2031" w:rsidR="00665B8E" w:rsidRDefault="00665B8E" w:rsidP="00B97CF4">
      <w:pPr>
        <w:pStyle w:val="BodyText"/>
        <w:jc w:val="left"/>
      </w:pPr>
      <w:r>
        <w:t xml:space="preserve">Each grant agreement resulting from this solicitation will include terms and conditions that set forth the grant recipient’s rights and responsibilities. By </w:t>
      </w:r>
      <w:r w:rsidRPr="00C71EF3">
        <w:t>submitting an application in the ECAMS system</w:t>
      </w:r>
      <w:r>
        <w:t xml:space="preserve">, each applicant agrees to </w:t>
      </w:r>
      <w:r w:rsidRPr="353A50E1">
        <w:t>enter into an agreement with the CEC to conduct the proposed project according to the terms and conditions that correspond to its organization, without negotiation</w:t>
      </w:r>
      <w:r>
        <w:t xml:space="preserve">: (1) University of California and California State University terms and conditions; (2) U.S. Department of Energy terms and conditions; (3) Special Terms and Conditions for California Native American Tribes and Tribal Organizations with Sovereign Immunity in addition to the standard terms and conditions; or (4) standard terms and conditions. All terms and conditions are located at </w:t>
      </w:r>
      <w:bookmarkStart w:id="113" w:name="_Hlk82161193"/>
      <w:r w:rsidR="00C97F24">
        <w:t xml:space="preserve">the CEC’s </w:t>
      </w:r>
      <w:hyperlink r:id="rId59" w:history="1">
        <w:r w:rsidR="00C97F24" w:rsidRPr="00C97F24">
          <w:rPr>
            <w:rStyle w:val="Hyperlink"/>
            <w:rFonts w:cs="Arial"/>
          </w:rPr>
          <w:t>Funding Resources website</w:t>
        </w:r>
      </w:hyperlink>
      <w:r w:rsidR="00C97F24">
        <w:t xml:space="preserve"> </w:t>
      </w:r>
      <w:bookmarkEnd w:id="113"/>
      <w:r w:rsidR="00C97F24" w:rsidRPr="004F63EC">
        <w:t>https://www.energy.ca.gov/funding-opportunities/funding-resources</w:t>
      </w:r>
      <w:r>
        <w:t xml:space="preserve">. Please refer to the applicable EPIC Grant terms and conditions. Failure to agree to the terms and conditions by taking actions such as failing to provide the required authorizations and certifications or indicating that acceptance is based on modification of the terms may result in </w:t>
      </w:r>
      <w:r w:rsidRPr="353A50E1">
        <w:rPr>
          <w:b/>
          <w:bCs/>
        </w:rPr>
        <w:t>rejection</w:t>
      </w:r>
      <w:r>
        <w:t xml:space="preserve"> of the application. Applicants </w:t>
      </w:r>
      <w:r w:rsidRPr="353A50E1">
        <w:rPr>
          <w:b/>
          <w:bCs/>
        </w:rPr>
        <w:t>must</w:t>
      </w:r>
      <w:r>
        <w:t xml:space="preserve"> </w:t>
      </w:r>
      <w:r w:rsidRPr="353A50E1">
        <w:rPr>
          <w:b/>
          <w:bCs/>
        </w:rPr>
        <w:t xml:space="preserve">read </w:t>
      </w:r>
      <w:r>
        <w:t>the terms and conditions carefully.</w:t>
      </w:r>
      <w:r w:rsidRPr="353A50E1">
        <w:rPr>
          <w:b/>
          <w:bCs/>
        </w:rPr>
        <w:t xml:space="preserve"> </w:t>
      </w:r>
      <w:r>
        <w:t>The CEC reserves the right to modify the terms and conditions</w:t>
      </w:r>
      <w:r w:rsidRPr="353A50E1">
        <w:rPr>
          <w:b/>
          <w:bCs/>
        </w:rPr>
        <w:t xml:space="preserve"> </w:t>
      </w:r>
      <w:r>
        <w:t xml:space="preserve">prior to executing grant agreements.  </w:t>
      </w:r>
    </w:p>
    <w:p w14:paraId="231582E9" w14:textId="17AD1A26" w:rsidR="00665B8E" w:rsidRPr="00DD17F7" w:rsidRDefault="00665B8E" w:rsidP="00B97CF4">
      <w:pPr>
        <w:pStyle w:val="BodyText"/>
        <w:jc w:val="left"/>
      </w:pPr>
      <w:bookmarkStart w:id="114" w:name="_Hlk80609093"/>
      <w:r w:rsidRPr="00DD17F7">
        <w:t xml:space="preserve">If a California Native American </w:t>
      </w:r>
      <w:r w:rsidR="002E485E">
        <w:t>t</w:t>
      </w:r>
      <w:r w:rsidRPr="00DD17F7">
        <w:t>ribe (</w:t>
      </w:r>
      <w:r w:rsidR="002E485E">
        <w:t>t</w:t>
      </w:r>
      <w:r w:rsidRPr="00DD17F7">
        <w:t xml:space="preserve">ribe) or </w:t>
      </w:r>
      <w:r>
        <w:t xml:space="preserve">California </w:t>
      </w:r>
      <w:r w:rsidR="002E485E">
        <w:t>t</w:t>
      </w:r>
      <w:r w:rsidRPr="00DD17F7">
        <w:t xml:space="preserve">ribal </w:t>
      </w:r>
      <w:r w:rsidR="002E485E">
        <w:t>o</w:t>
      </w:r>
      <w:r w:rsidRPr="00DD17F7">
        <w:t xml:space="preserve">rganization with sovereign immunity is listed as a proposed awardee in the Notice of Proposed Award, CEC staff must receive the following before bringing the proposed award to </w:t>
      </w:r>
      <w:r>
        <w:t xml:space="preserve">a CEC </w:t>
      </w:r>
      <w:r w:rsidRPr="00DD17F7">
        <w:t xml:space="preserve">Business Meeting: </w:t>
      </w:r>
    </w:p>
    <w:p w14:paraId="70C5800C" w14:textId="026C8106" w:rsidR="00C96578" w:rsidRDefault="00665B8E" w:rsidP="00B97CF4">
      <w:pPr>
        <w:pStyle w:val="ListNumber"/>
        <w:jc w:val="left"/>
      </w:pPr>
      <w:r w:rsidRPr="00DD17F7">
        <w:t xml:space="preserve">A resolution or other authorizing document by the governing body of the </w:t>
      </w:r>
      <w:r w:rsidR="002E485E">
        <w:t>t</w:t>
      </w:r>
      <w:r w:rsidRPr="00DD17F7">
        <w:t xml:space="preserve">ribe or </w:t>
      </w:r>
      <w:r>
        <w:t xml:space="preserve">California </w:t>
      </w:r>
      <w:r w:rsidR="002E485E">
        <w:t>t</w:t>
      </w:r>
      <w:r w:rsidRPr="00DD17F7">
        <w:t xml:space="preserve">ribal </w:t>
      </w:r>
      <w:r w:rsidR="002E485E">
        <w:t>o</w:t>
      </w:r>
      <w:r w:rsidRPr="00DD17F7">
        <w:t xml:space="preserve">rganization authorizing the </w:t>
      </w:r>
      <w:r w:rsidR="009F5F60">
        <w:t>t</w:t>
      </w:r>
      <w:r w:rsidRPr="00DD17F7">
        <w:t xml:space="preserve">ribe or </w:t>
      </w:r>
      <w:r>
        <w:t xml:space="preserve">California </w:t>
      </w:r>
      <w:r w:rsidR="009F5F60">
        <w:t>t</w:t>
      </w:r>
      <w:r w:rsidRPr="00DD17F7">
        <w:t xml:space="preserve">ribal </w:t>
      </w:r>
      <w:r w:rsidR="009F5F60">
        <w:t>o</w:t>
      </w:r>
      <w:r w:rsidRPr="00DD17F7">
        <w:t>rganization to enter into the proposed agreement, including accepting the Special Terms and Conditions for California Native American Tribes and Tribal Organizations</w:t>
      </w:r>
      <w:r>
        <w:t xml:space="preserve"> with Sovereign Immunity</w:t>
      </w:r>
      <w:r w:rsidRPr="00DD17F7">
        <w:t>.</w:t>
      </w:r>
    </w:p>
    <w:p w14:paraId="52F6F53C" w14:textId="77777777" w:rsidR="00C96578" w:rsidRDefault="00665B8E" w:rsidP="00B97CF4">
      <w:pPr>
        <w:pStyle w:val="ListNumber"/>
        <w:jc w:val="left"/>
      </w:pPr>
      <w:r w:rsidRPr="00DD17F7">
        <w:t xml:space="preserve">A limited waiver of sovereign immunity in the form and manner required by tribal law; and </w:t>
      </w:r>
    </w:p>
    <w:p w14:paraId="57C540C7" w14:textId="0173CFC9" w:rsidR="00665B8E" w:rsidRPr="00DD17F7" w:rsidRDefault="00665B8E" w:rsidP="00B97CF4">
      <w:pPr>
        <w:pStyle w:val="ListNumber"/>
        <w:jc w:val="left"/>
      </w:pPr>
      <w:r w:rsidRPr="00DD17F7">
        <w:t xml:space="preserve">A resolution or other authorizing document delegating authority to execute the agreement to an appropriate individual. </w:t>
      </w:r>
    </w:p>
    <w:p w14:paraId="4552FA12" w14:textId="77777777" w:rsidR="00665B8E" w:rsidRPr="00DD17F7" w:rsidRDefault="00665B8E" w:rsidP="00B97CF4">
      <w:pPr>
        <w:pStyle w:val="BodyText"/>
        <w:jc w:val="left"/>
      </w:pPr>
      <w:r w:rsidRPr="00DD17F7">
        <w:lastRenderedPageBreak/>
        <w:t xml:space="preserve">The above requirements may be provided in one or more documents. The document(s) will be included as an exhibit to the resulting grant agreement.  </w:t>
      </w:r>
    </w:p>
    <w:p w14:paraId="1B504DF9" w14:textId="04292FD8" w:rsidR="00665B8E" w:rsidRPr="00DD17F7" w:rsidRDefault="00665B8E" w:rsidP="00B97CF4">
      <w:pPr>
        <w:pStyle w:val="BodyText"/>
        <w:jc w:val="left"/>
      </w:pPr>
      <w:r w:rsidRPr="00DD17F7">
        <w:t xml:space="preserve">Delay in award. Any delay in the </w:t>
      </w:r>
      <w:r w:rsidR="009F5F60">
        <w:t>t</w:t>
      </w:r>
      <w:r w:rsidRPr="00DD17F7">
        <w:t xml:space="preserve">ribe or </w:t>
      </w:r>
      <w:r w:rsidR="009F5F60">
        <w:t>t</w:t>
      </w:r>
      <w:r w:rsidRPr="00DD17F7">
        <w:t xml:space="preserve">ribal </w:t>
      </w:r>
      <w:r w:rsidR="009F5F60">
        <w:t>o</w:t>
      </w:r>
      <w:r w:rsidRPr="00DD17F7">
        <w:t xml:space="preserve">rganization’s ability to provide such documentation may result in delayed award of the grant agreement.  </w:t>
      </w:r>
    </w:p>
    <w:p w14:paraId="72CBFD3B" w14:textId="77777777" w:rsidR="00665B8E" w:rsidRPr="00C24522" w:rsidRDefault="00665B8E" w:rsidP="00B97CF4">
      <w:pPr>
        <w:pStyle w:val="BodyText"/>
        <w:jc w:val="left"/>
      </w:pPr>
      <w:r w:rsidRPr="00DD17F7">
        <w:t xml:space="preserve">Reservation of right to cancel proposed award. Funds available under this solicitation have encumbrance deadlines which the CEC must meet in order to avoid expiration of the funds. In addition to any other rights reserved to it under this solicitation or that it otherwise has, the CEC reserves the right to cancel a proposed award if it determines, in its sole and absolute discretion, that the documentation described above would likely not be provided prior to an encumbrance deadline, and that the CEC’s ability to meet its encumbrance deadline may thereby be jeopardized. In this instance, the CEC may cancel the proposed award and award funds to the next highest scoring applicant. </w:t>
      </w:r>
      <w:bookmarkEnd w:id="114"/>
    </w:p>
    <w:p w14:paraId="12A04324" w14:textId="77777777" w:rsidR="00C96578" w:rsidRPr="00C07F85" w:rsidRDefault="00C96578" w:rsidP="00B97CF4">
      <w:pPr>
        <w:pStyle w:val="Heading4"/>
        <w:numPr>
          <w:ilvl w:val="0"/>
          <w:numId w:val="30"/>
        </w:numPr>
        <w:ind w:hanging="720"/>
        <w:jc w:val="left"/>
      </w:pPr>
      <w:r w:rsidRPr="00C07F85">
        <w:t>California Secretary of State Registration</w:t>
      </w:r>
    </w:p>
    <w:p w14:paraId="2C253F3D" w14:textId="0DDCC28A" w:rsidR="00665B8E" w:rsidRDefault="00665B8E" w:rsidP="00B97CF4">
      <w:pPr>
        <w:pStyle w:val="BodyText"/>
        <w:jc w:val="left"/>
      </w:pPr>
      <w:r>
        <w:t>All corporations, limited liability companies (LLCs), limited partnerships (LPs) and limited liability partnerships (LLPs</w:t>
      </w:r>
      <w:r w:rsidRPr="00C07F85">
        <w:t>) that conduct intrastate business in California</w:t>
      </w:r>
      <w:r>
        <w:t xml:space="preserve"> are required to be registered and in good standing with the California Secretary of State prior to its project being recommended for approval at an CEC Business Meeting. If not currently registered with the California Secretary of State, applicants </w:t>
      </w:r>
      <w:r w:rsidRPr="00F02EC7">
        <w:t>and project team members (e.g. subrecipients and even match fund partners)</w:t>
      </w:r>
      <w:r>
        <w:t xml:space="preserve"> are encouraged to contact the Secretary of State’s Office as soon as possible to avoid potential delays in beginning the proposed project(s) (should the application be </w:t>
      </w:r>
      <w:r w:rsidRPr="000519CF">
        <w:t>proposed for funding</w:t>
      </w:r>
      <w:r>
        <w:t>). </w:t>
      </w:r>
      <w:r w:rsidRPr="009835B3">
        <w:t>Applicants should provide the exact legal names of entities included in their applications, along with any fictitious business names. Fictitious business names must be currently valid, i.e., not expired with the Secretary of State. As part of the CEC’s due diligence, particularly during the agreement development phase, CEC staff may request the supporting documentation regarding the above registration requirements.</w:t>
      </w:r>
    </w:p>
    <w:p w14:paraId="2BF7E4D2" w14:textId="0D2ED692" w:rsidR="00665B8E" w:rsidRDefault="00665B8E" w:rsidP="00B97CF4">
      <w:pPr>
        <w:pStyle w:val="BodyText"/>
        <w:jc w:val="left"/>
        <w:rPr>
          <w:b/>
        </w:rPr>
      </w:pPr>
      <w:r>
        <w:t xml:space="preserve">For more information, contact the Secretary of State’s Office via its website at </w:t>
      </w:r>
      <w:r w:rsidRPr="005A2DF5">
        <w:rPr>
          <w:rFonts w:cs="Times New Roman"/>
        </w:rPr>
        <w:t>www.sos.ca.gov</w:t>
      </w:r>
      <w:r>
        <w:t>. </w:t>
      </w:r>
      <w:r w:rsidRPr="00C1237D">
        <w:t>Sole proprietors do not have to be registered with the California Secretary of State. However, the local government may require a business license and if using a fictitious business name, registration of the name may be required. Sole proprietors must be able to provide evidence of required licenses and/or registration with the appropriate local government, or evidence that such licenses and/or registration is not required, to the CEC prior to the project being recommended for approval at a CEC Business Meeting.</w:t>
      </w:r>
    </w:p>
    <w:p w14:paraId="60122813" w14:textId="6274BD49" w:rsidR="00665B8E" w:rsidRPr="00FB0571" w:rsidRDefault="00665B8E" w:rsidP="00B97CF4">
      <w:pPr>
        <w:pStyle w:val="Heading4"/>
        <w:numPr>
          <w:ilvl w:val="0"/>
          <w:numId w:val="30"/>
        </w:numPr>
        <w:ind w:hanging="720"/>
        <w:jc w:val="left"/>
      </w:pPr>
      <w:r w:rsidRPr="00FB0571">
        <w:t>Russia Sanctions </w:t>
      </w:r>
    </w:p>
    <w:p w14:paraId="33984E4C" w14:textId="77777777" w:rsidR="00665B8E" w:rsidRPr="00FB0571" w:rsidRDefault="00665B8E" w:rsidP="00B97CF4">
      <w:pPr>
        <w:pStyle w:val="BodyText"/>
        <w:jc w:val="left"/>
      </w:pPr>
      <w:r w:rsidRPr="00FB0571">
        <w:t>The budget must NOT identify that CEC funds will be spent outside of the United States or for out-of-country travel. However, match funds may cover these costs if there are no legal restrictions. Recent legal restrictions may include Russian Sanctions as described below:  </w:t>
      </w:r>
    </w:p>
    <w:p w14:paraId="3344E785" w14:textId="0D74EB5A" w:rsidR="00665B8E" w:rsidRPr="00FB0571" w:rsidRDefault="00665B8E" w:rsidP="00B97CF4">
      <w:pPr>
        <w:pStyle w:val="BodyText"/>
        <w:jc w:val="left"/>
      </w:pPr>
      <w:r w:rsidRPr="00FB0571">
        <w:t xml:space="preserve"> On March 4, 2022, Governor Gavin Newsom issued Executive Order N-6-22 (the EO) regarding Economic Sanctions against Russia and Russian entities and individuals. “Economic Sanctions” refers to sanctions imposed by the U.S. government in response </w:t>
      </w:r>
      <w:r w:rsidRPr="00FB0571">
        <w:lastRenderedPageBreak/>
        <w:t>to Russia’s actions in Ukraine, as well as any sanctions imposed under state law. The EO directs state agencies to terminate contracts with, and to refrain from entering any new contracts with, individuals or entities that are determined to be a target of Economic Sanctions.  </w:t>
      </w:r>
    </w:p>
    <w:p w14:paraId="480008DD" w14:textId="02A683A5" w:rsidR="00665B8E" w:rsidRPr="00FB0571" w:rsidRDefault="00665B8E" w:rsidP="00B97CF4">
      <w:pPr>
        <w:pStyle w:val="BodyText"/>
        <w:jc w:val="left"/>
      </w:pPr>
      <w:r w:rsidRPr="00FB0571">
        <w:rPr>
          <w:szCs w:val="22"/>
        </w:rPr>
        <w:t> </w:t>
      </w:r>
      <w:r w:rsidRPr="00FB0571">
        <w:t>Accordingly, should the State determine Recipient is a target of Economic Sanctions or is conducting prohibited transactions with sanctioned individuals or entities, that shall be grounds for termination of this agreement. The State shall provide Recipient advance written notice of such termination, allowing Recipient at least 30 calendar days to provide a written response. Termination shall be at the sole discretion of the State. </w:t>
      </w:r>
    </w:p>
    <w:p w14:paraId="4D577071" w14:textId="77777777" w:rsidR="00665B8E" w:rsidRPr="00CF6DED" w:rsidRDefault="00665B8E" w:rsidP="00B97CF4">
      <w:pPr>
        <w:pStyle w:val="Heading3"/>
        <w:jc w:val="left"/>
      </w:pPr>
      <w:bookmarkStart w:id="115" w:name="_Project_Requirements"/>
      <w:bookmarkStart w:id="116" w:name="_Toc336443620"/>
      <w:bookmarkStart w:id="117" w:name="_Toc366671175"/>
      <w:bookmarkStart w:id="118" w:name="_Toc233727894"/>
      <w:bookmarkStart w:id="119" w:name="PrjReq"/>
      <w:bookmarkEnd w:id="115"/>
      <w:r w:rsidRPr="00CF6DED">
        <w:t>Project</w:t>
      </w:r>
      <w:bookmarkEnd w:id="116"/>
      <w:bookmarkEnd w:id="117"/>
      <w:r w:rsidRPr="00CF6DED">
        <w:t xml:space="preserve"> Requirements</w:t>
      </w:r>
      <w:bookmarkEnd w:id="118"/>
    </w:p>
    <w:p w14:paraId="2E81755F" w14:textId="6A55392A" w:rsidR="00665B8E" w:rsidRPr="003E3D8C" w:rsidRDefault="00665B8E" w:rsidP="00B97CF4">
      <w:pPr>
        <w:pStyle w:val="Heading4"/>
        <w:numPr>
          <w:ilvl w:val="0"/>
          <w:numId w:val="43"/>
        </w:numPr>
        <w:ind w:hanging="720"/>
        <w:jc w:val="left"/>
      </w:pPr>
      <w:bookmarkStart w:id="120" w:name="_Toc433981307"/>
      <w:bookmarkEnd w:id="119"/>
      <w:r>
        <w:t xml:space="preserve">Applied </w:t>
      </w:r>
      <w:r w:rsidRPr="003E3D8C">
        <w:t>Research and Development Stage</w:t>
      </w:r>
    </w:p>
    <w:p w14:paraId="1E0FFE87" w14:textId="77777777" w:rsidR="00665B8E" w:rsidRDefault="00665B8E" w:rsidP="00B97CF4">
      <w:pPr>
        <w:pStyle w:val="BodyText"/>
        <w:jc w:val="left"/>
      </w:pPr>
      <w:bookmarkStart w:id="121" w:name="_Toc395180682"/>
      <w:bookmarkStart w:id="122" w:name="_Toc433981309"/>
      <w:bookmarkEnd w:id="120"/>
      <w:r>
        <w:t>P</w:t>
      </w:r>
      <w:r w:rsidRPr="0099059E">
        <w:t>roject</w:t>
      </w:r>
      <w:r>
        <w:t>s</w:t>
      </w:r>
      <w:r w:rsidRPr="0099059E">
        <w:t xml:space="preserve"> </w:t>
      </w:r>
      <w:r>
        <w:t xml:space="preserve">must </w:t>
      </w:r>
      <w:r w:rsidRPr="0099059E">
        <w:t>f</w:t>
      </w:r>
      <w:r>
        <w:t>all</w:t>
      </w:r>
      <w:r w:rsidRPr="0099059E">
        <w:t xml:space="preserve"> within the “applied research and development” sta</w:t>
      </w:r>
      <w:r>
        <w:t>ge, which includes activities that</w:t>
      </w:r>
      <w:r w:rsidRPr="0099059E">
        <w:t xml:space="preserve"> support pre</w:t>
      </w:r>
      <w:r>
        <w:t>-</w:t>
      </w:r>
      <w:r w:rsidRPr="0099059E">
        <w:t xml:space="preserve">commercial technologies and approaches </w:t>
      </w:r>
      <w:r>
        <w:t>that are designed</w:t>
      </w:r>
      <w:r w:rsidRPr="0099059E">
        <w:t xml:space="preserve"> to solve specific problems in the electricity sector.</w:t>
      </w:r>
      <w:r>
        <w:t xml:space="preserve"> </w:t>
      </w:r>
      <w:r w:rsidRPr="001C3A45">
        <w:t>Applied research and development activities include early, pilot-scale testing activities that are necessary to demonstrate the feasibility of pre-commercial technologies.</w:t>
      </w:r>
      <w:r>
        <w:t xml:space="preserve"> By contrast, the “technology demonstration and deployment” stage involves the installation and operation of pre-commercial technologies or strategies at a scale sufficiently large and in conditions sufficiently reflective of anticipated actual operating environments to enable appraisal of the operational and performance characteristics and the financial risks.</w:t>
      </w:r>
      <w:r>
        <w:rPr>
          <w:rStyle w:val="FootnoteReference"/>
          <w:b/>
          <w:szCs w:val="22"/>
        </w:rPr>
        <w:footnoteReference w:id="20"/>
      </w:r>
      <w:r>
        <w:t xml:space="preserve">  </w:t>
      </w:r>
      <w:bookmarkEnd w:id="121"/>
      <w:bookmarkEnd w:id="122"/>
    </w:p>
    <w:p w14:paraId="1404FC11" w14:textId="77777777" w:rsidR="00C96578" w:rsidRDefault="00665B8E" w:rsidP="00B97CF4">
      <w:pPr>
        <w:pStyle w:val="Heading4"/>
        <w:ind w:hanging="720"/>
        <w:jc w:val="left"/>
      </w:pPr>
      <w:bookmarkStart w:id="123" w:name="_Toc381079916"/>
      <w:bookmarkStart w:id="124" w:name="_Toc382571178"/>
      <w:bookmarkStart w:id="125" w:name="_Toc395180687"/>
      <w:bookmarkStart w:id="126" w:name="_Toc433981316"/>
      <w:bookmarkStart w:id="127" w:name="_Toc366671176"/>
      <w:r w:rsidRPr="009F702B">
        <w:t>Ratepayer Benefits, Technological Advancements, and Breakthroughs</w:t>
      </w:r>
      <w:bookmarkEnd w:id="123"/>
      <w:bookmarkEnd w:id="124"/>
      <w:bookmarkEnd w:id="125"/>
      <w:bookmarkEnd w:id="126"/>
    </w:p>
    <w:p w14:paraId="4E8F31A9" w14:textId="77777777" w:rsidR="00665B8E" w:rsidRDefault="00665B8E" w:rsidP="00B97CF4">
      <w:pPr>
        <w:pStyle w:val="BodyText"/>
        <w:jc w:val="left"/>
      </w:pPr>
      <w:bookmarkStart w:id="128" w:name="_Toc381079917"/>
      <w:bookmarkStart w:id="129" w:name="_Toc382571179"/>
      <w:bookmarkStart w:id="130" w:name="_Toc395180688"/>
      <w:bookmarkStart w:id="131" w:name="_Toc433981317"/>
      <w:r w:rsidRPr="00C31C1D">
        <w:t>California Public Resources Code Section 25711.5(a) requires EPIC-funded projects to:</w:t>
      </w:r>
      <w:bookmarkEnd w:id="128"/>
      <w:bookmarkEnd w:id="129"/>
      <w:bookmarkEnd w:id="130"/>
      <w:bookmarkEnd w:id="131"/>
    </w:p>
    <w:p w14:paraId="6670F510" w14:textId="77777777" w:rsidR="00665B8E" w:rsidRDefault="00665B8E" w:rsidP="00A27A5D">
      <w:pPr>
        <w:pStyle w:val="ListBullet"/>
        <w:tabs>
          <w:tab w:val="clear" w:pos="720"/>
        </w:tabs>
        <w:ind w:left="360" w:hanging="360"/>
        <w:jc w:val="left"/>
      </w:pPr>
      <w:bookmarkStart w:id="132" w:name="_Toc381079918"/>
      <w:bookmarkStart w:id="133" w:name="_Toc382571180"/>
      <w:bookmarkStart w:id="134" w:name="_Toc395180689"/>
      <w:bookmarkStart w:id="135" w:name="_Toc433981318"/>
      <w:r w:rsidRPr="00E843E2">
        <w:t xml:space="preserve">Benefit electricity ratepayers; </w:t>
      </w:r>
      <w:r>
        <w:t>and</w:t>
      </w:r>
      <w:bookmarkEnd w:id="132"/>
      <w:bookmarkEnd w:id="133"/>
      <w:bookmarkEnd w:id="134"/>
      <w:bookmarkEnd w:id="135"/>
      <w:r>
        <w:t xml:space="preserve"> </w:t>
      </w:r>
    </w:p>
    <w:p w14:paraId="16764A65" w14:textId="77777777" w:rsidR="00665B8E" w:rsidRDefault="00665B8E" w:rsidP="00827175">
      <w:pPr>
        <w:pStyle w:val="ListBullet"/>
        <w:tabs>
          <w:tab w:val="clear" w:pos="720"/>
          <w:tab w:val="num" w:pos="360"/>
        </w:tabs>
        <w:ind w:left="360" w:hanging="360"/>
        <w:jc w:val="left"/>
      </w:pPr>
      <w:bookmarkStart w:id="136" w:name="_Toc381079919"/>
      <w:bookmarkStart w:id="137" w:name="_Toc382571181"/>
      <w:bookmarkStart w:id="138" w:name="_Toc395180690"/>
      <w:bookmarkStart w:id="139" w:name="_Toc433981319"/>
      <w:r w:rsidRPr="00E843E2">
        <w:t>Lead to technological advancement and breakthroughs to overcome the barriers that prevent the achievement of the state’</w:t>
      </w:r>
      <w:r>
        <w:t>s statutory energy goals.</w:t>
      </w:r>
      <w:bookmarkEnd w:id="136"/>
      <w:bookmarkEnd w:id="137"/>
      <w:bookmarkEnd w:id="138"/>
      <w:bookmarkEnd w:id="139"/>
      <w:r w:rsidRPr="00E843E2">
        <w:t xml:space="preserve"> </w:t>
      </w:r>
    </w:p>
    <w:p w14:paraId="5310C787" w14:textId="77777777" w:rsidR="00665B8E" w:rsidRDefault="00665B8E" w:rsidP="00B97CF4">
      <w:pPr>
        <w:pStyle w:val="BodyText"/>
        <w:jc w:val="left"/>
      </w:pPr>
      <w:bookmarkStart w:id="140" w:name="_Toc395180691"/>
      <w:bookmarkStart w:id="141" w:name="_Toc433981320"/>
      <w:bookmarkStart w:id="142" w:name="_Toc381079920"/>
      <w:bookmarkStart w:id="143" w:name="_Toc382571182"/>
      <w:r w:rsidRPr="008D4F40">
        <w:t>EPIC's mandatory guiding principle are to provide ratepayer benefits</w:t>
      </w:r>
      <w:r>
        <w:t>, which is defined as</w:t>
      </w:r>
      <w:r w:rsidRPr="008D4F40">
        <w:t xml:space="preserve"> (1) improving safety, (2) increasing reliability, (3) increasing affordability, (4) improving environmental sustainability, and (5) improving equity, all as related to California's electric system.</w:t>
      </w:r>
      <w:bookmarkStart w:id="144" w:name="_Toc395180692"/>
      <w:bookmarkStart w:id="145" w:name="_Toc433981321"/>
      <w:bookmarkEnd w:id="140"/>
      <w:bookmarkEnd w:id="141"/>
    </w:p>
    <w:p w14:paraId="79002634" w14:textId="053E81CA" w:rsidR="000767FE" w:rsidRPr="000767FE" w:rsidRDefault="00665B8E" w:rsidP="781912A3">
      <w:pPr>
        <w:pStyle w:val="BodyText"/>
        <w:jc w:val="left"/>
      </w:pPr>
      <w:r>
        <w:t>Accordingly, t</w:t>
      </w:r>
      <w:r w:rsidRPr="00C31C1D">
        <w:t xml:space="preserve">he Project Narrative </w:t>
      </w:r>
      <w:r>
        <w:t>Form Attachment</w:t>
      </w:r>
      <w:r w:rsidRPr="003C1212">
        <w:t xml:space="preserve"> and the “Goals and Objectives” section of the Scope of Work Template Attachment</w:t>
      </w:r>
      <w:r w:rsidRPr="00C31C1D">
        <w:t xml:space="preserve"> must describe how the project will</w:t>
      </w:r>
      <w:r w:rsidRPr="00E719CB">
        <w:t xml:space="preserve">: (1) benefit California IOU ratepayers by </w:t>
      </w:r>
      <w:r>
        <w:t>improving safety, increasing reliability, increasing affordability, improving environmental sustainability, and improving equity, all as related to California's electric system</w:t>
      </w:r>
      <w:r w:rsidRPr="00E719CB">
        <w:t>; and (2) lead to technological advancement and breakthroughs to overcome barriers to achieving the state’s statutory energy goals.</w:t>
      </w:r>
      <w:bookmarkEnd w:id="142"/>
      <w:bookmarkEnd w:id="143"/>
      <w:bookmarkEnd w:id="144"/>
      <w:bookmarkEnd w:id="145"/>
      <w:r w:rsidRPr="00E719CB">
        <w:t xml:space="preserve"> </w:t>
      </w:r>
      <w:bookmarkStart w:id="146" w:name="_Toc395180693"/>
      <w:bookmarkStart w:id="147" w:name="_Toc433981322"/>
      <w:bookmarkStart w:id="148" w:name="_Toc381079922"/>
      <w:bookmarkStart w:id="149" w:name="_Toc382571183"/>
      <w:r w:rsidR="000767FE" w:rsidRPr="00122853">
        <w:t xml:space="preserve">Knowledge </w:t>
      </w:r>
      <w:r w:rsidR="000767FE" w:rsidRPr="009F702B">
        <w:t>Transfer Expenditures</w:t>
      </w:r>
      <w:r w:rsidR="000767FE">
        <w:t xml:space="preserve"> </w:t>
      </w:r>
      <w:bookmarkStart w:id="150" w:name="MandV"/>
    </w:p>
    <w:bookmarkEnd w:id="150"/>
    <w:p w14:paraId="1CC06D86" w14:textId="20E97305" w:rsidR="00665B8E" w:rsidRPr="00380F75" w:rsidRDefault="00665B8E" w:rsidP="00B97CF4">
      <w:pPr>
        <w:pStyle w:val="BodyText"/>
        <w:jc w:val="left"/>
        <w:rPr>
          <w:b/>
        </w:rPr>
      </w:pPr>
      <w:r>
        <w:lastRenderedPageBreak/>
        <w:t>To maximize the impact of EPIC projects and to promote the further development and deployment of EPIC-funded technologies, a minimum of 5 percent of CEC funds requested should go towards</w:t>
      </w:r>
      <w:r w:rsidRPr="00380F75">
        <w:t xml:space="preserve"> knowledge transfer activities. Appropriate knowledge transfer activities for this solicitation are listed in the Scope of Work Template Attachment. The Budget Forms Attachment should clearly distinguish funds dedicated for knowledge transfer.</w:t>
      </w:r>
    </w:p>
    <w:p w14:paraId="7251DB34" w14:textId="472D444D" w:rsidR="00665B8E" w:rsidRPr="00380F75" w:rsidRDefault="00665B8E" w:rsidP="781912A3">
      <w:pPr>
        <w:pStyle w:val="ListNumber"/>
        <w:jc w:val="left"/>
        <w:rPr>
          <w:strike/>
        </w:rPr>
      </w:pPr>
      <w:bookmarkStart w:id="151" w:name="_Measurement_and_Verification"/>
      <w:bookmarkStart w:id="152" w:name="_Toc366671177"/>
      <w:bookmarkEnd w:id="103"/>
      <w:bookmarkEnd w:id="104"/>
      <w:bookmarkEnd w:id="105"/>
      <w:bookmarkEnd w:id="106"/>
      <w:bookmarkEnd w:id="127"/>
      <w:bookmarkEnd w:id="146"/>
      <w:bookmarkEnd w:id="147"/>
      <w:bookmarkEnd w:id="148"/>
      <w:bookmarkEnd w:id="149"/>
      <w:bookmarkEnd w:id="151"/>
      <w:r w:rsidRPr="781912A3">
        <w:rPr>
          <w:strike/>
        </w:rPr>
        <w:br w:type="page"/>
      </w:r>
      <w:bookmarkEnd w:id="152"/>
    </w:p>
    <w:p w14:paraId="49535C7E" w14:textId="77777777" w:rsidR="00665B8E" w:rsidRDefault="00665B8E" w:rsidP="00B97CF4">
      <w:pPr>
        <w:pStyle w:val="Heading2"/>
        <w:jc w:val="left"/>
      </w:pPr>
      <w:bookmarkStart w:id="153" w:name="_Toc12770892"/>
      <w:bookmarkStart w:id="154" w:name="_Toc219275109"/>
      <w:bookmarkStart w:id="155" w:name="_Toc336443626"/>
      <w:bookmarkStart w:id="156" w:name="_Toc366671182"/>
      <w:bookmarkStart w:id="157" w:name="_Toc233727895"/>
      <w:bookmarkStart w:id="158" w:name="_Toc219275098"/>
      <w:r w:rsidRPr="00C31C1D">
        <w:lastRenderedPageBreak/>
        <w:t>III.</w:t>
      </w:r>
      <w:r w:rsidRPr="00C31C1D">
        <w:tab/>
      </w:r>
      <w:bookmarkEnd w:id="153"/>
      <w:r w:rsidRPr="00C31C1D">
        <w:t xml:space="preserve">Application Submission </w:t>
      </w:r>
      <w:bookmarkEnd w:id="154"/>
      <w:bookmarkEnd w:id="155"/>
      <w:bookmarkEnd w:id="156"/>
      <w:r w:rsidRPr="00C31C1D">
        <w:t>Instructions</w:t>
      </w:r>
      <w:bookmarkEnd w:id="157"/>
    </w:p>
    <w:p w14:paraId="1E101854" w14:textId="77777777" w:rsidR="00665B8E" w:rsidRPr="00CF6DED" w:rsidRDefault="00665B8E" w:rsidP="00B97CF4">
      <w:pPr>
        <w:pStyle w:val="Heading3"/>
        <w:numPr>
          <w:ilvl w:val="0"/>
          <w:numId w:val="38"/>
        </w:numPr>
        <w:jc w:val="left"/>
      </w:pPr>
      <w:bookmarkStart w:id="159" w:name="_Application_Format,_Page"/>
      <w:bookmarkStart w:id="160" w:name="_Toc201713573"/>
      <w:bookmarkStart w:id="161" w:name="_Toc233727896"/>
      <w:bookmarkStart w:id="162" w:name="_Toc219275111"/>
      <w:bookmarkStart w:id="163" w:name="_Toc336443628"/>
      <w:bookmarkStart w:id="164" w:name="_Toc366671184"/>
      <w:bookmarkEnd w:id="159"/>
      <w:r w:rsidRPr="00CF6DED">
        <w:t>Application Format</w:t>
      </w:r>
      <w:bookmarkEnd w:id="160"/>
      <w:r w:rsidRPr="00CF6DED">
        <w:t>, Page Limits</w:t>
      </w:r>
      <w:bookmarkEnd w:id="161"/>
      <w:r w:rsidRPr="00CF6DED">
        <w:t xml:space="preserve"> </w:t>
      </w:r>
      <w:bookmarkEnd w:id="162"/>
      <w:bookmarkEnd w:id="163"/>
      <w:bookmarkEnd w:id="164"/>
    </w:p>
    <w:p w14:paraId="6A821E16" w14:textId="77777777" w:rsidR="00665B8E" w:rsidRPr="00BF0D37" w:rsidRDefault="00665B8E" w:rsidP="00B97CF4">
      <w:pPr>
        <w:pStyle w:val="BodyText"/>
        <w:jc w:val="left"/>
      </w:pPr>
      <w:r w:rsidRPr="00BF0D37">
        <w:t xml:space="preserve">All items listed below are required as part of the application package. Failure to provide any items may result in disqualification of the application. Attachment requirements are expanded and explained below in this section and in the attachments themselves. </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pplication organization"/>
        <w:tblDescription w:val="attachment name and number"/>
      </w:tblPr>
      <w:tblGrid>
        <w:gridCol w:w="4567"/>
        <w:gridCol w:w="2178"/>
        <w:gridCol w:w="2610"/>
      </w:tblGrid>
      <w:tr w:rsidR="00665B8E" w:rsidRPr="008004E4" w14:paraId="57A136F0" w14:textId="77777777" w:rsidTr="781912A3">
        <w:trPr>
          <w:trHeight w:val="281"/>
        </w:trPr>
        <w:tc>
          <w:tcPr>
            <w:tcW w:w="4567" w:type="dxa"/>
            <w:shd w:val="clear" w:color="auto" w:fill="D9D9D9" w:themeFill="background1" w:themeFillShade="D9"/>
          </w:tcPr>
          <w:p w14:paraId="6D07C04D" w14:textId="77777777" w:rsidR="00665B8E" w:rsidRPr="008004E4" w:rsidRDefault="00665B8E" w:rsidP="00B97CF4">
            <w:pPr>
              <w:keepLines/>
              <w:widowControl w:val="0"/>
              <w:spacing w:after="0"/>
              <w:jc w:val="left"/>
              <w:rPr>
                <w:b/>
                <w:szCs w:val="22"/>
              </w:rPr>
            </w:pPr>
            <w:r w:rsidRPr="008004E4">
              <w:rPr>
                <w:b/>
                <w:szCs w:val="22"/>
              </w:rPr>
              <w:t>Item</w:t>
            </w:r>
          </w:p>
        </w:tc>
        <w:tc>
          <w:tcPr>
            <w:tcW w:w="2178" w:type="dxa"/>
            <w:shd w:val="clear" w:color="auto" w:fill="D9D9D9" w:themeFill="background1" w:themeFillShade="D9"/>
          </w:tcPr>
          <w:p w14:paraId="5D693199" w14:textId="77777777" w:rsidR="00665B8E" w:rsidRPr="008004E4" w:rsidRDefault="00665B8E" w:rsidP="00B97CF4">
            <w:pPr>
              <w:keepLines/>
              <w:widowControl w:val="0"/>
              <w:spacing w:after="0"/>
              <w:jc w:val="left"/>
              <w:rPr>
                <w:b/>
                <w:szCs w:val="22"/>
              </w:rPr>
            </w:pPr>
            <w:r w:rsidRPr="008004E4">
              <w:rPr>
                <w:b/>
                <w:szCs w:val="22"/>
              </w:rPr>
              <w:t xml:space="preserve">Attachment Number </w:t>
            </w:r>
          </w:p>
        </w:tc>
        <w:tc>
          <w:tcPr>
            <w:tcW w:w="2610" w:type="dxa"/>
            <w:shd w:val="clear" w:color="auto" w:fill="D9D9D9" w:themeFill="background1" w:themeFillShade="D9"/>
          </w:tcPr>
          <w:p w14:paraId="27A09C84" w14:textId="77777777" w:rsidR="00665B8E" w:rsidRPr="008004E4" w:rsidRDefault="00665B8E" w:rsidP="00B97CF4">
            <w:pPr>
              <w:keepLines/>
              <w:widowControl w:val="0"/>
              <w:spacing w:after="0"/>
              <w:jc w:val="left"/>
              <w:rPr>
                <w:b/>
                <w:szCs w:val="22"/>
              </w:rPr>
            </w:pPr>
            <w:r w:rsidRPr="008004E4">
              <w:rPr>
                <w:b/>
                <w:szCs w:val="22"/>
              </w:rPr>
              <w:t>Page Limitation</w:t>
            </w:r>
          </w:p>
        </w:tc>
      </w:tr>
      <w:tr w:rsidR="00665B8E" w:rsidRPr="008004E4" w14:paraId="5290E6E2" w14:textId="77777777" w:rsidTr="00BE41D5">
        <w:trPr>
          <w:trHeight w:val="281"/>
        </w:trPr>
        <w:tc>
          <w:tcPr>
            <w:tcW w:w="4567" w:type="dxa"/>
            <w:vAlign w:val="center"/>
          </w:tcPr>
          <w:p w14:paraId="5EC57DDC" w14:textId="77777777" w:rsidR="00665B8E" w:rsidRPr="008004E4" w:rsidRDefault="00665B8E" w:rsidP="00B97CF4">
            <w:pPr>
              <w:keepLines/>
              <w:widowControl w:val="0"/>
              <w:spacing w:after="0"/>
              <w:jc w:val="left"/>
              <w:rPr>
                <w:szCs w:val="22"/>
              </w:rPr>
            </w:pPr>
            <w:r w:rsidRPr="008004E4">
              <w:rPr>
                <w:szCs w:val="22"/>
              </w:rPr>
              <w:t>Executive Summary</w:t>
            </w:r>
          </w:p>
        </w:tc>
        <w:tc>
          <w:tcPr>
            <w:tcW w:w="2178" w:type="dxa"/>
            <w:vAlign w:val="center"/>
          </w:tcPr>
          <w:p w14:paraId="597A579B" w14:textId="77777777" w:rsidR="00665B8E" w:rsidRPr="008004E4" w:rsidRDefault="00665B8E" w:rsidP="00B97CF4">
            <w:pPr>
              <w:keepLines/>
              <w:widowControl w:val="0"/>
              <w:spacing w:after="0"/>
              <w:jc w:val="left"/>
              <w:rPr>
                <w:szCs w:val="22"/>
              </w:rPr>
            </w:pPr>
            <w:r w:rsidRPr="008004E4">
              <w:rPr>
                <w:szCs w:val="22"/>
              </w:rPr>
              <w:t xml:space="preserve">Attachment </w:t>
            </w:r>
            <w:r>
              <w:rPr>
                <w:szCs w:val="22"/>
              </w:rPr>
              <w:t>1</w:t>
            </w:r>
          </w:p>
        </w:tc>
        <w:tc>
          <w:tcPr>
            <w:tcW w:w="2610" w:type="dxa"/>
          </w:tcPr>
          <w:p w14:paraId="457FCAB9" w14:textId="77777777" w:rsidR="00665B8E" w:rsidRPr="008004E4" w:rsidRDefault="00665B8E" w:rsidP="00B97CF4">
            <w:pPr>
              <w:keepLines/>
              <w:widowControl w:val="0"/>
              <w:spacing w:after="0"/>
              <w:jc w:val="left"/>
              <w:rPr>
                <w:szCs w:val="22"/>
              </w:rPr>
            </w:pPr>
            <w:r w:rsidRPr="008004E4">
              <w:rPr>
                <w:szCs w:val="22"/>
              </w:rPr>
              <w:t>Two pages</w:t>
            </w:r>
          </w:p>
        </w:tc>
      </w:tr>
      <w:tr w:rsidR="00665B8E" w:rsidRPr="008004E4" w14:paraId="3E0530C1" w14:textId="77777777" w:rsidTr="00BE41D5">
        <w:trPr>
          <w:trHeight w:val="431"/>
        </w:trPr>
        <w:tc>
          <w:tcPr>
            <w:tcW w:w="4567" w:type="dxa"/>
            <w:vAlign w:val="center"/>
          </w:tcPr>
          <w:p w14:paraId="1BF6577A" w14:textId="77777777" w:rsidR="00665B8E" w:rsidRPr="008004E4" w:rsidRDefault="00665B8E" w:rsidP="00B97CF4">
            <w:pPr>
              <w:keepLines/>
              <w:widowControl w:val="0"/>
              <w:spacing w:after="0"/>
              <w:jc w:val="left"/>
              <w:rPr>
                <w:szCs w:val="22"/>
              </w:rPr>
            </w:pPr>
            <w:r w:rsidRPr="008004E4">
              <w:rPr>
                <w:szCs w:val="22"/>
              </w:rPr>
              <w:t>Project Narrative</w:t>
            </w:r>
          </w:p>
        </w:tc>
        <w:tc>
          <w:tcPr>
            <w:tcW w:w="2178" w:type="dxa"/>
            <w:vAlign w:val="center"/>
          </w:tcPr>
          <w:p w14:paraId="5486A1F6" w14:textId="77777777" w:rsidR="00665B8E" w:rsidRPr="008004E4" w:rsidRDefault="00665B8E" w:rsidP="00B97CF4">
            <w:pPr>
              <w:keepLines/>
              <w:widowControl w:val="0"/>
              <w:spacing w:after="0"/>
              <w:jc w:val="left"/>
              <w:rPr>
                <w:szCs w:val="22"/>
              </w:rPr>
            </w:pPr>
            <w:r w:rsidRPr="008004E4">
              <w:rPr>
                <w:szCs w:val="22"/>
              </w:rPr>
              <w:t xml:space="preserve">Attachment </w:t>
            </w:r>
            <w:r>
              <w:rPr>
                <w:szCs w:val="22"/>
              </w:rPr>
              <w:t>2</w:t>
            </w:r>
          </w:p>
        </w:tc>
        <w:tc>
          <w:tcPr>
            <w:tcW w:w="2610" w:type="dxa"/>
          </w:tcPr>
          <w:p w14:paraId="4C002E83" w14:textId="77777777" w:rsidR="00665B8E" w:rsidRPr="008004E4" w:rsidRDefault="00665B8E" w:rsidP="00B97CF4">
            <w:pPr>
              <w:keepLines/>
              <w:widowControl w:val="0"/>
              <w:spacing w:after="0"/>
              <w:jc w:val="left"/>
              <w:rPr>
                <w:szCs w:val="22"/>
              </w:rPr>
            </w:pPr>
            <w:r w:rsidRPr="008004E4">
              <w:rPr>
                <w:bCs/>
                <w:szCs w:val="22"/>
              </w:rPr>
              <w:t>Twenty</w:t>
            </w:r>
            <w:r w:rsidRPr="008004E4">
              <w:rPr>
                <w:szCs w:val="22"/>
              </w:rPr>
              <w:t xml:space="preserve"> pages </w:t>
            </w:r>
          </w:p>
        </w:tc>
      </w:tr>
      <w:tr w:rsidR="00665B8E" w:rsidRPr="008004E4" w14:paraId="528D592E" w14:textId="77777777" w:rsidTr="00BE41D5">
        <w:trPr>
          <w:trHeight w:val="281"/>
        </w:trPr>
        <w:tc>
          <w:tcPr>
            <w:tcW w:w="4567" w:type="dxa"/>
            <w:vAlign w:val="center"/>
          </w:tcPr>
          <w:p w14:paraId="682C3BCB" w14:textId="77777777" w:rsidR="00665B8E" w:rsidRPr="008004E4" w:rsidRDefault="00665B8E" w:rsidP="00B97CF4">
            <w:pPr>
              <w:keepLines/>
              <w:widowControl w:val="0"/>
              <w:spacing w:after="0"/>
              <w:jc w:val="left"/>
              <w:rPr>
                <w:szCs w:val="22"/>
              </w:rPr>
            </w:pPr>
            <w:r w:rsidRPr="008004E4">
              <w:rPr>
                <w:szCs w:val="22"/>
              </w:rPr>
              <w:t>Project Team</w:t>
            </w:r>
          </w:p>
        </w:tc>
        <w:tc>
          <w:tcPr>
            <w:tcW w:w="2178" w:type="dxa"/>
            <w:vAlign w:val="center"/>
          </w:tcPr>
          <w:p w14:paraId="03FED93B" w14:textId="77777777" w:rsidR="00665B8E" w:rsidRPr="008004E4" w:rsidRDefault="00665B8E" w:rsidP="00B97CF4">
            <w:pPr>
              <w:keepLines/>
              <w:widowControl w:val="0"/>
              <w:spacing w:after="0"/>
              <w:jc w:val="left"/>
              <w:rPr>
                <w:szCs w:val="22"/>
              </w:rPr>
            </w:pPr>
            <w:r w:rsidRPr="008004E4">
              <w:rPr>
                <w:szCs w:val="22"/>
              </w:rPr>
              <w:t xml:space="preserve">Attachment </w:t>
            </w:r>
            <w:r>
              <w:rPr>
                <w:szCs w:val="22"/>
              </w:rPr>
              <w:t>3</w:t>
            </w:r>
          </w:p>
        </w:tc>
        <w:tc>
          <w:tcPr>
            <w:tcW w:w="2610" w:type="dxa"/>
          </w:tcPr>
          <w:p w14:paraId="62E050EC" w14:textId="77777777" w:rsidR="00665B8E" w:rsidRPr="008004E4" w:rsidRDefault="00665B8E" w:rsidP="00B97CF4">
            <w:pPr>
              <w:keepLines/>
              <w:widowControl w:val="0"/>
              <w:spacing w:after="0"/>
              <w:jc w:val="left"/>
              <w:rPr>
                <w:szCs w:val="22"/>
              </w:rPr>
            </w:pPr>
            <w:r w:rsidRPr="008004E4">
              <w:rPr>
                <w:szCs w:val="22"/>
              </w:rPr>
              <w:t>Two pages for each resume</w:t>
            </w:r>
          </w:p>
        </w:tc>
      </w:tr>
      <w:tr w:rsidR="00665B8E" w:rsidRPr="008004E4" w14:paraId="76FD967F" w14:textId="77777777" w:rsidTr="00BE41D5">
        <w:trPr>
          <w:trHeight w:val="281"/>
        </w:trPr>
        <w:tc>
          <w:tcPr>
            <w:tcW w:w="4567" w:type="dxa"/>
            <w:vAlign w:val="center"/>
          </w:tcPr>
          <w:p w14:paraId="13A325B0" w14:textId="77777777" w:rsidR="00665B8E" w:rsidRPr="008004E4" w:rsidRDefault="00665B8E" w:rsidP="00B97CF4">
            <w:pPr>
              <w:keepLines/>
              <w:widowControl w:val="0"/>
              <w:spacing w:after="0"/>
              <w:jc w:val="left"/>
              <w:rPr>
                <w:szCs w:val="22"/>
              </w:rPr>
            </w:pPr>
            <w:r w:rsidRPr="008004E4">
              <w:rPr>
                <w:szCs w:val="22"/>
              </w:rPr>
              <w:t>Scope of Work</w:t>
            </w:r>
          </w:p>
        </w:tc>
        <w:tc>
          <w:tcPr>
            <w:tcW w:w="2178" w:type="dxa"/>
            <w:vAlign w:val="center"/>
          </w:tcPr>
          <w:p w14:paraId="74E97A98" w14:textId="77777777" w:rsidR="00665B8E" w:rsidRPr="008004E4" w:rsidRDefault="00665B8E" w:rsidP="00B97CF4">
            <w:pPr>
              <w:keepLines/>
              <w:widowControl w:val="0"/>
              <w:spacing w:after="0"/>
              <w:jc w:val="left"/>
              <w:rPr>
                <w:szCs w:val="22"/>
              </w:rPr>
            </w:pPr>
            <w:r w:rsidRPr="008004E4">
              <w:rPr>
                <w:szCs w:val="22"/>
              </w:rPr>
              <w:t xml:space="preserve">Attachment </w:t>
            </w:r>
            <w:r>
              <w:rPr>
                <w:szCs w:val="22"/>
              </w:rPr>
              <w:t>4</w:t>
            </w:r>
          </w:p>
        </w:tc>
        <w:tc>
          <w:tcPr>
            <w:tcW w:w="2610" w:type="dxa"/>
          </w:tcPr>
          <w:p w14:paraId="3C11191F" w14:textId="77777777" w:rsidR="00665B8E" w:rsidRPr="008004E4" w:rsidRDefault="00665B8E" w:rsidP="00B97CF4">
            <w:pPr>
              <w:keepLines/>
              <w:widowControl w:val="0"/>
              <w:spacing w:after="0"/>
              <w:jc w:val="left"/>
              <w:rPr>
                <w:szCs w:val="22"/>
              </w:rPr>
            </w:pPr>
            <w:r w:rsidRPr="008004E4">
              <w:rPr>
                <w:szCs w:val="22"/>
              </w:rPr>
              <w:t>Thirty pages</w:t>
            </w:r>
          </w:p>
        </w:tc>
      </w:tr>
      <w:tr w:rsidR="00665B8E" w:rsidRPr="008004E4" w14:paraId="7CDB4D62" w14:textId="77777777" w:rsidTr="00BE41D5">
        <w:trPr>
          <w:trHeight w:val="290"/>
        </w:trPr>
        <w:tc>
          <w:tcPr>
            <w:tcW w:w="4567" w:type="dxa"/>
            <w:vAlign w:val="center"/>
          </w:tcPr>
          <w:p w14:paraId="798376FA" w14:textId="77777777" w:rsidR="00665B8E" w:rsidRPr="008004E4" w:rsidRDefault="00665B8E" w:rsidP="00B97CF4">
            <w:pPr>
              <w:keepLines/>
              <w:widowControl w:val="0"/>
              <w:spacing w:after="0"/>
              <w:jc w:val="left"/>
              <w:rPr>
                <w:szCs w:val="22"/>
              </w:rPr>
            </w:pPr>
            <w:r w:rsidRPr="008004E4">
              <w:rPr>
                <w:szCs w:val="22"/>
              </w:rPr>
              <w:t>Project Schedule</w:t>
            </w:r>
          </w:p>
        </w:tc>
        <w:tc>
          <w:tcPr>
            <w:tcW w:w="2178" w:type="dxa"/>
            <w:vAlign w:val="center"/>
          </w:tcPr>
          <w:p w14:paraId="437843F0" w14:textId="77777777" w:rsidR="00665B8E" w:rsidRPr="008004E4" w:rsidRDefault="00665B8E" w:rsidP="00B97CF4">
            <w:pPr>
              <w:keepLines/>
              <w:widowControl w:val="0"/>
              <w:spacing w:after="0"/>
              <w:jc w:val="left"/>
              <w:rPr>
                <w:szCs w:val="22"/>
              </w:rPr>
            </w:pPr>
            <w:r w:rsidRPr="008004E4">
              <w:rPr>
                <w:szCs w:val="22"/>
              </w:rPr>
              <w:t xml:space="preserve">Attachment </w:t>
            </w:r>
            <w:r>
              <w:rPr>
                <w:szCs w:val="22"/>
              </w:rPr>
              <w:t>5</w:t>
            </w:r>
          </w:p>
        </w:tc>
        <w:tc>
          <w:tcPr>
            <w:tcW w:w="2610" w:type="dxa"/>
          </w:tcPr>
          <w:p w14:paraId="77D33669" w14:textId="77777777" w:rsidR="00665B8E" w:rsidRPr="008004E4" w:rsidRDefault="00665B8E" w:rsidP="00B97CF4">
            <w:pPr>
              <w:keepLines/>
              <w:widowControl w:val="0"/>
              <w:spacing w:after="0"/>
              <w:jc w:val="left"/>
              <w:rPr>
                <w:szCs w:val="22"/>
              </w:rPr>
            </w:pPr>
            <w:r w:rsidRPr="008004E4">
              <w:rPr>
                <w:szCs w:val="22"/>
              </w:rPr>
              <w:t>Four pages</w:t>
            </w:r>
          </w:p>
        </w:tc>
      </w:tr>
      <w:tr w:rsidR="00665B8E" w:rsidRPr="008004E4" w14:paraId="1A905FF8" w14:textId="77777777" w:rsidTr="00BE41D5">
        <w:tc>
          <w:tcPr>
            <w:tcW w:w="4567" w:type="dxa"/>
            <w:vAlign w:val="center"/>
          </w:tcPr>
          <w:p w14:paraId="04349088" w14:textId="77777777" w:rsidR="00665B8E" w:rsidRPr="008004E4" w:rsidRDefault="00665B8E" w:rsidP="00B97CF4">
            <w:pPr>
              <w:keepLines/>
              <w:widowControl w:val="0"/>
              <w:spacing w:after="0"/>
              <w:jc w:val="left"/>
              <w:rPr>
                <w:szCs w:val="22"/>
              </w:rPr>
            </w:pPr>
            <w:r w:rsidRPr="008004E4">
              <w:rPr>
                <w:szCs w:val="22"/>
              </w:rPr>
              <w:t xml:space="preserve">Budget </w:t>
            </w:r>
          </w:p>
        </w:tc>
        <w:tc>
          <w:tcPr>
            <w:tcW w:w="2178" w:type="dxa"/>
            <w:vAlign w:val="center"/>
          </w:tcPr>
          <w:p w14:paraId="6F99627B" w14:textId="77777777" w:rsidR="00665B8E" w:rsidRPr="008004E4" w:rsidRDefault="00665B8E" w:rsidP="00B97CF4">
            <w:pPr>
              <w:keepLines/>
              <w:widowControl w:val="0"/>
              <w:spacing w:after="0"/>
              <w:jc w:val="left"/>
              <w:rPr>
                <w:szCs w:val="22"/>
              </w:rPr>
            </w:pPr>
            <w:r w:rsidRPr="008004E4">
              <w:rPr>
                <w:szCs w:val="22"/>
              </w:rPr>
              <w:t xml:space="preserve">Attachment </w:t>
            </w:r>
            <w:r>
              <w:rPr>
                <w:szCs w:val="22"/>
              </w:rPr>
              <w:t>6</w:t>
            </w:r>
          </w:p>
        </w:tc>
        <w:tc>
          <w:tcPr>
            <w:tcW w:w="2610" w:type="dxa"/>
          </w:tcPr>
          <w:p w14:paraId="6A6407E9" w14:textId="77777777" w:rsidR="00665B8E" w:rsidRPr="008004E4" w:rsidRDefault="00665B8E" w:rsidP="00B97CF4">
            <w:pPr>
              <w:keepLines/>
              <w:widowControl w:val="0"/>
              <w:spacing w:after="0"/>
              <w:jc w:val="left"/>
              <w:rPr>
                <w:szCs w:val="22"/>
              </w:rPr>
            </w:pPr>
            <w:r w:rsidRPr="008004E4">
              <w:rPr>
                <w:szCs w:val="22"/>
              </w:rPr>
              <w:t>None</w:t>
            </w:r>
          </w:p>
        </w:tc>
      </w:tr>
      <w:tr w:rsidR="00665B8E" w:rsidRPr="008004E4" w14:paraId="5FD92C1C" w14:textId="77777777" w:rsidTr="00BE41D5">
        <w:tc>
          <w:tcPr>
            <w:tcW w:w="4567" w:type="dxa"/>
            <w:vAlign w:val="center"/>
          </w:tcPr>
          <w:p w14:paraId="2FBE7D45" w14:textId="77777777" w:rsidR="00665B8E" w:rsidRPr="008004E4" w:rsidRDefault="00665B8E" w:rsidP="00B97CF4">
            <w:pPr>
              <w:keepLines/>
              <w:widowControl w:val="0"/>
              <w:spacing w:after="0"/>
              <w:jc w:val="left"/>
              <w:rPr>
                <w:szCs w:val="22"/>
              </w:rPr>
            </w:pPr>
            <w:r w:rsidRPr="008004E4">
              <w:rPr>
                <w:szCs w:val="22"/>
              </w:rPr>
              <w:t>CEQA Compliance Form</w:t>
            </w:r>
          </w:p>
        </w:tc>
        <w:tc>
          <w:tcPr>
            <w:tcW w:w="2178" w:type="dxa"/>
            <w:vAlign w:val="center"/>
          </w:tcPr>
          <w:p w14:paraId="39D8812E" w14:textId="77777777" w:rsidR="00665B8E" w:rsidRPr="008004E4" w:rsidRDefault="00665B8E" w:rsidP="00B97CF4">
            <w:pPr>
              <w:keepLines/>
              <w:widowControl w:val="0"/>
              <w:spacing w:after="0"/>
              <w:jc w:val="left"/>
              <w:rPr>
                <w:szCs w:val="22"/>
              </w:rPr>
            </w:pPr>
            <w:r w:rsidRPr="008004E4">
              <w:rPr>
                <w:szCs w:val="22"/>
              </w:rPr>
              <w:t xml:space="preserve">Attachment </w:t>
            </w:r>
            <w:r>
              <w:rPr>
                <w:szCs w:val="22"/>
              </w:rPr>
              <w:t>7</w:t>
            </w:r>
          </w:p>
        </w:tc>
        <w:tc>
          <w:tcPr>
            <w:tcW w:w="2610" w:type="dxa"/>
          </w:tcPr>
          <w:p w14:paraId="41E095A1" w14:textId="77777777" w:rsidR="00665B8E" w:rsidRPr="008004E4" w:rsidRDefault="00665B8E" w:rsidP="00B97CF4">
            <w:pPr>
              <w:keepLines/>
              <w:widowControl w:val="0"/>
              <w:spacing w:after="0"/>
              <w:jc w:val="left"/>
              <w:rPr>
                <w:szCs w:val="22"/>
              </w:rPr>
            </w:pPr>
            <w:r w:rsidRPr="008004E4">
              <w:rPr>
                <w:szCs w:val="22"/>
              </w:rPr>
              <w:t>None</w:t>
            </w:r>
          </w:p>
        </w:tc>
      </w:tr>
      <w:tr w:rsidR="00665B8E" w:rsidRPr="008004E4" w14:paraId="7BCEDCED" w14:textId="77777777" w:rsidTr="00BE41D5">
        <w:tc>
          <w:tcPr>
            <w:tcW w:w="4567" w:type="dxa"/>
            <w:vAlign w:val="center"/>
          </w:tcPr>
          <w:p w14:paraId="297E1A38" w14:textId="77777777" w:rsidR="00665B8E" w:rsidRPr="008004E4" w:rsidRDefault="00665B8E" w:rsidP="00B97CF4">
            <w:pPr>
              <w:keepLines/>
              <w:widowControl w:val="0"/>
              <w:spacing w:after="0"/>
              <w:jc w:val="left"/>
              <w:rPr>
                <w:szCs w:val="22"/>
              </w:rPr>
            </w:pPr>
            <w:r w:rsidRPr="008004E4">
              <w:rPr>
                <w:szCs w:val="22"/>
              </w:rPr>
              <w:t>Past Project Information</w:t>
            </w:r>
          </w:p>
        </w:tc>
        <w:tc>
          <w:tcPr>
            <w:tcW w:w="2178" w:type="dxa"/>
            <w:vAlign w:val="center"/>
          </w:tcPr>
          <w:p w14:paraId="65C0AD55" w14:textId="77777777" w:rsidR="00665B8E" w:rsidRPr="008004E4" w:rsidRDefault="00665B8E" w:rsidP="00B97CF4">
            <w:pPr>
              <w:keepLines/>
              <w:widowControl w:val="0"/>
              <w:spacing w:after="0"/>
              <w:jc w:val="left"/>
              <w:rPr>
                <w:szCs w:val="22"/>
              </w:rPr>
            </w:pPr>
            <w:r w:rsidRPr="008004E4">
              <w:rPr>
                <w:szCs w:val="22"/>
              </w:rPr>
              <w:t xml:space="preserve">Attachment </w:t>
            </w:r>
            <w:r>
              <w:rPr>
                <w:szCs w:val="22"/>
              </w:rPr>
              <w:t>8</w:t>
            </w:r>
          </w:p>
        </w:tc>
        <w:tc>
          <w:tcPr>
            <w:tcW w:w="2610" w:type="dxa"/>
          </w:tcPr>
          <w:p w14:paraId="2BC691A9" w14:textId="77777777" w:rsidR="00665B8E" w:rsidRPr="008004E4" w:rsidRDefault="00665B8E" w:rsidP="00B97CF4">
            <w:pPr>
              <w:keepLines/>
              <w:widowControl w:val="0"/>
              <w:spacing w:after="0"/>
              <w:jc w:val="left"/>
              <w:rPr>
                <w:szCs w:val="22"/>
              </w:rPr>
            </w:pPr>
            <w:r w:rsidRPr="008004E4">
              <w:rPr>
                <w:szCs w:val="22"/>
              </w:rPr>
              <w:t>Two pages for each project description</w:t>
            </w:r>
          </w:p>
        </w:tc>
      </w:tr>
      <w:tr w:rsidR="00665B8E" w:rsidRPr="008004E4" w14:paraId="3EADBABF" w14:textId="77777777" w:rsidTr="00BE41D5">
        <w:tc>
          <w:tcPr>
            <w:tcW w:w="4567" w:type="dxa"/>
            <w:vAlign w:val="center"/>
          </w:tcPr>
          <w:p w14:paraId="49FE7CD0" w14:textId="77777777" w:rsidR="00665B8E" w:rsidRPr="008004E4" w:rsidRDefault="00665B8E" w:rsidP="00B97CF4">
            <w:pPr>
              <w:keepLines/>
              <w:widowControl w:val="0"/>
              <w:spacing w:after="0"/>
              <w:jc w:val="left"/>
              <w:rPr>
                <w:szCs w:val="22"/>
              </w:rPr>
            </w:pPr>
            <w:r w:rsidRPr="008004E4">
              <w:rPr>
                <w:szCs w:val="22"/>
              </w:rPr>
              <w:t xml:space="preserve">Commitment and Support Letters </w:t>
            </w:r>
          </w:p>
        </w:tc>
        <w:tc>
          <w:tcPr>
            <w:tcW w:w="2178" w:type="dxa"/>
            <w:vAlign w:val="center"/>
          </w:tcPr>
          <w:p w14:paraId="43071632" w14:textId="77777777" w:rsidR="00665B8E" w:rsidRPr="008004E4" w:rsidRDefault="00665B8E" w:rsidP="00B97CF4">
            <w:pPr>
              <w:keepLines/>
              <w:widowControl w:val="0"/>
              <w:spacing w:after="0"/>
              <w:jc w:val="left"/>
              <w:rPr>
                <w:szCs w:val="22"/>
              </w:rPr>
            </w:pPr>
            <w:r w:rsidRPr="008004E4">
              <w:rPr>
                <w:szCs w:val="22"/>
              </w:rPr>
              <w:t xml:space="preserve">Attachment </w:t>
            </w:r>
            <w:r>
              <w:rPr>
                <w:szCs w:val="22"/>
              </w:rPr>
              <w:t>9</w:t>
            </w:r>
          </w:p>
        </w:tc>
        <w:tc>
          <w:tcPr>
            <w:tcW w:w="2610" w:type="dxa"/>
          </w:tcPr>
          <w:p w14:paraId="01EB65D1" w14:textId="77777777" w:rsidR="00665B8E" w:rsidRPr="008004E4" w:rsidRDefault="00665B8E" w:rsidP="00B97CF4">
            <w:pPr>
              <w:keepLines/>
              <w:widowControl w:val="0"/>
              <w:spacing w:after="0"/>
              <w:jc w:val="left"/>
              <w:rPr>
                <w:szCs w:val="22"/>
              </w:rPr>
            </w:pPr>
            <w:r w:rsidRPr="008004E4">
              <w:rPr>
                <w:szCs w:val="22"/>
              </w:rPr>
              <w:t>Two pages, excluding the cover page</w:t>
            </w:r>
          </w:p>
        </w:tc>
      </w:tr>
      <w:tr w:rsidR="00665B8E" w:rsidRPr="008004E4" w14:paraId="17CB71A0" w14:textId="77777777" w:rsidTr="00BE41D5">
        <w:tc>
          <w:tcPr>
            <w:tcW w:w="4567" w:type="dxa"/>
            <w:vAlign w:val="center"/>
          </w:tcPr>
          <w:p w14:paraId="29E21798" w14:textId="77777777" w:rsidR="00665B8E" w:rsidRPr="008004E4" w:rsidRDefault="00665B8E" w:rsidP="00B97CF4">
            <w:pPr>
              <w:keepLines/>
              <w:widowControl w:val="0"/>
              <w:spacing w:after="0"/>
              <w:jc w:val="left"/>
              <w:rPr>
                <w:szCs w:val="22"/>
              </w:rPr>
            </w:pPr>
            <w:r w:rsidRPr="008004E4">
              <w:rPr>
                <w:szCs w:val="22"/>
              </w:rPr>
              <w:t>Project Performance Metrics</w:t>
            </w:r>
          </w:p>
        </w:tc>
        <w:tc>
          <w:tcPr>
            <w:tcW w:w="2178" w:type="dxa"/>
            <w:vAlign w:val="center"/>
          </w:tcPr>
          <w:p w14:paraId="61AFE368" w14:textId="77777777" w:rsidR="00665B8E" w:rsidRPr="008004E4" w:rsidRDefault="00665B8E" w:rsidP="00B97CF4">
            <w:pPr>
              <w:keepLines/>
              <w:widowControl w:val="0"/>
              <w:spacing w:after="0"/>
              <w:jc w:val="left"/>
              <w:rPr>
                <w:szCs w:val="22"/>
              </w:rPr>
            </w:pPr>
            <w:r w:rsidRPr="008004E4">
              <w:rPr>
                <w:szCs w:val="22"/>
              </w:rPr>
              <w:t>Attachment 1</w:t>
            </w:r>
            <w:r>
              <w:rPr>
                <w:szCs w:val="22"/>
              </w:rPr>
              <w:t>0</w:t>
            </w:r>
          </w:p>
        </w:tc>
        <w:tc>
          <w:tcPr>
            <w:tcW w:w="2610" w:type="dxa"/>
          </w:tcPr>
          <w:p w14:paraId="33B3E7AC" w14:textId="77777777" w:rsidR="00665B8E" w:rsidRPr="008004E4" w:rsidRDefault="00665B8E" w:rsidP="00B97CF4">
            <w:pPr>
              <w:keepLines/>
              <w:widowControl w:val="0"/>
              <w:spacing w:after="0"/>
              <w:jc w:val="left"/>
              <w:rPr>
                <w:szCs w:val="22"/>
              </w:rPr>
            </w:pPr>
            <w:r w:rsidRPr="008004E4">
              <w:rPr>
                <w:szCs w:val="22"/>
              </w:rPr>
              <w:t>None</w:t>
            </w:r>
          </w:p>
        </w:tc>
      </w:tr>
      <w:tr w:rsidR="00665B8E" w:rsidRPr="008004E4" w14:paraId="6CF4A2A2" w14:textId="77777777" w:rsidTr="00BE41D5">
        <w:tc>
          <w:tcPr>
            <w:tcW w:w="4567" w:type="dxa"/>
            <w:vAlign w:val="center"/>
          </w:tcPr>
          <w:p w14:paraId="72D2CD2E" w14:textId="77777777" w:rsidR="00665B8E" w:rsidRPr="008004E4" w:rsidRDefault="00665B8E" w:rsidP="00B97CF4">
            <w:pPr>
              <w:keepLines/>
              <w:widowControl w:val="0"/>
              <w:spacing w:after="0"/>
              <w:jc w:val="left"/>
              <w:rPr>
                <w:szCs w:val="22"/>
              </w:rPr>
            </w:pPr>
            <w:r w:rsidRPr="008004E4">
              <w:rPr>
                <w:szCs w:val="22"/>
              </w:rPr>
              <w:t>Applicant Declaration</w:t>
            </w:r>
          </w:p>
        </w:tc>
        <w:tc>
          <w:tcPr>
            <w:tcW w:w="2178" w:type="dxa"/>
            <w:vAlign w:val="center"/>
          </w:tcPr>
          <w:p w14:paraId="1C16578C" w14:textId="77777777" w:rsidR="00665B8E" w:rsidRPr="008004E4" w:rsidRDefault="00665B8E" w:rsidP="00B97CF4">
            <w:pPr>
              <w:keepLines/>
              <w:widowControl w:val="0"/>
              <w:spacing w:after="0"/>
              <w:jc w:val="left"/>
              <w:rPr>
                <w:szCs w:val="22"/>
              </w:rPr>
            </w:pPr>
            <w:r w:rsidRPr="008004E4">
              <w:rPr>
                <w:szCs w:val="22"/>
              </w:rPr>
              <w:t>Attachment 1</w:t>
            </w:r>
            <w:r>
              <w:rPr>
                <w:szCs w:val="22"/>
              </w:rPr>
              <w:t>1</w:t>
            </w:r>
          </w:p>
        </w:tc>
        <w:tc>
          <w:tcPr>
            <w:tcW w:w="2610" w:type="dxa"/>
          </w:tcPr>
          <w:p w14:paraId="202956D3" w14:textId="77777777" w:rsidR="00665B8E" w:rsidRPr="008004E4" w:rsidRDefault="00665B8E" w:rsidP="00B97CF4">
            <w:pPr>
              <w:keepLines/>
              <w:widowControl w:val="0"/>
              <w:spacing w:after="0"/>
              <w:jc w:val="left"/>
              <w:rPr>
                <w:szCs w:val="22"/>
              </w:rPr>
            </w:pPr>
          </w:p>
        </w:tc>
      </w:tr>
      <w:tr w:rsidR="00665B8E" w:rsidRPr="008004E4" w14:paraId="7A118453" w14:textId="77777777" w:rsidTr="00BE41D5">
        <w:tc>
          <w:tcPr>
            <w:tcW w:w="4567" w:type="dxa"/>
            <w:vAlign w:val="center"/>
          </w:tcPr>
          <w:p w14:paraId="001013B9" w14:textId="5ED9D757" w:rsidR="00665B8E" w:rsidRPr="00380F75" w:rsidRDefault="00665B8E" w:rsidP="00B97CF4">
            <w:pPr>
              <w:keepLines/>
              <w:widowControl w:val="0"/>
              <w:spacing w:after="0"/>
              <w:jc w:val="left"/>
              <w:rPr>
                <w:strike/>
              </w:rPr>
            </w:pPr>
          </w:p>
        </w:tc>
        <w:tc>
          <w:tcPr>
            <w:tcW w:w="2178" w:type="dxa"/>
            <w:vAlign w:val="center"/>
          </w:tcPr>
          <w:p w14:paraId="03D13EDB" w14:textId="4A96000C" w:rsidR="00665B8E" w:rsidRPr="00380F75" w:rsidRDefault="00665B8E" w:rsidP="00B97CF4">
            <w:pPr>
              <w:keepLines/>
              <w:widowControl w:val="0"/>
              <w:spacing w:after="0"/>
              <w:jc w:val="left"/>
              <w:rPr>
                <w:strike/>
              </w:rPr>
            </w:pPr>
          </w:p>
        </w:tc>
        <w:tc>
          <w:tcPr>
            <w:tcW w:w="2610" w:type="dxa"/>
          </w:tcPr>
          <w:p w14:paraId="0D651634" w14:textId="2674CE3A" w:rsidR="00665B8E" w:rsidRPr="00380F75" w:rsidRDefault="00665B8E" w:rsidP="00B97CF4">
            <w:pPr>
              <w:keepLines/>
              <w:widowControl w:val="0"/>
              <w:spacing w:after="0"/>
              <w:jc w:val="left"/>
              <w:rPr>
                <w:strike/>
              </w:rPr>
            </w:pPr>
          </w:p>
        </w:tc>
      </w:tr>
    </w:tbl>
    <w:p w14:paraId="7B3C0BB0" w14:textId="77777777" w:rsidR="00665B8E" w:rsidRPr="00CF6DED" w:rsidRDefault="00665B8E" w:rsidP="00B97CF4">
      <w:pPr>
        <w:pStyle w:val="Heading3"/>
        <w:jc w:val="left"/>
      </w:pPr>
      <w:bookmarkStart w:id="165" w:name="_Toc428191083"/>
      <w:bookmarkStart w:id="166" w:name="_Toc233727897"/>
      <w:bookmarkStart w:id="167" w:name="_Toc201713575"/>
      <w:bookmarkStart w:id="168" w:name="_Toc219275113"/>
      <w:bookmarkStart w:id="169" w:name="_Toc336443630"/>
      <w:bookmarkStart w:id="170" w:name="_Toc366671186"/>
      <w:r w:rsidRPr="00CF6DED">
        <w:t>Method For Delivery</w:t>
      </w:r>
      <w:bookmarkEnd w:id="165"/>
      <w:bookmarkEnd w:id="166"/>
    </w:p>
    <w:p w14:paraId="49996AC1" w14:textId="124CD3AF" w:rsidR="00665B8E" w:rsidRDefault="00665B8E" w:rsidP="00B97CF4">
      <w:pPr>
        <w:pStyle w:val="BodyText"/>
        <w:jc w:val="left"/>
      </w:pPr>
      <w:r>
        <w:t xml:space="preserve">The only method of </w:t>
      </w:r>
      <w:hyperlink r:id="rId60" w:history="1">
        <w:r w:rsidRPr="00BB0B0E">
          <w:rPr>
            <w:rStyle w:val="Hyperlink"/>
            <w:rFonts w:cs="Arial"/>
          </w:rPr>
          <w:t>submitting applications</w:t>
        </w:r>
      </w:hyperlink>
      <w:r>
        <w:t xml:space="preserve"> to this solicitation is </w:t>
      </w:r>
      <w:r w:rsidRPr="009B17B2">
        <w:t>Energy Commission Agreement Management System (ECAMS)</w:t>
      </w:r>
      <w:r>
        <w:t xml:space="preserve">, available at: </w:t>
      </w:r>
      <w:r w:rsidRPr="008749D6">
        <w:rPr>
          <w:rFonts w:cs="Times New Roman"/>
        </w:rPr>
        <w:t>https://ecams.energy.ca.gov</w:t>
      </w:r>
      <w:r>
        <w:t>. </w:t>
      </w:r>
    </w:p>
    <w:p w14:paraId="1DA145DB" w14:textId="5E7556B7" w:rsidR="00665B8E" w:rsidRDefault="00665B8E" w:rsidP="00B97CF4">
      <w:pPr>
        <w:pStyle w:val="BodyText"/>
        <w:jc w:val="left"/>
      </w:pPr>
      <w:r w:rsidRPr="00A845A3">
        <w:t xml:space="preserve">The CEC is providing a team of technical assistants to support applicants with this new process. </w:t>
      </w:r>
      <w:hyperlink r:id="rId61" w:history="1">
        <w:r w:rsidR="00BB0B0E" w:rsidRPr="00BB0B0E">
          <w:rPr>
            <w:rStyle w:val="Hyperlink"/>
            <w:rFonts w:cs="Arial"/>
          </w:rPr>
          <w:t>Please email</w:t>
        </w:r>
      </w:hyperlink>
      <w:r w:rsidRPr="00A845A3">
        <w:t xml:space="preserve"> ECAMS.SalesforceSupport@energy.ca.gov for support.  </w:t>
      </w:r>
    </w:p>
    <w:p w14:paraId="4F01B0EF" w14:textId="782B2566" w:rsidR="00665B8E" w:rsidRDefault="00665B8E" w:rsidP="00B97CF4">
      <w:pPr>
        <w:pStyle w:val="BodyText"/>
        <w:jc w:val="left"/>
        <w:rPr>
          <w:b/>
        </w:rPr>
      </w:pPr>
      <w:r>
        <w:t xml:space="preserve">ECAMS allows applicants to complete and submit their application to the CEC prior to the date and time specified in this solicitation. Files </w:t>
      </w:r>
      <w:r w:rsidRPr="00F36581">
        <w:t xml:space="preserve">uploaded to the system </w:t>
      </w:r>
      <w:r>
        <w:t>must be in Microsoft Word XP (.doc format) or newer and Excel Office Suite formats unless originally provided in the solicitation in another format. Attachments requiring signatures</w:t>
      </w:r>
      <w:r w:rsidRPr="00A47043">
        <w:t xml:space="preserve">, such as match funding commitment letters, </w:t>
      </w:r>
      <w:r>
        <w:t xml:space="preserve">may be scanned and submitted in PDF format. Completed Budget Forms, </w:t>
      </w:r>
      <w:r w:rsidRPr="001212D2">
        <w:t>Attachment,</w:t>
      </w:r>
      <w:r>
        <w:t xml:space="preserve"> must be in Excel format.  </w:t>
      </w:r>
    </w:p>
    <w:p w14:paraId="0EED9A84" w14:textId="77777777" w:rsidR="00665B8E" w:rsidRPr="00FA17A4" w:rsidRDefault="00665B8E" w:rsidP="00B97CF4">
      <w:pPr>
        <w:pStyle w:val="BodyText"/>
        <w:jc w:val="left"/>
      </w:pPr>
      <w:r w:rsidRPr="00FA17A4">
        <w:t xml:space="preserve">The deadline to submit applications through </w:t>
      </w:r>
      <w:r w:rsidRPr="005C7D5B">
        <w:t>ECAMS system</w:t>
      </w:r>
      <w:r w:rsidRPr="00FA17A4">
        <w:t xml:space="preserve"> is 11:59 p.m. </w:t>
      </w:r>
      <w:r w:rsidRPr="008E465B">
        <w:t>on the Deadline to Submit Applications date shown in the Key Activities Schedule</w:t>
      </w:r>
      <w:r>
        <w:t>.</w:t>
      </w:r>
      <w:r w:rsidRPr="008E465B">
        <w:t xml:space="preserve"> </w:t>
      </w:r>
      <w:r>
        <w:t>ECAMS</w:t>
      </w:r>
      <w:r w:rsidRPr="00FA17A4">
        <w:t xml:space="preserve"> automatically closes at 11:59 pm. If the full submittal process has not been completed before 11:59 p.m., your application will not be considered.   </w:t>
      </w:r>
    </w:p>
    <w:p w14:paraId="4C4D7DB0" w14:textId="77777777" w:rsidR="00665B8E" w:rsidRPr="00FA17A4" w:rsidRDefault="00665B8E" w:rsidP="00B97CF4">
      <w:pPr>
        <w:pStyle w:val="BodyText"/>
        <w:jc w:val="left"/>
      </w:pPr>
      <w:r w:rsidRPr="00FA17A4">
        <w:t xml:space="preserve">The CEC strongly encourages Applicants to upload and submit all applications by 5:00 p.m. because CEC staff will not be available after 5:00 p.m. or on weekends to assist </w:t>
      </w:r>
      <w:r w:rsidRPr="00FA17A4">
        <w:lastRenderedPageBreak/>
        <w:t xml:space="preserve">with the upload process. And please note that while we endeavor to assist all would-be applicants, we can’t guarantee staff will be available for in-person consultation on the due date, so please plan accordingly.  </w:t>
      </w:r>
    </w:p>
    <w:p w14:paraId="53DBAA91" w14:textId="37AA0774" w:rsidR="00665B8E" w:rsidRDefault="00665B8E" w:rsidP="00B97CF4">
      <w:pPr>
        <w:pStyle w:val="BodyText"/>
        <w:jc w:val="left"/>
      </w:pPr>
      <w:r w:rsidRPr="00FA17A4">
        <w:t xml:space="preserve">Please give yourself ample time to complete all steps of the submission process: do not wait until right before the deadline to begin the process. Due to factors outside the CEC’s control and unrelated to </w:t>
      </w:r>
      <w:r>
        <w:t>ECAMS</w:t>
      </w:r>
      <w:r w:rsidRPr="00FA17A4">
        <w:t xml:space="preserve">, upload times may be much longer than expected. For example, unexpected issues </w:t>
      </w:r>
      <w:r>
        <w:t>could occur</w:t>
      </w:r>
      <w:r w:rsidRPr="00FA17A4">
        <w:t xml:space="preserve">, causing long delays that prevent timely submission. Please plan accordingly. For instructions on how to apply using the </w:t>
      </w:r>
      <w:r>
        <w:t>ECAMS system</w:t>
      </w:r>
      <w:r w:rsidRPr="00FA17A4">
        <w:t xml:space="preserve">, please see the How to Apply document available on the </w:t>
      </w:r>
      <w:hyperlink r:id="rId62" w:history="1">
        <w:r w:rsidRPr="000767FE">
          <w:rPr>
            <w:rStyle w:val="Hyperlink"/>
            <w:rFonts w:cs="Arial"/>
          </w:rPr>
          <w:t>CEC website</w:t>
        </w:r>
      </w:hyperlink>
      <w:r w:rsidRPr="00FA17A4">
        <w:t xml:space="preserve"> at:</w:t>
      </w:r>
      <w:r w:rsidRPr="00912D53">
        <w:t xml:space="preserve"> </w:t>
      </w:r>
      <w:r w:rsidRPr="00B102FD">
        <w:rPr>
          <w:b/>
        </w:rPr>
        <w:t>https://www.energy.ca.gov/funding-opportunities/funding-resources</w:t>
      </w:r>
      <w:r w:rsidRPr="00912D53">
        <w:t>,</w:t>
      </w:r>
      <w:r>
        <w:t xml:space="preserve"> </w:t>
      </w:r>
      <w:r w:rsidRPr="006065B5">
        <w:t>under General Funding Information, Energy Commission Agreement Management System (ECAMS)</w:t>
      </w:r>
      <w:r w:rsidRPr="00FA17A4">
        <w:t>. </w:t>
      </w:r>
    </w:p>
    <w:p w14:paraId="2D2B7084" w14:textId="77777777" w:rsidR="00665B8E" w:rsidRDefault="00665B8E" w:rsidP="00B97CF4">
      <w:pPr>
        <w:pStyle w:val="BodyText"/>
        <w:jc w:val="left"/>
      </w:pPr>
      <w:r>
        <w:t>First time users must register as a new user to access the system. </w:t>
      </w:r>
      <w:r w:rsidRPr="00FE77F3">
        <w:t>There will be two types of user accounts to establish: 1) An organizational account, for the entity applying to the solicitation; and 2) user accounts for individuals who will be submitting the application on behalf of the organization.</w:t>
      </w:r>
    </w:p>
    <w:p w14:paraId="76884ABF" w14:textId="77777777" w:rsidR="00665B8E" w:rsidRPr="00C07F85" w:rsidRDefault="00665B8E" w:rsidP="00B97CF4">
      <w:pPr>
        <w:pStyle w:val="BodyText"/>
        <w:jc w:val="left"/>
      </w:pPr>
      <w:r w:rsidRPr="001F52A2">
        <w:t>Applicants will be required to upload all attachments marked “required” in the system in order for the application to be submitted</w:t>
      </w:r>
      <w:r>
        <w:t>.</w:t>
      </w:r>
    </w:p>
    <w:p w14:paraId="65A87693" w14:textId="77777777" w:rsidR="00665B8E" w:rsidRPr="00CF6DED" w:rsidRDefault="00665B8E" w:rsidP="00B97CF4">
      <w:pPr>
        <w:pStyle w:val="Heading3"/>
        <w:jc w:val="left"/>
      </w:pPr>
      <w:bookmarkStart w:id="171" w:name="_Toc233727898"/>
      <w:bookmarkStart w:id="172" w:name="_Toc219275114"/>
      <w:bookmarkStart w:id="173" w:name="_Toc336443632"/>
      <w:bookmarkStart w:id="174" w:name="_Toc366671188"/>
      <w:bookmarkEnd w:id="167"/>
      <w:bookmarkEnd w:id="168"/>
      <w:bookmarkEnd w:id="169"/>
      <w:bookmarkEnd w:id="170"/>
      <w:r w:rsidRPr="00CF6DED">
        <w:t>Application Content</w:t>
      </w:r>
      <w:bookmarkEnd w:id="171"/>
    </w:p>
    <w:p w14:paraId="6C6CF0B4" w14:textId="751D3E08" w:rsidR="000767FE" w:rsidRDefault="00665B8E" w:rsidP="00B97CF4">
      <w:pPr>
        <w:pStyle w:val="BodyText"/>
        <w:jc w:val="left"/>
      </w:pPr>
      <w:bookmarkStart w:id="175" w:name="_Toc381079929"/>
      <w:bookmarkStart w:id="176" w:name="_Toc382571192"/>
      <w:bookmarkStart w:id="177" w:name="_Toc395180702"/>
      <w:bookmarkStart w:id="178" w:name="_Toc433981331"/>
      <w:bookmarkStart w:id="179" w:name="_Toc35074593"/>
      <w:bookmarkStart w:id="180" w:name="_Toc366671191"/>
      <w:bookmarkEnd w:id="172"/>
      <w:bookmarkEnd w:id="173"/>
      <w:bookmarkEnd w:id="174"/>
      <w:r w:rsidRPr="00C31C1D">
        <w:t xml:space="preserve">Below is a </w:t>
      </w:r>
      <w:r>
        <w:t xml:space="preserve">general </w:t>
      </w:r>
      <w:r w:rsidRPr="00C31C1D">
        <w:t xml:space="preserve">description of each </w:t>
      </w:r>
      <w:r>
        <w:t xml:space="preserve">required </w:t>
      </w:r>
      <w:r w:rsidRPr="00C31C1D">
        <w:t>section of the application</w:t>
      </w:r>
      <w:r>
        <w:t xml:space="preserve">. </w:t>
      </w:r>
      <w:r w:rsidRPr="00736A5C">
        <w:t>Please reference each individual attachment for a detailed description of the information requested by that attachment.</w:t>
      </w:r>
      <w:r>
        <w:t xml:space="preserve"> Completeness in submitting all the information requested in each attachment will be factored into </w:t>
      </w:r>
      <w:r w:rsidRPr="00BF6C04">
        <w:t>application</w:t>
      </w:r>
      <w:r>
        <w:t xml:space="preserve"> scoring</w:t>
      </w:r>
      <w:bookmarkEnd w:id="175"/>
      <w:bookmarkEnd w:id="176"/>
      <w:bookmarkEnd w:id="177"/>
      <w:bookmarkEnd w:id="178"/>
      <w:r>
        <w:t>.</w:t>
      </w:r>
      <w:bookmarkEnd w:id="179"/>
      <w:bookmarkEnd w:id="180"/>
    </w:p>
    <w:p w14:paraId="4C83CB06" w14:textId="77777777" w:rsidR="000767FE" w:rsidRPr="000767FE" w:rsidRDefault="00665B8E" w:rsidP="00B97CF4">
      <w:pPr>
        <w:pStyle w:val="Heading4"/>
        <w:numPr>
          <w:ilvl w:val="0"/>
          <w:numId w:val="45"/>
        </w:numPr>
        <w:ind w:hanging="720"/>
        <w:jc w:val="left"/>
      </w:pPr>
      <w:r w:rsidRPr="000767FE">
        <w:t>Executive Summary Form (Attachment 1)</w:t>
      </w:r>
    </w:p>
    <w:p w14:paraId="7658ADBD" w14:textId="7024BD6C" w:rsidR="00665B8E" w:rsidRDefault="00665B8E" w:rsidP="00B97CF4">
      <w:pPr>
        <w:pStyle w:val="BodyText"/>
        <w:jc w:val="left"/>
      </w:pPr>
      <w:r w:rsidRPr="00C31C1D">
        <w:t>The Executive Summary include</w:t>
      </w:r>
      <w:r>
        <w:t>s:</w:t>
      </w:r>
      <w:r w:rsidRPr="00C31C1D">
        <w:t xml:space="preserve"> </w:t>
      </w:r>
      <w:r>
        <w:t>a project description;</w:t>
      </w:r>
      <w:r w:rsidRPr="00C31C1D">
        <w:t xml:space="preserve"> the </w:t>
      </w:r>
      <w:r>
        <w:t xml:space="preserve">project </w:t>
      </w:r>
      <w:r w:rsidRPr="00C31C1D">
        <w:t>goal</w:t>
      </w:r>
      <w:r>
        <w:t>s and objectives to be achieved;</w:t>
      </w:r>
      <w:r w:rsidRPr="00C31C1D">
        <w:t xml:space="preserve"> </w:t>
      </w:r>
      <w:r>
        <w:t xml:space="preserve">an explanation of </w:t>
      </w:r>
      <w:r w:rsidRPr="00C31C1D">
        <w:t>how the</w:t>
      </w:r>
      <w:r>
        <w:t xml:space="preserve"> goals and objectives</w:t>
      </w:r>
      <w:r w:rsidRPr="00C31C1D">
        <w:t xml:space="preserve"> will be achieved, quantified,</w:t>
      </w:r>
      <w:r>
        <w:t xml:space="preserve"> and measured;</w:t>
      </w:r>
      <w:r w:rsidRPr="00C31C1D">
        <w:t xml:space="preserve"> and </w:t>
      </w:r>
      <w:r>
        <w:t xml:space="preserve">a description of </w:t>
      </w:r>
      <w:r w:rsidRPr="00C31C1D">
        <w:t xml:space="preserve">the </w:t>
      </w:r>
      <w:r>
        <w:t xml:space="preserve">project </w:t>
      </w:r>
      <w:r w:rsidRPr="00C31C1D">
        <w:t>tasks and overa</w:t>
      </w:r>
      <w:r>
        <w:t>ll management of the agreement.</w:t>
      </w:r>
    </w:p>
    <w:p w14:paraId="0E854508" w14:textId="77777777" w:rsidR="000767FE" w:rsidRPr="00A53E92" w:rsidRDefault="00665B8E" w:rsidP="00B97CF4">
      <w:pPr>
        <w:pStyle w:val="Heading4"/>
        <w:ind w:hanging="720"/>
        <w:jc w:val="left"/>
      </w:pPr>
      <w:r w:rsidRPr="00A53E92">
        <w:t xml:space="preserve">Project Narrative Form (Attachment 2) </w:t>
      </w:r>
    </w:p>
    <w:p w14:paraId="7D1B0948" w14:textId="7A01E5DE" w:rsidR="00665B8E" w:rsidRPr="00142AAE" w:rsidRDefault="00665B8E" w:rsidP="00B97CF4">
      <w:pPr>
        <w:pStyle w:val="BodyText"/>
        <w:jc w:val="left"/>
      </w:pPr>
      <w:r>
        <w:t>T</w:t>
      </w:r>
      <w:r w:rsidRPr="00C31C1D">
        <w:t>h</w:t>
      </w:r>
      <w:r>
        <w:t>is</w:t>
      </w:r>
      <w:r w:rsidRPr="00C31C1D">
        <w:t xml:space="preserve"> </w:t>
      </w:r>
      <w:r>
        <w:t>f</w:t>
      </w:r>
      <w:r w:rsidRPr="00C31C1D">
        <w:t>orm</w:t>
      </w:r>
      <w:r>
        <w:t xml:space="preserve"> includes the majority of the applicant’s responses to the Scoring Criteria in Section IV</w:t>
      </w:r>
      <w:r w:rsidRPr="00142AAE">
        <w:t xml:space="preserve">, </w:t>
      </w:r>
      <w:r>
        <w:t>T</w:t>
      </w:r>
      <w:r w:rsidRPr="00142AAE">
        <w:t xml:space="preserve">he following must </w:t>
      </w:r>
      <w:r>
        <w:t xml:space="preserve">also </w:t>
      </w:r>
      <w:r w:rsidRPr="00142AAE">
        <w:t>be addressed for both Applied Research &amp; Technology Demonstration projects:</w:t>
      </w:r>
    </w:p>
    <w:p w14:paraId="11401C19" w14:textId="7E9A1569" w:rsidR="00665B8E" w:rsidRPr="000767FE" w:rsidRDefault="00665B8E" w:rsidP="00B97CF4">
      <w:pPr>
        <w:pStyle w:val="ListNumber3"/>
        <w:numPr>
          <w:ilvl w:val="0"/>
          <w:numId w:val="35"/>
        </w:numPr>
        <w:jc w:val="left"/>
        <w:rPr>
          <w:rFonts w:eastAsia="MS Mincho"/>
          <w:b/>
          <w:bCs/>
        </w:rPr>
      </w:pPr>
      <w:r w:rsidRPr="000767FE">
        <w:rPr>
          <w:rFonts w:eastAsia="MS Mincho"/>
          <w:b/>
          <w:bCs/>
        </w:rPr>
        <w:t xml:space="preserve">Group Specific Questions </w:t>
      </w:r>
    </w:p>
    <w:p w14:paraId="6382B82E" w14:textId="77777777" w:rsidR="00665B8E" w:rsidRPr="00142AAE" w:rsidRDefault="00665B8E" w:rsidP="00B97CF4">
      <w:pPr>
        <w:pStyle w:val="ListBullet4"/>
        <w:jc w:val="left"/>
        <w:rPr>
          <w:rFonts w:eastAsia="MS Mincho"/>
        </w:rPr>
      </w:pPr>
      <w:r w:rsidRPr="00142AAE">
        <w:rPr>
          <w:rFonts w:eastAsia="MS Mincho"/>
        </w:rPr>
        <w:t>Include required group specific information (see Section I.</w:t>
      </w:r>
      <w:r>
        <w:rPr>
          <w:rFonts w:eastAsia="MS Mincho"/>
        </w:rPr>
        <w:t>C.</w:t>
      </w:r>
      <w:r w:rsidRPr="00142AAE">
        <w:rPr>
          <w:rFonts w:eastAsia="MS Mincho"/>
        </w:rPr>
        <w:t xml:space="preserve">) in the specified sections. </w:t>
      </w:r>
    </w:p>
    <w:p w14:paraId="02A18096" w14:textId="77777777" w:rsidR="000767FE" w:rsidRDefault="00665B8E" w:rsidP="00B97CF4">
      <w:pPr>
        <w:pStyle w:val="Heading4"/>
        <w:ind w:hanging="720"/>
        <w:jc w:val="left"/>
      </w:pPr>
      <w:r w:rsidRPr="000767FE">
        <w:lastRenderedPageBreak/>
        <w:t>Project Team Form (Attachment 3)</w:t>
      </w:r>
    </w:p>
    <w:p w14:paraId="503514C2" w14:textId="7BEE5E38" w:rsidR="00665B8E" w:rsidRPr="000767FE" w:rsidRDefault="00665B8E" w:rsidP="00B97CF4">
      <w:pPr>
        <w:pStyle w:val="BodyText"/>
        <w:jc w:val="left"/>
        <w:rPr>
          <w:b/>
          <w:bCs/>
        </w:rPr>
      </w:pPr>
      <w:r w:rsidRPr="1D7C83C9">
        <w:t>Identify by name all key personnel</w:t>
      </w:r>
      <w:r w:rsidRPr="1D7C83C9">
        <w:rPr>
          <w:rStyle w:val="FootnoteReference"/>
          <w:rFonts w:cs="Arial"/>
        </w:rPr>
        <w:footnoteReference w:id="21"/>
      </w:r>
      <w:r w:rsidRPr="1D7C83C9">
        <w:t xml:space="preserve"> assigned to the project, including the project manager and principal investigator (if applicable)</w:t>
      </w:r>
      <w:r w:rsidRPr="000767FE">
        <w:rPr>
          <w:szCs w:val="22"/>
        </w:rPr>
        <w:t xml:space="preserve">, </w:t>
      </w:r>
      <w:r w:rsidRPr="1D7C83C9">
        <w:t>and individuals employed by any major subrecipient</w:t>
      </w:r>
      <w:r w:rsidRPr="000767FE">
        <w:rPr>
          <w:szCs w:val="22"/>
        </w:rPr>
        <w:t xml:space="preserve"> </w:t>
      </w:r>
      <w:r w:rsidRPr="1D7C83C9">
        <w:t>(a major subrecipient is a subrecipient</w:t>
      </w:r>
      <w:r w:rsidRPr="000767FE">
        <w:rPr>
          <w:szCs w:val="22"/>
        </w:rPr>
        <w:t xml:space="preserve"> </w:t>
      </w:r>
      <w:r w:rsidRPr="1D7C83C9">
        <w:t>receiving $100,000 or more of Commission funds)</w:t>
      </w:r>
      <w:r w:rsidRPr="000767FE">
        <w:rPr>
          <w:szCs w:val="22"/>
        </w:rPr>
        <w:t xml:space="preserve">. </w:t>
      </w:r>
      <w:r w:rsidRPr="1D7C83C9">
        <w:t>Clearly describe their individual areas of responsibility.</w:t>
      </w:r>
      <w:r w:rsidRPr="000767FE">
        <w:rPr>
          <w:szCs w:val="22"/>
        </w:rPr>
        <w:t xml:space="preserve"> </w:t>
      </w:r>
      <w:r w:rsidRPr="1D7C83C9">
        <w:t>Include the information required for each individual</w:t>
      </w:r>
      <w:r w:rsidRPr="000767FE">
        <w:rPr>
          <w:szCs w:val="22"/>
        </w:rPr>
        <w:t xml:space="preserve">, </w:t>
      </w:r>
      <w:r w:rsidRPr="1D7C83C9">
        <w:t>including</w:t>
      </w:r>
      <w:r w:rsidRPr="000767FE">
        <w:rPr>
          <w:szCs w:val="22"/>
        </w:rPr>
        <w:t xml:space="preserve"> </w:t>
      </w:r>
      <w:r w:rsidRPr="1D7C83C9">
        <w:t>a resume (maximum two pages)</w:t>
      </w:r>
      <w:r w:rsidRPr="000767FE">
        <w:rPr>
          <w:szCs w:val="22"/>
        </w:rPr>
        <w:t>.</w:t>
      </w:r>
    </w:p>
    <w:p w14:paraId="475D0877" w14:textId="77777777" w:rsidR="000767FE" w:rsidRDefault="00665B8E" w:rsidP="00B97CF4">
      <w:pPr>
        <w:pStyle w:val="Heading4"/>
        <w:ind w:hanging="720"/>
        <w:jc w:val="left"/>
      </w:pPr>
      <w:r w:rsidRPr="000767FE">
        <w:t>Scope of Work Template (Attachments 4)</w:t>
      </w:r>
    </w:p>
    <w:p w14:paraId="0F13F1C2" w14:textId="77777777" w:rsidR="000767FE" w:rsidRDefault="00665B8E" w:rsidP="00B97CF4">
      <w:pPr>
        <w:pStyle w:val="BodyText"/>
        <w:jc w:val="left"/>
      </w:pPr>
      <w:r w:rsidRPr="00C31C1D">
        <w:t>Applicants must include a completed Scope of Work for each project</w:t>
      </w:r>
      <w:r>
        <w:t>, as instructed in the template</w:t>
      </w:r>
      <w:r w:rsidRPr="00C31C1D">
        <w:t xml:space="preserve">. The Scope of Work identifies the tasks </w:t>
      </w:r>
      <w:r>
        <w:t>required</w:t>
      </w:r>
      <w:r w:rsidRPr="00C31C1D">
        <w:t xml:space="preserve"> to complete the project. </w:t>
      </w:r>
    </w:p>
    <w:p w14:paraId="466C6909" w14:textId="497B024C" w:rsidR="00665B8E" w:rsidRPr="000767FE" w:rsidRDefault="00665B8E" w:rsidP="00B97CF4">
      <w:pPr>
        <w:pStyle w:val="BodyText"/>
        <w:jc w:val="left"/>
        <w:rPr>
          <w:b/>
          <w:bCs/>
        </w:rPr>
      </w:pPr>
      <w:r w:rsidRPr="00C31C1D">
        <w:t>Electronic</w:t>
      </w:r>
      <w:r w:rsidRPr="00F95EBB">
        <w:t xml:space="preserve"> </w:t>
      </w:r>
      <w:r w:rsidRPr="00C17EB0">
        <w:t>files for</w:t>
      </w:r>
      <w:r>
        <w:t xml:space="preserve"> </w:t>
      </w:r>
      <w:r w:rsidRPr="00C17EB0">
        <w:t xml:space="preserve">the Scope of Work </w:t>
      </w:r>
      <w:r>
        <w:t xml:space="preserve">must be in </w:t>
      </w:r>
      <w:r w:rsidRPr="00F95EBB">
        <w:t>MS Word</w:t>
      </w:r>
      <w:r>
        <w:t xml:space="preserve"> file format</w:t>
      </w:r>
      <w:r w:rsidRPr="00F95EBB">
        <w:t>.</w:t>
      </w:r>
    </w:p>
    <w:p w14:paraId="1310D85A" w14:textId="77777777" w:rsidR="000767FE" w:rsidRPr="00A53E92" w:rsidRDefault="00665B8E" w:rsidP="00B97CF4">
      <w:pPr>
        <w:pStyle w:val="Heading4"/>
        <w:ind w:hanging="720"/>
        <w:jc w:val="left"/>
      </w:pPr>
      <w:bookmarkStart w:id="181" w:name="_Toc35074602"/>
      <w:r w:rsidRPr="00A53E92">
        <w:t>Project Schedule (Attachment 5)</w:t>
      </w:r>
    </w:p>
    <w:p w14:paraId="6FB52F98" w14:textId="77777777" w:rsidR="000767FE" w:rsidRDefault="00665B8E" w:rsidP="00B97CF4">
      <w:pPr>
        <w:pStyle w:val="BodyText"/>
        <w:jc w:val="left"/>
      </w:pPr>
      <w:r>
        <w:t xml:space="preserve">The Project Schedule includes a list of all product, meetings, and due dates. </w:t>
      </w:r>
      <w:r w:rsidRPr="003B24B0">
        <w:t xml:space="preserve">All work must be scheduled for completion </w:t>
      </w:r>
      <w:r>
        <w:t>by the “Key Dates” section of this solicitation manual</w:t>
      </w:r>
      <w:r w:rsidRPr="003B24B0">
        <w:t>.</w:t>
      </w:r>
    </w:p>
    <w:p w14:paraId="4D12D317" w14:textId="26679B15" w:rsidR="00665B8E" w:rsidRPr="000767FE" w:rsidRDefault="00665B8E" w:rsidP="00B97CF4">
      <w:pPr>
        <w:pStyle w:val="BodyText"/>
        <w:jc w:val="left"/>
        <w:rPr>
          <w:b/>
          <w:bCs/>
        </w:rPr>
      </w:pPr>
      <w:r>
        <w:t xml:space="preserve">Electronic files for the Project schedule must be in </w:t>
      </w:r>
      <w:r w:rsidRPr="00CC1385">
        <w:t>MS Excel</w:t>
      </w:r>
      <w:r>
        <w:t xml:space="preserve"> file format.</w:t>
      </w:r>
    </w:p>
    <w:p w14:paraId="658854BD" w14:textId="77777777" w:rsidR="000767FE" w:rsidRPr="00A53E92" w:rsidRDefault="00665B8E" w:rsidP="00B97CF4">
      <w:pPr>
        <w:pStyle w:val="Heading4"/>
        <w:ind w:hanging="720"/>
        <w:jc w:val="left"/>
      </w:pPr>
      <w:r w:rsidRPr="00A53E92">
        <w:t>Budget Forms (Attachment 6)</w:t>
      </w:r>
      <w:bookmarkEnd w:id="181"/>
    </w:p>
    <w:p w14:paraId="32A58D87" w14:textId="597E8384" w:rsidR="00665B8E" w:rsidRPr="000767FE" w:rsidRDefault="00665B8E" w:rsidP="00B97CF4">
      <w:pPr>
        <w:pStyle w:val="BodyText"/>
        <w:jc w:val="left"/>
        <w:rPr>
          <w:b/>
          <w:bCs/>
        </w:rPr>
      </w:pPr>
      <w:r>
        <w:t>Because this solicitation is utilizing the new ECAMS system for submitting applications, applicants have two options for uploading a budget:</w:t>
      </w:r>
    </w:p>
    <w:p w14:paraId="14333143" w14:textId="570183C8" w:rsidR="00665B8E" w:rsidRPr="00E06B2E" w:rsidRDefault="00665B8E" w:rsidP="00B97CF4">
      <w:pPr>
        <w:pStyle w:val="ListNumber3"/>
        <w:numPr>
          <w:ilvl w:val="0"/>
          <w:numId w:val="36"/>
        </w:numPr>
        <w:jc w:val="left"/>
        <w:rPr>
          <w:rFonts w:eastAsia="MS Mincho"/>
        </w:rPr>
      </w:pPr>
      <w:r w:rsidRPr="00E06B2E">
        <w:rPr>
          <w:rFonts w:eastAsia="MS Mincho"/>
          <w:b/>
          <w:bCs/>
        </w:rPr>
        <w:t>Option 1: Prime Applicant’s budget is both keyed directly into ECAMS and uploaded as an MS Excel attachment; the Prime Major Subrecipient(s) budgets are uploaded as MS Excel attachments.</w:t>
      </w:r>
      <w:r w:rsidRPr="00E06B2E">
        <w:rPr>
          <w:rFonts w:eastAsia="MS Mincho"/>
        </w:rPr>
        <w:t xml:space="preserve"> </w:t>
      </w:r>
      <w:r w:rsidRPr="00E06B2E">
        <w:rPr>
          <w:rFonts w:eastAsia="MS Mincho"/>
          <w:bCs/>
        </w:rPr>
        <w:t xml:space="preserve">The new ECAMS system allows applicants to build the prime applicant’s budget directly into the system. At this time, there is no way to input major subrecipient budgets directly into the system. </w:t>
      </w:r>
      <w:hyperlink r:id="rId63" w:history="1">
        <w:r w:rsidRPr="00E06B2E">
          <w:rPr>
            <w:rStyle w:val="Hyperlink"/>
            <w:rFonts w:eastAsia="MS Mincho"/>
            <w:bCs/>
            <w:szCs w:val="24"/>
          </w:rPr>
          <w:t>Instructions</w:t>
        </w:r>
      </w:hyperlink>
      <w:r w:rsidRPr="00E06B2E">
        <w:rPr>
          <w:rFonts w:eastAsia="MS Mincho"/>
          <w:bCs/>
        </w:rPr>
        <w:t xml:space="preserve"> for inputting budget items into the ECAMS system are included at: https://www.energy.ca.gov/funding-opportunities/</w:t>
      </w:r>
      <w:r w:rsidR="00706FEE" w:rsidRPr="00A204DC">
        <w:t>​</w:t>
      </w:r>
      <w:r w:rsidRPr="00E06B2E">
        <w:rPr>
          <w:rFonts w:eastAsia="MS Mincho"/>
          <w:bCs/>
        </w:rPr>
        <w:t>funding-resources.</w:t>
      </w:r>
    </w:p>
    <w:p w14:paraId="0AF59A2E" w14:textId="77777777" w:rsidR="00665B8E" w:rsidRPr="000767FE" w:rsidRDefault="00665B8E" w:rsidP="00B97CF4">
      <w:pPr>
        <w:pStyle w:val="ListNumber3"/>
        <w:jc w:val="left"/>
        <w:rPr>
          <w:rFonts w:eastAsia="MS Mincho"/>
        </w:rPr>
      </w:pPr>
      <w:r w:rsidRPr="00E06B2E">
        <w:rPr>
          <w:rFonts w:eastAsia="MS Mincho"/>
          <w:b/>
          <w:bCs/>
        </w:rPr>
        <w:t>Option 2: Upload all budgets (Prime and Major Subrecipients) as MS Excel attachments</w:t>
      </w:r>
      <w:r w:rsidRPr="000767FE">
        <w:rPr>
          <w:rFonts w:eastAsia="MS Mincho"/>
          <w:bCs/>
        </w:rPr>
        <w:t xml:space="preserve"> and leave the ECAMS budget sections blank.</w:t>
      </w:r>
      <w:r w:rsidRPr="000767FE">
        <w:rPr>
          <w:rFonts w:eastAsia="MS Mincho"/>
        </w:rPr>
        <w:t xml:space="preserve"> </w:t>
      </w:r>
    </w:p>
    <w:p w14:paraId="0B288B17" w14:textId="17DC7732" w:rsidR="00665B8E" w:rsidRPr="00BE7045" w:rsidRDefault="00665B8E" w:rsidP="00B97CF4">
      <w:pPr>
        <w:pStyle w:val="BodyText"/>
        <w:jc w:val="left"/>
      </w:pPr>
      <w:r w:rsidRPr="008F1BC9">
        <w:t xml:space="preserve">Instructions for completing the budgets can be found in Budget Category Guidance at the ECAMS Resources page. </w:t>
      </w:r>
      <w:r>
        <w:rPr>
          <w:b/>
        </w:rPr>
        <w:t>R</w:t>
      </w:r>
      <w:r w:rsidRPr="00C31C1D">
        <w:rPr>
          <w:b/>
        </w:rPr>
        <w:t>ead the</w:t>
      </w:r>
      <w:r>
        <w:rPr>
          <w:b/>
        </w:rPr>
        <w:t xml:space="preserve"> </w:t>
      </w:r>
      <w:r w:rsidRPr="00C31C1D">
        <w:rPr>
          <w:b/>
        </w:rPr>
        <w:t xml:space="preserve">instructions </w:t>
      </w:r>
      <w:r w:rsidRPr="00315D13">
        <w:rPr>
          <w:b/>
        </w:rPr>
        <w:t xml:space="preserve">tab on the MS Excel attachments Attachment 6 </w:t>
      </w:r>
      <w:r w:rsidRPr="00C31C1D">
        <w:rPr>
          <w:b/>
        </w:rPr>
        <w:t xml:space="preserve">before </w:t>
      </w:r>
      <w:r>
        <w:rPr>
          <w:b/>
        </w:rPr>
        <w:t>completing</w:t>
      </w:r>
      <w:r w:rsidRPr="00C31C1D">
        <w:rPr>
          <w:b/>
        </w:rPr>
        <w:t xml:space="preserve"> the</w:t>
      </w:r>
      <w:r>
        <w:rPr>
          <w:b/>
        </w:rPr>
        <w:t xml:space="preserve"> worksheets</w:t>
      </w:r>
      <w:r w:rsidRPr="00C31C1D">
        <w:t>.</w:t>
      </w:r>
      <w:r w:rsidRPr="005F0C5F">
        <w:t xml:space="preserve"> </w:t>
      </w:r>
      <w:r>
        <w:t>C</w:t>
      </w:r>
      <w:r w:rsidRPr="00C31C1D">
        <w:t xml:space="preserve">omplete and submit information on </w:t>
      </w:r>
      <w:r w:rsidRPr="00D11C88">
        <w:rPr>
          <w:b/>
        </w:rPr>
        <w:t>all</w:t>
      </w:r>
      <w:r w:rsidRPr="005522EA">
        <w:t xml:space="preserve"> </w:t>
      </w:r>
      <w:r w:rsidRPr="00C31C1D">
        <w:t>budget worksheets</w:t>
      </w:r>
      <w:r>
        <w:t xml:space="preserve">. </w:t>
      </w:r>
      <w:r w:rsidRPr="004D354D">
        <w:t xml:space="preserve">The salaries, rates, </w:t>
      </w:r>
      <w:r>
        <w:t>and other costs entered on the</w:t>
      </w:r>
      <w:r w:rsidRPr="004D354D">
        <w:t xml:space="preserve"> worksheets will become a part of the final agreement. </w:t>
      </w:r>
    </w:p>
    <w:p w14:paraId="2D6CA38F" w14:textId="6726091C" w:rsidR="00665B8E" w:rsidRDefault="00665B8E" w:rsidP="00B97CF4">
      <w:pPr>
        <w:pStyle w:val="ListNumber2"/>
        <w:jc w:val="left"/>
      </w:pPr>
      <w:r w:rsidRPr="00C31C1D">
        <w:t xml:space="preserve">All project expenditures (match share and reimbursable) must be </w:t>
      </w:r>
      <w:r>
        <w:t xml:space="preserve">made </w:t>
      </w:r>
      <w:r w:rsidRPr="00C31C1D">
        <w:t xml:space="preserve">within the </w:t>
      </w:r>
      <w:r w:rsidRPr="00CE7AC6">
        <w:t>Anticipated Agreement Start and End dates listed in the “Key Activities Schedule” of this solicitation manual</w:t>
      </w:r>
      <w:r w:rsidRPr="00C31C1D">
        <w:t xml:space="preserve">. </w:t>
      </w:r>
      <w:r>
        <w:t>M</w:t>
      </w:r>
      <w:r w:rsidRPr="00C31C1D">
        <w:t xml:space="preserve">atch share </w:t>
      </w:r>
      <w:r>
        <w:t>requirements</w:t>
      </w:r>
      <w:r w:rsidRPr="00C31C1D">
        <w:t xml:space="preserve"> are </w:t>
      </w:r>
      <w:r>
        <w:t>discuss</w:t>
      </w:r>
      <w:r w:rsidRPr="00C31C1D">
        <w:t xml:space="preserve">ed in </w:t>
      </w:r>
      <w:r>
        <w:t xml:space="preserve">Part I.D </w:t>
      </w:r>
      <w:r>
        <w:lastRenderedPageBreak/>
        <w:t xml:space="preserve">and I.K of </w:t>
      </w:r>
      <w:r w:rsidRPr="00C31C1D">
        <w:t xml:space="preserve">this solicitation. </w:t>
      </w:r>
      <w:r w:rsidRPr="00EC213B">
        <w:t xml:space="preserve">The entire term of the agreement and projected rate increases must be considered when preparing the budget.  </w:t>
      </w:r>
    </w:p>
    <w:p w14:paraId="3BCB7340" w14:textId="77777777" w:rsidR="00665B8E" w:rsidRDefault="00665B8E" w:rsidP="00B97CF4">
      <w:pPr>
        <w:pStyle w:val="ListNumber2"/>
        <w:jc w:val="left"/>
      </w:pPr>
      <w:r w:rsidRPr="00F359C9">
        <w:t xml:space="preserve">The budget must reflect estimates for </w:t>
      </w:r>
      <w:r w:rsidRPr="00F359C9">
        <w:rPr>
          <w:b/>
        </w:rPr>
        <w:t>actual</w:t>
      </w:r>
      <w:r w:rsidRPr="00F359C9">
        <w:t xml:space="preserve"> costs to be incurred during the agreement term. The </w:t>
      </w:r>
      <w:r>
        <w:t>CEC</w:t>
      </w:r>
      <w:r w:rsidRPr="00F359C9">
        <w:t xml:space="preserve"> may only approve and reimburse for actual costs that are properly documented in accordance with the grant </w:t>
      </w:r>
      <w:r>
        <w:t xml:space="preserve">agreement </w:t>
      </w:r>
      <w:r w:rsidRPr="00F359C9">
        <w:t>terms and conditions. Rates and personnel shown must reflect</w:t>
      </w:r>
      <w:r>
        <w:t xml:space="preserve"> the</w:t>
      </w:r>
      <w:r w:rsidRPr="00F359C9">
        <w:t xml:space="preserve"> rates and personnel the </w:t>
      </w:r>
      <w:r>
        <w:t>applicant</w:t>
      </w:r>
      <w:r w:rsidRPr="00F359C9">
        <w:t xml:space="preserve"> would include if selected as a </w:t>
      </w:r>
      <w:r>
        <w:t>R</w:t>
      </w:r>
      <w:r w:rsidRPr="00F359C9">
        <w:t xml:space="preserve">ecipient.  </w:t>
      </w:r>
    </w:p>
    <w:p w14:paraId="071130FA" w14:textId="728B5D32" w:rsidR="00665B8E" w:rsidRDefault="00665B8E" w:rsidP="00B97CF4">
      <w:pPr>
        <w:pStyle w:val="ListNumber2"/>
        <w:jc w:val="left"/>
      </w:pPr>
      <w:r w:rsidRPr="000D59B2">
        <w:t xml:space="preserve">The rates proposed, except for Direct Labor and Fringe Benefits, are considered capped and may not change during the agreement term. Except for Direct Labor and Fringe Benefits, </w:t>
      </w:r>
      <w:r>
        <w:t>t</w:t>
      </w:r>
      <w:r w:rsidRPr="000D59B2">
        <w:t xml:space="preserve">he grant </w:t>
      </w:r>
      <w:r>
        <w:t>r</w:t>
      </w:r>
      <w:r w:rsidRPr="000D59B2">
        <w:t>ecipient will only be reimbursed for actual rates and not to exceed the capped rat</w:t>
      </w:r>
      <w:r>
        <w:t>e</w:t>
      </w:r>
      <w:r w:rsidRPr="000D59B2">
        <w:t>s. The rates proposed for Direct Labor and Fringe Benefits are treated as estimates; a grant recipient can invoice at higher rates as long as it is only invoicing for actual expenditures it has made. If an applicant, by law, cannot agree to Direct Labor and Fringe Benefits rates being treated as estimates, the applicant can request to modify this term. This modification may be negotiated if the applicant is proposed for award. The CEC retains the sole right to refuse to agree to any requested modifications</w:t>
      </w:r>
      <w:r>
        <w:t>. The b</w:t>
      </w:r>
      <w:r w:rsidRPr="00C31C1D">
        <w:t xml:space="preserve">udget must </w:t>
      </w:r>
      <w:r w:rsidRPr="00B32815">
        <w:t>NOT</w:t>
      </w:r>
      <w:r w:rsidRPr="00C31C1D">
        <w:t xml:space="preserve"> include any </w:t>
      </w:r>
      <w:r>
        <w:t xml:space="preserve">grant recipient </w:t>
      </w:r>
      <w:r w:rsidRPr="00C31C1D">
        <w:t xml:space="preserve">profit from the proposed project, either as a reimbursed item, match share, or as part </w:t>
      </w:r>
      <w:r>
        <w:t xml:space="preserve">of </w:t>
      </w:r>
      <w:r w:rsidRPr="00C31C1D">
        <w:t>overhead or general and administrative expenses</w:t>
      </w:r>
      <w:r>
        <w:t xml:space="preserve"> (subrecipient profit is allowable, though the maximum percentage allowed is 10% of </w:t>
      </w:r>
      <w:r w:rsidRPr="00DF20D4">
        <w:t>the total sub</w:t>
      </w:r>
      <w:r>
        <w:t>recipient</w:t>
      </w:r>
      <w:r w:rsidRPr="00DF20D4">
        <w:t xml:space="preserve"> rates for labor, and other direct and indirect costs as indicated in the Category Budget </w:t>
      </w:r>
      <w:r>
        <w:t xml:space="preserve">tab). </w:t>
      </w:r>
      <w:r w:rsidRPr="00C31C1D">
        <w:t xml:space="preserve">Please review the </w:t>
      </w:r>
      <w:r>
        <w:t>t</w:t>
      </w:r>
      <w:r w:rsidRPr="00C31C1D">
        <w:t xml:space="preserve">erms and </w:t>
      </w:r>
      <w:r>
        <w:t>c</w:t>
      </w:r>
      <w:r w:rsidRPr="00C31C1D">
        <w:t xml:space="preserve">onditions </w:t>
      </w:r>
      <w:r>
        <w:t xml:space="preserve">and budget forms </w:t>
      </w:r>
      <w:r w:rsidRPr="00C31C1D">
        <w:t xml:space="preserve">for additional </w:t>
      </w:r>
      <w:r>
        <w:t xml:space="preserve">restrictions and </w:t>
      </w:r>
      <w:r w:rsidRPr="00C31C1D">
        <w:t>requirements.</w:t>
      </w:r>
    </w:p>
    <w:p w14:paraId="39908850" w14:textId="77777777" w:rsidR="00665B8E" w:rsidRDefault="00665B8E" w:rsidP="00B97CF4">
      <w:pPr>
        <w:pStyle w:val="ListNumber2"/>
        <w:jc w:val="left"/>
      </w:pPr>
      <w:r>
        <w:t>The b</w:t>
      </w:r>
      <w:r w:rsidRPr="00C31C1D">
        <w:t xml:space="preserve">udget </w:t>
      </w:r>
      <w:r>
        <w:t>must</w:t>
      </w:r>
      <w:r w:rsidRPr="00C31C1D">
        <w:t xml:space="preserve"> allow for the expenses of</w:t>
      </w:r>
      <w:r>
        <w:t xml:space="preserve"> all meetings and products described in the Scope of Work</w:t>
      </w:r>
      <w:r w:rsidRPr="00C31C1D">
        <w:t xml:space="preserve">. </w:t>
      </w:r>
      <w:r>
        <w:t>M</w:t>
      </w:r>
      <w:r w:rsidRPr="00C31C1D">
        <w:t>eetings</w:t>
      </w:r>
      <w:r>
        <w:t xml:space="preserve"> may</w:t>
      </w:r>
      <w:r w:rsidRPr="00C31C1D">
        <w:t xml:space="preserve"> be conducted at the </w:t>
      </w:r>
      <w:r>
        <w:t>CEC</w:t>
      </w:r>
      <w:r w:rsidRPr="00C31C1D">
        <w:t xml:space="preserve"> </w:t>
      </w:r>
      <w:r>
        <w:t>or by conference call, as determined by the CAM</w:t>
      </w:r>
      <w:r w:rsidRPr="00C31C1D">
        <w:t>.</w:t>
      </w:r>
    </w:p>
    <w:p w14:paraId="78CA4651" w14:textId="77777777" w:rsidR="00665B8E" w:rsidRDefault="00665B8E" w:rsidP="00B97CF4">
      <w:pPr>
        <w:pStyle w:val="ListNumber2"/>
        <w:jc w:val="left"/>
      </w:pPr>
      <w:r w:rsidRPr="009C4C3F">
        <w:t>Applicants must budget for permits and insurance</w:t>
      </w:r>
      <w:r w:rsidRPr="00285E47">
        <w:t xml:space="preserve">. </w:t>
      </w:r>
      <w:r>
        <w:t xml:space="preserve">Permitting costs </w:t>
      </w:r>
      <w:r w:rsidRPr="00285E47">
        <w:t>may be accounted for in match share</w:t>
      </w:r>
      <w:r>
        <w:t xml:space="preserve">. </w:t>
      </w:r>
      <w:r w:rsidRPr="002B474F">
        <w:t xml:space="preserve">Permit costs and the expenses associated with obtaining permits are not reimbursable </w:t>
      </w:r>
      <w:r>
        <w:t>with CEC funds</w:t>
      </w:r>
      <w:r w:rsidRPr="002B474F">
        <w:t xml:space="preserve">, with the exception of costs incurred by University of California </w:t>
      </w:r>
      <w:r>
        <w:t xml:space="preserve">grant </w:t>
      </w:r>
      <w:r w:rsidRPr="002B474F">
        <w:t>recipients.</w:t>
      </w:r>
      <w:r>
        <w:t xml:space="preserve"> </w:t>
      </w:r>
    </w:p>
    <w:p w14:paraId="02F888CA" w14:textId="38D8998E" w:rsidR="00665B8E" w:rsidRPr="00A16CE4" w:rsidRDefault="00665B8E" w:rsidP="00B97CF4">
      <w:pPr>
        <w:pStyle w:val="ListNumber2"/>
        <w:jc w:val="left"/>
      </w:pPr>
      <w:r w:rsidRPr="003A4967">
        <w:rPr>
          <w:bCs/>
        </w:rPr>
        <w:t xml:space="preserve">The budget must NOT identify that </w:t>
      </w:r>
      <w:r>
        <w:rPr>
          <w:bCs/>
        </w:rPr>
        <w:t>CEC</w:t>
      </w:r>
      <w:r w:rsidRPr="003A4967">
        <w:rPr>
          <w:bCs/>
        </w:rPr>
        <w:t xml:space="preserve"> funds will be spent outside of the United States or for out</w:t>
      </w:r>
      <w:r>
        <w:rPr>
          <w:bCs/>
        </w:rPr>
        <w:t>-</w:t>
      </w:r>
      <w:r w:rsidRPr="003A4967">
        <w:rPr>
          <w:bCs/>
        </w:rPr>
        <w:t>of</w:t>
      </w:r>
      <w:r>
        <w:rPr>
          <w:bCs/>
        </w:rPr>
        <w:t>-</w:t>
      </w:r>
      <w:r w:rsidRPr="003A4967">
        <w:rPr>
          <w:bCs/>
        </w:rPr>
        <w:t>country travel. However, match funds may cover these costs if there are no legal restrictions.</w:t>
      </w:r>
    </w:p>
    <w:p w14:paraId="653885B6" w14:textId="2389FD51" w:rsidR="00E06B2E" w:rsidRDefault="00665B8E" w:rsidP="00B97CF4">
      <w:pPr>
        <w:pStyle w:val="ListNumber2"/>
        <w:jc w:val="left"/>
        <w:rPr>
          <w:bCs/>
        </w:rPr>
      </w:pPr>
      <w:r w:rsidRPr="00A8248C">
        <w:rPr>
          <w:b/>
        </w:rPr>
        <w:t>Prevailing wage requirement:</w:t>
      </w:r>
      <w:r>
        <w:t xml:space="preserve"> </w:t>
      </w:r>
      <w:r w:rsidRPr="00DF34CF">
        <w:rPr>
          <w:bCs/>
        </w:rPr>
        <w:t xml:space="preserve">Projects that receive an award of public funds from the </w:t>
      </w:r>
      <w:r>
        <w:rPr>
          <w:bCs/>
        </w:rPr>
        <w:t>CEC</w:t>
      </w:r>
      <w:r w:rsidRPr="00DF34CF">
        <w:rPr>
          <w:bCs/>
        </w:rPr>
        <w:t xml:space="preserve"> often involve construction, alteration, demolition, installation, repair or maintenance work over $1,000. </w:t>
      </w:r>
      <w:r>
        <w:rPr>
          <w:bCs/>
        </w:rPr>
        <w:t>For this reason, p</w:t>
      </w:r>
      <w:r w:rsidRPr="00DF34CF">
        <w:rPr>
          <w:bCs/>
        </w:rPr>
        <w:t xml:space="preserve">rojects that receive an award of public funds from the </w:t>
      </w:r>
      <w:r>
        <w:rPr>
          <w:bCs/>
        </w:rPr>
        <w:t>CEC</w:t>
      </w:r>
      <w:r w:rsidRPr="00DF34CF">
        <w:rPr>
          <w:bCs/>
        </w:rPr>
        <w:t xml:space="preserve"> are likely to be considered public works under the California Labor Code. See Chapter 1 of Part 7 of Division 2 of the California Labor Code, commencing with Section 1720 and Title 8, California Code of Regulations, Chapter 8, Subchapter 3, commencing with Section 16000</w:t>
      </w:r>
      <w:r w:rsidRPr="00AD2D4A">
        <w:rPr>
          <w:bCs/>
        </w:rPr>
        <w:t>.</w:t>
      </w:r>
    </w:p>
    <w:p w14:paraId="50081006" w14:textId="77777777" w:rsidR="00713BD1" w:rsidRDefault="00665B8E" w:rsidP="00B97CF4">
      <w:pPr>
        <w:pStyle w:val="ListNumber2"/>
        <w:numPr>
          <w:ilvl w:val="0"/>
          <w:numId w:val="0"/>
        </w:numPr>
        <w:ind w:left="720"/>
        <w:jc w:val="left"/>
        <w:rPr>
          <w:bCs/>
        </w:rPr>
      </w:pPr>
      <w:r w:rsidRPr="00E06B2E">
        <w:rPr>
          <w:bCs/>
        </w:rPr>
        <w:t>Projects deemed to be public works require among other things the payment of prevailing wages, which can be significantly higher than non-prevailing wages.</w:t>
      </w:r>
    </w:p>
    <w:p w14:paraId="6AC9FFE5" w14:textId="0639E063" w:rsidR="00665B8E" w:rsidRPr="00713BD1" w:rsidRDefault="00665B8E" w:rsidP="00B97CF4">
      <w:pPr>
        <w:pStyle w:val="ListNumber2"/>
        <w:numPr>
          <w:ilvl w:val="0"/>
          <w:numId w:val="0"/>
        </w:numPr>
        <w:ind w:left="720"/>
        <w:jc w:val="left"/>
        <w:rPr>
          <w:bCs/>
        </w:rPr>
      </w:pPr>
      <w:r>
        <w:rPr>
          <w:rFonts w:eastAsia="Calibri"/>
          <w:szCs w:val="24"/>
        </w:rPr>
        <w:lastRenderedPageBreak/>
        <w:t>By accepting this grant, the grant recipient as a material term of this agreement shall be fully responsible for complying with all California public works requirements including but not limited to payment of prevailing wage. Therefore, a</w:t>
      </w:r>
      <w:r>
        <w:rPr>
          <w:szCs w:val="24"/>
        </w:rPr>
        <w:t>s a material term of this</w:t>
      </w:r>
      <w:r w:rsidRPr="00C87368">
        <w:rPr>
          <w:szCs w:val="24"/>
        </w:rPr>
        <w:t xml:space="preserve"> </w:t>
      </w:r>
      <w:r>
        <w:rPr>
          <w:szCs w:val="24"/>
        </w:rPr>
        <w:t>grant,</w:t>
      </w:r>
      <w:r w:rsidRPr="00C87368">
        <w:rPr>
          <w:szCs w:val="24"/>
        </w:rPr>
        <w:t xml:space="preserve"> </w:t>
      </w:r>
      <w:r>
        <w:rPr>
          <w:szCs w:val="24"/>
        </w:rPr>
        <w:t xml:space="preserve">the grant </w:t>
      </w:r>
      <w:r>
        <w:rPr>
          <w:rFonts w:eastAsia="Calibri"/>
          <w:szCs w:val="24"/>
        </w:rPr>
        <w:t>recipient</w:t>
      </w:r>
      <w:r w:rsidRPr="003E3EB6">
        <w:rPr>
          <w:rFonts w:eastAsia="Calibri"/>
          <w:szCs w:val="24"/>
        </w:rPr>
        <w:t xml:space="preserve"> must </w:t>
      </w:r>
      <w:r>
        <w:rPr>
          <w:rFonts w:eastAsia="Calibri"/>
          <w:szCs w:val="24"/>
        </w:rPr>
        <w:t>either:</w:t>
      </w:r>
    </w:p>
    <w:p w14:paraId="626AEFE5" w14:textId="01EC1C97" w:rsidR="00665B8E" w:rsidRPr="00713BD1" w:rsidRDefault="00665B8E" w:rsidP="00B97CF4">
      <w:pPr>
        <w:pStyle w:val="ListNumber3"/>
        <w:numPr>
          <w:ilvl w:val="0"/>
          <w:numId w:val="46"/>
        </w:numPr>
        <w:jc w:val="left"/>
        <w:rPr>
          <w:rFonts w:eastAsia="Calibri"/>
        </w:rPr>
      </w:pPr>
      <w:r w:rsidRPr="00713BD1">
        <w:rPr>
          <w:rFonts w:eastAsia="Calibri"/>
        </w:rPr>
        <w:t xml:space="preserve">Proceed on the assumption that the project is a public work and ensure that: </w:t>
      </w:r>
    </w:p>
    <w:p w14:paraId="3B822033" w14:textId="77777777" w:rsidR="00665B8E" w:rsidRPr="006E2AF3" w:rsidRDefault="00665B8E" w:rsidP="00B97CF4">
      <w:pPr>
        <w:keepLines/>
        <w:widowControl w:val="0"/>
        <w:numPr>
          <w:ilvl w:val="0"/>
          <w:numId w:val="14"/>
        </w:numPr>
        <w:autoSpaceDE w:val="0"/>
        <w:autoSpaceDN w:val="0"/>
        <w:adjustRightInd w:val="0"/>
        <w:ind w:left="1800"/>
        <w:jc w:val="left"/>
        <w:rPr>
          <w:rFonts w:ascii="ArialMT" w:eastAsia="Calibri" w:hAnsi="ArialMT" w:cs="ArialMT"/>
          <w:szCs w:val="24"/>
        </w:rPr>
      </w:pPr>
      <w:r w:rsidRPr="003E3EB6">
        <w:rPr>
          <w:rFonts w:eastAsia="Calibri"/>
          <w:szCs w:val="24"/>
        </w:rPr>
        <w:t>prevailing wages are paid</w:t>
      </w:r>
      <w:r>
        <w:rPr>
          <w:rFonts w:eastAsia="Calibri"/>
          <w:szCs w:val="24"/>
        </w:rPr>
        <w:t>;</w:t>
      </w:r>
      <w:r w:rsidRPr="003E3EB6">
        <w:rPr>
          <w:rFonts w:eastAsia="Calibri"/>
          <w:szCs w:val="24"/>
        </w:rPr>
        <w:t xml:space="preserve"> </w:t>
      </w:r>
      <w:r>
        <w:rPr>
          <w:rFonts w:eastAsia="Calibri"/>
          <w:szCs w:val="24"/>
        </w:rPr>
        <w:t>and</w:t>
      </w:r>
    </w:p>
    <w:p w14:paraId="0A1A0F9C" w14:textId="77777777" w:rsidR="00665B8E" w:rsidRDefault="00665B8E" w:rsidP="00B97CF4">
      <w:pPr>
        <w:keepLines/>
        <w:widowControl w:val="0"/>
        <w:numPr>
          <w:ilvl w:val="0"/>
          <w:numId w:val="14"/>
        </w:numPr>
        <w:autoSpaceDE w:val="0"/>
        <w:autoSpaceDN w:val="0"/>
        <w:adjustRightInd w:val="0"/>
        <w:ind w:left="1800"/>
        <w:jc w:val="left"/>
        <w:rPr>
          <w:rFonts w:ascii="ArialMT" w:eastAsia="Calibri" w:hAnsi="ArialMT" w:cs="ArialMT"/>
          <w:szCs w:val="24"/>
        </w:rPr>
      </w:pPr>
      <w:r w:rsidRPr="003E3EB6">
        <w:rPr>
          <w:rFonts w:eastAsia="Calibri"/>
          <w:szCs w:val="24"/>
        </w:rPr>
        <w:t>the project budget for labor reflects these prev</w:t>
      </w:r>
      <w:r>
        <w:rPr>
          <w:rFonts w:ascii="ArialMT" w:eastAsia="Calibri" w:hAnsi="ArialMT" w:cs="ArialMT"/>
          <w:szCs w:val="24"/>
        </w:rPr>
        <w:t xml:space="preserve">ailing wage requirements; and </w:t>
      </w:r>
    </w:p>
    <w:p w14:paraId="24D5874D" w14:textId="77777777" w:rsidR="00665B8E" w:rsidRDefault="00665B8E" w:rsidP="00B97CF4">
      <w:pPr>
        <w:keepLines/>
        <w:widowControl w:val="0"/>
        <w:numPr>
          <w:ilvl w:val="0"/>
          <w:numId w:val="14"/>
        </w:numPr>
        <w:autoSpaceDE w:val="0"/>
        <w:autoSpaceDN w:val="0"/>
        <w:adjustRightInd w:val="0"/>
        <w:ind w:left="1800"/>
        <w:jc w:val="left"/>
        <w:rPr>
          <w:rFonts w:ascii="ArialMT" w:eastAsia="Calibri" w:hAnsi="ArialMT" w:cs="ArialMT"/>
          <w:szCs w:val="24"/>
        </w:rPr>
      </w:pPr>
      <w:r>
        <w:rPr>
          <w:rFonts w:ascii="ArialMT" w:eastAsia="Calibri" w:hAnsi="ArialMT" w:cs="ArialMT"/>
          <w:szCs w:val="24"/>
        </w:rPr>
        <w:t xml:space="preserve">the project complies with all other requirements of prevailing wage law including but not limited to keeping accurate payroll records, and complying with all working hour requirements and apprenticeship obligations; </w:t>
      </w:r>
    </w:p>
    <w:p w14:paraId="2EB44E38" w14:textId="77777777" w:rsidR="00665B8E" w:rsidRDefault="00665B8E" w:rsidP="00B97CF4">
      <w:pPr>
        <w:pStyle w:val="ListParagraph"/>
        <w:keepLines/>
        <w:widowControl w:val="0"/>
        <w:ind w:left="360"/>
        <w:jc w:val="left"/>
        <w:rPr>
          <w:rFonts w:ascii="ArialMT" w:eastAsia="Calibri" w:hAnsi="ArialMT" w:cs="ArialMT"/>
          <w:szCs w:val="24"/>
        </w:rPr>
      </w:pPr>
      <w:r>
        <w:rPr>
          <w:rFonts w:ascii="ArialMT" w:eastAsia="Calibri" w:hAnsi="ArialMT" w:cs="ArialMT"/>
          <w:szCs w:val="24"/>
        </w:rPr>
        <w:t>or,</w:t>
      </w:r>
    </w:p>
    <w:p w14:paraId="56298B7D" w14:textId="6D1822D6" w:rsidR="00665B8E" w:rsidRPr="00DF34CF" w:rsidRDefault="00665B8E" w:rsidP="00B97CF4">
      <w:pPr>
        <w:pStyle w:val="ListNumber3"/>
        <w:jc w:val="left"/>
        <w:rPr>
          <w:bCs/>
        </w:rPr>
      </w:pPr>
      <w:r>
        <w:rPr>
          <w:rFonts w:ascii="ArialMT" w:eastAsia="Calibri" w:hAnsi="ArialMT" w:cs="ArialMT"/>
        </w:rPr>
        <w:t>T</w:t>
      </w:r>
      <w:r>
        <w:rPr>
          <w:rFonts w:eastAsia="Calibri"/>
        </w:rPr>
        <w:t>imely obtain a legally binding determination</w:t>
      </w:r>
      <w:r w:rsidRPr="003E3EB6">
        <w:rPr>
          <w:rFonts w:eastAsia="Calibri"/>
        </w:rPr>
        <w:t xml:space="preserve"> </w:t>
      </w:r>
      <w:r>
        <w:rPr>
          <w:rFonts w:eastAsia="Calibri"/>
        </w:rPr>
        <w:t>from the Department of Industrial Relations or a court of competent jurisdiction before work begins on the project that</w:t>
      </w:r>
      <w:r w:rsidRPr="003E3EB6">
        <w:rPr>
          <w:rFonts w:eastAsia="Calibri"/>
        </w:rPr>
        <w:t xml:space="preserve"> the proposed project is </w:t>
      </w:r>
      <w:r>
        <w:rPr>
          <w:rFonts w:eastAsia="Calibri"/>
        </w:rPr>
        <w:t xml:space="preserve">not </w:t>
      </w:r>
      <w:r w:rsidRPr="003E3EB6">
        <w:rPr>
          <w:rFonts w:eastAsia="Calibri"/>
        </w:rPr>
        <w:t>a public work</w:t>
      </w:r>
      <w:r>
        <w:rPr>
          <w:rFonts w:eastAsia="Calibri"/>
        </w:rPr>
        <w:t>.</w:t>
      </w:r>
    </w:p>
    <w:p w14:paraId="31099D76" w14:textId="77777777" w:rsidR="00665B8E" w:rsidRPr="007065BB" w:rsidRDefault="00665B8E" w:rsidP="00B97CF4">
      <w:pPr>
        <w:pStyle w:val="Heading4"/>
        <w:ind w:hanging="720"/>
        <w:jc w:val="left"/>
      </w:pPr>
      <w:r w:rsidRPr="007065BB">
        <w:t>California Environmental Quality Act (CEQA) Compliance Form</w:t>
      </w:r>
      <w:r w:rsidRPr="007065BB" w:rsidDel="00E3682B">
        <w:t xml:space="preserve"> </w:t>
      </w:r>
      <w:r w:rsidRPr="007065BB">
        <w:t xml:space="preserve">(Attachment </w:t>
      </w:r>
      <w:r>
        <w:t>7</w:t>
      </w:r>
      <w:r w:rsidRPr="007065BB">
        <w:t>)</w:t>
      </w:r>
    </w:p>
    <w:p w14:paraId="37639B44" w14:textId="261CEA99" w:rsidR="00665B8E" w:rsidRPr="00706FEE" w:rsidRDefault="00665B8E" w:rsidP="00B97CF4">
      <w:pPr>
        <w:pStyle w:val="BodyText"/>
        <w:jc w:val="left"/>
        <w:rPr>
          <w:i/>
        </w:rPr>
      </w:pPr>
      <w:r w:rsidRPr="00424A73">
        <w:t xml:space="preserve">The </w:t>
      </w:r>
      <w:r>
        <w:t>CEC</w:t>
      </w:r>
      <w:r w:rsidRPr="00424A73">
        <w:t xml:space="preserve"> requires the information on this form to facilitate its evaluation of </w:t>
      </w:r>
      <w:r>
        <w:t>proposed activities</w:t>
      </w:r>
      <w:r w:rsidRPr="00424A73">
        <w:t xml:space="preserve"> under CEQA (</w:t>
      </w:r>
      <w:r>
        <w:t xml:space="preserve">California </w:t>
      </w:r>
      <w:r w:rsidRPr="00424A73">
        <w:t xml:space="preserve">Public Resources Code Section 21000 et. seq.), a law that requires state and local agencies in California to </w:t>
      </w:r>
      <w:r>
        <w:t xml:space="preserve">assess the potential </w:t>
      </w:r>
      <w:r w:rsidRPr="00424A73">
        <w:t xml:space="preserve">environmental impacts of their </w:t>
      </w:r>
      <w:r>
        <w:t xml:space="preserve">proposed </w:t>
      </w:r>
      <w:r w:rsidRPr="00424A73">
        <w:t xml:space="preserve">actions. The form will also help applicants to determine CEQA compliance obligations by identifying which </w:t>
      </w:r>
      <w:r>
        <w:t xml:space="preserve">proposed activities </w:t>
      </w:r>
      <w:r w:rsidRPr="00424A73">
        <w:t>may</w:t>
      </w:r>
      <w:r>
        <w:t xml:space="preserve"> be exempt from </w:t>
      </w:r>
      <w:r w:rsidRPr="00424A73">
        <w:t>CEQA</w:t>
      </w:r>
      <w:r>
        <w:t xml:space="preserve"> and which activities may require additional environmental review</w:t>
      </w:r>
      <w:r w:rsidRPr="00424A73">
        <w:t xml:space="preserve">. If </w:t>
      </w:r>
      <w:r>
        <w:t xml:space="preserve">proposed </w:t>
      </w:r>
      <w:r w:rsidRPr="00424A73">
        <w:t>activities</w:t>
      </w:r>
      <w:r>
        <w:t xml:space="preserve"> are exempt from </w:t>
      </w:r>
      <w:r w:rsidRPr="00424A73">
        <w:t>CEQA (such as paper studies), the worksheet will help to identify</w:t>
      </w:r>
      <w:r w:rsidRPr="00C31C1D">
        <w:t xml:space="preserve"> and document this.</w:t>
      </w:r>
      <w:r>
        <w:t xml:space="preserve"> </w:t>
      </w:r>
      <w:r w:rsidRPr="00C108E9">
        <w:rPr>
          <w:u w:val="single"/>
        </w:rPr>
        <w:t>This form must be completed regardless of whether the proposed activities are considered a “project” under CEQA.</w:t>
      </w:r>
      <w:r w:rsidRPr="0075281F">
        <w:rPr>
          <w:i/>
        </w:rPr>
        <w:t xml:space="preserve"> </w:t>
      </w:r>
    </w:p>
    <w:p w14:paraId="03485760" w14:textId="77777777" w:rsidR="00665B8E" w:rsidRPr="00C31C1D" w:rsidRDefault="00665B8E" w:rsidP="00B97CF4">
      <w:pPr>
        <w:pStyle w:val="BodyText"/>
        <w:jc w:val="left"/>
      </w:pPr>
      <w:r>
        <w:t>Failure to</w:t>
      </w:r>
      <w:r w:rsidRPr="00C31C1D">
        <w:t xml:space="preserve"> complete the CEQA process </w:t>
      </w:r>
      <w:r>
        <w:t>in a timely manner</w:t>
      </w:r>
      <w:r w:rsidRPr="00C31C1D">
        <w:t xml:space="preserve"> </w:t>
      </w:r>
      <w:r>
        <w:t xml:space="preserve">after the CEC’s Notice of Proposed Award </w:t>
      </w:r>
      <w:r w:rsidRPr="00C31C1D">
        <w:t>may</w:t>
      </w:r>
      <w:r w:rsidRPr="000911EB">
        <w:t>, in the CEC’s sole discretion and without limiting any of the CEC’s other rights and remedies,</w:t>
      </w:r>
      <w:r w:rsidRPr="00C31C1D">
        <w:t xml:space="preserve"> result in </w:t>
      </w:r>
      <w:r>
        <w:t xml:space="preserve">the </w:t>
      </w:r>
      <w:r w:rsidRPr="00C31C1D">
        <w:t>cancellation of</w:t>
      </w:r>
      <w:r>
        <w:t xml:space="preserve"> a</w:t>
      </w:r>
      <w:r w:rsidRPr="00C31C1D">
        <w:t xml:space="preserve"> </w:t>
      </w:r>
      <w:r>
        <w:t>proposed</w:t>
      </w:r>
      <w:r w:rsidRPr="00C31C1D">
        <w:t xml:space="preserve"> award and </w:t>
      </w:r>
      <w:r>
        <w:t>allocation of funding</w:t>
      </w:r>
      <w:r w:rsidRPr="00C31C1D">
        <w:t xml:space="preserve"> </w:t>
      </w:r>
      <w:r>
        <w:t xml:space="preserve">elsewhere, such as </w:t>
      </w:r>
      <w:r w:rsidRPr="00C31C1D">
        <w:t>to the next highest</w:t>
      </w:r>
      <w:r>
        <w:t>-</w:t>
      </w:r>
      <w:r w:rsidRPr="00C31C1D">
        <w:t>scoring project.</w:t>
      </w:r>
    </w:p>
    <w:p w14:paraId="5B797B2F" w14:textId="77777777" w:rsidR="00665B8E" w:rsidRPr="00C31C1D" w:rsidRDefault="00665B8E" w:rsidP="00B97CF4">
      <w:pPr>
        <w:pStyle w:val="Heading4"/>
        <w:ind w:hanging="720"/>
        <w:jc w:val="left"/>
      </w:pPr>
      <w:r w:rsidRPr="00677D2B">
        <w:t>Past Projects Information</w:t>
      </w:r>
      <w:r w:rsidRPr="007065BB">
        <w:t xml:space="preserve"> (Attachment </w:t>
      </w:r>
      <w:r>
        <w:t>8</w:t>
      </w:r>
      <w:r w:rsidRPr="007065BB">
        <w:t>)</w:t>
      </w:r>
    </w:p>
    <w:p w14:paraId="5E77946D" w14:textId="77777777" w:rsidR="00665B8E" w:rsidRDefault="00665B8E" w:rsidP="00B97CF4">
      <w:pPr>
        <w:pStyle w:val="BodyText"/>
        <w:jc w:val="left"/>
      </w:pPr>
      <w:r>
        <w:t>The</w:t>
      </w:r>
      <w:r w:rsidRPr="00325509">
        <w:t xml:space="preserve"> </w:t>
      </w:r>
      <w:r>
        <w:t>Past Projects Information Form asks for information about the Applicant and its major subrecipients’ past agreements with the CEC and other entities.</w:t>
      </w:r>
    </w:p>
    <w:p w14:paraId="2DA475A6" w14:textId="77777777" w:rsidR="00665B8E" w:rsidRPr="007065BB" w:rsidRDefault="00665B8E" w:rsidP="00B97CF4">
      <w:pPr>
        <w:pStyle w:val="Heading4"/>
        <w:ind w:hanging="720"/>
        <w:jc w:val="left"/>
      </w:pPr>
      <w:bookmarkStart w:id="182" w:name="_Commitment_and_Support"/>
      <w:bookmarkEnd w:id="182"/>
      <w:r w:rsidRPr="00E74B5A">
        <w:rPr>
          <w:szCs w:val="24"/>
        </w:rPr>
        <w:t xml:space="preserve"> </w:t>
      </w:r>
      <w:bookmarkStart w:id="183" w:name="CommLttr"/>
      <w:r w:rsidRPr="007065BB">
        <w:t>Commitment and Su</w:t>
      </w:r>
      <w:r>
        <w:t>pport Letter Form (Attachment 9</w:t>
      </w:r>
      <w:r w:rsidRPr="007065BB">
        <w:t>)</w:t>
      </w:r>
      <w:bookmarkEnd w:id="183"/>
    </w:p>
    <w:p w14:paraId="19422EDC" w14:textId="2E5509C5" w:rsidR="00665B8E" w:rsidRDefault="00665B8E" w:rsidP="00B97CF4">
      <w:pPr>
        <w:pStyle w:val="BodyText"/>
        <w:jc w:val="left"/>
      </w:pPr>
      <w:r>
        <w:t xml:space="preserve">A commitment letter commits an entity or individual to providing the service or funding described in the letter. A support letter details an entity or individual’s support for the project. </w:t>
      </w:r>
      <w:r w:rsidRPr="004B221F">
        <w:t xml:space="preserve">Commitment and Support Letters must be submitted with the application. Letters that are not submitted </w:t>
      </w:r>
      <w:r>
        <w:t xml:space="preserve">by the application deadline </w:t>
      </w:r>
      <w:r w:rsidRPr="004B221F">
        <w:t>will not be reviewed and counted towards meeting the requirement specified in the solicitation</w:t>
      </w:r>
      <w:r>
        <w:t>.</w:t>
      </w:r>
    </w:p>
    <w:p w14:paraId="1B0C6153" w14:textId="77777777" w:rsidR="00665B8E" w:rsidRPr="00713BD1" w:rsidRDefault="00665B8E" w:rsidP="00B97CF4">
      <w:pPr>
        <w:pStyle w:val="ListNumber2"/>
        <w:numPr>
          <w:ilvl w:val="0"/>
          <w:numId w:val="47"/>
        </w:numPr>
        <w:jc w:val="left"/>
        <w:rPr>
          <w:b/>
          <w:u w:val="single"/>
        </w:rPr>
      </w:pPr>
      <w:r w:rsidRPr="00713BD1">
        <w:rPr>
          <w:u w:val="single"/>
        </w:rPr>
        <w:lastRenderedPageBreak/>
        <w:t xml:space="preserve">Commitment Letters </w:t>
      </w:r>
    </w:p>
    <w:p w14:paraId="44FE77DB" w14:textId="2D65E82A" w:rsidR="00665B8E" w:rsidRPr="0075281F" w:rsidRDefault="00665B8E" w:rsidP="00B97CF4">
      <w:pPr>
        <w:tabs>
          <w:tab w:val="left" w:pos="720"/>
          <w:tab w:val="left" w:pos="1080"/>
          <w:tab w:val="left" w:pos="1170"/>
          <w:tab w:val="left" w:pos="1620"/>
        </w:tabs>
        <w:spacing w:after="0"/>
        <w:ind w:left="720"/>
        <w:jc w:val="left"/>
        <w:rPr>
          <w:b/>
          <w:szCs w:val="22"/>
        </w:rPr>
      </w:pPr>
      <w:r w:rsidRPr="0075281F">
        <w:rPr>
          <w:szCs w:val="22"/>
        </w:rPr>
        <w:t xml:space="preserve">Applicants must submit a </w:t>
      </w:r>
      <w:r w:rsidRPr="0075281F">
        <w:rPr>
          <w:b/>
          <w:szCs w:val="22"/>
        </w:rPr>
        <w:t>match funding</w:t>
      </w:r>
      <w:r w:rsidRPr="0075281F">
        <w:rPr>
          <w:szCs w:val="22"/>
        </w:rPr>
        <w:t xml:space="preserve"> commitment letter </w:t>
      </w:r>
      <w:r>
        <w:rPr>
          <w:szCs w:val="22"/>
        </w:rPr>
        <w:t>from each entity that is committing to providing match funding. Each commitment letter must be signed by an authorized representative of the entity or by the individual that is making the commitment. A commitment</w:t>
      </w:r>
      <w:r w:rsidRPr="0075281F">
        <w:rPr>
          <w:szCs w:val="22"/>
        </w:rPr>
        <w:t xml:space="preserve"> letter must</w:t>
      </w:r>
      <w:r>
        <w:rPr>
          <w:szCs w:val="22"/>
        </w:rPr>
        <w:t xml:space="preserve"> include all of the following</w:t>
      </w:r>
      <w:r w:rsidRPr="0075281F">
        <w:rPr>
          <w:szCs w:val="22"/>
        </w:rPr>
        <w:t>: (1) identif</w:t>
      </w:r>
      <w:r>
        <w:rPr>
          <w:szCs w:val="22"/>
        </w:rPr>
        <w:t>ication of</w:t>
      </w:r>
      <w:r w:rsidRPr="0075281F">
        <w:rPr>
          <w:szCs w:val="22"/>
        </w:rPr>
        <w:t xml:space="preserve"> the source(s) of the funds; (2) </w:t>
      </w:r>
      <w:r>
        <w:rPr>
          <w:szCs w:val="22"/>
        </w:rPr>
        <w:t xml:space="preserve">a justification of the dollar value claimed; (3) an unqualified (i.e. without reservation or limitation) commitment that </w:t>
      </w:r>
      <w:r w:rsidRPr="0075281F">
        <w:rPr>
          <w:szCs w:val="22"/>
        </w:rPr>
        <w:t>guarantee</w:t>
      </w:r>
      <w:r>
        <w:rPr>
          <w:szCs w:val="22"/>
        </w:rPr>
        <w:t>s</w:t>
      </w:r>
      <w:r w:rsidRPr="0075281F">
        <w:rPr>
          <w:szCs w:val="22"/>
        </w:rPr>
        <w:t xml:space="preserve"> the availability of the funds for the project</w:t>
      </w:r>
      <w:r>
        <w:rPr>
          <w:szCs w:val="22"/>
        </w:rPr>
        <w:t>; and (4) a strategy for replacing the funds if they are significantly reduced or lost.</w:t>
      </w:r>
    </w:p>
    <w:p w14:paraId="7148EA11" w14:textId="77777777" w:rsidR="00665B8E" w:rsidRPr="00CA4E11" w:rsidRDefault="00665B8E" w:rsidP="00B97CF4">
      <w:pPr>
        <w:tabs>
          <w:tab w:val="left" w:pos="720"/>
          <w:tab w:val="left" w:pos="1080"/>
          <w:tab w:val="left" w:pos="1170"/>
          <w:tab w:val="left" w:pos="1620"/>
        </w:tabs>
        <w:spacing w:after="0"/>
        <w:ind w:left="1620"/>
        <w:jc w:val="left"/>
        <w:rPr>
          <w:b/>
          <w:szCs w:val="22"/>
        </w:rPr>
      </w:pPr>
    </w:p>
    <w:p w14:paraId="15488264" w14:textId="61EF7153" w:rsidR="00665B8E" w:rsidRPr="0075281F" w:rsidRDefault="00665B8E" w:rsidP="00B97CF4">
      <w:pPr>
        <w:pStyle w:val="ListBullet4"/>
        <w:jc w:val="left"/>
        <w:rPr>
          <w:b/>
          <w:bCs/>
        </w:rPr>
      </w:pPr>
      <w:r w:rsidRPr="00CA4E11">
        <w:t xml:space="preserve">If the project involves </w:t>
      </w:r>
      <w:r w:rsidRPr="00CA4E11">
        <w:rPr>
          <w:b/>
          <w:bCs/>
        </w:rPr>
        <w:t>pilot testing</w:t>
      </w:r>
      <w:r w:rsidR="005C22E6" w:rsidRPr="00CA4E11">
        <w:rPr>
          <w:b/>
          <w:bCs/>
        </w:rPr>
        <w:t xml:space="preserve"> </w:t>
      </w:r>
      <w:r w:rsidRPr="00CA4E11">
        <w:t xml:space="preserve">activities, the applicant must include a site commitment letter signed by an authorized representative of the proposed test site. </w:t>
      </w:r>
      <w:r>
        <w:t>The letter must: (1) identify the location of the site (street address, parcel number, tract map, plot map, etc.) consistent with ECAMS and the CEQA Compliance Form (Attachment) or provide justification if the exact site location is presently undetermined; and (2) unconditionally commit to providing the site for the proposed activities</w:t>
      </w:r>
      <w:r w:rsidRPr="00182C15">
        <w:rPr>
          <w:szCs w:val="22"/>
        </w:rPr>
        <w:t xml:space="preserve"> </w:t>
      </w:r>
      <w:r>
        <w:rPr>
          <w:szCs w:val="22"/>
        </w:rPr>
        <w:t>if recipient is awarded a CEC grant</w:t>
      </w:r>
      <w:r>
        <w:t xml:space="preserve">.  </w:t>
      </w:r>
    </w:p>
    <w:p w14:paraId="19BF05AE" w14:textId="0244B106" w:rsidR="00665B8E" w:rsidRPr="0075281F" w:rsidRDefault="00665B8E" w:rsidP="00B97CF4">
      <w:pPr>
        <w:pStyle w:val="ListBullet4"/>
        <w:jc w:val="left"/>
        <w:rPr>
          <w:b/>
        </w:rPr>
      </w:pPr>
      <w:r w:rsidRPr="0075281F">
        <w:rPr>
          <w:b/>
        </w:rPr>
        <w:t>Project partners</w:t>
      </w:r>
      <w:r w:rsidRPr="0075281F">
        <w:t xml:space="preserve"> that are making contributions other than match funding or </w:t>
      </w:r>
      <w:r w:rsidRPr="00CA4E11">
        <w:t xml:space="preserve">a test </w:t>
      </w:r>
      <w:r w:rsidRPr="0075281F">
        <w:t>site</w:t>
      </w:r>
      <w:r>
        <w:t>,</w:t>
      </w:r>
      <w:r w:rsidRPr="0075281F">
        <w:t xml:space="preserve"> </w:t>
      </w:r>
      <w:r>
        <w:t xml:space="preserve">and are not receiving CEC funds, </w:t>
      </w:r>
      <w:r w:rsidRPr="0075281F">
        <w:t xml:space="preserve">must submit a commitment letter signed by an authorized representative that: (1) identifies how the partner will contribute to the project; and (2) </w:t>
      </w:r>
      <w:r>
        <w:t xml:space="preserve">unconditionally </w:t>
      </w:r>
      <w:r w:rsidRPr="0075281F">
        <w:t>commits to making the contribution</w:t>
      </w:r>
      <w:r w:rsidRPr="00182C15">
        <w:rPr>
          <w:szCs w:val="22"/>
        </w:rPr>
        <w:t xml:space="preserve"> </w:t>
      </w:r>
      <w:r>
        <w:rPr>
          <w:szCs w:val="22"/>
        </w:rPr>
        <w:t>if Recipient is awarded a CEC grant</w:t>
      </w:r>
      <w:r w:rsidRPr="0075281F">
        <w:t xml:space="preserve">. </w:t>
      </w:r>
    </w:p>
    <w:p w14:paraId="5049A566" w14:textId="77777777" w:rsidR="00665B8E" w:rsidRPr="00713BD1" w:rsidRDefault="00665B8E" w:rsidP="00B97CF4">
      <w:pPr>
        <w:pStyle w:val="ListNumber2"/>
        <w:jc w:val="left"/>
        <w:rPr>
          <w:b/>
          <w:u w:val="single"/>
        </w:rPr>
      </w:pPr>
      <w:r w:rsidRPr="00713BD1">
        <w:rPr>
          <w:u w:val="single"/>
        </w:rPr>
        <w:t>Support Letters</w:t>
      </w:r>
    </w:p>
    <w:p w14:paraId="345B14F2" w14:textId="28C7F9BD" w:rsidR="00665B8E" w:rsidRDefault="00665B8E" w:rsidP="00B97CF4">
      <w:pPr>
        <w:tabs>
          <w:tab w:val="left" w:pos="720"/>
          <w:tab w:val="left" w:pos="1170"/>
          <w:tab w:val="left" w:pos="1260"/>
        </w:tabs>
        <w:spacing w:after="0"/>
        <w:ind w:left="1170"/>
        <w:jc w:val="left"/>
      </w:pPr>
      <w:r>
        <w:t>All applicants must include at least one support letter from a</w:t>
      </w:r>
      <w:r w:rsidR="00CA4E11">
        <w:t>n interested participant on the</w:t>
      </w:r>
      <w:r>
        <w:t xml:space="preserve"> project (i.e., an entity or individual that will benefit from or be involved in the project) that: (1) describes the </w:t>
      </w:r>
      <w:r w:rsidR="00CA4E11">
        <w:t xml:space="preserve">participant’s </w:t>
      </w:r>
      <w:r>
        <w:t xml:space="preserve">interest or involvement in the project; (2) indicates the extent to which the project has the support of the relevant industry and/or organizations; and (3) describes any support it intends (but does not necessarily commit) to provide for the project, such as funding or the provision of a </w:t>
      </w:r>
      <w:r w:rsidRPr="00CA4E11">
        <w:t>test</w:t>
      </w:r>
      <w:r>
        <w:t xml:space="preserve"> site.</w:t>
      </w:r>
    </w:p>
    <w:p w14:paraId="07BC0726" w14:textId="77777777" w:rsidR="00665B8E" w:rsidRPr="00943E11" w:rsidRDefault="00665B8E" w:rsidP="00B97CF4">
      <w:pPr>
        <w:pStyle w:val="Heading4"/>
        <w:ind w:hanging="720"/>
        <w:jc w:val="left"/>
      </w:pPr>
      <w:r w:rsidRPr="00943E11">
        <w:t>Project Performance Metrics</w:t>
      </w:r>
      <w:r>
        <w:t xml:space="preserve"> (Attachment 10</w:t>
      </w:r>
      <w:r w:rsidRPr="007065BB">
        <w:t>)</w:t>
      </w:r>
    </w:p>
    <w:p w14:paraId="479C76D2" w14:textId="47E5F22F" w:rsidR="00665B8E" w:rsidRDefault="00665B8E" w:rsidP="00B97CF4">
      <w:pPr>
        <w:pStyle w:val="BodyText"/>
        <w:jc w:val="left"/>
      </w:pPr>
      <w:r w:rsidRPr="007A2434">
        <w:t>The purpose of this questionnaire is to identify and document performance targets for the project. The performance targets should be a combination of scientific, engineering and techno-economic metrics that provide the most significant indicator of the research or technology’s potential success.</w:t>
      </w:r>
      <w:r w:rsidRPr="009146C3">
        <w:t xml:space="preserve"> The metrics should provide constructive targets for the performance of the technology or project and how the metric will be measured and evaluated, during the project and after the project is complete.</w:t>
      </w:r>
    </w:p>
    <w:p w14:paraId="588734B3" w14:textId="77777777" w:rsidR="00665B8E" w:rsidRPr="007065BB" w:rsidRDefault="00665B8E" w:rsidP="00B97CF4">
      <w:pPr>
        <w:pStyle w:val="Heading4"/>
        <w:ind w:hanging="720"/>
        <w:jc w:val="left"/>
      </w:pPr>
      <w:r>
        <w:t>Applicant Declaration (Attachment 11</w:t>
      </w:r>
      <w:r w:rsidRPr="007065BB">
        <w:t>)</w:t>
      </w:r>
    </w:p>
    <w:p w14:paraId="71AA90B7" w14:textId="61444EFC" w:rsidR="00665B8E" w:rsidRPr="00B45766" w:rsidRDefault="00665B8E" w:rsidP="005C1FFA">
      <w:pPr>
        <w:pStyle w:val="BodyText"/>
        <w:jc w:val="left"/>
      </w:pPr>
      <w:r w:rsidRPr="00342998">
        <w:t xml:space="preserve">This form requests the applicant </w:t>
      </w:r>
      <w:r>
        <w:t xml:space="preserve">make certain </w:t>
      </w:r>
      <w:r w:rsidRPr="00342998">
        <w:t>declar</w:t>
      </w:r>
      <w:r>
        <w:t xml:space="preserve">ations </w:t>
      </w:r>
      <w:r w:rsidRPr="00B348CF">
        <w:t>under penalty of perjury. This form must be signed by an authorized representative of the applicant’s organization</w:t>
      </w:r>
      <w:r w:rsidR="005C1FFA">
        <w:t>.</w:t>
      </w:r>
    </w:p>
    <w:p w14:paraId="1469D3B4" w14:textId="77777777" w:rsidR="00665B8E" w:rsidRPr="00C31C1D" w:rsidRDefault="00665B8E" w:rsidP="00B97CF4">
      <w:pPr>
        <w:pStyle w:val="Heading2"/>
        <w:jc w:val="left"/>
      </w:pPr>
      <w:bookmarkStart w:id="184" w:name="_Toc233727899"/>
      <w:bookmarkStart w:id="185" w:name="_Toc336443635"/>
      <w:bookmarkStart w:id="186" w:name="_Toc366671192"/>
      <w:r w:rsidRPr="00C31C1D">
        <w:lastRenderedPageBreak/>
        <w:t>IV.</w:t>
      </w:r>
      <w:r w:rsidRPr="00C31C1D">
        <w:tab/>
        <w:t xml:space="preserve">Evaluation </w:t>
      </w:r>
      <w:r>
        <w:t xml:space="preserve">and Award </w:t>
      </w:r>
      <w:r w:rsidRPr="00C31C1D">
        <w:t>Process</w:t>
      </w:r>
      <w:bookmarkEnd w:id="184"/>
      <w:r w:rsidRPr="00C31C1D">
        <w:t xml:space="preserve"> </w:t>
      </w:r>
      <w:bookmarkEnd w:id="158"/>
      <w:bookmarkEnd w:id="185"/>
      <w:bookmarkEnd w:id="186"/>
    </w:p>
    <w:p w14:paraId="3AEB5A16" w14:textId="77777777" w:rsidR="00665B8E" w:rsidRPr="00CF6DED" w:rsidRDefault="00665B8E" w:rsidP="00B97CF4">
      <w:pPr>
        <w:pStyle w:val="Heading3"/>
        <w:numPr>
          <w:ilvl w:val="0"/>
          <w:numId w:val="42"/>
        </w:numPr>
        <w:jc w:val="left"/>
      </w:pPr>
      <w:bookmarkStart w:id="187" w:name="_Toc339284338"/>
      <w:bookmarkStart w:id="188" w:name="_Toc366671194"/>
      <w:bookmarkStart w:id="189" w:name="_Toc233727900"/>
      <w:bookmarkStart w:id="190" w:name="_Toc338162913"/>
      <w:bookmarkStart w:id="191" w:name="_Toc35074632"/>
      <w:bookmarkStart w:id="192" w:name="_Toc219275099"/>
      <w:bookmarkStart w:id="193" w:name="_Toc336443636"/>
      <w:r w:rsidRPr="00CF6DED">
        <w:t>Application Evaluation</w:t>
      </w:r>
      <w:bookmarkEnd w:id="187"/>
      <w:bookmarkEnd w:id="188"/>
      <w:bookmarkEnd w:id="189"/>
    </w:p>
    <w:bookmarkEnd w:id="190"/>
    <w:p w14:paraId="71EBD295" w14:textId="70BEB907" w:rsidR="00665B8E" w:rsidRPr="00EE24D3" w:rsidRDefault="00665B8E" w:rsidP="00B97CF4">
      <w:pPr>
        <w:pStyle w:val="BodyText"/>
        <w:jc w:val="left"/>
      </w:pPr>
      <w:r w:rsidRPr="00C31C1D">
        <w:t>Applications will be evaluated and scored based on responses to the information requested in this solicitation</w:t>
      </w:r>
      <w:r>
        <w:t xml:space="preserve"> and on any other information available, such as past performance of CEC agreements. </w:t>
      </w:r>
      <w:r w:rsidRPr="00C31C1D">
        <w:t xml:space="preserve">To evaluate applications, the </w:t>
      </w:r>
      <w:r>
        <w:t>CEC</w:t>
      </w:r>
      <w:r w:rsidRPr="00C31C1D">
        <w:t xml:space="preserve"> will organize an Evaluation Committee that consist</w:t>
      </w:r>
      <w:r>
        <w:t>s of primarily, or all</w:t>
      </w:r>
      <w:r w:rsidRPr="00C31C1D">
        <w:t xml:space="preserve"> </w:t>
      </w:r>
      <w:r>
        <w:t>CEC</w:t>
      </w:r>
      <w:r w:rsidRPr="00C31C1D">
        <w:t xml:space="preserve"> staff. The E</w:t>
      </w:r>
      <w:r>
        <w:t>valuation Committee may us</w:t>
      </w:r>
      <w:r w:rsidRPr="00C31C1D">
        <w:t xml:space="preserve">e </w:t>
      </w:r>
      <w:r>
        <w:t xml:space="preserve">additional </w:t>
      </w:r>
      <w:r w:rsidRPr="00C31C1D">
        <w:t>technical expert reviewers to provide an analysis of applications.</w:t>
      </w:r>
      <w:r>
        <w:t xml:space="preserve">  </w:t>
      </w:r>
    </w:p>
    <w:p w14:paraId="7EFAA11A" w14:textId="31ABC840" w:rsidR="00665B8E" w:rsidRPr="00E13674" w:rsidRDefault="00665B8E" w:rsidP="00B97CF4">
      <w:pPr>
        <w:pStyle w:val="Heading4"/>
        <w:numPr>
          <w:ilvl w:val="0"/>
          <w:numId w:val="48"/>
        </w:numPr>
        <w:ind w:hanging="720"/>
        <w:jc w:val="left"/>
      </w:pPr>
      <w:bookmarkStart w:id="194" w:name="_Toc381079932"/>
      <w:bookmarkStart w:id="195" w:name="_Toc382571195"/>
      <w:bookmarkStart w:id="196" w:name="_Toc395180705"/>
      <w:bookmarkStart w:id="197" w:name="_Toc433981334"/>
      <w:bookmarkStart w:id="198" w:name="_Toc360545784"/>
      <w:bookmarkStart w:id="199" w:name="_Toc366671195"/>
      <w:bookmarkStart w:id="200" w:name="_Toc339284339"/>
      <w:r w:rsidRPr="00E13674">
        <w:t>Stage One: Application Screening</w:t>
      </w:r>
      <w:bookmarkEnd w:id="194"/>
      <w:bookmarkEnd w:id="195"/>
      <w:bookmarkEnd w:id="196"/>
      <w:bookmarkEnd w:id="197"/>
      <w:r w:rsidRPr="00E13674">
        <w:t xml:space="preserve"> </w:t>
      </w:r>
      <w:bookmarkEnd w:id="198"/>
      <w:bookmarkEnd w:id="199"/>
    </w:p>
    <w:p w14:paraId="70034FC3" w14:textId="77777777" w:rsidR="00665B8E" w:rsidRPr="00125E7A" w:rsidRDefault="00665B8E" w:rsidP="00B97CF4">
      <w:pPr>
        <w:pStyle w:val="BodyText"/>
        <w:jc w:val="left"/>
        <w:rPr>
          <w:u w:val="single"/>
        </w:rPr>
      </w:pPr>
      <w:r w:rsidRPr="00C31C1D">
        <w:t xml:space="preserve">The </w:t>
      </w:r>
      <w:r>
        <w:t xml:space="preserve">Evaluation Committee </w:t>
      </w:r>
      <w:r w:rsidRPr="00C31C1D">
        <w:t xml:space="preserve">will screen </w:t>
      </w:r>
      <w:r>
        <w:t>a</w:t>
      </w:r>
      <w:r w:rsidRPr="00C31C1D">
        <w:t xml:space="preserve">pplications for compliance with </w:t>
      </w:r>
      <w:r>
        <w:t>the</w:t>
      </w:r>
      <w:r w:rsidRPr="00C31C1D">
        <w:t xml:space="preserve"> </w:t>
      </w:r>
      <w:r>
        <w:t>S</w:t>
      </w:r>
      <w:r w:rsidRPr="00C31C1D">
        <w:t xml:space="preserve">creening </w:t>
      </w:r>
      <w:r>
        <w:t>C</w:t>
      </w:r>
      <w:r w:rsidRPr="00C31C1D">
        <w:t>riteria</w:t>
      </w:r>
      <w:r>
        <w:t xml:space="preserve"> in </w:t>
      </w:r>
      <w:r w:rsidRPr="000E3B9C">
        <w:rPr>
          <w:b/>
        </w:rPr>
        <w:t>Section E</w:t>
      </w:r>
      <w:r>
        <w:t xml:space="preserve"> of this Part</w:t>
      </w:r>
      <w:r w:rsidRPr="00C31C1D">
        <w:t xml:space="preserve">. </w:t>
      </w:r>
      <w:r w:rsidRPr="000E6E9B">
        <w:rPr>
          <w:b/>
        </w:rPr>
        <w:t xml:space="preserve">Applications that fail any of the screening criteria will be </w:t>
      </w:r>
      <w:r>
        <w:rPr>
          <w:b/>
        </w:rPr>
        <w:t>reject</w:t>
      </w:r>
      <w:r w:rsidRPr="000E6E9B">
        <w:rPr>
          <w:b/>
        </w:rPr>
        <w:t>ed.</w:t>
      </w:r>
      <w:bookmarkStart w:id="201" w:name="_Toc339284340"/>
      <w:bookmarkEnd w:id="200"/>
      <w:r>
        <w:rPr>
          <w:b/>
        </w:rPr>
        <w:t xml:space="preserve"> </w:t>
      </w:r>
    </w:p>
    <w:p w14:paraId="12DE32B6" w14:textId="762E29D9" w:rsidR="00665B8E" w:rsidRPr="008E38AF" w:rsidRDefault="00665B8E" w:rsidP="00B97CF4">
      <w:pPr>
        <w:pStyle w:val="Heading4"/>
        <w:ind w:hanging="720"/>
        <w:jc w:val="left"/>
      </w:pPr>
      <w:bookmarkStart w:id="202" w:name="_Stage_Two:_"/>
      <w:bookmarkStart w:id="203" w:name="_Toc381079933"/>
      <w:bookmarkStart w:id="204" w:name="_Toc382571196"/>
      <w:bookmarkStart w:id="205" w:name="_Toc395180706"/>
      <w:bookmarkStart w:id="206" w:name="_Toc433981335"/>
      <w:bookmarkStart w:id="207" w:name="_Toc360545785"/>
      <w:bookmarkStart w:id="208" w:name="_Toc366671198"/>
      <w:bookmarkStart w:id="209" w:name="Stg2AppScr"/>
      <w:bookmarkEnd w:id="202"/>
      <w:r w:rsidRPr="008E38AF">
        <w:t>Stage Two: Application Scoring</w:t>
      </w:r>
      <w:bookmarkEnd w:id="203"/>
      <w:bookmarkEnd w:id="204"/>
      <w:bookmarkEnd w:id="205"/>
      <w:bookmarkEnd w:id="206"/>
      <w:r w:rsidRPr="008E38AF">
        <w:t xml:space="preserve"> </w:t>
      </w:r>
      <w:bookmarkEnd w:id="207"/>
      <w:bookmarkEnd w:id="208"/>
    </w:p>
    <w:bookmarkEnd w:id="209"/>
    <w:p w14:paraId="714C2F81" w14:textId="53C65DE5" w:rsidR="00665B8E" w:rsidRPr="003E6D28" w:rsidRDefault="00665B8E" w:rsidP="00B97CF4">
      <w:pPr>
        <w:pStyle w:val="BodyText"/>
        <w:jc w:val="left"/>
      </w:pPr>
      <w:r w:rsidRPr="003E6D28">
        <w:t xml:space="preserve">Applications that pass Stage One will be submitted to the Evaluation Committee for review and scoring based on the Scoring Criteria in </w:t>
      </w:r>
      <w:r w:rsidRPr="003E6D28">
        <w:rPr>
          <w:b/>
        </w:rPr>
        <w:t>Section F</w:t>
      </w:r>
      <w:r w:rsidRPr="003E6D28">
        <w:t xml:space="preserve"> of this Part. </w:t>
      </w:r>
      <w:r w:rsidRPr="00B971C4">
        <w:t xml:space="preserve">The Evaluation Committee may consist of CEC staff or staff of other California state entities. The Evaluation Committee may use additional technical expert reviewers to provide an analysis of applications.  </w:t>
      </w:r>
    </w:p>
    <w:p w14:paraId="12C75B55" w14:textId="77777777" w:rsidR="00665B8E" w:rsidRPr="004B1445" w:rsidRDefault="00665B8E" w:rsidP="00B97CF4">
      <w:pPr>
        <w:pStyle w:val="ListBullet3"/>
        <w:jc w:val="left"/>
      </w:pPr>
      <w:r w:rsidRPr="004B1445">
        <w:t xml:space="preserve">The scores for each application will be the average of the combined scores of all Evaluation Committee members. </w:t>
      </w:r>
    </w:p>
    <w:p w14:paraId="0B295DAF" w14:textId="155AA9C1" w:rsidR="00665B8E" w:rsidRPr="004B1445" w:rsidRDefault="00665B8E" w:rsidP="00B97CF4">
      <w:pPr>
        <w:pStyle w:val="ListBullet3"/>
        <w:jc w:val="left"/>
      </w:pPr>
      <w:r w:rsidRPr="004B1445">
        <w:rPr>
          <w:b/>
        </w:rPr>
        <w:t xml:space="preserve">A minimum score of </w:t>
      </w:r>
      <w:r>
        <w:rPr>
          <w:b/>
        </w:rPr>
        <w:t>7</w:t>
      </w:r>
      <w:r w:rsidRPr="004B1445">
        <w:rPr>
          <w:b/>
        </w:rPr>
        <w:t xml:space="preserve">0.0 points </w:t>
      </w:r>
      <w:r w:rsidRPr="004B1445">
        <w:t xml:space="preserve">is required for </w:t>
      </w:r>
      <w:r>
        <w:t>criteria 1-7</w:t>
      </w:r>
      <w:r w:rsidRPr="004B1445">
        <w:t xml:space="preserve"> to be eligible for funding. In addition, the application must receive a minimum score of </w:t>
      </w:r>
      <w:r>
        <w:rPr>
          <w:b/>
        </w:rPr>
        <w:t>52</w:t>
      </w:r>
      <w:r w:rsidRPr="004B1445">
        <w:rPr>
          <w:b/>
        </w:rPr>
        <w:t>.</w:t>
      </w:r>
      <w:r>
        <w:rPr>
          <w:b/>
        </w:rPr>
        <w:t>5</w:t>
      </w:r>
      <w:r w:rsidRPr="004B1445">
        <w:rPr>
          <w:b/>
        </w:rPr>
        <w:t xml:space="preserve">0 points for criteria </w:t>
      </w:r>
      <w:r>
        <w:rPr>
          <w:b/>
        </w:rPr>
        <w:t>1</w:t>
      </w:r>
      <w:r w:rsidRPr="004B1445">
        <w:rPr>
          <w:b/>
        </w:rPr>
        <w:t>−</w:t>
      </w:r>
      <w:r>
        <w:rPr>
          <w:b/>
        </w:rPr>
        <w:t>4</w:t>
      </w:r>
      <w:r w:rsidRPr="004B1445">
        <w:rPr>
          <w:b/>
        </w:rPr>
        <w:t xml:space="preserve"> </w:t>
      </w:r>
      <w:r w:rsidRPr="004B1445">
        <w:t xml:space="preserve">to be eligible for funding. </w:t>
      </w:r>
    </w:p>
    <w:p w14:paraId="2F4DAAA1" w14:textId="77777777" w:rsidR="00665B8E" w:rsidRPr="00CF6DED" w:rsidRDefault="00665B8E" w:rsidP="00B97CF4">
      <w:pPr>
        <w:pStyle w:val="Heading3"/>
        <w:jc w:val="left"/>
      </w:pPr>
      <w:bookmarkStart w:id="210" w:name="_Toc233727901"/>
      <w:r w:rsidRPr="00CF6DED">
        <w:t>Ranking, Notice of Proposed Award, and Agreement Development</w:t>
      </w:r>
      <w:bookmarkEnd w:id="210"/>
    </w:p>
    <w:p w14:paraId="5197C0E6" w14:textId="77777777" w:rsidR="00665B8E" w:rsidRPr="008E38AF" w:rsidRDefault="00665B8E" w:rsidP="00B97CF4">
      <w:pPr>
        <w:pStyle w:val="Heading4"/>
        <w:numPr>
          <w:ilvl w:val="0"/>
          <w:numId w:val="49"/>
        </w:numPr>
        <w:ind w:hanging="720"/>
        <w:jc w:val="left"/>
      </w:pPr>
      <w:r w:rsidRPr="008E38AF">
        <w:t>Ranking and Notice of Proposed Award</w:t>
      </w:r>
    </w:p>
    <w:p w14:paraId="45D00C4C" w14:textId="77777777" w:rsidR="00665B8E" w:rsidRDefault="00665B8E" w:rsidP="00B97CF4">
      <w:pPr>
        <w:pStyle w:val="BodyText"/>
        <w:jc w:val="left"/>
      </w:pPr>
      <w:r w:rsidRPr="008E38AF">
        <w:t xml:space="preserve">Applications that receive </w:t>
      </w:r>
      <w:r>
        <w:t>at least the</w:t>
      </w:r>
      <w:r w:rsidRPr="008E38AF">
        <w:t xml:space="preserve"> minimum </w:t>
      </w:r>
      <w:r>
        <w:t xml:space="preserve">required </w:t>
      </w:r>
      <w:r w:rsidRPr="008E38AF">
        <w:t xml:space="preserve">score </w:t>
      </w:r>
      <w:r w:rsidRPr="003E6D28">
        <w:t>for all criteria will be ranked according to their score</w:t>
      </w:r>
      <w:r>
        <w:t xml:space="preserve"> by group</w:t>
      </w:r>
      <w:r w:rsidRPr="003E6D28">
        <w:t>.</w:t>
      </w:r>
      <w:r w:rsidRPr="00C31C1D">
        <w:t xml:space="preserve"> </w:t>
      </w:r>
    </w:p>
    <w:p w14:paraId="59484A09" w14:textId="0C182604" w:rsidR="006B6E53" w:rsidRPr="006B6E53" w:rsidRDefault="00665B8E" w:rsidP="00B97CF4">
      <w:pPr>
        <w:pStyle w:val="ListBullet3"/>
        <w:jc w:val="left"/>
      </w:pPr>
      <w:r>
        <w:t>CEC staff will post</w:t>
      </w:r>
      <w:r w:rsidRPr="00C31C1D">
        <w:t xml:space="preserve"> a </w:t>
      </w:r>
      <w:r w:rsidRPr="00F14D0E">
        <w:rPr>
          <w:b/>
        </w:rPr>
        <w:t>Notice of Proposed Award (NOPA)</w:t>
      </w:r>
      <w:r>
        <w:t xml:space="preserve"> that includes: (1) the</w:t>
      </w:r>
      <w:r w:rsidRPr="0004356A">
        <w:t xml:space="preserve"> </w:t>
      </w:r>
      <w:r>
        <w:t xml:space="preserve">total </w:t>
      </w:r>
      <w:r w:rsidRPr="0004356A">
        <w:t>proposed fun</w:t>
      </w:r>
      <w:r>
        <w:t>ding amount; (2) the rank order of applicants;</w:t>
      </w:r>
      <w:r w:rsidRPr="0004356A">
        <w:t xml:space="preserve"> and </w:t>
      </w:r>
      <w:r>
        <w:t xml:space="preserve">(3) </w:t>
      </w:r>
      <w:r w:rsidRPr="0004356A">
        <w:t>the amount of each proposed award</w:t>
      </w:r>
      <w:r>
        <w:t>. The CEC will post the NOPA on its w</w:t>
      </w:r>
      <w:r w:rsidRPr="0004356A">
        <w:t>eb</w:t>
      </w:r>
      <w:r>
        <w:t>s</w:t>
      </w:r>
      <w:r w:rsidRPr="0004356A">
        <w:t xml:space="preserve">ite, and will </w:t>
      </w:r>
      <w:r>
        <w:t>e-</w:t>
      </w:r>
      <w:r w:rsidRPr="0004356A">
        <w:t xml:space="preserve">mail </w:t>
      </w:r>
      <w:r>
        <w:t>it</w:t>
      </w:r>
      <w:r w:rsidRPr="0004356A">
        <w:t xml:space="preserve"> to all </w:t>
      </w:r>
      <w:r>
        <w:t>entities</w:t>
      </w:r>
      <w:r w:rsidRPr="0004356A">
        <w:t xml:space="preserve"> that submitted an application</w:t>
      </w:r>
      <w:r w:rsidRPr="0004356A">
        <w:rPr>
          <w:szCs w:val="24"/>
        </w:rPr>
        <w:t xml:space="preserve">. </w:t>
      </w:r>
      <w:r>
        <w:rPr>
          <w:szCs w:val="24"/>
        </w:rPr>
        <w:t>Proposed awards must be approved by the CEC at a business meeting.</w:t>
      </w:r>
    </w:p>
    <w:p w14:paraId="6BB0A59B" w14:textId="660E3E72" w:rsidR="00665B8E" w:rsidRPr="006B6E53" w:rsidRDefault="00665B8E" w:rsidP="00B97CF4">
      <w:pPr>
        <w:pStyle w:val="ListBullet3"/>
        <w:numPr>
          <w:ilvl w:val="0"/>
          <w:numId w:val="0"/>
        </w:numPr>
        <w:ind w:left="720"/>
        <w:jc w:val="left"/>
      </w:pPr>
      <w:r w:rsidRPr="006B6E53">
        <w:rPr>
          <w:b/>
        </w:rPr>
        <w:t>Debriefings:</w:t>
      </w:r>
      <w:r>
        <w:t xml:space="preserve"> </w:t>
      </w:r>
      <w:r w:rsidRPr="006B6E53">
        <w:rPr>
          <w:szCs w:val="22"/>
        </w:rPr>
        <w:t xml:space="preserve">Applicants may request a debriefing after the release of the NOPA by e-mailing the CAO listed in Part I. A request for debriefing must be received </w:t>
      </w:r>
      <w:r w:rsidRPr="006B6E53">
        <w:rPr>
          <w:b/>
          <w:szCs w:val="22"/>
        </w:rPr>
        <w:t>no later than 30 calendar days</w:t>
      </w:r>
      <w:r w:rsidRPr="006B6E53">
        <w:rPr>
          <w:szCs w:val="22"/>
        </w:rPr>
        <w:t xml:space="preserve"> after the NOPA is released. </w:t>
      </w:r>
      <w:bookmarkStart w:id="211" w:name="_Hlk176340167"/>
      <w:r w:rsidRPr="006B6E53">
        <w:rPr>
          <w:i/>
          <w:iCs/>
          <w:szCs w:val="22"/>
        </w:rPr>
        <w:t xml:space="preserve">The purpose of the debriefing is to provide the applicant feedback on contributing factors to their </w:t>
      </w:r>
      <w:r w:rsidRPr="006B6E53">
        <w:rPr>
          <w:i/>
          <w:iCs/>
          <w:szCs w:val="22"/>
        </w:rPr>
        <w:lastRenderedPageBreak/>
        <w:t>score and opportunities for improvement on future applications. Debriefings are not intended to be a comprehensive examination of all deficiencies within an application.</w:t>
      </w:r>
      <w:bookmarkEnd w:id="211"/>
      <w:r w:rsidRPr="006B6E53">
        <w:rPr>
          <w:i/>
          <w:iCs/>
          <w:szCs w:val="22"/>
        </w:rPr>
        <w:t xml:space="preserve">  </w:t>
      </w:r>
    </w:p>
    <w:p w14:paraId="6A98F010" w14:textId="77777777" w:rsidR="00665B8E" w:rsidRDefault="00665B8E" w:rsidP="00B97CF4">
      <w:pPr>
        <w:pStyle w:val="ListBullet3"/>
        <w:jc w:val="left"/>
      </w:pPr>
      <w:r>
        <w:t>In addition to any of its other rights, t</w:t>
      </w:r>
      <w:r w:rsidRPr="0093474F">
        <w:t xml:space="preserve">he </w:t>
      </w:r>
      <w:r>
        <w:t>CEC</w:t>
      </w:r>
      <w:r w:rsidRPr="0093474F">
        <w:t xml:space="preserve"> reserves the right to:</w:t>
      </w:r>
    </w:p>
    <w:p w14:paraId="083E75F3" w14:textId="77777777" w:rsidR="00665B8E" w:rsidRDefault="00665B8E" w:rsidP="001365E0">
      <w:pPr>
        <w:pStyle w:val="ListBullet4"/>
        <w:ind w:left="1080"/>
        <w:jc w:val="left"/>
      </w:pPr>
      <w:r w:rsidRPr="0093474F">
        <w:t>Allocate any additional funds to passing applications</w:t>
      </w:r>
      <w:r>
        <w:t>, in rank order</w:t>
      </w:r>
      <w:r w:rsidRPr="0093474F">
        <w:t>;</w:t>
      </w:r>
    </w:p>
    <w:p w14:paraId="5F3FA07A" w14:textId="07837DCD" w:rsidR="00665B8E" w:rsidRDefault="00665B8E" w:rsidP="001365E0">
      <w:pPr>
        <w:pStyle w:val="ListBullet4"/>
        <w:ind w:left="1080"/>
        <w:jc w:val="left"/>
      </w:pPr>
      <w:r w:rsidRPr="00905E6F">
        <w:t>Aggregate funds from multiple groups to fully fund the highest ranked passing application(s), regardless of group (if applicable); and</w:t>
      </w:r>
    </w:p>
    <w:p w14:paraId="26FC40D0" w14:textId="77777777" w:rsidR="00665B8E" w:rsidRDefault="00665B8E" w:rsidP="001365E0">
      <w:pPr>
        <w:pStyle w:val="ListBullet4"/>
        <w:ind w:left="1080"/>
        <w:jc w:val="left"/>
      </w:pPr>
      <w:r>
        <w:t>Negotiate with successful a</w:t>
      </w:r>
      <w:r w:rsidRPr="0093474F">
        <w:t>pplicants</w:t>
      </w:r>
      <w:r w:rsidRPr="0093474F">
        <w:rPr>
          <w:b/>
        </w:rPr>
        <w:t xml:space="preserve"> </w:t>
      </w:r>
      <w:r w:rsidRPr="0093474F">
        <w:t>to</w:t>
      </w:r>
      <w:r w:rsidRPr="0093474F">
        <w:rPr>
          <w:b/>
        </w:rPr>
        <w:t xml:space="preserve"> </w:t>
      </w:r>
      <w:r w:rsidRPr="0093474F">
        <w:t xml:space="preserve">modify the </w:t>
      </w:r>
      <w:r>
        <w:t>project</w:t>
      </w:r>
      <w:r w:rsidRPr="0093474F">
        <w:t xml:space="preserve"> scope</w:t>
      </w:r>
      <w:r>
        <w:t>, schedule, project team entity that will receive the award, project location and/or level of funding.</w:t>
      </w:r>
    </w:p>
    <w:p w14:paraId="17605209" w14:textId="77777777" w:rsidR="00665B8E" w:rsidRPr="005522EA" w:rsidRDefault="00665B8E" w:rsidP="00B97CF4">
      <w:pPr>
        <w:pStyle w:val="Heading4"/>
        <w:ind w:hanging="720"/>
        <w:jc w:val="left"/>
      </w:pPr>
      <w:r w:rsidRPr="004C668B">
        <w:t xml:space="preserve"> </w:t>
      </w:r>
      <w:r w:rsidRPr="00E13674">
        <w:t>Agreements</w:t>
      </w:r>
    </w:p>
    <w:p w14:paraId="6537EAC0" w14:textId="05940A3E" w:rsidR="00665B8E" w:rsidRDefault="00665B8E" w:rsidP="00B97CF4">
      <w:pPr>
        <w:pStyle w:val="BodyText"/>
        <w:jc w:val="left"/>
      </w:pPr>
      <w:r w:rsidRPr="00C31C1D">
        <w:t xml:space="preserve">Applications recommended for funding </w:t>
      </w:r>
      <w:r>
        <w:t xml:space="preserve">in a NOPA </w:t>
      </w:r>
      <w:r w:rsidRPr="00C31C1D">
        <w:t xml:space="preserve">will be developed into a </w:t>
      </w:r>
      <w:r>
        <w:t xml:space="preserve">proposed </w:t>
      </w:r>
      <w:r w:rsidRPr="00C31C1D">
        <w:t xml:space="preserve">grant agreement to be considered at a </w:t>
      </w:r>
      <w:r>
        <w:t>CEC</w:t>
      </w:r>
      <w:r w:rsidRPr="00C31C1D">
        <w:t xml:space="preserve"> Business Meeting.</w:t>
      </w:r>
      <w:r>
        <w:t xml:space="preserve"> Grant r</w:t>
      </w:r>
      <w:r w:rsidRPr="00BB6E63">
        <w:t xml:space="preserve">ecipients </w:t>
      </w:r>
      <w:r>
        <w:t>may</w:t>
      </w:r>
      <w:r w:rsidRPr="00BB6E63">
        <w:t xml:space="preserve"> begin the project only after full execution of the grant agreement</w:t>
      </w:r>
      <w:r>
        <w:t xml:space="preserve"> (i.e., approval at a CEC business meeting and signature by the grant recipient and the CEC)</w:t>
      </w:r>
      <w:r w:rsidRPr="00BB6E63">
        <w:t>.</w:t>
      </w:r>
    </w:p>
    <w:p w14:paraId="2D35AC88" w14:textId="28DB240E" w:rsidR="00665B8E" w:rsidRDefault="00665B8E" w:rsidP="00B97CF4">
      <w:pPr>
        <w:pStyle w:val="ListBullet3"/>
        <w:jc w:val="left"/>
      </w:pPr>
      <w:r w:rsidRPr="00E4013B">
        <w:rPr>
          <w:b/>
        </w:rPr>
        <w:t>Agreement Development:</w:t>
      </w:r>
      <w:r>
        <w:t xml:space="preserve"> The Contracts, Grants, and Loans Office will send the grant recipient </w:t>
      </w:r>
      <w:r w:rsidRPr="00BB6E63">
        <w:t>a grant agreement</w:t>
      </w:r>
      <w:r>
        <w:t xml:space="preserve"> </w:t>
      </w:r>
      <w:r w:rsidRPr="00BB6E63">
        <w:t xml:space="preserve">for </w:t>
      </w:r>
      <w:r>
        <w:t>approval</w:t>
      </w:r>
      <w:r w:rsidRPr="00BB6E63">
        <w:t xml:space="preserve"> and signature.</w:t>
      </w:r>
      <w:r>
        <w:t xml:space="preserve"> The agreement will include the applicable terms and c</w:t>
      </w:r>
      <w:r w:rsidRPr="00BB6E63">
        <w:t>onditions</w:t>
      </w:r>
      <w:r w:rsidRPr="00F00B82">
        <w:t xml:space="preserve"> </w:t>
      </w:r>
      <w:r>
        <w:t xml:space="preserve">and will incorporate this solicitation and the application by reference. </w:t>
      </w:r>
      <w:r w:rsidRPr="00BB6E63">
        <w:t xml:space="preserve">The </w:t>
      </w:r>
      <w:r>
        <w:t>CEC</w:t>
      </w:r>
      <w:r w:rsidRPr="00BB6E63">
        <w:t xml:space="preserve"> reserves the right to modify the </w:t>
      </w:r>
      <w:r>
        <w:t xml:space="preserve">award documents (including the </w:t>
      </w:r>
      <w:r w:rsidRPr="0025392C">
        <w:t>project scope, level of funding and</w:t>
      </w:r>
      <w:r>
        <w:t xml:space="preserve"> </w:t>
      </w:r>
      <w:r w:rsidRPr="00BB6E63">
        <w:t>terms and conditions</w:t>
      </w:r>
      <w:r>
        <w:t>) prior to executing any agreement.</w:t>
      </w:r>
    </w:p>
    <w:p w14:paraId="7F289CA4" w14:textId="77777777" w:rsidR="00665B8E" w:rsidRDefault="00665B8E" w:rsidP="00B97CF4">
      <w:pPr>
        <w:pStyle w:val="ListBullet3"/>
        <w:numPr>
          <w:ilvl w:val="0"/>
          <w:numId w:val="0"/>
        </w:numPr>
        <w:ind w:left="720"/>
        <w:jc w:val="left"/>
      </w:pPr>
      <w:r w:rsidRPr="00FB4D20">
        <w:t>If proposed for an award, the CEC reserves the right to request information it deems appropriate to evaluate the financial condition of the proposed awardee, subrecipients, and vendors prior to approval of a grant award. If CEC, in its sole discretion, determines that the proposed awardee's, a subrecipient's, or a vendor’s financial condition may materially impact its ability to complete the proposed project, CEC reserves the right to cancel the proposed award.</w:t>
      </w:r>
      <w:r w:rsidRPr="00857206">
        <w:t>  </w:t>
      </w:r>
    </w:p>
    <w:p w14:paraId="540E4B78" w14:textId="77777777" w:rsidR="00665B8E" w:rsidRPr="00BB6E63" w:rsidRDefault="00665B8E" w:rsidP="00B97CF4">
      <w:pPr>
        <w:pStyle w:val="ListBullet3"/>
        <w:jc w:val="left"/>
      </w:pPr>
      <w:r>
        <w:rPr>
          <w:b/>
        </w:rPr>
        <w:t>Performance Evaluation:</w:t>
      </w:r>
      <w:r>
        <w:t xml:space="preserve"> An a</w:t>
      </w:r>
      <w:r w:rsidRPr="006F055E">
        <w:t xml:space="preserve">pplicant receiving </w:t>
      </w:r>
      <w:r>
        <w:t xml:space="preserve">an </w:t>
      </w:r>
      <w:r w:rsidRPr="006F055E">
        <w:t xml:space="preserve">award under this solicitation </w:t>
      </w:r>
      <w:r>
        <w:t>is</w:t>
      </w:r>
      <w:r w:rsidRPr="006F055E">
        <w:t xml:space="preserve"> subject to evaluation of performance under the resulting agreement. The CEC reserves the right to utilize the performance evaluation to screen and score future funding applications</w:t>
      </w:r>
      <w:r>
        <w:t>.</w:t>
      </w:r>
    </w:p>
    <w:p w14:paraId="4372193A" w14:textId="77777777" w:rsidR="00665B8E" w:rsidRDefault="00665B8E" w:rsidP="00B97CF4">
      <w:pPr>
        <w:pStyle w:val="ListBullet3"/>
        <w:jc w:val="left"/>
      </w:pPr>
      <w:r w:rsidRPr="00E4013B">
        <w:rPr>
          <w:b/>
        </w:rPr>
        <w:t>Failure to Execute an Agreement:</w:t>
      </w:r>
      <w:r>
        <w:t xml:space="preserve"> If the CEC is </w:t>
      </w:r>
      <w:r w:rsidRPr="0093474F">
        <w:t>unable to succe</w:t>
      </w:r>
      <w:r>
        <w:t>ssfully execute an agreement with an a</w:t>
      </w:r>
      <w:r w:rsidRPr="0093474F">
        <w:t>pplicant</w:t>
      </w:r>
      <w:r>
        <w:t xml:space="preserve"> in a timely manner</w:t>
      </w:r>
      <w:r w:rsidRPr="0093474F">
        <w:t xml:space="preserve">, </w:t>
      </w:r>
      <w:r>
        <w:t xml:space="preserve">it reserves the right to </w:t>
      </w:r>
      <w:r w:rsidRPr="0093474F">
        <w:t xml:space="preserve">cancel the pending </w:t>
      </w:r>
      <w:r>
        <w:t>award and use the funds elsewhere, such as to fund the next highest-</w:t>
      </w:r>
      <w:r w:rsidRPr="0093474F">
        <w:t>ranked</w:t>
      </w:r>
      <w:r>
        <w:t>,</w:t>
      </w:r>
      <w:r w:rsidRPr="0093474F">
        <w:t xml:space="preserve"> eligible application.</w:t>
      </w:r>
    </w:p>
    <w:p w14:paraId="40DC0C64" w14:textId="77777777" w:rsidR="00810007" w:rsidRDefault="00810007">
      <w:pPr>
        <w:spacing w:after="160" w:line="278" w:lineRule="auto"/>
        <w:jc w:val="left"/>
        <w:rPr>
          <w:rFonts w:eastAsiaTheme="majorEastAsia"/>
          <w:b/>
          <w:smallCaps/>
          <w:sz w:val="28"/>
          <w:szCs w:val="28"/>
          <w:highlight w:val="lightGray"/>
        </w:rPr>
      </w:pPr>
      <w:bookmarkStart w:id="212" w:name="_Toc233727902"/>
      <w:bookmarkStart w:id="213" w:name="_Toc366671196"/>
      <w:r>
        <w:rPr>
          <w:highlight w:val="lightGray"/>
        </w:rPr>
        <w:br w:type="page"/>
      </w:r>
    </w:p>
    <w:p w14:paraId="7EE80406" w14:textId="7E5330D4" w:rsidR="00665B8E" w:rsidRPr="00CF6DED" w:rsidRDefault="00810007" w:rsidP="00810007">
      <w:pPr>
        <w:pStyle w:val="Heading3"/>
        <w:numPr>
          <w:ilvl w:val="0"/>
          <w:numId w:val="0"/>
        </w:numPr>
        <w:jc w:val="left"/>
      </w:pPr>
      <w:r>
        <w:lastRenderedPageBreak/>
        <w:t>C.</w:t>
      </w:r>
      <w:r>
        <w:tab/>
      </w:r>
      <w:r w:rsidR="00665B8E" w:rsidRPr="00CF6DED">
        <w:t>Grounds to Reject an Application or Cancel an Award</w:t>
      </w:r>
      <w:bookmarkEnd w:id="212"/>
    </w:p>
    <w:bookmarkEnd w:id="213"/>
    <w:p w14:paraId="25EF66BF" w14:textId="2F97A01C" w:rsidR="00665B8E" w:rsidRPr="00C31C1D" w:rsidRDefault="00665B8E" w:rsidP="00B97CF4">
      <w:pPr>
        <w:pStyle w:val="BodyText"/>
        <w:jc w:val="left"/>
      </w:pPr>
      <w:r>
        <w:t>Applications that do not pass the screening stage will be rejected. In addition</w:t>
      </w:r>
      <w:r w:rsidRPr="00C31C1D">
        <w:t xml:space="preserve">, the </w:t>
      </w:r>
      <w:r>
        <w:t>CEC</w:t>
      </w:r>
      <w:r w:rsidRPr="00C31C1D">
        <w:t xml:space="preserve"> reserves the right to reject an application and/or </w:t>
      </w:r>
      <w:r>
        <w:t xml:space="preserve">to </w:t>
      </w:r>
      <w:r w:rsidRPr="00C31C1D">
        <w:t xml:space="preserve">cancel an award </w:t>
      </w:r>
      <w:r>
        <w:t>for any reason, including any of</w:t>
      </w:r>
      <w:r w:rsidRPr="00C31C1D">
        <w:t xml:space="preserve"> the following</w:t>
      </w:r>
      <w:r>
        <w:t>:</w:t>
      </w:r>
      <w:r w:rsidRPr="00C31C1D">
        <w:t xml:space="preserve"> </w:t>
      </w:r>
    </w:p>
    <w:p w14:paraId="6C457DEF" w14:textId="77777777" w:rsidR="00665B8E" w:rsidRPr="00C31C1D" w:rsidRDefault="00665B8E" w:rsidP="00B97CF4">
      <w:pPr>
        <w:pStyle w:val="ListBullet3"/>
        <w:jc w:val="left"/>
      </w:pPr>
      <w:r>
        <w:t>The application</w:t>
      </w:r>
      <w:r w:rsidRPr="00C31C1D">
        <w:t xml:space="preserve"> contains false or intentionally misleading statements or references </w:t>
      </w:r>
      <w:r>
        <w:t xml:space="preserve">that </w:t>
      </w:r>
      <w:r w:rsidRPr="00C31C1D">
        <w:t>do not support an attribute or c</w:t>
      </w:r>
      <w:r>
        <w:t>ondition contended by the a</w:t>
      </w:r>
      <w:r w:rsidRPr="00C31C1D">
        <w:t>pplicant.</w:t>
      </w:r>
    </w:p>
    <w:p w14:paraId="40FD1DC7" w14:textId="77777777" w:rsidR="00665B8E" w:rsidRPr="00C31C1D" w:rsidRDefault="00665B8E" w:rsidP="00B97CF4">
      <w:pPr>
        <w:pStyle w:val="ListBullet3"/>
        <w:jc w:val="left"/>
      </w:pPr>
      <w:r w:rsidRPr="00C31C1D">
        <w:t>The</w:t>
      </w:r>
      <w:r>
        <w:t xml:space="preserve"> a</w:t>
      </w:r>
      <w:r w:rsidRPr="00C31C1D">
        <w:t xml:space="preserve">pplication is intended to erroneously and fallaciously mislead the State in </w:t>
      </w:r>
      <w:r>
        <w:t xml:space="preserve">any way.  </w:t>
      </w:r>
    </w:p>
    <w:p w14:paraId="496C411F" w14:textId="77777777" w:rsidR="00665B8E" w:rsidRDefault="00665B8E" w:rsidP="00B97CF4">
      <w:pPr>
        <w:pStyle w:val="ListBullet3"/>
        <w:jc w:val="left"/>
      </w:pPr>
      <w:r>
        <w:t xml:space="preserve">The application </w:t>
      </w:r>
      <w:r w:rsidRPr="00C31C1D">
        <w:t>does not comply or contains caveats that conflict with the solicitation</w:t>
      </w:r>
      <w:r>
        <w:t>,</w:t>
      </w:r>
      <w:r w:rsidRPr="00C31C1D">
        <w:t xml:space="preserve"> and the variation or deviation is material.</w:t>
      </w:r>
    </w:p>
    <w:p w14:paraId="590B1654" w14:textId="77777777" w:rsidR="00665B8E" w:rsidRPr="00C31C1D" w:rsidRDefault="00665B8E" w:rsidP="00B97CF4">
      <w:pPr>
        <w:pStyle w:val="ListBullet3"/>
        <w:jc w:val="left"/>
      </w:pPr>
      <w:r w:rsidRPr="00C31C1D">
        <w:rPr>
          <w:szCs w:val="22"/>
        </w:rPr>
        <w:t>The applicant has previously received funding through a</w:t>
      </w:r>
      <w:r>
        <w:rPr>
          <w:szCs w:val="22"/>
        </w:rPr>
        <w:t xml:space="preserve">n EPIC or </w:t>
      </w:r>
      <w:r w:rsidRPr="00C31C1D">
        <w:rPr>
          <w:szCs w:val="22"/>
        </w:rPr>
        <w:t>Public Interest Energy Research (PIER) ag</w:t>
      </w:r>
      <w:r>
        <w:rPr>
          <w:szCs w:val="22"/>
        </w:rPr>
        <w:t>reement, has received the royalty r</w:t>
      </w:r>
      <w:r w:rsidRPr="00C31C1D">
        <w:rPr>
          <w:szCs w:val="22"/>
        </w:rPr>
        <w:t xml:space="preserve">eview letter </w:t>
      </w:r>
      <w:r>
        <w:rPr>
          <w:szCs w:val="22"/>
        </w:rPr>
        <w:t>(</w:t>
      </w:r>
      <w:r w:rsidRPr="00C31C1D">
        <w:rPr>
          <w:szCs w:val="22"/>
        </w:rPr>
        <w:t xml:space="preserve">which the </w:t>
      </w:r>
      <w:r>
        <w:rPr>
          <w:szCs w:val="22"/>
        </w:rPr>
        <w:t>CEC</w:t>
      </w:r>
      <w:r w:rsidRPr="00C31C1D">
        <w:rPr>
          <w:szCs w:val="22"/>
        </w:rPr>
        <w:t xml:space="preserve"> annually sends out to remind past </w:t>
      </w:r>
      <w:r>
        <w:rPr>
          <w:szCs w:val="22"/>
        </w:rPr>
        <w:t xml:space="preserve">award </w:t>
      </w:r>
      <w:r w:rsidRPr="00C31C1D">
        <w:rPr>
          <w:szCs w:val="22"/>
        </w:rPr>
        <w:t>recipients of their obligations to pay royalties</w:t>
      </w:r>
      <w:r>
        <w:rPr>
          <w:szCs w:val="22"/>
        </w:rPr>
        <w:t>)</w:t>
      </w:r>
      <w:r w:rsidRPr="00C31C1D">
        <w:rPr>
          <w:szCs w:val="22"/>
        </w:rPr>
        <w:t>, and has not responded to the letter or is otherwise not in compliance with repaying royalties.</w:t>
      </w:r>
    </w:p>
    <w:p w14:paraId="19648D14" w14:textId="77777777" w:rsidR="00665B8E" w:rsidRDefault="00665B8E" w:rsidP="00B97CF4">
      <w:pPr>
        <w:pStyle w:val="ListBullet3"/>
        <w:jc w:val="left"/>
      </w:pPr>
      <w:r>
        <w:t>The a</w:t>
      </w:r>
      <w:r w:rsidRPr="00C31C1D">
        <w:t xml:space="preserve">pplicant has received unsatisfactory </w:t>
      </w:r>
      <w:r>
        <w:t xml:space="preserve">agreement performance </w:t>
      </w:r>
      <w:r w:rsidRPr="00C31C1D">
        <w:t xml:space="preserve">evaluations from the </w:t>
      </w:r>
      <w:r>
        <w:t>CEC</w:t>
      </w:r>
      <w:r w:rsidRPr="00C31C1D">
        <w:t xml:space="preserve"> or another California state agenc</w:t>
      </w:r>
      <w:r>
        <w:t>y</w:t>
      </w:r>
      <w:r w:rsidRPr="00C31C1D">
        <w:t>.</w:t>
      </w:r>
    </w:p>
    <w:p w14:paraId="4184F5B5" w14:textId="77777777" w:rsidR="00665B8E" w:rsidRPr="00C31C1D" w:rsidRDefault="00665B8E" w:rsidP="00B97CF4">
      <w:pPr>
        <w:pStyle w:val="ListBullet3"/>
        <w:jc w:val="left"/>
      </w:pPr>
      <w:r>
        <w:t>The applicant is a business entity required to be registered with the California Secretary of State and is not in good standing.</w:t>
      </w:r>
    </w:p>
    <w:p w14:paraId="24D2F87F" w14:textId="77777777" w:rsidR="00665B8E" w:rsidRDefault="00665B8E" w:rsidP="00B97CF4">
      <w:pPr>
        <w:pStyle w:val="ListBullet3"/>
        <w:jc w:val="left"/>
      </w:pPr>
      <w:r>
        <w:t>The a</w:t>
      </w:r>
      <w:r w:rsidRPr="00C31C1D">
        <w:t>pplicant has not demonstrated that it has the financial capability to complete the project.</w:t>
      </w:r>
    </w:p>
    <w:p w14:paraId="4C93EE83" w14:textId="77777777" w:rsidR="00665B8E" w:rsidRDefault="00665B8E" w:rsidP="00B97CF4">
      <w:pPr>
        <w:pStyle w:val="ListBullet3"/>
        <w:jc w:val="left"/>
      </w:pPr>
      <w:r>
        <w:t xml:space="preserve">The applicant fails to meet CEQA compliance within </w:t>
      </w:r>
      <w:r w:rsidRPr="00CF255E">
        <w:t xml:space="preserve">sufficient time for the </w:t>
      </w:r>
      <w:r>
        <w:t>CEC</w:t>
      </w:r>
      <w:r w:rsidRPr="00CF255E">
        <w:t xml:space="preserve"> to meet its encumbrance deadline</w:t>
      </w:r>
      <w:r>
        <w:t xml:space="preserve"> or any other deadlines</w:t>
      </w:r>
      <w:r w:rsidRPr="00CF255E">
        <w:t xml:space="preserve">, as the </w:t>
      </w:r>
      <w:r>
        <w:t>CEC</w:t>
      </w:r>
      <w:r w:rsidRPr="00CF255E">
        <w:t xml:space="preserve"> in its sole and absolute discretion may determine</w:t>
      </w:r>
      <w:r w:rsidRPr="0078204F">
        <w:t>.</w:t>
      </w:r>
    </w:p>
    <w:p w14:paraId="6231F147" w14:textId="74241209" w:rsidR="00665B8E" w:rsidRPr="00CE1D19" w:rsidRDefault="00665B8E" w:rsidP="00B97CF4">
      <w:pPr>
        <w:pStyle w:val="ListBullet3"/>
        <w:jc w:val="left"/>
      </w:pPr>
      <w:r w:rsidRPr="007B3F78">
        <w:t>The applicant has included a statement or otherwise indicated that it will not accept the terms and conditions, or that acceptance is based on modifications to the terms and conditions.</w:t>
      </w:r>
      <w:r w:rsidRPr="007775EF">
        <w:t xml:space="preserve"> If an applicant, by law, cannot agree to certain terms and conditions, the applicant can request a modification. This modification may be negotiated if the applicant is proposed for award. The CEC retains the sole right to refuse to agree to any requested modifications.</w:t>
      </w:r>
    </w:p>
    <w:p w14:paraId="31021AE5" w14:textId="77777777" w:rsidR="00665B8E" w:rsidRPr="002D3B86" w:rsidRDefault="00665B8E" w:rsidP="00B97CF4">
      <w:pPr>
        <w:pStyle w:val="ListBullet3"/>
        <w:jc w:val="left"/>
      </w:pPr>
      <w:r w:rsidRPr="002D3B86">
        <w:t>The CEC, in its sole discretion, determines the Applicant’s financial condition may materially impact its ability to complete the proposed project.</w:t>
      </w:r>
    </w:p>
    <w:p w14:paraId="64D64257" w14:textId="77777777" w:rsidR="00665B8E" w:rsidRPr="00CF6DED" w:rsidRDefault="00665B8E" w:rsidP="00B97CF4">
      <w:pPr>
        <w:pStyle w:val="Heading3"/>
        <w:jc w:val="left"/>
      </w:pPr>
      <w:bookmarkStart w:id="214" w:name="_Toc233727903"/>
      <w:r w:rsidRPr="00CF6DED">
        <w:t>Miscellaneous</w:t>
      </w:r>
      <w:bookmarkEnd w:id="214"/>
    </w:p>
    <w:p w14:paraId="0ABBFCC5" w14:textId="77777777" w:rsidR="00665B8E" w:rsidRPr="00CF255E" w:rsidRDefault="00665B8E" w:rsidP="00B97CF4">
      <w:pPr>
        <w:pStyle w:val="Heading4"/>
        <w:numPr>
          <w:ilvl w:val="0"/>
          <w:numId w:val="50"/>
        </w:numPr>
        <w:ind w:hanging="720"/>
        <w:jc w:val="left"/>
      </w:pPr>
      <w:bookmarkStart w:id="215" w:name="_Toc381079937"/>
      <w:bookmarkStart w:id="216" w:name="_Toc382571200"/>
      <w:bookmarkStart w:id="217" w:name="_Toc395180710"/>
      <w:bookmarkStart w:id="218" w:name="_Toc433981339"/>
      <w:r w:rsidRPr="00CF255E">
        <w:t>Solicitation Cancellation and Amendment</w:t>
      </w:r>
      <w:bookmarkEnd w:id="215"/>
      <w:bookmarkEnd w:id="216"/>
      <w:bookmarkEnd w:id="217"/>
      <w:bookmarkEnd w:id="218"/>
    </w:p>
    <w:p w14:paraId="68DCBA07" w14:textId="77777777" w:rsidR="00665B8E" w:rsidRDefault="00665B8E" w:rsidP="00B97CF4">
      <w:pPr>
        <w:pStyle w:val="BodyText"/>
        <w:jc w:val="left"/>
      </w:pPr>
      <w:bookmarkStart w:id="219" w:name="_Toc381079938"/>
      <w:bookmarkStart w:id="220" w:name="_Toc382571201"/>
      <w:bookmarkStart w:id="221" w:name="_Toc395180711"/>
      <w:r w:rsidRPr="00AF6F4C">
        <w:t xml:space="preserve">It is the policy of the </w:t>
      </w:r>
      <w:r>
        <w:t>CEC</w:t>
      </w:r>
      <w:r w:rsidRPr="00AF6F4C">
        <w:t xml:space="preserve"> not to solicit applications unless there is a b</w:t>
      </w:r>
      <w:r>
        <w:t xml:space="preserve">ona fide intention to award an agreement. </w:t>
      </w:r>
      <w:r w:rsidRPr="00AF6F4C">
        <w:t xml:space="preserve">However, if it is in the State’s best interest, the </w:t>
      </w:r>
      <w:r>
        <w:t>CEC</w:t>
      </w:r>
      <w:r w:rsidRPr="00AF6F4C">
        <w:t xml:space="preserve"> reserves the right</w:t>
      </w:r>
      <w:r>
        <w:t>, in addition to any other rights it has,</w:t>
      </w:r>
      <w:r w:rsidRPr="00AF6F4C">
        <w:t xml:space="preserve"> to do any of the following:</w:t>
      </w:r>
      <w:bookmarkEnd w:id="219"/>
      <w:bookmarkEnd w:id="220"/>
      <w:bookmarkEnd w:id="221"/>
    </w:p>
    <w:p w14:paraId="76D97BAD" w14:textId="77777777" w:rsidR="00665B8E" w:rsidRDefault="00665B8E" w:rsidP="00B97CF4">
      <w:pPr>
        <w:pStyle w:val="ListBullet3"/>
        <w:jc w:val="left"/>
      </w:pPr>
      <w:r w:rsidRPr="00D35C41">
        <w:lastRenderedPageBreak/>
        <w:t>Cancel this solicitation;</w:t>
      </w:r>
    </w:p>
    <w:p w14:paraId="106A9396" w14:textId="77777777" w:rsidR="00665B8E" w:rsidRDefault="00665B8E" w:rsidP="00B97CF4">
      <w:pPr>
        <w:pStyle w:val="ListBullet3"/>
        <w:jc w:val="left"/>
      </w:pPr>
      <w:r w:rsidRPr="00D35C41">
        <w:t>Revise the amount of funds available under this solicitation;</w:t>
      </w:r>
    </w:p>
    <w:p w14:paraId="63AC9F28" w14:textId="77777777" w:rsidR="00665B8E" w:rsidRDefault="00665B8E" w:rsidP="00B97CF4">
      <w:pPr>
        <w:pStyle w:val="ListBullet3"/>
        <w:jc w:val="left"/>
      </w:pPr>
      <w:r w:rsidRPr="00D35C41">
        <w:t xml:space="preserve">Amend this solicitation as needed; </w:t>
      </w:r>
      <w:r>
        <w:t>and/</w:t>
      </w:r>
      <w:r w:rsidRPr="00D35C41">
        <w:t>or</w:t>
      </w:r>
    </w:p>
    <w:p w14:paraId="7062AE2D" w14:textId="77777777" w:rsidR="00665B8E" w:rsidRDefault="00665B8E" w:rsidP="00B97CF4">
      <w:pPr>
        <w:pStyle w:val="ListBullet3"/>
        <w:jc w:val="left"/>
      </w:pPr>
      <w:r w:rsidRPr="00D35C41">
        <w:t>Reject any or all applications received in response to this solicitation</w:t>
      </w:r>
      <w:r>
        <w:t>.</w:t>
      </w:r>
    </w:p>
    <w:p w14:paraId="14C0DCBA" w14:textId="6A56E0DF" w:rsidR="00665B8E" w:rsidRPr="00D35C41" w:rsidRDefault="00665B8E" w:rsidP="00B97CF4">
      <w:pPr>
        <w:pStyle w:val="BodyText"/>
        <w:jc w:val="left"/>
      </w:pPr>
      <w:r w:rsidRPr="00D35C41">
        <w:t xml:space="preserve">If the solicitation is amended, the </w:t>
      </w:r>
      <w:r>
        <w:t>CEC</w:t>
      </w:r>
      <w:r w:rsidRPr="00D35C41">
        <w:t xml:space="preserve"> will post</w:t>
      </w:r>
      <w:r>
        <w:t xml:space="preserve"> an addendum</w:t>
      </w:r>
      <w:r w:rsidRPr="00D35C41">
        <w:t xml:space="preserve"> on </w:t>
      </w:r>
      <w:hyperlink r:id="rId64" w:history="1">
        <w:r w:rsidRPr="006B6E53">
          <w:rPr>
            <w:rStyle w:val="Hyperlink"/>
            <w:rFonts w:cs="Arial"/>
          </w:rPr>
          <w:t>CEC’s website</w:t>
        </w:r>
      </w:hyperlink>
      <w:r w:rsidRPr="00D35C41">
        <w:t xml:space="preserve"> at: </w:t>
      </w:r>
      <w:r w:rsidRPr="00BA1343">
        <w:t>https://www.energy.ca.gov/funding-opportunities/solicitations</w:t>
      </w:r>
      <w:r w:rsidRPr="00D35C41">
        <w:t>.</w:t>
      </w:r>
      <w:r>
        <w:t xml:space="preserve"> The CEC will not reimburse applicants for application development expenses under any circumstances, including cancellation of the solicitation.</w:t>
      </w:r>
    </w:p>
    <w:p w14:paraId="45E08018" w14:textId="77777777" w:rsidR="00665B8E" w:rsidRPr="006B6E53" w:rsidRDefault="00665B8E" w:rsidP="00B97CF4">
      <w:pPr>
        <w:pStyle w:val="Heading4"/>
        <w:numPr>
          <w:ilvl w:val="0"/>
          <w:numId w:val="50"/>
        </w:numPr>
        <w:ind w:hanging="720"/>
        <w:jc w:val="left"/>
      </w:pPr>
      <w:bookmarkStart w:id="222" w:name="_Toc381079939"/>
      <w:bookmarkStart w:id="223" w:name="_Toc382571202"/>
      <w:bookmarkStart w:id="224" w:name="_Toc395180712"/>
      <w:bookmarkStart w:id="225" w:name="_Toc433981340"/>
      <w:r w:rsidRPr="004D0A67">
        <w:t>Modification or Withdrawal of Application</w:t>
      </w:r>
      <w:bookmarkEnd w:id="222"/>
      <w:bookmarkEnd w:id="223"/>
      <w:bookmarkEnd w:id="224"/>
      <w:bookmarkEnd w:id="225"/>
    </w:p>
    <w:p w14:paraId="509EFF38" w14:textId="747CFDB9" w:rsidR="00665B8E" w:rsidRPr="00D35C41" w:rsidRDefault="00665B8E" w:rsidP="00B97CF4">
      <w:pPr>
        <w:pStyle w:val="BodyText"/>
        <w:jc w:val="left"/>
      </w:pPr>
      <w:r w:rsidRPr="001F762B">
        <w:t>Applicants may recall or modify a submitted application within ECAMS before the deadline to submit applications</w:t>
      </w:r>
      <w:r>
        <w:t>.</w:t>
      </w:r>
      <w:r w:rsidRPr="001F762B">
        <w:t xml:space="preserve"> Applications cannot be changed after that date and time.  An application cannot be “timed” to expire on a specific date. For example, a statement such as the following is non-responsive to the solicitation: “This application and the cost estimate are valid for 60 days.”</w:t>
      </w:r>
    </w:p>
    <w:p w14:paraId="7EB1F3C3" w14:textId="77777777" w:rsidR="00665B8E" w:rsidRPr="006B6E53" w:rsidRDefault="00665B8E" w:rsidP="00B97CF4">
      <w:pPr>
        <w:pStyle w:val="Heading4"/>
        <w:numPr>
          <w:ilvl w:val="0"/>
          <w:numId w:val="50"/>
        </w:numPr>
        <w:ind w:hanging="720"/>
        <w:jc w:val="left"/>
      </w:pPr>
      <w:bookmarkStart w:id="226" w:name="_Toc381079940"/>
      <w:bookmarkStart w:id="227" w:name="_Toc382571203"/>
      <w:bookmarkStart w:id="228" w:name="_Toc395180713"/>
      <w:bookmarkStart w:id="229" w:name="_Toc433981341"/>
      <w:bookmarkStart w:id="230" w:name="_Toc381079941"/>
      <w:r w:rsidRPr="004D0A67">
        <w:t>Confidentiality</w:t>
      </w:r>
      <w:bookmarkEnd w:id="226"/>
      <w:bookmarkEnd w:id="227"/>
      <w:bookmarkEnd w:id="228"/>
      <w:bookmarkEnd w:id="229"/>
    </w:p>
    <w:p w14:paraId="0BE179AD" w14:textId="226ACD31" w:rsidR="00665B8E" w:rsidRPr="001D740D" w:rsidRDefault="00665B8E" w:rsidP="00B97CF4">
      <w:pPr>
        <w:pStyle w:val="BodyText"/>
        <w:jc w:val="left"/>
        <w:rPr>
          <w:i/>
          <w:color w:val="00B0F0"/>
        </w:rPr>
      </w:pPr>
      <w:r>
        <w:t>Though t</w:t>
      </w:r>
      <w:r w:rsidRPr="00BC0F1F">
        <w:t>he entire eval</w:t>
      </w:r>
      <w:r>
        <w:t>uation process from receipt of a</w:t>
      </w:r>
      <w:r w:rsidRPr="00BC0F1F">
        <w:t xml:space="preserve">pplications up to the posting of the </w:t>
      </w:r>
      <w:r>
        <w:t xml:space="preserve">NOPA is confidential, </w:t>
      </w:r>
      <w:r w:rsidRPr="00D20F46">
        <w:rPr>
          <w:b/>
        </w:rPr>
        <w:t>all submitted documents will become public</w:t>
      </w:r>
      <w:r>
        <w:rPr>
          <w:b/>
        </w:rPr>
        <w:t>ly</w:t>
      </w:r>
      <w:r w:rsidRPr="00D20F46">
        <w:rPr>
          <w:b/>
        </w:rPr>
        <w:t xml:space="preserve"> </w:t>
      </w:r>
      <w:r>
        <w:rPr>
          <w:b/>
        </w:rPr>
        <w:t xml:space="preserve">available </w:t>
      </w:r>
      <w:r w:rsidRPr="00D20F46">
        <w:rPr>
          <w:b/>
        </w:rPr>
        <w:t>records</w:t>
      </w:r>
      <w:r w:rsidRPr="00BC0F1F">
        <w:t xml:space="preserve"> </w:t>
      </w:r>
      <w:r w:rsidRPr="00D14CE1">
        <w:t xml:space="preserve">and property of the State </w:t>
      </w:r>
      <w:r w:rsidRPr="00BC0F1F">
        <w:t xml:space="preserve">after the </w:t>
      </w:r>
      <w:r>
        <w:t>CEC</w:t>
      </w:r>
      <w:r w:rsidRPr="00BC0F1F">
        <w:t xml:space="preserve"> posts the NOPA or the solicitation is cancelled.</w:t>
      </w:r>
      <w:r>
        <w:t xml:space="preserve"> </w:t>
      </w:r>
      <w:r w:rsidRPr="00A535A6">
        <w:rPr>
          <w:b/>
        </w:rPr>
        <w:t xml:space="preserve">The </w:t>
      </w:r>
      <w:r>
        <w:rPr>
          <w:b/>
        </w:rPr>
        <w:t>CEC</w:t>
      </w:r>
      <w:r w:rsidRPr="00A535A6">
        <w:rPr>
          <w:b/>
        </w:rPr>
        <w:t xml:space="preserve"> will not accept or retain applications that identify any </w:t>
      </w:r>
      <w:r>
        <w:rPr>
          <w:b/>
        </w:rPr>
        <w:t>portion</w:t>
      </w:r>
      <w:r w:rsidRPr="00A535A6">
        <w:rPr>
          <w:b/>
        </w:rPr>
        <w:t xml:space="preserve"> as confidential</w:t>
      </w:r>
      <w:r w:rsidRPr="004D1185">
        <w:rPr>
          <w:b/>
        </w:rPr>
        <w:t xml:space="preserve"> unless the applicant clarifies in writing that marking the material as confidential was a mistake and the material can be made public</w:t>
      </w:r>
      <w:r w:rsidRPr="00A535A6">
        <w:rPr>
          <w:b/>
        </w:rPr>
        <w:t>.</w:t>
      </w:r>
      <w:r w:rsidDel="005028D9">
        <w:t xml:space="preserve"> </w:t>
      </w:r>
    </w:p>
    <w:p w14:paraId="6405A2CF" w14:textId="77777777" w:rsidR="00665B8E" w:rsidRPr="006B6E53" w:rsidRDefault="00665B8E" w:rsidP="00B97CF4">
      <w:pPr>
        <w:pStyle w:val="Heading4"/>
        <w:numPr>
          <w:ilvl w:val="0"/>
          <w:numId w:val="50"/>
        </w:numPr>
        <w:ind w:hanging="720"/>
        <w:jc w:val="left"/>
      </w:pPr>
      <w:bookmarkStart w:id="231" w:name="_Toc382571204"/>
      <w:bookmarkStart w:id="232" w:name="_Toc395180714"/>
      <w:bookmarkStart w:id="233" w:name="_Toc433981342"/>
      <w:r w:rsidRPr="004D0A67">
        <w:t>Solicitation Errors</w:t>
      </w:r>
      <w:bookmarkEnd w:id="230"/>
      <w:bookmarkEnd w:id="231"/>
      <w:bookmarkEnd w:id="232"/>
      <w:bookmarkEnd w:id="233"/>
    </w:p>
    <w:p w14:paraId="4743CB8C" w14:textId="10413276" w:rsidR="00665B8E" w:rsidRPr="00D35C41" w:rsidRDefault="00665B8E" w:rsidP="00B97CF4">
      <w:pPr>
        <w:pStyle w:val="BodyText"/>
        <w:jc w:val="left"/>
      </w:pPr>
      <w:r>
        <w:t>If an A</w:t>
      </w:r>
      <w:r w:rsidRPr="00D35C41">
        <w:t>pplicant discovers any ambiguity, conflict, discrepancy, omission, or other error in the s</w:t>
      </w:r>
      <w:r>
        <w:t>olicitation</w:t>
      </w:r>
      <w:r w:rsidRPr="003B68A9">
        <w:t xml:space="preserve"> </w:t>
      </w:r>
      <w:r>
        <w:t>at any time prior to 5:00 p.m. of the application deadline date, the A</w:t>
      </w:r>
      <w:r w:rsidRPr="00D35C41">
        <w:t>pplicant sh</w:t>
      </w:r>
      <w:r>
        <w:t>ou</w:t>
      </w:r>
      <w:r w:rsidRPr="00D35C41">
        <w:t>l</w:t>
      </w:r>
      <w:r>
        <w:t>d</w:t>
      </w:r>
      <w:r w:rsidRPr="00D35C41">
        <w:t xml:space="preserve"> immediately notify the </w:t>
      </w:r>
      <w:r>
        <w:t>CEC</w:t>
      </w:r>
      <w:r w:rsidRPr="00D35C41">
        <w:t xml:space="preserve"> of the error in writing and request modification or clarification of the </w:t>
      </w:r>
      <w:r>
        <w:t>solicitation</w:t>
      </w:r>
      <w:r w:rsidRPr="00D35C41">
        <w:t xml:space="preserve">. </w:t>
      </w:r>
      <w:r>
        <w:t>The CEC will provide m</w:t>
      </w:r>
      <w:r w:rsidRPr="00D35C41">
        <w:t xml:space="preserve">odifications or clarifications </w:t>
      </w:r>
      <w:r>
        <w:t>by written notice to</w:t>
      </w:r>
      <w:r w:rsidRPr="00D35C41">
        <w:t xml:space="preserve"> all </w:t>
      </w:r>
      <w:r>
        <w:t>entities that</w:t>
      </w:r>
      <w:r w:rsidRPr="00D35C41">
        <w:t xml:space="preserve"> requested the solicitation. The </w:t>
      </w:r>
      <w:r>
        <w:t>CEC</w:t>
      </w:r>
      <w:r w:rsidRPr="00D35C41">
        <w:t xml:space="preserve"> will not be responsible for failure to correct errors.</w:t>
      </w:r>
    </w:p>
    <w:p w14:paraId="0EE4865D" w14:textId="77777777" w:rsidR="00665B8E" w:rsidRPr="006B6E53" w:rsidRDefault="00665B8E" w:rsidP="00B97CF4">
      <w:pPr>
        <w:pStyle w:val="Heading4"/>
        <w:numPr>
          <w:ilvl w:val="0"/>
          <w:numId w:val="50"/>
        </w:numPr>
        <w:ind w:hanging="720"/>
        <w:jc w:val="left"/>
      </w:pPr>
      <w:bookmarkStart w:id="234" w:name="_Toc381079942"/>
      <w:bookmarkStart w:id="235" w:name="_Toc382571205"/>
      <w:bookmarkStart w:id="236" w:name="_Toc395180715"/>
      <w:bookmarkStart w:id="237" w:name="_Toc433981343"/>
      <w:r w:rsidRPr="004D0A67">
        <w:t>Immaterial Defect</w:t>
      </w:r>
      <w:bookmarkEnd w:id="234"/>
      <w:bookmarkEnd w:id="235"/>
      <w:bookmarkEnd w:id="236"/>
      <w:bookmarkEnd w:id="237"/>
    </w:p>
    <w:p w14:paraId="700362B7" w14:textId="491DDD4D" w:rsidR="00665B8E" w:rsidRPr="00D35C41" w:rsidRDefault="00665B8E" w:rsidP="00B97CF4">
      <w:pPr>
        <w:pStyle w:val="BodyText"/>
        <w:jc w:val="left"/>
      </w:pPr>
      <w:r w:rsidRPr="00D35C41">
        <w:t xml:space="preserve">The </w:t>
      </w:r>
      <w:r>
        <w:t>CEC</w:t>
      </w:r>
      <w:r w:rsidRPr="00D35C41">
        <w:t xml:space="preserve"> may waive any immaterial defect or deviation contai</w:t>
      </w:r>
      <w:r>
        <w:t xml:space="preserve">ned in an </w:t>
      </w:r>
      <w:r w:rsidRPr="00D35C41">
        <w:t xml:space="preserve">application. The </w:t>
      </w:r>
      <w:r>
        <w:t>CEC</w:t>
      </w:r>
      <w:r w:rsidRPr="00D35C41">
        <w:t xml:space="preserve">’s waiver </w:t>
      </w:r>
      <w:r>
        <w:t>will not</w:t>
      </w:r>
      <w:r w:rsidRPr="00D35C41">
        <w:t xml:space="preserve"> modify the applic</w:t>
      </w:r>
      <w:r>
        <w:t>ation or excuse an a</w:t>
      </w:r>
      <w:r w:rsidRPr="00D35C41">
        <w:t>pplicant</w:t>
      </w:r>
      <w:r>
        <w:t xml:space="preserve"> proposed for funding</w:t>
      </w:r>
      <w:r w:rsidRPr="00D35C41">
        <w:t xml:space="preserve"> from full compliance</w:t>
      </w:r>
      <w:r>
        <w:t xml:space="preserve"> with solicitation requirements</w:t>
      </w:r>
      <w:r w:rsidRPr="00D35C41">
        <w:t>.</w:t>
      </w:r>
    </w:p>
    <w:p w14:paraId="4CEF0AE1" w14:textId="77777777" w:rsidR="00665B8E" w:rsidRPr="006B6E53" w:rsidRDefault="00665B8E" w:rsidP="00B97CF4">
      <w:pPr>
        <w:pStyle w:val="Heading4"/>
        <w:numPr>
          <w:ilvl w:val="0"/>
          <w:numId w:val="50"/>
        </w:numPr>
        <w:ind w:hanging="720"/>
        <w:jc w:val="left"/>
      </w:pPr>
      <w:bookmarkStart w:id="238" w:name="_Toc381079943"/>
      <w:bookmarkStart w:id="239" w:name="_Toc382571206"/>
      <w:bookmarkStart w:id="240" w:name="_Toc395180716"/>
      <w:bookmarkStart w:id="241" w:name="_Toc433981344"/>
      <w:r w:rsidRPr="00550D37">
        <w:t>Tiebreakers</w:t>
      </w:r>
    </w:p>
    <w:p w14:paraId="09813215" w14:textId="51C5C2B6" w:rsidR="00665B8E" w:rsidRDefault="00665B8E" w:rsidP="00B97CF4">
      <w:pPr>
        <w:pStyle w:val="BodyText"/>
        <w:jc w:val="left"/>
      </w:pPr>
      <w:r>
        <w:t xml:space="preserve">If the score for two or more applications are tied, the application with a higher score in the </w:t>
      </w:r>
      <w:r w:rsidR="008811D9" w:rsidRPr="008811D9">
        <w:t>Technical Approach</w:t>
      </w:r>
      <w:r w:rsidRPr="008811D9">
        <w:t xml:space="preserve"> cr</w:t>
      </w:r>
      <w:r>
        <w:t>iterion will be ranked higher. If still tied, an objective tie-breaker (such as a random drawing) will be utilized.</w:t>
      </w:r>
    </w:p>
    <w:p w14:paraId="3C6B0906" w14:textId="77777777" w:rsidR="00665B8E" w:rsidRPr="006B6E53" w:rsidRDefault="00665B8E" w:rsidP="00B97CF4">
      <w:pPr>
        <w:pStyle w:val="Heading4"/>
        <w:numPr>
          <w:ilvl w:val="0"/>
          <w:numId w:val="50"/>
        </w:numPr>
        <w:ind w:hanging="720"/>
        <w:jc w:val="left"/>
      </w:pPr>
      <w:r w:rsidRPr="00292D0C">
        <w:lastRenderedPageBreak/>
        <w:t>Clarification Interviews</w:t>
      </w:r>
    </w:p>
    <w:p w14:paraId="71460A43" w14:textId="2E1B0CCB" w:rsidR="00665B8E" w:rsidRPr="00F8201F" w:rsidRDefault="00665B8E" w:rsidP="00B97CF4">
      <w:pPr>
        <w:pStyle w:val="BodyText"/>
        <w:jc w:val="left"/>
      </w:pPr>
      <w:r w:rsidRPr="00F8201F">
        <w:t>The Evaluation Committee may conduct optional Clarification Interviews with applicants to clarify and/or verify information submitted in the application. However, these interviews may not be used to change or add to the content of the original application. Applicants will not be reimbursed for time spent answering clarifying questions.</w:t>
      </w:r>
      <w:bookmarkEnd w:id="238"/>
      <w:bookmarkEnd w:id="239"/>
      <w:bookmarkEnd w:id="240"/>
      <w:bookmarkEnd w:id="241"/>
    </w:p>
    <w:p w14:paraId="27049970" w14:textId="77777777" w:rsidR="00665B8E" w:rsidRPr="006B6E53" w:rsidRDefault="00665B8E" w:rsidP="00B97CF4">
      <w:pPr>
        <w:pStyle w:val="Heading4"/>
        <w:numPr>
          <w:ilvl w:val="0"/>
          <w:numId w:val="50"/>
        </w:numPr>
        <w:ind w:hanging="720"/>
        <w:jc w:val="left"/>
      </w:pPr>
      <w:r w:rsidRPr="00FB1CD3">
        <w:t>Opportunity to Cure Administrative Errors</w:t>
      </w:r>
    </w:p>
    <w:p w14:paraId="767F2325" w14:textId="0CABF70C" w:rsidR="00665B8E" w:rsidRPr="00FB1CD3" w:rsidRDefault="00665B8E" w:rsidP="00B97CF4">
      <w:pPr>
        <w:pStyle w:val="BodyText"/>
        <w:jc w:val="left"/>
        <w:rPr>
          <w:szCs w:val="22"/>
        </w:rPr>
      </w:pPr>
      <w:r w:rsidRPr="00FB1CD3">
        <w:t>The CEC understands and appreciates the significant time and expense applicants spend preparing applications.  An administrative error that prevents an applicant from submitting a complete application frustrates both the CEC and applicants.  The purpose of this process is to reduce the number of applications screened out or receiving a significantly reduced score for administrative errors while maintaining a fair competition.  This process also ensures better competition and thus better projects to benefit California. </w:t>
      </w:r>
    </w:p>
    <w:p w14:paraId="319E4EC3" w14:textId="77777777" w:rsidR="00665B8E" w:rsidRPr="00FB1CD3" w:rsidRDefault="00665B8E" w:rsidP="00B97CF4">
      <w:pPr>
        <w:pStyle w:val="BodyText"/>
        <w:jc w:val="left"/>
      </w:pPr>
      <w:r w:rsidRPr="00FB1CD3">
        <w:t>After the application deadline, an applicant might identify, or the Evaluation Committee may find what reasonably appears to be, an administrative error.  For purposes of this solicitation only, an administrative error is defined as an applicant’s inadvertent mistake that prevents materials in existence as of the application deadline from appearing in its submitted application.  Examples include, but are not limited to, accidentally:</w:t>
      </w:r>
    </w:p>
    <w:p w14:paraId="3B8FF454" w14:textId="77777777" w:rsidR="00665B8E" w:rsidRPr="00FB1CD3" w:rsidRDefault="00665B8E" w:rsidP="00B97CF4">
      <w:pPr>
        <w:pStyle w:val="ListBullet3"/>
        <w:jc w:val="left"/>
        <w:rPr>
          <w:szCs w:val="22"/>
        </w:rPr>
      </w:pPr>
      <w:r w:rsidRPr="00FB1CD3">
        <w:t>Scanning and submitting every other page in a document instead of every page.   </w:t>
      </w:r>
    </w:p>
    <w:p w14:paraId="1C9D0AD7" w14:textId="77777777" w:rsidR="00665B8E" w:rsidRPr="00FB1CD3" w:rsidRDefault="00665B8E" w:rsidP="00B97CF4">
      <w:pPr>
        <w:pStyle w:val="ListBullet3"/>
        <w:jc w:val="left"/>
        <w:rPr>
          <w:szCs w:val="22"/>
        </w:rPr>
      </w:pPr>
      <w:r w:rsidRPr="00FB1CD3">
        <w:t>Submitting the wrong document.   </w:t>
      </w:r>
    </w:p>
    <w:p w14:paraId="4FB5A927" w14:textId="77777777" w:rsidR="00665B8E" w:rsidRPr="00FB1CD3" w:rsidRDefault="00665B8E" w:rsidP="00B97CF4">
      <w:pPr>
        <w:pStyle w:val="ListBullet3"/>
        <w:jc w:val="left"/>
        <w:rPr>
          <w:szCs w:val="22"/>
        </w:rPr>
      </w:pPr>
      <w:r w:rsidRPr="00FB1CD3">
        <w:t>Leaving out a document.   </w:t>
      </w:r>
    </w:p>
    <w:p w14:paraId="054AEFA1" w14:textId="77777777" w:rsidR="00665B8E" w:rsidRPr="00FB1CD3" w:rsidRDefault="00665B8E" w:rsidP="00B97CF4">
      <w:pPr>
        <w:pStyle w:val="BodyText"/>
        <w:jc w:val="left"/>
        <w:rPr>
          <w:szCs w:val="22"/>
        </w:rPr>
      </w:pPr>
      <w:r w:rsidRPr="00FB1CD3">
        <w:t>If the Evaluation Committee find what reasonably appears to be an administrative error, they can communicate with the applicant to confirm.  If an applicant finds an administrative error in its application, it should immediately contact the Commission Agreement Officer listed in the “Contact Information/Questions” section of this solicitation.   </w:t>
      </w:r>
    </w:p>
    <w:p w14:paraId="3BD97022" w14:textId="77777777" w:rsidR="00665B8E" w:rsidRPr="00FB1CD3" w:rsidRDefault="00665B8E" w:rsidP="00B97CF4">
      <w:pPr>
        <w:pStyle w:val="BodyText"/>
        <w:jc w:val="left"/>
        <w:rPr>
          <w:szCs w:val="22"/>
        </w:rPr>
      </w:pPr>
      <w:r w:rsidRPr="00FB1CD3">
        <w:t>If an administrative error has been identified and communicated to the Commission Agreement Officer, the CEC may, but is not required to, allow the applicant a period of time to provide the missing materials.  Reasons why the CEC might NOT allow an applicant to fix an administrative error include, but are not limited to:  </w:t>
      </w:r>
    </w:p>
    <w:p w14:paraId="2FD424A3" w14:textId="77777777" w:rsidR="00665B8E" w:rsidRPr="00FB1CD3" w:rsidRDefault="00665B8E" w:rsidP="00B97CF4">
      <w:pPr>
        <w:pStyle w:val="ListBullet3"/>
        <w:jc w:val="left"/>
        <w:rPr>
          <w:szCs w:val="22"/>
        </w:rPr>
      </w:pPr>
      <w:r w:rsidRPr="00FB1CD3">
        <w:t>The funds have a deadline that does not allow time to fix the error.   </w:t>
      </w:r>
    </w:p>
    <w:p w14:paraId="788E5954" w14:textId="77777777" w:rsidR="00665B8E" w:rsidRPr="00FB1CD3" w:rsidRDefault="00665B8E" w:rsidP="00B97CF4">
      <w:pPr>
        <w:pStyle w:val="ListBullet3"/>
        <w:jc w:val="left"/>
        <w:rPr>
          <w:szCs w:val="22"/>
        </w:rPr>
      </w:pPr>
      <w:r w:rsidRPr="00FB1CD3">
        <w:t>The application has been screened out or does not receive a passing score for reasons unrelated to the administrative error, making irrelevant any efforts to fix the error.   </w:t>
      </w:r>
    </w:p>
    <w:p w14:paraId="0805DCBC" w14:textId="77777777" w:rsidR="00665B8E" w:rsidRPr="00490F13" w:rsidRDefault="00665B8E" w:rsidP="00B97CF4">
      <w:pPr>
        <w:pStyle w:val="ListBullet3"/>
        <w:jc w:val="left"/>
      </w:pPr>
      <w:r w:rsidRPr="00FB1CD3">
        <w:t>The applicant brings the error to the CEC’s attention too late in the solicitation process (e.g., after awards have been approved at a Business Meeting).  </w:t>
      </w:r>
      <w:r w:rsidRPr="00490F13">
        <w:t> </w:t>
      </w:r>
    </w:p>
    <w:p w14:paraId="50C99E14" w14:textId="4F2B6F7A" w:rsidR="00665B8E" w:rsidRPr="00FB1CD3" w:rsidRDefault="00665B8E" w:rsidP="00B97CF4">
      <w:pPr>
        <w:pStyle w:val="BodyText"/>
        <w:jc w:val="left"/>
        <w:rPr>
          <w:szCs w:val="22"/>
        </w:rPr>
      </w:pPr>
      <w:r w:rsidRPr="00FB1CD3">
        <w:t xml:space="preserve">If the Evaluation Committee allows an applicant the opportunity to fix an administrative error, the Commission Agreement Officer will communicate in writing to the applicant’s project manager listed the deadline by which the applicant must provide the missing </w:t>
      </w:r>
      <w:r w:rsidRPr="00FB1CD3">
        <w:lastRenderedPageBreak/>
        <w:t>materials. Reasonable efforts will be made to confirm receipt of the notice, but actual notice cannot be guaranteed and the obligation is on the applicant to ensure the proper contact(s) are listed and available to respond.  The Evaluation Committee will not consider any materials submitted after the deadline.   </w:t>
      </w:r>
    </w:p>
    <w:p w14:paraId="77A4D651" w14:textId="77777777" w:rsidR="00665B8E" w:rsidRPr="00FB1CD3" w:rsidRDefault="00665B8E" w:rsidP="00B97CF4">
      <w:pPr>
        <w:pStyle w:val="BodyText"/>
        <w:jc w:val="left"/>
        <w:rPr>
          <w:szCs w:val="22"/>
        </w:rPr>
      </w:pPr>
      <w:r w:rsidRPr="00FB1CD3">
        <w:t>This process only allows applicants to submit materials in existence as of the application deadline.  This process does NOT allow applicants to submit material created or modified after the application deadline. The CEC has sole discretion to determine whether materials submitted are eligible for consideration by the Evaluation Committee under this opportunity to cure. </w:t>
      </w:r>
    </w:p>
    <w:p w14:paraId="7AB4B14D" w14:textId="77777777" w:rsidR="00665B8E" w:rsidRPr="00FB1CD3" w:rsidRDefault="00665B8E" w:rsidP="00B97CF4">
      <w:pPr>
        <w:pStyle w:val="BodyText"/>
        <w:jc w:val="left"/>
        <w:rPr>
          <w:szCs w:val="22"/>
        </w:rPr>
      </w:pPr>
      <w:r w:rsidRPr="00FB1CD3">
        <w:t>Applicants must include the following certification along with the materials it submits to fix an administrative error and must explain why the materials were not provided due to an inadvertent administrative error:  </w:t>
      </w:r>
    </w:p>
    <w:p w14:paraId="6461D28A" w14:textId="77777777" w:rsidR="00665B8E" w:rsidRPr="00FB1CD3" w:rsidRDefault="00665B8E" w:rsidP="00B97CF4">
      <w:pPr>
        <w:ind w:left="720"/>
        <w:jc w:val="left"/>
        <w:textAlignment w:val="baseline"/>
        <w:rPr>
          <w:szCs w:val="22"/>
        </w:rPr>
      </w:pPr>
      <w:r w:rsidRPr="00FB1CD3">
        <w:rPr>
          <w:szCs w:val="24"/>
        </w:rPr>
        <w:t>“I certify on behalf of the applicant that the materials provided herein existed at the time of the application deadline, have not been modified since, and were not originally provided due to an inadvertent administrative error as described herein.”   </w:t>
      </w:r>
    </w:p>
    <w:p w14:paraId="29FC9B2B" w14:textId="77777777" w:rsidR="00665B8E" w:rsidRPr="00FB1CD3" w:rsidRDefault="00665B8E" w:rsidP="00B97CF4">
      <w:pPr>
        <w:pStyle w:val="BodyText"/>
        <w:jc w:val="left"/>
        <w:rPr>
          <w:szCs w:val="22"/>
        </w:rPr>
      </w:pPr>
      <w:r w:rsidRPr="00FB1CD3">
        <w:t>The Evaluation Committee is not responsible for finding, or communicating with the applicant about, any errors in an application.  Applicants remain solely responsible for submitting applications, including any material submitted to fix an administrative error, that meet all solicitation requirements. </w:t>
      </w:r>
    </w:p>
    <w:p w14:paraId="5AD98E05" w14:textId="4D7BB0AF" w:rsidR="00665B8E" w:rsidRDefault="00665B8E" w:rsidP="00B97CF4">
      <w:pPr>
        <w:pStyle w:val="ListParagraph"/>
        <w:spacing w:after="0"/>
        <w:jc w:val="left"/>
        <w:rPr>
          <w:rFonts w:eastAsia="Arial"/>
          <w:b/>
          <w:bCs/>
          <w:szCs w:val="22"/>
        </w:rPr>
      </w:pPr>
      <w:r>
        <w:br w:type="page"/>
      </w:r>
    </w:p>
    <w:p w14:paraId="672A4801" w14:textId="77777777" w:rsidR="00665B8E" w:rsidRPr="00CF6DED" w:rsidRDefault="00665B8E" w:rsidP="00B97CF4">
      <w:pPr>
        <w:pStyle w:val="Heading3"/>
        <w:jc w:val="left"/>
      </w:pPr>
      <w:bookmarkStart w:id="242" w:name="_Stage_One:_"/>
      <w:bookmarkStart w:id="243" w:name="_Toc433981345"/>
      <w:bookmarkStart w:id="244" w:name="_Toc233727904"/>
      <w:bookmarkEnd w:id="242"/>
      <w:r w:rsidRPr="00CF6DED">
        <w:lastRenderedPageBreak/>
        <w:t>Stage One:  Application Screening</w:t>
      </w:r>
      <w:bookmarkEnd w:id="243"/>
      <w:bookmarkEnd w:id="24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231"/>
        <w:gridCol w:w="2119"/>
      </w:tblGrid>
      <w:tr w:rsidR="00665B8E" w:rsidRPr="00C31C1D" w14:paraId="462339C7" w14:textId="77777777" w:rsidTr="00A85A94">
        <w:trPr>
          <w:trHeight w:val="586"/>
          <w:tblHeader/>
        </w:trPr>
        <w:tc>
          <w:tcPr>
            <w:tcW w:w="7231" w:type="dxa"/>
            <w:shd w:val="clear" w:color="auto" w:fill="D9D9D9" w:themeFill="background1" w:themeFillShade="D9"/>
            <w:vAlign w:val="center"/>
          </w:tcPr>
          <w:p w14:paraId="5C1947AC" w14:textId="77777777" w:rsidR="00665B8E" w:rsidRPr="00FC390E" w:rsidRDefault="00665B8E" w:rsidP="00B97CF4">
            <w:pPr>
              <w:jc w:val="left"/>
              <w:rPr>
                <w:b/>
                <w:caps/>
                <w:szCs w:val="24"/>
              </w:rPr>
            </w:pPr>
            <w:r w:rsidRPr="00FC390E">
              <w:rPr>
                <w:b/>
                <w:caps/>
                <w:szCs w:val="24"/>
              </w:rPr>
              <w:t xml:space="preserve">Screening Criteria </w:t>
            </w:r>
          </w:p>
          <w:p w14:paraId="50DF6E3F" w14:textId="77777777" w:rsidR="00665B8E" w:rsidRPr="00DD6604" w:rsidRDefault="00665B8E" w:rsidP="00B97CF4">
            <w:pPr>
              <w:jc w:val="left"/>
              <w:rPr>
                <w:i/>
              </w:rPr>
            </w:pPr>
            <w:r w:rsidRPr="00832B7D">
              <w:rPr>
                <w:i/>
              </w:rPr>
              <w:t>The Application</w:t>
            </w:r>
            <w:r w:rsidRPr="008C57CD">
              <w:rPr>
                <w:i/>
              </w:rPr>
              <w:t xml:space="preserve"> must</w:t>
            </w:r>
            <w:r w:rsidRPr="00DD6604">
              <w:rPr>
                <w:i/>
              </w:rPr>
              <w:t xml:space="preserve"> pass ALL criteria to progress to Stage Two</w:t>
            </w:r>
            <w:r>
              <w:rPr>
                <w:i/>
              </w:rPr>
              <w:t>.</w:t>
            </w:r>
          </w:p>
        </w:tc>
        <w:tc>
          <w:tcPr>
            <w:tcW w:w="2119" w:type="dxa"/>
            <w:shd w:val="clear" w:color="auto" w:fill="D9D9D9" w:themeFill="background1" w:themeFillShade="D9"/>
            <w:vAlign w:val="center"/>
          </w:tcPr>
          <w:p w14:paraId="26953BC8" w14:textId="77777777" w:rsidR="00665B8E" w:rsidRPr="00C31C1D" w:rsidRDefault="00665B8E" w:rsidP="00B97CF4">
            <w:pPr>
              <w:jc w:val="left"/>
              <w:rPr>
                <w:b/>
                <w:szCs w:val="24"/>
              </w:rPr>
            </w:pPr>
            <w:r w:rsidRPr="00C31C1D">
              <w:rPr>
                <w:b/>
                <w:noProof/>
                <w:szCs w:val="24"/>
              </w:rPr>
              <w:t>Pass/Fail</w:t>
            </w:r>
          </w:p>
        </w:tc>
      </w:tr>
      <w:tr w:rsidR="00665B8E" w:rsidRPr="00C31C1D" w14:paraId="3F203960" w14:textId="77777777" w:rsidTr="00A85A94">
        <w:tc>
          <w:tcPr>
            <w:tcW w:w="7231" w:type="dxa"/>
          </w:tcPr>
          <w:p w14:paraId="506C6421" w14:textId="77777777" w:rsidR="00665B8E" w:rsidRPr="00C31C1D" w:rsidRDefault="00665B8E" w:rsidP="00B97CF4">
            <w:pPr>
              <w:numPr>
                <w:ilvl w:val="0"/>
                <w:numId w:val="6"/>
              </w:numPr>
              <w:jc w:val="left"/>
            </w:pPr>
            <w:r>
              <w:t xml:space="preserve">The application is received by the due date and time specified in the “Key Activities Schedule” in Part I of this solicitation and is received in the required manner (e.g., no emails or faxes). </w:t>
            </w:r>
          </w:p>
        </w:tc>
        <w:tc>
          <w:tcPr>
            <w:tcW w:w="2119" w:type="dxa"/>
          </w:tcPr>
          <w:p w14:paraId="694A21D9" w14:textId="77777777" w:rsidR="00665B8E" w:rsidRPr="00C31C1D" w:rsidRDefault="00665B8E" w:rsidP="00B97CF4">
            <w:pPr>
              <w:keepLines/>
              <w:spacing w:after="0"/>
              <w:jc w:val="left"/>
              <w:rPr>
                <w:noProof/>
              </w:rPr>
            </w:pPr>
            <w:r w:rsidRPr="005F374A">
              <w:rPr>
                <w:color w:val="2B579A"/>
                <w:sz w:val="20"/>
                <w:shd w:val="clear" w:color="auto" w:fill="E6E6E6"/>
              </w:rPr>
              <w:fldChar w:fldCharType="begin">
                <w:ffData>
                  <w:name w:val="Check30"/>
                  <w:enabled/>
                  <w:calcOnExit w:val="0"/>
                  <w:checkBox>
                    <w:sizeAuto/>
                    <w:default w:val="0"/>
                  </w:checkBox>
                </w:ffData>
              </w:fldChar>
            </w:r>
            <w:r w:rsidRPr="005F374A">
              <w:rPr>
                <w:sz w:val="20"/>
              </w:rPr>
              <w:instrText xml:space="preserve"> FORMCHECKBOX </w:instrText>
            </w:r>
            <w:r w:rsidRPr="005F374A">
              <w:rPr>
                <w:color w:val="2B579A"/>
                <w:sz w:val="20"/>
                <w:shd w:val="clear" w:color="auto" w:fill="E6E6E6"/>
              </w:rPr>
            </w:r>
            <w:r w:rsidRPr="005F374A">
              <w:rPr>
                <w:color w:val="2B579A"/>
                <w:sz w:val="20"/>
                <w:shd w:val="clear" w:color="auto" w:fill="E6E6E6"/>
              </w:rPr>
              <w:fldChar w:fldCharType="separate"/>
            </w:r>
            <w:r w:rsidRPr="005F374A">
              <w:rPr>
                <w:color w:val="2B579A"/>
                <w:sz w:val="20"/>
                <w:shd w:val="clear" w:color="auto" w:fill="E6E6E6"/>
              </w:rPr>
              <w:fldChar w:fldCharType="end"/>
            </w:r>
            <w:r>
              <w:rPr>
                <w:sz w:val="20"/>
              </w:rPr>
              <w:t xml:space="preserve"> </w:t>
            </w:r>
            <w:r w:rsidRPr="00C31C1D">
              <w:rPr>
                <w:noProof/>
              </w:rPr>
              <w:t>Pass</w:t>
            </w:r>
            <w:r>
              <w:rPr>
                <w:noProof/>
              </w:rPr>
              <w:t xml:space="preserve">   </w:t>
            </w:r>
            <w:r w:rsidRPr="005F374A">
              <w:rPr>
                <w:color w:val="2B579A"/>
                <w:sz w:val="20"/>
                <w:shd w:val="clear" w:color="auto" w:fill="E6E6E6"/>
              </w:rPr>
              <w:fldChar w:fldCharType="begin">
                <w:ffData>
                  <w:name w:val="Check30"/>
                  <w:enabled/>
                  <w:calcOnExit w:val="0"/>
                  <w:checkBox>
                    <w:sizeAuto/>
                    <w:default w:val="0"/>
                  </w:checkBox>
                </w:ffData>
              </w:fldChar>
            </w:r>
            <w:r w:rsidRPr="005F374A">
              <w:rPr>
                <w:sz w:val="20"/>
              </w:rPr>
              <w:instrText xml:space="preserve"> FORMCHECKBOX </w:instrText>
            </w:r>
            <w:r w:rsidRPr="005F374A">
              <w:rPr>
                <w:color w:val="2B579A"/>
                <w:sz w:val="20"/>
                <w:shd w:val="clear" w:color="auto" w:fill="E6E6E6"/>
              </w:rPr>
            </w:r>
            <w:r w:rsidRPr="005F374A">
              <w:rPr>
                <w:color w:val="2B579A"/>
                <w:sz w:val="20"/>
                <w:shd w:val="clear" w:color="auto" w:fill="E6E6E6"/>
              </w:rPr>
              <w:fldChar w:fldCharType="separate"/>
            </w:r>
            <w:r w:rsidRPr="005F374A">
              <w:rPr>
                <w:color w:val="2B579A"/>
                <w:sz w:val="20"/>
                <w:shd w:val="clear" w:color="auto" w:fill="E6E6E6"/>
              </w:rPr>
              <w:fldChar w:fldCharType="end"/>
            </w:r>
            <w:r>
              <w:rPr>
                <w:sz w:val="20"/>
              </w:rPr>
              <w:t xml:space="preserve"> </w:t>
            </w:r>
            <w:r w:rsidRPr="00C31C1D">
              <w:rPr>
                <w:noProof/>
              </w:rPr>
              <w:t>Fail</w:t>
            </w:r>
          </w:p>
          <w:p w14:paraId="5C017632" w14:textId="77777777" w:rsidR="00665B8E" w:rsidRPr="00C31C1D" w:rsidRDefault="00665B8E" w:rsidP="00B97CF4">
            <w:pPr>
              <w:spacing w:after="0"/>
              <w:jc w:val="left"/>
              <w:rPr>
                <w:noProof/>
              </w:rPr>
            </w:pPr>
          </w:p>
        </w:tc>
      </w:tr>
      <w:tr w:rsidR="00665B8E" w:rsidRPr="00C31C1D" w14:paraId="2240A81F" w14:textId="77777777" w:rsidTr="00A85A94">
        <w:tc>
          <w:tcPr>
            <w:tcW w:w="7231" w:type="dxa"/>
            <w:tcBorders>
              <w:top w:val="single" w:sz="24" w:space="0" w:color="000000" w:themeColor="text1"/>
              <w:left w:val="single" w:sz="4" w:space="0" w:color="000000" w:themeColor="text1"/>
              <w:bottom w:val="single" w:sz="4" w:space="0" w:color="auto"/>
              <w:right w:val="single" w:sz="4" w:space="0" w:color="000000" w:themeColor="text1"/>
            </w:tcBorders>
          </w:tcPr>
          <w:p w14:paraId="5245F037" w14:textId="0C19C9B6" w:rsidR="00665B8E" w:rsidRPr="00F134B1" w:rsidRDefault="00665B8E" w:rsidP="00B97CF4">
            <w:pPr>
              <w:pStyle w:val="ListParagraph"/>
              <w:numPr>
                <w:ilvl w:val="0"/>
                <w:numId w:val="6"/>
              </w:numPr>
              <w:contextualSpacing w:val="0"/>
              <w:jc w:val="left"/>
            </w:pPr>
            <w:r>
              <w:t>The a</w:t>
            </w:r>
            <w:r w:rsidRPr="00176ACE">
              <w:t xml:space="preserve">pplication addresses only one of the eligible project groups, as indicated </w:t>
            </w:r>
            <w:r w:rsidRPr="007C04D7">
              <w:t>by the information the Applicant enters into the ECAMS system</w:t>
            </w:r>
            <w:r w:rsidRPr="00176ACE">
              <w:t xml:space="preserve">. </w:t>
            </w:r>
          </w:p>
        </w:tc>
        <w:tc>
          <w:tcPr>
            <w:tcW w:w="2119" w:type="dxa"/>
            <w:tcBorders>
              <w:top w:val="single" w:sz="24" w:space="0" w:color="000000" w:themeColor="text1"/>
              <w:left w:val="single" w:sz="4" w:space="0" w:color="000000" w:themeColor="text1"/>
              <w:bottom w:val="single" w:sz="4" w:space="0" w:color="auto"/>
              <w:right w:val="single" w:sz="4" w:space="0" w:color="000000" w:themeColor="text1"/>
            </w:tcBorders>
          </w:tcPr>
          <w:p w14:paraId="601D4DBD" w14:textId="77777777" w:rsidR="00665B8E" w:rsidRPr="00176ACE" w:rsidRDefault="00665B8E" w:rsidP="00B97CF4">
            <w:pPr>
              <w:keepLines/>
              <w:spacing w:after="0"/>
              <w:jc w:val="left"/>
              <w:rPr>
                <w:sz w:val="20"/>
              </w:rPr>
            </w:pPr>
            <w:r w:rsidRPr="005F374A">
              <w:rPr>
                <w:color w:val="2B579A"/>
                <w:sz w:val="20"/>
                <w:shd w:val="clear" w:color="auto" w:fill="E6E6E6"/>
              </w:rPr>
              <w:fldChar w:fldCharType="begin">
                <w:ffData>
                  <w:name w:val="Check30"/>
                  <w:enabled/>
                  <w:calcOnExit w:val="0"/>
                  <w:checkBox>
                    <w:sizeAuto/>
                    <w:default w:val="0"/>
                  </w:checkBox>
                </w:ffData>
              </w:fldChar>
            </w:r>
            <w:r w:rsidRPr="005F374A">
              <w:rPr>
                <w:sz w:val="20"/>
              </w:rPr>
              <w:instrText xml:space="preserve"> FORMCHECKBOX </w:instrText>
            </w:r>
            <w:r w:rsidRPr="005F374A">
              <w:rPr>
                <w:color w:val="2B579A"/>
                <w:sz w:val="20"/>
                <w:shd w:val="clear" w:color="auto" w:fill="E6E6E6"/>
              </w:rPr>
            </w:r>
            <w:r w:rsidRPr="005F374A">
              <w:rPr>
                <w:color w:val="2B579A"/>
                <w:sz w:val="20"/>
                <w:shd w:val="clear" w:color="auto" w:fill="E6E6E6"/>
              </w:rPr>
              <w:fldChar w:fldCharType="separate"/>
            </w:r>
            <w:r w:rsidRPr="005F374A">
              <w:rPr>
                <w:color w:val="2B579A"/>
                <w:sz w:val="20"/>
                <w:shd w:val="clear" w:color="auto" w:fill="E6E6E6"/>
              </w:rPr>
              <w:fldChar w:fldCharType="end"/>
            </w:r>
            <w:r>
              <w:rPr>
                <w:sz w:val="20"/>
              </w:rPr>
              <w:t xml:space="preserve"> </w:t>
            </w:r>
            <w:r w:rsidRPr="00176ACE">
              <w:rPr>
                <w:sz w:val="20"/>
              </w:rPr>
              <w:t xml:space="preserve">Pass   </w:t>
            </w:r>
            <w:r w:rsidRPr="005F374A">
              <w:rPr>
                <w:color w:val="2B579A"/>
                <w:sz w:val="20"/>
                <w:shd w:val="clear" w:color="auto" w:fill="E6E6E6"/>
              </w:rPr>
              <w:fldChar w:fldCharType="begin">
                <w:ffData>
                  <w:name w:val="Check30"/>
                  <w:enabled/>
                  <w:calcOnExit w:val="0"/>
                  <w:checkBox>
                    <w:sizeAuto/>
                    <w:default w:val="0"/>
                  </w:checkBox>
                </w:ffData>
              </w:fldChar>
            </w:r>
            <w:r w:rsidRPr="005F374A">
              <w:rPr>
                <w:sz w:val="20"/>
              </w:rPr>
              <w:instrText xml:space="preserve"> FORMCHECKBOX </w:instrText>
            </w:r>
            <w:r w:rsidRPr="005F374A">
              <w:rPr>
                <w:color w:val="2B579A"/>
                <w:sz w:val="20"/>
                <w:shd w:val="clear" w:color="auto" w:fill="E6E6E6"/>
              </w:rPr>
            </w:r>
            <w:r w:rsidRPr="005F374A">
              <w:rPr>
                <w:color w:val="2B579A"/>
                <w:sz w:val="20"/>
                <w:shd w:val="clear" w:color="auto" w:fill="E6E6E6"/>
              </w:rPr>
              <w:fldChar w:fldCharType="separate"/>
            </w:r>
            <w:r w:rsidRPr="005F374A">
              <w:rPr>
                <w:color w:val="2B579A"/>
                <w:sz w:val="20"/>
                <w:shd w:val="clear" w:color="auto" w:fill="E6E6E6"/>
              </w:rPr>
              <w:fldChar w:fldCharType="end"/>
            </w:r>
            <w:r>
              <w:rPr>
                <w:sz w:val="20"/>
              </w:rPr>
              <w:t xml:space="preserve"> </w:t>
            </w:r>
            <w:r w:rsidRPr="00176ACE">
              <w:rPr>
                <w:sz w:val="20"/>
              </w:rPr>
              <w:t>Fail</w:t>
            </w:r>
          </w:p>
          <w:p w14:paraId="5F3C2ABE" w14:textId="77777777" w:rsidR="00665B8E" w:rsidRPr="00176ACE" w:rsidRDefault="00665B8E" w:rsidP="00B97CF4">
            <w:pPr>
              <w:keepLines/>
              <w:spacing w:after="0"/>
              <w:jc w:val="left"/>
              <w:rPr>
                <w:sz w:val="20"/>
              </w:rPr>
            </w:pPr>
          </w:p>
        </w:tc>
      </w:tr>
      <w:tr w:rsidR="00665B8E" w:rsidRPr="00C31C1D" w14:paraId="7A5A1C6D" w14:textId="77777777" w:rsidTr="00A85A94">
        <w:tc>
          <w:tcPr>
            <w:tcW w:w="7231" w:type="dxa"/>
            <w:tcBorders>
              <w:top w:val="single" w:sz="4" w:space="0" w:color="auto"/>
            </w:tcBorders>
          </w:tcPr>
          <w:p w14:paraId="257E72B9" w14:textId="663A964C" w:rsidR="00665B8E" w:rsidRPr="00C5422E" w:rsidRDefault="00665B8E" w:rsidP="00B97CF4">
            <w:pPr>
              <w:pStyle w:val="ListParagraph"/>
              <w:numPr>
                <w:ilvl w:val="0"/>
                <w:numId w:val="6"/>
              </w:numPr>
              <w:contextualSpacing w:val="0"/>
              <w:jc w:val="left"/>
            </w:pPr>
            <w:r w:rsidRPr="00AD3852">
              <w:rPr>
                <w:szCs w:val="22"/>
              </w:rPr>
              <w:t xml:space="preserve">If the applicant has submitted more than one application for the same project group, each application is for a distinct project (i.e., no overlap with respect to the </w:t>
            </w:r>
            <w:r>
              <w:rPr>
                <w:szCs w:val="22"/>
              </w:rPr>
              <w:t xml:space="preserve">technical </w:t>
            </w:r>
            <w:r w:rsidRPr="00AD3852">
              <w:rPr>
                <w:szCs w:val="22"/>
              </w:rPr>
              <w:t xml:space="preserve">tasks described in the Scope of Work, Attachment).  </w:t>
            </w:r>
          </w:p>
          <w:p w14:paraId="7F03E54A" w14:textId="05BA7F26" w:rsidR="00665B8E" w:rsidRDefault="00665B8E" w:rsidP="00B97CF4">
            <w:pPr>
              <w:ind w:left="720"/>
              <w:jc w:val="left"/>
            </w:pPr>
            <w:r w:rsidRPr="00E37BEE">
              <w:rPr>
                <w:i/>
                <w:szCs w:val="22"/>
              </w:rPr>
              <w:t>The CEC may conduct a clarification interview with an applicant to clarify and/or verify information in its applications to help CEC determine whether each application is for a distinct project. The final determination shall be made solely by CEC</w:t>
            </w:r>
            <w:r>
              <w:rPr>
                <w:i/>
                <w:szCs w:val="22"/>
              </w:rPr>
              <w:t>.</w:t>
            </w:r>
          </w:p>
        </w:tc>
        <w:tc>
          <w:tcPr>
            <w:tcW w:w="2119" w:type="dxa"/>
            <w:tcBorders>
              <w:top w:val="single" w:sz="4" w:space="0" w:color="auto"/>
            </w:tcBorders>
          </w:tcPr>
          <w:p w14:paraId="53805007" w14:textId="77777777" w:rsidR="00665B8E" w:rsidRPr="00C31C1D" w:rsidRDefault="00665B8E" w:rsidP="00B97CF4">
            <w:pPr>
              <w:keepLines/>
              <w:spacing w:after="0"/>
              <w:jc w:val="left"/>
              <w:rPr>
                <w:noProof/>
              </w:rPr>
            </w:pPr>
            <w:r w:rsidRPr="005F374A">
              <w:rPr>
                <w:color w:val="2B579A"/>
                <w:sz w:val="20"/>
                <w:shd w:val="clear" w:color="auto" w:fill="E6E6E6"/>
              </w:rPr>
              <w:fldChar w:fldCharType="begin">
                <w:ffData>
                  <w:name w:val="Check30"/>
                  <w:enabled/>
                  <w:calcOnExit w:val="0"/>
                  <w:checkBox>
                    <w:sizeAuto/>
                    <w:default w:val="0"/>
                  </w:checkBox>
                </w:ffData>
              </w:fldChar>
            </w:r>
            <w:r w:rsidRPr="005F374A">
              <w:rPr>
                <w:sz w:val="20"/>
              </w:rPr>
              <w:instrText xml:space="preserve"> FORMCHECKBOX </w:instrText>
            </w:r>
            <w:r w:rsidRPr="005F374A">
              <w:rPr>
                <w:color w:val="2B579A"/>
                <w:sz w:val="20"/>
                <w:shd w:val="clear" w:color="auto" w:fill="E6E6E6"/>
              </w:rPr>
            </w:r>
            <w:r w:rsidRPr="005F374A">
              <w:rPr>
                <w:color w:val="2B579A"/>
                <w:sz w:val="20"/>
                <w:shd w:val="clear" w:color="auto" w:fill="E6E6E6"/>
              </w:rPr>
              <w:fldChar w:fldCharType="separate"/>
            </w:r>
            <w:r w:rsidRPr="005F374A">
              <w:rPr>
                <w:color w:val="2B579A"/>
                <w:sz w:val="20"/>
                <w:shd w:val="clear" w:color="auto" w:fill="E6E6E6"/>
              </w:rPr>
              <w:fldChar w:fldCharType="end"/>
            </w:r>
            <w:r>
              <w:rPr>
                <w:sz w:val="20"/>
              </w:rPr>
              <w:t xml:space="preserve"> </w:t>
            </w:r>
            <w:r w:rsidRPr="00C31C1D">
              <w:rPr>
                <w:noProof/>
              </w:rPr>
              <w:t>Pass</w:t>
            </w:r>
            <w:r>
              <w:rPr>
                <w:noProof/>
              </w:rPr>
              <w:t xml:space="preserve">   </w:t>
            </w:r>
            <w:r w:rsidRPr="005F374A">
              <w:rPr>
                <w:color w:val="2B579A"/>
                <w:sz w:val="20"/>
                <w:shd w:val="clear" w:color="auto" w:fill="E6E6E6"/>
              </w:rPr>
              <w:fldChar w:fldCharType="begin">
                <w:ffData>
                  <w:name w:val="Check30"/>
                  <w:enabled/>
                  <w:calcOnExit w:val="0"/>
                  <w:checkBox>
                    <w:sizeAuto/>
                    <w:default w:val="0"/>
                  </w:checkBox>
                </w:ffData>
              </w:fldChar>
            </w:r>
            <w:r w:rsidRPr="005F374A">
              <w:rPr>
                <w:sz w:val="20"/>
              </w:rPr>
              <w:instrText xml:space="preserve"> FORMCHECKBOX </w:instrText>
            </w:r>
            <w:r w:rsidRPr="005F374A">
              <w:rPr>
                <w:color w:val="2B579A"/>
                <w:sz w:val="20"/>
                <w:shd w:val="clear" w:color="auto" w:fill="E6E6E6"/>
              </w:rPr>
            </w:r>
            <w:r w:rsidRPr="005F374A">
              <w:rPr>
                <w:color w:val="2B579A"/>
                <w:sz w:val="20"/>
                <w:shd w:val="clear" w:color="auto" w:fill="E6E6E6"/>
              </w:rPr>
              <w:fldChar w:fldCharType="separate"/>
            </w:r>
            <w:r w:rsidRPr="005F374A">
              <w:rPr>
                <w:color w:val="2B579A"/>
                <w:sz w:val="20"/>
                <w:shd w:val="clear" w:color="auto" w:fill="E6E6E6"/>
              </w:rPr>
              <w:fldChar w:fldCharType="end"/>
            </w:r>
            <w:r>
              <w:rPr>
                <w:sz w:val="20"/>
              </w:rPr>
              <w:t xml:space="preserve"> </w:t>
            </w:r>
            <w:r w:rsidRPr="00C31C1D">
              <w:rPr>
                <w:noProof/>
              </w:rPr>
              <w:t>Fail</w:t>
            </w:r>
          </w:p>
          <w:p w14:paraId="7C8AF807" w14:textId="77777777" w:rsidR="00665B8E" w:rsidRPr="005F374A" w:rsidRDefault="00665B8E" w:rsidP="00B97CF4">
            <w:pPr>
              <w:keepLines/>
              <w:spacing w:after="0"/>
              <w:jc w:val="left"/>
              <w:rPr>
                <w:sz w:val="20"/>
              </w:rPr>
            </w:pPr>
          </w:p>
        </w:tc>
      </w:tr>
    </w:tbl>
    <w:p w14:paraId="13C37F78" w14:textId="77777777" w:rsidR="00665B8E" w:rsidRDefault="00665B8E" w:rsidP="00B97CF4">
      <w:pPr>
        <w:spacing w:after="0"/>
        <w:jc w:val="left"/>
        <w:rPr>
          <w:b/>
          <w:caps/>
        </w:rPr>
      </w:pPr>
    </w:p>
    <w:p w14:paraId="4DFDE4BA" w14:textId="77777777" w:rsidR="00665B8E" w:rsidRDefault="00665B8E" w:rsidP="00B97CF4">
      <w:pPr>
        <w:spacing w:after="0"/>
        <w:jc w:val="left"/>
        <w:rPr>
          <w:b/>
          <w:caps/>
        </w:rPr>
      </w:pPr>
      <w:r>
        <w:rPr>
          <w:b/>
          <w:caps/>
        </w:rPr>
        <w:br w:type="page"/>
      </w:r>
    </w:p>
    <w:p w14:paraId="203C8E03" w14:textId="77777777" w:rsidR="00665B8E" w:rsidRPr="00712558" w:rsidRDefault="00665B8E" w:rsidP="00B97CF4">
      <w:pPr>
        <w:spacing w:after="0"/>
        <w:jc w:val="left"/>
        <w:rPr>
          <w:b/>
          <w:caps/>
          <w:sz w:val="28"/>
        </w:rPr>
      </w:pPr>
      <w:r w:rsidRPr="00712558">
        <w:rPr>
          <w:b/>
          <w:caps/>
          <w:sz w:val="28"/>
        </w:rPr>
        <w:lastRenderedPageBreak/>
        <w:t xml:space="preserve">Screening Criteria for Past Performance </w:t>
      </w:r>
    </w:p>
    <w:p w14:paraId="4E20C5C8" w14:textId="77777777" w:rsidR="00665B8E" w:rsidRPr="0007792B" w:rsidRDefault="00665B8E" w:rsidP="00B97CF4">
      <w:pPr>
        <w:spacing w:after="0"/>
        <w:jc w:val="left"/>
        <w:rPr>
          <w:b/>
          <w:caps/>
          <w:szCs w:val="24"/>
          <w:u w:val="single"/>
        </w:rPr>
      </w:pPr>
    </w:p>
    <w:tbl>
      <w:tblPr>
        <w:tblStyle w:val="TableGrid4"/>
        <w:tblW w:w="9715" w:type="dxa"/>
        <w:tblLook w:val="04A0" w:firstRow="1" w:lastRow="0" w:firstColumn="1" w:lastColumn="0" w:noHBand="0" w:noVBand="1"/>
        <w:tblCaption w:val="Solicitation Application Scoring Criteria "/>
        <w:tblDescription w:val="This table details how applicants will be scored."/>
      </w:tblPr>
      <w:tblGrid>
        <w:gridCol w:w="8365"/>
        <w:gridCol w:w="1350"/>
      </w:tblGrid>
      <w:tr w:rsidR="00665B8E" w:rsidRPr="0007792B" w14:paraId="3D4FBB5F" w14:textId="77777777" w:rsidTr="00A85A94">
        <w:trPr>
          <w:cantSplit/>
          <w:tblHeader/>
        </w:trPr>
        <w:tc>
          <w:tcPr>
            <w:tcW w:w="8365" w:type="dxa"/>
            <w:shd w:val="clear" w:color="auto" w:fill="D9D9D9" w:themeFill="background1" w:themeFillShade="D9"/>
            <w:vAlign w:val="center"/>
          </w:tcPr>
          <w:p w14:paraId="5A506870" w14:textId="77777777" w:rsidR="00665B8E" w:rsidRPr="0007792B" w:rsidRDefault="00665B8E" w:rsidP="00B97CF4">
            <w:pPr>
              <w:spacing w:before="60" w:after="60" w:line="360" w:lineRule="auto"/>
              <w:jc w:val="left"/>
              <w:rPr>
                <w:b/>
                <w:sz w:val="28"/>
                <w:szCs w:val="28"/>
              </w:rPr>
            </w:pPr>
            <w:r w:rsidRPr="00753B44">
              <w:rPr>
                <w:b/>
                <w:sz w:val="24"/>
                <w:szCs w:val="24"/>
              </w:rPr>
              <w:t>Screening Criteria</w:t>
            </w:r>
          </w:p>
        </w:tc>
        <w:tc>
          <w:tcPr>
            <w:tcW w:w="1350" w:type="dxa"/>
            <w:shd w:val="clear" w:color="auto" w:fill="D9D9D9" w:themeFill="background1" w:themeFillShade="D9"/>
            <w:vAlign w:val="center"/>
          </w:tcPr>
          <w:p w14:paraId="59C38846" w14:textId="77777777" w:rsidR="00665B8E" w:rsidRPr="0007792B" w:rsidRDefault="00665B8E" w:rsidP="00B97CF4">
            <w:pPr>
              <w:spacing w:before="60" w:after="60"/>
              <w:jc w:val="left"/>
              <w:rPr>
                <w:b/>
                <w:sz w:val="28"/>
                <w:szCs w:val="28"/>
              </w:rPr>
            </w:pPr>
          </w:p>
        </w:tc>
      </w:tr>
      <w:tr w:rsidR="00665B8E" w:rsidRPr="0007792B" w14:paraId="4FE04A3D" w14:textId="77777777" w:rsidTr="00A85A94">
        <w:tc>
          <w:tcPr>
            <w:tcW w:w="8365" w:type="dxa"/>
          </w:tcPr>
          <w:p w14:paraId="36D41277" w14:textId="77777777" w:rsidR="00665B8E" w:rsidRPr="00753B44" w:rsidRDefault="00665B8E" w:rsidP="00B97CF4">
            <w:pPr>
              <w:spacing w:before="120"/>
              <w:ind w:left="360"/>
              <w:jc w:val="left"/>
              <w:rPr>
                <w:b/>
                <w:sz w:val="24"/>
                <w:szCs w:val="24"/>
              </w:rPr>
            </w:pPr>
            <w:r w:rsidRPr="00753B44">
              <w:rPr>
                <w:b/>
                <w:sz w:val="24"/>
                <w:szCs w:val="24"/>
              </w:rPr>
              <w:t>Applicant Past Performance with Energy Commission</w:t>
            </w:r>
          </w:p>
          <w:p w14:paraId="00D528BD" w14:textId="77777777" w:rsidR="00665B8E" w:rsidRPr="006B6E53" w:rsidRDefault="00665B8E" w:rsidP="00B97CF4">
            <w:pPr>
              <w:spacing w:before="120"/>
              <w:ind w:left="360"/>
              <w:jc w:val="left"/>
              <w:rPr>
                <w:sz w:val="24"/>
                <w:szCs w:val="28"/>
              </w:rPr>
            </w:pPr>
            <w:r w:rsidRPr="006B6E53">
              <w:rPr>
                <w:sz w:val="24"/>
                <w:szCs w:val="28"/>
              </w:rPr>
              <w:t xml:space="preserve">An applicant may be disqualified under this solicitation due to severe performance issues under one or more prior or active CEC agreements.  This past performance screening criterion does not apply to applicants that do not have any active or prior agreements with the CEC.  </w:t>
            </w:r>
          </w:p>
          <w:p w14:paraId="0C889568" w14:textId="77777777" w:rsidR="00665B8E" w:rsidRPr="006B6E53" w:rsidRDefault="00665B8E" w:rsidP="00B97CF4">
            <w:pPr>
              <w:spacing w:before="120"/>
              <w:ind w:left="360"/>
              <w:jc w:val="left"/>
              <w:rPr>
                <w:sz w:val="24"/>
                <w:szCs w:val="24"/>
              </w:rPr>
            </w:pPr>
            <w:r w:rsidRPr="006B6E53">
              <w:rPr>
                <w:sz w:val="24"/>
                <w:szCs w:val="24"/>
              </w:rPr>
              <w:t xml:space="preserve">The applicant—defined for the purpose of this past performance screening criterion as at least one of the following: the business, principal investigator, or lead individual acting on behalf of themselves—received funds from the Energy Commission (e.g., contract, grant, or loan) and entered into an agreement(s) with the Commission and demonstrated </w:t>
            </w:r>
            <w:r w:rsidRPr="006B6E53">
              <w:rPr>
                <w:b/>
                <w:sz w:val="24"/>
                <w:szCs w:val="24"/>
              </w:rPr>
              <w:t xml:space="preserve">severe performance issues </w:t>
            </w:r>
            <w:r w:rsidRPr="006B6E53">
              <w:rPr>
                <w:sz w:val="24"/>
                <w:szCs w:val="24"/>
              </w:rPr>
              <w:t>characterized by significant negative outcomes including:</w:t>
            </w:r>
          </w:p>
          <w:p w14:paraId="6ED879D7" w14:textId="77777777" w:rsidR="00665B8E" w:rsidRPr="006B6E53" w:rsidRDefault="00665B8E" w:rsidP="00B97CF4">
            <w:pPr>
              <w:numPr>
                <w:ilvl w:val="0"/>
                <w:numId w:val="25"/>
              </w:numPr>
              <w:spacing w:after="0"/>
              <w:jc w:val="left"/>
              <w:rPr>
                <w:sz w:val="24"/>
                <w:szCs w:val="24"/>
              </w:rPr>
            </w:pPr>
            <w:r w:rsidRPr="006B6E53">
              <w:rPr>
                <w:sz w:val="24"/>
                <w:szCs w:val="24"/>
              </w:rPr>
              <w:t>Significant deviation from agreement requirements</w:t>
            </w:r>
            <w:r w:rsidRPr="006B6E53">
              <w:rPr>
                <w:rFonts w:ascii="Calibri" w:eastAsia="Calibri" w:hAnsi="Calibri" w:cs="Times New Roman"/>
                <w:sz w:val="24"/>
                <w:szCs w:val="28"/>
              </w:rPr>
              <w:t xml:space="preserve"> </w:t>
            </w:r>
            <w:r w:rsidRPr="006B6E53">
              <w:rPr>
                <w:sz w:val="24"/>
                <w:szCs w:val="24"/>
              </w:rPr>
              <w:t>that were caused by factors that are, or should have been, within applicant’s control;</w:t>
            </w:r>
          </w:p>
          <w:p w14:paraId="01C72841" w14:textId="77777777" w:rsidR="00665B8E" w:rsidRPr="006B6E53" w:rsidRDefault="00665B8E" w:rsidP="00B97CF4">
            <w:pPr>
              <w:numPr>
                <w:ilvl w:val="0"/>
                <w:numId w:val="25"/>
              </w:numPr>
              <w:spacing w:after="0"/>
              <w:jc w:val="left"/>
              <w:rPr>
                <w:sz w:val="24"/>
                <w:szCs w:val="24"/>
              </w:rPr>
            </w:pPr>
            <w:r w:rsidRPr="006B6E53">
              <w:rPr>
                <w:sz w:val="24"/>
                <w:szCs w:val="24"/>
              </w:rPr>
              <w:t>Termination with cause;</w:t>
            </w:r>
          </w:p>
          <w:p w14:paraId="505FFA23" w14:textId="77777777" w:rsidR="00665B8E" w:rsidRPr="00846D19" w:rsidRDefault="00665B8E" w:rsidP="00B97CF4">
            <w:pPr>
              <w:numPr>
                <w:ilvl w:val="0"/>
                <w:numId w:val="25"/>
              </w:numPr>
              <w:spacing w:after="0"/>
              <w:jc w:val="left"/>
              <w:rPr>
                <w:sz w:val="24"/>
              </w:rPr>
            </w:pPr>
            <w:bookmarkStart w:id="245" w:name="_Hlk105404153"/>
            <w:r w:rsidRPr="006B6E53">
              <w:rPr>
                <w:iCs/>
                <w:sz w:val="24"/>
                <w:szCs w:val="24"/>
              </w:rPr>
              <w:t>Demonstrated poor communication, project management, and/or inability, due to circumstances within applicant’s control, or which should have been within applicant’s control, from materially completing the project</w:t>
            </w:r>
            <w:bookmarkEnd w:id="245"/>
            <w:r w:rsidRPr="006B6E53">
              <w:rPr>
                <w:iCs/>
                <w:sz w:val="24"/>
                <w:szCs w:val="24"/>
              </w:rPr>
              <w:t>;</w:t>
            </w:r>
          </w:p>
          <w:p w14:paraId="0D0BF739" w14:textId="77777777" w:rsidR="00665B8E" w:rsidRPr="006B6E53" w:rsidRDefault="00665B8E" w:rsidP="00B97CF4">
            <w:pPr>
              <w:numPr>
                <w:ilvl w:val="0"/>
                <w:numId w:val="25"/>
              </w:numPr>
              <w:spacing w:after="0"/>
              <w:jc w:val="left"/>
              <w:rPr>
                <w:sz w:val="24"/>
                <w:szCs w:val="24"/>
              </w:rPr>
            </w:pPr>
            <w:r w:rsidRPr="006B6E53">
              <w:rPr>
                <w:iCs/>
                <w:sz w:val="24"/>
                <w:szCs w:val="24"/>
              </w:rPr>
              <w:t>Deliverables were not submitted to the CEC or were of significantly poor quality. For example, applicant delivered poorly written reports that required significant rework by staff prior to acceptance or publication</w:t>
            </w:r>
            <w:r w:rsidRPr="006B6E53">
              <w:rPr>
                <w:sz w:val="24"/>
                <w:szCs w:val="24"/>
              </w:rPr>
              <w:t>; and</w:t>
            </w:r>
          </w:p>
          <w:p w14:paraId="1F17FC68" w14:textId="21DF924B" w:rsidR="00665B8E" w:rsidRPr="006B6E53" w:rsidRDefault="00665B8E" w:rsidP="00B97CF4">
            <w:pPr>
              <w:numPr>
                <w:ilvl w:val="0"/>
                <w:numId w:val="25"/>
              </w:numPr>
              <w:spacing w:after="0"/>
              <w:jc w:val="left"/>
              <w:rPr>
                <w:sz w:val="24"/>
                <w:szCs w:val="24"/>
              </w:rPr>
            </w:pPr>
            <w:r w:rsidRPr="006B6E53">
              <w:rPr>
                <w:sz w:val="24"/>
                <w:szCs w:val="28"/>
              </w:rPr>
              <w:t>Severe audit findings not resolved to CEC’s satisfaction. Severe audit findings may include but are not limited to: incomplete or unsatisfactory deliverables; grant funds used inappropriately (i.e., other than as represented); or questioned costs</w:t>
            </w:r>
            <w:r w:rsidRPr="006B6E53">
              <w:rPr>
                <w:sz w:val="24"/>
                <w:szCs w:val="24"/>
              </w:rPr>
              <w:t>.</w:t>
            </w:r>
          </w:p>
          <w:p w14:paraId="763AEC2F" w14:textId="77777777" w:rsidR="00665B8E" w:rsidRPr="0007792B" w:rsidRDefault="00665B8E" w:rsidP="00B97CF4">
            <w:pPr>
              <w:spacing w:after="0"/>
              <w:ind w:left="1080"/>
              <w:jc w:val="left"/>
            </w:pPr>
          </w:p>
        </w:tc>
        <w:tc>
          <w:tcPr>
            <w:tcW w:w="1350" w:type="dxa"/>
          </w:tcPr>
          <w:p w14:paraId="4D83AF13" w14:textId="77777777" w:rsidR="00665B8E" w:rsidRPr="0007792B" w:rsidRDefault="00665B8E" w:rsidP="00B97CF4">
            <w:pPr>
              <w:spacing w:before="120"/>
              <w:jc w:val="left"/>
              <w:rPr>
                <w:b/>
              </w:rPr>
            </w:pPr>
          </w:p>
        </w:tc>
      </w:tr>
      <w:tr w:rsidR="00665B8E" w:rsidRPr="00753B44" w14:paraId="4587D47A" w14:textId="77777777" w:rsidTr="00A85A94">
        <w:trPr>
          <w:trHeight w:val="674"/>
        </w:trPr>
        <w:tc>
          <w:tcPr>
            <w:tcW w:w="8365" w:type="dxa"/>
            <w:tcBorders>
              <w:bottom w:val="single" w:sz="4" w:space="0" w:color="auto"/>
            </w:tcBorders>
            <w:shd w:val="clear" w:color="auto" w:fill="D9D9D9" w:themeFill="background1" w:themeFillShade="D9"/>
            <w:vAlign w:val="center"/>
          </w:tcPr>
          <w:p w14:paraId="6A8CD3EF" w14:textId="77777777" w:rsidR="00665B8E" w:rsidRPr="00753B44" w:rsidRDefault="00665B8E" w:rsidP="00B97CF4">
            <w:pPr>
              <w:spacing w:before="60" w:after="0"/>
              <w:jc w:val="left"/>
              <w:rPr>
                <w:b/>
                <w:sz w:val="24"/>
                <w:szCs w:val="28"/>
              </w:rPr>
            </w:pPr>
            <w:r w:rsidRPr="00753B44">
              <w:rPr>
                <w:b/>
                <w:sz w:val="24"/>
                <w:szCs w:val="28"/>
              </w:rPr>
              <w:t>Must pass to continue with Scoring Criteria</w:t>
            </w:r>
          </w:p>
        </w:tc>
        <w:tc>
          <w:tcPr>
            <w:tcW w:w="1350" w:type="dxa"/>
            <w:tcBorders>
              <w:bottom w:val="single" w:sz="4" w:space="0" w:color="auto"/>
            </w:tcBorders>
            <w:shd w:val="clear" w:color="auto" w:fill="D9D9D9" w:themeFill="background1" w:themeFillShade="D9"/>
            <w:vAlign w:val="center"/>
          </w:tcPr>
          <w:p w14:paraId="37AB667E" w14:textId="77777777" w:rsidR="00665B8E" w:rsidRPr="00753B44" w:rsidRDefault="00665B8E" w:rsidP="00B97CF4">
            <w:pPr>
              <w:spacing w:after="0"/>
              <w:jc w:val="left"/>
              <w:rPr>
                <w:b/>
                <w:sz w:val="24"/>
                <w:szCs w:val="28"/>
              </w:rPr>
            </w:pPr>
            <w:r w:rsidRPr="00753B44">
              <w:rPr>
                <w:b/>
                <w:sz w:val="24"/>
                <w:szCs w:val="28"/>
              </w:rPr>
              <w:t>Pass/Fail</w:t>
            </w:r>
          </w:p>
        </w:tc>
      </w:tr>
    </w:tbl>
    <w:p w14:paraId="06EF2AF5" w14:textId="77777777" w:rsidR="00665B8E" w:rsidRPr="00DB3B66" w:rsidRDefault="00665B8E" w:rsidP="00B97CF4">
      <w:pPr>
        <w:pStyle w:val="Heading3"/>
        <w:jc w:val="left"/>
      </w:pPr>
      <w:r w:rsidRPr="00C31C1D">
        <w:br w:type="page"/>
      </w:r>
    </w:p>
    <w:p w14:paraId="204FBC4B" w14:textId="77777777" w:rsidR="00665B8E" w:rsidRPr="00CF6DED" w:rsidRDefault="00665B8E" w:rsidP="00B97CF4">
      <w:pPr>
        <w:pStyle w:val="Heading3"/>
        <w:numPr>
          <w:ilvl w:val="0"/>
          <w:numId w:val="51"/>
        </w:numPr>
        <w:jc w:val="left"/>
      </w:pPr>
      <w:bookmarkStart w:id="246" w:name="_Toc433981346"/>
      <w:bookmarkStart w:id="247" w:name="_Toc233727905"/>
      <w:r w:rsidRPr="00CF6DED">
        <w:lastRenderedPageBreak/>
        <w:t>Stage Two:  Application Scoring</w:t>
      </w:r>
      <w:bookmarkEnd w:id="246"/>
      <w:bookmarkEnd w:id="247"/>
    </w:p>
    <w:bookmarkEnd w:id="201"/>
    <w:p w14:paraId="2DF74112" w14:textId="3D7419B1" w:rsidR="00665B8E" w:rsidRPr="00D21FEE" w:rsidRDefault="00665B8E" w:rsidP="00B97CF4">
      <w:pPr>
        <w:pStyle w:val="BodyText"/>
        <w:jc w:val="left"/>
        <w:rPr>
          <w:szCs w:val="24"/>
        </w:rPr>
      </w:pPr>
      <w:r>
        <w:t>Applications that pass ALL</w:t>
      </w:r>
      <w:r w:rsidRPr="00C31C1D">
        <w:t xml:space="preserve"> Stage One Screening Criteria </w:t>
      </w:r>
      <w:r w:rsidRPr="00C36CCE">
        <w:t>and are not rejected as described in Section IV.C. will be evaluated based on the Scoring Criteria and the Scoring Scale below (with the exception of criteria 6−</w:t>
      </w:r>
      <w:r>
        <w:t>7</w:t>
      </w:r>
      <w:r w:rsidRPr="00C36CCE">
        <w:t xml:space="preserve">, which will be evaluated as described in each criterion). Each criterion has an assigned number of possible points, and </w:t>
      </w:r>
      <w:r w:rsidRPr="00C31C1D">
        <w:t xml:space="preserve">is divided into multiple sub-criteria. The sub-criteria are not equally weighted. </w:t>
      </w:r>
      <w:r w:rsidRPr="00625809">
        <w:t>Th</w:t>
      </w:r>
      <w:r>
        <w:t>e Project Narrative Attachment</w:t>
      </w:r>
      <w:r w:rsidRPr="00625809">
        <w:t xml:space="preserve"> must respond to each sub-criterion</w:t>
      </w:r>
      <w:r>
        <w:t>, unless otherwise indicated</w:t>
      </w:r>
      <w:r w:rsidRPr="00C31C1D">
        <w:t xml:space="preserve">. </w:t>
      </w:r>
    </w:p>
    <w:p w14:paraId="5BC2CCC9" w14:textId="77777777" w:rsidR="00665B8E" w:rsidRPr="00712558" w:rsidRDefault="00665B8E" w:rsidP="00B97CF4">
      <w:pPr>
        <w:spacing w:before="240"/>
        <w:jc w:val="left"/>
        <w:rPr>
          <w:b/>
          <w:caps/>
        </w:rPr>
      </w:pPr>
      <w:r w:rsidRPr="00712558">
        <w:rPr>
          <w:b/>
          <w:caps/>
        </w:rPr>
        <w:t>Scoring Scale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5"/>
        <w:gridCol w:w="1763"/>
        <w:gridCol w:w="6172"/>
      </w:tblGrid>
      <w:tr w:rsidR="00665B8E" w:rsidRPr="00050087" w14:paraId="4D34189E" w14:textId="77777777" w:rsidTr="00290811">
        <w:trPr>
          <w:trHeight w:val="800"/>
        </w:trPr>
        <w:tc>
          <w:tcPr>
            <w:tcW w:w="1417" w:type="dxa"/>
            <w:shd w:val="clear" w:color="auto" w:fill="D9D9D9"/>
            <w:vAlign w:val="center"/>
          </w:tcPr>
          <w:p w14:paraId="5B371EF9" w14:textId="77777777" w:rsidR="00665B8E" w:rsidRPr="00050087" w:rsidRDefault="00665B8E" w:rsidP="00B97CF4">
            <w:pPr>
              <w:spacing w:after="0"/>
              <w:jc w:val="left"/>
              <w:rPr>
                <w:b/>
                <w:szCs w:val="22"/>
              </w:rPr>
            </w:pPr>
            <w:r w:rsidRPr="00050087">
              <w:rPr>
                <w:b/>
                <w:szCs w:val="22"/>
              </w:rPr>
              <w:t>% of Possible Points</w:t>
            </w:r>
          </w:p>
        </w:tc>
        <w:tc>
          <w:tcPr>
            <w:tcW w:w="1620" w:type="dxa"/>
            <w:shd w:val="clear" w:color="auto" w:fill="D9D9D9"/>
            <w:vAlign w:val="center"/>
          </w:tcPr>
          <w:p w14:paraId="6CAC2799" w14:textId="77777777" w:rsidR="00665B8E" w:rsidRPr="00050087" w:rsidRDefault="00665B8E" w:rsidP="00B97CF4">
            <w:pPr>
              <w:spacing w:after="0"/>
              <w:jc w:val="left"/>
              <w:rPr>
                <w:b/>
                <w:szCs w:val="22"/>
              </w:rPr>
            </w:pPr>
            <w:r w:rsidRPr="00050087">
              <w:rPr>
                <w:b/>
                <w:szCs w:val="22"/>
              </w:rPr>
              <w:t>Interpretation</w:t>
            </w:r>
          </w:p>
        </w:tc>
        <w:tc>
          <w:tcPr>
            <w:tcW w:w="6205" w:type="dxa"/>
            <w:shd w:val="clear" w:color="auto" w:fill="D9D9D9"/>
            <w:vAlign w:val="center"/>
          </w:tcPr>
          <w:p w14:paraId="2377FD10" w14:textId="77777777" w:rsidR="00665B8E" w:rsidRPr="00050087" w:rsidRDefault="00665B8E" w:rsidP="00B97CF4">
            <w:pPr>
              <w:spacing w:after="0"/>
              <w:jc w:val="left"/>
              <w:rPr>
                <w:b/>
                <w:szCs w:val="22"/>
              </w:rPr>
            </w:pPr>
            <w:r>
              <w:rPr>
                <w:b/>
                <w:szCs w:val="22"/>
              </w:rPr>
              <w:t>Description</w:t>
            </w:r>
            <w:r w:rsidRPr="00050087">
              <w:rPr>
                <w:b/>
                <w:szCs w:val="22"/>
              </w:rPr>
              <w:t xml:space="preserve"> </w:t>
            </w:r>
          </w:p>
        </w:tc>
      </w:tr>
      <w:tr w:rsidR="00665B8E" w:rsidRPr="00050087" w14:paraId="2A30A713" w14:textId="77777777" w:rsidTr="00290811">
        <w:trPr>
          <w:trHeight w:val="253"/>
        </w:trPr>
        <w:tc>
          <w:tcPr>
            <w:tcW w:w="1417" w:type="dxa"/>
            <w:vAlign w:val="center"/>
          </w:tcPr>
          <w:p w14:paraId="62A13C04" w14:textId="77777777" w:rsidR="00665B8E" w:rsidRPr="00050087" w:rsidRDefault="00665B8E" w:rsidP="00417449">
            <w:pPr>
              <w:spacing w:after="0"/>
              <w:jc w:val="center"/>
              <w:rPr>
                <w:szCs w:val="22"/>
              </w:rPr>
            </w:pPr>
            <w:r w:rsidRPr="00050087">
              <w:rPr>
                <w:szCs w:val="22"/>
              </w:rPr>
              <w:t>0%</w:t>
            </w:r>
          </w:p>
        </w:tc>
        <w:tc>
          <w:tcPr>
            <w:tcW w:w="1620" w:type="dxa"/>
            <w:vAlign w:val="center"/>
          </w:tcPr>
          <w:p w14:paraId="5E883E64" w14:textId="77777777" w:rsidR="00665B8E" w:rsidRPr="00050087" w:rsidRDefault="00665B8E" w:rsidP="00B97CF4">
            <w:pPr>
              <w:spacing w:after="0"/>
              <w:jc w:val="left"/>
              <w:rPr>
                <w:szCs w:val="22"/>
              </w:rPr>
            </w:pPr>
            <w:r w:rsidRPr="00050087">
              <w:rPr>
                <w:szCs w:val="22"/>
              </w:rPr>
              <w:t>Not Responsive</w:t>
            </w:r>
          </w:p>
        </w:tc>
        <w:tc>
          <w:tcPr>
            <w:tcW w:w="6205" w:type="dxa"/>
          </w:tcPr>
          <w:p w14:paraId="2BCE7379" w14:textId="70E9BCF6" w:rsidR="00665B8E" w:rsidRPr="00050087" w:rsidRDefault="00665B8E" w:rsidP="00B97CF4">
            <w:pPr>
              <w:spacing w:after="0"/>
              <w:jc w:val="left"/>
              <w:rPr>
                <w:szCs w:val="22"/>
              </w:rPr>
            </w:pPr>
            <w:r w:rsidRPr="00050087">
              <w:rPr>
                <w:szCs w:val="22"/>
              </w:rPr>
              <w:t>Response does not include or fails to address the requirements being scored. The omission(s), flaw(s), or defect(s) are significant and unacceptable.</w:t>
            </w:r>
          </w:p>
        </w:tc>
      </w:tr>
      <w:tr w:rsidR="00665B8E" w:rsidRPr="00050087" w14:paraId="7B8C24B7" w14:textId="77777777" w:rsidTr="00290811">
        <w:trPr>
          <w:trHeight w:val="253"/>
        </w:trPr>
        <w:tc>
          <w:tcPr>
            <w:tcW w:w="1417" w:type="dxa"/>
            <w:vAlign w:val="center"/>
          </w:tcPr>
          <w:p w14:paraId="27864DA2" w14:textId="77777777" w:rsidR="00665B8E" w:rsidRPr="00050087" w:rsidRDefault="00665B8E" w:rsidP="00417449">
            <w:pPr>
              <w:spacing w:after="0"/>
              <w:jc w:val="center"/>
              <w:rPr>
                <w:szCs w:val="22"/>
              </w:rPr>
            </w:pPr>
            <w:r w:rsidRPr="00050087">
              <w:rPr>
                <w:szCs w:val="22"/>
              </w:rPr>
              <w:t>10-30%</w:t>
            </w:r>
          </w:p>
        </w:tc>
        <w:tc>
          <w:tcPr>
            <w:tcW w:w="1620" w:type="dxa"/>
            <w:vAlign w:val="center"/>
          </w:tcPr>
          <w:p w14:paraId="665D0F80" w14:textId="77777777" w:rsidR="00665B8E" w:rsidRPr="00050087" w:rsidRDefault="00665B8E" w:rsidP="00B97CF4">
            <w:pPr>
              <w:spacing w:after="0"/>
              <w:jc w:val="left"/>
              <w:rPr>
                <w:szCs w:val="22"/>
              </w:rPr>
            </w:pPr>
            <w:r w:rsidRPr="00050087">
              <w:rPr>
                <w:szCs w:val="22"/>
              </w:rPr>
              <w:t>Minimally Responsive</w:t>
            </w:r>
          </w:p>
        </w:tc>
        <w:tc>
          <w:tcPr>
            <w:tcW w:w="6205" w:type="dxa"/>
          </w:tcPr>
          <w:p w14:paraId="1B287E90" w14:textId="0341F841" w:rsidR="00665B8E" w:rsidRPr="00050087" w:rsidRDefault="00665B8E" w:rsidP="00B97CF4">
            <w:pPr>
              <w:spacing w:after="0"/>
              <w:jc w:val="left"/>
              <w:rPr>
                <w:szCs w:val="22"/>
              </w:rPr>
            </w:pPr>
            <w:r w:rsidRPr="00050087">
              <w:rPr>
                <w:szCs w:val="22"/>
              </w:rPr>
              <w:t>Response minimally addresses the requirements being scored. The omission(s), flaw(s), or defect(s) are significant and unacceptable.</w:t>
            </w:r>
          </w:p>
        </w:tc>
      </w:tr>
      <w:tr w:rsidR="00665B8E" w:rsidRPr="00050087" w14:paraId="51B94586" w14:textId="77777777" w:rsidTr="00290811">
        <w:trPr>
          <w:trHeight w:val="253"/>
        </w:trPr>
        <w:tc>
          <w:tcPr>
            <w:tcW w:w="1417" w:type="dxa"/>
            <w:vAlign w:val="center"/>
          </w:tcPr>
          <w:p w14:paraId="4A69687B" w14:textId="77777777" w:rsidR="00665B8E" w:rsidRPr="00050087" w:rsidRDefault="00665B8E" w:rsidP="00417449">
            <w:pPr>
              <w:spacing w:after="0"/>
              <w:jc w:val="center"/>
              <w:rPr>
                <w:szCs w:val="22"/>
              </w:rPr>
            </w:pPr>
            <w:r w:rsidRPr="00050087">
              <w:rPr>
                <w:szCs w:val="22"/>
              </w:rPr>
              <w:t>40-60%</w:t>
            </w:r>
          </w:p>
        </w:tc>
        <w:tc>
          <w:tcPr>
            <w:tcW w:w="1620" w:type="dxa"/>
            <w:vAlign w:val="center"/>
          </w:tcPr>
          <w:p w14:paraId="48DA1505" w14:textId="77777777" w:rsidR="00665B8E" w:rsidRPr="00050087" w:rsidRDefault="00665B8E" w:rsidP="00B97CF4">
            <w:pPr>
              <w:spacing w:after="0"/>
              <w:jc w:val="left"/>
              <w:rPr>
                <w:szCs w:val="22"/>
              </w:rPr>
            </w:pPr>
            <w:r w:rsidRPr="00050087">
              <w:rPr>
                <w:szCs w:val="22"/>
              </w:rPr>
              <w:t>Inadequate</w:t>
            </w:r>
          </w:p>
        </w:tc>
        <w:tc>
          <w:tcPr>
            <w:tcW w:w="6205" w:type="dxa"/>
          </w:tcPr>
          <w:p w14:paraId="71652E97" w14:textId="77777777" w:rsidR="00665B8E" w:rsidRPr="00050087" w:rsidRDefault="00665B8E" w:rsidP="00B97CF4">
            <w:pPr>
              <w:spacing w:after="0"/>
              <w:jc w:val="left"/>
              <w:rPr>
                <w:szCs w:val="22"/>
              </w:rPr>
            </w:pPr>
            <w:r w:rsidRPr="00050087">
              <w:rPr>
                <w:szCs w:val="22"/>
              </w:rPr>
              <w:t>Response addresses the requirements being scored, but there are one or more omissions, flaws, or defects or the requirements are addressed in such a limited way that it results in a low degree of confidence in the proposed solution.</w:t>
            </w:r>
          </w:p>
        </w:tc>
      </w:tr>
      <w:tr w:rsidR="00665B8E" w:rsidRPr="00050087" w14:paraId="3052DECE" w14:textId="77777777" w:rsidTr="00290811">
        <w:trPr>
          <w:trHeight w:val="253"/>
        </w:trPr>
        <w:tc>
          <w:tcPr>
            <w:tcW w:w="1417" w:type="dxa"/>
            <w:vAlign w:val="center"/>
          </w:tcPr>
          <w:p w14:paraId="4BAD0A75" w14:textId="77777777" w:rsidR="00665B8E" w:rsidRPr="00050087" w:rsidRDefault="00665B8E" w:rsidP="00417449">
            <w:pPr>
              <w:spacing w:after="0"/>
              <w:jc w:val="center"/>
              <w:rPr>
                <w:szCs w:val="22"/>
              </w:rPr>
            </w:pPr>
            <w:r w:rsidRPr="00050087">
              <w:rPr>
                <w:szCs w:val="22"/>
              </w:rPr>
              <w:t>70%</w:t>
            </w:r>
          </w:p>
        </w:tc>
        <w:tc>
          <w:tcPr>
            <w:tcW w:w="1620" w:type="dxa"/>
            <w:vAlign w:val="center"/>
          </w:tcPr>
          <w:p w14:paraId="4877101B" w14:textId="77777777" w:rsidR="00665B8E" w:rsidRPr="00050087" w:rsidRDefault="00665B8E" w:rsidP="00B97CF4">
            <w:pPr>
              <w:spacing w:after="0"/>
              <w:jc w:val="left"/>
              <w:rPr>
                <w:szCs w:val="22"/>
              </w:rPr>
            </w:pPr>
            <w:r w:rsidRPr="00050087">
              <w:rPr>
                <w:szCs w:val="22"/>
              </w:rPr>
              <w:t>Adequate</w:t>
            </w:r>
          </w:p>
        </w:tc>
        <w:tc>
          <w:tcPr>
            <w:tcW w:w="6205" w:type="dxa"/>
          </w:tcPr>
          <w:p w14:paraId="1AB1C157" w14:textId="26800C45" w:rsidR="00665B8E" w:rsidRPr="00050087" w:rsidRDefault="00665B8E" w:rsidP="00B97CF4">
            <w:pPr>
              <w:spacing w:after="0"/>
              <w:jc w:val="left"/>
              <w:rPr>
                <w:szCs w:val="22"/>
              </w:rPr>
            </w:pPr>
            <w:r w:rsidRPr="00050087">
              <w:rPr>
                <w:szCs w:val="22"/>
              </w:rPr>
              <w:t>Response adequately addresses the requirements being scored. Any omission(s), flaw(s), or defect(s) are inconsequential and acceptable.</w:t>
            </w:r>
          </w:p>
        </w:tc>
      </w:tr>
      <w:tr w:rsidR="00665B8E" w:rsidRPr="00050087" w14:paraId="506BCD17" w14:textId="77777777" w:rsidTr="00290811">
        <w:trPr>
          <w:trHeight w:val="253"/>
        </w:trPr>
        <w:tc>
          <w:tcPr>
            <w:tcW w:w="1417" w:type="dxa"/>
            <w:vAlign w:val="center"/>
          </w:tcPr>
          <w:p w14:paraId="763A4126" w14:textId="77777777" w:rsidR="00665B8E" w:rsidRPr="00050087" w:rsidRDefault="00665B8E" w:rsidP="00417449">
            <w:pPr>
              <w:spacing w:after="0"/>
              <w:jc w:val="center"/>
              <w:rPr>
                <w:szCs w:val="22"/>
              </w:rPr>
            </w:pPr>
            <w:r>
              <w:rPr>
                <w:szCs w:val="22"/>
              </w:rPr>
              <w:t>75%</w:t>
            </w:r>
          </w:p>
        </w:tc>
        <w:tc>
          <w:tcPr>
            <w:tcW w:w="1620" w:type="dxa"/>
            <w:vAlign w:val="center"/>
          </w:tcPr>
          <w:p w14:paraId="33E2577A" w14:textId="77777777" w:rsidR="00665B8E" w:rsidRPr="00050087" w:rsidRDefault="00665B8E" w:rsidP="00B97CF4">
            <w:pPr>
              <w:spacing w:after="0"/>
              <w:jc w:val="left"/>
              <w:rPr>
                <w:szCs w:val="22"/>
              </w:rPr>
            </w:pPr>
            <w:r>
              <w:rPr>
                <w:szCs w:val="22"/>
              </w:rPr>
              <w:t>Between Adequate and Good</w:t>
            </w:r>
          </w:p>
        </w:tc>
        <w:tc>
          <w:tcPr>
            <w:tcW w:w="6205" w:type="dxa"/>
          </w:tcPr>
          <w:p w14:paraId="0D42A2CA" w14:textId="77777777" w:rsidR="00665B8E" w:rsidRPr="00050087" w:rsidRDefault="00665B8E" w:rsidP="00B97CF4">
            <w:pPr>
              <w:spacing w:after="0"/>
              <w:jc w:val="left"/>
              <w:rPr>
                <w:szCs w:val="22"/>
              </w:rPr>
            </w:pPr>
            <w:r>
              <w:rPr>
                <w:szCs w:val="22"/>
              </w:rPr>
              <w:t xml:space="preserve">Response better than adequately addresses the requirements being scored. </w:t>
            </w:r>
            <w:r w:rsidRPr="00050087">
              <w:rPr>
                <w:szCs w:val="22"/>
              </w:rPr>
              <w:t>Any omission(s), flaw(s), or defect(s) are inconsequential and acceptable.</w:t>
            </w:r>
          </w:p>
        </w:tc>
      </w:tr>
      <w:tr w:rsidR="00665B8E" w:rsidRPr="00050087" w14:paraId="155130E6" w14:textId="77777777" w:rsidTr="00290811">
        <w:trPr>
          <w:trHeight w:val="253"/>
        </w:trPr>
        <w:tc>
          <w:tcPr>
            <w:tcW w:w="1417" w:type="dxa"/>
            <w:vAlign w:val="center"/>
          </w:tcPr>
          <w:p w14:paraId="52A7BD8D" w14:textId="77777777" w:rsidR="00665B8E" w:rsidRPr="00050087" w:rsidRDefault="00665B8E" w:rsidP="00417449">
            <w:pPr>
              <w:spacing w:after="0"/>
              <w:jc w:val="center"/>
              <w:rPr>
                <w:szCs w:val="22"/>
              </w:rPr>
            </w:pPr>
            <w:r w:rsidRPr="00050087">
              <w:rPr>
                <w:szCs w:val="22"/>
              </w:rPr>
              <w:t>80%</w:t>
            </w:r>
          </w:p>
        </w:tc>
        <w:tc>
          <w:tcPr>
            <w:tcW w:w="1620" w:type="dxa"/>
            <w:vAlign w:val="center"/>
          </w:tcPr>
          <w:p w14:paraId="081FAE08" w14:textId="77777777" w:rsidR="00665B8E" w:rsidRPr="00050087" w:rsidRDefault="00665B8E" w:rsidP="00B97CF4">
            <w:pPr>
              <w:spacing w:after="0"/>
              <w:jc w:val="left"/>
              <w:rPr>
                <w:szCs w:val="22"/>
              </w:rPr>
            </w:pPr>
            <w:r w:rsidRPr="00050087">
              <w:rPr>
                <w:szCs w:val="22"/>
              </w:rPr>
              <w:t>Good</w:t>
            </w:r>
          </w:p>
        </w:tc>
        <w:tc>
          <w:tcPr>
            <w:tcW w:w="6205" w:type="dxa"/>
          </w:tcPr>
          <w:p w14:paraId="42641A49" w14:textId="49841367" w:rsidR="00665B8E" w:rsidRPr="00050087" w:rsidRDefault="00665B8E" w:rsidP="00B97CF4">
            <w:pPr>
              <w:spacing w:after="0"/>
              <w:jc w:val="left"/>
              <w:rPr>
                <w:szCs w:val="22"/>
              </w:rPr>
            </w:pPr>
            <w:r w:rsidRPr="00050087">
              <w:rPr>
                <w:szCs w:val="22"/>
              </w:rPr>
              <w:t>Response fully addresses the requirements being scored with a good degree of confidence in the applicant’s response or proposed solution. No identified omission(s), flaw(s), or defect(s). Any identified weaknesses are minimal, inconsequential, and acceptable.</w:t>
            </w:r>
          </w:p>
        </w:tc>
      </w:tr>
      <w:tr w:rsidR="00665B8E" w:rsidRPr="00050087" w14:paraId="1A4EE26E" w14:textId="77777777" w:rsidTr="00290811">
        <w:trPr>
          <w:trHeight w:val="253"/>
        </w:trPr>
        <w:tc>
          <w:tcPr>
            <w:tcW w:w="1417" w:type="dxa"/>
            <w:vAlign w:val="center"/>
          </w:tcPr>
          <w:p w14:paraId="66CD9AE1" w14:textId="77777777" w:rsidR="00665B8E" w:rsidRPr="00050087" w:rsidRDefault="00665B8E" w:rsidP="00417449">
            <w:pPr>
              <w:spacing w:after="0"/>
              <w:jc w:val="center"/>
              <w:rPr>
                <w:szCs w:val="22"/>
              </w:rPr>
            </w:pPr>
            <w:r>
              <w:rPr>
                <w:szCs w:val="22"/>
              </w:rPr>
              <w:t>85%</w:t>
            </w:r>
          </w:p>
        </w:tc>
        <w:tc>
          <w:tcPr>
            <w:tcW w:w="1620" w:type="dxa"/>
            <w:vAlign w:val="center"/>
          </w:tcPr>
          <w:p w14:paraId="78BB93D5" w14:textId="77777777" w:rsidR="00665B8E" w:rsidRPr="00050087" w:rsidRDefault="00665B8E" w:rsidP="00B97CF4">
            <w:pPr>
              <w:spacing w:after="0"/>
              <w:jc w:val="left"/>
              <w:rPr>
                <w:szCs w:val="22"/>
              </w:rPr>
            </w:pPr>
            <w:r>
              <w:rPr>
                <w:szCs w:val="22"/>
              </w:rPr>
              <w:t>Between Good and Excellent</w:t>
            </w:r>
          </w:p>
        </w:tc>
        <w:tc>
          <w:tcPr>
            <w:tcW w:w="6205" w:type="dxa"/>
          </w:tcPr>
          <w:p w14:paraId="4F235A60" w14:textId="56556C1D" w:rsidR="00665B8E" w:rsidRPr="00050087" w:rsidRDefault="00665B8E" w:rsidP="00B97CF4">
            <w:pPr>
              <w:spacing w:after="0"/>
              <w:jc w:val="left"/>
              <w:rPr>
                <w:szCs w:val="22"/>
              </w:rPr>
            </w:pPr>
            <w:r w:rsidRPr="00050087">
              <w:rPr>
                <w:szCs w:val="22"/>
              </w:rPr>
              <w:t xml:space="preserve">Response fully addresses the requirements being scored with a </w:t>
            </w:r>
            <w:r>
              <w:rPr>
                <w:szCs w:val="22"/>
              </w:rPr>
              <w:t>better than good</w:t>
            </w:r>
            <w:r w:rsidRPr="00050087">
              <w:rPr>
                <w:szCs w:val="22"/>
              </w:rPr>
              <w:t xml:space="preserve"> degree of confidence in the applicant’s response or proposed solution. No identified omission(s), flaw(s), or defect(s). Any identified weaknesses are minimal, inconsequential, and acceptable.</w:t>
            </w:r>
          </w:p>
        </w:tc>
      </w:tr>
      <w:tr w:rsidR="00665B8E" w:rsidRPr="00050087" w14:paraId="7826DA95" w14:textId="77777777" w:rsidTr="00290811">
        <w:trPr>
          <w:trHeight w:val="253"/>
        </w:trPr>
        <w:tc>
          <w:tcPr>
            <w:tcW w:w="1417" w:type="dxa"/>
            <w:vAlign w:val="center"/>
          </w:tcPr>
          <w:p w14:paraId="5F51495C" w14:textId="77777777" w:rsidR="00665B8E" w:rsidRPr="00050087" w:rsidRDefault="00665B8E" w:rsidP="00417449">
            <w:pPr>
              <w:spacing w:after="0"/>
              <w:jc w:val="center"/>
              <w:rPr>
                <w:szCs w:val="22"/>
              </w:rPr>
            </w:pPr>
            <w:r w:rsidRPr="00050087">
              <w:rPr>
                <w:szCs w:val="22"/>
              </w:rPr>
              <w:t>90%</w:t>
            </w:r>
          </w:p>
        </w:tc>
        <w:tc>
          <w:tcPr>
            <w:tcW w:w="1620" w:type="dxa"/>
            <w:vAlign w:val="center"/>
          </w:tcPr>
          <w:p w14:paraId="4C783F7D" w14:textId="77777777" w:rsidR="00665B8E" w:rsidRPr="00050087" w:rsidRDefault="00665B8E" w:rsidP="00B97CF4">
            <w:pPr>
              <w:spacing w:after="0"/>
              <w:jc w:val="left"/>
              <w:rPr>
                <w:szCs w:val="22"/>
              </w:rPr>
            </w:pPr>
            <w:r w:rsidRPr="00050087">
              <w:rPr>
                <w:szCs w:val="22"/>
              </w:rPr>
              <w:t>Excellent</w:t>
            </w:r>
          </w:p>
        </w:tc>
        <w:tc>
          <w:tcPr>
            <w:tcW w:w="6205" w:type="dxa"/>
          </w:tcPr>
          <w:p w14:paraId="3C287BEC" w14:textId="30B35C36" w:rsidR="00665B8E" w:rsidRPr="00050087" w:rsidRDefault="00665B8E" w:rsidP="00B97CF4">
            <w:pPr>
              <w:spacing w:after="0"/>
              <w:jc w:val="left"/>
              <w:rPr>
                <w:szCs w:val="22"/>
              </w:rPr>
            </w:pPr>
            <w:r w:rsidRPr="00050087">
              <w:rPr>
                <w:szCs w:val="22"/>
              </w:rPr>
              <w:t xml:space="preserve">Response fully addresses the requirements being scored with a high degree of confidence in the applicant’s response or proposed solution. Applicant </w:t>
            </w:r>
            <w:r w:rsidRPr="00050087">
              <w:rPr>
                <w:szCs w:val="22"/>
              </w:rPr>
              <w:lastRenderedPageBreak/>
              <w:t>offers one or more enhancing features, methods or approaches exceeding basic expectations.</w:t>
            </w:r>
          </w:p>
        </w:tc>
      </w:tr>
      <w:tr w:rsidR="00665B8E" w:rsidRPr="00050087" w14:paraId="7AC1EA73" w14:textId="77777777" w:rsidTr="00290811">
        <w:trPr>
          <w:trHeight w:val="253"/>
        </w:trPr>
        <w:tc>
          <w:tcPr>
            <w:tcW w:w="1417" w:type="dxa"/>
            <w:vAlign w:val="center"/>
          </w:tcPr>
          <w:p w14:paraId="059C7BC5" w14:textId="77777777" w:rsidR="00665B8E" w:rsidRPr="00050087" w:rsidRDefault="00665B8E" w:rsidP="00417449">
            <w:pPr>
              <w:spacing w:after="0"/>
              <w:jc w:val="center"/>
              <w:rPr>
                <w:szCs w:val="22"/>
              </w:rPr>
            </w:pPr>
            <w:r>
              <w:rPr>
                <w:szCs w:val="22"/>
              </w:rPr>
              <w:lastRenderedPageBreak/>
              <w:t>95%</w:t>
            </w:r>
          </w:p>
        </w:tc>
        <w:tc>
          <w:tcPr>
            <w:tcW w:w="1620" w:type="dxa"/>
            <w:vAlign w:val="center"/>
          </w:tcPr>
          <w:p w14:paraId="5F44EEEF" w14:textId="77777777" w:rsidR="00665B8E" w:rsidRPr="00050087" w:rsidRDefault="00665B8E" w:rsidP="00B97CF4">
            <w:pPr>
              <w:spacing w:after="0"/>
              <w:jc w:val="left"/>
              <w:rPr>
                <w:szCs w:val="22"/>
              </w:rPr>
            </w:pPr>
            <w:r>
              <w:rPr>
                <w:szCs w:val="22"/>
              </w:rPr>
              <w:t>Between Excellent and Exceptional</w:t>
            </w:r>
          </w:p>
        </w:tc>
        <w:tc>
          <w:tcPr>
            <w:tcW w:w="6205" w:type="dxa"/>
          </w:tcPr>
          <w:p w14:paraId="728F33C4" w14:textId="77777777" w:rsidR="00665B8E" w:rsidRPr="00050087" w:rsidRDefault="00665B8E" w:rsidP="00B97CF4">
            <w:pPr>
              <w:spacing w:after="0"/>
              <w:jc w:val="left"/>
              <w:rPr>
                <w:szCs w:val="22"/>
              </w:rPr>
            </w:pPr>
            <w:r w:rsidRPr="00050087">
              <w:rPr>
                <w:szCs w:val="22"/>
              </w:rPr>
              <w:t xml:space="preserve">Response fully addresses the requirements being scored with a </w:t>
            </w:r>
            <w:r>
              <w:rPr>
                <w:szCs w:val="22"/>
              </w:rPr>
              <w:t>better than excellent</w:t>
            </w:r>
            <w:r w:rsidRPr="00050087">
              <w:rPr>
                <w:szCs w:val="22"/>
              </w:rPr>
              <w:t xml:space="preserve"> degree of confidence in the applicant’s response or proposed solution.  Applicant offers one or more enhancing features, methods or approaches exceeding basic expectations.</w:t>
            </w:r>
          </w:p>
        </w:tc>
      </w:tr>
      <w:tr w:rsidR="00665B8E" w:rsidRPr="00050087" w14:paraId="74D8497E" w14:textId="77777777" w:rsidTr="00290811">
        <w:trPr>
          <w:trHeight w:val="253"/>
        </w:trPr>
        <w:tc>
          <w:tcPr>
            <w:tcW w:w="1417" w:type="dxa"/>
            <w:vAlign w:val="center"/>
          </w:tcPr>
          <w:p w14:paraId="7C4C2E8B" w14:textId="77777777" w:rsidR="00665B8E" w:rsidRPr="00050087" w:rsidRDefault="00665B8E" w:rsidP="00417449">
            <w:pPr>
              <w:spacing w:after="0"/>
              <w:jc w:val="center"/>
              <w:rPr>
                <w:szCs w:val="22"/>
              </w:rPr>
            </w:pPr>
            <w:r w:rsidRPr="00050087">
              <w:rPr>
                <w:szCs w:val="22"/>
              </w:rPr>
              <w:t>100%</w:t>
            </w:r>
          </w:p>
        </w:tc>
        <w:tc>
          <w:tcPr>
            <w:tcW w:w="1620" w:type="dxa"/>
            <w:vAlign w:val="center"/>
          </w:tcPr>
          <w:p w14:paraId="11A27293" w14:textId="77777777" w:rsidR="00665B8E" w:rsidRPr="00050087" w:rsidRDefault="00665B8E" w:rsidP="00B97CF4">
            <w:pPr>
              <w:spacing w:after="0"/>
              <w:jc w:val="left"/>
              <w:rPr>
                <w:szCs w:val="22"/>
              </w:rPr>
            </w:pPr>
            <w:r w:rsidRPr="00050087">
              <w:rPr>
                <w:szCs w:val="22"/>
              </w:rPr>
              <w:t>Exceptional</w:t>
            </w:r>
          </w:p>
        </w:tc>
        <w:tc>
          <w:tcPr>
            <w:tcW w:w="6205" w:type="dxa"/>
          </w:tcPr>
          <w:p w14:paraId="2012306B" w14:textId="39D22D9F" w:rsidR="00665B8E" w:rsidRPr="00050087" w:rsidRDefault="00665B8E" w:rsidP="00B97CF4">
            <w:pPr>
              <w:spacing w:after="0"/>
              <w:jc w:val="left"/>
              <w:rPr>
                <w:szCs w:val="22"/>
              </w:rPr>
            </w:pPr>
            <w:r w:rsidRPr="00050087">
              <w:rPr>
                <w:szCs w:val="22"/>
              </w:rPr>
              <w:t>All requirements are addressed with the highest degree of confidence in the applicant’s response or proposed solution. The response exceeds the requirements in providing multiple enhancing features, a creative approach, or an exceptional solution.</w:t>
            </w:r>
          </w:p>
        </w:tc>
      </w:tr>
    </w:tbl>
    <w:p w14:paraId="288851B3" w14:textId="77777777" w:rsidR="00665B8E" w:rsidRDefault="00665B8E" w:rsidP="00B97CF4">
      <w:pPr>
        <w:jc w:val="left"/>
        <w:rPr>
          <w:b/>
          <w:caps/>
          <w:u w:val="single"/>
        </w:rPr>
      </w:pPr>
    </w:p>
    <w:p w14:paraId="10B2FB4D" w14:textId="77777777" w:rsidR="00665B8E" w:rsidRPr="002F106F" w:rsidRDefault="00665B8E" w:rsidP="00B97CF4">
      <w:pPr>
        <w:jc w:val="left"/>
        <w:rPr>
          <w:b/>
          <w:caps/>
          <w:sz w:val="8"/>
          <w:szCs w:val="8"/>
          <w:u w:val="single"/>
        </w:rPr>
      </w:pPr>
    </w:p>
    <w:p w14:paraId="3D5F6016" w14:textId="77777777" w:rsidR="00665B8E" w:rsidRPr="00832B85" w:rsidRDefault="00665B8E" w:rsidP="00B97CF4">
      <w:pPr>
        <w:tabs>
          <w:tab w:val="left" w:pos="1530"/>
        </w:tabs>
        <w:jc w:val="left"/>
        <w:rPr>
          <w:b/>
          <w:szCs w:val="24"/>
        </w:rPr>
      </w:pPr>
      <w:r w:rsidRPr="00C31C1D">
        <w:br w:type="page"/>
      </w:r>
      <w:bookmarkEnd w:id="191"/>
      <w:bookmarkEnd w:id="192"/>
      <w:bookmarkEnd w:id="193"/>
      <w:r w:rsidRPr="00712558">
        <w:rPr>
          <w:b/>
          <w:caps/>
          <w:sz w:val="28"/>
        </w:rPr>
        <w:lastRenderedPageBreak/>
        <w:t>Scoring CRITERIA</w:t>
      </w:r>
    </w:p>
    <w:p w14:paraId="0E3C5A36" w14:textId="0E95FB75" w:rsidR="00665B8E" w:rsidRPr="00753B44" w:rsidRDefault="00665B8E" w:rsidP="00B97CF4">
      <w:pPr>
        <w:pStyle w:val="BodyText"/>
        <w:jc w:val="left"/>
        <w:rPr>
          <w:b/>
          <w:caps/>
          <w:sz w:val="28"/>
          <w:u w:val="single"/>
        </w:rPr>
      </w:pPr>
      <w:r w:rsidRPr="00616F23">
        <w:rPr>
          <w:b/>
        </w:rPr>
        <w:t xml:space="preserve">The Project Narrative Attachment </w:t>
      </w:r>
      <w:r w:rsidRPr="00616F23">
        <w:t>must respond to each criterion below. The responses must directly relate to the solicitation requirements and focus as stated in the solicitation. Any estimates of energy savings or GHG impacts should be calculated as specified in the References for Calculating Energy End-Use and GHG Emissions Attachment, to the extent that the references apply to the proposed project.</w:t>
      </w:r>
      <w:r w:rsidRPr="003A2FCD">
        <w:rPr>
          <w:b/>
          <w:caps/>
          <w:sz w:val="28"/>
          <w:u w:val="single"/>
        </w:rPr>
        <w:t xml:space="preserve"> </w:t>
      </w:r>
    </w:p>
    <w:tbl>
      <w:tblPr>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Formula for ratio of Direct Costs to Indirects Costs"/>
        <w:tblDescription w:val="The score for this criterion is determined by taking the total direct labor and divide it by the sum of total direct labor, total direct fringe, total indirect, and total profit."/>
      </w:tblPr>
      <w:tblGrid>
        <w:gridCol w:w="8362"/>
        <w:gridCol w:w="1342"/>
      </w:tblGrid>
      <w:tr w:rsidR="00665B8E" w:rsidRPr="00616F23" w14:paraId="0198AFE9" w14:textId="77777777" w:rsidTr="00A85A94">
        <w:trPr>
          <w:trHeight w:val="550"/>
          <w:tblHeader/>
        </w:trPr>
        <w:tc>
          <w:tcPr>
            <w:tcW w:w="8362" w:type="dxa"/>
            <w:shd w:val="clear" w:color="auto" w:fill="D9D9D9" w:themeFill="background1" w:themeFillShade="D9"/>
            <w:vAlign w:val="bottom"/>
          </w:tcPr>
          <w:p w14:paraId="3C5D8064" w14:textId="77777777" w:rsidR="00665B8E" w:rsidRPr="00616F23" w:rsidRDefault="00665B8E" w:rsidP="00B97CF4">
            <w:pPr>
              <w:jc w:val="left"/>
              <w:rPr>
                <w:b/>
                <w:i/>
                <w:sz w:val="20"/>
              </w:rPr>
            </w:pPr>
            <w:r w:rsidRPr="00616F23">
              <w:rPr>
                <w:b/>
              </w:rPr>
              <w:t>Scoring Criteria</w:t>
            </w:r>
          </w:p>
        </w:tc>
        <w:tc>
          <w:tcPr>
            <w:tcW w:w="1342" w:type="dxa"/>
            <w:shd w:val="clear" w:color="auto" w:fill="D9D9D9" w:themeFill="background1" w:themeFillShade="D9"/>
            <w:vAlign w:val="center"/>
          </w:tcPr>
          <w:p w14:paraId="6A134DB3" w14:textId="77777777" w:rsidR="00665B8E" w:rsidRPr="00616F23" w:rsidRDefault="00665B8E" w:rsidP="00B97CF4">
            <w:pPr>
              <w:spacing w:after="0"/>
              <w:jc w:val="left"/>
              <w:rPr>
                <w:b/>
              </w:rPr>
            </w:pPr>
            <w:r>
              <w:rPr>
                <w:b/>
              </w:rPr>
              <w:t xml:space="preserve">Possible </w:t>
            </w:r>
            <w:r w:rsidRPr="00616F23">
              <w:rPr>
                <w:b/>
              </w:rPr>
              <w:t>Points</w:t>
            </w:r>
          </w:p>
        </w:tc>
      </w:tr>
      <w:tr w:rsidR="00665B8E" w:rsidRPr="00616F23" w14:paraId="1F602409" w14:textId="77777777" w:rsidTr="00A85A94">
        <w:tc>
          <w:tcPr>
            <w:tcW w:w="8362" w:type="dxa"/>
          </w:tcPr>
          <w:p w14:paraId="59A135FD" w14:textId="77777777" w:rsidR="00665B8E" w:rsidRPr="00616F23" w:rsidRDefault="00665B8E" w:rsidP="00B97CF4">
            <w:pPr>
              <w:numPr>
                <w:ilvl w:val="0"/>
                <w:numId w:val="15"/>
              </w:numPr>
              <w:spacing w:before="120"/>
              <w:jc w:val="left"/>
              <w:rPr>
                <w:rFonts w:cs="Times New Roman"/>
                <w:b/>
                <w:bCs/>
                <w:smallCaps/>
              </w:rPr>
            </w:pPr>
            <w:bookmarkStart w:id="248" w:name="_Toc366671201"/>
            <w:r w:rsidRPr="00616F23">
              <w:rPr>
                <w:b/>
              </w:rPr>
              <w:t>Technical Merit</w:t>
            </w:r>
            <w:bookmarkEnd w:id="248"/>
            <w:r w:rsidRPr="00616F23">
              <w:rPr>
                <w:b/>
              </w:rPr>
              <w:t xml:space="preserve"> </w:t>
            </w:r>
          </w:p>
          <w:p w14:paraId="18A11B88" w14:textId="77777777" w:rsidR="00665B8E" w:rsidRPr="00616F23" w:rsidRDefault="00665B8E" w:rsidP="00B97CF4">
            <w:pPr>
              <w:numPr>
                <w:ilvl w:val="0"/>
                <w:numId w:val="7"/>
              </w:numPr>
              <w:ind w:left="1140"/>
              <w:jc w:val="left"/>
            </w:pPr>
            <w:r w:rsidRPr="00616F23">
              <w:t xml:space="preserve">The proposed project provides a clear and concise description of the technological, scientific knowledge advancement, and/or innovation </w:t>
            </w:r>
            <w:r w:rsidRPr="00616F23">
              <w:rPr>
                <w:szCs w:val="22"/>
              </w:rPr>
              <w:t>that will overcome barriers to achieving the State’s statutory energy goals.</w:t>
            </w:r>
          </w:p>
          <w:p w14:paraId="71AC7DC7" w14:textId="77777777" w:rsidR="00665B8E" w:rsidRPr="00616F23" w:rsidRDefault="00665B8E" w:rsidP="00B97CF4">
            <w:pPr>
              <w:numPr>
                <w:ilvl w:val="0"/>
                <w:numId w:val="7"/>
              </w:numPr>
              <w:ind w:left="1140"/>
              <w:jc w:val="left"/>
            </w:pPr>
            <w:r w:rsidRPr="00616F23">
              <w:t>Describe how the proposed model/tool/study will be used by key stakeholders (e.g. policy-makers, project developers, other researchers, etc.).</w:t>
            </w:r>
          </w:p>
          <w:p w14:paraId="01622505" w14:textId="77777777" w:rsidR="00665B8E" w:rsidRPr="00616F23" w:rsidRDefault="00665B8E" w:rsidP="00B97CF4">
            <w:pPr>
              <w:numPr>
                <w:ilvl w:val="0"/>
                <w:numId w:val="7"/>
              </w:numPr>
              <w:ind w:left="1140"/>
              <w:jc w:val="left"/>
            </w:pPr>
            <w:r w:rsidRPr="00616F23">
              <w:t>Describes the advantage of the proposed model/tool/study over that currently being used by key stakeholders.</w:t>
            </w:r>
          </w:p>
          <w:p w14:paraId="1621CF44" w14:textId="02456E72" w:rsidR="00665B8E" w:rsidRPr="00616F23" w:rsidRDefault="00665B8E" w:rsidP="00B97CF4">
            <w:pPr>
              <w:numPr>
                <w:ilvl w:val="0"/>
                <w:numId w:val="7"/>
              </w:numPr>
              <w:ind w:left="1140"/>
              <w:jc w:val="left"/>
            </w:pPr>
            <w:r w:rsidRPr="00616F23">
              <w:t>Provides information described in Section I.</w:t>
            </w:r>
            <w:r>
              <w:t>C</w:t>
            </w:r>
            <w:r w:rsidRPr="00616F23">
              <w:t>.</w:t>
            </w:r>
          </w:p>
        </w:tc>
        <w:tc>
          <w:tcPr>
            <w:tcW w:w="1342" w:type="dxa"/>
          </w:tcPr>
          <w:p w14:paraId="2A1915A5" w14:textId="77777777" w:rsidR="00665B8E" w:rsidRPr="00616F23" w:rsidRDefault="00665B8E" w:rsidP="00573865">
            <w:pPr>
              <w:spacing w:before="120"/>
              <w:jc w:val="center"/>
              <w:rPr>
                <w:b/>
              </w:rPr>
            </w:pPr>
            <w:r w:rsidRPr="00616F23">
              <w:rPr>
                <w:b/>
              </w:rPr>
              <w:t>15</w:t>
            </w:r>
          </w:p>
        </w:tc>
      </w:tr>
      <w:tr w:rsidR="00665B8E" w:rsidRPr="00616F23" w14:paraId="0D10C89A" w14:textId="77777777" w:rsidTr="00A85A94">
        <w:tc>
          <w:tcPr>
            <w:tcW w:w="8362" w:type="dxa"/>
          </w:tcPr>
          <w:p w14:paraId="46533B3B" w14:textId="77777777" w:rsidR="00665B8E" w:rsidRPr="00616F23" w:rsidRDefault="00665B8E" w:rsidP="00B97CF4">
            <w:pPr>
              <w:numPr>
                <w:ilvl w:val="0"/>
                <w:numId w:val="15"/>
              </w:numPr>
              <w:spacing w:before="120"/>
              <w:jc w:val="left"/>
              <w:rPr>
                <w:rFonts w:cs="Times New Roman"/>
                <w:b/>
                <w:bCs/>
                <w:smallCaps/>
              </w:rPr>
            </w:pPr>
            <w:bookmarkStart w:id="249" w:name="ScoringCrit2"/>
            <w:bookmarkStart w:id="250" w:name="_Toc366671202"/>
            <w:bookmarkEnd w:id="249"/>
            <w:r w:rsidRPr="00616F23">
              <w:rPr>
                <w:b/>
              </w:rPr>
              <w:t>Technical Approach</w:t>
            </w:r>
            <w:bookmarkEnd w:id="250"/>
            <w:r w:rsidRPr="00616F23">
              <w:rPr>
                <w:b/>
              </w:rPr>
              <w:t xml:space="preserve"> </w:t>
            </w:r>
          </w:p>
          <w:p w14:paraId="02143359" w14:textId="77777777" w:rsidR="00665B8E" w:rsidRPr="00616F23" w:rsidRDefault="00665B8E" w:rsidP="00B97CF4">
            <w:pPr>
              <w:numPr>
                <w:ilvl w:val="0"/>
                <w:numId w:val="26"/>
              </w:numPr>
              <w:ind w:left="1140"/>
              <w:jc w:val="left"/>
            </w:pPr>
            <w:r w:rsidRPr="0062347E">
              <w:t>The application</w:t>
            </w:r>
            <w:r w:rsidRPr="00616F23">
              <w:t xml:space="preserve"> describes the technique, approach, and methods to be used in performing the work described in the Scope of Work. </w:t>
            </w:r>
          </w:p>
          <w:p w14:paraId="5C027E26" w14:textId="77777777" w:rsidR="00665B8E" w:rsidRPr="00616F23" w:rsidRDefault="00665B8E" w:rsidP="00B97CF4">
            <w:pPr>
              <w:numPr>
                <w:ilvl w:val="0"/>
                <w:numId w:val="26"/>
              </w:numPr>
              <w:ind w:left="1140"/>
              <w:jc w:val="left"/>
            </w:pPr>
            <w:r w:rsidRPr="00616F23">
              <w:t>The Scope of Work identifies goals, objectives, and deliverables, details the work to be performed, and aligns with the information presented in Project Narrative.</w:t>
            </w:r>
          </w:p>
          <w:p w14:paraId="66AE6713" w14:textId="77777777" w:rsidR="00665B8E" w:rsidRPr="00616F23" w:rsidRDefault="00665B8E" w:rsidP="00B97CF4">
            <w:pPr>
              <w:numPr>
                <w:ilvl w:val="0"/>
                <w:numId w:val="26"/>
              </w:numPr>
              <w:ind w:left="1140"/>
              <w:jc w:val="left"/>
            </w:pPr>
            <w:r w:rsidRPr="0062347E">
              <w:t>The application</w:t>
            </w:r>
            <w:r w:rsidRPr="00616F23">
              <w:t xml:space="preserve"> identifies the reliability that the project and site recommendations as described will be carried out if funds are awarded.</w:t>
            </w:r>
          </w:p>
          <w:p w14:paraId="4BB52AA1" w14:textId="68268ADC" w:rsidR="00665B8E" w:rsidRPr="00616F23" w:rsidRDefault="00665B8E" w:rsidP="00B97CF4">
            <w:pPr>
              <w:numPr>
                <w:ilvl w:val="0"/>
                <w:numId w:val="26"/>
              </w:numPr>
              <w:ind w:left="1140"/>
              <w:jc w:val="left"/>
            </w:pPr>
            <w:r w:rsidRPr="00616F23">
              <w:t xml:space="preserve">Identifies and discusses factors critical for success, in addition to risks, barriers, and limitations (e.g. loss of </w:t>
            </w:r>
            <w:r w:rsidR="006D20EA">
              <w:t xml:space="preserve">pilot testing </w:t>
            </w:r>
            <w:r w:rsidRPr="00616F23">
              <w:t>site, key sub</w:t>
            </w:r>
            <w:r>
              <w:t>recipient</w:t>
            </w:r>
            <w:r w:rsidRPr="00616F23">
              <w:t xml:space="preserve">). Provides a plan to address them. </w:t>
            </w:r>
          </w:p>
          <w:p w14:paraId="00313D75" w14:textId="77777777" w:rsidR="00665B8E" w:rsidRPr="00616F23" w:rsidRDefault="00665B8E" w:rsidP="00B97CF4">
            <w:pPr>
              <w:numPr>
                <w:ilvl w:val="0"/>
                <w:numId w:val="26"/>
              </w:numPr>
              <w:ind w:left="1140"/>
              <w:jc w:val="left"/>
            </w:pPr>
            <w:r w:rsidRPr="00616F23">
              <w:t>Discusses the degree to which the proposed work is technically feasible and achievable within the proposed Project Schedule and the key activities schedule in Section I.</w:t>
            </w:r>
            <w:r>
              <w:t>E</w:t>
            </w:r>
            <w:r w:rsidRPr="00616F23">
              <w:t>.</w:t>
            </w:r>
          </w:p>
          <w:p w14:paraId="28F9CAAC" w14:textId="4ACCB77A" w:rsidR="00665B8E" w:rsidRPr="00616F23" w:rsidRDefault="00665B8E" w:rsidP="00B97CF4">
            <w:pPr>
              <w:pStyle w:val="ListParagraph"/>
              <w:numPr>
                <w:ilvl w:val="0"/>
                <w:numId w:val="26"/>
              </w:numPr>
              <w:jc w:val="left"/>
            </w:pPr>
            <w:r w:rsidRPr="00616F23">
              <w:t>Describes the knowledge transfer plan, including how key stakeholders and potential users will be engaged, and the plan to disseminate knowledge of the project’s results to those stakeholders and users.</w:t>
            </w:r>
          </w:p>
          <w:p w14:paraId="7DE3F17E" w14:textId="79EB2A8B" w:rsidR="00665B8E" w:rsidRPr="00616F23" w:rsidRDefault="00665B8E" w:rsidP="00B97CF4">
            <w:pPr>
              <w:numPr>
                <w:ilvl w:val="0"/>
                <w:numId w:val="26"/>
              </w:numPr>
              <w:ind w:left="1140"/>
              <w:jc w:val="left"/>
              <w:rPr>
                <w:rFonts w:cs="Times New Roman"/>
                <w:b/>
                <w:smallCaps/>
                <w:color w:val="FF0000"/>
              </w:rPr>
            </w:pPr>
            <w:r w:rsidRPr="00616F23">
              <w:lastRenderedPageBreak/>
              <w:t>Provides information described in Section I.</w:t>
            </w:r>
            <w:r>
              <w:t>C</w:t>
            </w:r>
            <w:r w:rsidRPr="00616F23">
              <w:t>.</w:t>
            </w:r>
            <w:r w:rsidRPr="00616F23" w:rsidDel="00520068">
              <w:rPr>
                <w:color w:val="0070C0"/>
              </w:rPr>
              <w:t xml:space="preserve"> </w:t>
            </w:r>
          </w:p>
        </w:tc>
        <w:tc>
          <w:tcPr>
            <w:tcW w:w="1342" w:type="dxa"/>
          </w:tcPr>
          <w:p w14:paraId="2CB46F47" w14:textId="77777777" w:rsidR="00665B8E" w:rsidRPr="00616F23" w:rsidRDefault="00665B8E" w:rsidP="00573865">
            <w:pPr>
              <w:spacing w:before="120"/>
              <w:jc w:val="center"/>
              <w:rPr>
                <w:b/>
              </w:rPr>
            </w:pPr>
            <w:r w:rsidRPr="00616F23">
              <w:rPr>
                <w:b/>
              </w:rPr>
              <w:lastRenderedPageBreak/>
              <w:t>25</w:t>
            </w:r>
          </w:p>
          <w:p w14:paraId="211DBE0D" w14:textId="77777777" w:rsidR="00665B8E" w:rsidRPr="00616F23" w:rsidRDefault="00665B8E" w:rsidP="00573865">
            <w:pPr>
              <w:keepNext/>
              <w:keepLines/>
              <w:spacing w:before="60" w:after="60"/>
              <w:jc w:val="center"/>
              <w:outlineLvl w:val="2"/>
              <w:rPr>
                <w:b/>
                <w:sz w:val="18"/>
                <w:szCs w:val="18"/>
              </w:rPr>
            </w:pPr>
          </w:p>
        </w:tc>
      </w:tr>
      <w:tr w:rsidR="00665B8E" w:rsidRPr="00616F23" w14:paraId="24EF9AB3" w14:textId="77777777" w:rsidTr="00A85A94">
        <w:trPr>
          <w:trHeight w:val="422"/>
        </w:trPr>
        <w:tc>
          <w:tcPr>
            <w:tcW w:w="8362" w:type="dxa"/>
          </w:tcPr>
          <w:p w14:paraId="57EC612F" w14:textId="77777777" w:rsidR="00665B8E" w:rsidRPr="00616F23" w:rsidRDefault="00665B8E" w:rsidP="00B97CF4">
            <w:pPr>
              <w:numPr>
                <w:ilvl w:val="0"/>
                <w:numId w:val="15"/>
              </w:numPr>
              <w:spacing w:before="120"/>
              <w:jc w:val="left"/>
              <w:rPr>
                <w:rFonts w:cs="Times New Roman"/>
                <w:b/>
                <w:bCs/>
                <w:smallCaps/>
              </w:rPr>
            </w:pPr>
            <w:bookmarkStart w:id="251" w:name="_Toc366671203"/>
            <w:r w:rsidRPr="00616F23">
              <w:rPr>
                <w:b/>
              </w:rPr>
              <w:t>Impacts and Benefits for California</w:t>
            </w:r>
            <w:bookmarkEnd w:id="251"/>
            <w:r w:rsidRPr="00616F23">
              <w:rPr>
                <w:b/>
              </w:rPr>
              <w:t xml:space="preserve"> IOU Ratepayers </w:t>
            </w:r>
          </w:p>
          <w:p w14:paraId="520C2D72" w14:textId="09AEEF40" w:rsidR="00665B8E" w:rsidRPr="00616F23" w:rsidRDefault="00665B8E" w:rsidP="00B97CF4">
            <w:pPr>
              <w:numPr>
                <w:ilvl w:val="0"/>
                <w:numId w:val="8"/>
              </w:numPr>
              <w:spacing w:after="60"/>
              <w:ind w:left="1140"/>
              <w:jc w:val="left"/>
            </w:pPr>
            <w:r w:rsidRPr="00616F23">
              <w:t xml:space="preserve">Explains how the proposed project will benefit IOU ratepayers and provides clear, plausible, and justifiable (quantitative preferred) potential benefits. Estimates the energy benefits including: </w:t>
            </w:r>
          </w:p>
          <w:p w14:paraId="3838422F" w14:textId="7F9F07F8" w:rsidR="00665B8E" w:rsidRPr="001E61D0" w:rsidRDefault="00F73DD0" w:rsidP="00B97CF4">
            <w:pPr>
              <w:numPr>
                <w:ilvl w:val="1"/>
                <w:numId w:val="13"/>
              </w:numPr>
              <w:spacing w:after="60"/>
              <w:jc w:val="left"/>
              <w:rPr>
                <w:strike/>
              </w:rPr>
            </w:pPr>
            <w:r w:rsidRPr="00F73DD0">
              <w:rPr>
                <w:rFonts w:eastAsia="Arial"/>
              </w:rPr>
              <w:t xml:space="preserve">Improvements to data and analytical tools available to support resilient, reliable electricity sector planning, operations, and </w:t>
            </w:r>
            <w:r w:rsidRPr="001E61D0">
              <w:rPr>
                <w:rFonts w:eastAsia="Arial"/>
              </w:rPr>
              <w:t xml:space="preserve">infrastructure investment. </w:t>
            </w:r>
          </w:p>
          <w:p w14:paraId="614FE1C2" w14:textId="77777777" w:rsidR="00665B8E" w:rsidRPr="001E61D0" w:rsidRDefault="00665B8E" w:rsidP="00B97CF4">
            <w:pPr>
              <w:spacing w:after="60"/>
              <w:ind w:left="720"/>
              <w:jc w:val="left"/>
              <w:rPr>
                <w:b/>
              </w:rPr>
            </w:pPr>
            <w:r w:rsidRPr="001E61D0">
              <w:rPr>
                <w:b/>
              </w:rPr>
              <w:t xml:space="preserve">In addition, estimates the non-energy benefits including: </w:t>
            </w:r>
          </w:p>
          <w:p w14:paraId="5094C3C4" w14:textId="74E8040D" w:rsidR="00665B8E" w:rsidRPr="001E61D0" w:rsidRDefault="00F73DD0" w:rsidP="00B97CF4">
            <w:pPr>
              <w:numPr>
                <w:ilvl w:val="0"/>
                <w:numId w:val="12"/>
              </w:numPr>
              <w:spacing w:after="60"/>
              <w:jc w:val="left"/>
            </w:pPr>
            <w:r w:rsidRPr="001E61D0">
              <w:t>GHG</w:t>
            </w:r>
            <w:r w:rsidR="00665B8E" w:rsidRPr="001E61D0">
              <w:t xml:space="preserve"> emission reductions, </w:t>
            </w:r>
            <w:r w:rsidR="00EA631C">
              <w:t>health-damaging</w:t>
            </w:r>
            <w:r w:rsidR="00907014">
              <w:t xml:space="preserve"> </w:t>
            </w:r>
            <w:r w:rsidR="00665B8E" w:rsidRPr="001E61D0">
              <w:t xml:space="preserve">air </w:t>
            </w:r>
            <w:r w:rsidR="00907014">
              <w:t xml:space="preserve">pollutant </w:t>
            </w:r>
            <w:r w:rsidR="00665B8E" w:rsidRPr="001E61D0">
              <w:t>emission reductions (e.g. NOx), water savings</w:t>
            </w:r>
            <w:r w:rsidR="00907014">
              <w:t xml:space="preserve"> and</w:t>
            </w:r>
            <w:r w:rsidR="00665B8E" w:rsidRPr="001E61D0">
              <w:t xml:space="preserve"> cost reduction, and</w:t>
            </w:r>
            <w:r w:rsidR="001E61D0" w:rsidRPr="001E61D0">
              <w:t xml:space="preserve"> associated </w:t>
            </w:r>
            <w:r w:rsidR="00665B8E" w:rsidRPr="001E61D0">
              <w:t>safety</w:t>
            </w:r>
            <w:r w:rsidR="001E61D0" w:rsidRPr="001E61D0">
              <w:t xml:space="preserve"> and equity improvements</w:t>
            </w:r>
            <w:r w:rsidR="00665B8E" w:rsidRPr="001E61D0">
              <w:t>.</w:t>
            </w:r>
          </w:p>
          <w:p w14:paraId="76270C71" w14:textId="77777777" w:rsidR="00665B8E" w:rsidRPr="00E57A9D" w:rsidRDefault="00665B8E" w:rsidP="00B97CF4">
            <w:pPr>
              <w:numPr>
                <w:ilvl w:val="0"/>
                <w:numId w:val="8"/>
              </w:numPr>
              <w:spacing w:after="60"/>
              <w:ind w:left="1140"/>
              <w:jc w:val="left"/>
            </w:pPr>
            <w:r w:rsidRPr="00616F23">
              <w:t>States the timeframe, assumptions with sources, and calculations for the estimated benefits, and explains their reasonableness. Include baseline or “business a</w:t>
            </w:r>
            <w:r w:rsidRPr="00E57A9D">
              <w:t xml:space="preserve">s usual” over timeframe. </w:t>
            </w:r>
          </w:p>
          <w:p w14:paraId="69850FDF" w14:textId="0E2F9D1D" w:rsidR="00665B8E" w:rsidRPr="00616F23" w:rsidRDefault="00665B8E" w:rsidP="00B97CF4">
            <w:pPr>
              <w:numPr>
                <w:ilvl w:val="0"/>
                <w:numId w:val="8"/>
              </w:numPr>
              <w:spacing w:after="60"/>
              <w:ind w:left="1140"/>
              <w:jc w:val="left"/>
            </w:pPr>
            <w:r w:rsidRPr="00E57A9D">
              <w:t xml:space="preserve">Identifies how outputs of the </w:t>
            </w:r>
            <w:r w:rsidR="00E57A9D" w:rsidRPr="00E57A9D">
              <w:t>model or study</w:t>
            </w:r>
            <w:r w:rsidRPr="00E57A9D">
              <w:t xml:space="preserve"> w</w:t>
            </w:r>
            <w:r w:rsidRPr="00616F23">
              <w:t>ill benefit key stakeholders (e.g., streamline planning, help eliminate barriers, stimulate growth of applicable market sectors).</w:t>
            </w:r>
          </w:p>
        </w:tc>
        <w:tc>
          <w:tcPr>
            <w:tcW w:w="1342" w:type="dxa"/>
          </w:tcPr>
          <w:p w14:paraId="30BEDB4B" w14:textId="77777777" w:rsidR="00665B8E" w:rsidRPr="00616F23" w:rsidRDefault="00665B8E" w:rsidP="00573865">
            <w:pPr>
              <w:spacing w:before="120"/>
              <w:jc w:val="center"/>
            </w:pPr>
            <w:r w:rsidRPr="00616F23">
              <w:rPr>
                <w:b/>
              </w:rPr>
              <w:t>20</w:t>
            </w:r>
          </w:p>
        </w:tc>
      </w:tr>
      <w:tr w:rsidR="00665B8E" w:rsidRPr="00616F23" w14:paraId="50B01528" w14:textId="77777777" w:rsidTr="00A85A94">
        <w:trPr>
          <w:trHeight w:val="3248"/>
        </w:trPr>
        <w:tc>
          <w:tcPr>
            <w:tcW w:w="8362" w:type="dxa"/>
          </w:tcPr>
          <w:p w14:paraId="170E7F53" w14:textId="77777777" w:rsidR="00665B8E" w:rsidRPr="00616F23" w:rsidRDefault="00665B8E" w:rsidP="00B97CF4">
            <w:pPr>
              <w:numPr>
                <w:ilvl w:val="0"/>
                <w:numId w:val="15"/>
              </w:numPr>
              <w:spacing w:before="120"/>
              <w:jc w:val="left"/>
              <w:rPr>
                <w:rFonts w:cs="Times New Roman"/>
                <w:b/>
                <w:bCs/>
                <w:smallCaps/>
              </w:rPr>
            </w:pPr>
            <w:bookmarkStart w:id="252" w:name="ScoringCrit4"/>
            <w:bookmarkStart w:id="253" w:name="_Toc366671205"/>
            <w:bookmarkEnd w:id="252"/>
            <w:r w:rsidRPr="00616F23">
              <w:rPr>
                <w:b/>
              </w:rPr>
              <w:t>Team Qualifications, Capabilities, and Resources</w:t>
            </w:r>
            <w:bookmarkEnd w:id="253"/>
          </w:p>
          <w:p w14:paraId="223752C5" w14:textId="77777777" w:rsidR="00665B8E" w:rsidRPr="00616F23" w:rsidRDefault="00665B8E" w:rsidP="00B97CF4">
            <w:pPr>
              <w:ind w:left="720"/>
              <w:jc w:val="left"/>
            </w:pPr>
            <w:r w:rsidRPr="00616F23">
              <w:t xml:space="preserve">Evaluations of ongoing or previous projects </w:t>
            </w:r>
            <w:r>
              <w:t xml:space="preserve">including project performance by applicant and team members </w:t>
            </w:r>
            <w:r w:rsidRPr="00616F23">
              <w:t>will be used in scoring for this criterion.</w:t>
            </w:r>
            <w:r>
              <w:t xml:space="preserve"> </w:t>
            </w:r>
          </w:p>
          <w:p w14:paraId="3F6F0B36" w14:textId="77777777" w:rsidR="00665B8E" w:rsidRPr="00616F23" w:rsidRDefault="00665B8E" w:rsidP="00B97CF4">
            <w:pPr>
              <w:numPr>
                <w:ilvl w:val="0"/>
                <w:numId w:val="9"/>
              </w:numPr>
              <w:ind w:left="1140"/>
              <w:jc w:val="left"/>
            </w:pPr>
            <w:r w:rsidRPr="00616F23">
              <w:t xml:space="preserve">Identifies credentials of </w:t>
            </w:r>
            <w:r>
              <w:t>applicant</w:t>
            </w:r>
            <w:r w:rsidRPr="00616F23">
              <w:t xml:space="preserve"> and any sub</w:t>
            </w:r>
            <w:r w:rsidRPr="00A01B6B">
              <w:t>recipient and sub-subrecipient</w:t>
            </w:r>
            <w:r w:rsidRPr="00616F23">
              <w:t xml:space="preserve"> key personnel, including the project manager, principal investigator and technology and knowledge transfer lead </w:t>
            </w:r>
            <w:r w:rsidRPr="00616F23">
              <w:rPr>
                <w:i/>
              </w:rPr>
              <w:t>(include this information in the Project Team Form</w:t>
            </w:r>
            <w:r>
              <w:rPr>
                <w:i/>
              </w:rPr>
              <w:t xml:space="preserve"> Attachment</w:t>
            </w:r>
            <w:r w:rsidRPr="00616F23">
              <w:rPr>
                <w:i/>
              </w:rPr>
              <w:t>).</w:t>
            </w:r>
          </w:p>
          <w:p w14:paraId="220DE093" w14:textId="1A0159A4" w:rsidR="00665B8E" w:rsidRPr="00616F23" w:rsidRDefault="00665B8E" w:rsidP="00B97CF4">
            <w:pPr>
              <w:numPr>
                <w:ilvl w:val="0"/>
                <w:numId w:val="9"/>
              </w:numPr>
              <w:ind w:left="1140"/>
              <w:jc w:val="left"/>
            </w:pPr>
            <w:r w:rsidRPr="00616F23">
              <w:t>Demonstrates that the project team has appropriate qualifications, experience, financial stability and capability to complete the project.</w:t>
            </w:r>
          </w:p>
          <w:p w14:paraId="096D2599" w14:textId="77777777" w:rsidR="00665B8E" w:rsidRPr="00616F23" w:rsidRDefault="00665B8E" w:rsidP="00B97CF4">
            <w:pPr>
              <w:numPr>
                <w:ilvl w:val="0"/>
                <w:numId w:val="9"/>
              </w:numPr>
              <w:ind w:left="1140"/>
              <w:jc w:val="left"/>
            </w:pPr>
            <w:r w:rsidRPr="00616F23">
              <w:t>Explains the team structure and how various tasks will be managed and coordinated.</w:t>
            </w:r>
          </w:p>
          <w:p w14:paraId="3B4808EB" w14:textId="77777777" w:rsidR="00665B8E" w:rsidRPr="00616F23" w:rsidRDefault="00665B8E" w:rsidP="00B97CF4">
            <w:pPr>
              <w:numPr>
                <w:ilvl w:val="0"/>
                <w:numId w:val="9"/>
              </w:numPr>
              <w:ind w:left="1140"/>
              <w:jc w:val="left"/>
            </w:pPr>
            <w:r w:rsidRPr="00616F23">
              <w:t>Describes the facilities, infrastructure, and resources available that directly support the project.</w:t>
            </w:r>
          </w:p>
          <w:p w14:paraId="558AEAE6" w14:textId="77777777" w:rsidR="00665B8E" w:rsidRPr="00616F23" w:rsidRDefault="00665B8E" w:rsidP="00B97CF4">
            <w:pPr>
              <w:numPr>
                <w:ilvl w:val="0"/>
                <w:numId w:val="9"/>
              </w:numPr>
              <w:ind w:left="1140"/>
              <w:jc w:val="left"/>
            </w:pPr>
            <w:r w:rsidRPr="00616F23">
              <w:t>Describes the team’s history of successfully completing projects in the past 10 years including subsequent deployments and commercialization.</w:t>
            </w:r>
          </w:p>
        </w:tc>
        <w:tc>
          <w:tcPr>
            <w:tcW w:w="1342" w:type="dxa"/>
          </w:tcPr>
          <w:p w14:paraId="4D6256FD" w14:textId="77777777" w:rsidR="00665B8E" w:rsidRPr="00616F23" w:rsidRDefault="00665B8E" w:rsidP="00573865">
            <w:pPr>
              <w:spacing w:before="120"/>
              <w:jc w:val="center"/>
              <w:rPr>
                <w:b/>
              </w:rPr>
            </w:pPr>
            <w:r w:rsidRPr="00616F23">
              <w:rPr>
                <w:b/>
              </w:rPr>
              <w:t>15</w:t>
            </w:r>
          </w:p>
        </w:tc>
      </w:tr>
      <w:tr w:rsidR="00665B8E" w:rsidRPr="00616F23" w14:paraId="018C4487" w14:textId="77777777" w:rsidTr="00A85A94">
        <w:trPr>
          <w:cantSplit/>
          <w:trHeight w:val="485"/>
        </w:trPr>
        <w:tc>
          <w:tcPr>
            <w:tcW w:w="8362" w:type="dxa"/>
            <w:shd w:val="clear" w:color="auto" w:fill="D9D9D9" w:themeFill="background1" w:themeFillShade="D9"/>
          </w:tcPr>
          <w:p w14:paraId="0E2872EE" w14:textId="77777777" w:rsidR="00665B8E" w:rsidRPr="00616F23" w:rsidRDefault="00665B8E" w:rsidP="00B97CF4">
            <w:pPr>
              <w:spacing w:before="60" w:after="0"/>
              <w:ind w:left="360"/>
              <w:jc w:val="left"/>
              <w:rPr>
                <w:b/>
              </w:rPr>
            </w:pPr>
            <w:bookmarkStart w:id="254" w:name="ScoringTotalCrit1"/>
            <w:bookmarkEnd w:id="254"/>
            <w:r w:rsidRPr="00616F23">
              <w:rPr>
                <w:b/>
              </w:rPr>
              <w:lastRenderedPageBreak/>
              <w:t xml:space="preserve">Total Possible Points for criteria 1− </w:t>
            </w:r>
            <w:r>
              <w:rPr>
                <w:b/>
              </w:rPr>
              <w:t>4</w:t>
            </w:r>
          </w:p>
          <w:p w14:paraId="40CDCE4E" w14:textId="77777777" w:rsidR="00665B8E" w:rsidRPr="00616F23" w:rsidRDefault="00665B8E" w:rsidP="00B97CF4">
            <w:pPr>
              <w:spacing w:after="0"/>
              <w:ind w:left="360"/>
              <w:jc w:val="left"/>
              <w:rPr>
                <w:b/>
              </w:rPr>
            </w:pPr>
            <w:r w:rsidRPr="00616F23">
              <w:rPr>
                <w:b/>
              </w:rPr>
              <w:t xml:space="preserve">(Minimum Passing Score for criteria 1− </w:t>
            </w:r>
            <w:r>
              <w:rPr>
                <w:b/>
              </w:rPr>
              <w:t>4</w:t>
            </w:r>
            <w:r w:rsidRPr="00616F23">
              <w:rPr>
                <w:b/>
              </w:rPr>
              <w:t xml:space="preserve"> is 70% or </w:t>
            </w:r>
            <w:r>
              <w:rPr>
                <w:b/>
                <w:u w:val="single"/>
              </w:rPr>
              <w:t>52</w:t>
            </w:r>
            <w:r w:rsidRPr="00616F23">
              <w:rPr>
                <w:b/>
                <w:u w:val="single"/>
              </w:rPr>
              <w:t>.</w:t>
            </w:r>
            <w:r>
              <w:rPr>
                <w:b/>
                <w:u w:val="single"/>
              </w:rPr>
              <w:t>5</w:t>
            </w:r>
            <w:r w:rsidRPr="00616F23">
              <w:rPr>
                <w:b/>
                <w:u w:val="single"/>
              </w:rPr>
              <w:t>0</w:t>
            </w:r>
            <w:r w:rsidRPr="00616F23">
              <w:rPr>
                <w:b/>
              </w:rPr>
              <w:t>)</w:t>
            </w:r>
          </w:p>
        </w:tc>
        <w:tc>
          <w:tcPr>
            <w:tcW w:w="1342" w:type="dxa"/>
            <w:shd w:val="clear" w:color="auto" w:fill="D9D9D9" w:themeFill="background1" w:themeFillShade="D9"/>
          </w:tcPr>
          <w:p w14:paraId="327068DE" w14:textId="77777777" w:rsidR="00665B8E" w:rsidRPr="00616F23" w:rsidRDefault="00665B8E" w:rsidP="00573865">
            <w:pPr>
              <w:spacing w:after="0"/>
              <w:jc w:val="center"/>
              <w:rPr>
                <w:b/>
              </w:rPr>
            </w:pPr>
          </w:p>
          <w:p w14:paraId="1D73E105" w14:textId="77777777" w:rsidR="00665B8E" w:rsidRPr="00616F23" w:rsidRDefault="00665B8E" w:rsidP="00573865">
            <w:pPr>
              <w:jc w:val="center"/>
              <w:rPr>
                <w:b/>
              </w:rPr>
            </w:pPr>
            <w:r>
              <w:rPr>
                <w:b/>
              </w:rPr>
              <w:t>75</w:t>
            </w:r>
          </w:p>
        </w:tc>
      </w:tr>
      <w:tr w:rsidR="00665B8E" w:rsidRPr="00616F23" w14:paraId="6A2EBADE" w14:textId="77777777" w:rsidTr="00A85A94">
        <w:tc>
          <w:tcPr>
            <w:tcW w:w="8362" w:type="dxa"/>
            <w:tcBorders>
              <w:bottom w:val="single" w:sz="4" w:space="0" w:color="auto"/>
            </w:tcBorders>
          </w:tcPr>
          <w:p w14:paraId="7D2D9BFF" w14:textId="77777777" w:rsidR="00665B8E" w:rsidRPr="00616F23" w:rsidRDefault="00665B8E" w:rsidP="00B97CF4">
            <w:pPr>
              <w:numPr>
                <w:ilvl w:val="0"/>
                <w:numId w:val="15"/>
              </w:numPr>
              <w:spacing w:before="120"/>
              <w:jc w:val="left"/>
              <w:rPr>
                <w:rFonts w:cs="Times New Roman"/>
                <w:b/>
                <w:bCs/>
                <w:smallCaps/>
              </w:rPr>
            </w:pPr>
            <w:r w:rsidRPr="00616F23">
              <w:rPr>
                <w:b/>
              </w:rPr>
              <w:t>Budget and Cost-Effectiveness</w:t>
            </w:r>
          </w:p>
          <w:p w14:paraId="59C6853D" w14:textId="77777777" w:rsidR="00665B8E" w:rsidRPr="00616F23" w:rsidRDefault="00665B8E" w:rsidP="00B97CF4">
            <w:pPr>
              <w:numPr>
                <w:ilvl w:val="0"/>
                <w:numId w:val="10"/>
              </w:numPr>
              <w:spacing w:before="120" w:after="0"/>
              <w:ind w:left="1140"/>
              <w:jc w:val="left"/>
            </w:pPr>
            <w:r w:rsidRPr="00616F23">
              <w:t>Budget forms are complete for the applicant and all sub</w:t>
            </w:r>
            <w:r>
              <w:t>recipients</w:t>
            </w:r>
            <w:r w:rsidRPr="00616F23">
              <w:t>, as described in the Budget instructions.</w:t>
            </w:r>
          </w:p>
          <w:p w14:paraId="2FF2676D" w14:textId="77777777" w:rsidR="00665B8E" w:rsidRPr="00616F23" w:rsidRDefault="00665B8E" w:rsidP="00B97CF4">
            <w:pPr>
              <w:numPr>
                <w:ilvl w:val="0"/>
                <w:numId w:val="10"/>
              </w:numPr>
              <w:spacing w:before="120" w:after="0"/>
              <w:ind w:left="1140"/>
              <w:jc w:val="left"/>
            </w:pPr>
            <w:r w:rsidRPr="00616F23">
              <w:t>Justifies the reasonableness of the requested funds relative to the project goals, objectives, and tasks.</w:t>
            </w:r>
          </w:p>
          <w:p w14:paraId="01769A84" w14:textId="77777777" w:rsidR="00665B8E" w:rsidRPr="00616F23" w:rsidRDefault="00665B8E" w:rsidP="00B97CF4">
            <w:pPr>
              <w:numPr>
                <w:ilvl w:val="0"/>
                <w:numId w:val="10"/>
              </w:numPr>
              <w:spacing w:before="120" w:after="0"/>
              <w:ind w:left="1140"/>
              <w:jc w:val="left"/>
            </w:pPr>
            <w:r w:rsidRPr="00616F23">
              <w:t>Justifies the reasonableness of direct costs (e.g., labor, fringe benefits, equipment, materials &amp; misc. travel, and sub</w:t>
            </w:r>
            <w:r>
              <w:t>recipients</w:t>
            </w:r>
            <w:r w:rsidRPr="00616F23">
              <w:t>).</w:t>
            </w:r>
          </w:p>
          <w:p w14:paraId="3E126C3B" w14:textId="77777777" w:rsidR="00665B8E" w:rsidRDefault="00665B8E" w:rsidP="00B97CF4">
            <w:pPr>
              <w:numPr>
                <w:ilvl w:val="0"/>
                <w:numId w:val="10"/>
              </w:numPr>
              <w:spacing w:before="120"/>
              <w:ind w:left="1138"/>
              <w:jc w:val="left"/>
            </w:pPr>
            <w:r w:rsidRPr="00616F23">
              <w:t>Justifies the reasonableness of indirect costs (e.g., overhead, facility charges (e.g., rent, utilities), burdens, sub</w:t>
            </w:r>
            <w:r>
              <w:t>recipient</w:t>
            </w:r>
            <w:r w:rsidRPr="00616F23">
              <w:t xml:space="preserve"> profit, and other like costs). </w:t>
            </w:r>
          </w:p>
          <w:p w14:paraId="63CEE8B4" w14:textId="77777777" w:rsidR="00665B8E" w:rsidRDefault="00665B8E" w:rsidP="00B97CF4">
            <w:pPr>
              <w:numPr>
                <w:ilvl w:val="0"/>
                <w:numId w:val="10"/>
              </w:numPr>
              <w:spacing w:before="120"/>
              <w:ind w:left="1138"/>
              <w:jc w:val="left"/>
            </w:pPr>
            <w:r>
              <w:t xml:space="preserve">Justifies how the proposed project, including the amount of match funds, optimizes the use of CEC funds to achieve program objectives. </w:t>
            </w:r>
          </w:p>
          <w:p w14:paraId="13C21B75" w14:textId="77777777" w:rsidR="00665B8E" w:rsidRPr="00616F23" w:rsidRDefault="00665B8E" w:rsidP="00B97CF4">
            <w:pPr>
              <w:numPr>
                <w:ilvl w:val="0"/>
                <w:numId w:val="10"/>
              </w:numPr>
              <w:spacing w:before="120"/>
              <w:ind w:left="1138"/>
              <w:jc w:val="left"/>
            </w:pPr>
            <w:r>
              <w:t>Justifies the appropriateness of match funds with respect to the project’s potential risks and benefits, including level of commitment, type of match (e.g., cash, in-kind), sources, and match funding replacement strategy.</w:t>
            </w:r>
          </w:p>
        </w:tc>
        <w:tc>
          <w:tcPr>
            <w:tcW w:w="1342" w:type="dxa"/>
            <w:tcBorders>
              <w:bottom w:val="single" w:sz="4" w:space="0" w:color="auto"/>
            </w:tcBorders>
          </w:tcPr>
          <w:p w14:paraId="18A417B8" w14:textId="77777777" w:rsidR="00665B8E" w:rsidRPr="00616F23" w:rsidRDefault="00665B8E" w:rsidP="00573865">
            <w:pPr>
              <w:spacing w:before="120"/>
              <w:jc w:val="center"/>
              <w:rPr>
                <w:b/>
              </w:rPr>
            </w:pPr>
            <w:r w:rsidRPr="00616F23">
              <w:rPr>
                <w:b/>
              </w:rPr>
              <w:t>10</w:t>
            </w:r>
          </w:p>
        </w:tc>
      </w:tr>
      <w:tr w:rsidR="00665B8E" w:rsidRPr="00616F23" w14:paraId="25EED3B4" w14:textId="77777777" w:rsidTr="00A85A94">
        <w:tc>
          <w:tcPr>
            <w:tcW w:w="8362" w:type="dxa"/>
            <w:tcBorders>
              <w:top w:val="single" w:sz="4" w:space="0" w:color="auto"/>
              <w:bottom w:val="single" w:sz="4" w:space="0" w:color="auto"/>
            </w:tcBorders>
          </w:tcPr>
          <w:p w14:paraId="1DC3CC5D" w14:textId="77777777" w:rsidR="00665B8E" w:rsidRPr="00616F23" w:rsidRDefault="00665B8E" w:rsidP="00B97CF4">
            <w:pPr>
              <w:numPr>
                <w:ilvl w:val="0"/>
                <w:numId w:val="15"/>
              </w:numPr>
              <w:spacing w:before="120"/>
              <w:jc w:val="left"/>
              <w:rPr>
                <w:rFonts w:cs="Times New Roman"/>
                <w:b/>
                <w:bCs/>
                <w:smallCaps/>
              </w:rPr>
            </w:pPr>
            <w:r w:rsidRPr="00616F23">
              <w:rPr>
                <w:b/>
              </w:rPr>
              <w:t>CEC Funds Spent in California</w:t>
            </w:r>
          </w:p>
          <w:p w14:paraId="7B83CCF8" w14:textId="77777777" w:rsidR="00665B8E" w:rsidRPr="00616F23" w:rsidRDefault="00665B8E" w:rsidP="00B97CF4">
            <w:pPr>
              <w:tabs>
                <w:tab w:val="left" w:pos="1170"/>
              </w:tabs>
              <w:autoSpaceDE w:val="0"/>
              <w:autoSpaceDN w:val="0"/>
              <w:adjustRightInd w:val="0"/>
              <w:spacing w:after="0"/>
              <w:ind w:left="360"/>
              <w:jc w:val="left"/>
              <w:rPr>
                <w:szCs w:val="22"/>
              </w:rPr>
            </w:pPr>
            <w:r w:rsidRPr="00616F23">
              <w:t>Projects that maximize the spending of CEC funds in California will receive points as indicated in the table below (see Funds Spent in California section for more details).</w:t>
            </w:r>
          </w:p>
          <w:p w14:paraId="0A5B4759" w14:textId="77777777" w:rsidR="00665B8E" w:rsidRPr="00616F23" w:rsidRDefault="00665B8E" w:rsidP="00B97CF4">
            <w:pPr>
              <w:tabs>
                <w:tab w:val="left" w:pos="1170"/>
              </w:tabs>
              <w:autoSpaceDE w:val="0"/>
              <w:autoSpaceDN w:val="0"/>
              <w:adjustRightInd w:val="0"/>
              <w:spacing w:after="0"/>
              <w:jc w:val="left"/>
              <w:rPr>
                <w:color w:val="0070C0"/>
                <w:szCs w:val="22"/>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5"/>
              <w:gridCol w:w="2880"/>
            </w:tblGrid>
            <w:tr w:rsidR="00665B8E" w:rsidRPr="00BE4346" w14:paraId="3DB95E1D" w14:textId="77777777" w:rsidTr="00A85A94">
              <w:tc>
                <w:tcPr>
                  <w:tcW w:w="3685" w:type="dxa"/>
                  <w:tcBorders>
                    <w:top w:val="single" w:sz="4" w:space="0" w:color="auto"/>
                    <w:left w:val="single" w:sz="4" w:space="0" w:color="auto"/>
                    <w:bottom w:val="single" w:sz="4" w:space="0" w:color="auto"/>
                    <w:right w:val="single" w:sz="4" w:space="0" w:color="auto"/>
                  </w:tcBorders>
                </w:tcPr>
                <w:p w14:paraId="6ACCE18B" w14:textId="77777777" w:rsidR="00665B8E" w:rsidRPr="00BE4346" w:rsidRDefault="00665B8E" w:rsidP="00B97CF4">
                  <w:pPr>
                    <w:widowControl w:val="0"/>
                    <w:spacing w:after="0"/>
                    <w:jc w:val="left"/>
                    <w:rPr>
                      <w:b/>
                      <w:sz w:val="22"/>
                      <w:szCs w:val="22"/>
                    </w:rPr>
                  </w:pPr>
                  <w:r w:rsidRPr="00BE4346">
                    <w:rPr>
                      <w:b/>
                      <w:sz w:val="22"/>
                      <w:szCs w:val="22"/>
                    </w:rPr>
                    <w:t>Percentage of CEC funds spent in CA vs Total CEC funds requested</w:t>
                  </w:r>
                </w:p>
                <w:p w14:paraId="50F584E3" w14:textId="77777777" w:rsidR="00665B8E" w:rsidRPr="00BE4346" w:rsidRDefault="00665B8E" w:rsidP="00B97CF4">
                  <w:pPr>
                    <w:widowControl w:val="0"/>
                    <w:tabs>
                      <w:tab w:val="left" w:pos="1170"/>
                    </w:tabs>
                    <w:autoSpaceDE w:val="0"/>
                    <w:autoSpaceDN w:val="0"/>
                    <w:adjustRightInd w:val="0"/>
                    <w:spacing w:after="0"/>
                    <w:jc w:val="left"/>
                    <w:rPr>
                      <w:sz w:val="22"/>
                      <w:szCs w:val="22"/>
                    </w:rPr>
                  </w:pPr>
                  <w:r w:rsidRPr="00BE4346">
                    <w:rPr>
                      <w:sz w:val="22"/>
                      <w:szCs w:val="22"/>
                    </w:rPr>
                    <w:t>(derived from Budget Attachment )</w:t>
                  </w:r>
                </w:p>
              </w:tc>
              <w:tc>
                <w:tcPr>
                  <w:tcW w:w="2880" w:type="dxa"/>
                  <w:tcBorders>
                    <w:top w:val="single" w:sz="4" w:space="0" w:color="auto"/>
                    <w:left w:val="single" w:sz="4" w:space="0" w:color="auto"/>
                    <w:bottom w:val="single" w:sz="4" w:space="0" w:color="auto"/>
                    <w:right w:val="single" w:sz="4" w:space="0" w:color="auto"/>
                  </w:tcBorders>
                </w:tcPr>
                <w:p w14:paraId="75F7C7D0" w14:textId="77777777" w:rsidR="00665B8E" w:rsidRPr="00BE4346" w:rsidRDefault="00665B8E" w:rsidP="00B97CF4">
                  <w:pPr>
                    <w:widowControl w:val="0"/>
                    <w:tabs>
                      <w:tab w:val="left" w:pos="1170"/>
                    </w:tabs>
                    <w:autoSpaceDE w:val="0"/>
                    <w:autoSpaceDN w:val="0"/>
                    <w:adjustRightInd w:val="0"/>
                    <w:spacing w:after="0"/>
                    <w:jc w:val="left"/>
                    <w:rPr>
                      <w:sz w:val="22"/>
                      <w:szCs w:val="22"/>
                    </w:rPr>
                  </w:pPr>
                  <w:r w:rsidRPr="00BE4346">
                    <w:rPr>
                      <w:b/>
                      <w:sz w:val="22"/>
                      <w:szCs w:val="22"/>
                    </w:rPr>
                    <w:t>Percentage of Possible Points</w:t>
                  </w:r>
                </w:p>
              </w:tc>
            </w:tr>
            <w:tr w:rsidR="00665B8E" w:rsidRPr="00BE4346" w14:paraId="229B6E80" w14:textId="77777777" w:rsidTr="00A85A94">
              <w:tc>
                <w:tcPr>
                  <w:tcW w:w="3685" w:type="dxa"/>
                  <w:tcBorders>
                    <w:top w:val="single" w:sz="4" w:space="0" w:color="auto"/>
                    <w:left w:val="single" w:sz="4" w:space="0" w:color="auto"/>
                    <w:bottom w:val="single" w:sz="4" w:space="0" w:color="auto"/>
                    <w:right w:val="single" w:sz="4" w:space="0" w:color="auto"/>
                  </w:tcBorders>
                </w:tcPr>
                <w:p w14:paraId="0B5C5994" w14:textId="77777777" w:rsidR="00665B8E" w:rsidRPr="00BE4346" w:rsidRDefault="00665B8E" w:rsidP="00B97CF4">
                  <w:pPr>
                    <w:widowControl w:val="0"/>
                    <w:tabs>
                      <w:tab w:val="left" w:pos="1170"/>
                    </w:tabs>
                    <w:autoSpaceDE w:val="0"/>
                    <w:autoSpaceDN w:val="0"/>
                    <w:adjustRightInd w:val="0"/>
                    <w:spacing w:after="0"/>
                    <w:jc w:val="left"/>
                    <w:rPr>
                      <w:sz w:val="22"/>
                      <w:szCs w:val="22"/>
                    </w:rPr>
                  </w:pPr>
                  <w:r w:rsidRPr="00BE4346">
                    <w:rPr>
                      <w:sz w:val="22"/>
                      <w:szCs w:val="22"/>
                    </w:rPr>
                    <w:t xml:space="preserve">&gt;60%  </w:t>
                  </w:r>
                </w:p>
              </w:tc>
              <w:tc>
                <w:tcPr>
                  <w:tcW w:w="2880" w:type="dxa"/>
                  <w:tcBorders>
                    <w:top w:val="single" w:sz="4" w:space="0" w:color="auto"/>
                    <w:left w:val="single" w:sz="4" w:space="0" w:color="auto"/>
                    <w:bottom w:val="single" w:sz="4" w:space="0" w:color="auto"/>
                    <w:right w:val="single" w:sz="4" w:space="0" w:color="auto"/>
                  </w:tcBorders>
                </w:tcPr>
                <w:p w14:paraId="70E52A7A" w14:textId="77777777" w:rsidR="00665B8E" w:rsidRPr="00BE4346" w:rsidRDefault="00665B8E" w:rsidP="00B97CF4">
                  <w:pPr>
                    <w:widowControl w:val="0"/>
                    <w:tabs>
                      <w:tab w:val="left" w:pos="1170"/>
                    </w:tabs>
                    <w:autoSpaceDE w:val="0"/>
                    <w:autoSpaceDN w:val="0"/>
                    <w:adjustRightInd w:val="0"/>
                    <w:spacing w:after="0"/>
                    <w:jc w:val="left"/>
                    <w:rPr>
                      <w:sz w:val="22"/>
                      <w:szCs w:val="22"/>
                    </w:rPr>
                  </w:pPr>
                  <w:r w:rsidRPr="00BE4346">
                    <w:rPr>
                      <w:sz w:val="22"/>
                      <w:szCs w:val="22"/>
                    </w:rPr>
                    <w:t>20%</w:t>
                  </w:r>
                </w:p>
              </w:tc>
            </w:tr>
            <w:tr w:rsidR="00665B8E" w:rsidRPr="00BE4346" w14:paraId="18AADE47" w14:textId="77777777" w:rsidTr="00A85A94">
              <w:tc>
                <w:tcPr>
                  <w:tcW w:w="3685" w:type="dxa"/>
                  <w:tcBorders>
                    <w:top w:val="single" w:sz="4" w:space="0" w:color="auto"/>
                    <w:left w:val="single" w:sz="4" w:space="0" w:color="auto"/>
                    <w:bottom w:val="single" w:sz="4" w:space="0" w:color="auto"/>
                    <w:right w:val="single" w:sz="4" w:space="0" w:color="auto"/>
                  </w:tcBorders>
                </w:tcPr>
                <w:p w14:paraId="3FEAF8CB" w14:textId="77777777" w:rsidR="00665B8E" w:rsidRPr="00BE4346" w:rsidRDefault="00665B8E" w:rsidP="00B97CF4">
                  <w:pPr>
                    <w:widowControl w:val="0"/>
                    <w:tabs>
                      <w:tab w:val="left" w:pos="1170"/>
                    </w:tabs>
                    <w:autoSpaceDE w:val="0"/>
                    <w:autoSpaceDN w:val="0"/>
                    <w:adjustRightInd w:val="0"/>
                    <w:spacing w:after="0"/>
                    <w:jc w:val="left"/>
                    <w:rPr>
                      <w:sz w:val="22"/>
                      <w:szCs w:val="22"/>
                    </w:rPr>
                  </w:pPr>
                  <w:r w:rsidRPr="00BE4346">
                    <w:rPr>
                      <w:sz w:val="22"/>
                      <w:szCs w:val="22"/>
                    </w:rPr>
                    <w:t xml:space="preserve">&gt;65%  </w:t>
                  </w:r>
                </w:p>
              </w:tc>
              <w:tc>
                <w:tcPr>
                  <w:tcW w:w="2880" w:type="dxa"/>
                  <w:tcBorders>
                    <w:top w:val="single" w:sz="4" w:space="0" w:color="auto"/>
                    <w:left w:val="single" w:sz="4" w:space="0" w:color="auto"/>
                    <w:bottom w:val="single" w:sz="4" w:space="0" w:color="auto"/>
                    <w:right w:val="single" w:sz="4" w:space="0" w:color="auto"/>
                  </w:tcBorders>
                </w:tcPr>
                <w:p w14:paraId="34576AD9" w14:textId="77777777" w:rsidR="00665B8E" w:rsidRPr="00BE4346" w:rsidRDefault="00665B8E" w:rsidP="00B97CF4">
                  <w:pPr>
                    <w:widowControl w:val="0"/>
                    <w:tabs>
                      <w:tab w:val="left" w:pos="1170"/>
                    </w:tabs>
                    <w:autoSpaceDE w:val="0"/>
                    <w:autoSpaceDN w:val="0"/>
                    <w:adjustRightInd w:val="0"/>
                    <w:spacing w:after="0"/>
                    <w:jc w:val="left"/>
                    <w:rPr>
                      <w:sz w:val="22"/>
                      <w:szCs w:val="22"/>
                    </w:rPr>
                  </w:pPr>
                  <w:r w:rsidRPr="00BE4346">
                    <w:rPr>
                      <w:sz w:val="22"/>
                      <w:szCs w:val="22"/>
                    </w:rPr>
                    <w:t>30%</w:t>
                  </w:r>
                </w:p>
              </w:tc>
            </w:tr>
            <w:tr w:rsidR="00665B8E" w:rsidRPr="00BE4346" w14:paraId="2543F88C" w14:textId="77777777" w:rsidTr="00A85A94">
              <w:tc>
                <w:tcPr>
                  <w:tcW w:w="3685" w:type="dxa"/>
                  <w:tcBorders>
                    <w:top w:val="single" w:sz="4" w:space="0" w:color="auto"/>
                    <w:left w:val="single" w:sz="4" w:space="0" w:color="auto"/>
                    <w:bottom w:val="single" w:sz="4" w:space="0" w:color="auto"/>
                    <w:right w:val="single" w:sz="4" w:space="0" w:color="auto"/>
                  </w:tcBorders>
                </w:tcPr>
                <w:p w14:paraId="6E1DFC4B" w14:textId="77777777" w:rsidR="00665B8E" w:rsidRPr="00BE4346" w:rsidRDefault="00665B8E" w:rsidP="00B97CF4">
                  <w:pPr>
                    <w:widowControl w:val="0"/>
                    <w:tabs>
                      <w:tab w:val="left" w:pos="1170"/>
                    </w:tabs>
                    <w:autoSpaceDE w:val="0"/>
                    <w:autoSpaceDN w:val="0"/>
                    <w:adjustRightInd w:val="0"/>
                    <w:spacing w:after="0"/>
                    <w:jc w:val="left"/>
                    <w:rPr>
                      <w:sz w:val="22"/>
                      <w:szCs w:val="22"/>
                    </w:rPr>
                  </w:pPr>
                  <w:r w:rsidRPr="00BE4346">
                    <w:rPr>
                      <w:sz w:val="22"/>
                      <w:szCs w:val="22"/>
                    </w:rPr>
                    <w:t>&gt;70%</w:t>
                  </w:r>
                </w:p>
              </w:tc>
              <w:tc>
                <w:tcPr>
                  <w:tcW w:w="2880" w:type="dxa"/>
                  <w:tcBorders>
                    <w:top w:val="single" w:sz="4" w:space="0" w:color="auto"/>
                    <w:left w:val="single" w:sz="4" w:space="0" w:color="auto"/>
                    <w:bottom w:val="single" w:sz="4" w:space="0" w:color="auto"/>
                    <w:right w:val="single" w:sz="4" w:space="0" w:color="auto"/>
                  </w:tcBorders>
                </w:tcPr>
                <w:p w14:paraId="0F64B36C" w14:textId="77777777" w:rsidR="00665B8E" w:rsidRPr="00BE4346" w:rsidRDefault="00665B8E" w:rsidP="00B97CF4">
                  <w:pPr>
                    <w:widowControl w:val="0"/>
                    <w:tabs>
                      <w:tab w:val="left" w:pos="1170"/>
                    </w:tabs>
                    <w:autoSpaceDE w:val="0"/>
                    <w:autoSpaceDN w:val="0"/>
                    <w:adjustRightInd w:val="0"/>
                    <w:spacing w:after="0"/>
                    <w:jc w:val="left"/>
                    <w:rPr>
                      <w:sz w:val="22"/>
                      <w:szCs w:val="22"/>
                    </w:rPr>
                  </w:pPr>
                  <w:r w:rsidRPr="00BE4346">
                    <w:rPr>
                      <w:sz w:val="22"/>
                      <w:szCs w:val="22"/>
                    </w:rPr>
                    <w:t>40%</w:t>
                  </w:r>
                </w:p>
              </w:tc>
            </w:tr>
            <w:tr w:rsidR="00665B8E" w:rsidRPr="00BE4346" w14:paraId="551F044D" w14:textId="77777777" w:rsidTr="00A85A94">
              <w:tc>
                <w:tcPr>
                  <w:tcW w:w="3685" w:type="dxa"/>
                  <w:tcBorders>
                    <w:top w:val="single" w:sz="4" w:space="0" w:color="auto"/>
                    <w:left w:val="single" w:sz="4" w:space="0" w:color="auto"/>
                    <w:bottom w:val="single" w:sz="4" w:space="0" w:color="auto"/>
                    <w:right w:val="single" w:sz="4" w:space="0" w:color="auto"/>
                  </w:tcBorders>
                </w:tcPr>
                <w:p w14:paraId="3BA2E32F" w14:textId="77777777" w:rsidR="00665B8E" w:rsidRPr="00BE4346" w:rsidRDefault="00665B8E" w:rsidP="00B97CF4">
                  <w:pPr>
                    <w:widowControl w:val="0"/>
                    <w:tabs>
                      <w:tab w:val="left" w:pos="1170"/>
                    </w:tabs>
                    <w:autoSpaceDE w:val="0"/>
                    <w:autoSpaceDN w:val="0"/>
                    <w:adjustRightInd w:val="0"/>
                    <w:spacing w:after="0"/>
                    <w:jc w:val="left"/>
                    <w:rPr>
                      <w:sz w:val="22"/>
                      <w:szCs w:val="22"/>
                    </w:rPr>
                  </w:pPr>
                  <w:r w:rsidRPr="00BE4346">
                    <w:rPr>
                      <w:sz w:val="22"/>
                      <w:szCs w:val="22"/>
                    </w:rPr>
                    <w:t xml:space="preserve">&gt;75%  </w:t>
                  </w:r>
                </w:p>
              </w:tc>
              <w:tc>
                <w:tcPr>
                  <w:tcW w:w="2880" w:type="dxa"/>
                  <w:tcBorders>
                    <w:top w:val="single" w:sz="4" w:space="0" w:color="auto"/>
                    <w:left w:val="single" w:sz="4" w:space="0" w:color="auto"/>
                    <w:bottom w:val="single" w:sz="4" w:space="0" w:color="auto"/>
                    <w:right w:val="single" w:sz="4" w:space="0" w:color="auto"/>
                  </w:tcBorders>
                </w:tcPr>
                <w:p w14:paraId="72F2511F" w14:textId="77777777" w:rsidR="00665B8E" w:rsidRPr="00BE4346" w:rsidRDefault="00665B8E" w:rsidP="00B97CF4">
                  <w:pPr>
                    <w:widowControl w:val="0"/>
                    <w:tabs>
                      <w:tab w:val="left" w:pos="1170"/>
                    </w:tabs>
                    <w:autoSpaceDE w:val="0"/>
                    <w:autoSpaceDN w:val="0"/>
                    <w:adjustRightInd w:val="0"/>
                    <w:spacing w:after="0"/>
                    <w:jc w:val="left"/>
                    <w:rPr>
                      <w:sz w:val="22"/>
                      <w:szCs w:val="22"/>
                    </w:rPr>
                  </w:pPr>
                  <w:r w:rsidRPr="00BE4346">
                    <w:rPr>
                      <w:sz w:val="22"/>
                      <w:szCs w:val="22"/>
                    </w:rPr>
                    <w:t>50%</w:t>
                  </w:r>
                </w:p>
              </w:tc>
            </w:tr>
            <w:tr w:rsidR="00665B8E" w:rsidRPr="00BE4346" w14:paraId="7F802D61" w14:textId="77777777" w:rsidTr="00A85A94">
              <w:tc>
                <w:tcPr>
                  <w:tcW w:w="3685" w:type="dxa"/>
                  <w:tcBorders>
                    <w:top w:val="single" w:sz="4" w:space="0" w:color="auto"/>
                    <w:left w:val="single" w:sz="4" w:space="0" w:color="auto"/>
                    <w:bottom w:val="single" w:sz="4" w:space="0" w:color="auto"/>
                    <w:right w:val="single" w:sz="4" w:space="0" w:color="auto"/>
                  </w:tcBorders>
                </w:tcPr>
                <w:p w14:paraId="21F4E97F" w14:textId="77777777" w:rsidR="00665B8E" w:rsidRPr="00BE4346" w:rsidRDefault="00665B8E" w:rsidP="00B97CF4">
                  <w:pPr>
                    <w:widowControl w:val="0"/>
                    <w:tabs>
                      <w:tab w:val="left" w:pos="1170"/>
                    </w:tabs>
                    <w:autoSpaceDE w:val="0"/>
                    <w:autoSpaceDN w:val="0"/>
                    <w:adjustRightInd w:val="0"/>
                    <w:spacing w:after="0"/>
                    <w:jc w:val="left"/>
                    <w:rPr>
                      <w:sz w:val="22"/>
                      <w:szCs w:val="22"/>
                    </w:rPr>
                  </w:pPr>
                  <w:r w:rsidRPr="00BE4346">
                    <w:rPr>
                      <w:sz w:val="22"/>
                      <w:szCs w:val="22"/>
                    </w:rPr>
                    <w:t>&gt;80%</w:t>
                  </w:r>
                </w:p>
              </w:tc>
              <w:tc>
                <w:tcPr>
                  <w:tcW w:w="2880" w:type="dxa"/>
                  <w:tcBorders>
                    <w:top w:val="single" w:sz="4" w:space="0" w:color="auto"/>
                    <w:left w:val="single" w:sz="4" w:space="0" w:color="auto"/>
                    <w:bottom w:val="single" w:sz="4" w:space="0" w:color="auto"/>
                    <w:right w:val="single" w:sz="4" w:space="0" w:color="auto"/>
                  </w:tcBorders>
                </w:tcPr>
                <w:p w14:paraId="4BAE79B7" w14:textId="77777777" w:rsidR="00665B8E" w:rsidRPr="00BE4346" w:rsidRDefault="00665B8E" w:rsidP="00B97CF4">
                  <w:pPr>
                    <w:widowControl w:val="0"/>
                    <w:tabs>
                      <w:tab w:val="left" w:pos="1170"/>
                    </w:tabs>
                    <w:autoSpaceDE w:val="0"/>
                    <w:autoSpaceDN w:val="0"/>
                    <w:adjustRightInd w:val="0"/>
                    <w:spacing w:after="0"/>
                    <w:jc w:val="left"/>
                    <w:rPr>
                      <w:sz w:val="22"/>
                      <w:szCs w:val="22"/>
                    </w:rPr>
                  </w:pPr>
                  <w:r w:rsidRPr="00BE4346">
                    <w:rPr>
                      <w:sz w:val="22"/>
                      <w:szCs w:val="22"/>
                    </w:rPr>
                    <w:t>60%</w:t>
                  </w:r>
                </w:p>
              </w:tc>
            </w:tr>
            <w:tr w:rsidR="00665B8E" w:rsidRPr="00BE4346" w14:paraId="592A2E90" w14:textId="77777777" w:rsidTr="00A85A94">
              <w:tc>
                <w:tcPr>
                  <w:tcW w:w="3685" w:type="dxa"/>
                  <w:tcBorders>
                    <w:top w:val="single" w:sz="4" w:space="0" w:color="auto"/>
                    <w:left w:val="single" w:sz="4" w:space="0" w:color="auto"/>
                    <w:bottom w:val="single" w:sz="4" w:space="0" w:color="auto"/>
                    <w:right w:val="single" w:sz="4" w:space="0" w:color="auto"/>
                  </w:tcBorders>
                </w:tcPr>
                <w:p w14:paraId="7359E283" w14:textId="77777777" w:rsidR="00665B8E" w:rsidRPr="00BE4346" w:rsidRDefault="00665B8E" w:rsidP="00B97CF4">
                  <w:pPr>
                    <w:widowControl w:val="0"/>
                    <w:tabs>
                      <w:tab w:val="left" w:pos="1170"/>
                    </w:tabs>
                    <w:autoSpaceDE w:val="0"/>
                    <w:autoSpaceDN w:val="0"/>
                    <w:adjustRightInd w:val="0"/>
                    <w:spacing w:after="0"/>
                    <w:jc w:val="left"/>
                    <w:rPr>
                      <w:sz w:val="22"/>
                      <w:szCs w:val="22"/>
                    </w:rPr>
                  </w:pPr>
                  <w:r w:rsidRPr="00BE4346">
                    <w:rPr>
                      <w:sz w:val="22"/>
                      <w:szCs w:val="22"/>
                    </w:rPr>
                    <w:t xml:space="preserve">&gt;85%  </w:t>
                  </w:r>
                </w:p>
              </w:tc>
              <w:tc>
                <w:tcPr>
                  <w:tcW w:w="2880" w:type="dxa"/>
                  <w:tcBorders>
                    <w:top w:val="single" w:sz="4" w:space="0" w:color="auto"/>
                    <w:left w:val="single" w:sz="4" w:space="0" w:color="auto"/>
                    <w:bottom w:val="single" w:sz="4" w:space="0" w:color="auto"/>
                    <w:right w:val="single" w:sz="4" w:space="0" w:color="auto"/>
                  </w:tcBorders>
                </w:tcPr>
                <w:p w14:paraId="5A53BA98" w14:textId="77777777" w:rsidR="00665B8E" w:rsidRPr="00BE4346" w:rsidRDefault="00665B8E" w:rsidP="00B97CF4">
                  <w:pPr>
                    <w:widowControl w:val="0"/>
                    <w:tabs>
                      <w:tab w:val="left" w:pos="1170"/>
                    </w:tabs>
                    <w:autoSpaceDE w:val="0"/>
                    <w:autoSpaceDN w:val="0"/>
                    <w:adjustRightInd w:val="0"/>
                    <w:spacing w:after="0"/>
                    <w:jc w:val="left"/>
                    <w:rPr>
                      <w:sz w:val="22"/>
                      <w:szCs w:val="22"/>
                    </w:rPr>
                  </w:pPr>
                  <w:r w:rsidRPr="00BE4346">
                    <w:rPr>
                      <w:sz w:val="22"/>
                      <w:szCs w:val="22"/>
                    </w:rPr>
                    <w:t>70%</w:t>
                  </w:r>
                </w:p>
              </w:tc>
            </w:tr>
            <w:tr w:rsidR="00665B8E" w:rsidRPr="00BE4346" w14:paraId="0F5E26BB" w14:textId="77777777" w:rsidTr="00A85A94">
              <w:tc>
                <w:tcPr>
                  <w:tcW w:w="3685" w:type="dxa"/>
                  <w:tcBorders>
                    <w:top w:val="single" w:sz="4" w:space="0" w:color="auto"/>
                    <w:left w:val="single" w:sz="4" w:space="0" w:color="auto"/>
                    <w:bottom w:val="single" w:sz="4" w:space="0" w:color="auto"/>
                    <w:right w:val="single" w:sz="4" w:space="0" w:color="auto"/>
                  </w:tcBorders>
                </w:tcPr>
                <w:p w14:paraId="42491FE1" w14:textId="77777777" w:rsidR="00665B8E" w:rsidRPr="00BE4346" w:rsidRDefault="00665B8E" w:rsidP="00B97CF4">
                  <w:pPr>
                    <w:widowControl w:val="0"/>
                    <w:tabs>
                      <w:tab w:val="left" w:pos="1170"/>
                    </w:tabs>
                    <w:autoSpaceDE w:val="0"/>
                    <w:autoSpaceDN w:val="0"/>
                    <w:adjustRightInd w:val="0"/>
                    <w:spacing w:after="0"/>
                    <w:jc w:val="left"/>
                    <w:rPr>
                      <w:sz w:val="22"/>
                      <w:szCs w:val="22"/>
                    </w:rPr>
                  </w:pPr>
                  <w:r w:rsidRPr="00BE4346">
                    <w:rPr>
                      <w:sz w:val="22"/>
                      <w:szCs w:val="22"/>
                    </w:rPr>
                    <w:t>&gt;90%</w:t>
                  </w:r>
                </w:p>
              </w:tc>
              <w:tc>
                <w:tcPr>
                  <w:tcW w:w="2880" w:type="dxa"/>
                  <w:tcBorders>
                    <w:top w:val="single" w:sz="4" w:space="0" w:color="auto"/>
                    <w:left w:val="single" w:sz="4" w:space="0" w:color="auto"/>
                    <w:bottom w:val="single" w:sz="4" w:space="0" w:color="auto"/>
                    <w:right w:val="single" w:sz="4" w:space="0" w:color="auto"/>
                  </w:tcBorders>
                </w:tcPr>
                <w:p w14:paraId="0A58E537" w14:textId="77777777" w:rsidR="00665B8E" w:rsidRPr="00BE4346" w:rsidRDefault="00665B8E" w:rsidP="00B97CF4">
                  <w:pPr>
                    <w:widowControl w:val="0"/>
                    <w:tabs>
                      <w:tab w:val="left" w:pos="1170"/>
                    </w:tabs>
                    <w:autoSpaceDE w:val="0"/>
                    <w:autoSpaceDN w:val="0"/>
                    <w:adjustRightInd w:val="0"/>
                    <w:spacing w:after="0"/>
                    <w:jc w:val="left"/>
                    <w:rPr>
                      <w:sz w:val="22"/>
                      <w:szCs w:val="22"/>
                    </w:rPr>
                  </w:pPr>
                  <w:r w:rsidRPr="00BE4346">
                    <w:rPr>
                      <w:sz w:val="22"/>
                      <w:szCs w:val="22"/>
                    </w:rPr>
                    <w:t>80%</w:t>
                  </w:r>
                </w:p>
              </w:tc>
            </w:tr>
            <w:tr w:rsidR="00665B8E" w:rsidRPr="00BE4346" w14:paraId="4C5C2B71" w14:textId="77777777" w:rsidTr="00A85A94">
              <w:tc>
                <w:tcPr>
                  <w:tcW w:w="3685" w:type="dxa"/>
                  <w:tcBorders>
                    <w:top w:val="single" w:sz="4" w:space="0" w:color="auto"/>
                    <w:left w:val="single" w:sz="4" w:space="0" w:color="auto"/>
                    <w:bottom w:val="single" w:sz="4" w:space="0" w:color="auto"/>
                    <w:right w:val="single" w:sz="4" w:space="0" w:color="auto"/>
                  </w:tcBorders>
                </w:tcPr>
                <w:p w14:paraId="2A008CCE" w14:textId="77777777" w:rsidR="00665B8E" w:rsidRPr="00BE4346" w:rsidRDefault="00665B8E" w:rsidP="00B97CF4">
                  <w:pPr>
                    <w:widowControl w:val="0"/>
                    <w:tabs>
                      <w:tab w:val="left" w:pos="1170"/>
                    </w:tabs>
                    <w:autoSpaceDE w:val="0"/>
                    <w:autoSpaceDN w:val="0"/>
                    <w:adjustRightInd w:val="0"/>
                    <w:spacing w:after="0"/>
                    <w:jc w:val="left"/>
                    <w:rPr>
                      <w:sz w:val="22"/>
                      <w:szCs w:val="22"/>
                    </w:rPr>
                  </w:pPr>
                  <w:r w:rsidRPr="00BE4346">
                    <w:rPr>
                      <w:sz w:val="22"/>
                      <w:szCs w:val="22"/>
                    </w:rPr>
                    <w:t xml:space="preserve">&gt;95%  </w:t>
                  </w:r>
                </w:p>
              </w:tc>
              <w:tc>
                <w:tcPr>
                  <w:tcW w:w="2880" w:type="dxa"/>
                  <w:tcBorders>
                    <w:top w:val="single" w:sz="4" w:space="0" w:color="auto"/>
                    <w:left w:val="single" w:sz="4" w:space="0" w:color="auto"/>
                    <w:bottom w:val="single" w:sz="4" w:space="0" w:color="auto"/>
                    <w:right w:val="single" w:sz="4" w:space="0" w:color="auto"/>
                  </w:tcBorders>
                </w:tcPr>
                <w:p w14:paraId="72268F81" w14:textId="77777777" w:rsidR="00665B8E" w:rsidRPr="00BE4346" w:rsidRDefault="00665B8E" w:rsidP="00B97CF4">
                  <w:pPr>
                    <w:widowControl w:val="0"/>
                    <w:tabs>
                      <w:tab w:val="left" w:pos="1170"/>
                    </w:tabs>
                    <w:autoSpaceDE w:val="0"/>
                    <w:autoSpaceDN w:val="0"/>
                    <w:adjustRightInd w:val="0"/>
                    <w:spacing w:after="0"/>
                    <w:jc w:val="left"/>
                    <w:rPr>
                      <w:sz w:val="22"/>
                      <w:szCs w:val="22"/>
                    </w:rPr>
                  </w:pPr>
                  <w:r w:rsidRPr="00BE4346">
                    <w:rPr>
                      <w:sz w:val="22"/>
                      <w:szCs w:val="22"/>
                    </w:rPr>
                    <w:t>90%</w:t>
                  </w:r>
                </w:p>
              </w:tc>
            </w:tr>
            <w:tr w:rsidR="00665B8E" w:rsidRPr="00BE4346" w14:paraId="20B1A85E" w14:textId="77777777" w:rsidTr="00A85A94">
              <w:tc>
                <w:tcPr>
                  <w:tcW w:w="3685" w:type="dxa"/>
                  <w:tcBorders>
                    <w:top w:val="single" w:sz="4" w:space="0" w:color="auto"/>
                    <w:left w:val="single" w:sz="4" w:space="0" w:color="auto"/>
                    <w:bottom w:val="single" w:sz="4" w:space="0" w:color="auto"/>
                    <w:right w:val="single" w:sz="4" w:space="0" w:color="auto"/>
                  </w:tcBorders>
                </w:tcPr>
                <w:p w14:paraId="06FB7754" w14:textId="77777777" w:rsidR="00665B8E" w:rsidRPr="00BE4346" w:rsidRDefault="00665B8E" w:rsidP="00B97CF4">
                  <w:pPr>
                    <w:widowControl w:val="0"/>
                    <w:tabs>
                      <w:tab w:val="left" w:pos="1170"/>
                    </w:tabs>
                    <w:autoSpaceDE w:val="0"/>
                    <w:autoSpaceDN w:val="0"/>
                    <w:adjustRightInd w:val="0"/>
                    <w:spacing w:after="0"/>
                    <w:jc w:val="left"/>
                    <w:rPr>
                      <w:sz w:val="22"/>
                      <w:szCs w:val="22"/>
                    </w:rPr>
                  </w:pPr>
                  <w:r w:rsidRPr="00BE4346">
                    <w:rPr>
                      <w:sz w:val="22"/>
                      <w:szCs w:val="22"/>
                    </w:rPr>
                    <w:t>&gt;98%</w:t>
                  </w:r>
                </w:p>
              </w:tc>
              <w:tc>
                <w:tcPr>
                  <w:tcW w:w="2880" w:type="dxa"/>
                  <w:tcBorders>
                    <w:top w:val="single" w:sz="4" w:space="0" w:color="auto"/>
                    <w:left w:val="single" w:sz="4" w:space="0" w:color="auto"/>
                    <w:bottom w:val="single" w:sz="4" w:space="0" w:color="auto"/>
                    <w:right w:val="single" w:sz="4" w:space="0" w:color="auto"/>
                  </w:tcBorders>
                </w:tcPr>
                <w:p w14:paraId="781D8CDB" w14:textId="77777777" w:rsidR="00665B8E" w:rsidRPr="00BE4346" w:rsidRDefault="00665B8E" w:rsidP="00B97CF4">
                  <w:pPr>
                    <w:widowControl w:val="0"/>
                    <w:tabs>
                      <w:tab w:val="left" w:pos="1170"/>
                    </w:tabs>
                    <w:autoSpaceDE w:val="0"/>
                    <w:autoSpaceDN w:val="0"/>
                    <w:adjustRightInd w:val="0"/>
                    <w:spacing w:after="0"/>
                    <w:jc w:val="left"/>
                    <w:rPr>
                      <w:sz w:val="22"/>
                      <w:szCs w:val="22"/>
                    </w:rPr>
                  </w:pPr>
                  <w:r w:rsidRPr="00BE4346">
                    <w:rPr>
                      <w:sz w:val="22"/>
                      <w:szCs w:val="22"/>
                    </w:rPr>
                    <w:t>100%</w:t>
                  </w:r>
                </w:p>
              </w:tc>
            </w:tr>
          </w:tbl>
          <w:p w14:paraId="5A94ECE6" w14:textId="77777777" w:rsidR="00665B8E" w:rsidRPr="00616F23" w:rsidRDefault="00665B8E" w:rsidP="00B97CF4">
            <w:pPr>
              <w:spacing w:after="0"/>
              <w:ind w:left="360"/>
              <w:jc w:val="left"/>
              <w:rPr>
                <w:b/>
              </w:rPr>
            </w:pPr>
            <w:r w:rsidRPr="00616F23">
              <w:rPr>
                <w:b/>
              </w:rPr>
              <w:t xml:space="preserve"> </w:t>
            </w:r>
          </w:p>
        </w:tc>
        <w:tc>
          <w:tcPr>
            <w:tcW w:w="1342" w:type="dxa"/>
            <w:tcBorders>
              <w:top w:val="single" w:sz="4" w:space="0" w:color="auto"/>
              <w:bottom w:val="single" w:sz="4" w:space="0" w:color="auto"/>
            </w:tcBorders>
          </w:tcPr>
          <w:p w14:paraId="1E5109B9" w14:textId="77777777" w:rsidR="00665B8E" w:rsidRPr="00616F23" w:rsidRDefault="00665B8E" w:rsidP="00573865">
            <w:pPr>
              <w:spacing w:before="120"/>
              <w:jc w:val="center"/>
              <w:rPr>
                <w:b/>
              </w:rPr>
            </w:pPr>
            <w:r w:rsidRPr="00616F23">
              <w:rPr>
                <w:b/>
              </w:rPr>
              <w:t>10</w:t>
            </w:r>
          </w:p>
        </w:tc>
      </w:tr>
      <w:tr w:rsidR="00665B8E" w:rsidRPr="00616F23" w14:paraId="1BA66CDA" w14:textId="77777777" w:rsidTr="00A85A94">
        <w:tc>
          <w:tcPr>
            <w:tcW w:w="8362" w:type="dxa"/>
            <w:tcBorders>
              <w:top w:val="single" w:sz="4" w:space="0" w:color="auto"/>
              <w:bottom w:val="nil"/>
            </w:tcBorders>
          </w:tcPr>
          <w:p w14:paraId="563C5D88" w14:textId="77777777" w:rsidR="00665B8E" w:rsidRPr="00616F23" w:rsidRDefault="00665B8E" w:rsidP="00B97CF4">
            <w:pPr>
              <w:numPr>
                <w:ilvl w:val="0"/>
                <w:numId w:val="15"/>
              </w:numPr>
              <w:spacing w:before="120"/>
              <w:jc w:val="left"/>
              <w:rPr>
                <w:rFonts w:cs="Times New Roman"/>
                <w:b/>
                <w:bCs/>
                <w:smallCaps/>
              </w:rPr>
            </w:pPr>
            <w:r w:rsidRPr="00616F23">
              <w:rPr>
                <w:b/>
              </w:rPr>
              <w:t>Ratio of Direct Labor to Indirect Costs</w:t>
            </w:r>
          </w:p>
          <w:p w14:paraId="64DD0CA3" w14:textId="77777777" w:rsidR="00665B8E" w:rsidRPr="00616F23" w:rsidRDefault="00665B8E" w:rsidP="00B97CF4">
            <w:pPr>
              <w:spacing w:before="120"/>
              <w:ind w:left="330"/>
              <w:jc w:val="left"/>
            </w:pPr>
            <w:r w:rsidRPr="00616F23">
              <w:lastRenderedPageBreak/>
              <w:t>The score for this criterion will be calculated by the following formula:</w:t>
            </w:r>
          </w:p>
          <w:bookmarkStart w:id="255" w:name="_Hlk176351599"/>
          <w:p w14:paraId="0F3AA814" w14:textId="77777777" w:rsidR="00665B8E" w:rsidRPr="00616F23" w:rsidRDefault="003B050D" w:rsidP="00B97CF4">
            <w:pPr>
              <w:spacing w:before="120"/>
              <w:ind w:left="330"/>
              <w:jc w:val="left"/>
            </w:pPr>
            <m:oMathPara>
              <m:oMath>
                <m:f>
                  <m:fPr>
                    <m:ctrlPr>
                      <w:rPr>
                        <w:rFonts w:ascii="Cambria Math" w:hAnsi="Cambria Math"/>
                        <w:i/>
                      </w:rPr>
                    </m:ctrlPr>
                  </m:fPr>
                  <m:num>
                    <m:r>
                      <w:rPr>
                        <w:rFonts w:ascii="Cambria Math" w:hAnsi="Cambria Math"/>
                      </w:rPr>
                      <m:t>Total Direct Labor</m:t>
                    </m:r>
                  </m:num>
                  <m:den>
                    <m:r>
                      <w:rPr>
                        <w:rFonts w:ascii="Cambria Math" w:hAnsi="Cambria Math"/>
                      </w:rPr>
                      <m:t>Total Direct Labor + Total Fringe + Total Indirect + Total Profit</m:t>
                    </m:r>
                  </m:den>
                </m:f>
              </m:oMath>
            </m:oMathPara>
            <w:bookmarkEnd w:id="255"/>
          </w:p>
          <w:p w14:paraId="584EB917" w14:textId="77777777" w:rsidR="00665B8E" w:rsidRPr="00616F23" w:rsidRDefault="00665B8E" w:rsidP="00B97CF4">
            <w:pPr>
              <w:spacing w:before="120"/>
              <w:ind w:left="330"/>
              <w:jc w:val="left"/>
            </w:pPr>
            <w:r w:rsidRPr="00616F23">
              <w:br/>
              <w:t>This ratio will then be multiplied by the maximum possible points for this criterion and rounded to two decimal places.</w:t>
            </w:r>
          </w:p>
          <w:p w14:paraId="5F1F9F8A" w14:textId="77777777" w:rsidR="00665B8E" w:rsidRPr="00616F23" w:rsidRDefault="00665B8E" w:rsidP="00B97CF4">
            <w:pPr>
              <w:spacing w:before="120"/>
              <w:ind w:left="330"/>
              <w:jc w:val="left"/>
            </w:pPr>
            <w:r w:rsidRPr="00616F23">
              <w:t xml:space="preserve">NOTE: For the purposes of this </w:t>
            </w:r>
            <w:r>
              <w:t>criterion</w:t>
            </w:r>
            <w:r w:rsidRPr="00616F23">
              <w:t xml:space="preserve">, the </w:t>
            </w:r>
            <w:r>
              <w:t>CEC</w:t>
            </w:r>
            <w:r w:rsidRPr="00616F23">
              <w:t xml:space="preserve"> will include the facility charges (e.g., rent, utilities, etc.), burdens and other like costs that are budgeted as direct costs into the indirect costs in the formula.</w:t>
            </w:r>
          </w:p>
        </w:tc>
        <w:tc>
          <w:tcPr>
            <w:tcW w:w="1342" w:type="dxa"/>
            <w:tcBorders>
              <w:top w:val="single" w:sz="4" w:space="0" w:color="auto"/>
              <w:bottom w:val="nil"/>
            </w:tcBorders>
          </w:tcPr>
          <w:p w14:paraId="5B385875" w14:textId="77777777" w:rsidR="00665B8E" w:rsidRPr="00616F23" w:rsidRDefault="00665B8E" w:rsidP="00573865">
            <w:pPr>
              <w:spacing w:before="120"/>
              <w:jc w:val="center"/>
              <w:rPr>
                <w:b/>
              </w:rPr>
            </w:pPr>
            <w:r w:rsidRPr="00616F23">
              <w:rPr>
                <w:b/>
              </w:rPr>
              <w:lastRenderedPageBreak/>
              <w:t>5</w:t>
            </w:r>
          </w:p>
        </w:tc>
      </w:tr>
      <w:tr w:rsidR="00665B8E" w:rsidRPr="00616F23" w14:paraId="3B30C65D" w14:textId="77777777" w:rsidTr="00A85A94">
        <w:trPr>
          <w:trHeight w:val="647"/>
        </w:trPr>
        <w:tc>
          <w:tcPr>
            <w:tcW w:w="8362" w:type="dxa"/>
            <w:tcBorders>
              <w:top w:val="nil"/>
              <w:bottom w:val="single" w:sz="4" w:space="0" w:color="auto"/>
            </w:tcBorders>
            <w:shd w:val="clear" w:color="auto" w:fill="D9D9D9" w:themeFill="background1" w:themeFillShade="D9"/>
          </w:tcPr>
          <w:p w14:paraId="5AAAB3B2" w14:textId="77777777" w:rsidR="00665B8E" w:rsidRPr="00616F23" w:rsidRDefault="00665B8E" w:rsidP="00B97CF4">
            <w:pPr>
              <w:spacing w:before="120" w:after="0"/>
              <w:jc w:val="left"/>
              <w:rPr>
                <w:b/>
              </w:rPr>
            </w:pPr>
            <w:bookmarkStart w:id="256" w:name="ScoringTotalCrit2"/>
            <w:bookmarkEnd w:id="256"/>
            <w:r w:rsidRPr="00616F23">
              <w:rPr>
                <w:b/>
              </w:rPr>
              <w:t>Total Possible Points</w:t>
            </w:r>
            <w:r>
              <w:rPr>
                <w:b/>
              </w:rPr>
              <w:t xml:space="preserve"> </w:t>
            </w:r>
            <w:r w:rsidRPr="002228F9">
              <w:rPr>
                <w:b/>
              </w:rPr>
              <w:t>for Criteria 1-7</w:t>
            </w:r>
          </w:p>
          <w:p w14:paraId="61BC9EF6" w14:textId="77777777" w:rsidR="00665B8E" w:rsidRPr="00616F23" w:rsidRDefault="00665B8E" w:rsidP="00B97CF4">
            <w:pPr>
              <w:jc w:val="left"/>
              <w:rPr>
                <w:b/>
              </w:rPr>
            </w:pPr>
            <w:r w:rsidRPr="00616F23">
              <w:rPr>
                <w:b/>
              </w:rPr>
              <w:t xml:space="preserve">(Minimum Passing Score for Criteria 1 – </w:t>
            </w:r>
            <w:r>
              <w:rPr>
                <w:b/>
              </w:rPr>
              <w:t>7</w:t>
            </w:r>
            <w:r w:rsidRPr="00616F23">
              <w:rPr>
                <w:b/>
              </w:rPr>
              <w:t xml:space="preserve"> is 70% or </w:t>
            </w:r>
            <w:r>
              <w:rPr>
                <w:b/>
                <w:u w:val="single"/>
              </w:rPr>
              <w:t>7</w:t>
            </w:r>
            <w:r w:rsidRPr="00616F23">
              <w:rPr>
                <w:b/>
                <w:u w:val="single"/>
              </w:rPr>
              <w:t>0.</w:t>
            </w:r>
            <w:r>
              <w:rPr>
                <w:b/>
                <w:u w:val="single"/>
              </w:rPr>
              <w:t>00 points</w:t>
            </w:r>
            <w:r w:rsidRPr="00616F23">
              <w:rPr>
                <w:b/>
              </w:rPr>
              <w:t>)</w:t>
            </w:r>
          </w:p>
        </w:tc>
        <w:tc>
          <w:tcPr>
            <w:tcW w:w="1342" w:type="dxa"/>
            <w:tcBorders>
              <w:top w:val="nil"/>
              <w:bottom w:val="single" w:sz="4" w:space="0" w:color="auto"/>
            </w:tcBorders>
            <w:shd w:val="clear" w:color="auto" w:fill="D9D9D9" w:themeFill="background1" w:themeFillShade="D9"/>
          </w:tcPr>
          <w:p w14:paraId="1C2B2168" w14:textId="77777777" w:rsidR="00665B8E" w:rsidRPr="00616F23" w:rsidRDefault="00665B8E" w:rsidP="00B97CF4">
            <w:pPr>
              <w:spacing w:after="0"/>
              <w:jc w:val="left"/>
              <w:rPr>
                <w:b/>
              </w:rPr>
            </w:pPr>
          </w:p>
          <w:p w14:paraId="3DAD44AF" w14:textId="77777777" w:rsidR="00665B8E" w:rsidRPr="00616F23" w:rsidRDefault="00665B8E" w:rsidP="00573865">
            <w:pPr>
              <w:jc w:val="center"/>
              <w:rPr>
                <w:b/>
              </w:rPr>
            </w:pPr>
            <w:r w:rsidRPr="00616F23">
              <w:rPr>
                <w:b/>
              </w:rPr>
              <w:t>1</w:t>
            </w:r>
            <w:r>
              <w:rPr>
                <w:b/>
              </w:rPr>
              <w:t>00</w:t>
            </w:r>
          </w:p>
        </w:tc>
      </w:tr>
    </w:tbl>
    <w:p w14:paraId="324034FF" w14:textId="77777777" w:rsidR="00665B8E" w:rsidRDefault="00665B8E" w:rsidP="00B97CF4">
      <w:pPr>
        <w:jc w:val="left"/>
        <w:rPr>
          <w:b/>
          <w:caps/>
          <w:u w:val="single"/>
        </w:rPr>
      </w:pPr>
    </w:p>
    <w:p w14:paraId="643DF5D3" w14:textId="77777777" w:rsidR="00665B8E" w:rsidRDefault="00665B8E" w:rsidP="00B97CF4">
      <w:pPr>
        <w:jc w:val="left"/>
        <w:rPr>
          <w:b/>
          <w:caps/>
          <w:u w:val="single"/>
        </w:rPr>
      </w:pPr>
    </w:p>
    <w:p w14:paraId="0798A478" w14:textId="77777777" w:rsidR="00665B8E" w:rsidRDefault="00665B8E" w:rsidP="00B97CF4">
      <w:pPr>
        <w:jc w:val="left"/>
        <w:rPr>
          <w:b/>
          <w:caps/>
          <w:u w:val="single"/>
        </w:rPr>
      </w:pPr>
    </w:p>
    <w:p w14:paraId="5BBC52E5" w14:textId="77777777" w:rsidR="006D4010" w:rsidRDefault="006D4010" w:rsidP="00B97CF4">
      <w:pPr>
        <w:jc w:val="left"/>
      </w:pPr>
    </w:p>
    <w:p w14:paraId="3A75B3A0" w14:textId="77777777" w:rsidR="00B97CF4" w:rsidRDefault="00B97CF4">
      <w:pPr>
        <w:jc w:val="left"/>
      </w:pPr>
    </w:p>
    <w:sectPr w:rsidR="00B97CF4" w:rsidSect="00657C08">
      <w:headerReference w:type="first" r:id="rId65"/>
      <w:footerReference w:type="first" r:id="rId66"/>
      <w:pgSz w:w="12240" w:h="15840" w:code="1"/>
      <w:pgMar w:top="1440" w:right="1440" w:bottom="1440" w:left="1440" w:header="720" w:footer="576"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0726D" w14:textId="77777777" w:rsidR="003B050D" w:rsidRDefault="003B050D" w:rsidP="00665B8E">
      <w:pPr>
        <w:spacing w:after="0"/>
      </w:pPr>
      <w:r>
        <w:separator/>
      </w:r>
    </w:p>
  </w:endnote>
  <w:endnote w:type="continuationSeparator" w:id="0">
    <w:p w14:paraId="3AE92919" w14:textId="77777777" w:rsidR="003B050D" w:rsidRDefault="003B050D" w:rsidP="00665B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Univers LT Std 57 Cn">
    <w:altName w:val="Calibri"/>
    <w:panose1 w:val="00000000000000000000"/>
    <w:charset w:val="00"/>
    <w:family w:val="swiss"/>
    <w:notTrueType/>
    <w:pitch w:val="variable"/>
    <w:sig w:usb0="00000003" w:usb1="00000000" w:usb2="00000000" w:usb3="00000000" w:csb0="00000001" w:csb1="00000000"/>
  </w:font>
  <w:font w:name="Frutiger LT Std 57 Cn">
    <w:altName w:val="Calibri"/>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808E0" w14:textId="77777777" w:rsidR="00E40CD4" w:rsidRDefault="00E40CD4" w:rsidP="00E40CD4">
    <w:pPr>
      <w:tabs>
        <w:tab w:val="left" w:pos="0"/>
        <w:tab w:val="center" w:pos="4680"/>
        <w:tab w:val="right" w:pos="9360"/>
      </w:tabs>
      <w:spacing w:after="0"/>
      <w:jc w:val="right"/>
      <w:rPr>
        <w:sz w:val="20"/>
        <w:szCs w:val="16"/>
      </w:rPr>
    </w:pPr>
    <w:r>
      <w:rPr>
        <w:rStyle w:val="FooterChar"/>
      </w:rPr>
      <w:t>August 2026</w:t>
    </w:r>
    <w:r>
      <w:rPr>
        <w:sz w:val="20"/>
        <w:szCs w:val="16"/>
      </w:rPr>
      <w:tab/>
    </w:r>
    <w:r w:rsidRPr="00122853">
      <w:rPr>
        <w:sz w:val="20"/>
        <w:szCs w:val="16"/>
      </w:rPr>
      <w:t xml:space="preserve">Page </w:t>
    </w:r>
    <w:r w:rsidRPr="00122853">
      <w:rPr>
        <w:color w:val="2B579A"/>
        <w:sz w:val="20"/>
        <w:szCs w:val="16"/>
        <w:shd w:val="clear" w:color="auto" w:fill="E6E6E6"/>
      </w:rPr>
      <w:fldChar w:fldCharType="begin"/>
    </w:r>
    <w:r w:rsidRPr="00122853">
      <w:rPr>
        <w:sz w:val="20"/>
        <w:szCs w:val="16"/>
      </w:rPr>
      <w:instrText xml:space="preserve"> PAGE   \* MERGEFORMAT </w:instrText>
    </w:r>
    <w:r w:rsidRPr="00122853">
      <w:rPr>
        <w:color w:val="2B579A"/>
        <w:sz w:val="20"/>
        <w:szCs w:val="16"/>
        <w:shd w:val="clear" w:color="auto" w:fill="E6E6E6"/>
      </w:rPr>
      <w:fldChar w:fldCharType="separate"/>
    </w:r>
    <w:proofErr w:type="spellStart"/>
    <w:r>
      <w:rPr>
        <w:color w:val="2B579A"/>
        <w:sz w:val="20"/>
        <w:szCs w:val="16"/>
        <w:shd w:val="clear" w:color="auto" w:fill="E6E6E6"/>
      </w:rPr>
      <w:t>i</w:t>
    </w:r>
    <w:proofErr w:type="spellEnd"/>
    <w:r w:rsidRPr="00122853">
      <w:rPr>
        <w:color w:val="2B579A"/>
        <w:sz w:val="20"/>
        <w:szCs w:val="16"/>
        <w:shd w:val="clear" w:color="auto" w:fill="E6E6E6"/>
      </w:rPr>
      <w:fldChar w:fldCharType="end"/>
    </w:r>
    <w:r>
      <w:rPr>
        <w:color w:val="2B579A"/>
        <w:sz w:val="20"/>
        <w:szCs w:val="16"/>
        <w:shd w:val="clear" w:color="auto" w:fill="E6E6E6"/>
      </w:rPr>
      <w:t xml:space="preserve"> </w:t>
    </w:r>
    <w:r>
      <w:rPr>
        <w:sz w:val="20"/>
        <w:szCs w:val="16"/>
      </w:rPr>
      <w:tab/>
    </w:r>
    <w:r w:rsidRPr="00263AD0">
      <w:rPr>
        <w:sz w:val="20"/>
        <w:szCs w:val="16"/>
      </w:rPr>
      <w:t>GFO-26-501</w:t>
    </w:r>
  </w:p>
  <w:p w14:paraId="04D94774" w14:textId="77777777" w:rsidR="00E40CD4" w:rsidRPr="00122853" w:rsidRDefault="00E40CD4" w:rsidP="00E40CD4">
    <w:pPr>
      <w:tabs>
        <w:tab w:val="left" w:pos="0"/>
        <w:tab w:val="center" w:pos="4680"/>
        <w:tab w:val="right" w:pos="9360"/>
      </w:tabs>
      <w:jc w:val="right"/>
      <w:rPr>
        <w:sz w:val="20"/>
        <w:szCs w:val="16"/>
      </w:rPr>
    </w:pPr>
    <w:r w:rsidRPr="00263AD0">
      <w:rPr>
        <w:sz w:val="20"/>
        <w:szCs w:val="16"/>
      </w:rPr>
      <w:t>Innovations in open data and modeling</w:t>
    </w:r>
  </w:p>
  <w:p w14:paraId="371A9BCE" w14:textId="77777777" w:rsidR="0072241D" w:rsidRDefault="007224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B069B" w14:textId="1E5515AF" w:rsidR="00263AD0" w:rsidRDefault="00263AD0" w:rsidP="00263AD0">
    <w:pPr>
      <w:tabs>
        <w:tab w:val="left" w:pos="0"/>
        <w:tab w:val="center" w:pos="4680"/>
        <w:tab w:val="right" w:pos="9360"/>
      </w:tabs>
      <w:spacing w:after="0"/>
      <w:jc w:val="right"/>
      <w:rPr>
        <w:sz w:val="20"/>
        <w:szCs w:val="16"/>
      </w:rPr>
    </w:pPr>
    <w:r>
      <w:rPr>
        <w:rStyle w:val="FooterChar"/>
      </w:rPr>
      <w:t>August 2026</w:t>
    </w:r>
    <w:r w:rsidR="00665B8E">
      <w:rPr>
        <w:sz w:val="20"/>
        <w:szCs w:val="16"/>
      </w:rPr>
      <w:tab/>
    </w:r>
    <w:r w:rsidR="00665B8E" w:rsidRPr="00122853">
      <w:rPr>
        <w:sz w:val="20"/>
        <w:szCs w:val="16"/>
      </w:rPr>
      <w:t xml:space="preserve">Page </w:t>
    </w:r>
    <w:r w:rsidR="00665B8E" w:rsidRPr="00122853">
      <w:rPr>
        <w:color w:val="2B579A"/>
        <w:sz w:val="20"/>
        <w:szCs w:val="16"/>
        <w:shd w:val="clear" w:color="auto" w:fill="E6E6E6"/>
      </w:rPr>
      <w:fldChar w:fldCharType="begin"/>
    </w:r>
    <w:r w:rsidR="00665B8E" w:rsidRPr="00122853">
      <w:rPr>
        <w:sz w:val="20"/>
        <w:szCs w:val="16"/>
      </w:rPr>
      <w:instrText xml:space="preserve"> PAGE   \* MERGEFORMAT </w:instrText>
    </w:r>
    <w:r w:rsidR="00665B8E" w:rsidRPr="00122853">
      <w:rPr>
        <w:color w:val="2B579A"/>
        <w:sz w:val="20"/>
        <w:szCs w:val="16"/>
        <w:shd w:val="clear" w:color="auto" w:fill="E6E6E6"/>
      </w:rPr>
      <w:fldChar w:fldCharType="separate"/>
    </w:r>
    <w:r w:rsidR="00665B8E">
      <w:rPr>
        <w:noProof/>
        <w:sz w:val="20"/>
        <w:szCs w:val="16"/>
      </w:rPr>
      <w:t>5</w:t>
    </w:r>
    <w:r w:rsidR="00665B8E" w:rsidRPr="00122853">
      <w:rPr>
        <w:color w:val="2B579A"/>
        <w:sz w:val="20"/>
        <w:szCs w:val="16"/>
        <w:shd w:val="clear" w:color="auto" w:fill="E6E6E6"/>
      </w:rPr>
      <w:fldChar w:fldCharType="end"/>
    </w:r>
    <w:r w:rsidR="00665B8E">
      <w:rPr>
        <w:color w:val="2B579A"/>
        <w:sz w:val="20"/>
        <w:szCs w:val="16"/>
        <w:shd w:val="clear" w:color="auto" w:fill="E6E6E6"/>
      </w:rPr>
      <w:t xml:space="preserve"> </w:t>
    </w:r>
    <w:r w:rsidR="00665B8E">
      <w:rPr>
        <w:sz w:val="20"/>
        <w:szCs w:val="16"/>
      </w:rPr>
      <w:tab/>
    </w:r>
    <w:r w:rsidRPr="00263AD0">
      <w:rPr>
        <w:sz w:val="20"/>
        <w:szCs w:val="16"/>
      </w:rPr>
      <w:t>GFO-26-501</w:t>
    </w:r>
  </w:p>
  <w:p w14:paraId="70856141" w14:textId="6501FEDB" w:rsidR="00665B8E" w:rsidRPr="00122853" w:rsidRDefault="00263AD0" w:rsidP="00263AD0">
    <w:pPr>
      <w:tabs>
        <w:tab w:val="left" w:pos="0"/>
        <w:tab w:val="center" w:pos="4680"/>
        <w:tab w:val="right" w:pos="9360"/>
      </w:tabs>
      <w:jc w:val="right"/>
      <w:rPr>
        <w:sz w:val="20"/>
        <w:szCs w:val="16"/>
      </w:rPr>
    </w:pPr>
    <w:r w:rsidRPr="00263AD0">
      <w:rPr>
        <w:sz w:val="20"/>
        <w:szCs w:val="16"/>
      </w:rPr>
      <w:t>Innovations in open data and modeling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8DF49" w14:textId="11468658" w:rsidR="004029F8" w:rsidRPr="008F6C51" w:rsidRDefault="004029F8" w:rsidP="00EE453B">
    <w:pPr>
      <w:tabs>
        <w:tab w:val="left" w:pos="0"/>
        <w:tab w:val="center" w:pos="4680"/>
        <w:tab w:val="right" w:pos="9360"/>
      </w:tabs>
      <w:spacing w:after="0"/>
      <w:rPr>
        <w:sz w:val="20"/>
        <w:szCs w:val="16"/>
      </w:rPr>
    </w:pPr>
    <w:r w:rsidRPr="008F6C51">
      <w:rPr>
        <w:rStyle w:val="FooterChar"/>
      </w:rPr>
      <w:t>August 2026</w:t>
    </w:r>
    <w:r w:rsidR="00EE453B" w:rsidRPr="008F6C51">
      <w:rPr>
        <w:rStyle w:val="FooterChar"/>
      </w:rPr>
      <w:tab/>
    </w:r>
    <w:r w:rsidRPr="008F6C51">
      <w:rPr>
        <w:sz w:val="20"/>
        <w:szCs w:val="16"/>
      </w:rPr>
      <w:t xml:space="preserve">Page </w:t>
    </w:r>
    <w:r w:rsidRPr="008F6C51">
      <w:rPr>
        <w:sz w:val="20"/>
        <w:szCs w:val="16"/>
        <w:shd w:val="clear" w:color="auto" w:fill="E6E6E6"/>
      </w:rPr>
      <w:fldChar w:fldCharType="begin"/>
    </w:r>
    <w:r w:rsidRPr="008F6C51">
      <w:rPr>
        <w:sz w:val="20"/>
        <w:szCs w:val="16"/>
      </w:rPr>
      <w:instrText xml:space="preserve"> PAGE   \* MERGEFORMAT </w:instrText>
    </w:r>
    <w:r w:rsidRPr="008F6C51">
      <w:rPr>
        <w:sz w:val="20"/>
        <w:szCs w:val="16"/>
        <w:shd w:val="clear" w:color="auto" w:fill="E6E6E6"/>
      </w:rPr>
      <w:fldChar w:fldCharType="separate"/>
    </w:r>
    <w:r w:rsidRPr="008F6C51">
      <w:rPr>
        <w:noProof/>
        <w:sz w:val="20"/>
        <w:szCs w:val="16"/>
      </w:rPr>
      <w:t>5</w:t>
    </w:r>
    <w:r w:rsidRPr="008F6C51">
      <w:rPr>
        <w:sz w:val="20"/>
        <w:szCs w:val="16"/>
        <w:shd w:val="clear" w:color="auto" w:fill="E6E6E6"/>
      </w:rPr>
      <w:fldChar w:fldCharType="end"/>
    </w:r>
    <w:r w:rsidRPr="008F6C51">
      <w:rPr>
        <w:sz w:val="20"/>
        <w:szCs w:val="16"/>
        <w:shd w:val="clear" w:color="auto" w:fill="E6E6E6"/>
      </w:rPr>
      <w:t xml:space="preserve"> </w:t>
    </w:r>
    <w:r w:rsidR="00533B6C" w:rsidRPr="008F6C51">
      <w:rPr>
        <w:sz w:val="20"/>
        <w:szCs w:val="16"/>
        <w:shd w:val="clear" w:color="auto" w:fill="E6E6E6"/>
      </w:rPr>
      <w:t>of</w:t>
    </w:r>
    <w:r w:rsidR="00B81A87" w:rsidRPr="008F6C51">
      <w:rPr>
        <w:sz w:val="20"/>
        <w:szCs w:val="16"/>
        <w:shd w:val="clear" w:color="auto" w:fill="E6E6E6"/>
      </w:rPr>
      <w:t xml:space="preserve"> </w:t>
    </w:r>
    <w:r w:rsidR="00DE702E">
      <w:rPr>
        <w:sz w:val="20"/>
        <w:szCs w:val="16"/>
        <w:shd w:val="clear" w:color="auto" w:fill="E6E6E6"/>
      </w:rPr>
      <w:t>52</w:t>
    </w:r>
    <w:r w:rsidRPr="008F6C51">
      <w:rPr>
        <w:sz w:val="20"/>
        <w:szCs w:val="16"/>
      </w:rPr>
      <w:tab/>
      <w:t>GFO-26-501</w:t>
    </w:r>
  </w:p>
  <w:p w14:paraId="5D3581E4" w14:textId="6795CA90" w:rsidR="004029F8" w:rsidRPr="00122853" w:rsidRDefault="004029F8" w:rsidP="004029F8">
    <w:pPr>
      <w:tabs>
        <w:tab w:val="left" w:pos="0"/>
        <w:tab w:val="center" w:pos="4680"/>
        <w:tab w:val="right" w:pos="9360"/>
      </w:tabs>
      <w:jc w:val="right"/>
      <w:rPr>
        <w:sz w:val="20"/>
        <w:szCs w:val="16"/>
      </w:rPr>
    </w:pPr>
    <w:r w:rsidRPr="004029F8">
      <w:rPr>
        <w:sz w:val="20"/>
        <w:szCs w:val="16"/>
      </w:rPr>
      <w:t>Innovations in open data and modeling</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39BDE" w14:textId="77777777" w:rsidR="007E1300" w:rsidRPr="007E1300" w:rsidRDefault="00657C08" w:rsidP="007E1300">
    <w:pPr>
      <w:tabs>
        <w:tab w:val="left" w:pos="0"/>
        <w:tab w:val="center" w:pos="4680"/>
        <w:tab w:val="right" w:pos="9360"/>
      </w:tabs>
      <w:spacing w:after="0"/>
      <w:jc w:val="right"/>
      <w:rPr>
        <w:sz w:val="22"/>
        <w:szCs w:val="22"/>
      </w:rPr>
    </w:pPr>
    <w:r w:rsidRPr="007E1300">
      <w:rPr>
        <w:sz w:val="22"/>
        <w:szCs w:val="22"/>
      </w:rPr>
      <w:t>August 2026</w:t>
    </w:r>
    <w:r w:rsidRPr="007E1300">
      <w:rPr>
        <w:sz w:val="22"/>
        <w:szCs w:val="22"/>
      </w:rPr>
      <w:tab/>
      <w:t xml:space="preserve">Page </w:t>
    </w:r>
    <w:r w:rsidRPr="007E1300">
      <w:rPr>
        <w:sz w:val="22"/>
        <w:szCs w:val="22"/>
      </w:rPr>
      <w:fldChar w:fldCharType="begin"/>
    </w:r>
    <w:r w:rsidRPr="007E1300">
      <w:rPr>
        <w:sz w:val="22"/>
        <w:szCs w:val="22"/>
      </w:rPr>
      <w:instrText xml:space="preserve"> PAGE  \* Arabic  \* MERGEFORMAT </w:instrText>
    </w:r>
    <w:r w:rsidRPr="007E1300">
      <w:rPr>
        <w:sz w:val="22"/>
        <w:szCs w:val="22"/>
      </w:rPr>
      <w:fldChar w:fldCharType="separate"/>
    </w:r>
    <w:r w:rsidRPr="007E1300">
      <w:rPr>
        <w:noProof/>
        <w:sz w:val="22"/>
        <w:szCs w:val="22"/>
      </w:rPr>
      <w:t>2</w:t>
    </w:r>
    <w:r w:rsidRPr="007E1300">
      <w:rPr>
        <w:sz w:val="22"/>
        <w:szCs w:val="22"/>
      </w:rPr>
      <w:fldChar w:fldCharType="end"/>
    </w:r>
    <w:r w:rsidRPr="007E1300">
      <w:rPr>
        <w:sz w:val="22"/>
        <w:szCs w:val="22"/>
      </w:rPr>
      <w:t xml:space="preserve"> of </w:t>
    </w:r>
    <w:r w:rsidRPr="007E1300">
      <w:rPr>
        <w:sz w:val="22"/>
        <w:szCs w:val="22"/>
      </w:rPr>
      <w:fldChar w:fldCharType="begin"/>
    </w:r>
    <w:r w:rsidRPr="007E1300">
      <w:rPr>
        <w:sz w:val="22"/>
        <w:szCs w:val="22"/>
      </w:rPr>
      <w:instrText xml:space="preserve"> NUMPAGES  \* Arabic  \* MERGEFORMAT </w:instrText>
    </w:r>
    <w:r w:rsidRPr="007E1300">
      <w:rPr>
        <w:sz w:val="22"/>
        <w:szCs w:val="22"/>
      </w:rPr>
      <w:fldChar w:fldCharType="separate"/>
    </w:r>
    <w:r w:rsidRPr="007E1300">
      <w:rPr>
        <w:noProof/>
        <w:sz w:val="22"/>
        <w:szCs w:val="22"/>
      </w:rPr>
      <w:t>2</w:t>
    </w:r>
    <w:r w:rsidRPr="007E1300">
      <w:rPr>
        <w:sz w:val="22"/>
        <w:szCs w:val="22"/>
      </w:rPr>
      <w:fldChar w:fldCharType="end"/>
    </w:r>
    <w:r w:rsidRPr="007E1300">
      <w:rPr>
        <w:sz w:val="22"/>
        <w:szCs w:val="22"/>
      </w:rPr>
      <w:tab/>
    </w:r>
    <w:r w:rsidR="007E1300" w:rsidRPr="007E1300">
      <w:rPr>
        <w:sz w:val="22"/>
        <w:szCs w:val="22"/>
      </w:rPr>
      <w:t>GFO-26-501</w:t>
    </w:r>
  </w:p>
  <w:p w14:paraId="41D98DE4" w14:textId="77777777" w:rsidR="0072241D" w:rsidRPr="007E1300" w:rsidRDefault="007E1300" w:rsidP="007E1300">
    <w:pPr>
      <w:pStyle w:val="Footer"/>
      <w:jc w:val="left"/>
      <w:rPr>
        <w:sz w:val="22"/>
        <w:szCs w:val="22"/>
      </w:rPr>
    </w:pPr>
    <w:r w:rsidRPr="007E1300">
      <w:rPr>
        <w:sz w:val="22"/>
        <w:szCs w:val="22"/>
      </w:rPr>
      <w:tab/>
    </w:r>
    <w:r w:rsidRPr="007E1300">
      <w:rPr>
        <w:sz w:val="22"/>
        <w:szCs w:val="22"/>
      </w:rPr>
      <w:tab/>
      <w:t>Innovations in open data and modeling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79961" w14:textId="77777777" w:rsidR="003B050D" w:rsidRDefault="003B050D" w:rsidP="00665B8E">
      <w:pPr>
        <w:spacing w:after="0"/>
      </w:pPr>
      <w:r>
        <w:separator/>
      </w:r>
    </w:p>
  </w:footnote>
  <w:footnote w:type="continuationSeparator" w:id="0">
    <w:p w14:paraId="4E832B52" w14:textId="77777777" w:rsidR="003B050D" w:rsidRDefault="003B050D" w:rsidP="00665B8E">
      <w:pPr>
        <w:spacing w:after="0"/>
      </w:pPr>
      <w:r>
        <w:continuationSeparator/>
      </w:r>
    </w:p>
  </w:footnote>
  <w:footnote w:id="1">
    <w:p w14:paraId="48765BA7" w14:textId="77777777" w:rsidR="002A5A04" w:rsidRDefault="002A5A04" w:rsidP="002F68BC">
      <w:pPr>
        <w:jc w:val="left"/>
      </w:pPr>
      <w:r>
        <w:rPr>
          <w:rStyle w:val="FootnoteReference"/>
        </w:rPr>
        <w:footnoteRef/>
      </w:r>
      <w:r>
        <w:t xml:space="preserve"> </w:t>
      </w:r>
      <w:r w:rsidRPr="00A237AE">
        <w:rPr>
          <w:sz w:val="20"/>
        </w:rPr>
        <w:t>CalMatters, 2024, with data from California Public Utilities Commission https://calmatters.org/environment/2024/12/pge-utilities-wildfire-prevention-customer-bills-california/</w:t>
      </w:r>
    </w:p>
    <w:p w14:paraId="7BD8115A" w14:textId="7FA6F400" w:rsidR="002A5A04" w:rsidRDefault="002A5A04">
      <w:pPr>
        <w:pStyle w:val="FootnoteText"/>
      </w:pPr>
    </w:p>
  </w:footnote>
  <w:footnote w:id="2">
    <w:p w14:paraId="36A73B69" w14:textId="77777777" w:rsidR="008770FE" w:rsidRPr="00CD7338" w:rsidRDefault="008770FE" w:rsidP="008770FE">
      <w:pPr>
        <w:pStyle w:val="FootnoteText"/>
      </w:pPr>
      <w:r w:rsidRPr="00CD7338">
        <w:rPr>
          <w:rStyle w:val="FootnoteReference"/>
          <w:rFonts w:cs="Arial"/>
        </w:rPr>
        <w:footnoteRef/>
      </w:r>
      <w:r w:rsidRPr="00CD7338">
        <w:t xml:space="preserve"> Pierce, D. W., J. F. Kalansky, and D. R. Cayan, (Scripps Institution of Oceanography). 2018. Climate, Drought, and Sea Level Rise Scenarios for the Fourth California Climate Assessment. California’s Fourth Climate Change Assessment, California Energy Commission. Publication Number: CNRA-CEC-2018-006. </w:t>
      </w:r>
      <w:hyperlink r:id="rId1">
        <w:r w:rsidRPr="79DE98A2">
          <w:rPr>
            <w:rStyle w:val="Hyperlink"/>
            <w:rFonts w:cs="Arial"/>
          </w:rPr>
          <w:t>https://www.energy.ca.gov/sites/default/files/2019-11/Projections_CCCA4-CEC-2018-006_ADA.pdf</w:t>
        </w:r>
      </w:hyperlink>
      <w:r>
        <w:t xml:space="preserve"> </w:t>
      </w:r>
    </w:p>
  </w:footnote>
  <w:footnote w:id="3">
    <w:p w14:paraId="7CBEFDD2" w14:textId="50BC922C" w:rsidR="00F42C0D" w:rsidRDefault="00F42C0D">
      <w:pPr>
        <w:pStyle w:val="FootnoteText"/>
      </w:pPr>
      <w:r>
        <w:rPr>
          <w:rStyle w:val="FootnoteReference"/>
        </w:rPr>
        <w:footnoteRef/>
      </w:r>
      <w:r>
        <w:t xml:space="preserve"> See proposed metrics for ratepayer benefits in CPUC Decision </w:t>
      </w:r>
      <w:hyperlink r:id="rId2" w:history="1">
        <w:r w:rsidRPr="48CE2B76">
          <w:rPr>
            <w:rStyle w:val="Hyperlink"/>
            <w:color w:val="467886"/>
            <w:szCs w:val="24"/>
          </w:rPr>
          <w:t>D.13-11-025</w:t>
        </w:r>
      </w:hyperlink>
      <w:r w:rsidRPr="48CE2B76">
        <w:rPr>
          <w:color w:val="467886"/>
          <w:szCs w:val="24"/>
          <w:u w:val="single"/>
        </w:rPr>
        <w:t xml:space="preserve"> </w:t>
      </w:r>
      <w:r w:rsidRPr="006D34BC">
        <w:rPr>
          <w:color w:val="467886"/>
          <w:szCs w:val="22"/>
          <w:u w:val="single"/>
        </w:rPr>
        <w:t>and the definition of ratepayer benefits in</w:t>
      </w:r>
      <w:r w:rsidRPr="48CE2B76">
        <w:rPr>
          <w:color w:val="467886"/>
          <w:szCs w:val="24"/>
          <w:u w:val="single"/>
        </w:rPr>
        <w:t xml:space="preserve"> </w:t>
      </w:r>
      <w:hyperlink r:id="rId3" w:history="1">
        <w:r w:rsidRPr="48CE2B76">
          <w:rPr>
            <w:rStyle w:val="Hyperlink"/>
            <w:color w:val="467886"/>
            <w:szCs w:val="24"/>
          </w:rPr>
          <w:t>D.21-11-028</w:t>
        </w:r>
      </w:hyperlink>
    </w:p>
  </w:footnote>
  <w:footnote w:id="4">
    <w:p w14:paraId="159ADFB9" w14:textId="77777777" w:rsidR="008770FE" w:rsidRDefault="008770FE" w:rsidP="008770FE">
      <w:pPr>
        <w:pStyle w:val="FootnoteText"/>
      </w:pPr>
      <w:r>
        <w:rPr>
          <w:rStyle w:val="FootnoteReference"/>
        </w:rPr>
        <w:footnoteRef/>
      </w:r>
      <w:r>
        <w:t xml:space="preserve"> See March 25, 2026 Climate Data and Analysis Working Group </w:t>
      </w:r>
      <w:hyperlink r:id="rId4" w:history="1">
        <w:r w:rsidRPr="008C63C0">
          <w:rPr>
            <w:rStyle w:val="Hyperlink"/>
            <w:rFonts w:cs="Arial"/>
          </w:rPr>
          <w:t>Meeting on Climate Data Needs and Wildfire Research Gaps</w:t>
        </w:r>
      </w:hyperlink>
    </w:p>
  </w:footnote>
  <w:footnote w:id="5">
    <w:p w14:paraId="41A179F4" w14:textId="77777777" w:rsidR="00A96E81" w:rsidRPr="00A96E81" w:rsidRDefault="00A96E81" w:rsidP="00A96E81">
      <w:pPr>
        <w:pStyle w:val="FootnoteText"/>
      </w:pPr>
      <w:r>
        <w:rPr>
          <w:rStyle w:val="FootnoteReference"/>
        </w:rPr>
        <w:footnoteRef/>
      </w:r>
      <w:r>
        <w:t xml:space="preserve"> </w:t>
      </w:r>
      <w:r w:rsidRPr="00A96E81">
        <w:t>Outcome-Based Change Metrics | US Forest Service Research and Development accessed at https://research.fs.usda.gov/rmrs/projects/outcome-based-change-metrics</w:t>
      </w:r>
    </w:p>
    <w:p w14:paraId="34B308DC" w14:textId="6AD05E21" w:rsidR="00A96E81" w:rsidRDefault="00A96E81">
      <w:pPr>
        <w:pStyle w:val="FootnoteText"/>
      </w:pPr>
    </w:p>
  </w:footnote>
  <w:footnote w:id="6">
    <w:p w14:paraId="30425B4F" w14:textId="77777777" w:rsidR="00665B8E" w:rsidRDefault="00665B8E" w:rsidP="00665B8E">
      <w:pPr>
        <w:pStyle w:val="FootnoteText"/>
      </w:pPr>
      <w:r>
        <w:rPr>
          <w:rStyle w:val="FootnoteReference"/>
        </w:rPr>
        <w:footnoteRef/>
      </w:r>
      <w:r>
        <w:t xml:space="preserve"> Pacific Standard Time or Pacific Daylight Time, whichever is being observed.</w:t>
      </w:r>
    </w:p>
  </w:footnote>
  <w:footnote w:id="7">
    <w:p w14:paraId="7CB5B977" w14:textId="51C031CD" w:rsidR="00375147" w:rsidRDefault="00375147" w:rsidP="00665B8E">
      <w:pPr>
        <w:pStyle w:val="FootnoteText"/>
      </w:pPr>
      <w:r>
        <w:rPr>
          <w:rStyle w:val="FootnoteReference"/>
        </w:rPr>
        <w:footnoteRef/>
      </w:r>
      <w:r>
        <w:t xml:space="preserve"> </w:t>
      </w:r>
      <w:r w:rsidRPr="00887889">
        <w:t xml:space="preserve">This deadline does not apply to non-technical questions (e.g., </w:t>
      </w:r>
      <w:r>
        <w:t xml:space="preserve">administrative </w:t>
      </w:r>
      <w:r w:rsidRPr="00887889">
        <w:t>questions concerning application format requirements or attachment instructions)</w:t>
      </w:r>
      <w:r>
        <w:t>,</w:t>
      </w:r>
      <w:r w:rsidRPr="00B52881">
        <w:t xml:space="preserve"> </w:t>
      </w:r>
      <w:r>
        <w:t>including questions regarding application submission in the ECAMS system</w:t>
      </w:r>
      <w:r w:rsidRPr="00887889">
        <w:t xml:space="preserve"> or to questions that address an </w:t>
      </w:r>
      <w:r w:rsidRPr="00887889">
        <w:rPr>
          <w:szCs w:val="22"/>
        </w:rPr>
        <w:t>ambiguity, conflict, discrepancy, omission, or other error in the solicitation</w:t>
      </w:r>
      <w:r w:rsidRPr="00887889">
        <w:t>. Such questions may be submitted to the C</w:t>
      </w:r>
      <w:r>
        <w:t xml:space="preserve">AO </w:t>
      </w:r>
      <w:r w:rsidRPr="00887889">
        <w:t xml:space="preserve">listed in Section </w:t>
      </w:r>
      <w:r>
        <w:t>G</w:t>
      </w:r>
      <w:r w:rsidRPr="00887889">
        <w:t xml:space="preserve"> at any time prior to </w:t>
      </w:r>
      <w:r>
        <w:t>5:00 p.m. of the</w:t>
      </w:r>
      <w:r w:rsidRPr="00887889">
        <w:t xml:space="preserve"> application deadline</w:t>
      </w:r>
      <w:r>
        <w:t xml:space="preserve"> date</w:t>
      </w:r>
      <w:r w:rsidRPr="00887889">
        <w:t xml:space="preserve">. Please see Section </w:t>
      </w:r>
      <w:r>
        <w:t>G</w:t>
      </w:r>
      <w:r w:rsidRPr="00887889">
        <w:t xml:space="preserve"> for additional information.</w:t>
      </w:r>
    </w:p>
  </w:footnote>
  <w:footnote w:id="8">
    <w:p w14:paraId="6483BE8C" w14:textId="77777777" w:rsidR="00375147" w:rsidRDefault="00375147">
      <w:pPr>
        <w:pStyle w:val="FootnoteText"/>
      </w:pPr>
      <w:r>
        <w:rPr>
          <w:rStyle w:val="FootnoteReference"/>
        </w:rPr>
        <w:footnoteRef/>
      </w:r>
      <w:r>
        <w:t xml:space="preserve"> Please see </w:t>
      </w:r>
      <w:r w:rsidRPr="0007780A">
        <w:t>Section I.G Questions and Section III.B Method for Delivery for more information.</w:t>
      </w:r>
    </w:p>
  </w:footnote>
  <w:footnote w:id="9">
    <w:p w14:paraId="249F5129" w14:textId="77777777" w:rsidR="00665B8E" w:rsidRDefault="00665B8E" w:rsidP="00665B8E">
      <w:pPr>
        <w:pStyle w:val="FootnoteText"/>
      </w:pPr>
      <w:r>
        <w:rPr>
          <w:rStyle w:val="FootnoteReference"/>
        </w:rPr>
        <w:footnoteRef/>
      </w:r>
      <w:r>
        <w:t xml:space="preserve"> </w:t>
      </w:r>
      <w:r w:rsidRPr="00933131">
        <w:t>This catch-all refers to other types of environmental reviews, such as those prepared under the National Environmental Policy Act (NEPA).</w:t>
      </w:r>
    </w:p>
  </w:footnote>
  <w:footnote w:id="10">
    <w:p w14:paraId="0EF948BF" w14:textId="6B7DAFC2" w:rsidR="00665B8E" w:rsidRDefault="00665B8E" w:rsidP="00665B8E">
      <w:pPr>
        <w:pStyle w:val="FootnoteText"/>
      </w:pPr>
      <w:r>
        <w:rPr>
          <w:rStyle w:val="FootnoteReference"/>
        </w:rPr>
        <w:footnoteRef/>
      </w:r>
      <w:r>
        <w:t xml:space="preserve"> See CPUC “</w:t>
      </w:r>
      <w:hyperlink r:id="rId5" w:history="1">
        <w:r w:rsidRPr="00A537D3">
          <w:rPr>
            <w:rStyle w:val="Hyperlink"/>
            <w:rFonts w:cs="Arial"/>
          </w:rPr>
          <w:t>Phase 1” Decision 11-12-035</w:t>
        </w:r>
      </w:hyperlink>
      <w:r>
        <w:t xml:space="preserve">, December 15, 2011, </w:t>
      </w:r>
      <w:r w:rsidRPr="00995BF7">
        <w:rPr>
          <w:rFonts w:cs="Times New Roman"/>
        </w:rPr>
        <w:t>http://docs.cpuc.ca.gov/PublishedDocs/WORD_PDF/FINAL_DECISION/156050.PDF</w:t>
      </w:r>
      <w:r>
        <w:t>.</w:t>
      </w:r>
    </w:p>
  </w:footnote>
  <w:footnote w:id="11">
    <w:p w14:paraId="0C68795E" w14:textId="4C7A569A" w:rsidR="00665B8E" w:rsidRDefault="00665B8E" w:rsidP="00665B8E">
      <w:pPr>
        <w:pStyle w:val="FootnoteText"/>
      </w:pPr>
      <w:r>
        <w:rPr>
          <w:rStyle w:val="FootnoteReference"/>
        </w:rPr>
        <w:footnoteRef/>
      </w:r>
      <w:r>
        <w:t xml:space="preserve"> </w:t>
      </w:r>
      <w:hyperlink r:id="rId6" w:history="1">
        <w:r w:rsidRPr="00A537D3">
          <w:rPr>
            <w:rStyle w:val="Hyperlink"/>
            <w:rFonts w:eastAsia="Arial" w:cs="Arial"/>
          </w:rPr>
          <w:t>CPUC Decision 21-11-028</w:t>
        </w:r>
      </w:hyperlink>
      <w:r w:rsidRPr="00DA6FF2">
        <w:rPr>
          <w:rFonts w:eastAsia="Arial"/>
        </w:rPr>
        <w:t xml:space="preserve">, Appendix A </w:t>
      </w:r>
      <w:r w:rsidRPr="0061746A">
        <w:rPr>
          <w:rFonts w:eastAsia="Arial"/>
        </w:rPr>
        <w:t xml:space="preserve">https://docs.cpuc.ca.gov/PublishedDocs/Published/G000/M425/K515/425515575.PDF </w:t>
      </w:r>
      <w:r w:rsidRPr="00DA6FF2">
        <w:rPr>
          <w:rFonts w:eastAsia="Arial"/>
        </w:rPr>
        <w:t xml:space="preserve">(revising former guiding principles within </w:t>
      </w:r>
      <w:r>
        <w:rPr>
          <w:rFonts w:eastAsia="Arial"/>
        </w:rPr>
        <w:t>CPUC “</w:t>
      </w:r>
      <w:hyperlink r:id="rId7" w:history="1">
        <w:r w:rsidRPr="00A537D3">
          <w:rPr>
            <w:rStyle w:val="Hyperlink"/>
            <w:rFonts w:eastAsia="Arial" w:cs="Arial"/>
          </w:rPr>
          <w:t>Phase 2” Decision 12-05-037</w:t>
        </w:r>
      </w:hyperlink>
      <w:r w:rsidRPr="00DA6FF2">
        <w:rPr>
          <w:rFonts w:eastAsia="Arial"/>
        </w:rPr>
        <w:t>, Ordering Paragraph 2</w:t>
      </w:r>
      <w:r>
        <w:rPr>
          <w:rFonts w:eastAsia="Arial"/>
        </w:rPr>
        <w:t xml:space="preserve"> </w:t>
      </w:r>
      <w:r w:rsidRPr="00616F23">
        <w:t>http://docs.cpuc.ca.gov/PublishedDocs/WORD_PDF/FINAL_DECISION/167664.PDF</w:t>
      </w:r>
      <w:r>
        <w:t>.</w:t>
      </w:r>
      <w:r w:rsidRPr="00DA6FF2">
        <w:rPr>
          <w:rFonts w:eastAsia="Arial"/>
        </w:rPr>
        <w:t>).</w:t>
      </w:r>
    </w:p>
  </w:footnote>
  <w:footnote w:id="12">
    <w:p w14:paraId="1F04C48C" w14:textId="77777777" w:rsidR="00665B8E" w:rsidRDefault="00665B8E" w:rsidP="00665B8E">
      <w:pPr>
        <w:pStyle w:val="FootnoteText"/>
      </w:pPr>
      <w:r>
        <w:rPr>
          <w:rStyle w:val="FootnoteReference"/>
        </w:rPr>
        <w:footnoteRef/>
      </w:r>
      <w:r>
        <w:t xml:space="preserve"> </w:t>
      </w:r>
      <w:hyperlink r:id="rId8" w:history="1">
        <w:r w:rsidRPr="00E51D1E">
          <w:rPr>
            <w:rStyle w:val="Hyperlink"/>
            <w:rFonts w:cs="Arial"/>
          </w:rPr>
          <w:t>California Public Resources Code, Section 25711.5(a)</w:t>
        </w:r>
      </w:hyperlink>
      <w:r>
        <w:t xml:space="preserve">, </w:t>
      </w:r>
      <w:r w:rsidRPr="00995BF7">
        <w:rPr>
          <w:rFonts w:cs="Times New Roman"/>
        </w:rPr>
        <w:t>http://www.leginfo.ca.gov/cgi-bin/displaycode?section=prc&amp;group=25001-26000&amp;file=25710-25712</w:t>
      </w:r>
      <w:r>
        <w:t>.</w:t>
      </w:r>
    </w:p>
  </w:footnote>
  <w:footnote w:id="13">
    <w:p w14:paraId="14F4E795" w14:textId="5948A54F" w:rsidR="00665B8E" w:rsidRDefault="00665B8E" w:rsidP="00665B8E">
      <w:pPr>
        <w:pStyle w:val="FootnoteText"/>
        <w:spacing w:after="0"/>
      </w:pPr>
      <w:r>
        <w:rPr>
          <w:rStyle w:val="FootnoteReference"/>
        </w:rPr>
        <w:footnoteRef/>
      </w:r>
      <w:r>
        <w:t xml:space="preserve"> </w:t>
      </w:r>
      <w:hyperlink r:id="rId9" w:history="1">
        <w:r w:rsidR="002648FD" w:rsidRPr="000E217E">
          <w:rPr>
            <w:rStyle w:val="Hyperlink"/>
            <w:rFonts w:cs="Arial"/>
          </w:rPr>
          <w:t>2021-2025 EPIC Investment Plan</w:t>
        </w:r>
      </w:hyperlink>
      <w:r w:rsidR="002648FD">
        <w:t xml:space="preserve">, </w:t>
      </w:r>
      <w:r w:rsidR="002648FD" w:rsidRPr="00953362">
        <w:rPr>
          <w:rFonts w:cs="Times New Roman"/>
        </w:rPr>
        <w:t>https://efiling.energy.ca.gov/GetDocument.aspx?tn=240609</w:t>
      </w:r>
      <w:r w:rsidR="002648FD">
        <w:t xml:space="preserve">.   </w:t>
      </w:r>
    </w:p>
  </w:footnote>
  <w:footnote w:id="14">
    <w:p w14:paraId="75FD8D74" w14:textId="77777777" w:rsidR="00665B8E" w:rsidRDefault="00665B8E" w:rsidP="00665B8E">
      <w:pPr>
        <w:pStyle w:val="FootnoteText"/>
      </w:pPr>
      <w:r>
        <w:rPr>
          <w:rStyle w:val="FootnoteReference"/>
        </w:rPr>
        <w:footnoteRef/>
      </w:r>
      <w:r>
        <w:t xml:space="preserve"> AB 32 (Statutes of 2006, chapter 488)</w:t>
      </w:r>
    </w:p>
  </w:footnote>
  <w:footnote w:id="15">
    <w:p w14:paraId="1B289115" w14:textId="77777777" w:rsidR="00665B8E" w:rsidRDefault="00665B8E" w:rsidP="00665B8E">
      <w:pPr>
        <w:pStyle w:val="FootnoteText"/>
      </w:pPr>
      <w:r>
        <w:rPr>
          <w:rStyle w:val="FootnoteReference"/>
        </w:rPr>
        <w:footnoteRef/>
      </w:r>
      <w:r>
        <w:t xml:space="preserve"> SBX 1-2 (Statutes of 2011, first extraordinary session, chapter 1)</w:t>
      </w:r>
    </w:p>
  </w:footnote>
  <w:footnote w:id="16">
    <w:p w14:paraId="7E528281" w14:textId="77777777" w:rsidR="00665B8E" w:rsidRDefault="00665B8E" w:rsidP="00665B8E">
      <w:pPr>
        <w:pStyle w:val="FootnoteText"/>
      </w:pPr>
      <w:r>
        <w:rPr>
          <w:rStyle w:val="FootnoteReference"/>
        </w:rPr>
        <w:footnoteRef/>
      </w:r>
      <w:r>
        <w:t xml:space="preserve"> </w:t>
      </w:r>
      <w:r w:rsidRPr="002D18F8">
        <w:t>AB 758 (Statutes of 2009, chapter 470)</w:t>
      </w:r>
    </w:p>
  </w:footnote>
  <w:footnote w:id="17">
    <w:p w14:paraId="3E6591B0" w14:textId="77777777" w:rsidR="00665B8E" w:rsidRDefault="00665B8E" w:rsidP="00665B8E">
      <w:pPr>
        <w:pStyle w:val="FootnoteText"/>
      </w:pPr>
      <w:r>
        <w:rPr>
          <w:rStyle w:val="FootnoteReference"/>
        </w:rPr>
        <w:footnoteRef/>
      </w:r>
      <w:r>
        <w:t xml:space="preserve"> SB 350 (Statutes of 2015, chapter 547)</w:t>
      </w:r>
    </w:p>
  </w:footnote>
  <w:footnote w:id="18">
    <w:p w14:paraId="7486A822" w14:textId="77777777" w:rsidR="00665B8E" w:rsidRDefault="00665B8E" w:rsidP="00665B8E">
      <w:pPr>
        <w:pStyle w:val="FootnoteText"/>
      </w:pPr>
      <w:r>
        <w:rPr>
          <w:rStyle w:val="FootnoteReference"/>
        </w:rPr>
        <w:footnoteRef/>
      </w:r>
      <w:r>
        <w:t xml:space="preserve"> AB 2514 (Statutes of 2010, chapter 469)</w:t>
      </w:r>
    </w:p>
  </w:footnote>
  <w:footnote w:id="19">
    <w:p w14:paraId="5F0404F8" w14:textId="77777777" w:rsidR="00665B8E" w:rsidRDefault="00665B8E" w:rsidP="00665B8E">
      <w:pPr>
        <w:pStyle w:val="FootnoteText"/>
      </w:pPr>
      <w:r>
        <w:rPr>
          <w:rStyle w:val="FootnoteReference"/>
        </w:rPr>
        <w:footnoteRef/>
      </w:r>
      <w:r>
        <w:t xml:space="preserve"> A local publicly owned electric utility is an entity as defined in California Public Utilities Code section 224.3.</w:t>
      </w:r>
    </w:p>
  </w:footnote>
  <w:footnote w:id="20">
    <w:p w14:paraId="7ABCE5E2" w14:textId="30B9A3A4" w:rsidR="00665B8E" w:rsidRDefault="00665B8E" w:rsidP="00665B8E">
      <w:pPr>
        <w:pStyle w:val="FootnoteText"/>
      </w:pPr>
      <w:r>
        <w:rPr>
          <w:rStyle w:val="FootnoteReference"/>
        </w:rPr>
        <w:footnoteRef/>
      </w:r>
      <w:r>
        <w:t xml:space="preserve"> See </w:t>
      </w:r>
      <w:hyperlink r:id="rId10" w:history="1">
        <w:r w:rsidRPr="00C96578">
          <w:rPr>
            <w:rStyle w:val="Hyperlink"/>
            <w:rFonts w:cs="Arial"/>
          </w:rPr>
          <w:t>CPUC “Phase 2” Decision 12-05-037</w:t>
        </w:r>
      </w:hyperlink>
      <w:r>
        <w:t xml:space="preserve"> at pp. 90, </w:t>
      </w:r>
      <w:r w:rsidRPr="00616F23">
        <w:t>http://docs.cpuc.ca.gov/PublishedDocs/WORD_PDF/FINAL_DECISION/167664.PDF</w:t>
      </w:r>
      <w:r>
        <w:t>.</w:t>
      </w:r>
    </w:p>
  </w:footnote>
  <w:footnote w:id="21">
    <w:p w14:paraId="14F3025C" w14:textId="77777777" w:rsidR="00665B8E" w:rsidRDefault="00665B8E" w:rsidP="00665B8E">
      <w:pPr>
        <w:pStyle w:val="FootnoteText"/>
      </w:pPr>
      <w:r>
        <w:rPr>
          <w:rStyle w:val="FootnoteReference"/>
          <w:rFonts w:cs="Arial"/>
        </w:rPr>
        <w:footnoteRef/>
      </w:r>
      <w:r>
        <w:t xml:space="preserve"> </w:t>
      </w:r>
      <w:r>
        <w:rPr>
          <w:szCs w:val="22"/>
        </w:rPr>
        <w:t xml:space="preserve">“Key personnel” are individuals that are critical to the project due to their experience, knowledge, and/or capabilities.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665B8E" w14:paraId="096DD2F7" w14:textId="77777777" w:rsidTr="00A85A94">
      <w:trPr>
        <w:trHeight w:val="300"/>
      </w:trPr>
      <w:tc>
        <w:tcPr>
          <w:tcW w:w="3120" w:type="dxa"/>
        </w:tcPr>
        <w:p w14:paraId="059686C1" w14:textId="77777777" w:rsidR="00665B8E" w:rsidRDefault="00665B8E" w:rsidP="00A85A94">
          <w:pPr>
            <w:pStyle w:val="Header"/>
            <w:ind w:left="-115"/>
          </w:pPr>
        </w:p>
      </w:tc>
      <w:tc>
        <w:tcPr>
          <w:tcW w:w="3120" w:type="dxa"/>
        </w:tcPr>
        <w:p w14:paraId="7ABC58FA" w14:textId="77777777" w:rsidR="00665B8E" w:rsidRDefault="00665B8E" w:rsidP="00A85A94">
          <w:pPr>
            <w:pStyle w:val="Header"/>
            <w:jc w:val="center"/>
          </w:pPr>
        </w:p>
      </w:tc>
      <w:tc>
        <w:tcPr>
          <w:tcW w:w="3120" w:type="dxa"/>
        </w:tcPr>
        <w:p w14:paraId="26AE57DF" w14:textId="77777777" w:rsidR="00665B8E" w:rsidRDefault="00665B8E" w:rsidP="00A85A94">
          <w:pPr>
            <w:pStyle w:val="Header"/>
            <w:ind w:right="-115"/>
            <w:jc w:val="right"/>
          </w:pPr>
        </w:p>
      </w:tc>
    </w:tr>
  </w:tbl>
  <w:p w14:paraId="5543161C" w14:textId="77777777" w:rsidR="00665B8E" w:rsidRDefault="00665B8E" w:rsidP="00A85A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F55EB" w14:textId="77777777" w:rsidR="00665B8E" w:rsidRPr="00970719" w:rsidRDefault="00665B8E" w:rsidP="00A85A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5AF8F" w14:textId="77777777" w:rsidR="00E40CD4" w:rsidRPr="00970719" w:rsidRDefault="00E40CD4" w:rsidP="00A85A9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F25E4" w14:textId="77777777" w:rsidR="0072241D" w:rsidRDefault="007224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1602BBD8"/>
    <w:lvl w:ilvl="0">
      <w:start w:val="1"/>
      <w:numFmt w:val="decimal"/>
      <w:pStyle w:val="ListNumber4"/>
      <w:lvlText w:val="%1."/>
      <w:lvlJc w:val="left"/>
      <w:pPr>
        <w:tabs>
          <w:tab w:val="num" w:pos="1440"/>
        </w:tabs>
        <w:ind w:left="1440" w:hanging="360"/>
      </w:pPr>
    </w:lvl>
  </w:abstractNum>
  <w:abstractNum w:abstractNumId="1" w15:restartNumberingAfterBreak="0">
    <w:nsid w:val="FFFFFF7E"/>
    <w:multiLevelType w:val="singleLevel"/>
    <w:tmpl w:val="37CE5DFC"/>
    <w:lvl w:ilvl="0">
      <w:start w:val="1"/>
      <w:numFmt w:val="lowerLetter"/>
      <w:pStyle w:val="ListNumber3"/>
      <w:lvlText w:val="%1)"/>
      <w:lvlJc w:val="left"/>
      <w:pPr>
        <w:ind w:left="1080" w:hanging="360"/>
      </w:pPr>
    </w:lvl>
  </w:abstractNum>
  <w:abstractNum w:abstractNumId="2" w15:restartNumberingAfterBreak="0">
    <w:nsid w:val="FFFFFF7F"/>
    <w:multiLevelType w:val="singleLevel"/>
    <w:tmpl w:val="38FC7E96"/>
    <w:lvl w:ilvl="0">
      <w:start w:val="1"/>
      <w:numFmt w:val="decimal"/>
      <w:pStyle w:val="ListNumber2"/>
      <w:lvlText w:val="%1."/>
      <w:lvlJc w:val="left"/>
      <w:pPr>
        <w:ind w:left="720" w:hanging="360"/>
      </w:pPr>
    </w:lvl>
  </w:abstractNum>
  <w:abstractNum w:abstractNumId="3" w15:restartNumberingAfterBreak="0">
    <w:nsid w:val="FFFFFF80"/>
    <w:multiLevelType w:val="singleLevel"/>
    <w:tmpl w:val="AC92F586"/>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F6861AFA"/>
    <w:lvl w:ilvl="0">
      <w:start w:val="1"/>
      <w:numFmt w:val="bullet"/>
      <w:pStyle w:val="ListBullet4"/>
      <w:lvlText w:val="o"/>
      <w:lvlJc w:val="left"/>
      <w:pPr>
        <w:ind w:left="1440" w:hanging="360"/>
      </w:pPr>
      <w:rPr>
        <w:rFonts w:ascii="Courier New" w:hAnsi="Courier New" w:cs="Courier New" w:hint="default"/>
      </w:rPr>
    </w:lvl>
  </w:abstractNum>
  <w:abstractNum w:abstractNumId="5" w15:restartNumberingAfterBreak="0">
    <w:nsid w:val="01C62BA1"/>
    <w:multiLevelType w:val="hybridMultilevel"/>
    <w:tmpl w:val="9F3C4CC2"/>
    <w:lvl w:ilvl="0" w:tplc="2F0AE570">
      <w:start w:val="1"/>
      <w:numFmt w:val="decimal"/>
      <w:lvlText w:val="%1."/>
      <w:lvlJc w:val="left"/>
      <w:pPr>
        <w:ind w:left="360" w:hanging="360"/>
      </w:pPr>
      <w:rPr>
        <w:color w:val="000000" w:themeColor="text1"/>
      </w:rPr>
    </w:lvl>
    <w:lvl w:ilvl="1" w:tplc="FFFFFFFF">
      <w:start w:val="1"/>
      <w:numFmt w:val="lowerLetter"/>
      <w:lvlText w:val="%2."/>
      <w:lvlJc w:val="left"/>
      <w:pPr>
        <w:ind w:left="108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235690"/>
    <w:multiLevelType w:val="hybridMultilevel"/>
    <w:tmpl w:val="7234B152"/>
    <w:lvl w:ilvl="0" w:tplc="CD7A3894">
      <w:start w:val="1"/>
      <w:numFmt w:val="lowerRoman"/>
      <w:lvlText w:val="(%1)"/>
      <w:lvlJc w:val="left"/>
      <w:pPr>
        <w:ind w:left="3600" w:hanging="720"/>
      </w:pPr>
      <w:rPr>
        <w:rFonts w:ascii="Arial" w:hAnsi="Arial" w:cs="Arial"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7" w15:restartNumberingAfterBreak="0">
    <w:nsid w:val="0438158E"/>
    <w:multiLevelType w:val="multilevel"/>
    <w:tmpl w:val="EBE4128C"/>
    <w:styleLink w:val="StyleNumbered11ptLeft025Hanging05"/>
    <w:lvl w:ilvl="0">
      <w:start w:val="1"/>
      <w:numFmt w:val="decimal"/>
      <w:lvlText w:val="%1."/>
      <w:lvlJc w:val="left"/>
      <w:pPr>
        <w:ind w:left="1080" w:hanging="720"/>
      </w:pPr>
      <w:rPr>
        <w:rFonts w:cs="Times New Roman" w:hint="default"/>
        <w:sz w:val="22"/>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8" w15:restartNumberingAfterBreak="0">
    <w:nsid w:val="065A39CE"/>
    <w:multiLevelType w:val="hybridMultilevel"/>
    <w:tmpl w:val="CE4A6B2A"/>
    <w:lvl w:ilvl="0" w:tplc="86BC428E">
      <w:start w:val="1"/>
      <w:numFmt w:val="bullet"/>
      <w:lvlText w:val=""/>
      <w:lvlJc w:val="left"/>
      <w:pPr>
        <w:ind w:left="720" w:hanging="360"/>
      </w:pPr>
      <w:rPr>
        <w:rFonts w:ascii="Symbol" w:hAnsi="Symbol" w:hint="default"/>
      </w:rPr>
    </w:lvl>
    <w:lvl w:ilvl="1" w:tplc="BC6295A0">
      <w:start w:val="1"/>
      <w:numFmt w:val="bullet"/>
      <w:lvlText w:val="o"/>
      <w:lvlJc w:val="left"/>
      <w:pPr>
        <w:ind w:left="1440" w:hanging="360"/>
      </w:pPr>
      <w:rPr>
        <w:rFonts w:ascii="Courier New" w:hAnsi="Courier New" w:hint="default"/>
      </w:rPr>
    </w:lvl>
    <w:lvl w:ilvl="2" w:tplc="9932B3CC">
      <w:start w:val="1"/>
      <w:numFmt w:val="bullet"/>
      <w:lvlText w:val=""/>
      <w:lvlJc w:val="left"/>
      <w:pPr>
        <w:ind w:left="2160" w:hanging="360"/>
      </w:pPr>
      <w:rPr>
        <w:rFonts w:ascii="Wingdings" w:hAnsi="Wingdings" w:hint="default"/>
      </w:rPr>
    </w:lvl>
    <w:lvl w:ilvl="3" w:tplc="36966106">
      <w:start w:val="1"/>
      <w:numFmt w:val="bullet"/>
      <w:lvlText w:val=""/>
      <w:lvlJc w:val="left"/>
      <w:pPr>
        <w:ind w:left="2880" w:hanging="360"/>
      </w:pPr>
      <w:rPr>
        <w:rFonts w:ascii="Symbol" w:hAnsi="Symbol" w:hint="default"/>
      </w:rPr>
    </w:lvl>
    <w:lvl w:ilvl="4" w:tplc="85A236D6">
      <w:start w:val="1"/>
      <w:numFmt w:val="bullet"/>
      <w:lvlText w:val="o"/>
      <w:lvlJc w:val="left"/>
      <w:pPr>
        <w:ind w:left="3600" w:hanging="360"/>
      </w:pPr>
      <w:rPr>
        <w:rFonts w:ascii="Courier New" w:hAnsi="Courier New" w:hint="default"/>
      </w:rPr>
    </w:lvl>
    <w:lvl w:ilvl="5" w:tplc="FB2A383A">
      <w:start w:val="1"/>
      <w:numFmt w:val="bullet"/>
      <w:lvlText w:val=""/>
      <w:lvlJc w:val="left"/>
      <w:pPr>
        <w:ind w:left="4320" w:hanging="360"/>
      </w:pPr>
      <w:rPr>
        <w:rFonts w:ascii="Wingdings" w:hAnsi="Wingdings" w:hint="default"/>
      </w:rPr>
    </w:lvl>
    <w:lvl w:ilvl="6" w:tplc="6A885158">
      <w:start w:val="1"/>
      <w:numFmt w:val="bullet"/>
      <w:lvlText w:val=""/>
      <w:lvlJc w:val="left"/>
      <w:pPr>
        <w:ind w:left="5040" w:hanging="360"/>
      </w:pPr>
      <w:rPr>
        <w:rFonts w:ascii="Symbol" w:hAnsi="Symbol" w:hint="default"/>
      </w:rPr>
    </w:lvl>
    <w:lvl w:ilvl="7" w:tplc="262250AE">
      <w:start w:val="1"/>
      <w:numFmt w:val="bullet"/>
      <w:lvlText w:val="o"/>
      <w:lvlJc w:val="left"/>
      <w:pPr>
        <w:ind w:left="5760" w:hanging="360"/>
      </w:pPr>
      <w:rPr>
        <w:rFonts w:ascii="Courier New" w:hAnsi="Courier New" w:hint="default"/>
      </w:rPr>
    </w:lvl>
    <w:lvl w:ilvl="8" w:tplc="7870E430">
      <w:start w:val="1"/>
      <w:numFmt w:val="bullet"/>
      <w:lvlText w:val=""/>
      <w:lvlJc w:val="left"/>
      <w:pPr>
        <w:ind w:left="6480" w:hanging="360"/>
      </w:pPr>
      <w:rPr>
        <w:rFonts w:ascii="Wingdings" w:hAnsi="Wingdings" w:hint="default"/>
      </w:rPr>
    </w:lvl>
  </w:abstractNum>
  <w:abstractNum w:abstractNumId="9" w15:restartNumberingAfterBreak="0">
    <w:nsid w:val="06701344"/>
    <w:multiLevelType w:val="hybridMultilevel"/>
    <w:tmpl w:val="FFFFFFFF"/>
    <w:lvl w:ilvl="0" w:tplc="C5D2B2E4">
      <w:start w:val="1"/>
      <w:numFmt w:val="bullet"/>
      <w:lvlText w:val=""/>
      <w:lvlJc w:val="left"/>
      <w:pPr>
        <w:ind w:left="720" w:hanging="360"/>
      </w:pPr>
      <w:rPr>
        <w:rFonts w:ascii="Symbol" w:hAnsi="Symbol" w:hint="default"/>
      </w:rPr>
    </w:lvl>
    <w:lvl w:ilvl="1" w:tplc="443281F4">
      <w:start w:val="1"/>
      <w:numFmt w:val="bullet"/>
      <w:lvlText w:val="o"/>
      <w:lvlJc w:val="left"/>
      <w:pPr>
        <w:ind w:left="1440" w:hanging="360"/>
      </w:pPr>
      <w:rPr>
        <w:rFonts w:ascii="Courier New" w:hAnsi="Courier New" w:hint="default"/>
      </w:rPr>
    </w:lvl>
    <w:lvl w:ilvl="2" w:tplc="DC74DBA6">
      <w:start w:val="1"/>
      <w:numFmt w:val="bullet"/>
      <w:lvlText w:val=""/>
      <w:lvlJc w:val="left"/>
      <w:pPr>
        <w:ind w:left="2160" w:hanging="360"/>
      </w:pPr>
      <w:rPr>
        <w:rFonts w:ascii="Wingdings" w:hAnsi="Wingdings" w:hint="default"/>
      </w:rPr>
    </w:lvl>
    <w:lvl w:ilvl="3" w:tplc="23B8C9B0">
      <w:start w:val="1"/>
      <w:numFmt w:val="bullet"/>
      <w:lvlText w:val=""/>
      <w:lvlJc w:val="left"/>
      <w:pPr>
        <w:ind w:left="2880" w:hanging="360"/>
      </w:pPr>
      <w:rPr>
        <w:rFonts w:ascii="Symbol" w:hAnsi="Symbol" w:hint="default"/>
      </w:rPr>
    </w:lvl>
    <w:lvl w:ilvl="4" w:tplc="12DE17BC">
      <w:start w:val="1"/>
      <w:numFmt w:val="bullet"/>
      <w:lvlText w:val="o"/>
      <w:lvlJc w:val="left"/>
      <w:pPr>
        <w:ind w:left="3600" w:hanging="360"/>
      </w:pPr>
      <w:rPr>
        <w:rFonts w:ascii="Courier New" w:hAnsi="Courier New" w:hint="default"/>
      </w:rPr>
    </w:lvl>
    <w:lvl w:ilvl="5" w:tplc="E356F732">
      <w:start w:val="1"/>
      <w:numFmt w:val="bullet"/>
      <w:lvlText w:val=""/>
      <w:lvlJc w:val="left"/>
      <w:pPr>
        <w:ind w:left="4320" w:hanging="360"/>
      </w:pPr>
      <w:rPr>
        <w:rFonts w:ascii="Wingdings" w:hAnsi="Wingdings" w:hint="default"/>
      </w:rPr>
    </w:lvl>
    <w:lvl w:ilvl="6" w:tplc="CE74CDA2">
      <w:start w:val="1"/>
      <w:numFmt w:val="bullet"/>
      <w:lvlText w:val=""/>
      <w:lvlJc w:val="left"/>
      <w:pPr>
        <w:ind w:left="5040" w:hanging="360"/>
      </w:pPr>
      <w:rPr>
        <w:rFonts w:ascii="Symbol" w:hAnsi="Symbol" w:hint="default"/>
      </w:rPr>
    </w:lvl>
    <w:lvl w:ilvl="7" w:tplc="3E165B82">
      <w:start w:val="1"/>
      <w:numFmt w:val="bullet"/>
      <w:lvlText w:val="o"/>
      <w:lvlJc w:val="left"/>
      <w:pPr>
        <w:ind w:left="5760" w:hanging="360"/>
      </w:pPr>
      <w:rPr>
        <w:rFonts w:ascii="Courier New" w:hAnsi="Courier New" w:hint="default"/>
      </w:rPr>
    </w:lvl>
    <w:lvl w:ilvl="8" w:tplc="F99A1528">
      <w:start w:val="1"/>
      <w:numFmt w:val="bullet"/>
      <w:lvlText w:val=""/>
      <w:lvlJc w:val="left"/>
      <w:pPr>
        <w:ind w:left="6480" w:hanging="360"/>
      </w:pPr>
      <w:rPr>
        <w:rFonts w:ascii="Wingdings" w:hAnsi="Wingdings" w:hint="default"/>
      </w:rPr>
    </w:lvl>
  </w:abstractNum>
  <w:abstractNum w:abstractNumId="10" w15:restartNumberingAfterBreak="0">
    <w:nsid w:val="072C4204"/>
    <w:multiLevelType w:val="hybridMultilevel"/>
    <w:tmpl w:val="F4C83E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78B585A"/>
    <w:multiLevelType w:val="hybridMultilevel"/>
    <w:tmpl w:val="FFFFFFFF"/>
    <w:lvl w:ilvl="0" w:tplc="1DFCBE42">
      <w:start w:val="1"/>
      <w:numFmt w:val="decimal"/>
      <w:lvlText w:val="%1-"/>
      <w:lvlJc w:val="left"/>
      <w:pPr>
        <w:ind w:left="720" w:hanging="360"/>
      </w:pPr>
    </w:lvl>
    <w:lvl w:ilvl="1" w:tplc="93E2B7B0">
      <w:start w:val="1"/>
      <w:numFmt w:val="lowerLetter"/>
      <w:lvlText w:val="%2."/>
      <w:lvlJc w:val="left"/>
      <w:pPr>
        <w:ind w:left="1440" w:hanging="360"/>
      </w:pPr>
    </w:lvl>
    <w:lvl w:ilvl="2" w:tplc="6366C148">
      <w:start w:val="1"/>
      <w:numFmt w:val="lowerRoman"/>
      <w:lvlText w:val="%3."/>
      <w:lvlJc w:val="right"/>
      <w:pPr>
        <w:ind w:left="2160" w:hanging="180"/>
      </w:pPr>
    </w:lvl>
    <w:lvl w:ilvl="3" w:tplc="8ECE1EFA">
      <w:start w:val="1"/>
      <w:numFmt w:val="decimal"/>
      <w:lvlText w:val="%4."/>
      <w:lvlJc w:val="left"/>
      <w:pPr>
        <w:ind w:left="2880" w:hanging="360"/>
      </w:pPr>
    </w:lvl>
    <w:lvl w:ilvl="4" w:tplc="9D64B1DC">
      <w:start w:val="1"/>
      <w:numFmt w:val="lowerLetter"/>
      <w:lvlText w:val="%5."/>
      <w:lvlJc w:val="left"/>
      <w:pPr>
        <w:ind w:left="3600" w:hanging="360"/>
      </w:pPr>
    </w:lvl>
    <w:lvl w:ilvl="5" w:tplc="F6E8D234">
      <w:start w:val="1"/>
      <w:numFmt w:val="lowerRoman"/>
      <w:lvlText w:val="%6."/>
      <w:lvlJc w:val="right"/>
      <w:pPr>
        <w:ind w:left="4320" w:hanging="180"/>
      </w:pPr>
    </w:lvl>
    <w:lvl w:ilvl="6" w:tplc="98D49638">
      <w:start w:val="1"/>
      <w:numFmt w:val="decimal"/>
      <w:lvlText w:val="%7."/>
      <w:lvlJc w:val="left"/>
      <w:pPr>
        <w:ind w:left="5040" w:hanging="360"/>
      </w:pPr>
    </w:lvl>
    <w:lvl w:ilvl="7" w:tplc="7B92003E">
      <w:start w:val="1"/>
      <w:numFmt w:val="lowerLetter"/>
      <w:lvlText w:val="%8."/>
      <w:lvlJc w:val="left"/>
      <w:pPr>
        <w:ind w:left="5760" w:hanging="360"/>
      </w:pPr>
    </w:lvl>
    <w:lvl w:ilvl="8" w:tplc="B0BCD326">
      <w:start w:val="1"/>
      <w:numFmt w:val="lowerRoman"/>
      <w:lvlText w:val="%9."/>
      <w:lvlJc w:val="right"/>
      <w:pPr>
        <w:ind w:left="6480" w:hanging="180"/>
      </w:pPr>
    </w:lvl>
  </w:abstractNum>
  <w:abstractNum w:abstractNumId="12" w15:restartNumberingAfterBreak="0">
    <w:nsid w:val="07B857C1"/>
    <w:multiLevelType w:val="hybridMultilevel"/>
    <w:tmpl w:val="D9E01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A434D69"/>
    <w:multiLevelType w:val="hybridMultilevel"/>
    <w:tmpl w:val="EA647C7E"/>
    <w:lvl w:ilvl="0" w:tplc="BA4C9580">
      <w:start w:val="1"/>
      <w:numFmt w:val="lowerLetter"/>
      <w:lvlText w:val="%1."/>
      <w:lvlJc w:val="left"/>
      <w:pPr>
        <w:ind w:left="720" w:hanging="360"/>
      </w:pPr>
      <w:rPr>
        <w:rFonts w:cs="Times New Roman" w:hint="default"/>
        <w:b w:val="0"/>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917F6A"/>
    <w:multiLevelType w:val="hybridMultilevel"/>
    <w:tmpl w:val="DA3607B4"/>
    <w:lvl w:ilvl="0" w:tplc="F3500CEA">
      <w:start w:val="1"/>
      <w:numFmt w:val="decimal"/>
      <w:lvlText w:val="%1."/>
      <w:lvlJc w:val="left"/>
      <w:pPr>
        <w:ind w:left="720" w:hanging="360"/>
      </w:pPr>
      <w:rPr>
        <w:rFonts w:cs="Times New Roman"/>
        <w:b w:val="0"/>
        <w:i w:val="0"/>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10681B14"/>
    <w:multiLevelType w:val="hybridMultilevel"/>
    <w:tmpl w:val="4C9685F2"/>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34A1F93"/>
    <w:multiLevelType w:val="hybridMultilevel"/>
    <w:tmpl w:val="472232F8"/>
    <w:lvl w:ilvl="0" w:tplc="C33A094A">
      <w:start w:val="1"/>
      <w:numFmt w:val="bullet"/>
      <w:pStyle w:val="ListBullet3"/>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3973E86"/>
    <w:multiLevelType w:val="hybridMultilevel"/>
    <w:tmpl w:val="C88AF456"/>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9712BD1"/>
    <w:multiLevelType w:val="hybridMultilevel"/>
    <w:tmpl w:val="4EEE97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44F17CC"/>
    <w:multiLevelType w:val="hybridMultilevel"/>
    <w:tmpl w:val="1F2E9DA8"/>
    <w:lvl w:ilvl="0" w:tplc="C31C9EFA">
      <w:start w:val="1"/>
      <w:numFmt w:val="upperLetter"/>
      <w:pStyle w:val="Heading3"/>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6AA0B40"/>
    <w:multiLevelType w:val="hybridMultilevel"/>
    <w:tmpl w:val="B5E2335C"/>
    <w:lvl w:ilvl="0" w:tplc="86308266">
      <w:start w:val="1"/>
      <w:numFmt w:val="lowerLetter"/>
      <w:lvlText w:val="%1."/>
      <w:lvlJc w:val="left"/>
      <w:pPr>
        <w:ind w:left="1080" w:hanging="360"/>
      </w:pPr>
      <w:rPr>
        <w:rFonts w:hint="default"/>
        <w:b w:val="0"/>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243068"/>
    <w:multiLevelType w:val="hybridMultilevel"/>
    <w:tmpl w:val="C130D1D4"/>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BC15588"/>
    <w:multiLevelType w:val="hybridMultilevel"/>
    <w:tmpl w:val="17AC9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F8F2E39"/>
    <w:multiLevelType w:val="hybridMultilevel"/>
    <w:tmpl w:val="8E6EB3EE"/>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2F9A5E17"/>
    <w:multiLevelType w:val="hybridMultilevel"/>
    <w:tmpl w:val="1FDCAB56"/>
    <w:lvl w:ilvl="0" w:tplc="A2646E1A">
      <w:start w:val="1"/>
      <w:numFmt w:val="bullet"/>
      <w:pStyle w:val="ListBullet"/>
      <w:lvlText w:val=""/>
      <w:lvlJc w:val="left"/>
      <w:pPr>
        <w:tabs>
          <w:tab w:val="num" w:pos="720"/>
        </w:tabs>
        <w:ind w:left="720" w:hanging="720"/>
      </w:pPr>
      <w:rPr>
        <w:rFonts w:ascii="Symbol" w:hAnsi="Symbol" w:hint="default"/>
        <w:b/>
        <w:color w:val="auto"/>
      </w:rPr>
    </w:lvl>
    <w:lvl w:ilvl="1" w:tplc="8EE444BC">
      <w:start w:val="1"/>
      <w:numFmt w:val="decimal"/>
      <w:lvlText w:val="%2."/>
      <w:lvlJc w:val="left"/>
      <w:pPr>
        <w:tabs>
          <w:tab w:val="num" w:pos="1440"/>
        </w:tabs>
        <w:ind w:left="1440" w:hanging="720"/>
      </w:pPr>
    </w:lvl>
    <w:lvl w:ilvl="2" w:tplc="4EDE0C9A">
      <w:start w:val="1"/>
      <w:numFmt w:val="decimal"/>
      <w:lvlText w:val="%3."/>
      <w:lvlJc w:val="left"/>
      <w:pPr>
        <w:tabs>
          <w:tab w:val="num" w:pos="2160"/>
        </w:tabs>
        <w:ind w:left="2160" w:hanging="720"/>
      </w:pPr>
    </w:lvl>
    <w:lvl w:ilvl="3" w:tplc="CE1C9D20">
      <w:start w:val="1"/>
      <w:numFmt w:val="decimal"/>
      <w:lvlText w:val="%4."/>
      <w:lvlJc w:val="left"/>
      <w:pPr>
        <w:tabs>
          <w:tab w:val="num" w:pos="2880"/>
        </w:tabs>
        <w:ind w:left="2880" w:hanging="720"/>
      </w:pPr>
    </w:lvl>
    <w:lvl w:ilvl="4" w:tplc="5D34F5F8">
      <w:start w:val="1"/>
      <w:numFmt w:val="decimal"/>
      <w:lvlText w:val="%5."/>
      <w:lvlJc w:val="left"/>
      <w:pPr>
        <w:tabs>
          <w:tab w:val="num" w:pos="3600"/>
        </w:tabs>
        <w:ind w:left="3600" w:hanging="720"/>
      </w:pPr>
    </w:lvl>
    <w:lvl w:ilvl="5" w:tplc="D7684304">
      <w:start w:val="1"/>
      <w:numFmt w:val="decimal"/>
      <w:lvlText w:val="%6."/>
      <w:lvlJc w:val="left"/>
      <w:pPr>
        <w:tabs>
          <w:tab w:val="num" w:pos="4320"/>
        </w:tabs>
        <w:ind w:left="4320" w:hanging="720"/>
      </w:pPr>
    </w:lvl>
    <w:lvl w:ilvl="6" w:tplc="4D54F1F6">
      <w:start w:val="1"/>
      <w:numFmt w:val="decimal"/>
      <w:lvlText w:val="%7."/>
      <w:lvlJc w:val="left"/>
      <w:pPr>
        <w:tabs>
          <w:tab w:val="num" w:pos="5040"/>
        </w:tabs>
        <w:ind w:left="5040" w:hanging="720"/>
      </w:pPr>
    </w:lvl>
    <w:lvl w:ilvl="7" w:tplc="13948FD4">
      <w:start w:val="1"/>
      <w:numFmt w:val="decimal"/>
      <w:lvlText w:val="%8."/>
      <w:lvlJc w:val="left"/>
      <w:pPr>
        <w:tabs>
          <w:tab w:val="num" w:pos="5760"/>
        </w:tabs>
        <w:ind w:left="5760" w:hanging="720"/>
      </w:pPr>
    </w:lvl>
    <w:lvl w:ilvl="8" w:tplc="3A96FE94">
      <w:start w:val="1"/>
      <w:numFmt w:val="decimal"/>
      <w:lvlText w:val="%9."/>
      <w:lvlJc w:val="left"/>
      <w:pPr>
        <w:tabs>
          <w:tab w:val="num" w:pos="6480"/>
        </w:tabs>
        <w:ind w:left="6480" w:hanging="720"/>
      </w:pPr>
    </w:lvl>
  </w:abstractNum>
  <w:abstractNum w:abstractNumId="25" w15:restartNumberingAfterBreak="0">
    <w:nsid w:val="33D81F84"/>
    <w:multiLevelType w:val="hybridMultilevel"/>
    <w:tmpl w:val="C720A422"/>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341E1545"/>
    <w:multiLevelType w:val="multilevel"/>
    <w:tmpl w:val="23E6A0D0"/>
    <w:lvl w:ilvl="0">
      <w:start w:val="1"/>
      <w:numFmt w:val="decimal"/>
      <w:lvlText w:val="%1."/>
      <w:lvlJc w:val="left"/>
      <w:pPr>
        <w:ind w:left="720" w:hanging="360"/>
      </w:pPr>
      <w:rPr>
        <w:rFonts w:hint="default"/>
        <w:color w:val="000000" w:themeColor="text1"/>
      </w:rPr>
    </w:lvl>
    <w:lvl w:ilvl="1">
      <w:start w:val="2"/>
      <w:numFmt w:val="decimal"/>
      <w:lvlText w:val="%1.%2"/>
      <w:lvlJc w:val="left"/>
      <w:pPr>
        <w:ind w:left="1440" w:hanging="360"/>
      </w:p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7" w15:restartNumberingAfterBreak="0">
    <w:nsid w:val="35844963"/>
    <w:multiLevelType w:val="hybridMultilevel"/>
    <w:tmpl w:val="209089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9CE4423"/>
    <w:multiLevelType w:val="multilevel"/>
    <w:tmpl w:val="2344659A"/>
    <w:styleLink w:val="RFP2"/>
    <w:lvl w:ilvl="0">
      <w:start w:val="1"/>
      <w:numFmt w:val="upperLetter"/>
      <w:lvlText w:val="%1."/>
      <w:lvlJc w:val="left"/>
      <w:pPr>
        <w:ind w:left="720" w:hanging="720"/>
      </w:pPr>
      <w:rPr>
        <w:rFonts w:ascii="Arial" w:hAnsi="Arial" w:cs="Times New Roman" w:hint="default"/>
        <w:b w:val="0"/>
        <w:i w:val="0"/>
        <w:sz w:val="24"/>
      </w:rPr>
    </w:lvl>
    <w:lvl w:ilvl="1">
      <w:start w:val="1"/>
      <w:numFmt w:val="decimal"/>
      <w:lvlText w:val="%2."/>
      <w:lvlJc w:val="left"/>
      <w:pPr>
        <w:ind w:left="1080" w:hanging="720"/>
      </w:pPr>
      <w:rPr>
        <w:rFonts w:cs="Times New Roman" w:hint="default"/>
      </w:rPr>
    </w:lvl>
    <w:lvl w:ilvl="2">
      <w:start w:val="1"/>
      <w:numFmt w:val="lowerRoman"/>
      <w:lvlText w:val="%3)"/>
      <w:lvlJc w:val="left"/>
      <w:pPr>
        <w:ind w:left="1440" w:hanging="72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9" w15:restartNumberingAfterBreak="0">
    <w:nsid w:val="3B9F7A63"/>
    <w:multiLevelType w:val="multilevel"/>
    <w:tmpl w:val="0E6CBA22"/>
    <w:lvl w:ilvl="0">
      <w:start w:val="1"/>
      <w:numFmt w:val="decimal"/>
      <w:pStyle w:val="ListNumber"/>
      <w:lvlText w:val="%1."/>
      <w:lvlJc w:val="left"/>
      <w:pPr>
        <w:tabs>
          <w:tab w:val="num" w:pos="720"/>
        </w:tabs>
        <w:ind w:left="720" w:hanging="720"/>
      </w:pPr>
      <w:rPr>
        <w:rFonts w:hint="default"/>
        <w:b w:val="0"/>
        <w:bCs/>
        <w:color w:val="auto"/>
      </w:rPr>
    </w:lvl>
    <w:lvl w:ilvl="1">
      <w:start w:val="1"/>
      <w:numFmt w:val="bullet"/>
      <w:lvlText w:val="o"/>
      <w:lvlJc w:val="left"/>
      <w:pPr>
        <w:tabs>
          <w:tab w:val="num" w:pos="1440"/>
        </w:tabs>
        <w:ind w:left="1440" w:hanging="720"/>
      </w:pPr>
      <w:rPr>
        <w:rFonts w:ascii="Courier New" w:hAnsi="Courier New" w:cs="Courier New"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0" w15:restartNumberingAfterBreak="0">
    <w:nsid w:val="485A6B84"/>
    <w:multiLevelType w:val="hybridMultilevel"/>
    <w:tmpl w:val="6BBEB388"/>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49E514C2"/>
    <w:multiLevelType w:val="hybridMultilevel"/>
    <w:tmpl w:val="4E06B3B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BB23D69"/>
    <w:multiLevelType w:val="hybridMultilevel"/>
    <w:tmpl w:val="5A168442"/>
    <w:lvl w:ilvl="0" w:tplc="9B8E0C8E">
      <w:start w:val="1"/>
      <w:numFmt w:val="decimal"/>
      <w:pStyle w:val="Heading4"/>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CDFA410"/>
    <w:multiLevelType w:val="hybridMultilevel"/>
    <w:tmpl w:val="C19E6926"/>
    <w:lvl w:ilvl="0" w:tplc="57083CA0">
      <w:start w:val="1"/>
      <w:numFmt w:val="bullet"/>
      <w:lvlText w:val=""/>
      <w:lvlJc w:val="left"/>
      <w:pPr>
        <w:ind w:left="720" w:hanging="360"/>
      </w:pPr>
      <w:rPr>
        <w:rFonts w:ascii="Symbol" w:hAnsi="Symbol" w:hint="default"/>
      </w:rPr>
    </w:lvl>
    <w:lvl w:ilvl="1" w:tplc="59DEF3AA">
      <w:start w:val="1"/>
      <w:numFmt w:val="bullet"/>
      <w:lvlText w:val="o"/>
      <w:lvlJc w:val="left"/>
      <w:pPr>
        <w:ind w:left="1440" w:hanging="360"/>
      </w:pPr>
      <w:rPr>
        <w:rFonts w:ascii="Courier New" w:hAnsi="Courier New" w:hint="default"/>
      </w:rPr>
    </w:lvl>
    <w:lvl w:ilvl="2" w:tplc="889E931C">
      <w:start w:val="1"/>
      <w:numFmt w:val="bullet"/>
      <w:lvlText w:val=""/>
      <w:lvlJc w:val="left"/>
      <w:pPr>
        <w:ind w:left="2160" w:hanging="360"/>
      </w:pPr>
      <w:rPr>
        <w:rFonts w:ascii="Wingdings" w:hAnsi="Wingdings" w:hint="default"/>
      </w:rPr>
    </w:lvl>
    <w:lvl w:ilvl="3" w:tplc="07800C5E">
      <w:start w:val="1"/>
      <w:numFmt w:val="bullet"/>
      <w:lvlText w:val=""/>
      <w:lvlJc w:val="left"/>
      <w:pPr>
        <w:ind w:left="2880" w:hanging="360"/>
      </w:pPr>
      <w:rPr>
        <w:rFonts w:ascii="Symbol" w:hAnsi="Symbol" w:hint="default"/>
      </w:rPr>
    </w:lvl>
    <w:lvl w:ilvl="4" w:tplc="B01A8418">
      <w:start w:val="1"/>
      <w:numFmt w:val="bullet"/>
      <w:lvlText w:val="o"/>
      <w:lvlJc w:val="left"/>
      <w:pPr>
        <w:ind w:left="3600" w:hanging="360"/>
      </w:pPr>
      <w:rPr>
        <w:rFonts w:ascii="Courier New" w:hAnsi="Courier New" w:hint="default"/>
      </w:rPr>
    </w:lvl>
    <w:lvl w:ilvl="5" w:tplc="1B1A1260">
      <w:start w:val="1"/>
      <w:numFmt w:val="bullet"/>
      <w:lvlText w:val=""/>
      <w:lvlJc w:val="left"/>
      <w:pPr>
        <w:ind w:left="4320" w:hanging="360"/>
      </w:pPr>
      <w:rPr>
        <w:rFonts w:ascii="Wingdings" w:hAnsi="Wingdings" w:hint="default"/>
      </w:rPr>
    </w:lvl>
    <w:lvl w:ilvl="6" w:tplc="509AB70C">
      <w:start w:val="1"/>
      <w:numFmt w:val="bullet"/>
      <w:lvlText w:val=""/>
      <w:lvlJc w:val="left"/>
      <w:pPr>
        <w:ind w:left="5040" w:hanging="360"/>
      </w:pPr>
      <w:rPr>
        <w:rFonts w:ascii="Symbol" w:hAnsi="Symbol" w:hint="default"/>
      </w:rPr>
    </w:lvl>
    <w:lvl w:ilvl="7" w:tplc="D08C0D56">
      <w:start w:val="1"/>
      <w:numFmt w:val="bullet"/>
      <w:lvlText w:val="o"/>
      <w:lvlJc w:val="left"/>
      <w:pPr>
        <w:ind w:left="5760" w:hanging="360"/>
      </w:pPr>
      <w:rPr>
        <w:rFonts w:ascii="Courier New" w:hAnsi="Courier New" w:hint="default"/>
      </w:rPr>
    </w:lvl>
    <w:lvl w:ilvl="8" w:tplc="D6E82614">
      <w:start w:val="1"/>
      <w:numFmt w:val="bullet"/>
      <w:lvlText w:val=""/>
      <w:lvlJc w:val="left"/>
      <w:pPr>
        <w:ind w:left="6480" w:hanging="360"/>
      </w:pPr>
      <w:rPr>
        <w:rFonts w:ascii="Wingdings" w:hAnsi="Wingdings" w:hint="default"/>
      </w:rPr>
    </w:lvl>
  </w:abstractNum>
  <w:abstractNum w:abstractNumId="34" w15:restartNumberingAfterBreak="0">
    <w:nsid w:val="4D421533"/>
    <w:multiLevelType w:val="hybridMultilevel"/>
    <w:tmpl w:val="FFFFFFFF"/>
    <w:lvl w:ilvl="0" w:tplc="606EE6B4">
      <w:start w:val="1"/>
      <w:numFmt w:val="bullet"/>
      <w:lvlText w:val=""/>
      <w:lvlJc w:val="left"/>
      <w:pPr>
        <w:ind w:left="720" w:hanging="360"/>
      </w:pPr>
      <w:rPr>
        <w:rFonts w:ascii="Symbol" w:hAnsi="Symbol" w:hint="default"/>
      </w:rPr>
    </w:lvl>
    <w:lvl w:ilvl="1" w:tplc="0718653E">
      <w:start w:val="1"/>
      <w:numFmt w:val="bullet"/>
      <w:lvlText w:val="o"/>
      <w:lvlJc w:val="left"/>
      <w:pPr>
        <w:ind w:left="1440" w:hanging="360"/>
      </w:pPr>
      <w:rPr>
        <w:rFonts w:ascii="Courier New" w:hAnsi="Courier New" w:hint="default"/>
      </w:rPr>
    </w:lvl>
    <w:lvl w:ilvl="2" w:tplc="5850583A">
      <w:start w:val="1"/>
      <w:numFmt w:val="bullet"/>
      <w:lvlText w:val=""/>
      <w:lvlJc w:val="left"/>
      <w:pPr>
        <w:ind w:left="2160" w:hanging="360"/>
      </w:pPr>
      <w:rPr>
        <w:rFonts w:ascii="Wingdings" w:hAnsi="Wingdings" w:hint="default"/>
      </w:rPr>
    </w:lvl>
    <w:lvl w:ilvl="3" w:tplc="F9A8495E">
      <w:start w:val="1"/>
      <w:numFmt w:val="bullet"/>
      <w:lvlText w:val=""/>
      <w:lvlJc w:val="left"/>
      <w:pPr>
        <w:ind w:left="2880" w:hanging="360"/>
      </w:pPr>
      <w:rPr>
        <w:rFonts w:ascii="Symbol" w:hAnsi="Symbol" w:hint="default"/>
      </w:rPr>
    </w:lvl>
    <w:lvl w:ilvl="4" w:tplc="FCB2F996">
      <w:start w:val="1"/>
      <w:numFmt w:val="bullet"/>
      <w:lvlText w:val="o"/>
      <w:lvlJc w:val="left"/>
      <w:pPr>
        <w:ind w:left="3600" w:hanging="360"/>
      </w:pPr>
      <w:rPr>
        <w:rFonts w:ascii="Courier New" w:hAnsi="Courier New" w:hint="default"/>
      </w:rPr>
    </w:lvl>
    <w:lvl w:ilvl="5" w:tplc="972260EA">
      <w:start w:val="1"/>
      <w:numFmt w:val="bullet"/>
      <w:lvlText w:val=""/>
      <w:lvlJc w:val="left"/>
      <w:pPr>
        <w:ind w:left="4320" w:hanging="360"/>
      </w:pPr>
      <w:rPr>
        <w:rFonts w:ascii="Wingdings" w:hAnsi="Wingdings" w:hint="default"/>
      </w:rPr>
    </w:lvl>
    <w:lvl w:ilvl="6" w:tplc="4B985EF2">
      <w:start w:val="1"/>
      <w:numFmt w:val="bullet"/>
      <w:lvlText w:val=""/>
      <w:lvlJc w:val="left"/>
      <w:pPr>
        <w:ind w:left="5040" w:hanging="360"/>
      </w:pPr>
      <w:rPr>
        <w:rFonts w:ascii="Symbol" w:hAnsi="Symbol" w:hint="default"/>
      </w:rPr>
    </w:lvl>
    <w:lvl w:ilvl="7" w:tplc="CB088A80">
      <w:start w:val="1"/>
      <w:numFmt w:val="bullet"/>
      <w:lvlText w:val="o"/>
      <w:lvlJc w:val="left"/>
      <w:pPr>
        <w:ind w:left="5760" w:hanging="360"/>
      </w:pPr>
      <w:rPr>
        <w:rFonts w:ascii="Courier New" w:hAnsi="Courier New" w:hint="default"/>
      </w:rPr>
    </w:lvl>
    <w:lvl w:ilvl="8" w:tplc="CEDC6CB0">
      <w:start w:val="1"/>
      <w:numFmt w:val="bullet"/>
      <w:lvlText w:val=""/>
      <w:lvlJc w:val="left"/>
      <w:pPr>
        <w:ind w:left="6480" w:hanging="360"/>
      </w:pPr>
      <w:rPr>
        <w:rFonts w:ascii="Wingdings" w:hAnsi="Wingdings" w:hint="default"/>
      </w:rPr>
    </w:lvl>
  </w:abstractNum>
  <w:abstractNum w:abstractNumId="35" w15:restartNumberingAfterBreak="0">
    <w:nsid w:val="52575174"/>
    <w:multiLevelType w:val="hybridMultilevel"/>
    <w:tmpl w:val="FFFFFFFF"/>
    <w:lvl w:ilvl="0" w:tplc="2306E13C">
      <w:start w:val="1"/>
      <w:numFmt w:val="decimal"/>
      <w:lvlText w:val="%1."/>
      <w:lvlJc w:val="left"/>
      <w:pPr>
        <w:ind w:left="360" w:hanging="360"/>
      </w:pPr>
    </w:lvl>
    <w:lvl w:ilvl="1" w:tplc="73CE0EFC">
      <w:start w:val="1"/>
      <w:numFmt w:val="lowerLetter"/>
      <w:lvlText w:val="%2."/>
      <w:lvlJc w:val="left"/>
      <w:pPr>
        <w:ind w:left="1440" w:hanging="360"/>
      </w:pPr>
    </w:lvl>
    <w:lvl w:ilvl="2" w:tplc="3132A426">
      <w:start w:val="1"/>
      <w:numFmt w:val="lowerRoman"/>
      <w:lvlText w:val="%3."/>
      <w:lvlJc w:val="right"/>
      <w:pPr>
        <w:ind w:left="2160" w:hanging="180"/>
      </w:pPr>
    </w:lvl>
    <w:lvl w:ilvl="3" w:tplc="DE089BE0">
      <w:start w:val="1"/>
      <w:numFmt w:val="decimal"/>
      <w:lvlText w:val="%4."/>
      <w:lvlJc w:val="left"/>
      <w:pPr>
        <w:ind w:left="2880" w:hanging="360"/>
      </w:pPr>
    </w:lvl>
    <w:lvl w:ilvl="4" w:tplc="8EBEA3F4">
      <w:start w:val="1"/>
      <w:numFmt w:val="lowerLetter"/>
      <w:lvlText w:val="%5."/>
      <w:lvlJc w:val="left"/>
      <w:pPr>
        <w:ind w:left="3600" w:hanging="360"/>
      </w:pPr>
    </w:lvl>
    <w:lvl w:ilvl="5" w:tplc="37DEC63A">
      <w:start w:val="1"/>
      <w:numFmt w:val="lowerRoman"/>
      <w:lvlText w:val="%6."/>
      <w:lvlJc w:val="right"/>
      <w:pPr>
        <w:ind w:left="4320" w:hanging="180"/>
      </w:pPr>
    </w:lvl>
    <w:lvl w:ilvl="6" w:tplc="405EA6FE">
      <w:start w:val="1"/>
      <w:numFmt w:val="decimal"/>
      <w:lvlText w:val="%7."/>
      <w:lvlJc w:val="left"/>
      <w:pPr>
        <w:ind w:left="5040" w:hanging="360"/>
      </w:pPr>
    </w:lvl>
    <w:lvl w:ilvl="7" w:tplc="FE326F48">
      <w:start w:val="1"/>
      <w:numFmt w:val="lowerLetter"/>
      <w:lvlText w:val="%8."/>
      <w:lvlJc w:val="left"/>
      <w:pPr>
        <w:ind w:left="5760" w:hanging="360"/>
      </w:pPr>
    </w:lvl>
    <w:lvl w:ilvl="8" w:tplc="964C7954">
      <w:start w:val="1"/>
      <w:numFmt w:val="lowerRoman"/>
      <w:lvlText w:val="%9."/>
      <w:lvlJc w:val="right"/>
      <w:pPr>
        <w:ind w:left="6480" w:hanging="180"/>
      </w:pPr>
    </w:lvl>
  </w:abstractNum>
  <w:abstractNum w:abstractNumId="36" w15:restartNumberingAfterBreak="0">
    <w:nsid w:val="541A2B11"/>
    <w:multiLevelType w:val="hybridMultilevel"/>
    <w:tmpl w:val="9420F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4E77B69"/>
    <w:multiLevelType w:val="hybridMultilevel"/>
    <w:tmpl w:val="039E4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86A2192"/>
    <w:multiLevelType w:val="hybridMultilevel"/>
    <w:tmpl w:val="3162D1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FD822EA"/>
    <w:multiLevelType w:val="hybridMultilevel"/>
    <w:tmpl w:val="9014DC7E"/>
    <w:styleLink w:val="RFP"/>
    <w:lvl w:ilvl="0" w:tplc="6BD8CC80">
      <w:start w:val="1"/>
      <w:numFmt w:val="upperLetter"/>
      <w:lvlText w:val="%1."/>
      <w:lvlJc w:val="left"/>
      <w:pPr>
        <w:ind w:left="720" w:hanging="720"/>
      </w:pPr>
      <w:rPr>
        <w:rFonts w:ascii="Arial" w:hAnsi="Arial" w:cs="Times New Roman" w:hint="default"/>
        <w:b w:val="0"/>
        <w:i w:val="0"/>
        <w:sz w:val="24"/>
      </w:rPr>
    </w:lvl>
    <w:lvl w:ilvl="1" w:tplc="E94EFEB8">
      <w:start w:val="1"/>
      <w:numFmt w:val="decimal"/>
      <w:lvlText w:val="%2."/>
      <w:lvlJc w:val="left"/>
      <w:pPr>
        <w:ind w:left="1080" w:hanging="720"/>
      </w:pPr>
      <w:rPr>
        <w:rFonts w:ascii="Arial" w:hAnsi="Arial" w:cs="Times New Roman" w:hint="default"/>
        <w:b w:val="0"/>
        <w:i w:val="0"/>
        <w:sz w:val="24"/>
      </w:rPr>
    </w:lvl>
    <w:lvl w:ilvl="2" w:tplc="63BC9FE2">
      <w:start w:val="1"/>
      <w:numFmt w:val="lowerRoman"/>
      <w:lvlText w:val="%3)"/>
      <w:lvlJc w:val="left"/>
      <w:pPr>
        <w:ind w:left="1440" w:hanging="720"/>
      </w:pPr>
      <w:rPr>
        <w:rFonts w:cs="Times New Roman" w:hint="default"/>
      </w:rPr>
    </w:lvl>
    <w:lvl w:ilvl="3" w:tplc="3AF64724">
      <w:start w:val="1"/>
      <w:numFmt w:val="decimal"/>
      <w:lvlText w:val="(%4)"/>
      <w:lvlJc w:val="left"/>
      <w:pPr>
        <w:ind w:left="1440" w:hanging="360"/>
      </w:pPr>
      <w:rPr>
        <w:rFonts w:cs="Times New Roman" w:hint="default"/>
      </w:rPr>
    </w:lvl>
    <w:lvl w:ilvl="4" w:tplc="C5C6CCFA">
      <w:start w:val="1"/>
      <w:numFmt w:val="lowerLetter"/>
      <w:lvlText w:val="(%5)"/>
      <w:lvlJc w:val="left"/>
      <w:pPr>
        <w:ind w:left="1800" w:hanging="360"/>
      </w:pPr>
      <w:rPr>
        <w:rFonts w:cs="Times New Roman" w:hint="default"/>
      </w:rPr>
    </w:lvl>
    <w:lvl w:ilvl="5" w:tplc="4A3EA180">
      <w:start w:val="1"/>
      <w:numFmt w:val="lowerRoman"/>
      <w:lvlText w:val="(%6)"/>
      <w:lvlJc w:val="left"/>
      <w:pPr>
        <w:ind w:left="2160" w:hanging="360"/>
      </w:pPr>
      <w:rPr>
        <w:rFonts w:cs="Times New Roman" w:hint="default"/>
      </w:rPr>
    </w:lvl>
    <w:lvl w:ilvl="6" w:tplc="28687726">
      <w:start w:val="1"/>
      <w:numFmt w:val="decimal"/>
      <w:lvlText w:val="%7."/>
      <w:lvlJc w:val="left"/>
      <w:pPr>
        <w:ind w:left="2520" w:hanging="360"/>
      </w:pPr>
      <w:rPr>
        <w:rFonts w:cs="Times New Roman" w:hint="default"/>
      </w:rPr>
    </w:lvl>
    <w:lvl w:ilvl="7" w:tplc="6F8A7078">
      <w:start w:val="1"/>
      <w:numFmt w:val="lowerLetter"/>
      <w:lvlText w:val="%8."/>
      <w:lvlJc w:val="left"/>
      <w:pPr>
        <w:ind w:left="2880" w:hanging="360"/>
      </w:pPr>
      <w:rPr>
        <w:rFonts w:cs="Times New Roman" w:hint="default"/>
      </w:rPr>
    </w:lvl>
    <w:lvl w:ilvl="8" w:tplc="1480D4F6">
      <w:start w:val="1"/>
      <w:numFmt w:val="lowerRoman"/>
      <w:lvlText w:val="%9."/>
      <w:lvlJc w:val="left"/>
      <w:pPr>
        <w:ind w:left="3240" w:hanging="360"/>
      </w:pPr>
      <w:rPr>
        <w:rFonts w:cs="Times New Roman" w:hint="default"/>
      </w:rPr>
    </w:lvl>
  </w:abstractNum>
  <w:abstractNum w:abstractNumId="40" w15:restartNumberingAfterBreak="0">
    <w:nsid w:val="6666E070"/>
    <w:multiLevelType w:val="hybridMultilevel"/>
    <w:tmpl w:val="D97849A8"/>
    <w:lvl w:ilvl="0" w:tplc="21EA5BB2">
      <w:start w:val="1"/>
      <w:numFmt w:val="bullet"/>
      <w:lvlText w:val=""/>
      <w:lvlJc w:val="left"/>
      <w:pPr>
        <w:ind w:left="720" w:hanging="360"/>
      </w:pPr>
      <w:rPr>
        <w:rFonts w:ascii="Symbol" w:hAnsi="Symbol" w:hint="default"/>
      </w:rPr>
    </w:lvl>
    <w:lvl w:ilvl="1" w:tplc="216699CC">
      <w:start w:val="1"/>
      <w:numFmt w:val="bullet"/>
      <w:lvlText w:val="o"/>
      <w:lvlJc w:val="left"/>
      <w:pPr>
        <w:ind w:left="1440" w:hanging="360"/>
      </w:pPr>
      <w:rPr>
        <w:rFonts w:ascii="Courier New" w:hAnsi="Courier New" w:hint="default"/>
      </w:rPr>
    </w:lvl>
    <w:lvl w:ilvl="2" w:tplc="C122D03C">
      <w:start w:val="1"/>
      <w:numFmt w:val="bullet"/>
      <w:lvlText w:val=""/>
      <w:lvlJc w:val="left"/>
      <w:pPr>
        <w:ind w:left="2160" w:hanging="360"/>
      </w:pPr>
      <w:rPr>
        <w:rFonts w:ascii="Wingdings" w:hAnsi="Wingdings" w:hint="default"/>
      </w:rPr>
    </w:lvl>
    <w:lvl w:ilvl="3" w:tplc="2CA8AF0A">
      <w:start w:val="1"/>
      <w:numFmt w:val="bullet"/>
      <w:lvlText w:val=""/>
      <w:lvlJc w:val="left"/>
      <w:pPr>
        <w:ind w:left="2880" w:hanging="360"/>
      </w:pPr>
      <w:rPr>
        <w:rFonts w:ascii="Symbol" w:hAnsi="Symbol" w:hint="default"/>
      </w:rPr>
    </w:lvl>
    <w:lvl w:ilvl="4" w:tplc="A456F5FE">
      <w:start w:val="1"/>
      <w:numFmt w:val="bullet"/>
      <w:lvlText w:val="o"/>
      <w:lvlJc w:val="left"/>
      <w:pPr>
        <w:ind w:left="3600" w:hanging="360"/>
      </w:pPr>
      <w:rPr>
        <w:rFonts w:ascii="Courier New" w:hAnsi="Courier New" w:hint="default"/>
      </w:rPr>
    </w:lvl>
    <w:lvl w:ilvl="5" w:tplc="C88409F6">
      <w:start w:val="1"/>
      <w:numFmt w:val="bullet"/>
      <w:lvlText w:val=""/>
      <w:lvlJc w:val="left"/>
      <w:pPr>
        <w:ind w:left="4320" w:hanging="360"/>
      </w:pPr>
      <w:rPr>
        <w:rFonts w:ascii="Wingdings" w:hAnsi="Wingdings" w:hint="default"/>
      </w:rPr>
    </w:lvl>
    <w:lvl w:ilvl="6" w:tplc="782822B2">
      <w:start w:val="1"/>
      <w:numFmt w:val="bullet"/>
      <w:lvlText w:val=""/>
      <w:lvlJc w:val="left"/>
      <w:pPr>
        <w:ind w:left="5040" w:hanging="360"/>
      </w:pPr>
      <w:rPr>
        <w:rFonts w:ascii="Symbol" w:hAnsi="Symbol" w:hint="default"/>
      </w:rPr>
    </w:lvl>
    <w:lvl w:ilvl="7" w:tplc="82F0D80A">
      <w:start w:val="1"/>
      <w:numFmt w:val="bullet"/>
      <w:lvlText w:val="o"/>
      <w:lvlJc w:val="left"/>
      <w:pPr>
        <w:ind w:left="5760" w:hanging="360"/>
      </w:pPr>
      <w:rPr>
        <w:rFonts w:ascii="Courier New" w:hAnsi="Courier New" w:hint="default"/>
      </w:rPr>
    </w:lvl>
    <w:lvl w:ilvl="8" w:tplc="B8B23B10">
      <w:start w:val="1"/>
      <w:numFmt w:val="bullet"/>
      <w:lvlText w:val=""/>
      <w:lvlJc w:val="left"/>
      <w:pPr>
        <w:ind w:left="6480" w:hanging="360"/>
      </w:pPr>
      <w:rPr>
        <w:rFonts w:ascii="Wingdings" w:hAnsi="Wingdings" w:hint="default"/>
      </w:rPr>
    </w:lvl>
  </w:abstractNum>
  <w:abstractNum w:abstractNumId="41" w15:restartNumberingAfterBreak="0">
    <w:nsid w:val="6C107945"/>
    <w:multiLevelType w:val="hybridMultilevel"/>
    <w:tmpl w:val="FF108E98"/>
    <w:styleLink w:val="StyleNumberedLeft25Hanging075"/>
    <w:lvl w:ilvl="0" w:tplc="EF5EA872">
      <w:start w:val="1"/>
      <w:numFmt w:val="decimal"/>
      <w:lvlText w:val="%1."/>
      <w:lvlJc w:val="left"/>
      <w:pPr>
        <w:ind w:left="1080" w:hanging="720"/>
      </w:pPr>
      <w:rPr>
        <w:rFonts w:cs="Times New Roman" w:hint="default"/>
        <w:sz w:val="24"/>
      </w:rPr>
    </w:lvl>
    <w:lvl w:ilvl="1" w:tplc="B23429E2">
      <w:start w:val="1"/>
      <w:numFmt w:val="lowerLetter"/>
      <w:lvlText w:val="%2."/>
      <w:lvlJc w:val="left"/>
      <w:pPr>
        <w:ind w:left="1800" w:hanging="720"/>
      </w:pPr>
      <w:rPr>
        <w:rFonts w:cs="Times New Roman" w:hint="default"/>
      </w:rPr>
    </w:lvl>
    <w:lvl w:ilvl="2" w:tplc="082CF250">
      <w:start w:val="1"/>
      <w:numFmt w:val="lowerRoman"/>
      <w:lvlText w:val="%3."/>
      <w:lvlJc w:val="right"/>
      <w:pPr>
        <w:ind w:left="2520" w:hanging="720"/>
      </w:pPr>
      <w:rPr>
        <w:rFonts w:cs="Times New Roman" w:hint="default"/>
      </w:rPr>
    </w:lvl>
    <w:lvl w:ilvl="3" w:tplc="904E927A">
      <w:start w:val="1"/>
      <w:numFmt w:val="decimal"/>
      <w:lvlText w:val="%4."/>
      <w:lvlJc w:val="left"/>
      <w:pPr>
        <w:ind w:left="3240" w:hanging="720"/>
      </w:pPr>
      <w:rPr>
        <w:rFonts w:cs="Times New Roman" w:hint="default"/>
      </w:rPr>
    </w:lvl>
    <w:lvl w:ilvl="4" w:tplc="C79A1A96">
      <w:start w:val="1"/>
      <w:numFmt w:val="lowerLetter"/>
      <w:lvlText w:val="%5."/>
      <w:lvlJc w:val="left"/>
      <w:pPr>
        <w:ind w:left="3960" w:hanging="720"/>
      </w:pPr>
      <w:rPr>
        <w:rFonts w:cs="Times New Roman" w:hint="default"/>
      </w:rPr>
    </w:lvl>
    <w:lvl w:ilvl="5" w:tplc="515ED5D6">
      <w:start w:val="1"/>
      <w:numFmt w:val="lowerRoman"/>
      <w:lvlText w:val="%6."/>
      <w:lvlJc w:val="right"/>
      <w:pPr>
        <w:ind w:left="4680" w:hanging="720"/>
      </w:pPr>
      <w:rPr>
        <w:rFonts w:cs="Times New Roman" w:hint="default"/>
      </w:rPr>
    </w:lvl>
    <w:lvl w:ilvl="6" w:tplc="0D667FCC">
      <w:start w:val="1"/>
      <w:numFmt w:val="decimal"/>
      <w:lvlText w:val="%7."/>
      <w:lvlJc w:val="left"/>
      <w:pPr>
        <w:ind w:left="5400" w:hanging="720"/>
      </w:pPr>
      <w:rPr>
        <w:rFonts w:cs="Times New Roman" w:hint="default"/>
      </w:rPr>
    </w:lvl>
    <w:lvl w:ilvl="7" w:tplc="5218B924">
      <w:start w:val="1"/>
      <w:numFmt w:val="lowerLetter"/>
      <w:lvlText w:val="%8."/>
      <w:lvlJc w:val="left"/>
      <w:pPr>
        <w:ind w:left="6120" w:hanging="720"/>
      </w:pPr>
      <w:rPr>
        <w:rFonts w:cs="Times New Roman" w:hint="default"/>
      </w:rPr>
    </w:lvl>
    <w:lvl w:ilvl="8" w:tplc="39EC98BA">
      <w:start w:val="1"/>
      <w:numFmt w:val="lowerRoman"/>
      <w:lvlText w:val="%9."/>
      <w:lvlJc w:val="right"/>
      <w:pPr>
        <w:ind w:left="6840" w:hanging="720"/>
      </w:pPr>
      <w:rPr>
        <w:rFonts w:cs="Times New Roman" w:hint="default"/>
      </w:rPr>
    </w:lvl>
  </w:abstractNum>
  <w:abstractNum w:abstractNumId="42" w15:restartNumberingAfterBreak="0">
    <w:nsid w:val="6D3C731B"/>
    <w:multiLevelType w:val="hybridMultilevel"/>
    <w:tmpl w:val="DB48E730"/>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3" w15:restartNumberingAfterBreak="0">
    <w:nsid w:val="6EC70F30"/>
    <w:multiLevelType w:val="hybridMultilevel"/>
    <w:tmpl w:val="A83A6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36415A"/>
    <w:multiLevelType w:val="hybridMultilevel"/>
    <w:tmpl w:val="86E0DB7C"/>
    <w:lvl w:ilvl="0" w:tplc="BA4C9580">
      <w:start w:val="1"/>
      <w:numFmt w:val="lowerLetter"/>
      <w:lvlText w:val="%1."/>
      <w:lvlJc w:val="left"/>
      <w:pPr>
        <w:ind w:left="720" w:hanging="360"/>
      </w:pPr>
      <w:rPr>
        <w:rFonts w:cs="Times New Roman" w:hint="default"/>
        <w:b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03737E0"/>
    <w:multiLevelType w:val="hybridMultilevel"/>
    <w:tmpl w:val="C2B2A8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6C76FFD"/>
    <w:multiLevelType w:val="hybridMultilevel"/>
    <w:tmpl w:val="CD665988"/>
    <w:lvl w:ilvl="0" w:tplc="409AC6AE">
      <w:start w:val="1"/>
      <w:numFmt w:val="bullet"/>
      <w:pStyle w:val="ListBullet2"/>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DA45B73"/>
    <w:multiLevelType w:val="hybridMultilevel"/>
    <w:tmpl w:val="181A2322"/>
    <w:lvl w:ilvl="0" w:tplc="04090019">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097A70"/>
    <w:multiLevelType w:val="hybridMultilevel"/>
    <w:tmpl w:val="F62C9F9C"/>
    <w:lvl w:ilvl="0" w:tplc="04090019">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8990932">
    <w:abstractNumId w:val="7"/>
  </w:num>
  <w:num w:numId="2" w16cid:durableId="414403302">
    <w:abstractNumId w:val="41"/>
  </w:num>
  <w:num w:numId="3" w16cid:durableId="1863006552">
    <w:abstractNumId w:val="39"/>
  </w:num>
  <w:num w:numId="4" w16cid:durableId="1433894320">
    <w:abstractNumId w:val="28"/>
  </w:num>
  <w:num w:numId="5" w16cid:durableId="1393891825">
    <w:abstractNumId w:val="46"/>
  </w:num>
  <w:num w:numId="6" w16cid:durableId="1329745735">
    <w:abstractNumId w:val="14"/>
  </w:num>
  <w:num w:numId="7" w16cid:durableId="367922653">
    <w:abstractNumId w:val="31"/>
  </w:num>
  <w:num w:numId="8" w16cid:durableId="1563322527">
    <w:abstractNumId w:val="44"/>
  </w:num>
  <w:num w:numId="9" w16cid:durableId="145974020">
    <w:abstractNumId w:val="47"/>
  </w:num>
  <w:num w:numId="10" w16cid:durableId="578828865">
    <w:abstractNumId w:val="48"/>
  </w:num>
  <w:num w:numId="11" w16cid:durableId="2090688360">
    <w:abstractNumId w:val="21"/>
  </w:num>
  <w:num w:numId="12" w16cid:durableId="898325348">
    <w:abstractNumId w:val="18"/>
  </w:num>
  <w:num w:numId="13" w16cid:durableId="1348366798">
    <w:abstractNumId w:val="13"/>
  </w:num>
  <w:num w:numId="14" w16cid:durableId="980034435">
    <w:abstractNumId w:val="6"/>
  </w:num>
  <w:num w:numId="15" w16cid:durableId="1336306399">
    <w:abstractNumId w:val="26"/>
  </w:num>
  <w:num w:numId="16" w16cid:durableId="821702331">
    <w:abstractNumId w:val="37"/>
  </w:num>
  <w:num w:numId="17" w16cid:durableId="428891212">
    <w:abstractNumId w:val="45"/>
  </w:num>
  <w:num w:numId="18" w16cid:durableId="804080141">
    <w:abstractNumId w:val="22"/>
  </w:num>
  <w:num w:numId="19" w16cid:durableId="1337999512">
    <w:abstractNumId w:val="36"/>
  </w:num>
  <w:num w:numId="20" w16cid:durableId="369958406">
    <w:abstractNumId w:val="12"/>
  </w:num>
  <w:num w:numId="21" w16cid:durableId="37630388">
    <w:abstractNumId w:val="24"/>
  </w:num>
  <w:num w:numId="22" w16cid:durableId="1649435739">
    <w:abstractNumId w:val="38"/>
  </w:num>
  <w:num w:numId="23" w16cid:durableId="1017384276">
    <w:abstractNumId w:val="16"/>
  </w:num>
  <w:num w:numId="24" w16cid:durableId="12224485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86306456">
    <w:abstractNumId w:val="15"/>
  </w:num>
  <w:num w:numId="26" w16cid:durableId="1503396570">
    <w:abstractNumId w:val="20"/>
  </w:num>
  <w:num w:numId="27" w16cid:durableId="680009647">
    <w:abstractNumId w:val="4"/>
  </w:num>
  <w:num w:numId="28" w16cid:durableId="1724713319">
    <w:abstractNumId w:val="43"/>
  </w:num>
  <w:num w:numId="29" w16cid:durableId="1675381612">
    <w:abstractNumId w:val="19"/>
  </w:num>
  <w:num w:numId="30" w16cid:durableId="1134100782">
    <w:abstractNumId w:val="10"/>
  </w:num>
  <w:num w:numId="31" w16cid:durableId="1741712782">
    <w:abstractNumId w:val="29"/>
  </w:num>
  <w:num w:numId="32" w16cid:durableId="1518156652">
    <w:abstractNumId w:val="2"/>
  </w:num>
  <w:num w:numId="33" w16cid:durableId="414323686">
    <w:abstractNumId w:val="1"/>
  </w:num>
  <w:num w:numId="34" w16cid:durableId="1547377917">
    <w:abstractNumId w:val="3"/>
  </w:num>
  <w:num w:numId="35" w16cid:durableId="216627872">
    <w:abstractNumId w:val="1"/>
    <w:lvlOverride w:ilvl="0">
      <w:startOverride w:val="1"/>
    </w:lvlOverride>
  </w:num>
  <w:num w:numId="36" w16cid:durableId="923028589">
    <w:abstractNumId w:val="1"/>
    <w:lvlOverride w:ilvl="0">
      <w:startOverride w:val="1"/>
    </w:lvlOverride>
  </w:num>
  <w:num w:numId="37" w16cid:durableId="210848068">
    <w:abstractNumId w:val="0"/>
  </w:num>
  <w:num w:numId="38" w16cid:durableId="2079936606">
    <w:abstractNumId w:val="19"/>
    <w:lvlOverride w:ilvl="0">
      <w:startOverride w:val="1"/>
    </w:lvlOverride>
  </w:num>
  <w:num w:numId="39" w16cid:durableId="509024545">
    <w:abstractNumId w:val="32"/>
  </w:num>
  <w:num w:numId="40" w16cid:durableId="1355350266">
    <w:abstractNumId w:val="19"/>
    <w:lvlOverride w:ilvl="0">
      <w:startOverride w:val="1"/>
    </w:lvlOverride>
  </w:num>
  <w:num w:numId="41" w16cid:durableId="2043361671">
    <w:abstractNumId w:val="32"/>
    <w:lvlOverride w:ilvl="0">
      <w:startOverride w:val="1"/>
    </w:lvlOverride>
  </w:num>
  <w:num w:numId="42" w16cid:durableId="388188156">
    <w:abstractNumId w:val="19"/>
    <w:lvlOverride w:ilvl="0">
      <w:startOverride w:val="1"/>
    </w:lvlOverride>
  </w:num>
  <w:num w:numId="43" w16cid:durableId="776944691">
    <w:abstractNumId w:val="32"/>
    <w:lvlOverride w:ilvl="0">
      <w:startOverride w:val="1"/>
    </w:lvlOverride>
  </w:num>
  <w:num w:numId="44" w16cid:durableId="1346088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11916802">
    <w:abstractNumId w:val="32"/>
    <w:lvlOverride w:ilvl="0">
      <w:startOverride w:val="1"/>
    </w:lvlOverride>
  </w:num>
  <w:num w:numId="46" w16cid:durableId="744255862">
    <w:abstractNumId w:val="1"/>
    <w:lvlOverride w:ilvl="0">
      <w:startOverride w:val="1"/>
    </w:lvlOverride>
  </w:num>
  <w:num w:numId="47" w16cid:durableId="1443645688">
    <w:abstractNumId w:val="2"/>
    <w:lvlOverride w:ilvl="0">
      <w:startOverride w:val="1"/>
    </w:lvlOverride>
  </w:num>
  <w:num w:numId="48" w16cid:durableId="383336287">
    <w:abstractNumId w:val="32"/>
    <w:lvlOverride w:ilvl="0">
      <w:startOverride w:val="1"/>
    </w:lvlOverride>
  </w:num>
  <w:num w:numId="49" w16cid:durableId="155194744">
    <w:abstractNumId w:val="32"/>
    <w:lvlOverride w:ilvl="0">
      <w:startOverride w:val="1"/>
    </w:lvlOverride>
  </w:num>
  <w:num w:numId="50" w16cid:durableId="297272190">
    <w:abstractNumId w:val="32"/>
    <w:lvlOverride w:ilvl="0">
      <w:startOverride w:val="1"/>
    </w:lvlOverride>
  </w:num>
  <w:num w:numId="51" w16cid:durableId="1922713159">
    <w:abstractNumId w:val="19"/>
    <w:lvlOverride w:ilvl="0">
      <w:startOverride w:val="6"/>
    </w:lvlOverride>
  </w:num>
  <w:num w:numId="52" w16cid:durableId="380134506">
    <w:abstractNumId w:val="33"/>
  </w:num>
  <w:num w:numId="53" w16cid:durableId="641155048">
    <w:abstractNumId w:val="35"/>
  </w:num>
  <w:num w:numId="54" w16cid:durableId="1914660075">
    <w:abstractNumId w:val="11"/>
  </w:num>
  <w:num w:numId="55" w16cid:durableId="357704817">
    <w:abstractNumId w:val="8"/>
  </w:num>
  <w:num w:numId="56" w16cid:durableId="1625648784">
    <w:abstractNumId w:val="40"/>
  </w:num>
  <w:num w:numId="57" w16cid:durableId="107772659">
    <w:abstractNumId w:val="5"/>
  </w:num>
  <w:num w:numId="58" w16cid:durableId="1802259065">
    <w:abstractNumId w:val="27"/>
  </w:num>
  <w:num w:numId="59" w16cid:durableId="1937638312">
    <w:abstractNumId w:val="9"/>
  </w:num>
  <w:num w:numId="60" w16cid:durableId="1600942923">
    <w:abstractNumId w:val="34"/>
  </w:num>
  <w:num w:numId="61" w16cid:durableId="2068794128">
    <w:abstractNumId w:val="17"/>
  </w:num>
  <w:num w:numId="62" w16cid:durableId="1988508830">
    <w:abstractNumId w:val="30"/>
  </w:num>
  <w:num w:numId="63" w16cid:durableId="878929599">
    <w:abstractNumId w:val="42"/>
  </w:num>
  <w:num w:numId="64" w16cid:durableId="1335524749">
    <w:abstractNumId w:val="25"/>
  </w:num>
  <w:num w:numId="65" w16cid:durableId="82537600">
    <w:abstractNumId w:val="23"/>
  </w:num>
  <w:num w:numId="66" w16cid:durableId="793525143">
    <w:abstractNumId w:val="2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B8E"/>
    <w:rsid w:val="00000038"/>
    <w:rsid w:val="000159B0"/>
    <w:rsid w:val="00022043"/>
    <w:rsid w:val="000220E0"/>
    <w:rsid w:val="000304B8"/>
    <w:rsid w:val="00030F2C"/>
    <w:rsid w:val="00041077"/>
    <w:rsid w:val="00042515"/>
    <w:rsid w:val="0004369D"/>
    <w:rsid w:val="000514B0"/>
    <w:rsid w:val="00056498"/>
    <w:rsid w:val="000603E0"/>
    <w:rsid w:val="000604A1"/>
    <w:rsid w:val="00061351"/>
    <w:rsid w:val="000620AE"/>
    <w:rsid w:val="000639BB"/>
    <w:rsid w:val="00065117"/>
    <w:rsid w:val="00066A39"/>
    <w:rsid w:val="00066DFA"/>
    <w:rsid w:val="000704C9"/>
    <w:rsid w:val="000726C6"/>
    <w:rsid w:val="00074630"/>
    <w:rsid w:val="000767FE"/>
    <w:rsid w:val="00076E27"/>
    <w:rsid w:val="00090C54"/>
    <w:rsid w:val="00095EDF"/>
    <w:rsid w:val="000A0CF3"/>
    <w:rsid w:val="000A1423"/>
    <w:rsid w:val="000A39A9"/>
    <w:rsid w:val="000A3AF7"/>
    <w:rsid w:val="000B1E38"/>
    <w:rsid w:val="000B32F4"/>
    <w:rsid w:val="000C23A2"/>
    <w:rsid w:val="000C3D52"/>
    <w:rsid w:val="000C4A10"/>
    <w:rsid w:val="000D71E9"/>
    <w:rsid w:val="000E0FEF"/>
    <w:rsid w:val="000E1611"/>
    <w:rsid w:val="000F265B"/>
    <w:rsid w:val="000F4F5A"/>
    <w:rsid w:val="00105DE0"/>
    <w:rsid w:val="0011135D"/>
    <w:rsid w:val="00120E5C"/>
    <w:rsid w:val="00134006"/>
    <w:rsid w:val="00136506"/>
    <w:rsid w:val="001365E0"/>
    <w:rsid w:val="00141120"/>
    <w:rsid w:val="00142F7E"/>
    <w:rsid w:val="00147C2D"/>
    <w:rsid w:val="00147F4D"/>
    <w:rsid w:val="0015128E"/>
    <w:rsid w:val="001528E4"/>
    <w:rsid w:val="001550BD"/>
    <w:rsid w:val="0016516A"/>
    <w:rsid w:val="0017333B"/>
    <w:rsid w:val="001831D1"/>
    <w:rsid w:val="00186532"/>
    <w:rsid w:val="001A059F"/>
    <w:rsid w:val="001A09EE"/>
    <w:rsid w:val="001B28E8"/>
    <w:rsid w:val="001B7AF1"/>
    <w:rsid w:val="001C4521"/>
    <w:rsid w:val="001D130E"/>
    <w:rsid w:val="001D7487"/>
    <w:rsid w:val="001E61D0"/>
    <w:rsid w:val="001F782B"/>
    <w:rsid w:val="0020053E"/>
    <w:rsid w:val="00204BBB"/>
    <w:rsid w:val="002063EB"/>
    <w:rsid w:val="00212076"/>
    <w:rsid w:val="00213F7B"/>
    <w:rsid w:val="0021410E"/>
    <w:rsid w:val="00217966"/>
    <w:rsid w:val="0022186B"/>
    <w:rsid w:val="00225E13"/>
    <w:rsid w:val="0023219F"/>
    <w:rsid w:val="00234830"/>
    <w:rsid w:val="00237104"/>
    <w:rsid w:val="002532DB"/>
    <w:rsid w:val="0025505E"/>
    <w:rsid w:val="00257B77"/>
    <w:rsid w:val="0026275B"/>
    <w:rsid w:val="00263AD0"/>
    <w:rsid w:val="002648FD"/>
    <w:rsid w:val="0028481E"/>
    <w:rsid w:val="002907E7"/>
    <w:rsid w:val="00290811"/>
    <w:rsid w:val="00292929"/>
    <w:rsid w:val="00294AEE"/>
    <w:rsid w:val="002953A3"/>
    <w:rsid w:val="002965B9"/>
    <w:rsid w:val="002A5A04"/>
    <w:rsid w:val="002C0D01"/>
    <w:rsid w:val="002C51FA"/>
    <w:rsid w:val="002D18FF"/>
    <w:rsid w:val="002E11F5"/>
    <w:rsid w:val="002E485E"/>
    <w:rsid w:val="002E53C0"/>
    <w:rsid w:val="002F229C"/>
    <w:rsid w:val="002F68BC"/>
    <w:rsid w:val="0030546F"/>
    <w:rsid w:val="00322AD2"/>
    <w:rsid w:val="003246EC"/>
    <w:rsid w:val="00332D7E"/>
    <w:rsid w:val="00344184"/>
    <w:rsid w:val="00344AA3"/>
    <w:rsid w:val="00345F78"/>
    <w:rsid w:val="0034675F"/>
    <w:rsid w:val="003467EE"/>
    <w:rsid w:val="00362FAD"/>
    <w:rsid w:val="00374C99"/>
    <w:rsid w:val="00375147"/>
    <w:rsid w:val="00375508"/>
    <w:rsid w:val="003759EC"/>
    <w:rsid w:val="00380F75"/>
    <w:rsid w:val="0038102B"/>
    <w:rsid w:val="00385A42"/>
    <w:rsid w:val="00385FC8"/>
    <w:rsid w:val="00390A71"/>
    <w:rsid w:val="0039230A"/>
    <w:rsid w:val="00397CB0"/>
    <w:rsid w:val="003A04FB"/>
    <w:rsid w:val="003A08FB"/>
    <w:rsid w:val="003A095D"/>
    <w:rsid w:val="003B050D"/>
    <w:rsid w:val="003B38B5"/>
    <w:rsid w:val="003B4E7A"/>
    <w:rsid w:val="003C09CD"/>
    <w:rsid w:val="003C20F8"/>
    <w:rsid w:val="003C6D9F"/>
    <w:rsid w:val="003D0138"/>
    <w:rsid w:val="003D7190"/>
    <w:rsid w:val="003D735D"/>
    <w:rsid w:val="003E2E5A"/>
    <w:rsid w:val="003E610D"/>
    <w:rsid w:val="003E65B8"/>
    <w:rsid w:val="003E757A"/>
    <w:rsid w:val="003F015C"/>
    <w:rsid w:val="003F4605"/>
    <w:rsid w:val="00401916"/>
    <w:rsid w:val="004029F8"/>
    <w:rsid w:val="00417449"/>
    <w:rsid w:val="00420E06"/>
    <w:rsid w:val="004244F1"/>
    <w:rsid w:val="004251C9"/>
    <w:rsid w:val="004316F6"/>
    <w:rsid w:val="00435478"/>
    <w:rsid w:val="004413E3"/>
    <w:rsid w:val="0044358B"/>
    <w:rsid w:val="004455F8"/>
    <w:rsid w:val="00456F0A"/>
    <w:rsid w:val="00457260"/>
    <w:rsid w:val="00461057"/>
    <w:rsid w:val="00462913"/>
    <w:rsid w:val="004639F8"/>
    <w:rsid w:val="00470BD3"/>
    <w:rsid w:val="0047177A"/>
    <w:rsid w:val="00475F9B"/>
    <w:rsid w:val="004827AF"/>
    <w:rsid w:val="004877FF"/>
    <w:rsid w:val="00490335"/>
    <w:rsid w:val="004A1417"/>
    <w:rsid w:val="004B1FF7"/>
    <w:rsid w:val="004B678B"/>
    <w:rsid w:val="004C5C2A"/>
    <w:rsid w:val="004C5EAC"/>
    <w:rsid w:val="004D02DC"/>
    <w:rsid w:val="004D30D6"/>
    <w:rsid w:val="004E6BBA"/>
    <w:rsid w:val="004F0553"/>
    <w:rsid w:val="004F1670"/>
    <w:rsid w:val="004F2398"/>
    <w:rsid w:val="004F247B"/>
    <w:rsid w:val="004F4A75"/>
    <w:rsid w:val="004F6321"/>
    <w:rsid w:val="004F63EC"/>
    <w:rsid w:val="005000CA"/>
    <w:rsid w:val="00500B40"/>
    <w:rsid w:val="0050614B"/>
    <w:rsid w:val="005241A2"/>
    <w:rsid w:val="00525596"/>
    <w:rsid w:val="00525AE3"/>
    <w:rsid w:val="00527E51"/>
    <w:rsid w:val="00530176"/>
    <w:rsid w:val="00533B6C"/>
    <w:rsid w:val="0053648E"/>
    <w:rsid w:val="00542C04"/>
    <w:rsid w:val="00545286"/>
    <w:rsid w:val="00552736"/>
    <w:rsid w:val="00563975"/>
    <w:rsid w:val="0056443E"/>
    <w:rsid w:val="005650BE"/>
    <w:rsid w:val="00565318"/>
    <w:rsid w:val="00573865"/>
    <w:rsid w:val="0058366B"/>
    <w:rsid w:val="00583939"/>
    <w:rsid w:val="005852A9"/>
    <w:rsid w:val="005854BD"/>
    <w:rsid w:val="005905A9"/>
    <w:rsid w:val="0059123B"/>
    <w:rsid w:val="00596AFC"/>
    <w:rsid w:val="0059750C"/>
    <w:rsid w:val="005A1CC3"/>
    <w:rsid w:val="005A2D15"/>
    <w:rsid w:val="005A4A22"/>
    <w:rsid w:val="005A5B33"/>
    <w:rsid w:val="005B643D"/>
    <w:rsid w:val="005C1FFA"/>
    <w:rsid w:val="005C22E6"/>
    <w:rsid w:val="005C76F1"/>
    <w:rsid w:val="005D0C4F"/>
    <w:rsid w:val="005D1118"/>
    <w:rsid w:val="005D1772"/>
    <w:rsid w:val="005D57E3"/>
    <w:rsid w:val="005D7A51"/>
    <w:rsid w:val="005E298E"/>
    <w:rsid w:val="005E5764"/>
    <w:rsid w:val="005F1497"/>
    <w:rsid w:val="005F19FC"/>
    <w:rsid w:val="005F2AD1"/>
    <w:rsid w:val="005F3333"/>
    <w:rsid w:val="00617C3A"/>
    <w:rsid w:val="0062166F"/>
    <w:rsid w:val="0062271E"/>
    <w:rsid w:val="00623360"/>
    <w:rsid w:val="00624320"/>
    <w:rsid w:val="006477A1"/>
    <w:rsid w:val="0065080F"/>
    <w:rsid w:val="006513AC"/>
    <w:rsid w:val="006526EE"/>
    <w:rsid w:val="0065415E"/>
    <w:rsid w:val="00657C08"/>
    <w:rsid w:val="0066253E"/>
    <w:rsid w:val="00665B8E"/>
    <w:rsid w:val="00666CED"/>
    <w:rsid w:val="006676ED"/>
    <w:rsid w:val="0068027E"/>
    <w:rsid w:val="0068086D"/>
    <w:rsid w:val="006826DF"/>
    <w:rsid w:val="00684F88"/>
    <w:rsid w:val="00690B3A"/>
    <w:rsid w:val="00692A9C"/>
    <w:rsid w:val="006A13B7"/>
    <w:rsid w:val="006B067D"/>
    <w:rsid w:val="006B6E53"/>
    <w:rsid w:val="006D20EA"/>
    <w:rsid w:val="006D3FA4"/>
    <w:rsid w:val="006D4010"/>
    <w:rsid w:val="006E07A7"/>
    <w:rsid w:val="006E0D42"/>
    <w:rsid w:val="006E0EC8"/>
    <w:rsid w:val="006E17B0"/>
    <w:rsid w:val="006E2712"/>
    <w:rsid w:val="006E28C1"/>
    <w:rsid w:val="006E4AF1"/>
    <w:rsid w:val="006E5BB1"/>
    <w:rsid w:val="006F4D67"/>
    <w:rsid w:val="00706FEE"/>
    <w:rsid w:val="0071148B"/>
    <w:rsid w:val="00713BD1"/>
    <w:rsid w:val="0072241D"/>
    <w:rsid w:val="007251BD"/>
    <w:rsid w:val="007265FB"/>
    <w:rsid w:val="007341F8"/>
    <w:rsid w:val="007472B9"/>
    <w:rsid w:val="007528DA"/>
    <w:rsid w:val="00753B44"/>
    <w:rsid w:val="00754387"/>
    <w:rsid w:val="0076247E"/>
    <w:rsid w:val="00767605"/>
    <w:rsid w:val="00771134"/>
    <w:rsid w:val="00775327"/>
    <w:rsid w:val="00775C61"/>
    <w:rsid w:val="0078061F"/>
    <w:rsid w:val="00791F57"/>
    <w:rsid w:val="00792121"/>
    <w:rsid w:val="007942FB"/>
    <w:rsid w:val="007959D2"/>
    <w:rsid w:val="00795E48"/>
    <w:rsid w:val="007A2BAB"/>
    <w:rsid w:val="007A510D"/>
    <w:rsid w:val="007B7539"/>
    <w:rsid w:val="007C6CFC"/>
    <w:rsid w:val="007D0BE7"/>
    <w:rsid w:val="007D1ADB"/>
    <w:rsid w:val="007D5522"/>
    <w:rsid w:val="007D64B7"/>
    <w:rsid w:val="007E1300"/>
    <w:rsid w:val="007E30FC"/>
    <w:rsid w:val="007E5C3D"/>
    <w:rsid w:val="007E6AD4"/>
    <w:rsid w:val="007E7BC1"/>
    <w:rsid w:val="007F0C5E"/>
    <w:rsid w:val="007F2E92"/>
    <w:rsid w:val="007F334F"/>
    <w:rsid w:val="007F3ADF"/>
    <w:rsid w:val="00803B76"/>
    <w:rsid w:val="00803EB9"/>
    <w:rsid w:val="00810007"/>
    <w:rsid w:val="0081087E"/>
    <w:rsid w:val="008118D4"/>
    <w:rsid w:val="008133B7"/>
    <w:rsid w:val="00813670"/>
    <w:rsid w:val="0081503A"/>
    <w:rsid w:val="008213AC"/>
    <w:rsid w:val="00823D0F"/>
    <w:rsid w:val="00824718"/>
    <w:rsid w:val="00827175"/>
    <w:rsid w:val="00840B15"/>
    <w:rsid w:val="00843DCC"/>
    <w:rsid w:val="008441A5"/>
    <w:rsid w:val="00846D19"/>
    <w:rsid w:val="008473FC"/>
    <w:rsid w:val="00850F15"/>
    <w:rsid w:val="0086372A"/>
    <w:rsid w:val="008712EF"/>
    <w:rsid w:val="008770FE"/>
    <w:rsid w:val="008811D9"/>
    <w:rsid w:val="00881BD3"/>
    <w:rsid w:val="0088346E"/>
    <w:rsid w:val="008854EC"/>
    <w:rsid w:val="00890635"/>
    <w:rsid w:val="0089190D"/>
    <w:rsid w:val="008A3657"/>
    <w:rsid w:val="008A7694"/>
    <w:rsid w:val="008B0280"/>
    <w:rsid w:val="008B0823"/>
    <w:rsid w:val="008B0A38"/>
    <w:rsid w:val="008B2CB8"/>
    <w:rsid w:val="008C1595"/>
    <w:rsid w:val="008C2ED9"/>
    <w:rsid w:val="008D38FF"/>
    <w:rsid w:val="008F3855"/>
    <w:rsid w:val="008F420B"/>
    <w:rsid w:val="008F6C51"/>
    <w:rsid w:val="008F720E"/>
    <w:rsid w:val="00901FD7"/>
    <w:rsid w:val="009023E2"/>
    <w:rsid w:val="0090350E"/>
    <w:rsid w:val="00907014"/>
    <w:rsid w:val="00910021"/>
    <w:rsid w:val="009147FA"/>
    <w:rsid w:val="00917994"/>
    <w:rsid w:val="00930310"/>
    <w:rsid w:val="00932470"/>
    <w:rsid w:val="00936865"/>
    <w:rsid w:val="009427E3"/>
    <w:rsid w:val="00954BE1"/>
    <w:rsid w:val="00957F06"/>
    <w:rsid w:val="00961356"/>
    <w:rsid w:val="009646B7"/>
    <w:rsid w:val="0097354A"/>
    <w:rsid w:val="009751FA"/>
    <w:rsid w:val="00977EE1"/>
    <w:rsid w:val="00983D3F"/>
    <w:rsid w:val="00994BAC"/>
    <w:rsid w:val="009A49CE"/>
    <w:rsid w:val="009B2557"/>
    <w:rsid w:val="009B695B"/>
    <w:rsid w:val="009B69AD"/>
    <w:rsid w:val="009C48A0"/>
    <w:rsid w:val="009C48D2"/>
    <w:rsid w:val="009C6725"/>
    <w:rsid w:val="009D2F32"/>
    <w:rsid w:val="009D74EF"/>
    <w:rsid w:val="009E5014"/>
    <w:rsid w:val="009F39E1"/>
    <w:rsid w:val="009F5F60"/>
    <w:rsid w:val="00A002CF"/>
    <w:rsid w:val="00A05CAE"/>
    <w:rsid w:val="00A14C4B"/>
    <w:rsid w:val="00A15530"/>
    <w:rsid w:val="00A24EB6"/>
    <w:rsid w:val="00A27A5D"/>
    <w:rsid w:val="00A27C38"/>
    <w:rsid w:val="00A3172D"/>
    <w:rsid w:val="00A33978"/>
    <w:rsid w:val="00A36C20"/>
    <w:rsid w:val="00A36E60"/>
    <w:rsid w:val="00A36FE6"/>
    <w:rsid w:val="00A442D7"/>
    <w:rsid w:val="00A45CB3"/>
    <w:rsid w:val="00A47306"/>
    <w:rsid w:val="00A537D3"/>
    <w:rsid w:val="00A53E92"/>
    <w:rsid w:val="00A622D7"/>
    <w:rsid w:val="00A6507D"/>
    <w:rsid w:val="00A731DC"/>
    <w:rsid w:val="00A73C84"/>
    <w:rsid w:val="00A7422E"/>
    <w:rsid w:val="00A80BFB"/>
    <w:rsid w:val="00A84E1F"/>
    <w:rsid w:val="00A85A94"/>
    <w:rsid w:val="00A86CB9"/>
    <w:rsid w:val="00A86D09"/>
    <w:rsid w:val="00A94DAA"/>
    <w:rsid w:val="00A9549F"/>
    <w:rsid w:val="00A9618F"/>
    <w:rsid w:val="00A96E81"/>
    <w:rsid w:val="00AA2829"/>
    <w:rsid w:val="00AB0085"/>
    <w:rsid w:val="00AC1125"/>
    <w:rsid w:val="00AC77AA"/>
    <w:rsid w:val="00AD0747"/>
    <w:rsid w:val="00AD19EE"/>
    <w:rsid w:val="00AD3C55"/>
    <w:rsid w:val="00AE0427"/>
    <w:rsid w:val="00AE32F8"/>
    <w:rsid w:val="00AF32D6"/>
    <w:rsid w:val="00AF4AAA"/>
    <w:rsid w:val="00AF4B2A"/>
    <w:rsid w:val="00B003E2"/>
    <w:rsid w:val="00B025B8"/>
    <w:rsid w:val="00B03EC1"/>
    <w:rsid w:val="00B12995"/>
    <w:rsid w:val="00B1372F"/>
    <w:rsid w:val="00B26560"/>
    <w:rsid w:val="00B328A5"/>
    <w:rsid w:val="00B34996"/>
    <w:rsid w:val="00B34DD1"/>
    <w:rsid w:val="00B36F0C"/>
    <w:rsid w:val="00B51553"/>
    <w:rsid w:val="00B5394A"/>
    <w:rsid w:val="00B54A17"/>
    <w:rsid w:val="00B771E1"/>
    <w:rsid w:val="00B773AC"/>
    <w:rsid w:val="00B819FD"/>
    <w:rsid w:val="00B81A87"/>
    <w:rsid w:val="00B8391D"/>
    <w:rsid w:val="00B9259D"/>
    <w:rsid w:val="00B96F55"/>
    <w:rsid w:val="00B97CF4"/>
    <w:rsid w:val="00BA4CA7"/>
    <w:rsid w:val="00BB0B0E"/>
    <w:rsid w:val="00BB0EB4"/>
    <w:rsid w:val="00BB5FD8"/>
    <w:rsid w:val="00BB64B2"/>
    <w:rsid w:val="00BC4E12"/>
    <w:rsid w:val="00BC7870"/>
    <w:rsid w:val="00BD73AE"/>
    <w:rsid w:val="00BD7FE9"/>
    <w:rsid w:val="00BE13CF"/>
    <w:rsid w:val="00BE3BFF"/>
    <w:rsid w:val="00BE41D5"/>
    <w:rsid w:val="00BE4346"/>
    <w:rsid w:val="00BF0733"/>
    <w:rsid w:val="00BF2ED0"/>
    <w:rsid w:val="00C02FEB"/>
    <w:rsid w:val="00C03628"/>
    <w:rsid w:val="00C07DE7"/>
    <w:rsid w:val="00C154BC"/>
    <w:rsid w:val="00C2167E"/>
    <w:rsid w:val="00C24E86"/>
    <w:rsid w:val="00C30D57"/>
    <w:rsid w:val="00C426E2"/>
    <w:rsid w:val="00C441C1"/>
    <w:rsid w:val="00C4595B"/>
    <w:rsid w:val="00C51C4B"/>
    <w:rsid w:val="00C534B4"/>
    <w:rsid w:val="00C5473C"/>
    <w:rsid w:val="00C55E6A"/>
    <w:rsid w:val="00C645C8"/>
    <w:rsid w:val="00C65287"/>
    <w:rsid w:val="00C706AA"/>
    <w:rsid w:val="00C71712"/>
    <w:rsid w:val="00C71C0A"/>
    <w:rsid w:val="00C77C5C"/>
    <w:rsid w:val="00C80AAE"/>
    <w:rsid w:val="00C950B0"/>
    <w:rsid w:val="00C96578"/>
    <w:rsid w:val="00C97F24"/>
    <w:rsid w:val="00CA4E11"/>
    <w:rsid w:val="00CB68E7"/>
    <w:rsid w:val="00CB74CE"/>
    <w:rsid w:val="00CC269A"/>
    <w:rsid w:val="00CC4575"/>
    <w:rsid w:val="00CD0198"/>
    <w:rsid w:val="00CE618A"/>
    <w:rsid w:val="00CE66B9"/>
    <w:rsid w:val="00CE6F6C"/>
    <w:rsid w:val="00CF167F"/>
    <w:rsid w:val="00CF3270"/>
    <w:rsid w:val="00CF4E29"/>
    <w:rsid w:val="00D05AA3"/>
    <w:rsid w:val="00D10A36"/>
    <w:rsid w:val="00D152ED"/>
    <w:rsid w:val="00D15B9A"/>
    <w:rsid w:val="00D16A35"/>
    <w:rsid w:val="00D20078"/>
    <w:rsid w:val="00D23337"/>
    <w:rsid w:val="00D27935"/>
    <w:rsid w:val="00D32496"/>
    <w:rsid w:val="00D404A7"/>
    <w:rsid w:val="00D40984"/>
    <w:rsid w:val="00D4194F"/>
    <w:rsid w:val="00D4558A"/>
    <w:rsid w:val="00D456DD"/>
    <w:rsid w:val="00D52D92"/>
    <w:rsid w:val="00D60262"/>
    <w:rsid w:val="00D62E5C"/>
    <w:rsid w:val="00D672B5"/>
    <w:rsid w:val="00D7103B"/>
    <w:rsid w:val="00D74257"/>
    <w:rsid w:val="00D859E4"/>
    <w:rsid w:val="00D878D9"/>
    <w:rsid w:val="00D90D78"/>
    <w:rsid w:val="00D92CEE"/>
    <w:rsid w:val="00D94EC6"/>
    <w:rsid w:val="00D96372"/>
    <w:rsid w:val="00DA4032"/>
    <w:rsid w:val="00DA77F1"/>
    <w:rsid w:val="00DB52BB"/>
    <w:rsid w:val="00DB7AAA"/>
    <w:rsid w:val="00DC0373"/>
    <w:rsid w:val="00DC0D84"/>
    <w:rsid w:val="00DC1B8F"/>
    <w:rsid w:val="00DC2BDC"/>
    <w:rsid w:val="00DC3F7D"/>
    <w:rsid w:val="00DD1933"/>
    <w:rsid w:val="00DD1FF2"/>
    <w:rsid w:val="00DD5646"/>
    <w:rsid w:val="00DE1BC0"/>
    <w:rsid w:val="00DE2922"/>
    <w:rsid w:val="00DE6636"/>
    <w:rsid w:val="00DE702E"/>
    <w:rsid w:val="00DF3242"/>
    <w:rsid w:val="00DF44DF"/>
    <w:rsid w:val="00E06B2E"/>
    <w:rsid w:val="00E06CF1"/>
    <w:rsid w:val="00E07C4F"/>
    <w:rsid w:val="00E12DF3"/>
    <w:rsid w:val="00E20A62"/>
    <w:rsid w:val="00E266DE"/>
    <w:rsid w:val="00E26754"/>
    <w:rsid w:val="00E27188"/>
    <w:rsid w:val="00E272B1"/>
    <w:rsid w:val="00E3059C"/>
    <w:rsid w:val="00E3786A"/>
    <w:rsid w:val="00E37FB1"/>
    <w:rsid w:val="00E40CD4"/>
    <w:rsid w:val="00E432E3"/>
    <w:rsid w:val="00E440F5"/>
    <w:rsid w:val="00E4421A"/>
    <w:rsid w:val="00E5002E"/>
    <w:rsid w:val="00E501BF"/>
    <w:rsid w:val="00E560AE"/>
    <w:rsid w:val="00E56D31"/>
    <w:rsid w:val="00E57A9D"/>
    <w:rsid w:val="00E67195"/>
    <w:rsid w:val="00E70746"/>
    <w:rsid w:val="00E737DC"/>
    <w:rsid w:val="00E8554B"/>
    <w:rsid w:val="00E94BF0"/>
    <w:rsid w:val="00EA1C32"/>
    <w:rsid w:val="00EA4C1F"/>
    <w:rsid w:val="00EA4EB6"/>
    <w:rsid w:val="00EA631C"/>
    <w:rsid w:val="00EE26F4"/>
    <w:rsid w:val="00EE453B"/>
    <w:rsid w:val="00EE5607"/>
    <w:rsid w:val="00EF0F57"/>
    <w:rsid w:val="00EF5C08"/>
    <w:rsid w:val="00F029C2"/>
    <w:rsid w:val="00F03350"/>
    <w:rsid w:val="00F114FB"/>
    <w:rsid w:val="00F128A6"/>
    <w:rsid w:val="00F1458D"/>
    <w:rsid w:val="00F15B8B"/>
    <w:rsid w:val="00F2245B"/>
    <w:rsid w:val="00F23398"/>
    <w:rsid w:val="00F238F5"/>
    <w:rsid w:val="00F23931"/>
    <w:rsid w:val="00F2401C"/>
    <w:rsid w:val="00F26285"/>
    <w:rsid w:val="00F34569"/>
    <w:rsid w:val="00F34A9C"/>
    <w:rsid w:val="00F40EC8"/>
    <w:rsid w:val="00F419FF"/>
    <w:rsid w:val="00F42C0D"/>
    <w:rsid w:val="00F439A2"/>
    <w:rsid w:val="00F448F5"/>
    <w:rsid w:val="00F44956"/>
    <w:rsid w:val="00F47A0B"/>
    <w:rsid w:val="00F52D90"/>
    <w:rsid w:val="00F540EB"/>
    <w:rsid w:val="00F56D2E"/>
    <w:rsid w:val="00F656EA"/>
    <w:rsid w:val="00F65C42"/>
    <w:rsid w:val="00F73DD0"/>
    <w:rsid w:val="00F76523"/>
    <w:rsid w:val="00F818F5"/>
    <w:rsid w:val="00F819C2"/>
    <w:rsid w:val="00F82120"/>
    <w:rsid w:val="00F84FC5"/>
    <w:rsid w:val="00F94119"/>
    <w:rsid w:val="00FA378E"/>
    <w:rsid w:val="00FA6BCB"/>
    <w:rsid w:val="00FC1BD2"/>
    <w:rsid w:val="00FC233B"/>
    <w:rsid w:val="00FC4018"/>
    <w:rsid w:val="00FD18DF"/>
    <w:rsid w:val="00FD6E21"/>
    <w:rsid w:val="00FD7CD2"/>
    <w:rsid w:val="00FE141D"/>
    <w:rsid w:val="00FE2F8E"/>
    <w:rsid w:val="00FE44C5"/>
    <w:rsid w:val="00FE6F92"/>
    <w:rsid w:val="00FF1F64"/>
    <w:rsid w:val="05500B5E"/>
    <w:rsid w:val="0AF0F445"/>
    <w:rsid w:val="12BA015D"/>
    <w:rsid w:val="1B1F43FF"/>
    <w:rsid w:val="20941BD3"/>
    <w:rsid w:val="30F1D5EB"/>
    <w:rsid w:val="3C70B72D"/>
    <w:rsid w:val="3F2B55EA"/>
    <w:rsid w:val="407E4AFD"/>
    <w:rsid w:val="420058FB"/>
    <w:rsid w:val="4FED8525"/>
    <w:rsid w:val="5C55D055"/>
    <w:rsid w:val="616A4F76"/>
    <w:rsid w:val="61994C7A"/>
    <w:rsid w:val="781912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54E129"/>
  <w15:chartTrackingRefBased/>
  <w15:docId w15:val="{238B8073-3243-4782-B6D9-84DB420AF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B44"/>
    <w:pPr>
      <w:spacing w:after="120" w:line="240" w:lineRule="auto"/>
      <w:jc w:val="both"/>
    </w:pPr>
    <w:rPr>
      <w:rFonts w:ascii="Arial" w:eastAsia="Times New Roman" w:hAnsi="Arial" w:cs="Arial"/>
      <w:kern w:val="0"/>
      <w:szCs w:val="20"/>
      <w14:ligatures w14:val="none"/>
    </w:rPr>
  </w:style>
  <w:style w:type="paragraph" w:styleId="Heading1">
    <w:name w:val="heading 1"/>
    <w:basedOn w:val="Normal"/>
    <w:next w:val="Normal"/>
    <w:link w:val="Heading1Char"/>
    <w:uiPriority w:val="99"/>
    <w:qFormat/>
    <w:rsid w:val="008F420B"/>
    <w:pPr>
      <w:keepNext/>
      <w:keepLines/>
      <w:spacing w:before="360" w:after="80"/>
      <w:jc w:val="center"/>
      <w:outlineLvl w:val="0"/>
    </w:pPr>
    <w:rPr>
      <w:rFonts w:eastAsiaTheme="majorEastAsia" w:cstheme="majorBidi"/>
      <w:sz w:val="36"/>
      <w:szCs w:val="40"/>
    </w:rPr>
  </w:style>
  <w:style w:type="paragraph" w:styleId="Heading2">
    <w:name w:val="heading 2"/>
    <w:basedOn w:val="Normal"/>
    <w:next w:val="Normal"/>
    <w:link w:val="Heading2Char"/>
    <w:uiPriority w:val="99"/>
    <w:unhideWhenUsed/>
    <w:qFormat/>
    <w:rsid w:val="00456F0A"/>
    <w:pPr>
      <w:keepNext/>
      <w:keepLines/>
      <w:shd w:val="clear" w:color="auto" w:fill="D9D9D9" w:themeFill="background1" w:themeFillShade="D9"/>
      <w:spacing w:before="240" w:after="240"/>
      <w:outlineLvl w:val="1"/>
    </w:pPr>
    <w:rPr>
      <w:rFonts w:eastAsiaTheme="majorEastAsia" w:cstheme="majorBidi"/>
      <w:b/>
      <w:sz w:val="32"/>
      <w:szCs w:val="32"/>
    </w:rPr>
  </w:style>
  <w:style w:type="paragraph" w:styleId="Heading3">
    <w:name w:val="heading 3"/>
    <w:basedOn w:val="Normal"/>
    <w:next w:val="Normal"/>
    <w:link w:val="Heading3Char"/>
    <w:uiPriority w:val="99"/>
    <w:unhideWhenUsed/>
    <w:qFormat/>
    <w:rsid w:val="003C09CD"/>
    <w:pPr>
      <w:keepNext/>
      <w:keepLines/>
      <w:numPr>
        <w:numId w:val="29"/>
      </w:numPr>
      <w:spacing w:before="360" w:after="160"/>
      <w:outlineLvl w:val="2"/>
    </w:pPr>
    <w:rPr>
      <w:rFonts w:eastAsiaTheme="majorEastAsia"/>
      <w:b/>
      <w:smallCaps/>
      <w:sz w:val="28"/>
      <w:szCs w:val="28"/>
    </w:rPr>
  </w:style>
  <w:style w:type="paragraph" w:styleId="Heading4">
    <w:name w:val="heading 4"/>
    <w:basedOn w:val="Normal"/>
    <w:next w:val="Normal"/>
    <w:link w:val="Heading4Char"/>
    <w:uiPriority w:val="99"/>
    <w:unhideWhenUsed/>
    <w:qFormat/>
    <w:rsid w:val="00A53E92"/>
    <w:pPr>
      <w:keepNext/>
      <w:numPr>
        <w:numId w:val="39"/>
      </w:numPr>
      <w:spacing w:before="240"/>
      <w:outlineLvl w:val="3"/>
    </w:pPr>
    <w:rPr>
      <w:b/>
    </w:rPr>
  </w:style>
  <w:style w:type="paragraph" w:styleId="Heading5">
    <w:name w:val="heading 5"/>
    <w:basedOn w:val="Normal"/>
    <w:next w:val="Normal"/>
    <w:link w:val="Heading5Char"/>
    <w:uiPriority w:val="99"/>
    <w:unhideWhenUsed/>
    <w:qFormat/>
    <w:rsid w:val="000A3AF7"/>
    <w:pPr>
      <w:keepNext/>
      <w:outlineLvl w:val="4"/>
    </w:pPr>
    <w:rPr>
      <w:u w:val="single"/>
    </w:rPr>
  </w:style>
  <w:style w:type="paragraph" w:styleId="Heading6">
    <w:name w:val="heading 6"/>
    <w:basedOn w:val="Normal"/>
    <w:next w:val="Normal"/>
    <w:link w:val="Heading6Char"/>
    <w:uiPriority w:val="99"/>
    <w:unhideWhenUsed/>
    <w:qFormat/>
    <w:rsid w:val="00665B8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9"/>
    <w:unhideWhenUsed/>
    <w:qFormat/>
    <w:rsid w:val="00665B8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9"/>
    <w:unhideWhenUsed/>
    <w:qFormat/>
    <w:rsid w:val="00665B8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9"/>
    <w:unhideWhenUsed/>
    <w:qFormat/>
    <w:rsid w:val="00665B8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8F420B"/>
  </w:style>
  <w:style w:type="character" w:customStyle="1" w:styleId="BodyTextChar">
    <w:name w:val="Body Text Char"/>
    <w:basedOn w:val="DefaultParagraphFont"/>
    <w:link w:val="BodyText"/>
    <w:uiPriority w:val="99"/>
    <w:rsid w:val="008F420B"/>
    <w:rPr>
      <w:rFonts w:ascii="Arial" w:eastAsia="Times New Roman" w:hAnsi="Arial" w:cs="Arial"/>
      <w:kern w:val="0"/>
      <w:szCs w:val="20"/>
      <w14:ligatures w14:val="none"/>
    </w:rPr>
  </w:style>
  <w:style w:type="character" w:customStyle="1" w:styleId="Heading1Char">
    <w:name w:val="Heading 1 Char"/>
    <w:basedOn w:val="DefaultParagraphFont"/>
    <w:link w:val="Heading1"/>
    <w:uiPriority w:val="99"/>
    <w:rsid w:val="008F420B"/>
    <w:rPr>
      <w:rFonts w:ascii="Arial" w:eastAsiaTheme="majorEastAsia" w:hAnsi="Arial" w:cstheme="majorBidi"/>
      <w:kern w:val="0"/>
      <w:sz w:val="36"/>
      <w:szCs w:val="40"/>
      <w14:ligatures w14:val="none"/>
    </w:rPr>
  </w:style>
  <w:style w:type="character" w:customStyle="1" w:styleId="Heading2Char">
    <w:name w:val="Heading 2 Char"/>
    <w:basedOn w:val="DefaultParagraphFont"/>
    <w:link w:val="Heading2"/>
    <w:uiPriority w:val="99"/>
    <w:rsid w:val="00456F0A"/>
    <w:rPr>
      <w:rFonts w:ascii="Arial" w:eastAsiaTheme="majorEastAsia" w:hAnsi="Arial" w:cstheme="majorBidi"/>
      <w:b/>
      <w:kern w:val="0"/>
      <w:sz w:val="32"/>
      <w:szCs w:val="32"/>
      <w:shd w:val="clear" w:color="auto" w:fill="D9D9D9" w:themeFill="background1" w:themeFillShade="D9"/>
      <w14:ligatures w14:val="none"/>
    </w:rPr>
  </w:style>
  <w:style w:type="character" w:customStyle="1" w:styleId="Heading3Char">
    <w:name w:val="Heading 3 Char"/>
    <w:basedOn w:val="DefaultParagraphFont"/>
    <w:link w:val="Heading3"/>
    <w:uiPriority w:val="99"/>
    <w:rsid w:val="003C09CD"/>
    <w:rPr>
      <w:rFonts w:ascii="Arial" w:eastAsiaTheme="majorEastAsia" w:hAnsi="Arial" w:cs="Arial"/>
      <w:b/>
      <w:smallCaps/>
      <w:kern w:val="0"/>
      <w:sz w:val="28"/>
      <w:szCs w:val="28"/>
      <w14:ligatures w14:val="none"/>
    </w:rPr>
  </w:style>
  <w:style w:type="character" w:customStyle="1" w:styleId="Heading4Char">
    <w:name w:val="Heading 4 Char"/>
    <w:basedOn w:val="DefaultParagraphFont"/>
    <w:link w:val="Heading4"/>
    <w:uiPriority w:val="99"/>
    <w:rsid w:val="00A53E92"/>
    <w:rPr>
      <w:rFonts w:ascii="Arial" w:eastAsia="Times New Roman" w:hAnsi="Arial" w:cs="Arial"/>
      <w:b/>
      <w:kern w:val="0"/>
      <w:szCs w:val="20"/>
      <w14:ligatures w14:val="none"/>
    </w:rPr>
  </w:style>
  <w:style w:type="character" w:customStyle="1" w:styleId="Heading5Char">
    <w:name w:val="Heading 5 Char"/>
    <w:basedOn w:val="DefaultParagraphFont"/>
    <w:link w:val="Heading5"/>
    <w:uiPriority w:val="99"/>
    <w:rsid w:val="000A3AF7"/>
    <w:rPr>
      <w:rFonts w:ascii="Arial" w:eastAsia="Times New Roman" w:hAnsi="Arial" w:cs="Arial"/>
      <w:kern w:val="0"/>
      <w:szCs w:val="20"/>
      <w:u w:val="single"/>
      <w14:ligatures w14:val="none"/>
    </w:rPr>
  </w:style>
  <w:style w:type="character" w:customStyle="1" w:styleId="Heading6Char">
    <w:name w:val="Heading 6 Char"/>
    <w:basedOn w:val="DefaultParagraphFont"/>
    <w:link w:val="Heading6"/>
    <w:uiPriority w:val="99"/>
    <w:semiHidden/>
    <w:rsid w:val="00665B8E"/>
    <w:rPr>
      <w:rFonts w:eastAsiaTheme="majorEastAsia" w:cstheme="majorBidi"/>
      <w:i/>
      <w:iCs/>
      <w:color w:val="595959" w:themeColor="text1" w:themeTint="A6"/>
      <w:sz w:val="22"/>
    </w:rPr>
  </w:style>
  <w:style w:type="character" w:customStyle="1" w:styleId="Heading7Char">
    <w:name w:val="Heading 7 Char"/>
    <w:basedOn w:val="DefaultParagraphFont"/>
    <w:link w:val="Heading7"/>
    <w:uiPriority w:val="99"/>
    <w:rsid w:val="00665B8E"/>
    <w:rPr>
      <w:rFonts w:eastAsiaTheme="majorEastAsia" w:cstheme="majorBidi"/>
      <w:color w:val="595959" w:themeColor="text1" w:themeTint="A6"/>
      <w:sz w:val="22"/>
    </w:rPr>
  </w:style>
  <w:style w:type="character" w:customStyle="1" w:styleId="Heading8Char">
    <w:name w:val="Heading 8 Char"/>
    <w:basedOn w:val="DefaultParagraphFont"/>
    <w:link w:val="Heading8"/>
    <w:uiPriority w:val="99"/>
    <w:rsid w:val="00665B8E"/>
    <w:rPr>
      <w:rFonts w:eastAsiaTheme="majorEastAsia" w:cstheme="majorBidi"/>
      <w:i/>
      <w:iCs/>
      <w:color w:val="272727" w:themeColor="text1" w:themeTint="D8"/>
      <w:sz w:val="22"/>
    </w:rPr>
  </w:style>
  <w:style w:type="character" w:customStyle="1" w:styleId="Heading9Char">
    <w:name w:val="Heading 9 Char"/>
    <w:basedOn w:val="DefaultParagraphFont"/>
    <w:link w:val="Heading9"/>
    <w:uiPriority w:val="99"/>
    <w:semiHidden/>
    <w:rsid w:val="00665B8E"/>
    <w:rPr>
      <w:rFonts w:eastAsiaTheme="majorEastAsia" w:cstheme="majorBidi"/>
      <w:color w:val="272727" w:themeColor="text1" w:themeTint="D8"/>
      <w:sz w:val="22"/>
    </w:rPr>
  </w:style>
  <w:style w:type="paragraph" w:styleId="Title">
    <w:name w:val="Title"/>
    <w:basedOn w:val="Normal"/>
    <w:next w:val="Normal"/>
    <w:link w:val="TitleChar"/>
    <w:uiPriority w:val="99"/>
    <w:qFormat/>
    <w:rsid w:val="008F420B"/>
    <w:pPr>
      <w:spacing w:after="80"/>
      <w:contextualSpacing/>
    </w:pPr>
    <w:rPr>
      <w:rFonts w:eastAsiaTheme="majorEastAsia" w:cstheme="majorBidi"/>
      <w:b/>
      <w:spacing w:val="-10"/>
      <w:kern w:val="28"/>
      <w:sz w:val="28"/>
      <w:szCs w:val="56"/>
    </w:rPr>
  </w:style>
  <w:style w:type="character" w:customStyle="1" w:styleId="TitleChar">
    <w:name w:val="Title Char"/>
    <w:basedOn w:val="DefaultParagraphFont"/>
    <w:link w:val="Title"/>
    <w:uiPriority w:val="99"/>
    <w:rsid w:val="008F420B"/>
    <w:rPr>
      <w:rFonts w:ascii="Arial" w:eastAsiaTheme="majorEastAsia" w:hAnsi="Arial" w:cstheme="majorBidi"/>
      <w:b/>
      <w:spacing w:val="-10"/>
      <w:kern w:val="28"/>
      <w:sz w:val="28"/>
      <w:szCs w:val="56"/>
      <w14:ligatures w14:val="none"/>
    </w:rPr>
  </w:style>
  <w:style w:type="paragraph" w:styleId="Subtitle">
    <w:name w:val="Subtitle"/>
    <w:basedOn w:val="Normal"/>
    <w:next w:val="Normal"/>
    <w:link w:val="SubtitleChar"/>
    <w:uiPriority w:val="99"/>
    <w:qFormat/>
    <w:rsid w:val="008F420B"/>
    <w:pPr>
      <w:numPr>
        <w:ilvl w:val="1"/>
      </w:numPr>
      <w:spacing w:after="160"/>
    </w:pPr>
    <w:rPr>
      <w:rFonts w:eastAsiaTheme="majorEastAsia" w:cstheme="majorBidi"/>
      <w:spacing w:val="15"/>
      <w:sz w:val="40"/>
      <w:szCs w:val="28"/>
    </w:rPr>
  </w:style>
  <w:style w:type="character" w:customStyle="1" w:styleId="SubtitleChar">
    <w:name w:val="Subtitle Char"/>
    <w:basedOn w:val="DefaultParagraphFont"/>
    <w:link w:val="Subtitle"/>
    <w:uiPriority w:val="99"/>
    <w:rsid w:val="008F420B"/>
    <w:rPr>
      <w:rFonts w:ascii="Arial" w:eastAsiaTheme="majorEastAsia" w:hAnsi="Arial" w:cstheme="majorBidi"/>
      <w:spacing w:val="15"/>
      <w:kern w:val="0"/>
      <w:sz w:val="40"/>
      <w:szCs w:val="28"/>
      <w14:ligatures w14:val="none"/>
    </w:rPr>
  </w:style>
  <w:style w:type="paragraph" w:styleId="ListBullet3">
    <w:name w:val="List Bullet 3"/>
    <w:basedOn w:val="Normal"/>
    <w:uiPriority w:val="99"/>
    <w:unhideWhenUsed/>
    <w:rsid w:val="000A3AF7"/>
    <w:pPr>
      <w:numPr>
        <w:numId w:val="23"/>
      </w:numPr>
      <w:ind w:left="720"/>
    </w:pPr>
  </w:style>
  <w:style w:type="paragraph" w:styleId="ListNumber">
    <w:name w:val="List Number"/>
    <w:basedOn w:val="Normal"/>
    <w:uiPriority w:val="99"/>
    <w:unhideWhenUsed/>
    <w:rsid w:val="00C97F24"/>
    <w:pPr>
      <w:numPr>
        <w:numId w:val="31"/>
      </w:numPr>
    </w:pPr>
  </w:style>
  <w:style w:type="paragraph" w:styleId="ListParagraph">
    <w:name w:val="List Paragraph"/>
    <w:basedOn w:val="Normal"/>
    <w:link w:val="ListParagraphChar"/>
    <w:uiPriority w:val="34"/>
    <w:qFormat/>
    <w:rsid w:val="00665B8E"/>
    <w:pPr>
      <w:ind w:left="720"/>
      <w:contextualSpacing/>
    </w:pPr>
  </w:style>
  <w:style w:type="paragraph" w:styleId="ListBullet4">
    <w:name w:val="List Bullet 4"/>
    <w:basedOn w:val="Normal"/>
    <w:uiPriority w:val="99"/>
    <w:unhideWhenUsed/>
    <w:rsid w:val="000A3AF7"/>
    <w:pPr>
      <w:numPr>
        <w:numId w:val="27"/>
      </w:numPr>
    </w:pPr>
  </w:style>
  <w:style w:type="paragraph" w:styleId="Header">
    <w:name w:val="header"/>
    <w:basedOn w:val="Normal"/>
    <w:link w:val="HeaderChar"/>
    <w:uiPriority w:val="99"/>
    <w:rsid w:val="00665B8E"/>
    <w:pPr>
      <w:tabs>
        <w:tab w:val="center" w:pos="4320"/>
        <w:tab w:val="right" w:pos="8640"/>
      </w:tabs>
    </w:pPr>
    <w:rPr>
      <w:rFonts w:cs="Times New Roman"/>
    </w:rPr>
  </w:style>
  <w:style w:type="character" w:customStyle="1" w:styleId="HeaderChar">
    <w:name w:val="Header Char"/>
    <w:basedOn w:val="DefaultParagraphFont"/>
    <w:link w:val="Header"/>
    <w:uiPriority w:val="99"/>
    <w:rsid w:val="00665B8E"/>
    <w:rPr>
      <w:rFonts w:ascii="Arial" w:eastAsia="Times New Roman" w:hAnsi="Arial" w:cs="Times New Roman"/>
      <w:kern w:val="0"/>
      <w:szCs w:val="20"/>
      <w14:ligatures w14:val="none"/>
    </w:rPr>
  </w:style>
  <w:style w:type="paragraph" w:styleId="Footer">
    <w:name w:val="footer"/>
    <w:basedOn w:val="Normal"/>
    <w:link w:val="FooterChar"/>
    <w:uiPriority w:val="99"/>
    <w:rsid w:val="008F420B"/>
    <w:pPr>
      <w:tabs>
        <w:tab w:val="left" w:pos="0"/>
        <w:tab w:val="center" w:pos="4680"/>
        <w:tab w:val="right" w:pos="9360"/>
      </w:tabs>
    </w:pPr>
    <w:rPr>
      <w:sz w:val="20"/>
      <w:szCs w:val="16"/>
    </w:rPr>
  </w:style>
  <w:style w:type="character" w:customStyle="1" w:styleId="FooterChar">
    <w:name w:val="Footer Char"/>
    <w:basedOn w:val="DefaultParagraphFont"/>
    <w:link w:val="Footer"/>
    <w:uiPriority w:val="99"/>
    <w:rsid w:val="008F420B"/>
    <w:rPr>
      <w:rFonts w:ascii="Arial" w:eastAsia="Times New Roman" w:hAnsi="Arial" w:cs="Arial"/>
      <w:kern w:val="0"/>
      <w:sz w:val="20"/>
      <w:szCs w:val="16"/>
      <w14:ligatures w14:val="none"/>
    </w:rPr>
  </w:style>
  <w:style w:type="character" w:styleId="PageNumber">
    <w:name w:val="page number"/>
    <w:basedOn w:val="DefaultParagraphFont"/>
    <w:uiPriority w:val="99"/>
    <w:rsid w:val="00665B8E"/>
    <w:rPr>
      <w:rFonts w:cs="Times New Roman"/>
    </w:rPr>
  </w:style>
  <w:style w:type="paragraph" w:styleId="MacroText">
    <w:name w:val="macro"/>
    <w:link w:val="MacroTextChar"/>
    <w:uiPriority w:val="99"/>
    <w:semiHidden/>
    <w:rsid w:val="00665B8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Arial"/>
      <w:kern w:val="0"/>
      <w:szCs w:val="20"/>
      <w14:ligatures w14:val="none"/>
    </w:rPr>
  </w:style>
  <w:style w:type="character" w:customStyle="1" w:styleId="MacroTextChar">
    <w:name w:val="Macro Text Char"/>
    <w:basedOn w:val="DefaultParagraphFont"/>
    <w:link w:val="MacroText"/>
    <w:uiPriority w:val="99"/>
    <w:semiHidden/>
    <w:rsid w:val="00665B8E"/>
    <w:rPr>
      <w:rFonts w:ascii="Courier New" w:eastAsia="Times New Roman" w:hAnsi="Courier New" w:cs="Arial"/>
      <w:kern w:val="0"/>
      <w:szCs w:val="20"/>
      <w14:ligatures w14:val="none"/>
    </w:rPr>
  </w:style>
  <w:style w:type="paragraph" w:styleId="TOC2">
    <w:name w:val="toc 2"/>
    <w:basedOn w:val="Normal"/>
    <w:next w:val="Normal"/>
    <w:autoRedefine/>
    <w:uiPriority w:val="39"/>
    <w:qFormat/>
    <w:rsid w:val="0078061F"/>
    <w:pPr>
      <w:tabs>
        <w:tab w:val="left" w:pos="660"/>
        <w:tab w:val="right" w:leader="dot" w:pos="9350"/>
      </w:tabs>
      <w:spacing w:after="0"/>
      <w:ind w:left="220"/>
    </w:pPr>
    <w:rPr>
      <w:smallCaps/>
      <w:noProof/>
      <w:szCs w:val="22"/>
    </w:rPr>
  </w:style>
  <w:style w:type="paragraph" w:styleId="TOC1">
    <w:name w:val="toc 1"/>
    <w:basedOn w:val="Normal"/>
    <w:next w:val="Normal"/>
    <w:autoRedefine/>
    <w:uiPriority w:val="39"/>
    <w:qFormat/>
    <w:rsid w:val="0078061F"/>
    <w:pPr>
      <w:tabs>
        <w:tab w:val="left" w:pos="440"/>
        <w:tab w:val="right" w:leader="dot" w:pos="9350"/>
      </w:tabs>
      <w:spacing w:before="120"/>
    </w:pPr>
    <w:rPr>
      <w:b/>
      <w:bCs/>
      <w:caps/>
      <w:noProof/>
      <w:szCs w:val="22"/>
    </w:rPr>
  </w:style>
  <w:style w:type="paragraph" w:styleId="TOC3">
    <w:name w:val="toc 3"/>
    <w:basedOn w:val="Normal"/>
    <w:next w:val="Normal"/>
    <w:autoRedefine/>
    <w:uiPriority w:val="39"/>
    <w:qFormat/>
    <w:rsid w:val="00665B8E"/>
    <w:pPr>
      <w:spacing w:after="0"/>
      <w:ind w:left="440"/>
    </w:pPr>
    <w:rPr>
      <w:rFonts w:ascii="Calibri" w:hAnsi="Calibri"/>
      <w:i/>
      <w:iCs/>
      <w:sz w:val="20"/>
    </w:rPr>
  </w:style>
  <w:style w:type="paragraph" w:styleId="TOC4">
    <w:name w:val="toc 4"/>
    <w:basedOn w:val="Normal"/>
    <w:next w:val="Normal"/>
    <w:autoRedefine/>
    <w:uiPriority w:val="39"/>
    <w:rsid w:val="00665B8E"/>
    <w:pPr>
      <w:spacing w:after="0"/>
      <w:ind w:left="660"/>
    </w:pPr>
    <w:rPr>
      <w:rFonts w:ascii="Calibri" w:hAnsi="Calibri"/>
      <w:sz w:val="18"/>
      <w:szCs w:val="18"/>
    </w:rPr>
  </w:style>
  <w:style w:type="paragraph" w:styleId="TOC5">
    <w:name w:val="toc 5"/>
    <w:basedOn w:val="Normal"/>
    <w:next w:val="Normal"/>
    <w:autoRedefine/>
    <w:uiPriority w:val="99"/>
    <w:rsid w:val="00665B8E"/>
    <w:pPr>
      <w:spacing w:after="0"/>
      <w:ind w:left="880"/>
    </w:pPr>
    <w:rPr>
      <w:rFonts w:ascii="Calibri" w:hAnsi="Calibri"/>
      <w:sz w:val="18"/>
      <w:szCs w:val="18"/>
    </w:rPr>
  </w:style>
  <w:style w:type="paragraph" w:styleId="TOC6">
    <w:name w:val="toc 6"/>
    <w:basedOn w:val="Normal"/>
    <w:next w:val="Normal"/>
    <w:autoRedefine/>
    <w:uiPriority w:val="99"/>
    <w:rsid w:val="00665B8E"/>
    <w:pPr>
      <w:spacing w:after="0"/>
      <w:ind w:left="1100"/>
    </w:pPr>
    <w:rPr>
      <w:rFonts w:ascii="Calibri" w:hAnsi="Calibri"/>
      <w:sz w:val="18"/>
      <w:szCs w:val="18"/>
    </w:rPr>
  </w:style>
  <w:style w:type="paragraph" w:styleId="TOC7">
    <w:name w:val="toc 7"/>
    <w:basedOn w:val="Normal"/>
    <w:next w:val="Normal"/>
    <w:autoRedefine/>
    <w:uiPriority w:val="99"/>
    <w:rsid w:val="00665B8E"/>
    <w:pPr>
      <w:spacing w:after="0"/>
      <w:ind w:left="1320"/>
    </w:pPr>
    <w:rPr>
      <w:rFonts w:ascii="Calibri" w:hAnsi="Calibri"/>
      <w:sz w:val="18"/>
      <w:szCs w:val="18"/>
    </w:rPr>
  </w:style>
  <w:style w:type="paragraph" w:styleId="TOC8">
    <w:name w:val="toc 8"/>
    <w:basedOn w:val="Normal"/>
    <w:next w:val="Normal"/>
    <w:autoRedefine/>
    <w:uiPriority w:val="99"/>
    <w:rsid w:val="00665B8E"/>
    <w:pPr>
      <w:spacing w:after="0"/>
      <w:ind w:left="1540"/>
    </w:pPr>
    <w:rPr>
      <w:rFonts w:ascii="Calibri" w:hAnsi="Calibri"/>
      <w:sz w:val="18"/>
      <w:szCs w:val="18"/>
    </w:rPr>
  </w:style>
  <w:style w:type="paragraph" w:styleId="TOC9">
    <w:name w:val="toc 9"/>
    <w:basedOn w:val="Normal"/>
    <w:next w:val="Normal"/>
    <w:autoRedefine/>
    <w:uiPriority w:val="99"/>
    <w:rsid w:val="00665B8E"/>
    <w:pPr>
      <w:spacing w:after="0"/>
      <w:ind w:left="1760"/>
    </w:pPr>
    <w:rPr>
      <w:rFonts w:ascii="Calibri" w:hAnsi="Calibri"/>
      <w:sz w:val="18"/>
      <w:szCs w:val="18"/>
    </w:rPr>
  </w:style>
  <w:style w:type="paragraph" w:customStyle="1" w:styleId="TableHeaderText">
    <w:name w:val="Table Header Text"/>
    <w:basedOn w:val="TableText"/>
    <w:uiPriority w:val="99"/>
    <w:rsid w:val="00665B8E"/>
    <w:pPr>
      <w:jc w:val="center"/>
    </w:pPr>
    <w:rPr>
      <w:b/>
    </w:rPr>
  </w:style>
  <w:style w:type="paragraph" w:customStyle="1" w:styleId="TableText">
    <w:name w:val="Table Text"/>
    <w:basedOn w:val="Normal"/>
    <w:uiPriority w:val="99"/>
    <w:rsid w:val="00665B8E"/>
  </w:style>
  <w:style w:type="character" w:styleId="CommentReference">
    <w:name w:val="annotation reference"/>
    <w:basedOn w:val="DefaultParagraphFont"/>
    <w:uiPriority w:val="99"/>
    <w:semiHidden/>
    <w:rsid w:val="00665B8E"/>
    <w:rPr>
      <w:rFonts w:cs="Times New Roman"/>
      <w:sz w:val="16"/>
    </w:rPr>
  </w:style>
  <w:style w:type="character" w:styleId="Hyperlink">
    <w:name w:val="Hyperlink"/>
    <w:basedOn w:val="DefaultParagraphFont"/>
    <w:uiPriority w:val="99"/>
    <w:rsid w:val="00665B8E"/>
    <w:rPr>
      <w:rFonts w:cs="Times New Roman"/>
      <w:color w:val="0000FF"/>
      <w:u w:val="single"/>
    </w:rPr>
  </w:style>
  <w:style w:type="paragraph" w:customStyle="1" w:styleId="NoteText">
    <w:name w:val="Note Text"/>
    <w:basedOn w:val="Normal"/>
    <w:uiPriority w:val="99"/>
    <w:rsid w:val="008F420B"/>
  </w:style>
  <w:style w:type="paragraph" w:styleId="DocumentMap">
    <w:name w:val="Document Map"/>
    <w:basedOn w:val="Normal"/>
    <w:link w:val="DocumentMapChar"/>
    <w:uiPriority w:val="99"/>
    <w:semiHidden/>
    <w:rsid w:val="00665B8E"/>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665B8E"/>
    <w:rPr>
      <w:rFonts w:ascii="Tahoma" w:eastAsia="Times New Roman" w:hAnsi="Tahoma" w:cs="Arial"/>
      <w:kern w:val="0"/>
      <w:sz w:val="22"/>
      <w:szCs w:val="20"/>
      <w:shd w:val="clear" w:color="auto" w:fill="000080"/>
      <w14:ligatures w14:val="none"/>
    </w:rPr>
  </w:style>
  <w:style w:type="paragraph" w:styleId="CommentText">
    <w:name w:val="annotation text"/>
    <w:basedOn w:val="Normal"/>
    <w:link w:val="CommentTextChar"/>
    <w:uiPriority w:val="99"/>
    <w:rsid w:val="00665B8E"/>
    <w:rPr>
      <w:sz w:val="20"/>
    </w:rPr>
  </w:style>
  <w:style w:type="character" w:customStyle="1" w:styleId="CommentTextChar">
    <w:name w:val="Comment Text Char"/>
    <w:basedOn w:val="DefaultParagraphFont"/>
    <w:link w:val="CommentText"/>
    <w:uiPriority w:val="99"/>
    <w:rsid w:val="00665B8E"/>
    <w:rPr>
      <w:rFonts w:ascii="Arial" w:eastAsia="Times New Roman" w:hAnsi="Arial" w:cs="Arial"/>
      <w:kern w:val="0"/>
      <w:sz w:val="20"/>
      <w:szCs w:val="20"/>
      <w14:ligatures w14:val="none"/>
    </w:rPr>
  </w:style>
  <w:style w:type="paragraph" w:styleId="FootnoteText">
    <w:name w:val="footnote text"/>
    <w:aliases w:val="Char1,Footnote Text1 Char,Footnote Text Char Ch,Footnote Text Char2 Char,Footnote Text Char1 Char Char,Footnote Text Char Char Char Char,Footnote Text Char2 Char Char Char Char,Footnote Text Char1 Char1 Char1 Char Char Char,TBG Style,Char"/>
    <w:basedOn w:val="Normal"/>
    <w:link w:val="FootnoteTextChar"/>
    <w:uiPriority w:val="99"/>
    <w:qFormat/>
    <w:rsid w:val="00420E06"/>
    <w:pPr>
      <w:jc w:val="left"/>
    </w:pPr>
    <w:rPr>
      <w:sz w:val="20"/>
    </w:rPr>
  </w:style>
  <w:style w:type="character" w:customStyle="1" w:styleId="FootnoteTextChar">
    <w:name w:val="Footnote Text Char"/>
    <w:aliases w:val="Char1 Char,Footnote Text1 Char Char,Footnote Text Char Ch Char,Footnote Text Char2 Char Char,Footnote Text Char1 Char Char Char,Footnote Text Char Char Char Char Char,Footnote Text Char2 Char Char Char Char Char,TBG Style Char"/>
    <w:basedOn w:val="DefaultParagraphFont"/>
    <w:link w:val="FootnoteText"/>
    <w:uiPriority w:val="99"/>
    <w:rsid w:val="00420E06"/>
    <w:rPr>
      <w:rFonts w:ascii="Arial" w:eastAsia="Times New Roman" w:hAnsi="Arial" w:cs="Arial"/>
      <w:kern w:val="0"/>
      <w:sz w:val="20"/>
      <w:szCs w:val="20"/>
      <w14:ligatures w14:val="none"/>
    </w:rPr>
  </w:style>
  <w:style w:type="character" w:styleId="FootnoteReference">
    <w:name w:val="footnote reference"/>
    <w:aliases w:val="0 PIER Footnote Reference,o,fr,Style 3,o1,o2,o3,o4,o5,o6,o11,o21,o7,o + Times New Roman"/>
    <w:basedOn w:val="DefaultParagraphFont"/>
    <w:uiPriority w:val="99"/>
    <w:qFormat/>
    <w:rsid w:val="00665B8E"/>
    <w:rPr>
      <w:rFonts w:cs="Times New Roman"/>
      <w:vertAlign w:val="superscript"/>
    </w:rPr>
  </w:style>
  <w:style w:type="paragraph" w:styleId="NormalWeb">
    <w:name w:val="Normal (Web)"/>
    <w:basedOn w:val="Normal"/>
    <w:link w:val="NormalWebChar"/>
    <w:uiPriority w:val="99"/>
    <w:rsid w:val="00665B8E"/>
    <w:pPr>
      <w:spacing w:before="100" w:beforeAutospacing="1" w:after="100" w:afterAutospacing="1"/>
    </w:pPr>
    <w:rPr>
      <w:rFonts w:cs="Times New Roman"/>
    </w:rPr>
  </w:style>
  <w:style w:type="paragraph" w:styleId="BalloonText">
    <w:name w:val="Balloon Text"/>
    <w:basedOn w:val="Normal"/>
    <w:link w:val="BalloonTextChar"/>
    <w:uiPriority w:val="99"/>
    <w:semiHidden/>
    <w:rsid w:val="00665B8E"/>
    <w:rPr>
      <w:rFonts w:ascii="Tahoma" w:hAnsi="Tahoma" w:cs="Tahoma"/>
      <w:sz w:val="16"/>
      <w:szCs w:val="16"/>
    </w:rPr>
  </w:style>
  <w:style w:type="character" w:customStyle="1" w:styleId="BalloonTextChar">
    <w:name w:val="Balloon Text Char"/>
    <w:basedOn w:val="DefaultParagraphFont"/>
    <w:link w:val="BalloonText"/>
    <w:uiPriority w:val="99"/>
    <w:semiHidden/>
    <w:rsid w:val="00665B8E"/>
    <w:rPr>
      <w:rFonts w:ascii="Tahoma" w:eastAsia="Times New Roman" w:hAnsi="Tahoma" w:cs="Tahoma"/>
      <w:kern w:val="0"/>
      <w:sz w:val="16"/>
      <w:szCs w:val="16"/>
      <w14:ligatures w14:val="none"/>
    </w:rPr>
  </w:style>
  <w:style w:type="table" w:styleId="TableGrid">
    <w:name w:val="Table Grid"/>
    <w:basedOn w:val="TableNormal"/>
    <w:uiPriority w:val="59"/>
    <w:rsid w:val="00665B8E"/>
    <w:pPr>
      <w:spacing w:after="0" w:line="240" w:lineRule="auto"/>
    </w:pPr>
    <w:rPr>
      <w:rFonts w:ascii="Arial" w:eastAsia="Times New Roman" w:hAnsi="Arial"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rsid w:val="00665B8E"/>
    <w:rPr>
      <w:rFonts w:cs="Times New Roman"/>
      <w:color w:val="800080"/>
      <w:u w:val="single"/>
    </w:rPr>
  </w:style>
  <w:style w:type="paragraph" w:styleId="ListBullet">
    <w:name w:val="List Bullet"/>
    <w:basedOn w:val="Normal"/>
    <w:uiPriority w:val="99"/>
    <w:rsid w:val="008F420B"/>
    <w:pPr>
      <w:numPr>
        <w:numId w:val="21"/>
      </w:numPr>
      <w:spacing w:before="120"/>
    </w:pPr>
  </w:style>
  <w:style w:type="paragraph" w:styleId="TOCHeading">
    <w:name w:val="TOC Heading"/>
    <w:basedOn w:val="Heading1"/>
    <w:next w:val="Normal"/>
    <w:uiPriority w:val="39"/>
    <w:qFormat/>
    <w:rsid w:val="00665B8E"/>
    <w:pPr>
      <w:keepNext w:val="0"/>
      <w:widowControl w:val="0"/>
      <w:spacing w:before="480" w:after="0" w:line="276" w:lineRule="auto"/>
      <w:outlineLvl w:val="9"/>
    </w:pPr>
    <w:rPr>
      <w:rFonts w:ascii="Cambria" w:eastAsia="Times New Roman" w:hAnsi="Cambria" w:cs="Times New Roman"/>
      <w:b/>
      <w:bCs/>
      <w:color w:val="365F91"/>
      <w:sz w:val="28"/>
      <w:szCs w:val="28"/>
    </w:rPr>
  </w:style>
  <w:style w:type="paragraph" w:customStyle="1" w:styleId="StyleHeading2Heading2Char1Heading2CharCharAfter3pt">
    <w:name w:val="Style Heading 2Heading 2 Char1Heading 2 Char Char + After:  3 pt"/>
    <w:basedOn w:val="Heading2"/>
    <w:uiPriority w:val="99"/>
    <w:rsid w:val="00665B8E"/>
    <w:pPr>
      <w:keepNext w:val="0"/>
      <w:widowControl w:val="0"/>
      <w:spacing w:before="0" w:after="120"/>
      <w:ind w:right="-216"/>
    </w:pPr>
    <w:rPr>
      <w:rFonts w:eastAsia="Times New Roman" w:cs="Arial"/>
      <w:b w:val="0"/>
      <w:bCs/>
      <w:szCs w:val="40"/>
    </w:rPr>
  </w:style>
  <w:style w:type="paragraph" w:customStyle="1" w:styleId="StyleHeading2Heading2Char1Heading2CharCharAfter3pt1">
    <w:name w:val="Style Heading 2Heading 2 Char1Heading 2 Char Char + After:  3 pt1"/>
    <w:basedOn w:val="Heading2"/>
    <w:uiPriority w:val="99"/>
    <w:rsid w:val="00665B8E"/>
    <w:pPr>
      <w:keepNext w:val="0"/>
      <w:widowControl w:val="0"/>
      <w:spacing w:before="0" w:after="120"/>
      <w:ind w:right="-216"/>
    </w:pPr>
    <w:rPr>
      <w:rFonts w:eastAsia="Times New Roman" w:cs="Arial"/>
      <w:b w:val="0"/>
      <w:bCs/>
      <w:szCs w:val="40"/>
    </w:rPr>
  </w:style>
  <w:style w:type="paragraph" w:styleId="CommentSubject">
    <w:name w:val="annotation subject"/>
    <w:basedOn w:val="CommentText"/>
    <w:next w:val="CommentText"/>
    <w:link w:val="CommentSubjectChar"/>
    <w:uiPriority w:val="99"/>
    <w:semiHidden/>
    <w:rsid w:val="00665B8E"/>
    <w:rPr>
      <w:rFonts w:cs="Times New Roman"/>
      <w:b/>
      <w:bCs/>
    </w:rPr>
  </w:style>
  <w:style w:type="character" w:customStyle="1" w:styleId="CommentSubjectChar">
    <w:name w:val="Comment Subject Char"/>
    <w:basedOn w:val="CommentTextChar"/>
    <w:link w:val="CommentSubject"/>
    <w:uiPriority w:val="99"/>
    <w:semiHidden/>
    <w:rsid w:val="00665B8E"/>
    <w:rPr>
      <w:rFonts w:ascii="Arial" w:eastAsia="Times New Roman" w:hAnsi="Arial" w:cs="Times New Roman"/>
      <w:b/>
      <w:bCs/>
      <w:kern w:val="0"/>
      <w:sz w:val="20"/>
      <w:szCs w:val="20"/>
      <w14:ligatures w14:val="none"/>
    </w:rPr>
  </w:style>
  <w:style w:type="character" w:customStyle="1" w:styleId="NormalWebChar">
    <w:name w:val="Normal (Web) Char"/>
    <w:link w:val="NormalWeb"/>
    <w:uiPriority w:val="99"/>
    <w:locked/>
    <w:rsid w:val="00665B8E"/>
    <w:rPr>
      <w:rFonts w:ascii="Arial" w:eastAsia="Times New Roman" w:hAnsi="Arial" w:cs="Times New Roman"/>
      <w:kern w:val="0"/>
      <w:szCs w:val="20"/>
      <w14:ligatures w14:val="none"/>
    </w:rPr>
  </w:style>
  <w:style w:type="paragraph" w:styleId="ListBullet2">
    <w:name w:val="List Bullet 2"/>
    <w:basedOn w:val="Normal"/>
    <w:uiPriority w:val="99"/>
    <w:semiHidden/>
    <w:rsid w:val="008F420B"/>
    <w:pPr>
      <w:numPr>
        <w:numId w:val="5"/>
      </w:numPr>
    </w:pPr>
  </w:style>
  <w:style w:type="paragraph" w:styleId="Revision">
    <w:name w:val="Revision"/>
    <w:hidden/>
    <w:uiPriority w:val="99"/>
    <w:semiHidden/>
    <w:rsid w:val="00665B8E"/>
    <w:pPr>
      <w:spacing w:after="0" w:line="240" w:lineRule="auto"/>
    </w:pPr>
    <w:rPr>
      <w:rFonts w:ascii="Arial" w:eastAsia="Times New Roman" w:hAnsi="Arial" w:cs="Arial"/>
      <w:kern w:val="0"/>
      <w:sz w:val="22"/>
      <w:szCs w:val="20"/>
      <w14:ligatures w14:val="none"/>
    </w:rPr>
  </w:style>
  <w:style w:type="numbering" w:customStyle="1" w:styleId="StyleNumbered11ptLeft025Hanging05">
    <w:name w:val="Style Numbered 11 pt Left:  0.25&quot; Hanging:  0.5&quot;"/>
    <w:rsid w:val="00665B8E"/>
    <w:pPr>
      <w:numPr>
        <w:numId w:val="1"/>
      </w:numPr>
    </w:pPr>
  </w:style>
  <w:style w:type="numbering" w:customStyle="1" w:styleId="RFP2">
    <w:name w:val="RFP2"/>
    <w:rsid w:val="00665B8E"/>
    <w:pPr>
      <w:numPr>
        <w:numId w:val="4"/>
      </w:numPr>
    </w:pPr>
  </w:style>
  <w:style w:type="numbering" w:customStyle="1" w:styleId="RFP">
    <w:name w:val="RFP"/>
    <w:rsid w:val="00665B8E"/>
    <w:pPr>
      <w:numPr>
        <w:numId w:val="3"/>
      </w:numPr>
    </w:pPr>
  </w:style>
  <w:style w:type="numbering" w:customStyle="1" w:styleId="StyleNumberedLeft25Hanging075">
    <w:name w:val="Style Numbered Left: .25&quot; Hanging:  0.75&quot;"/>
    <w:rsid w:val="00665B8E"/>
    <w:pPr>
      <w:numPr>
        <w:numId w:val="2"/>
      </w:numPr>
    </w:pPr>
  </w:style>
  <w:style w:type="table" w:customStyle="1" w:styleId="TableGrid1">
    <w:name w:val="Table Grid1"/>
    <w:basedOn w:val="TableNormal"/>
    <w:next w:val="TableGrid"/>
    <w:uiPriority w:val="59"/>
    <w:rsid w:val="00665B8E"/>
    <w:pPr>
      <w:spacing w:after="0" w:line="240" w:lineRule="auto"/>
    </w:pPr>
    <w:rPr>
      <w:rFonts w:ascii="Arial" w:eastAsia="Times New Roman" w:hAnsi="Arial"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
    <w:name w:val="List Table 3"/>
    <w:basedOn w:val="TableNormal"/>
    <w:uiPriority w:val="48"/>
    <w:rsid w:val="00665B8E"/>
    <w:pPr>
      <w:spacing w:after="0" w:line="240" w:lineRule="auto"/>
    </w:pPr>
    <w:rPr>
      <w:rFonts w:ascii="Arial" w:eastAsia="Times New Roman" w:hAnsi="Arial" w:cs="Arial"/>
      <w:kern w:val="0"/>
      <w:sz w:val="20"/>
      <w:szCs w:val="20"/>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auto"/>
      </w:rPr>
      <w:tblPr/>
      <w:tcPr>
        <w:shd w:val="clear" w:color="auto" w:fill="A6A6A6" w:themeFill="background1" w:themeFillShade="A6"/>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1">
    <w:name w:val="List Table 31"/>
    <w:basedOn w:val="TableNormal"/>
    <w:next w:val="ListTable3"/>
    <w:uiPriority w:val="48"/>
    <w:rsid w:val="00665B8E"/>
    <w:pPr>
      <w:spacing w:after="0" w:line="240" w:lineRule="auto"/>
    </w:pPr>
    <w:rPr>
      <w:rFonts w:ascii="Arial" w:eastAsia="Times New Roman" w:hAnsi="Arial" w:cs="Arial"/>
      <w:kern w:val="0"/>
      <w:sz w:val="20"/>
      <w:szCs w:val="2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pPr>
        <w:jc w:val="left"/>
      </w:pPr>
      <w:rPr>
        <w:b/>
        <w:bCs/>
        <w:color w:val="auto"/>
      </w:rPr>
      <w:tblPr/>
      <w:tcPr>
        <w:shd w:val="clear" w:color="auto" w:fill="BFBFBF"/>
        <w:vAlign w:val="center"/>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2">
    <w:name w:val="List Table 32"/>
    <w:basedOn w:val="TableNormal"/>
    <w:next w:val="ListTable3"/>
    <w:uiPriority w:val="48"/>
    <w:rsid w:val="00665B8E"/>
    <w:pPr>
      <w:spacing w:after="0" w:line="240" w:lineRule="auto"/>
    </w:pPr>
    <w:rPr>
      <w:rFonts w:ascii="Arial" w:eastAsia="Times New Roman" w:hAnsi="Arial" w:cs="Arial"/>
      <w:kern w:val="0"/>
      <w:sz w:val="20"/>
      <w:szCs w:val="2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pPr>
        <w:jc w:val="left"/>
      </w:pPr>
      <w:rPr>
        <w:b/>
        <w:bCs/>
        <w:color w:val="auto"/>
      </w:rPr>
      <w:tblPr/>
      <w:tcPr>
        <w:shd w:val="clear" w:color="auto" w:fill="BFBFBF"/>
        <w:vAlign w:val="center"/>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eGrid2">
    <w:name w:val="Table Grid2"/>
    <w:basedOn w:val="TableNormal"/>
    <w:next w:val="TableGrid"/>
    <w:uiPriority w:val="59"/>
    <w:rsid w:val="00665B8E"/>
    <w:pPr>
      <w:spacing w:after="0" w:line="240" w:lineRule="auto"/>
    </w:pPr>
    <w:rPr>
      <w:rFonts w:ascii="Arial" w:eastAsia="Times New Roman" w:hAnsi="Arial"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rPr>
      <w:tblPr/>
      <w:tcPr>
        <w:shd w:val="clear" w:color="auto" w:fill="D9D9D9"/>
        <w:vAlign w:val="center"/>
      </w:tcPr>
    </w:tblStylePr>
  </w:style>
  <w:style w:type="table" w:customStyle="1" w:styleId="TableGrid3">
    <w:name w:val="Table Grid3"/>
    <w:basedOn w:val="TableNormal"/>
    <w:next w:val="TableGrid"/>
    <w:uiPriority w:val="59"/>
    <w:rsid w:val="00665B8E"/>
    <w:pPr>
      <w:spacing w:after="0" w:line="240" w:lineRule="auto"/>
    </w:pPr>
    <w:rPr>
      <w:rFonts w:ascii="Arial" w:eastAsia="Times New Roman" w:hAnsi="Arial"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rPr>
      <w:tblPr/>
      <w:tcPr>
        <w:shd w:val="clear" w:color="auto" w:fill="D9D9D9"/>
        <w:vAlign w:val="center"/>
      </w:tcPr>
    </w:tblStylePr>
  </w:style>
  <w:style w:type="character" w:styleId="EndnoteReference">
    <w:name w:val="endnote reference"/>
    <w:basedOn w:val="DefaultParagraphFont"/>
    <w:uiPriority w:val="99"/>
    <w:semiHidden/>
    <w:unhideWhenUsed/>
    <w:rsid w:val="00665B8E"/>
    <w:rPr>
      <w:vertAlign w:val="superscript"/>
    </w:rPr>
  </w:style>
  <w:style w:type="table" w:customStyle="1" w:styleId="ListTable33">
    <w:name w:val="List Table 33"/>
    <w:basedOn w:val="TableNormal"/>
    <w:next w:val="ListTable3"/>
    <w:uiPriority w:val="48"/>
    <w:rsid w:val="00665B8E"/>
    <w:pPr>
      <w:spacing w:after="0" w:line="240" w:lineRule="auto"/>
    </w:pPr>
    <w:rPr>
      <w:rFonts w:ascii="Arial" w:eastAsia="Times New Roman" w:hAnsi="Arial" w:cs="Arial"/>
      <w:kern w:val="0"/>
      <w:sz w:val="20"/>
      <w:szCs w:val="2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pPr>
        <w:jc w:val="left"/>
      </w:pPr>
      <w:rPr>
        <w:b/>
        <w:bCs/>
        <w:color w:val="auto"/>
      </w:rPr>
      <w:tblPr/>
      <w:tcPr>
        <w:shd w:val="clear" w:color="auto" w:fill="BFBFBF"/>
        <w:vAlign w:val="center"/>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21">
    <w:name w:val="List Table 321"/>
    <w:basedOn w:val="TableNormal"/>
    <w:next w:val="ListTable3"/>
    <w:uiPriority w:val="48"/>
    <w:rsid w:val="00665B8E"/>
    <w:pPr>
      <w:spacing w:after="0" w:line="240" w:lineRule="auto"/>
    </w:pPr>
    <w:rPr>
      <w:rFonts w:ascii="Arial" w:eastAsia="Times New Roman" w:hAnsi="Arial" w:cs="Arial"/>
      <w:kern w:val="0"/>
      <w:sz w:val="20"/>
      <w:szCs w:val="2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pPr>
        <w:jc w:val="left"/>
      </w:pPr>
      <w:rPr>
        <w:b/>
        <w:bCs/>
        <w:color w:val="auto"/>
      </w:rPr>
      <w:tblPr/>
      <w:tcPr>
        <w:shd w:val="clear" w:color="auto" w:fill="BFBFBF"/>
        <w:vAlign w:val="center"/>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character" w:styleId="UnresolvedMention">
    <w:name w:val="Unresolved Mention"/>
    <w:basedOn w:val="DefaultParagraphFont"/>
    <w:uiPriority w:val="99"/>
    <w:semiHidden/>
    <w:unhideWhenUsed/>
    <w:rsid w:val="00665B8E"/>
    <w:rPr>
      <w:color w:val="605E5C"/>
      <w:shd w:val="clear" w:color="auto" w:fill="E1DFDD"/>
    </w:rPr>
  </w:style>
  <w:style w:type="character" w:customStyle="1" w:styleId="ListParagraphChar">
    <w:name w:val="List Paragraph Char"/>
    <w:basedOn w:val="DefaultParagraphFont"/>
    <w:link w:val="ListParagraph"/>
    <w:uiPriority w:val="34"/>
    <w:locked/>
    <w:rsid w:val="00665B8E"/>
    <w:rPr>
      <w:rFonts w:ascii="Calibri" w:hAnsi="Calibri" w:cs="Calibri"/>
      <w:sz w:val="22"/>
    </w:rPr>
  </w:style>
  <w:style w:type="table" w:customStyle="1" w:styleId="TableGrid4">
    <w:name w:val="Table Grid4"/>
    <w:basedOn w:val="TableNormal"/>
    <w:next w:val="TableGrid"/>
    <w:uiPriority w:val="59"/>
    <w:rsid w:val="00665B8E"/>
    <w:pPr>
      <w:spacing w:after="0" w:line="240" w:lineRule="auto"/>
    </w:pPr>
    <w:rPr>
      <w:rFonts w:ascii="Arial" w:eastAsia="Times New Roman" w:hAnsi="Arial"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Page-OpportunityType">
    <w:name w:val="Cover Page - Opportunity Type"/>
    <w:basedOn w:val="Heading1"/>
    <w:qFormat/>
    <w:rsid w:val="00665B8E"/>
    <w:pPr>
      <w:keepNext w:val="0"/>
      <w:widowControl w:val="0"/>
      <w:spacing w:before="0" w:after="120"/>
    </w:pPr>
    <w:rPr>
      <w:rFonts w:eastAsia="Times New Roman" w:cs="Arial"/>
      <w:b/>
      <w:szCs w:val="36"/>
    </w:rPr>
  </w:style>
  <w:style w:type="paragraph" w:customStyle="1" w:styleId="CoverPage-ProgramType">
    <w:name w:val="Cover Page - Program Type"/>
    <w:basedOn w:val="Normal"/>
    <w:qFormat/>
    <w:rsid w:val="00665B8E"/>
    <w:pPr>
      <w:keepLines/>
      <w:widowControl w:val="0"/>
      <w:tabs>
        <w:tab w:val="center" w:pos="4680"/>
        <w:tab w:val="left" w:pos="6985"/>
      </w:tabs>
    </w:pPr>
    <w:rPr>
      <w:b/>
      <w:sz w:val="36"/>
      <w:szCs w:val="36"/>
    </w:rPr>
  </w:style>
  <w:style w:type="paragraph" w:customStyle="1" w:styleId="CoverPage-GFONo">
    <w:name w:val="Cover Page - GFO No"/>
    <w:basedOn w:val="Normal"/>
    <w:qFormat/>
    <w:rsid w:val="00665B8E"/>
    <w:pPr>
      <w:keepLines/>
      <w:widowControl w:val="0"/>
      <w:jc w:val="center"/>
    </w:pPr>
    <w:rPr>
      <w:b/>
      <w:szCs w:val="22"/>
    </w:rPr>
  </w:style>
  <w:style w:type="paragraph" w:styleId="ListNumber2">
    <w:name w:val="List Number 2"/>
    <w:basedOn w:val="Normal"/>
    <w:uiPriority w:val="99"/>
    <w:unhideWhenUsed/>
    <w:rsid w:val="00713BD1"/>
    <w:pPr>
      <w:numPr>
        <w:numId w:val="32"/>
      </w:numPr>
      <w:spacing w:before="120"/>
    </w:pPr>
  </w:style>
  <w:style w:type="paragraph" w:styleId="ListNumber3">
    <w:name w:val="List Number 3"/>
    <w:basedOn w:val="Normal"/>
    <w:uiPriority w:val="99"/>
    <w:unhideWhenUsed/>
    <w:rsid w:val="00BE41D5"/>
    <w:pPr>
      <w:numPr>
        <w:numId w:val="33"/>
      </w:numPr>
      <w:contextualSpacing/>
    </w:pPr>
  </w:style>
  <w:style w:type="paragraph" w:styleId="ListBullet5">
    <w:name w:val="List Bullet 5"/>
    <w:basedOn w:val="Normal"/>
    <w:uiPriority w:val="99"/>
    <w:unhideWhenUsed/>
    <w:rsid w:val="000767FE"/>
    <w:pPr>
      <w:numPr>
        <w:numId w:val="34"/>
      </w:numPr>
      <w:contextualSpacing/>
    </w:pPr>
  </w:style>
  <w:style w:type="paragraph" w:styleId="ListNumber4">
    <w:name w:val="List Number 4"/>
    <w:basedOn w:val="Normal"/>
    <w:uiPriority w:val="99"/>
    <w:unhideWhenUsed/>
    <w:rsid w:val="00E06B2E"/>
    <w:pPr>
      <w:numPr>
        <w:numId w:val="37"/>
      </w:numPr>
      <w:contextualSpacing/>
    </w:pPr>
  </w:style>
  <w:style w:type="character" w:styleId="Mention">
    <w:name w:val="Mention"/>
    <w:basedOn w:val="DefaultParagraphFont"/>
    <w:uiPriority w:val="99"/>
    <w:unhideWhenUsed/>
    <w:rsid w:val="006E2712"/>
    <w:rPr>
      <w:color w:val="2B579A"/>
      <w:shd w:val="clear" w:color="auto" w:fill="E6E6E6"/>
    </w:rPr>
  </w:style>
  <w:style w:type="character" w:customStyle="1" w:styleId="normaltextrun">
    <w:name w:val="normaltextrun"/>
    <w:basedOn w:val="DefaultParagraphFont"/>
    <w:rsid w:val="00A002CF"/>
  </w:style>
  <w:style w:type="character" w:customStyle="1" w:styleId="cf01">
    <w:name w:val="cf01"/>
    <w:basedOn w:val="DefaultParagraphFont"/>
    <w:rsid w:val="0038102B"/>
    <w:rPr>
      <w:rFonts w:ascii="Segoe UI" w:hAnsi="Segoe UI" w:cs="Segoe UI" w:hint="default"/>
      <w:b/>
      <w:bCs/>
      <w:sz w:val="18"/>
      <w:szCs w:val="18"/>
    </w:rPr>
  </w:style>
  <w:style w:type="character" w:customStyle="1" w:styleId="cf11">
    <w:name w:val="cf11"/>
    <w:basedOn w:val="DefaultParagraphFont"/>
    <w:rsid w:val="0038102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9"/>
</w:webSettings>
</file>

<file path=word/_rels/document.xml.rels><?xml version="1.0" encoding="UTF-8" standalone="yes"?>
<Relationships xmlns="http://schemas.openxmlformats.org/package/2006/relationships"><Relationship Id="rId26" Type="http://schemas.openxmlformats.org/officeDocument/2006/relationships/hyperlink" Target="https://energy.zoom.us/download" TargetMode="External"/><Relationship Id="rId21" Type="http://schemas.openxmlformats.org/officeDocument/2006/relationships/hyperlink" Target="https://www.hcd.ca.gov/grants-and-funding/income-limits" TargetMode="External"/><Relationship Id="rId34" Type="http://schemas.openxmlformats.org/officeDocument/2006/relationships/hyperlink" Target="https://ww2.arb.ca.gov/our-work/programs/ab-32-climate-change-scoping-plan" TargetMode="External"/><Relationship Id="rId42" Type="http://schemas.openxmlformats.org/officeDocument/2006/relationships/hyperlink" Target="https://leginfo.legislature.ca.gov/faces/billTextClient.xhtml?bill_id=201720180SB100" TargetMode="External"/><Relationship Id="rId47" Type="http://schemas.openxmlformats.org/officeDocument/2006/relationships/hyperlink" Target="https://leginfo.legislature.ca.gov/faces/codes_displaySection.xhtml?lawCode=GOV&amp;sectionNum=65302" TargetMode="External"/><Relationship Id="rId50" Type="http://schemas.openxmlformats.org/officeDocument/2006/relationships/hyperlink" Target="http://docs.cpuc.ca.gov/SearchRes.aspx?DocFormat=ALL&amp;DocID=213511543" TargetMode="External"/><Relationship Id="rId55" Type="http://schemas.openxmlformats.org/officeDocument/2006/relationships/hyperlink" Target="https://archive.gov.ca.gov/archive/gov39/2015/10/30/news19180/index.html" TargetMode="External"/><Relationship Id="rId63" Type="http://schemas.openxmlformats.org/officeDocument/2006/relationships/hyperlink" Target="https://www.energy.ca.gov/funding-opportunities/funding-resources" TargetMode="Externa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mailto:ECAMS.SalesforceSupport@energy.ca.gov" TargetMode="External"/><Relationship Id="rId11" Type="http://schemas.openxmlformats.org/officeDocument/2006/relationships/image" Target="media/image1.png"/><Relationship Id="rId24" Type="http://schemas.openxmlformats.org/officeDocument/2006/relationships/hyperlink" Target="https://gcc02.safelinks.protection.outlook.com/?url=https%3A%2F%2Fenergy.zoom.us%2Fj%2F86389088634%3Fpwd%3DRnPsElF9iLlntEOjrFgvT2pHZE7VL2.1&amp;data=05%7C02%7C%7C612e2380dfe04118123908defa450c52%7Cac3a124413f44ef68d1bbaa27148194e%7C0%7C0%7C639223371651586786%7CUnknown%7CTWFpbGZsb3d8eyJFbXB0eU1hcGkiOnRydWUsIlYiOiIwLjAuMDAwMCIsIlAiOiJXaW4zMiIsIkFOIjoiTWFpbCIsIldUIjoyfQ%3D%3D%7C0%7C%7C%7C&amp;sdata=8YrpX%2Fk%2F%2BTFwu78AhoZ0WZi4kDSlGtNMpSmrb6xnUJ8%3D&amp;reserved=0" TargetMode="External"/><Relationship Id="rId32" Type="http://schemas.openxmlformats.org/officeDocument/2006/relationships/hyperlink" Target="https://www.energy.ca.gov/funding-opportunities/funding-resources" TargetMode="External"/><Relationship Id="rId37" Type="http://schemas.openxmlformats.org/officeDocument/2006/relationships/hyperlink" Target="https://www.energy.ca.gov/programs-and-topics/programs/energy-efficiency-existing-buildings" TargetMode="External"/><Relationship Id="rId40" Type="http://schemas.openxmlformats.org/officeDocument/2006/relationships/hyperlink" Target="https://www.energy.ca.gov/programs-and-topics/programs/energy-efficiency-existing-buildings" TargetMode="External"/><Relationship Id="rId45" Type="http://schemas.openxmlformats.org/officeDocument/2006/relationships/hyperlink" Target="https://leginfo.legislature.ca.gov/faces/billNavClient.xhtml?bill_id=202120220AB1279&amp;os=wtmbtqtajk9s&amp;ref=app" TargetMode="External"/><Relationship Id="rId53" Type="http://schemas.openxmlformats.org/officeDocument/2006/relationships/hyperlink" Target="https://www.energy.ca.gov/programs-and-topics/programs/energy-efficiency-existing-buildings" TargetMode="External"/><Relationship Id="rId58" Type="http://schemas.openxmlformats.org/officeDocument/2006/relationships/hyperlink" Target="https://www.energizeinnovation.fund/" TargetMode="External"/><Relationship Id="rId66" Type="http://schemas.openxmlformats.org/officeDocument/2006/relationships/footer" Target="footer4.xml"/><Relationship Id="rId5" Type="http://schemas.openxmlformats.org/officeDocument/2006/relationships/numbering" Target="numbering.xml"/><Relationship Id="rId61" Type="http://schemas.openxmlformats.org/officeDocument/2006/relationships/hyperlink" Target="mailto:Please%20email" TargetMode="External"/><Relationship Id="rId19" Type="http://schemas.openxmlformats.org/officeDocument/2006/relationships/hyperlink" Target="http://www.empowerinnovation.net" TargetMode="External"/><Relationship Id="rId14" Type="http://schemas.openxmlformats.org/officeDocument/2006/relationships/footer" Target="footer1.xml"/><Relationship Id="rId22" Type="http://schemas.openxmlformats.org/officeDocument/2006/relationships/hyperlink" Target="http://www.energy.ca.gov/contracts/index.html" TargetMode="External"/><Relationship Id="rId27" Type="http://schemas.openxmlformats.org/officeDocument/2006/relationships/hyperlink" Target="mailto:publicadvisor@energy.ca.gov" TargetMode="External"/><Relationship Id="rId30" Type="http://schemas.openxmlformats.org/officeDocument/2006/relationships/hyperlink" Target="mailto:ECAMS.SalesforceSupport@energy.ca.gov" TargetMode="External"/><Relationship Id="rId35" Type="http://schemas.openxmlformats.org/officeDocument/2006/relationships/hyperlink" Target="https://leginfo.legislature.ca.gov/faces/billNavClient.xhtml?bill_id=201520160SB32" TargetMode="External"/><Relationship Id="rId43" Type="http://schemas.openxmlformats.org/officeDocument/2006/relationships/hyperlink" Target="https://leginfo.legislature.ca.gov/faces/billNavClient.xhtml?bill_id=202120220SB1020" TargetMode="External"/><Relationship Id="rId48" Type="http://schemas.openxmlformats.org/officeDocument/2006/relationships/hyperlink" Target="https://leginfo.legislature.ca.gov/faces/billNavClient.xhtml?bill_id=202520260SB254" TargetMode="External"/><Relationship Id="rId56" Type="http://schemas.openxmlformats.org/officeDocument/2006/relationships/hyperlink" Target="http://www.energy.ca.gov/research/" TargetMode="External"/><Relationship Id="rId64" Type="http://schemas.openxmlformats.org/officeDocument/2006/relationships/hyperlink" Target="https://www.energy.ca.gov/funding-opportunities/solicitations" TargetMode="External"/><Relationship Id="rId8" Type="http://schemas.openxmlformats.org/officeDocument/2006/relationships/webSettings" Target="webSettings.xml"/><Relationship Id="rId51" Type="http://schemas.openxmlformats.org/officeDocument/2006/relationships/hyperlink" Target="https://docs.cpuc.ca.gov/PublishedDocs/Published/G000/M319/K075/319075453.PDF" TargetMode="External"/><Relationship Id="rId3" Type="http://schemas.openxmlformats.org/officeDocument/2006/relationships/customXml" Target="../customXml/item3.xml"/><Relationship Id="rId12" Type="http://schemas.openxmlformats.org/officeDocument/2006/relationships/hyperlink" Target="https://www.energy.ca.gov/funding-opportunities/solicitations" TargetMode="External"/><Relationship Id="rId17" Type="http://schemas.openxmlformats.org/officeDocument/2006/relationships/header" Target="header3.xml"/><Relationship Id="rId25" Type="http://schemas.openxmlformats.org/officeDocument/2006/relationships/hyperlink" Target="https://energy.zoom.us/u/adjzKUXvoy" TargetMode="External"/><Relationship Id="rId33" Type="http://schemas.openxmlformats.org/officeDocument/2006/relationships/hyperlink" Target="https://leginfo.legislature.ca.gov/faces/billNavClient.xhtml?bill_id=200520060AB32" TargetMode="External"/><Relationship Id="rId38" Type="http://schemas.openxmlformats.org/officeDocument/2006/relationships/hyperlink" Target="https://leginfo.legislature.ca.gov/faces/billTextClient.xhtml?bill_id=201720180AB3232" TargetMode="External"/><Relationship Id="rId46" Type="http://schemas.openxmlformats.org/officeDocument/2006/relationships/hyperlink" Target="https://leginfo.legislature.ca.gov/faces/billTextClient.xhtml?bill_id=201520160SB379" TargetMode="External"/><Relationship Id="rId59" Type="http://schemas.openxmlformats.org/officeDocument/2006/relationships/hyperlink" Target="https://www.energy.ca.gov/funding-opportunities/funding-resources" TargetMode="External"/><Relationship Id="rId67" Type="http://schemas.openxmlformats.org/officeDocument/2006/relationships/fontTable" Target="fontTable.xml"/><Relationship Id="rId20" Type="http://schemas.openxmlformats.org/officeDocument/2006/relationships/hyperlink" Target="https://oehha.ca.gov/calenviroscreen/report/calenviroscreen-40" TargetMode="External"/><Relationship Id="rId41" Type="http://schemas.openxmlformats.org/officeDocument/2006/relationships/hyperlink" Target="https://leginfo.legislature.ca.gov/faces/billTextClient.xhtml?bill_id=200920100AB2514" TargetMode="External"/><Relationship Id="rId54" Type="http://schemas.openxmlformats.org/officeDocument/2006/relationships/hyperlink" Target="https://www.energy.ca.gov/programs-and-topics/programs/energy-efficiency-existing-buildings" TargetMode="External"/><Relationship Id="rId62" Type="http://schemas.openxmlformats.org/officeDocument/2006/relationships/hyperlink" Target="https://www.energy.ca.gov/funding-opportunities/funding-resource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zoom.us/join" TargetMode="External"/><Relationship Id="rId28" Type="http://schemas.openxmlformats.org/officeDocument/2006/relationships/hyperlink" Target="https://support.zoom.us/hc/en-us/articles/201362023-System-requirements-for-Windows-macOS-and-Linux" TargetMode="External"/><Relationship Id="rId36" Type="http://schemas.openxmlformats.org/officeDocument/2006/relationships/hyperlink" Target="https://leginfo.legislature.ca.gov/faces/billNavClient.xhtml?bill_id=200920100AB758" TargetMode="External"/><Relationship Id="rId49" Type="http://schemas.openxmlformats.org/officeDocument/2006/relationships/hyperlink" Target="file:///C:/Users/BrittaMcOmber/AppData/Local/Microsoft/Windows/INetCache/Content.Outlook/UKLJZP06/Integrated%20Energy%20Policy%20Report" TargetMode="External"/><Relationship Id="rId57" Type="http://schemas.openxmlformats.org/officeDocument/2006/relationships/hyperlink" Target="https://www.energy.ca.gov/programs-and-topics/programs/electric-program-investment-charge-epic-program" TargetMode="External"/><Relationship Id="rId10" Type="http://schemas.openxmlformats.org/officeDocument/2006/relationships/endnotes" Target="endnotes.xml"/><Relationship Id="rId31" Type="http://schemas.openxmlformats.org/officeDocument/2006/relationships/hyperlink" Target="https://www.energy.ca.gov/funding-opportunities/solicitations" TargetMode="External"/><Relationship Id="rId44" Type="http://schemas.openxmlformats.org/officeDocument/2006/relationships/hyperlink" Target="http://www.energy.ca.gov/title24/" TargetMode="External"/><Relationship Id="rId52" Type="http://schemas.openxmlformats.org/officeDocument/2006/relationships/hyperlink" Target="https://docs.cpuc.ca.gov/PublishedDocs/Published/G000/M346/K285/346285534.PDF" TargetMode="External"/><Relationship Id="rId60" Type="http://schemas.openxmlformats.org/officeDocument/2006/relationships/hyperlink" Target="https://ecams.energy.ca.gov" TargetMode="External"/><Relationship Id="rId65"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hyperlink" Target="https://leginfo.legislature.ca.gov/faces/billTextClient.xhtml?bill_id=201520160SB350"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leginfo.ca.gov/cgi-bin/displaycode?section=prc&amp;group=25001-26000&amp;file=25710-25712" TargetMode="External"/><Relationship Id="rId3" Type="http://schemas.openxmlformats.org/officeDocument/2006/relationships/hyperlink" Target="https://docs.cpuc.ca.gov/PublishedDocs/Published/G000/M425/K515/425515575.PDF" TargetMode="External"/><Relationship Id="rId7" Type="http://schemas.openxmlformats.org/officeDocument/2006/relationships/hyperlink" Target="http://docs.cpuc.ca.gov/PublishedDocs/WORD_PDF/FINAL_DECISION/167664.PDF" TargetMode="External"/><Relationship Id="rId2" Type="http://schemas.openxmlformats.org/officeDocument/2006/relationships/hyperlink" Target="https://docs.cpuc.ca.gov/PublishedDocs/Published/G000/M081/K773/81773445.PDF" TargetMode="External"/><Relationship Id="rId1" Type="http://schemas.openxmlformats.org/officeDocument/2006/relationships/hyperlink" Target="https://www.energy.ca.gov/sites/default/files/2019-11/Projections_CCCA4-CEC-2018-006_ADA.pdf" TargetMode="External"/><Relationship Id="rId6" Type="http://schemas.openxmlformats.org/officeDocument/2006/relationships/hyperlink" Target="https://docs.cpuc.ca.gov/PublishedDocs/Published/G000/M425/K515/425515575.PDF" TargetMode="External"/><Relationship Id="rId5" Type="http://schemas.openxmlformats.org/officeDocument/2006/relationships/hyperlink" Target="http://docs.cpuc.ca.gov/PublishedDocs/WORD_PDF/FINAL_DECISION/156050.PDF" TargetMode="External"/><Relationship Id="rId10" Type="http://schemas.openxmlformats.org/officeDocument/2006/relationships/hyperlink" Target="http://docs.cpuc.ca.gov/PublishedDocs/WORD_PDF/FINAL_DECISION/167664.PDF" TargetMode="External"/><Relationship Id="rId4" Type="http://schemas.openxmlformats.org/officeDocument/2006/relationships/hyperlink" Target="https://www.energy.ca.gov/event/2026-03/california-energy-commission-climate-data-and-analysis-working-group-c-dawg" TargetMode="External"/><Relationship Id="rId9" Type="http://schemas.openxmlformats.org/officeDocument/2006/relationships/hyperlink" Target="https://efiling.energy.ca.gov/GetDocument.aspx?tn=2406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067c814-4b34-462c-a21d-c185ff6548d2" xsi:nil="true"/>
    <lcf76f155ced4ddcb4097134ff3c332f xmlns="785685f2-c2e1-4352-89aa-3faca8eaba52">
      <Terms xmlns="http://schemas.microsoft.com/office/infopath/2007/PartnerControls"/>
    </lcf76f155ced4ddcb4097134ff3c332f>
    <SharedWithUsers xmlns="5067c814-4b34-462c-a21d-c185ff6548d2">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DC9A153AAEEE45BACE06E01F8272AC" ma:contentTypeVersion="17" ma:contentTypeDescription="Create a new document." ma:contentTypeScope="" ma:versionID="40d57a85aa91a44d3e1cc43f86146ad4">
  <xsd:schema xmlns:xsd="http://www.w3.org/2001/XMLSchema" xmlns:xs="http://www.w3.org/2001/XMLSchema" xmlns:p="http://schemas.microsoft.com/office/2006/metadata/properties" xmlns:ns2="785685f2-c2e1-4352-89aa-3faca8eaba52" xmlns:ns3="5067c814-4b34-462c-a21d-c185ff6548d2" targetNamespace="http://schemas.microsoft.com/office/2006/metadata/properties" ma:root="true" ma:fieldsID="b3c6ce38bacff8a899edbdd6b277f477" ns2:_="" ns3:_="">
    <xsd:import namespace="785685f2-c2e1-4352-89aa-3faca8eaba52"/>
    <xsd:import namespace="5067c814-4b34-462c-a21d-c185ff654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685f2-c2e1-4352-89aa-3faca8eab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7c814-4b34-462c-a21d-c185ff6548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809527-a15e-45c9-9762-ce086c444099}" ma:internalName="TaxCatchAll" ma:showField="CatchAllData" ma:web="5067c814-4b34-462c-a21d-c185ff654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22450-4CE5-45B1-927B-10CA51167435}">
  <ds:schemaRefs>
    <ds:schemaRef ds:uri="http://schemas.microsoft.com/office/2006/metadata/properties"/>
    <ds:schemaRef ds:uri="http://schemas.microsoft.com/office/infopath/2007/PartnerControls"/>
    <ds:schemaRef ds:uri="5067c814-4b34-462c-a21d-c185ff6548d2"/>
    <ds:schemaRef ds:uri="785685f2-c2e1-4352-89aa-3faca8eaba52"/>
  </ds:schemaRefs>
</ds:datastoreItem>
</file>

<file path=customXml/itemProps2.xml><?xml version="1.0" encoding="utf-8"?>
<ds:datastoreItem xmlns:ds="http://schemas.openxmlformats.org/officeDocument/2006/customXml" ds:itemID="{37589375-8AAF-421B-819B-D25B3D7A0B32}">
  <ds:schemaRefs>
    <ds:schemaRef ds:uri="http://schemas.microsoft.com/sharepoint/v3/contenttype/forms"/>
  </ds:schemaRefs>
</ds:datastoreItem>
</file>

<file path=customXml/itemProps3.xml><?xml version="1.0" encoding="utf-8"?>
<ds:datastoreItem xmlns:ds="http://schemas.openxmlformats.org/officeDocument/2006/customXml" ds:itemID="{13B4F876-E8DE-41A5-9754-AA96A2F361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685f2-c2e1-4352-89aa-3faca8eaba52"/>
    <ds:schemaRef ds:uri="5067c814-4b34-462c-a21d-c185ff654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F16B86-86D3-4EEE-925D-2CBDC92B2583}">
  <ds:schemaRefs>
    <ds:schemaRef ds:uri="http://schemas.openxmlformats.org/officeDocument/2006/bibliography"/>
  </ds:schemaRefs>
</ds:datastoreItem>
</file>

<file path=docMetadata/LabelInfo.xml><?xml version="1.0" encoding="utf-8"?>
<clbl:labelList xmlns:clbl="http://schemas.microsoft.com/office/2020/mipLabelMetadata">
  <clbl:label id="{ac3a1244-13f4-4ef6-8d1b-baa27148194e}" enabled="0" method="" siteId="{ac3a1244-13f4-4ef6-8d1b-baa27148194e}" removed="1"/>
</clbl:labelList>
</file>

<file path=docProps/app.xml><?xml version="1.0" encoding="utf-8"?>
<Properties xmlns="http://schemas.openxmlformats.org/officeDocument/2006/extended-properties" xmlns:vt="http://schemas.openxmlformats.org/officeDocument/2006/docPropsVTypes">
  <Template>Normal</Template>
  <TotalTime>61</TotalTime>
  <Pages>55</Pages>
  <Words>18361</Words>
  <Characters>104658</Characters>
  <Application>Microsoft Office Word</Application>
  <DocSecurity>0</DocSecurity>
  <Lines>872</Lines>
  <Paragraphs>245</Paragraphs>
  <ScaleCrop>false</ScaleCrop>
  <HeadingPairs>
    <vt:vector size="2" baseType="variant">
      <vt:variant>
        <vt:lpstr>Title</vt:lpstr>
      </vt:variant>
      <vt:variant>
        <vt:i4>1</vt:i4>
      </vt:variant>
    </vt:vector>
  </HeadingPairs>
  <TitlesOfParts>
    <vt:vector size="1" baseType="lpstr">
      <vt:lpstr>EPIC Solicitation Template</vt:lpstr>
    </vt:vector>
  </TitlesOfParts>
  <Company>California Energy Commission</Company>
  <LinksUpToDate>false</LinksUpToDate>
  <CharactersWithSpaces>122774</CharactersWithSpaces>
  <SharedDoc>false</SharedDoc>
  <HLinks>
    <vt:vector size="342" baseType="variant">
      <vt:variant>
        <vt:i4>4194311</vt:i4>
      </vt:variant>
      <vt:variant>
        <vt:i4>225</vt:i4>
      </vt:variant>
      <vt:variant>
        <vt:i4>0</vt:i4>
      </vt:variant>
      <vt:variant>
        <vt:i4>5</vt:i4>
      </vt:variant>
      <vt:variant>
        <vt:lpwstr>https://www.energy.ca.gov/funding-opportunities/solicitations</vt:lpwstr>
      </vt:variant>
      <vt:variant>
        <vt:lpwstr/>
      </vt:variant>
      <vt:variant>
        <vt:i4>393221</vt:i4>
      </vt:variant>
      <vt:variant>
        <vt:i4>222</vt:i4>
      </vt:variant>
      <vt:variant>
        <vt:i4>0</vt:i4>
      </vt:variant>
      <vt:variant>
        <vt:i4>5</vt:i4>
      </vt:variant>
      <vt:variant>
        <vt:lpwstr>https://www.energy.ca.gov/funding-opportunities/funding-resources</vt:lpwstr>
      </vt:variant>
      <vt:variant>
        <vt:lpwstr/>
      </vt:variant>
      <vt:variant>
        <vt:i4>393221</vt:i4>
      </vt:variant>
      <vt:variant>
        <vt:i4>219</vt:i4>
      </vt:variant>
      <vt:variant>
        <vt:i4>0</vt:i4>
      </vt:variant>
      <vt:variant>
        <vt:i4>5</vt:i4>
      </vt:variant>
      <vt:variant>
        <vt:lpwstr>https://www.energy.ca.gov/funding-opportunities/funding-resources</vt:lpwstr>
      </vt:variant>
      <vt:variant>
        <vt:lpwstr/>
      </vt:variant>
      <vt:variant>
        <vt:i4>2097190</vt:i4>
      </vt:variant>
      <vt:variant>
        <vt:i4>216</vt:i4>
      </vt:variant>
      <vt:variant>
        <vt:i4>0</vt:i4>
      </vt:variant>
      <vt:variant>
        <vt:i4>5</vt:i4>
      </vt:variant>
      <vt:variant>
        <vt:lpwstr>mailto:Please email</vt:lpwstr>
      </vt:variant>
      <vt:variant>
        <vt:lpwstr/>
      </vt:variant>
      <vt:variant>
        <vt:i4>5832718</vt:i4>
      </vt:variant>
      <vt:variant>
        <vt:i4>213</vt:i4>
      </vt:variant>
      <vt:variant>
        <vt:i4>0</vt:i4>
      </vt:variant>
      <vt:variant>
        <vt:i4>5</vt:i4>
      </vt:variant>
      <vt:variant>
        <vt:lpwstr>https://ecams.energy.ca.gov/</vt:lpwstr>
      </vt:variant>
      <vt:variant>
        <vt:lpwstr/>
      </vt:variant>
      <vt:variant>
        <vt:i4>393221</vt:i4>
      </vt:variant>
      <vt:variant>
        <vt:i4>210</vt:i4>
      </vt:variant>
      <vt:variant>
        <vt:i4>0</vt:i4>
      </vt:variant>
      <vt:variant>
        <vt:i4>5</vt:i4>
      </vt:variant>
      <vt:variant>
        <vt:lpwstr>https://www.energy.ca.gov/funding-opportunities/funding-resources</vt:lpwstr>
      </vt:variant>
      <vt:variant>
        <vt:lpwstr/>
      </vt:variant>
      <vt:variant>
        <vt:i4>1572872</vt:i4>
      </vt:variant>
      <vt:variant>
        <vt:i4>207</vt:i4>
      </vt:variant>
      <vt:variant>
        <vt:i4>0</vt:i4>
      </vt:variant>
      <vt:variant>
        <vt:i4>5</vt:i4>
      </vt:variant>
      <vt:variant>
        <vt:lpwstr>https://www.energizeinnovation.fund/</vt:lpwstr>
      </vt:variant>
      <vt:variant>
        <vt:lpwstr/>
      </vt:variant>
      <vt:variant>
        <vt:i4>3211323</vt:i4>
      </vt:variant>
      <vt:variant>
        <vt:i4>204</vt:i4>
      </vt:variant>
      <vt:variant>
        <vt:i4>0</vt:i4>
      </vt:variant>
      <vt:variant>
        <vt:i4>5</vt:i4>
      </vt:variant>
      <vt:variant>
        <vt:lpwstr>https://www.energy.ca.gov/programs-and-topics/programs/electric-program-investment-charge-epic-program</vt:lpwstr>
      </vt:variant>
      <vt:variant>
        <vt:lpwstr/>
      </vt:variant>
      <vt:variant>
        <vt:i4>4063266</vt:i4>
      </vt:variant>
      <vt:variant>
        <vt:i4>201</vt:i4>
      </vt:variant>
      <vt:variant>
        <vt:i4>0</vt:i4>
      </vt:variant>
      <vt:variant>
        <vt:i4>5</vt:i4>
      </vt:variant>
      <vt:variant>
        <vt:lpwstr>http://www.energy.ca.gov/research/</vt:lpwstr>
      </vt:variant>
      <vt:variant>
        <vt:lpwstr/>
      </vt:variant>
      <vt:variant>
        <vt:i4>4259856</vt:i4>
      </vt:variant>
      <vt:variant>
        <vt:i4>198</vt:i4>
      </vt:variant>
      <vt:variant>
        <vt:i4>0</vt:i4>
      </vt:variant>
      <vt:variant>
        <vt:i4>5</vt:i4>
      </vt:variant>
      <vt:variant>
        <vt:lpwstr>https://archive.gov.ca.gov/archive/gov39/2015/10/30/news19180/index.html</vt:lpwstr>
      </vt:variant>
      <vt:variant>
        <vt:lpwstr/>
      </vt:variant>
      <vt:variant>
        <vt:i4>7995495</vt:i4>
      </vt:variant>
      <vt:variant>
        <vt:i4>195</vt:i4>
      </vt:variant>
      <vt:variant>
        <vt:i4>0</vt:i4>
      </vt:variant>
      <vt:variant>
        <vt:i4>5</vt:i4>
      </vt:variant>
      <vt:variant>
        <vt:lpwstr>https://www.energy.ca.gov/programs-and-topics/programs/energy-efficiency-existing-buildings</vt:lpwstr>
      </vt:variant>
      <vt:variant>
        <vt:lpwstr/>
      </vt:variant>
      <vt:variant>
        <vt:i4>7995495</vt:i4>
      </vt:variant>
      <vt:variant>
        <vt:i4>192</vt:i4>
      </vt:variant>
      <vt:variant>
        <vt:i4>0</vt:i4>
      </vt:variant>
      <vt:variant>
        <vt:i4>5</vt:i4>
      </vt:variant>
      <vt:variant>
        <vt:lpwstr>https://www.energy.ca.gov/programs-and-topics/programs/energy-efficiency-existing-buildings</vt:lpwstr>
      </vt:variant>
      <vt:variant>
        <vt:lpwstr/>
      </vt:variant>
      <vt:variant>
        <vt:i4>1179725</vt:i4>
      </vt:variant>
      <vt:variant>
        <vt:i4>189</vt:i4>
      </vt:variant>
      <vt:variant>
        <vt:i4>0</vt:i4>
      </vt:variant>
      <vt:variant>
        <vt:i4>5</vt:i4>
      </vt:variant>
      <vt:variant>
        <vt:lpwstr>https://docs.cpuc.ca.gov/PublishedDocs/Published/G000/M346/K285/346285534.PDF</vt:lpwstr>
      </vt:variant>
      <vt:variant>
        <vt:lpwstr/>
      </vt:variant>
      <vt:variant>
        <vt:i4>1245260</vt:i4>
      </vt:variant>
      <vt:variant>
        <vt:i4>186</vt:i4>
      </vt:variant>
      <vt:variant>
        <vt:i4>0</vt:i4>
      </vt:variant>
      <vt:variant>
        <vt:i4>5</vt:i4>
      </vt:variant>
      <vt:variant>
        <vt:lpwstr>https://docs.cpuc.ca.gov/PublishedDocs/Published/G000/M319/K075/319075453.PDF</vt:lpwstr>
      </vt:variant>
      <vt:variant>
        <vt:lpwstr/>
      </vt:variant>
      <vt:variant>
        <vt:i4>655444</vt:i4>
      </vt:variant>
      <vt:variant>
        <vt:i4>183</vt:i4>
      </vt:variant>
      <vt:variant>
        <vt:i4>0</vt:i4>
      </vt:variant>
      <vt:variant>
        <vt:i4>5</vt:i4>
      </vt:variant>
      <vt:variant>
        <vt:lpwstr>http://docs.cpuc.ca.gov/SearchRes.aspx?DocFormat=ALL&amp;DocID=213511543</vt:lpwstr>
      </vt:variant>
      <vt:variant>
        <vt:lpwstr/>
      </vt:variant>
      <vt:variant>
        <vt:i4>8192063</vt:i4>
      </vt:variant>
      <vt:variant>
        <vt:i4>180</vt:i4>
      </vt:variant>
      <vt:variant>
        <vt:i4>0</vt:i4>
      </vt:variant>
      <vt:variant>
        <vt:i4>5</vt:i4>
      </vt:variant>
      <vt:variant>
        <vt:lpwstr>C:\Users\BrittaMcOmber\AppData\Local\Microsoft\Windows\INetCache\Content.Outlook\UKLJZP06\Integrated Energy Policy Report</vt:lpwstr>
      </vt:variant>
      <vt:variant>
        <vt:lpwstr/>
      </vt:variant>
      <vt:variant>
        <vt:i4>4325474</vt:i4>
      </vt:variant>
      <vt:variant>
        <vt:i4>177</vt:i4>
      </vt:variant>
      <vt:variant>
        <vt:i4>0</vt:i4>
      </vt:variant>
      <vt:variant>
        <vt:i4>5</vt:i4>
      </vt:variant>
      <vt:variant>
        <vt:lpwstr>https://leginfo.legislature.ca.gov/faces/billNavClient.xhtml?bill_id=202520260SB254</vt:lpwstr>
      </vt:variant>
      <vt:variant>
        <vt:lpwstr/>
      </vt:variant>
      <vt:variant>
        <vt:i4>6226021</vt:i4>
      </vt:variant>
      <vt:variant>
        <vt:i4>174</vt:i4>
      </vt:variant>
      <vt:variant>
        <vt:i4>0</vt:i4>
      </vt:variant>
      <vt:variant>
        <vt:i4>5</vt:i4>
      </vt:variant>
      <vt:variant>
        <vt:lpwstr>https://leginfo.legislature.ca.gov/faces/codes_displaySection.xhtml?lawCode=GOV&amp;sectionNum=65302</vt:lpwstr>
      </vt:variant>
      <vt:variant>
        <vt:lpwstr/>
      </vt:variant>
      <vt:variant>
        <vt:i4>4325436</vt:i4>
      </vt:variant>
      <vt:variant>
        <vt:i4>171</vt:i4>
      </vt:variant>
      <vt:variant>
        <vt:i4>0</vt:i4>
      </vt:variant>
      <vt:variant>
        <vt:i4>5</vt:i4>
      </vt:variant>
      <vt:variant>
        <vt:lpwstr>https://leginfo.legislature.ca.gov/faces/billTextClient.xhtml?bill_id=201520160SB379</vt:lpwstr>
      </vt:variant>
      <vt:variant>
        <vt:lpwstr/>
      </vt:variant>
      <vt:variant>
        <vt:i4>3473494</vt:i4>
      </vt:variant>
      <vt:variant>
        <vt:i4>168</vt:i4>
      </vt:variant>
      <vt:variant>
        <vt:i4>0</vt:i4>
      </vt:variant>
      <vt:variant>
        <vt:i4>5</vt:i4>
      </vt:variant>
      <vt:variant>
        <vt:lpwstr>https://leginfo.legislature.ca.gov/faces/billNavClient.xhtml?bill_id=202120220AB1279&amp;os=wtmbtqtajk9s&amp;ref=app</vt:lpwstr>
      </vt:variant>
      <vt:variant>
        <vt:lpwstr/>
      </vt:variant>
      <vt:variant>
        <vt:i4>4390927</vt:i4>
      </vt:variant>
      <vt:variant>
        <vt:i4>165</vt:i4>
      </vt:variant>
      <vt:variant>
        <vt:i4>0</vt:i4>
      </vt:variant>
      <vt:variant>
        <vt:i4>5</vt:i4>
      </vt:variant>
      <vt:variant>
        <vt:lpwstr>http://www.energy.ca.gov/title24/</vt:lpwstr>
      </vt:variant>
      <vt:variant>
        <vt:lpwstr/>
      </vt:variant>
      <vt:variant>
        <vt:i4>7798867</vt:i4>
      </vt:variant>
      <vt:variant>
        <vt:i4>162</vt:i4>
      </vt:variant>
      <vt:variant>
        <vt:i4>0</vt:i4>
      </vt:variant>
      <vt:variant>
        <vt:i4>5</vt:i4>
      </vt:variant>
      <vt:variant>
        <vt:lpwstr>https://leginfo.legislature.ca.gov/faces/billNavClient.xhtml?bill_id=202120220SB1020</vt:lpwstr>
      </vt:variant>
      <vt:variant>
        <vt:lpwstr/>
      </vt:variant>
      <vt:variant>
        <vt:i4>4522043</vt:i4>
      </vt:variant>
      <vt:variant>
        <vt:i4>159</vt:i4>
      </vt:variant>
      <vt:variant>
        <vt:i4>0</vt:i4>
      </vt:variant>
      <vt:variant>
        <vt:i4>5</vt:i4>
      </vt:variant>
      <vt:variant>
        <vt:lpwstr>https://leginfo.legislature.ca.gov/faces/billTextClient.xhtml?bill_id=201720180SB100</vt:lpwstr>
      </vt:variant>
      <vt:variant>
        <vt:lpwstr/>
      </vt:variant>
      <vt:variant>
        <vt:i4>5439551</vt:i4>
      </vt:variant>
      <vt:variant>
        <vt:i4>156</vt:i4>
      </vt:variant>
      <vt:variant>
        <vt:i4>0</vt:i4>
      </vt:variant>
      <vt:variant>
        <vt:i4>5</vt:i4>
      </vt:variant>
      <vt:variant>
        <vt:lpwstr>https://leginfo.legislature.ca.gov/faces/billTextClient.xhtml?bill_id=200920100AB2514</vt:lpwstr>
      </vt:variant>
      <vt:variant>
        <vt:lpwstr/>
      </vt:variant>
      <vt:variant>
        <vt:i4>7995495</vt:i4>
      </vt:variant>
      <vt:variant>
        <vt:i4>153</vt:i4>
      </vt:variant>
      <vt:variant>
        <vt:i4>0</vt:i4>
      </vt:variant>
      <vt:variant>
        <vt:i4>5</vt:i4>
      </vt:variant>
      <vt:variant>
        <vt:lpwstr>https://www.energy.ca.gov/programs-and-topics/programs/energy-efficiency-existing-buildings</vt:lpwstr>
      </vt:variant>
      <vt:variant>
        <vt:lpwstr/>
      </vt:variant>
      <vt:variant>
        <vt:i4>4915262</vt:i4>
      </vt:variant>
      <vt:variant>
        <vt:i4>150</vt:i4>
      </vt:variant>
      <vt:variant>
        <vt:i4>0</vt:i4>
      </vt:variant>
      <vt:variant>
        <vt:i4>5</vt:i4>
      </vt:variant>
      <vt:variant>
        <vt:lpwstr>https://leginfo.legislature.ca.gov/faces/billTextClient.xhtml?bill_id=201520160SB350</vt:lpwstr>
      </vt:variant>
      <vt:variant>
        <vt:lpwstr/>
      </vt:variant>
      <vt:variant>
        <vt:i4>5636153</vt:i4>
      </vt:variant>
      <vt:variant>
        <vt:i4>147</vt:i4>
      </vt:variant>
      <vt:variant>
        <vt:i4>0</vt:i4>
      </vt:variant>
      <vt:variant>
        <vt:i4>5</vt:i4>
      </vt:variant>
      <vt:variant>
        <vt:lpwstr>https://leginfo.legislature.ca.gov/faces/billTextClient.xhtml?bill_id=201720180AB3232</vt:lpwstr>
      </vt:variant>
      <vt:variant>
        <vt:lpwstr/>
      </vt:variant>
      <vt:variant>
        <vt:i4>7995495</vt:i4>
      </vt:variant>
      <vt:variant>
        <vt:i4>144</vt:i4>
      </vt:variant>
      <vt:variant>
        <vt:i4>0</vt:i4>
      </vt:variant>
      <vt:variant>
        <vt:i4>5</vt:i4>
      </vt:variant>
      <vt:variant>
        <vt:lpwstr>https://www.energy.ca.gov/programs-and-topics/programs/energy-efficiency-existing-buildings</vt:lpwstr>
      </vt:variant>
      <vt:variant>
        <vt:lpwstr/>
      </vt:variant>
      <vt:variant>
        <vt:i4>4391039</vt:i4>
      </vt:variant>
      <vt:variant>
        <vt:i4>141</vt:i4>
      </vt:variant>
      <vt:variant>
        <vt:i4>0</vt:i4>
      </vt:variant>
      <vt:variant>
        <vt:i4>5</vt:i4>
      </vt:variant>
      <vt:variant>
        <vt:lpwstr>https://leginfo.legislature.ca.gov/faces/billNavClient.xhtml?bill_id=200920100AB758</vt:lpwstr>
      </vt:variant>
      <vt:variant>
        <vt:lpwstr/>
      </vt:variant>
      <vt:variant>
        <vt:i4>4522083</vt:i4>
      </vt:variant>
      <vt:variant>
        <vt:i4>138</vt:i4>
      </vt:variant>
      <vt:variant>
        <vt:i4>0</vt:i4>
      </vt:variant>
      <vt:variant>
        <vt:i4>5</vt:i4>
      </vt:variant>
      <vt:variant>
        <vt:lpwstr>https://leginfo.legislature.ca.gov/faces/billNavClient.xhtml?bill_id=201520160SB32</vt:lpwstr>
      </vt:variant>
      <vt:variant>
        <vt:lpwstr/>
      </vt:variant>
      <vt:variant>
        <vt:i4>4063292</vt:i4>
      </vt:variant>
      <vt:variant>
        <vt:i4>135</vt:i4>
      </vt:variant>
      <vt:variant>
        <vt:i4>0</vt:i4>
      </vt:variant>
      <vt:variant>
        <vt:i4>5</vt:i4>
      </vt:variant>
      <vt:variant>
        <vt:lpwstr>https://ww2.arb.ca.gov/our-work/programs/ab-32-climate-change-scoping-plan</vt:lpwstr>
      </vt:variant>
      <vt:variant>
        <vt:lpwstr/>
      </vt:variant>
      <vt:variant>
        <vt:i4>4522097</vt:i4>
      </vt:variant>
      <vt:variant>
        <vt:i4>132</vt:i4>
      </vt:variant>
      <vt:variant>
        <vt:i4>0</vt:i4>
      </vt:variant>
      <vt:variant>
        <vt:i4>5</vt:i4>
      </vt:variant>
      <vt:variant>
        <vt:lpwstr>https://leginfo.legislature.ca.gov/faces/billNavClient.xhtml?bill_id=200520060AB32</vt:lpwstr>
      </vt:variant>
      <vt:variant>
        <vt:lpwstr/>
      </vt:variant>
      <vt:variant>
        <vt:i4>393221</vt:i4>
      </vt:variant>
      <vt:variant>
        <vt:i4>129</vt:i4>
      </vt:variant>
      <vt:variant>
        <vt:i4>0</vt:i4>
      </vt:variant>
      <vt:variant>
        <vt:i4>5</vt:i4>
      </vt:variant>
      <vt:variant>
        <vt:lpwstr>https://www.energy.ca.gov/funding-opportunities/funding-resources</vt:lpwstr>
      </vt:variant>
      <vt:variant>
        <vt:lpwstr/>
      </vt:variant>
      <vt:variant>
        <vt:i4>4194311</vt:i4>
      </vt:variant>
      <vt:variant>
        <vt:i4>126</vt:i4>
      </vt:variant>
      <vt:variant>
        <vt:i4>0</vt:i4>
      </vt:variant>
      <vt:variant>
        <vt:i4>5</vt:i4>
      </vt:variant>
      <vt:variant>
        <vt:lpwstr>https://www.energy.ca.gov/funding-opportunities/solicitations</vt:lpwstr>
      </vt:variant>
      <vt:variant>
        <vt:lpwstr/>
      </vt:variant>
      <vt:variant>
        <vt:i4>5505135</vt:i4>
      </vt:variant>
      <vt:variant>
        <vt:i4>123</vt:i4>
      </vt:variant>
      <vt:variant>
        <vt:i4>0</vt:i4>
      </vt:variant>
      <vt:variant>
        <vt:i4>5</vt:i4>
      </vt:variant>
      <vt:variant>
        <vt:lpwstr>mailto:ECAMS.SalesforceSupport@energy.ca.gov</vt:lpwstr>
      </vt:variant>
      <vt:variant>
        <vt:lpwstr/>
      </vt:variant>
      <vt:variant>
        <vt:i4>5505135</vt:i4>
      </vt:variant>
      <vt:variant>
        <vt:i4>120</vt:i4>
      </vt:variant>
      <vt:variant>
        <vt:i4>0</vt:i4>
      </vt:variant>
      <vt:variant>
        <vt:i4>5</vt:i4>
      </vt:variant>
      <vt:variant>
        <vt:lpwstr>mailto:ECAMS.SalesforceSupport@energy.ca.gov</vt:lpwstr>
      </vt:variant>
      <vt:variant>
        <vt:lpwstr/>
      </vt:variant>
      <vt:variant>
        <vt:i4>6291552</vt:i4>
      </vt:variant>
      <vt:variant>
        <vt:i4>117</vt:i4>
      </vt:variant>
      <vt:variant>
        <vt:i4>0</vt:i4>
      </vt:variant>
      <vt:variant>
        <vt:i4>5</vt:i4>
      </vt:variant>
      <vt:variant>
        <vt:lpwstr>https://support.zoom.us/hc/en-us/articles/201362023-System-requirements-for-Windows-macOS-and-Linux</vt:lpwstr>
      </vt:variant>
      <vt:variant>
        <vt:lpwstr/>
      </vt:variant>
      <vt:variant>
        <vt:i4>3539029</vt:i4>
      </vt:variant>
      <vt:variant>
        <vt:i4>114</vt:i4>
      </vt:variant>
      <vt:variant>
        <vt:i4>0</vt:i4>
      </vt:variant>
      <vt:variant>
        <vt:i4>5</vt:i4>
      </vt:variant>
      <vt:variant>
        <vt:lpwstr>mailto:publicadvisor@energy.ca.gov</vt:lpwstr>
      </vt:variant>
      <vt:variant>
        <vt:lpwstr/>
      </vt:variant>
      <vt:variant>
        <vt:i4>2228287</vt:i4>
      </vt:variant>
      <vt:variant>
        <vt:i4>111</vt:i4>
      </vt:variant>
      <vt:variant>
        <vt:i4>0</vt:i4>
      </vt:variant>
      <vt:variant>
        <vt:i4>5</vt:i4>
      </vt:variant>
      <vt:variant>
        <vt:lpwstr>https://energy.zoom.us/download</vt:lpwstr>
      </vt:variant>
      <vt:variant>
        <vt:lpwstr/>
      </vt:variant>
      <vt:variant>
        <vt:i4>4063331</vt:i4>
      </vt:variant>
      <vt:variant>
        <vt:i4>108</vt:i4>
      </vt:variant>
      <vt:variant>
        <vt:i4>0</vt:i4>
      </vt:variant>
      <vt:variant>
        <vt:i4>5</vt:i4>
      </vt:variant>
      <vt:variant>
        <vt:lpwstr>https://energy.zoom.us/u/adjzKUXvoy</vt:lpwstr>
      </vt:variant>
      <vt:variant>
        <vt:lpwstr/>
      </vt:variant>
      <vt:variant>
        <vt:i4>7340133</vt:i4>
      </vt:variant>
      <vt:variant>
        <vt:i4>105</vt:i4>
      </vt:variant>
      <vt:variant>
        <vt:i4>0</vt:i4>
      </vt:variant>
      <vt:variant>
        <vt:i4>5</vt:i4>
      </vt:variant>
      <vt:variant>
        <vt:lpwstr>https://gcc02.safelinks.protection.outlook.com/?url=https%3A%2F%2Fenergy.zoom.us%2Fj%2F86389088634%3Fpwd%3DRnPsElF9iLlntEOjrFgvT2pHZE7VL2.1&amp;data=05%7C02%7C%7C612e2380dfe04118123908defa450c52%7Cac3a124413f44ef68d1bbaa27148194e%7C0%7C0%7C639223371651586786%7CUnknown%7CTWFpbGZsb3d8eyJFbXB0eU1hcGkiOnRydWUsIlYiOiIwLjAuMDAwMCIsIlAiOiJXaW4zMiIsIkFOIjoiTWFpbCIsIldUIjoyfQ%3D%3D%7C0%7C%7C%7C&amp;sdata=8YrpX%2Fk%2F%2BTFwu78AhoZ0WZi4kDSlGtNMpSmrb6xnUJ8%3D&amp;reserved=0</vt:lpwstr>
      </vt:variant>
      <vt:variant>
        <vt:lpwstr/>
      </vt:variant>
      <vt:variant>
        <vt:i4>4718603</vt:i4>
      </vt:variant>
      <vt:variant>
        <vt:i4>102</vt:i4>
      </vt:variant>
      <vt:variant>
        <vt:i4>0</vt:i4>
      </vt:variant>
      <vt:variant>
        <vt:i4>5</vt:i4>
      </vt:variant>
      <vt:variant>
        <vt:lpwstr>https://zoom.us/join</vt:lpwstr>
      </vt:variant>
      <vt:variant>
        <vt:lpwstr/>
      </vt:variant>
      <vt:variant>
        <vt:i4>852040</vt:i4>
      </vt:variant>
      <vt:variant>
        <vt:i4>99</vt:i4>
      </vt:variant>
      <vt:variant>
        <vt:i4>0</vt:i4>
      </vt:variant>
      <vt:variant>
        <vt:i4>5</vt:i4>
      </vt:variant>
      <vt:variant>
        <vt:lpwstr>http://www.energy.ca.gov/contracts/index.html</vt:lpwstr>
      </vt:variant>
      <vt:variant>
        <vt:lpwstr/>
      </vt:variant>
      <vt:variant>
        <vt:i4>2621543</vt:i4>
      </vt:variant>
      <vt:variant>
        <vt:i4>96</vt:i4>
      </vt:variant>
      <vt:variant>
        <vt:i4>0</vt:i4>
      </vt:variant>
      <vt:variant>
        <vt:i4>5</vt:i4>
      </vt:variant>
      <vt:variant>
        <vt:lpwstr>https://www.hcd.ca.gov/grants-and-funding/income-limits</vt:lpwstr>
      </vt:variant>
      <vt:variant>
        <vt:lpwstr/>
      </vt:variant>
      <vt:variant>
        <vt:i4>7012389</vt:i4>
      </vt:variant>
      <vt:variant>
        <vt:i4>93</vt:i4>
      </vt:variant>
      <vt:variant>
        <vt:i4>0</vt:i4>
      </vt:variant>
      <vt:variant>
        <vt:i4>5</vt:i4>
      </vt:variant>
      <vt:variant>
        <vt:lpwstr>https://oehha.ca.gov/calenviroscreen/report/calenviroscreen-40</vt:lpwstr>
      </vt:variant>
      <vt:variant>
        <vt:lpwstr/>
      </vt:variant>
      <vt:variant>
        <vt:i4>4587542</vt:i4>
      </vt:variant>
      <vt:variant>
        <vt:i4>90</vt:i4>
      </vt:variant>
      <vt:variant>
        <vt:i4>0</vt:i4>
      </vt:variant>
      <vt:variant>
        <vt:i4>5</vt:i4>
      </vt:variant>
      <vt:variant>
        <vt:lpwstr>http://www.empowerinnovation.net/</vt:lpwstr>
      </vt:variant>
      <vt:variant>
        <vt:lpwstr/>
      </vt:variant>
      <vt:variant>
        <vt:i4>4194311</vt:i4>
      </vt:variant>
      <vt:variant>
        <vt:i4>0</vt:i4>
      </vt:variant>
      <vt:variant>
        <vt:i4>0</vt:i4>
      </vt:variant>
      <vt:variant>
        <vt:i4>5</vt:i4>
      </vt:variant>
      <vt:variant>
        <vt:lpwstr>https://www.energy.ca.gov/funding-opportunities/solicitations</vt:lpwstr>
      </vt:variant>
      <vt:variant>
        <vt:lpwstr/>
      </vt:variant>
      <vt:variant>
        <vt:i4>5505025</vt:i4>
      </vt:variant>
      <vt:variant>
        <vt:i4>27</vt:i4>
      </vt:variant>
      <vt:variant>
        <vt:i4>0</vt:i4>
      </vt:variant>
      <vt:variant>
        <vt:i4>5</vt:i4>
      </vt:variant>
      <vt:variant>
        <vt:lpwstr>http://docs.cpuc.ca.gov/PublishedDocs/WORD_PDF/FINAL_DECISION/167664.PDF</vt:lpwstr>
      </vt:variant>
      <vt:variant>
        <vt:lpwstr/>
      </vt:variant>
      <vt:variant>
        <vt:i4>327697</vt:i4>
      </vt:variant>
      <vt:variant>
        <vt:i4>24</vt:i4>
      </vt:variant>
      <vt:variant>
        <vt:i4>0</vt:i4>
      </vt:variant>
      <vt:variant>
        <vt:i4>5</vt:i4>
      </vt:variant>
      <vt:variant>
        <vt:lpwstr>https://efiling.energy.ca.gov/GetDocument.aspx?tn=240609</vt:lpwstr>
      </vt:variant>
      <vt:variant>
        <vt:lpwstr/>
      </vt:variant>
      <vt:variant>
        <vt:i4>4915213</vt:i4>
      </vt:variant>
      <vt:variant>
        <vt:i4>21</vt:i4>
      </vt:variant>
      <vt:variant>
        <vt:i4>0</vt:i4>
      </vt:variant>
      <vt:variant>
        <vt:i4>5</vt:i4>
      </vt:variant>
      <vt:variant>
        <vt:lpwstr>http://www.leginfo.ca.gov/cgi-bin/displaycode?section=prc&amp;group=25001-26000&amp;file=25710-25712</vt:lpwstr>
      </vt:variant>
      <vt:variant>
        <vt:lpwstr/>
      </vt:variant>
      <vt:variant>
        <vt:i4>5505025</vt:i4>
      </vt:variant>
      <vt:variant>
        <vt:i4>18</vt:i4>
      </vt:variant>
      <vt:variant>
        <vt:i4>0</vt:i4>
      </vt:variant>
      <vt:variant>
        <vt:i4>5</vt:i4>
      </vt:variant>
      <vt:variant>
        <vt:lpwstr>http://docs.cpuc.ca.gov/PublishedDocs/WORD_PDF/FINAL_DECISION/167664.PDF</vt:lpwstr>
      </vt:variant>
      <vt:variant>
        <vt:lpwstr/>
      </vt:variant>
      <vt:variant>
        <vt:i4>1704000</vt:i4>
      </vt:variant>
      <vt:variant>
        <vt:i4>15</vt:i4>
      </vt:variant>
      <vt:variant>
        <vt:i4>0</vt:i4>
      </vt:variant>
      <vt:variant>
        <vt:i4>5</vt:i4>
      </vt:variant>
      <vt:variant>
        <vt:lpwstr>https://docs.cpuc.ca.gov/PublishedDocs/Published/G000/M425/K515/425515575.PDF</vt:lpwstr>
      </vt:variant>
      <vt:variant>
        <vt:lpwstr/>
      </vt:variant>
      <vt:variant>
        <vt:i4>5570563</vt:i4>
      </vt:variant>
      <vt:variant>
        <vt:i4>12</vt:i4>
      </vt:variant>
      <vt:variant>
        <vt:i4>0</vt:i4>
      </vt:variant>
      <vt:variant>
        <vt:i4>5</vt:i4>
      </vt:variant>
      <vt:variant>
        <vt:lpwstr>http://docs.cpuc.ca.gov/PublishedDocs/WORD_PDF/FINAL_DECISION/156050.PDF</vt:lpwstr>
      </vt:variant>
      <vt:variant>
        <vt:lpwstr/>
      </vt:variant>
      <vt:variant>
        <vt:i4>2818110</vt:i4>
      </vt:variant>
      <vt:variant>
        <vt:i4>9</vt:i4>
      </vt:variant>
      <vt:variant>
        <vt:i4>0</vt:i4>
      </vt:variant>
      <vt:variant>
        <vt:i4>5</vt:i4>
      </vt:variant>
      <vt:variant>
        <vt:lpwstr>https://www.energy.ca.gov/event/2026-03/california-energy-commission-climate-data-and-analysis-working-group-c-dawg</vt:lpwstr>
      </vt:variant>
      <vt:variant>
        <vt:lpwstr/>
      </vt:variant>
      <vt:variant>
        <vt:i4>1704000</vt:i4>
      </vt:variant>
      <vt:variant>
        <vt:i4>6</vt:i4>
      </vt:variant>
      <vt:variant>
        <vt:i4>0</vt:i4>
      </vt:variant>
      <vt:variant>
        <vt:i4>5</vt:i4>
      </vt:variant>
      <vt:variant>
        <vt:lpwstr>https://docs.cpuc.ca.gov/PublishedDocs/Published/G000/M425/K515/425515575.PDF</vt:lpwstr>
      </vt:variant>
      <vt:variant>
        <vt:lpwstr/>
      </vt:variant>
      <vt:variant>
        <vt:i4>4325452</vt:i4>
      </vt:variant>
      <vt:variant>
        <vt:i4>3</vt:i4>
      </vt:variant>
      <vt:variant>
        <vt:i4>0</vt:i4>
      </vt:variant>
      <vt:variant>
        <vt:i4>5</vt:i4>
      </vt:variant>
      <vt:variant>
        <vt:lpwstr>https://docs.cpuc.ca.gov/PublishedDocs/Published/G000/M081/K773/81773445.PDF</vt:lpwstr>
      </vt:variant>
      <vt:variant>
        <vt:lpwstr/>
      </vt:variant>
      <vt:variant>
        <vt:i4>2883617</vt:i4>
      </vt:variant>
      <vt:variant>
        <vt:i4>0</vt:i4>
      </vt:variant>
      <vt:variant>
        <vt:i4>0</vt:i4>
      </vt:variant>
      <vt:variant>
        <vt:i4>5</vt:i4>
      </vt:variant>
      <vt:variant>
        <vt:lpwstr>https://www.energy.ca.gov/sites/default/files/2019-11/Projections_CCCA4-CEC-2018-006_ADA.pdf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EPIC Solicitation Template</dc:title>
  <dc:subject/>
  <dc:creator>California Energy Commission</dc:creator>
  <cp:keywords/>
  <dc:description/>
  <cp:lastModifiedBy>Hong, Chester@Energy</cp:lastModifiedBy>
  <cp:revision>258</cp:revision>
  <dcterms:created xsi:type="dcterms:W3CDTF">2026-07-30T22:50:00Z</dcterms:created>
  <dcterms:modified xsi:type="dcterms:W3CDTF">2026-08-27T23:55:00Z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0x01010061DC9A153AAEEE45BACE06E01F8272AC</vt:lpwstr>
  </property>
  <property fmtid="{D5CDD505-2E9C-101B-9397-08002B2CF9AE}" pid="3" name="MediaServiceImageTags">
    <vt:lpwstr/>
  </property>
  <property fmtid="{D5CDD505-2E9C-101B-9397-08002B2CF9AE}" pid="4" name="Order">
    <vt:r8>3761300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